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E179">
      <w:pPr>
        <w:pStyle w:val="17"/>
        <w:shd w:val="clear"/>
        <w:ind w:firstLine="0" w:firstLineChars="0"/>
        <w:rPr>
          <w:color w:val="auto"/>
          <w:highlight w:val="none"/>
        </w:rPr>
      </w:pPr>
    </w:p>
    <w:p w14:paraId="26BD3376">
      <w:pPr>
        <w:shd w:val="clear"/>
        <w:tabs>
          <w:tab w:val="left" w:pos="0"/>
          <w:tab w:val="left" w:pos="2140"/>
          <w:tab w:val="center" w:pos="4753"/>
        </w:tabs>
        <w:spacing w:before="24" w:beforeLines="10"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衢州市科学技术局</w:t>
      </w:r>
    </w:p>
    <w:p w14:paraId="34756F0B">
      <w:pPr>
        <w:shd w:val="clear"/>
        <w:tabs>
          <w:tab w:val="left" w:pos="4500"/>
        </w:tabs>
        <w:autoSpaceDE w:val="0"/>
        <w:autoSpaceDN w:val="0"/>
        <w:adjustRightInd w:val="0"/>
        <w:snapToGrid w:val="0"/>
        <w:spacing w:line="360" w:lineRule="auto"/>
        <w:jc w:val="center"/>
        <w:textAlignment w:val="bottom"/>
        <w:rPr>
          <w:rFonts w:ascii="宋体" w:hAnsi="宋体" w:cs="宋体"/>
          <w:b/>
          <w:color w:val="auto"/>
          <w:sz w:val="52"/>
          <w:szCs w:val="52"/>
          <w:highlight w:val="none"/>
        </w:rPr>
      </w:pPr>
      <w:r>
        <w:rPr>
          <w:rFonts w:ascii="宋体" w:hAnsi="宋体" w:cs="宋体"/>
          <w:b/>
          <w:color w:val="auto"/>
          <w:sz w:val="52"/>
          <w:szCs w:val="52"/>
          <w:highlight w:val="none"/>
        </w:rPr>
        <w:t>竞争性磋商采购文件</w:t>
      </w:r>
    </w:p>
    <w:p w14:paraId="52C5E69E">
      <w:pPr>
        <w:shd w:val="clear"/>
        <w:tabs>
          <w:tab w:val="left" w:pos="4500"/>
        </w:tabs>
        <w:autoSpaceDE w:val="0"/>
        <w:autoSpaceDN w:val="0"/>
        <w:adjustRightInd w:val="0"/>
        <w:snapToGrid w:val="0"/>
        <w:spacing w:line="360" w:lineRule="auto"/>
        <w:jc w:val="center"/>
        <w:textAlignment w:val="bottom"/>
        <w:rPr>
          <w:rFonts w:ascii="宋体" w:hAnsi="宋体" w:cs="宋体"/>
          <w:b/>
          <w:color w:val="auto"/>
          <w:sz w:val="44"/>
          <w:szCs w:val="52"/>
          <w:highlight w:val="none"/>
        </w:rPr>
      </w:pPr>
    </w:p>
    <w:p w14:paraId="0D4D46F2">
      <w:pPr>
        <w:shd w:val="clear"/>
        <w:spacing w:before="24" w:beforeLines="10"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drawing>
          <wp:inline distT="0" distB="0" distL="114300" distR="114300">
            <wp:extent cx="1924050" cy="1552575"/>
            <wp:effectExtent l="0" t="0" r="0" b="9525"/>
            <wp:docPr id="2" name="图片 1" descr="5c69bc719d3f687d2187b4e54430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c69bc719d3f687d2187b4e544300d1"/>
                    <pic:cNvPicPr>
                      <a:picLocks noChangeAspect="1"/>
                    </pic:cNvPicPr>
                  </pic:nvPicPr>
                  <pic:blipFill>
                    <a:blip r:embed="rId16"/>
                    <a:stretch>
                      <a:fillRect/>
                    </a:stretch>
                  </pic:blipFill>
                  <pic:spPr>
                    <a:xfrm>
                      <a:off x="0" y="0"/>
                      <a:ext cx="1924050" cy="1552575"/>
                    </a:xfrm>
                    <a:prstGeom prst="rect">
                      <a:avLst/>
                    </a:prstGeom>
                    <a:noFill/>
                    <a:ln>
                      <a:noFill/>
                    </a:ln>
                  </pic:spPr>
                </pic:pic>
              </a:graphicData>
            </a:graphic>
          </wp:inline>
        </w:drawing>
      </w:r>
    </w:p>
    <w:p w14:paraId="2E2A13A5">
      <w:pPr>
        <w:widowControl/>
        <w:shd w:val="clear"/>
        <w:spacing w:line="360" w:lineRule="auto"/>
        <w:ind w:right="-2"/>
        <w:jc w:val="center"/>
        <w:rPr>
          <w:rFonts w:ascii="宋体" w:hAnsi="宋体" w:cs="宋体"/>
          <w:b/>
          <w:color w:val="auto"/>
          <w:sz w:val="36"/>
          <w:szCs w:val="36"/>
          <w:highlight w:val="none"/>
        </w:rPr>
      </w:pPr>
      <w:r>
        <w:rPr>
          <w:rFonts w:ascii="宋体" w:hAnsi="宋体" w:cs="宋体"/>
          <w:b/>
          <w:color w:val="auto"/>
          <w:sz w:val="36"/>
          <w:highlight w:val="none"/>
        </w:rPr>
        <w:t>（线上电子招投标）</w:t>
      </w:r>
    </w:p>
    <w:p w14:paraId="20D998DB">
      <w:pPr>
        <w:shd w:val="clear"/>
        <w:spacing w:before="24" w:beforeLines="10" w:line="360" w:lineRule="auto"/>
        <w:ind w:firstLine="723" w:firstLineChars="200"/>
        <w:jc w:val="left"/>
        <w:rPr>
          <w:rFonts w:ascii="宋体" w:hAnsi="宋体" w:cs="宋体"/>
          <w:b/>
          <w:color w:val="auto"/>
          <w:sz w:val="36"/>
          <w:szCs w:val="36"/>
          <w:highlight w:val="none"/>
        </w:rPr>
      </w:pPr>
    </w:p>
    <w:p w14:paraId="64318B39">
      <w:pPr>
        <w:shd w:val="clear"/>
        <w:spacing w:before="24" w:beforeLines="10" w:line="360" w:lineRule="auto"/>
        <w:ind w:firstLine="1084" w:firstLineChars="300"/>
        <w:jc w:val="left"/>
        <w:rPr>
          <w:rFonts w:ascii="宋体" w:hAnsi="宋体" w:cs="宋体"/>
          <w:b/>
          <w:color w:val="auto"/>
          <w:sz w:val="36"/>
          <w:szCs w:val="36"/>
          <w:highlight w:val="none"/>
          <w:u w:val="single"/>
        </w:rPr>
      </w:pPr>
      <w:r>
        <w:rPr>
          <w:rFonts w:ascii="宋体" w:hAnsi="宋体" w:cs="宋体"/>
          <w:b/>
          <w:color w:val="auto"/>
          <w:sz w:val="36"/>
          <w:szCs w:val="36"/>
          <w:highlight w:val="none"/>
        </w:rPr>
        <w:t>项目编号：</w:t>
      </w:r>
      <w:r>
        <w:rPr>
          <w:rFonts w:hint="eastAsia" w:ascii="宋体" w:hAnsi="宋体" w:cs="宋体"/>
          <w:b/>
          <w:color w:val="auto"/>
          <w:sz w:val="36"/>
          <w:szCs w:val="36"/>
          <w:highlight w:val="none"/>
          <w:u w:val="single"/>
          <w:lang w:eastAsia="zh-CN"/>
        </w:rPr>
        <w:t>ZZCG2026012</w:t>
      </w:r>
    </w:p>
    <w:p w14:paraId="1CB5B75D">
      <w:pPr>
        <w:shd w:val="clear"/>
        <w:autoSpaceDE w:val="0"/>
        <w:autoSpaceDN w:val="0"/>
        <w:adjustRightInd w:val="0"/>
        <w:snapToGrid w:val="0"/>
        <w:spacing w:before="24" w:beforeLines="10" w:line="360" w:lineRule="auto"/>
        <w:ind w:firstLine="1084" w:firstLineChars="300"/>
        <w:textAlignment w:val="bottom"/>
        <w:rPr>
          <w:rFonts w:ascii="宋体" w:hAnsi="宋体" w:cs="宋体"/>
          <w:b/>
          <w:color w:val="auto"/>
          <w:highlight w:val="none"/>
        </w:rPr>
      </w:pPr>
      <w:r>
        <w:rPr>
          <w:rFonts w:ascii="宋体" w:hAnsi="宋体" w:cs="宋体"/>
          <w:b/>
          <w:color w:val="auto"/>
          <w:sz w:val="36"/>
          <w:szCs w:val="36"/>
          <w:highlight w:val="none"/>
        </w:rPr>
        <w:t>项目名称：</w:t>
      </w:r>
      <w:r>
        <w:rPr>
          <w:rFonts w:hint="eastAsia" w:ascii="宋体" w:hAnsi="宋体" w:cs="宋体"/>
          <w:b/>
          <w:color w:val="auto"/>
          <w:sz w:val="36"/>
          <w:szCs w:val="36"/>
          <w:highlight w:val="none"/>
          <w:u w:val="single"/>
          <w:lang w:val="en" w:eastAsia="zh-CN"/>
        </w:rPr>
        <w:t>衢州科技大市场运营服务</w:t>
      </w:r>
    </w:p>
    <w:p w14:paraId="1B6F314B">
      <w:pPr>
        <w:pStyle w:val="18"/>
        <w:shd w:val="clear"/>
        <w:rPr>
          <w:rFonts w:ascii="宋体" w:hAnsi="宋体" w:cs="宋体"/>
          <w:b/>
          <w:color w:val="auto"/>
          <w:highlight w:val="none"/>
        </w:rPr>
      </w:pPr>
    </w:p>
    <w:p w14:paraId="660E3588">
      <w:pPr>
        <w:pStyle w:val="17"/>
        <w:shd w:val="clear"/>
        <w:rPr>
          <w:color w:val="auto"/>
          <w:highlight w:val="none"/>
        </w:rPr>
      </w:pPr>
    </w:p>
    <w:p w14:paraId="43E06744">
      <w:pPr>
        <w:pStyle w:val="14"/>
        <w:shd w:val="clear"/>
        <w:rPr>
          <w:color w:val="auto"/>
          <w:highlight w:val="none"/>
        </w:rPr>
      </w:pPr>
    </w:p>
    <w:p w14:paraId="61D8E0D9">
      <w:pPr>
        <w:shd w:val="clear"/>
        <w:autoSpaceDE w:val="0"/>
        <w:autoSpaceDN w:val="0"/>
        <w:adjustRightInd w:val="0"/>
        <w:snapToGrid w:val="0"/>
        <w:spacing w:before="24" w:beforeLines="10" w:line="360" w:lineRule="auto"/>
        <w:jc w:val="center"/>
        <w:textAlignment w:val="bottom"/>
        <w:rPr>
          <w:rFonts w:ascii="宋体" w:hAnsi="宋体" w:cs="宋体"/>
          <w:b/>
          <w:color w:val="auto"/>
          <w:highlight w:val="none"/>
        </w:rPr>
      </w:pPr>
    </w:p>
    <w:p w14:paraId="00F8233E">
      <w:pPr>
        <w:shd w:val="clear"/>
        <w:autoSpaceDE w:val="0"/>
        <w:autoSpaceDN w:val="0"/>
        <w:adjustRightInd w:val="0"/>
        <w:snapToGrid w:val="0"/>
        <w:spacing w:line="360" w:lineRule="auto"/>
        <w:ind w:firstLine="904" w:firstLineChars="250"/>
        <w:textAlignment w:val="bottom"/>
        <w:rPr>
          <w:rFonts w:ascii="宋体" w:hAnsi="宋体" w:cs="宋体"/>
          <w:b/>
          <w:color w:val="auto"/>
          <w:sz w:val="36"/>
          <w:szCs w:val="36"/>
          <w:highlight w:val="none"/>
        </w:rPr>
      </w:pPr>
      <w:r>
        <w:rPr>
          <w:rFonts w:ascii="宋体" w:hAnsi="宋体" w:cs="宋体"/>
          <w:b/>
          <w:color w:val="auto"/>
          <w:sz w:val="36"/>
          <w:szCs w:val="36"/>
          <w:highlight w:val="none"/>
        </w:rPr>
        <w:t>采  购  人：</w:t>
      </w:r>
      <w:r>
        <w:rPr>
          <w:rFonts w:hint="eastAsia" w:ascii="宋体" w:hAnsi="宋体" w:cs="宋体"/>
          <w:b/>
          <w:color w:val="auto"/>
          <w:sz w:val="36"/>
          <w:szCs w:val="36"/>
          <w:highlight w:val="none"/>
          <w:lang w:eastAsia="zh-CN"/>
        </w:rPr>
        <w:t>衢州市科学技术局</w:t>
      </w:r>
    </w:p>
    <w:p w14:paraId="5D236D0E">
      <w:pPr>
        <w:shd w:val="clear"/>
        <w:autoSpaceDE w:val="0"/>
        <w:autoSpaceDN w:val="0"/>
        <w:adjustRightInd w:val="0"/>
        <w:snapToGrid w:val="0"/>
        <w:spacing w:line="360" w:lineRule="auto"/>
        <w:ind w:firstLine="904" w:firstLineChars="250"/>
        <w:textAlignment w:val="bottom"/>
        <w:rPr>
          <w:rFonts w:hint="eastAsia" w:ascii="宋体" w:hAnsi="宋体" w:eastAsia="宋体" w:cs="宋体"/>
          <w:b/>
          <w:color w:val="auto"/>
          <w:sz w:val="36"/>
          <w:szCs w:val="36"/>
          <w:highlight w:val="none"/>
          <w:lang w:eastAsia="zh-CN"/>
        </w:rPr>
      </w:pPr>
      <w:r>
        <w:rPr>
          <w:rFonts w:ascii="宋体" w:hAnsi="宋体" w:cs="宋体"/>
          <w:b/>
          <w:color w:val="auto"/>
          <w:sz w:val="36"/>
          <w:szCs w:val="36"/>
          <w:highlight w:val="none"/>
        </w:rPr>
        <w:t>招标代理机构：</w:t>
      </w:r>
      <w:r>
        <w:rPr>
          <w:rFonts w:hint="eastAsia" w:ascii="宋体" w:hAnsi="宋体" w:cs="宋体"/>
          <w:b/>
          <w:color w:val="auto"/>
          <w:sz w:val="36"/>
          <w:szCs w:val="36"/>
          <w:highlight w:val="none"/>
          <w:lang w:eastAsia="zh-CN"/>
        </w:rPr>
        <w:t>浙江中正工程项目管理有限公司</w:t>
      </w:r>
    </w:p>
    <w:p w14:paraId="16630389">
      <w:pPr>
        <w:shd w:val="clear"/>
        <w:autoSpaceDE w:val="0"/>
        <w:autoSpaceDN w:val="0"/>
        <w:adjustRightInd w:val="0"/>
        <w:snapToGrid w:val="0"/>
        <w:spacing w:line="360" w:lineRule="auto"/>
        <w:ind w:firstLine="904" w:firstLineChars="250"/>
        <w:textAlignment w:val="bottom"/>
        <w:rPr>
          <w:rFonts w:ascii="宋体" w:hAnsi="宋体" w:cs="宋体"/>
          <w:b/>
          <w:color w:val="auto"/>
          <w:sz w:val="36"/>
          <w:szCs w:val="36"/>
          <w:highlight w:val="none"/>
        </w:rPr>
      </w:pPr>
      <w:r>
        <w:rPr>
          <w:rFonts w:ascii="宋体" w:hAnsi="宋体" w:cs="宋体"/>
          <w:b/>
          <w:color w:val="auto"/>
          <w:sz w:val="36"/>
          <w:szCs w:val="36"/>
          <w:highlight w:val="none"/>
        </w:rPr>
        <w:t>日        期：</w:t>
      </w:r>
      <w:r>
        <w:rPr>
          <w:rFonts w:hint="eastAsia" w:ascii="宋体" w:hAnsi="宋体" w:cs="宋体"/>
          <w:b/>
          <w:color w:val="auto"/>
          <w:sz w:val="36"/>
          <w:szCs w:val="36"/>
          <w:highlight w:val="none"/>
          <w:lang w:eastAsia="zh-CN"/>
        </w:rPr>
        <w:t>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lang w:eastAsia="zh-CN"/>
        </w:rPr>
        <w:t>年</w:t>
      </w:r>
      <w:r>
        <w:rPr>
          <w:rFonts w:hint="eastAsia" w:ascii="宋体" w:hAnsi="宋体" w:cs="宋体"/>
          <w:b/>
          <w:color w:val="auto"/>
          <w:sz w:val="36"/>
          <w:szCs w:val="36"/>
          <w:highlight w:val="none"/>
          <w:lang w:val="en-US" w:eastAsia="zh-CN"/>
        </w:rPr>
        <w:t>4</w:t>
      </w:r>
      <w:r>
        <w:rPr>
          <w:rFonts w:ascii="宋体" w:hAnsi="宋体" w:cs="宋体"/>
          <w:b/>
          <w:color w:val="auto"/>
          <w:sz w:val="36"/>
          <w:szCs w:val="36"/>
          <w:highlight w:val="none"/>
        </w:rPr>
        <w:t>月</w:t>
      </w:r>
    </w:p>
    <w:p w14:paraId="20B1A8A0">
      <w:pPr>
        <w:shd w:val="clear"/>
        <w:jc w:val="center"/>
        <w:rPr>
          <w:rFonts w:ascii="宋体" w:hAnsi="宋体" w:cs="宋体"/>
          <w:b/>
          <w:color w:val="auto"/>
          <w:sz w:val="36"/>
          <w:highlight w:val="none"/>
        </w:rPr>
      </w:pPr>
      <w:r>
        <w:rPr>
          <w:rFonts w:ascii="宋体" w:hAnsi="宋体" w:cs="宋体"/>
          <w:b/>
          <w:color w:val="auto"/>
          <w:sz w:val="36"/>
          <w:highlight w:val="none"/>
        </w:rPr>
        <w:br w:type="page"/>
      </w:r>
      <w:r>
        <w:rPr>
          <w:rFonts w:ascii="宋体" w:hAnsi="宋体" w:cs="宋体"/>
          <w:b/>
          <w:color w:val="auto"/>
          <w:sz w:val="36"/>
          <w:highlight w:val="none"/>
        </w:rPr>
        <w:t>目  录</w:t>
      </w:r>
    </w:p>
    <w:p w14:paraId="3D7A3B26">
      <w:pPr>
        <w:pStyle w:val="13"/>
        <w:shd w:val="clear"/>
        <w:rPr>
          <w:rFonts w:ascii="宋体" w:hAnsi="宋体" w:cs="宋体"/>
          <w:b w:val="0"/>
          <w:color w:val="auto"/>
          <w:sz w:val="15"/>
          <w:szCs w:val="24"/>
          <w:highlight w:val="none"/>
        </w:rPr>
      </w:pPr>
    </w:p>
    <w:p w14:paraId="16EDD7DD">
      <w:pPr>
        <w:pStyle w:val="13"/>
        <w:shd w:val="clear"/>
        <w:tabs>
          <w:tab w:val="right" w:leader="dot" w:pos="9026"/>
          <w:tab w:val="clear" w:pos="8364"/>
        </w:tabs>
        <w:rPr>
          <w:color w:val="auto"/>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TOC \o "1-2" \h \z \u</w:instrText>
      </w:r>
      <w:r>
        <w:rPr>
          <w:rFonts w:ascii="宋体" w:hAnsi="宋体" w:cs="宋体"/>
          <w:color w:val="auto"/>
          <w:sz w:val="24"/>
          <w:szCs w:val="24"/>
          <w:highlight w:val="none"/>
        </w:rPr>
        <w:fldChar w:fldCharType="separate"/>
      </w: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_Toc9295 </w:instrText>
      </w:r>
      <w:r>
        <w:rPr>
          <w:rFonts w:ascii="宋体" w:hAnsi="宋体" w:cs="宋体"/>
          <w:color w:val="auto"/>
          <w:szCs w:val="24"/>
          <w:highlight w:val="none"/>
        </w:rPr>
        <w:fldChar w:fldCharType="separate"/>
      </w:r>
      <w:r>
        <w:rPr>
          <w:color w:val="auto"/>
          <w:highlight w:val="none"/>
        </w:rPr>
        <w:t>第一部分  磋商公告</w:t>
      </w:r>
      <w:r>
        <w:rPr>
          <w:color w:val="auto"/>
          <w:highlight w:val="none"/>
        </w:rPr>
        <w:tab/>
      </w:r>
      <w:r>
        <w:rPr>
          <w:color w:val="auto"/>
          <w:highlight w:val="none"/>
        </w:rPr>
        <w:fldChar w:fldCharType="begin"/>
      </w:r>
      <w:r>
        <w:rPr>
          <w:color w:val="auto"/>
          <w:highlight w:val="none"/>
        </w:rPr>
        <w:instrText xml:space="preserve"> PAGEREF _Toc9295 </w:instrText>
      </w:r>
      <w:r>
        <w:rPr>
          <w:color w:val="auto"/>
          <w:highlight w:val="none"/>
        </w:rPr>
        <w:fldChar w:fldCharType="separate"/>
      </w:r>
      <w:r>
        <w:rPr>
          <w:color w:val="auto"/>
          <w:highlight w:val="none"/>
        </w:rPr>
        <w:t>3</w:t>
      </w:r>
      <w:r>
        <w:rPr>
          <w:color w:val="auto"/>
          <w:highlight w:val="none"/>
        </w:rPr>
        <w:fldChar w:fldCharType="end"/>
      </w:r>
      <w:r>
        <w:rPr>
          <w:rFonts w:ascii="宋体" w:hAnsi="宋体" w:cs="宋体"/>
          <w:color w:val="auto"/>
          <w:szCs w:val="24"/>
          <w:highlight w:val="none"/>
        </w:rPr>
        <w:fldChar w:fldCharType="end"/>
      </w:r>
    </w:p>
    <w:p w14:paraId="187650AD">
      <w:pPr>
        <w:pStyle w:val="13"/>
        <w:shd w:val="clear"/>
        <w:tabs>
          <w:tab w:val="right" w:leader="dot" w:pos="9026"/>
          <w:tab w:val="clear" w:pos="8364"/>
        </w:tabs>
        <w:rPr>
          <w:color w:val="auto"/>
          <w:highlight w:val="none"/>
        </w:rPr>
      </w:pP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_Toc16103 </w:instrText>
      </w:r>
      <w:r>
        <w:rPr>
          <w:rFonts w:ascii="宋体" w:hAnsi="宋体" w:cs="宋体"/>
          <w:color w:val="auto"/>
          <w:szCs w:val="24"/>
          <w:highlight w:val="none"/>
        </w:rPr>
        <w:fldChar w:fldCharType="separate"/>
      </w:r>
      <w:r>
        <w:rPr>
          <w:rFonts w:ascii="宋体" w:hAnsi="宋体" w:cs="宋体"/>
          <w:color w:val="auto"/>
          <w:highlight w:val="none"/>
        </w:rPr>
        <w:t>第二部分  磋商响应供应商须知</w:t>
      </w:r>
      <w:r>
        <w:rPr>
          <w:color w:val="auto"/>
          <w:highlight w:val="none"/>
        </w:rPr>
        <w:tab/>
      </w:r>
      <w:r>
        <w:rPr>
          <w:color w:val="auto"/>
          <w:highlight w:val="none"/>
        </w:rPr>
        <w:fldChar w:fldCharType="begin"/>
      </w:r>
      <w:r>
        <w:rPr>
          <w:color w:val="auto"/>
          <w:highlight w:val="none"/>
        </w:rPr>
        <w:instrText xml:space="preserve"> PAGEREF _Toc16103 </w:instrText>
      </w:r>
      <w:r>
        <w:rPr>
          <w:color w:val="auto"/>
          <w:highlight w:val="none"/>
        </w:rPr>
        <w:fldChar w:fldCharType="separate"/>
      </w:r>
      <w:r>
        <w:rPr>
          <w:color w:val="auto"/>
          <w:highlight w:val="none"/>
        </w:rPr>
        <w:t>8</w:t>
      </w:r>
      <w:r>
        <w:rPr>
          <w:color w:val="auto"/>
          <w:highlight w:val="none"/>
        </w:rPr>
        <w:fldChar w:fldCharType="end"/>
      </w:r>
      <w:r>
        <w:rPr>
          <w:rFonts w:ascii="宋体" w:hAnsi="宋体" w:cs="宋体"/>
          <w:color w:val="auto"/>
          <w:szCs w:val="24"/>
          <w:highlight w:val="none"/>
        </w:rPr>
        <w:fldChar w:fldCharType="end"/>
      </w:r>
    </w:p>
    <w:p w14:paraId="279E5A52">
      <w:pPr>
        <w:pStyle w:val="13"/>
        <w:shd w:val="clear"/>
        <w:tabs>
          <w:tab w:val="right" w:leader="dot" w:pos="9026"/>
          <w:tab w:val="clear" w:pos="8364"/>
        </w:tabs>
        <w:rPr>
          <w:color w:val="auto"/>
          <w:highlight w:val="none"/>
        </w:rPr>
      </w:pP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_Toc3602 </w:instrText>
      </w:r>
      <w:r>
        <w:rPr>
          <w:rFonts w:ascii="宋体" w:hAnsi="宋体" w:cs="宋体"/>
          <w:color w:val="auto"/>
          <w:szCs w:val="24"/>
          <w:highlight w:val="none"/>
        </w:rPr>
        <w:fldChar w:fldCharType="separate"/>
      </w:r>
      <w:r>
        <w:rPr>
          <w:rFonts w:ascii="宋体" w:hAnsi="宋体" w:cs="宋体"/>
          <w:bCs/>
          <w:color w:val="auto"/>
          <w:szCs w:val="36"/>
          <w:highlight w:val="none"/>
        </w:rPr>
        <w:t>第三部分  项目技术及服务要求</w:t>
      </w:r>
      <w:r>
        <w:rPr>
          <w:color w:val="auto"/>
          <w:highlight w:val="none"/>
        </w:rPr>
        <w:tab/>
      </w:r>
      <w:r>
        <w:rPr>
          <w:color w:val="auto"/>
          <w:highlight w:val="none"/>
        </w:rPr>
        <w:fldChar w:fldCharType="begin"/>
      </w:r>
      <w:r>
        <w:rPr>
          <w:color w:val="auto"/>
          <w:highlight w:val="none"/>
        </w:rPr>
        <w:instrText xml:space="preserve"> PAGEREF _Toc3602 </w:instrText>
      </w:r>
      <w:r>
        <w:rPr>
          <w:color w:val="auto"/>
          <w:highlight w:val="none"/>
        </w:rPr>
        <w:fldChar w:fldCharType="separate"/>
      </w:r>
      <w:r>
        <w:rPr>
          <w:color w:val="auto"/>
          <w:highlight w:val="none"/>
        </w:rPr>
        <w:t>29</w:t>
      </w:r>
      <w:r>
        <w:rPr>
          <w:color w:val="auto"/>
          <w:highlight w:val="none"/>
        </w:rPr>
        <w:fldChar w:fldCharType="end"/>
      </w:r>
      <w:r>
        <w:rPr>
          <w:rFonts w:ascii="宋体" w:hAnsi="宋体" w:cs="宋体"/>
          <w:color w:val="auto"/>
          <w:szCs w:val="24"/>
          <w:highlight w:val="none"/>
        </w:rPr>
        <w:fldChar w:fldCharType="end"/>
      </w:r>
    </w:p>
    <w:p w14:paraId="3B68B065">
      <w:pPr>
        <w:pStyle w:val="13"/>
        <w:shd w:val="clear"/>
        <w:tabs>
          <w:tab w:val="right" w:leader="dot" w:pos="9026"/>
          <w:tab w:val="clear" w:pos="8364"/>
        </w:tabs>
        <w:rPr>
          <w:color w:val="auto"/>
          <w:highlight w:val="none"/>
        </w:rPr>
      </w:pP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_Toc12301 </w:instrText>
      </w:r>
      <w:r>
        <w:rPr>
          <w:rFonts w:ascii="宋体" w:hAnsi="宋体" w:cs="宋体"/>
          <w:color w:val="auto"/>
          <w:szCs w:val="24"/>
          <w:highlight w:val="none"/>
        </w:rPr>
        <w:fldChar w:fldCharType="separate"/>
      </w:r>
      <w:r>
        <w:rPr>
          <w:color w:val="auto"/>
          <w:highlight w:val="none"/>
        </w:rPr>
        <w:t>第四部分  合同文本</w:t>
      </w:r>
      <w:r>
        <w:rPr>
          <w:color w:val="auto"/>
          <w:highlight w:val="none"/>
        </w:rPr>
        <w:tab/>
      </w:r>
      <w:r>
        <w:rPr>
          <w:color w:val="auto"/>
          <w:highlight w:val="none"/>
        </w:rPr>
        <w:fldChar w:fldCharType="begin"/>
      </w:r>
      <w:r>
        <w:rPr>
          <w:color w:val="auto"/>
          <w:highlight w:val="none"/>
        </w:rPr>
        <w:instrText xml:space="preserve"> PAGEREF _Toc12301 </w:instrText>
      </w:r>
      <w:r>
        <w:rPr>
          <w:color w:val="auto"/>
          <w:highlight w:val="none"/>
        </w:rPr>
        <w:fldChar w:fldCharType="separate"/>
      </w:r>
      <w:r>
        <w:rPr>
          <w:color w:val="auto"/>
          <w:highlight w:val="none"/>
        </w:rPr>
        <w:t>29</w:t>
      </w:r>
      <w:r>
        <w:rPr>
          <w:color w:val="auto"/>
          <w:highlight w:val="none"/>
        </w:rPr>
        <w:fldChar w:fldCharType="end"/>
      </w:r>
      <w:r>
        <w:rPr>
          <w:rFonts w:ascii="宋体" w:hAnsi="宋体" w:cs="宋体"/>
          <w:color w:val="auto"/>
          <w:szCs w:val="24"/>
          <w:highlight w:val="none"/>
        </w:rPr>
        <w:fldChar w:fldCharType="end"/>
      </w:r>
    </w:p>
    <w:p w14:paraId="3AF0C320">
      <w:pPr>
        <w:pStyle w:val="13"/>
        <w:shd w:val="clear"/>
        <w:tabs>
          <w:tab w:val="right" w:leader="dot" w:pos="9026"/>
          <w:tab w:val="clear" w:pos="8364"/>
        </w:tabs>
        <w:rPr>
          <w:color w:val="auto"/>
          <w:highlight w:val="none"/>
        </w:rPr>
      </w:pP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_Toc20445 </w:instrText>
      </w:r>
      <w:r>
        <w:rPr>
          <w:rFonts w:ascii="宋体" w:hAnsi="宋体" w:cs="宋体"/>
          <w:color w:val="auto"/>
          <w:szCs w:val="24"/>
          <w:highlight w:val="none"/>
        </w:rPr>
        <w:fldChar w:fldCharType="separate"/>
      </w:r>
      <w:r>
        <w:rPr>
          <w:rFonts w:ascii="宋体" w:hAnsi="宋体" w:cs="宋体"/>
          <w:color w:val="auto"/>
          <w:highlight w:val="none"/>
        </w:rPr>
        <w:t>第五部分 磋商响应文件部分格式文件</w:t>
      </w:r>
      <w:r>
        <w:rPr>
          <w:color w:val="auto"/>
          <w:highlight w:val="none"/>
        </w:rPr>
        <w:tab/>
      </w:r>
      <w:r>
        <w:rPr>
          <w:color w:val="auto"/>
          <w:highlight w:val="none"/>
        </w:rPr>
        <w:fldChar w:fldCharType="begin"/>
      </w:r>
      <w:r>
        <w:rPr>
          <w:color w:val="auto"/>
          <w:highlight w:val="none"/>
        </w:rPr>
        <w:instrText xml:space="preserve"> PAGEREF _Toc20445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szCs w:val="24"/>
          <w:highlight w:val="none"/>
        </w:rPr>
        <w:fldChar w:fldCharType="end"/>
      </w:r>
    </w:p>
    <w:p w14:paraId="2AD1A657">
      <w:pPr>
        <w:pStyle w:val="13"/>
        <w:shd w:val="clear"/>
        <w:tabs>
          <w:tab w:val="right" w:leader="dot" w:pos="9026"/>
          <w:tab w:val="clear" w:pos="8364"/>
        </w:tabs>
        <w:rPr>
          <w:color w:val="auto"/>
          <w:highlight w:val="none"/>
        </w:rPr>
      </w:pPr>
      <w:r>
        <w:rPr>
          <w:rFonts w:ascii="宋体" w:hAnsi="宋体" w:cs="宋体"/>
          <w:color w:val="auto"/>
          <w:szCs w:val="24"/>
          <w:highlight w:val="none"/>
        </w:rPr>
        <w:fldChar w:fldCharType="begin"/>
      </w:r>
      <w:r>
        <w:rPr>
          <w:rFonts w:ascii="宋体" w:hAnsi="宋体" w:cs="宋体"/>
          <w:color w:val="auto"/>
          <w:szCs w:val="24"/>
          <w:highlight w:val="none"/>
        </w:rPr>
        <w:instrText xml:space="preserve"> HYPERLINK \l _Toc30406 </w:instrText>
      </w:r>
      <w:r>
        <w:rPr>
          <w:rFonts w:ascii="宋体" w:hAnsi="宋体" w:cs="宋体"/>
          <w:color w:val="auto"/>
          <w:szCs w:val="24"/>
          <w:highlight w:val="none"/>
        </w:rPr>
        <w:fldChar w:fldCharType="separate"/>
      </w:r>
      <w:r>
        <w:rPr>
          <w:rFonts w:ascii="宋体" w:hAnsi="宋体" w:cs="宋体"/>
          <w:color w:val="auto"/>
          <w:highlight w:val="none"/>
        </w:rPr>
        <w:t>第六部分  评分办法</w:t>
      </w:r>
      <w:r>
        <w:rPr>
          <w:color w:val="auto"/>
          <w:highlight w:val="none"/>
        </w:rPr>
        <w:tab/>
      </w:r>
      <w:r>
        <w:rPr>
          <w:color w:val="auto"/>
          <w:highlight w:val="none"/>
        </w:rPr>
        <w:fldChar w:fldCharType="begin"/>
      </w:r>
      <w:r>
        <w:rPr>
          <w:color w:val="auto"/>
          <w:highlight w:val="none"/>
        </w:rPr>
        <w:instrText xml:space="preserve"> PAGEREF _Toc30406 </w:instrText>
      </w:r>
      <w:r>
        <w:rPr>
          <w:color w:val="auto"/>
          <w:highlight w:val="none"/>
        </w:rPr>
        <w:fldChar w:fldCharType="separate"/>
      </w:r>
      <w:r>
        <w:rPr>
          <w:color w:val="auto"/>
          <w:highlight w:val="none"/>
        </w:rPr>
        <w:t>64</w:t>
      </w:r>
      <w:r>
        <w:rPr>
          <w:color w:val="auto"/>
          <w:highlight w:val="none"/>
        </w:rPr>
        <w:fldChar w:fldCharType="end"/>
      </w:r>
      <w:r>
        <w:rPr>
          <w:rFonts w:ascii="宋体" w:hAnsi="宋体" w:cs="宋体"/>
          <w:color w:val="auto"/>
          <w:szCs w:val="24"/>
          <w:highlight w:val="none"/>
        </w:rPr>
        <w:fldChar w:fldCharType="end"/>
      </w:r>
    </w:p>
    <w:p w14:paraId="59758626">
      <w:pPr>
        <w:pStyle w:val="15"/>
        <w:shd w:val="clear"/>
        <w:tabs>
          <w:tab w:val="right" w:leader="dot" w:pos="9026"/>
          <w:tab w:val="clear" w:pos="8364"/>
        </w:tabs>
        <w:rPr>
          <w:color w:val="auto"/>
          <w:highlight w:val="none"/>
        </w:rPr>
      </w:pPr>
    </w:p>
    <w:p w14:paraId="4194B1BC">
      <w:pPr>
        <w:pStyle w:val="13"/>
        <w:shd w:val="clear"/>
        <w:spacing w:line="240" w:lineRule="auto"/>
        <w:rPr>
          <w:rFonts w:ascii="宋体" w:hAnsi="宋体" w:cs="宋体"/>
          <w:color w:val="auto"/>
          <w:sz w:val="36"/>
          <w:highlight w:val="none"/>
        </w:rPr>
        <w:sectPr>
          <w:headerReference r:id="rId4" w:type="first"/>
          <w:footerReference r:id="rId7" w:type="first"/>
          <w:headerReference r:id="rId3" w:type="default"/>
          <w:footerReference r:id="rId5" w:type="default"/>
          <w:footerReference r:id="rId6" w:type="even"/>
          <w:endnotePr>
            <w:numFmt w:val="decimal"/>
          </w:endnotePr>
          <w:pgSz w:w="11906" w:h="16838"/>
          <w:pgMar w:top="1440" w:right="1440" w:bottom="1440" w:left="1440" w:header="851" w:footer="851" w:gutter="0"/>
          <w:pgNumType w:fmt="decimal" w:start="1"/>
          <w:cols w:space="720" w:num="1"/>
          <w:titlePg/>
          <w:docGrid w:linePitch="381" w:charSpace="0"/>
        </w:sectPr>
      </w:pPr>
      <w:r>
        <w:rPr>
          <w:rFonts w:ascii="宋体" w:hAnsi="宋体" w:cs="宋体"/>
          <w:color w:val="auto"/>
          <w:szCs w:val="24"/>
          <w:highlight w:val="none"/>
        </w:rPr>
        <w:fldChar w:fldCharType="end"/>
      </w:r>
    </w:p>
    <w:p w14:paraId="4119E97B">
      <w:pPr>
        <w:pStyle w:val="2"/>
        <w:shd w:val="clear"/>
        <w:spacing w:line="276" w:lineRule="auto"/>
        <w:rPr>
          <w:color w:val="auto"/>
          <w:highlight w:val="none"/>
        </w:rPr>
      </w:pPr>
      <w:bookmarkStart w:id="0" w:name="_Toc9295"/>
      <w:r>
        <w:rPr>
          <w:color w:val="auto"/>
          <w:highlight w:val="none"/>
        </w:rPr>
        <w:t>第一部分  磋商公告</w:t>
      </w:r>
      <w:bookmarkEnd w:id="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413B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242" w:type="dxa"/>
            <w:noWrap w:val="0"/>
            <w:vAlign w:val="top"/>
          </w:tcPr>
          <w:p w14:paraId="72E2472F">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80" w:lineRule="exact"/>
              <w:textAlignment w:val="auto"/>
              <w:rPr>
                <w:rFonts w:cs="宋体"/>
                <w:color w:val="auto"/>
                <w:szCs w:val="24"/>
                <w:highlight w:val="none"/>
              </w:rPr>
            </w:pPr>
            <w:bookmarkStart w:id="1" w:name="_Toc225840107"/>
            <w:r>
              <w:rPr>
                <w:rFonts w:cs="宋体"/>
                <w:color w:val="auto"/>
                <w:sz w:val="31"/>
                <w:szCs w:val="31"/>
                <w:highlight w:val="none"/>
              </w:rPr>
              <w:t> </w:t>
            </w:r>
            <w:r>
              <w:rPr>
                <w:rFonts w:cs="宋体"/>
                <w:color w:val="auto"/>
                <w:szCs w:val="24"/>
                <w:highlight w:val="none"/>
              </w:rPr>
              <w:t>项目概况</w:t>
            </w:r>
          </w:p>
          <w:p w14:paraId="64025CED">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cs="宋体"/>
                <w:color w:val="auto"/>
                <w:szCs w:val="22"/>
                <w:highlight w:val="none"/>
              </w:rPr>
            </w:pPr>
            <w:r>
              <w:rPr>
                <w:rFonts w:hint="eastAsia" w:cs="宋体"/>
                <w:color w:val="auto"/>
                <w:szCs w:val="24"/>
                <w:highlight w:val="none"/>
                <w:u w:val="single"/>
                <w:lang w:val="en" w:eastAsia="zh-CN"/>
              </w:rPr>
              <w:t>衢州科技大市场运营服务</w:t>
            </w:r>
            <w:r>
              <w:rPr>
                <w:rFonts w:cs="宋体"/>
                <w:color w:val="auto"/>
                <w:szCs w:val="24"/>
                <w:highlight w:val="none"/>
              </w:rPr>
              <w:t>的潜在供应商应在</w:t>
            </w:r>
            <w:r>
              <w:rPr>
                <w:rFonts w:cs="宋体"/>
                <w:color w:val="auto"/>
                <w:szCs w:val="24"/>
                <w:highlight w:val="none"/>
                <w:u w:val="single"/>
              </w:rPr>
              <w:t>浙江政府采购网</w:t>
            </w:r>
            <w:r>
              <w:rPr>
                <w:rFonts w:cs="宋体"/>
                <w:color w:val="auto"/>
                <w:szCs w:val="24"/>
                <w:highlight w:val="none"/>
              </w:rPr>
              <w:t>获取（下载）采购文件，并于</w:t>
            </w:r>
            <w:r>
              <w:rPr>
                <w:rFonts w:hint="eastAsia" w:cs="宋体"/>
                <w:color w:val="auto"/>
                <w:szCs w:val="24"/>
                <w:highlight w:val="none"/>
                <w:u w:val="single"/>
                <w:lang w:eastAsia="zh-CN"/>
              </w:rPr>
              <w:t>2026年</w:t>
            </w:r>
            <w:r>
              <w:rPr>
                <w:rFonts w:hint="eastAsia" w:cs="宋体"/>
                <w:color w:val="auto"/>
                <w:szCs w:val="24"/>
                <w:highlight w:val="none"/>
                <w:u w:val="single"/>
                <w:lang w:val="en-US" w:eastAsia="zh-CN"/>
              </w:rPr>
              <w:t>5</w:t>
            </w:r>
            <w:r>
              <w:rPr>
                <w:rFonts w:cs="宋体"/>
                <w:color w:val="auto"/>
                <w:szCs w:val="24"/>
                <w:highlight w:val="none"/>
                <w:u w:val="single"/>
              </w:rPr>
              <w:t>月</w:t>
            </w:r>
            <w:r>
              <w:rPr>
                <w:rFonts w:hint="eastAsia" w:cs="宋体"/>
                <w:color w:val="auto"/>
                <w:szCs w:val="24"/>
                <w:highlight w:val="none"/>
                <w:u w:val="single"/>
                <w:lang w:val="en-US" w:eastAsia="zh-CN"/>
              </w:rPr>
              <w:t>14</w:t>
            </w:r>
            <w:r>
              <w:rPr>
                <w:rFonts w:cs="宋体"/>
                <w:color w:val="auto"/>
                <w:szCs w:val="24"/>
                <w:highlight w:val="none"/>
                <w:u w:val="single"/>
              </w:rPr>
              <w:t>日</w:t>
            </w:r>
            <w:r>
              <w:rPr>
                <w:rFonts w:hint="eastAsia" w:cs="宋体"/>
                <w:color w:val="auto"/>
                <w:szCs w:val="24"/>
                <w:highlight w:val="none"/>
                <w:u w:val="single"/>
                <w:lang w:val="en-US" w:eastAsia="zh-CN"/>
              </w:rPr>
              <w:t>09</w:t>
            </w:r>
            <w:r>
              <w:rPr>
                <w:rFonts w:cs="宋体"/>
                <w:color w:val="auto"/>
                <w:szCs w:val="24"/>
                <w:highlight w:val="none"/>
                <w:u w:val="single"/>
              </w:rPr>
              <w:t>:</w:t>
            </w:r>
            <w:r>
              <w:rPr>
                <w:rFonts w:hint="eastAsia" w:cs="宋体"/>
                <w:color w:val="auto"/>
                <w:szCs w:val="24"/>
                <w:highlight w:val="none"/>
                <w:u w:val="single"/>
                <w:lang w:val="en-US" w:eastAsia="zh-CN"/>
              </w:rPr>
              <w:t>3</w:t>
            </w:r>
            <w:r>
              <w:rPr>
                <w:rFonts w:cs="宋体"/>
                <w:color w:val="auto"/>
                <w:szCs w:val="24"/>
                <w:highlight w:val="none"/>
                <w:u w:val="single"/>
              </w:rPr>
              <w:t>0</w:t>
            </w:r>
            <w:r>
              <w:rPr>
                <w:rFonts w:cs="宋体"/>
                <w:color w:val="auto"/>
                <w:szCs w:val="24"/>
                <w:highlight w:val="none"/>
              </w:rPr>
              <w:t>（北京时间）前提交（上传）响应文件。</w:t>
            </w:r>
          </w:p>
        </w:tc>
      </w:tr>
    </w:tbl>
    <w:p w14:paraId="571AC51E">
      <w:pPr>
        <w:pStyle w:val="3"/>
        <w:keepNext w:val="0"/>
        <w:pageBreakBefore w:val="0"/>
        <w:numPr>
          <w:ilvl w:val="0"/>
          <w:numId w:val="0"/>
        </w:numPr>
        <w:shd w:val="clear"/>
        <w:kinsoku/>
        <w:wordWrap/>
        <w:overflowPunct/>
        <w:topLinePunct w:val="0"/>
        <w:bidi w:val="0"/>
        <w:spacing w:line="400" w:lineRule="exact"/>
        <w:rPr>
          <w:rFonts w:ascii="宋体" w:hAnsi="宋体" w:eastAsia="宋体" w:cs="宋体"/>
          <w:b/>
          <w:bCs w:val="0"/>
          <w:color w:val="auto"/>
          <w:sz w:val="24"/>
          <w:szCs w:val="24"/>
          <w:highlight w:val="none"/>
        </w:rPr>
      </w:pPr>
      <w:bookmarkStart w:id="2" w:name="_Toc6279"/>
      <w:bookmarkStart w:id="3" w:name="_Toc35393790"/>
      <w:bookmarkStart w:id="4" w:name="_Toc29444"/>
      <w:bookmarkStart w:id="5" w:name="_Toc35393621"/>
      <w:bookmarkStart w:id="6" w:name="_Toc30733"/>
      <w:bookmarkStart w:id="7" w:name="_Toc28359079"/>
      <w:bookmarkStart w:id="8" w:name="_Toc30264"/>
      <w:bookmarkStart w:id="9" w:name="_Toc16336"/>
      <w:bookmarkStart w:id="10" w:name="_Toc28359002"/>
      <w:r>
        <w:rPr>
          <w:rFonts w:ascii="宋体" w:hAnsi="宋体" w:eastAsia="宋体" w:cs="宋体"/>
          <w:b/>
          <w:color w:val="auto"/>
          <w:sz w:val="24"/>
          <w:highlight w:val="none"/>
        </w:rPr>
        <w:t>一、</w:t>
      </w:r>
      <w:r>
        <w:rPr>
          <w:rFonts w:ascii="宋体" w:hAnsi="宋体" w:eastAsia="宋体" w:cs="宋体"/>
          <w:b/>
          <w:bCs w:val="0"/>
          <w:color w:val="auto"/>
          <w:sz w:val="24"/>
          <w:szCs w:val="24"/>
          <w:highlight w:val="none"/>
        </w:rPr>
        <w:t>项目基本情况</w:t>
      </w:r>
      <w:bookmarkEnd w:id="2"/>
      <w:bookmarkEnd w:id="3"/>
      <w:bookmarkEnd w:id="4"/>
      <w:bookmarkEnd w:id="5"/>
      <w:bookmarkEnd w:id="6"/>
      <w:bookmarkEnd w:id="7"/>
      <w:bookmarkEnd w:id="8"/>
      <w:bookmarkEnd w:id="9"/>
      <w:bookmarkEnd w:id="10"/>
    </w:p>
    <w:p w14:paraId="3EB0C8A3">
      <w:pPr>
        <w:keepNext w:val="0"/>
        <w:pageBreakBefore w:val="0"/>
        <w:shd w:val="clear" w:color="auto"/>
        <w:kinsoku/>
        <w:wordWrap/>
        <w:overflowPunct/>
        <w:topLinePunct w:val="0"/>
        <w:bidi w:val="0"/>
        <w:snapToGrid w:val="0"/>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项目编号：</w:t>
      </w:r>
      <w:r>
        <w:rPr>
          <w:rFonts w:hint="eastAsia" w:ascii="宋体" w:hAnsi="宋体" w:cs="宋体"/>
          <w:color w:val="auto"/>
          <w:sz w:val="24"/>
          <w:highlight w:val="none"/>
          <w:lang w:eastAsia="zh-CN"/>
        </w:rPr>
        <w:t>ZZCG2026012</w:t>
      </w:r>
    </w:p>
    <w:p w14:paraId="74CD4A25">
      <w:pPr>
        <w:keepNext w:val="0"/>
        <w:pageBreakBefore w:val="0"/>
        <w:shd w:val="clear" w:color="auto"/>
        <w:kinsoku/>
        <w:wordWrap/>
        <w:overflowPunct/>
        <w:topLinePunct w:val="0"/>
        <w:bidi w:val="0"/>
        <w:snapToGrid w:val="0"/>
        <w:spacing w:line="400" w:lineRule="exact"/>
        <w:ind w:firstLine="480" w:firstLineChars="200"/>
        <w:rPr>
          <w:rFonts w:hint="default" w:ascii="宋体" w:hAnsi="宋体" w:cs="宋体"/>
          <w:color w:val="auto"/>
          <w:sz w:val="24"/>
          <w:szCs w:val="24"/>
          <w:highlight w:val="none"/>
          <w:lang w:val="en"/>
        </w:rPr>
      </w:pPr>
      <w:r>
        <w:rPr>
          <w:rFonts w:ascii="宋体" w:hAnsi="宋体" w:cs="宋体"/>
          <w:color w:val="auto"/>
          <w:sz w:val="24"/>
          <w:szCs w:val="24"/>
          <w:highlight w:val="none"/>
        </w:rPr>
        <w:t>项目名称：</w:t>
      </w:r>
      <w:r>
        <w:rPr>
          <w:rFonts w:hint="eastAsia" w:ascii="宋体" w:hAnsi="宋体" w:cs="宋体"/>
          <w:color w:val="auto"/>
          <w:sz w:val="24"/>
          <w:szCs w:val="24"/>
          <w:highlight w:val="none"/>
          <w:lang w:val="en" w:eastAsia="zh-CN"/>
        </w:rPr>
        <w:t>衢州科技大市场运营服务</w:t>
      </w:r>
    </w:p>
    <w:p w14:paraId="08C9E0CA">
      <w:pPr>
        <w:keepNext w:val="0"/>
        <w:pageBreakBefore w:val="0"/>
        <w:shd w:val="clear" w:color="auto"/>
        <w:kinsoku/>
        <w:wordWrap/>
        <w:overflowPunct/>
        <w:topLinePunct w:val="0"/>
        <w:bidi w:val="0"/>
        <w:snapToGrid w:val="0"/>
        <w:spacing w:line="400" w:lineRule="exact"/>
        <w:ind w:firstLine="480" w:firstLineChars="200"/>
        <w:rPr>
          <w:rFonts w:hint="default" w:ascii="宋体" w:hAnsi="宋体" w:cs="宋体"/>
          <w:color w:val="auto"/>
          <w:sz w:val="24"/>
          <w:szCs w:val="24"/>
          <w:highlight w:val="none"/>
          <w:lang w:val="en"/>
        </w:rPr>
      </w:pPr>
      <w:r>
        <w:rPr>
          <w:rFonts w:hint="default" w:ascii="宋体" w:hAnsi="宋体" w:cs="宋体"/>
          <w:color w:val="auto"/>
          <w:sz w:val="24"/>
          <w:szCs w:val="24"/>
          <w:highlight w:val="none"/>
          <w:lang w:val="en"/>
        </w:rPr>
        <w:t>采购方式：竞争性磋商</w:t>
      </w:r>
    </w:p>
    <w:p w14:paraId="43041670">
      <w:pPr>
        <w:keepNext w:val="0"/>
        <w:pageBreakBefore w:val="0"/>
        <w:shd w:val="clear" w:color="auto"/>
        <w:kinsoku/>
        <w:wordWrap/>
        <w:overflowPunct/>
        <w:topLinePunct w:val="0"/>
        <w:bidi w:val="0"/>
        <w:snapToGrid w:val="0"/>
        <w:spacing w:line="400" w:lineRule="exact"/>
        <w:ind w:firstLine="480"/>
        <w:textAlignment w:val="bottom"/>
        <w:rPr>
          <w:rFonts w:ascii="宋体" w:hAnsi="宋体" w:cs="宋体"/>
          <w:color w:val="auto"/>
          <w:sz w:val="24"/>
          <w:highlight w:val="none"/>
        </w:rPr>
      </w:pPr>
      <w:r>
        <w:rPr>
          <w:rFonts w:ascii="宋体" w:hAnsi="宋体" w:cs="宋体"/>
          <w:color w:val="auto"/>
          <w:sz w:val="24"/>
          <w:highlight w:val="none"/>
        </w:rPr>
        <w:t>预算金额（元）：</w:t>
      </w:r>
      <w:r>
        <w:rPr>
          <w:rFonts w:hint="eastAsia" w:ascii="宋体" w:hAnsi="宋体" w:cs="宋体"/>
          <w:color w:val="auto"/>
          <w:sz w:val="24"/>
          <w:highlight w:val="none"/>
          <w:lang w:val="en-US" w:eastAsia="zh-CN"/>
        </w:rPr>
        <w:t>2660000.00</w:t>
      </w:r>
    </w:p>
    <w:p w14:paraId="381BF656">
      <w:pPr>
        <w:keepNext w:val="0"/>
        <w:pageBreakBefore w:val="0"/>
        <w:shd w:val="clear" w:color="auto"/>
        <w:kinsoku/>
        <w:wordWrap/>
        <w:overflowPunct/>
        <w:topLinePunct w:val="0"/>
        <w:bidi w:val="0"/>
        <w:snapToGrid w:val="0"/>
        <w:spacing w:line="400" w:lineRule="exact"/>
        <w:ind w:firstLine="480"/>
        <w:textAlignment w:val="bottom"/>
        <w:rPr>
          <w:rFonts w:hint="default" w:ascii="宋体" w:hAnsi="宋体" w:eastAsia="宋体" w:cs="宋体"/>
          <w:color w:val="auto"/>
          <w:sz w:val="24"/>
          <w:highlight w:val="none"/>
          <w:lang w:val="en-US" w:eastAsia="zh-CN"/>
        </w:rPr>
      </w:pPr>
      <w:r>
        <w:rPr>
          <w:rFonts w:ascii="宋体" w:hAnsi="宋体" w:cs="宋体"/>
          <w:color w:val="auto"/>
          <w:sz w:val="24"/>
          <w:highlight w:val="none"/>
        </w:rPr>
        <w:t>最高限价（元）：</w:t>
      </w:r>
      <w:r>
        <w:rPr>
          <w:rFonts w:hint="eastAsia" w:ascii="宋体" w:hAnsi="宋体" w:cs="宋体"/>
          <w:color w:val="auto"/>
          <w:sz w:val="24"/>
          <w:highlight w:val="none"/>
          <w:lang w:val="en-US" w:eastAsia="zh-CN"/>
        </w:rPr>
        <w:t>2660000.00</w:t>
      </w:r>
    </w:p>
    <w:p w14:paraId="41F43E22">
      <w:pPr>
        <w:keepNext w:val="0"/>
        <w:pageBreakBefore w:val="0"/>
        <w:shd w:val="clear" w:color="auto"/>
        <w:kinsoku/>
        <w:wordWrap/>
        <w:overflowPunct/>
        <w:topLinePunct w:val="0"/>
        <w:bidi w:val="0"/>
        <w:snapToGrid w:val="0"/>
        <w:spacing w:line="400" w:lineRule="exact"/>
        <w:ind w:firstLine="480"/>
        <w:textAlignment w:val="bottom"/>
        <w:rPr>
          <w:rFonts w:ascii="宋体" w:hAnsi="宋体" w:cs="宋体"/>
          <w:color w:val="auto"/>
          <w:sz w:val="24"/>
          <w:szCs w:val="24"/>
          <w:highlight w:val="none"/>
        </w:rPr>
      </w:pPr>
      <w:r>
        <w:rPr>
          <w:rFonts w:ascii="宋体" w:hAnsi="宋体" w:cs="宋体"/>
          <w:color w:val="auto"/>
          <w:sz w:val="24"/>
          <w:szCs w:val="24"/>
          <w:highlight w:val="none"/>
        </w:rPr>
        <w:t>采购需求：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3144"/>
        <w:gridCol w:w="586"/>
        <w:gridCol w:w="477"/>
        <w:gridCol w:w="1651"/>
        <w:gridCol w:w="2286"/>
        <w:gridCol w:w="486"/>
      </w:tblGrid>
      <w:tr w14:paraId="6DA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1800A347">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序号</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64869917">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标项名称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5C1FFB9F">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数量</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352EC1A4">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单位</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7CE43198">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预算金额（元）</w:t>
            </w:r>
          </w:p>
        </w:tc>
        <w:tc>
          <w:tcPr>
            <w:tcW w:w="2286" w:type="dxa"/>
            <w:tcBorders>
              <w:top w:val="single" w:color="auto" w:sz="4" w:space="0"/>
              <w:left w:val="single" w:color="auto" w:sz="4" w:space="0"/>
              <w:bottom w:val="single" w:color="auto" w:sz="4" w:space="0"/>
              <w:right w:val="single" w:color="auto" w:sz="4" w:space="0"/>
            </w:tcBorders>
            <w:noWrap w:val="0"/>
            <w:vAlign w:val="center"/>
          </w:tcPr>
          <w:p w14:paraId="42C69E6F">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简要技术要求、用途</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06ED3144">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highlight w:val="none"/>
              </w:rPr>
              <w:t>备注</w:t>
            </w:r>
          </w:p>
        </w:tc>
      </w:tr>
      <w:tr w14:paraId="37EE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37FD513D">
            <w:pPr>
              <w:keepNext w:val="0"/>
              <w:pageBreakBefore w:val="0"/>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1FC45626">
            <w:pPr>
              <w:keepNext w:val="0"/>
              <w:pageBreakBefore w:val="0"/>
              <w:widowControl/>
              <w:shd w:val="clear"/>
              <w:kinsoku/>
              <w:wordWrap/>
              <w:overflowPunct/>
              <w:topLinePunct w:val="0"/>
              <w:bidi w:val="0"/>
              <w:snapToGrid w:val="0"/>
              <w:spacing w:line="400" w:lineRule="exact"/>
              <w:jc w:val="center"/>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衢州科技大市场运营服务</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6E70502E">
            <w:pPr>
              <w:keepNext w:val="0"/>
              <w:pageBreakBefore w:val="0"/>
              <w:widowControl/>
              <w:shd w:val="clear"/>
              <w:kinsoku/>
              <w:wordWrap/>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59D641DF">
            <w:pPr>
              <w:keepNext w:val="0"/>
              <w:pageBreakBefore w:val="0"/>
              <w:widowControl/>
              <w:shd w:val="clear"/>
              <w:kinsoku/>
              <w:wordWrap/>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年</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74F4D89F">
            <w:pPr>
              <w:keepNext w:val="0"/>
              <w:pageBreakBefore w:val="0"/>
              <w:widowControl/>
              <w:shd w:val="clear"/>
              <w:kinsoku/>
              <w:wordWrap/>
              <w:overflowPunct/>
              <w:topLinePunct w:val="0"/>
              <w:bidi w:val="0"/>
              <w:snapToGrid w:val="0"/>
              <w:spacing w:line="40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2660000.00</w:t>
            </w:r>
          </w:p>
        </w:tc>
        <w:tc>
          <w:tcPr>
            <w:tcW w:w="2286" w:type="dxa"/>
            <w:tcBorders>
              <w:top w:val="single" w:color="auto" w:sz="4" w:space="0"/>
              <w:left w:val="single" w:color="auto" w:sz="4" w:space="0"/>
              <w:bottom w:val="single" w:color="auto" w:sz="4" w:space="0"/>
            </w:tcBorders>
            <w:noWrap w:val="0"/>
            <w:vAlign w:val="center"/>
          </w:tcPr>
          <w:p w14:paraId="3ED746CB">
            <w:pPr>
              <w:keepNext w:val="0"/>
              <w:pageBreakBefore w:val="0"/>
              <w:widowControl/>
              <w:shd w:val="clear"/>
              <w:kinsoku/>
              <w:wordWrap/>
              <w:overflowPunct/>
              <w:topLinePunct w:val="0"/>
              <w:bidi w:val="0"/>
              <w:snapToGrid w:val="0"/>
              <w:spacing w:line="400" w:lineRule="exact"/>
              <w:jc w:val="center"/>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eastAsia="zh-CN"/>
              </w:rPr>
              <w:t>详见</w:t>
            </w:r>
            <w:r>
              <w:rPr>
                <w:rFonts w:ascii="宋体" w:hAnsi="宋体" w:eastAsia="宋体" w:cs="宋体"/>
                <w:color w:val="auto"/>
                <w:kern w:val="0"/>
                <w:sz w:val="24"/>
                <w:highlight w:val="none"/>
              </w:rPr>
              <w:t>第三部分  项目技术及服务要求</w:t>
            </w:r>
          </w:p>
        </w:tc>
        <w:tc>
          <w:tcPr>
            <w:tcW w:w="486" w:type="dxa"/>
            <w:noWrap w:val="0"/>
            <w:vAlign w:val="center"/>
          </w:tcPr>
          <w:p w14:paraId="1A065042">
            <w:pPr>
              <w:keepNext w:val="0"/>
              <w:pageBreakBefore w:val="0"/>
              <w:widowControl/>
              <w:shd w:val="clear"/>
              <w:kinsoku/>
              <w:wordWrap/>
              <w:overflowPunct/>
              <w:topLinePunct w:val="0"/>
              <w:bidi w:val="0"/>
              <w:snapToGrid w:val="0"/>
              <w:spacing w:line="400" w:lineRule="exact"/>
              <w:jc w:val="center"/>
              <w:rPr>
                <w:rFonts w:ascii="宋体" w:hAnsi="宋体" w:cs="宋体"/>
                <w:color w:val="auto"/>
                <w:sz w:val="24"/>
                <w:highlight w:val="none"/>
              </w:rPr>
            </w:pPr>
            <w:r>
              <w:rPr>
                <w:rFonts w:ascii="宋体" w:hAnsi="宋体" w:cs="宋体"/>
                <w:color w:val="auto"/>
                <w:kern w:val="0"/>
                <w:sz w:val="24"/>
                <w:szCs w:val="24"/>
                <w:highlight w:val="none"/>
                <w:lang w:bidi="ar"/>
              </w:rPr>
              <w:t>/</w:t>
            </w:r>
          </w:p>
        </w:tc>
      </w:tr>
    </w:tbl>
    <w:p w14:paraId="300B9B41">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合同履行期限：</w:t>
      </w:r>
      <w:r>
        <w:rPr>
          <w:rFonts w:hint="eastAsia" w:ascii="宋体" w:hAnsi="宋体" w:eastAsia="宋体" w:cs="宋体"/>
          <w:color w:val="auto"/>
          <w:kern w:val="0"/>
          <w:sz w:val="24"/>
          <w:highlight w:val="none"/>
          <w:lang w:eastAsia="zh-CN"/>
        </w:rPr>
        <w:t>详见</w:t>
      </w:r>
      <w:r>
        <w:rPr>
          <w:rFonts w:ascii="宋体" w:hAnsi="宋体" w:eastAsia="宋体" w:cs="宋体"/>
          <w:color w:val="auto"/>
          <w:kern w:val="0"/>
          <w:sz w:val="24"/>
          <w:highlight w:val="none"/>
        </w:rPr>
        <w:t>第三部分  项目技术及服务要求</w:t>
      </w:r>
      <w:r>
        <w:rPr>
          <w:rFonts w:ascii="宋体" w:hAnsi="宋体" w:cs="宋体"/>
          <w:color w:val="auto"/>
          <w:kern w:val="0"/>
          <w:sz w:val="24"/>
          <w:szCs w:val="22"/>
          <w:highlight w:val="none"/>
        </w:rPr>
        <w:t>。</w:t>
      </w:r>
    </w:p>
    <w:p w14:paraId="02E64251">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本项目（</w:t>
      </w:r>
      <w:r>
        <w:rPr>
          <w:rFonts w:hint="eastAsia" w:ascii="宋体" w:hAnsi="宋体" w:cs="宋体"/>
          <w:color w:val="auto"/>
          <w:kern w:val="0"/>
          <w:sz w:val="24"/>
          <w:szCs w:val="22"/>
          <w:highlight w:val="none"/>
          <w:lang w:eastAsia="zh-CN"/>
        </w:rPr>
        <w:t>否</w:t>
      </w:r>
      <w:r>
        <w:rPr>
          <w:rFonts w:ascii="宋体" w:hAnsi="宋体" w:cs="宋体"/>
          <w:color w:val="auto"/>
          <w:kern w:val="0"/>
          <w:sz w:val="24"/>
          <w:szCs w:val="22"/>
          <w:highlight w:val="none"/>
        </w:rPr>
        <w:t>）接受联合体投标。</w:t>
      </w:r>
    </w:p>
    <w:p w14:paraId="25A75A27">
      <w:pPr>
        <w:pStyle w:val="6"/>
        <w:keepNext w:val="0"/>
        <w:pageBreakBefore w:val="0"/>
        <w:shd w:val="clear"/>
        <w:kinsoku/>
        <w:wordWrap/>
        <w:overflowPunct/>
        <w:topLinePunct w:val="0"/>
        <w:bidi w:val="0"/>
        <w:spacing w:after="0" w:line="400" w:lineRule="exact"/>
        <w:ind w:left="0" w:leftChars="0"/>
        <w:rPr>
          <w:rFonts w:ascii="宋体" w:hAnsi="宋体" w:cs="宋体"/>
          <w:b/>
          <w:bCs/>
          <w:color w:val="auto"/>
          <w:sz w:val="24"/>
          <w:szCs w:val="24"/>
          <w:highlight w:val="none"/>
        </w:rPr>
      </w:pPr>
      <w:r>
        <w:rPr>
          <w:rFonts w:ascii="宋体" w:hAnsi="宋体" w:cs="宋体"/>
          <w:b/>
          <w:bCs/>
          <w:color w:val="auto"/>
          <w:sz w:val="24"/>
          <w:szCs w:val="24"/>
          <w:highlight w:val="none"/>
        </w:rPr>
        <w:t>二、申请人的资格要求：</w:t>
      </w:r>
    </w:p>
    <w:p w14:paraId="1C51250A">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szCs w:val="24"/>
          <w:highlight w:val="none"/>
        </w:rPr>
        <w:t>满足《中华人民共和国政府采购法》第二十二条规定</w:t>
      </w:r>
      <w:r>
        <w:rPr>
          <w:rFonts w:ascii="宋体" w:hAnsi="宋体" w:cs="宋体"/>
          <w:color w:val="auto"/>
          <w:kern w:val="0"/>
          <w:sz w:val="24"/>
          <w:highlight w:val="none"/>
        </w:rPr>
        <w:t>；未被“信用中国”（www.creditchina.gov.cn</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、中国政府采购网（www.ccgp.gov.cn）列入失信被执行人、重大税收违法案件当事人名单、政府采购严重违法失信行为记录名单。</w:t>
      </w:r>
    </w:p>
    <w:p w14:paraId="1C646437">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sz w:val="24"/>
          <w:szCs w:val="24"/>
          <w:highlight w:val="none"/>
        </w:rPr>
      </w:pPr>
      <w:r>
        <w:rPr>
          <w:rFonts w:ascii="宋体" w:hAnsi="宋体" w:cs="宋体"/>
          <w:color w:val="auto"/>
          <w:sz w:val="24"/>
          <w:highlight w:val="none"/>
        </w:rPr>
        <w:t>2.</w:t>
      </w:r>
      <w:r>
        <w:rPr>
          <w:rFonts w:ascii="宋体" w:hAnsi="宋体" w:cs="宋体"/>
          <w:color w:val="auto"/>
          <w:sz w:val="24"/>
          <w:szCs w:val="24"/>
          <w:highlight w:val="none"/>
        </w:rPr>
        <w:t>落实政府采购政策需满足的资格要求：本项目属于【</w:t>
      </w:r>
      <w:r>
        <w:rPr>
          <w:rFonts w:hint="eastAsia" w:ascii="宋体" w:hAnsi="宋体" w:cs="宋体"/>
          <w:color w:val="auto"/>
          <w:sz w:val="24"/>
          <w:szCs w:val="24"/>
          <w:highlight w:val="none"/>
          <w:lang w:eastAsia="zh-CN"/>
        </w:rPr>
        <w:t>其他未列明行业</w:t>
      </w:r>
      <w:r>
        <w:rPr>
          <w:rFonts w:ascii="宋体" w:hAnsi="宋体" w:cs="宋体"/>
          <w:color w:val="auto"/>
          <w:sz w:val="24"/>
          <w:szCs w:val="24"/>
          <w:highlight w:val="none"/>
        </w:rPr>
        <w:t>】行业，要求供应商为中小企业。中小企业是指满足《政府采购促进中小企业发展管理办法》（财库〔2020〕46 号）第二条规定的企业。监狱企业、残疾人福利性单位视为中小企业。供应商需上传《中小企业声明函》等。</w:t>
      </w:r>
    </w:p>
    <w:p w14:paraId="09EAE7D7">
      <w:pPr>
        <w:keepNext w:val="0"/>
        <w:pageBreakBefore w:val="0"/>
        <w:numPr>
          <w:ilvl w:val="0"/>
          <w:numId w:val="0"/>
        </w:numPr>
        <w:shd w:val="clear"/>
        <w:kinsoku/>
        <w:wordWrap/>
        <w:overflowPunct/>
        <w:topLinePunct w:val="0"/>
        <w:autoSpaceDE w:val="0"/>
        <w:autoSpaceDN w:val="0"/>
        <w:bidi w:val="0"/>
        <w:adjustRightInd w:val="0"/>
        <w:spacing w:line="400" w:lineRule="exact"/>
        <w:ind w:right="-20" w:rightChars="0" w:firstLine="480" w:firstLineChars="200"/>
        <w:rPr>
          <w:rFonts w:ascii="宋体" w:hAnsi="宋体" w:cs="宋体"/>
          <w:color w:val="auto"/>
          <w:sz w:val="24"/>
          <w:highlight w:val="none"/>
        </w:rPr>
      </w:pPr>
      <w:r>
        <w:rPr>
          <w:rFonts w:hint="eastAsia" w:ascii="宋体" w:hAnsi="宋体" w:cs="宋体"/>
          <w:color w:val="auto"/>
          <w:kern w:val="2"/>
          <w:sz w:val="24"/>
          <w:highlight w:val="none"/>
          <w:lang w:val="en-US" w:eastAsia="zh-CN" w:bidi="ar-SA"/>
        </w:rPr>
        <w:t>3.</w:t>
      </w:r>
      <w:r>
        <w:rPr>
          <w:rFonts w:ascii="宋体" w:hAnsi="宋体" w:cs="宋体"/>
          <w:color w:val="auto"/>
          <w:sz w:val="24"/>
          <w:highlight w:val="none"/>
        </w:rPr>
        <w:t>本项目的特定资格要求：</w:t>
      </w:r>
    </w:p>
    <w:p w14:paraId="64C31CCA">
      <w:pPr>
        <w:keepNext w:val="0"/>
        <w:pageBreakBefore w:val="0"/>
        <w:numPr>
          <w:ilvl w:val="0"/>
          <w:numId w:val="0"/>
        </w:numPr>
        <w:shd w:val="clear"/>
        <w:kinsoku/>
        <w:wordWrap/>
        <w:overflowPunct/>
        <w:topLinePunct w:val="0"/>
        <w:autoSpaceDE w:val="0"/>
        <w:autoSpaceDN w:val="0"/>
        <w:bidi w:val="0"/>
        <w:adjustRightInd w:val="0"/>
        <w:spacing w:line="400" w:lineRule="exact"/>
        <w:ind w:right="-20" w:rightChars="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w:t>
      </w:r>
      <w:r>
        <w:rPr>
          <w:rFonts w:hint="eastAsia" w:ascii="宋体" w:hAnsi="宋体" w:cs="宋体"/>
          <w:color w:val="auto"/>
          <w:sz w:val="24"/>
          <w:szCs w:val="22"/>
          <w:highlight w:val="none"/>
          <w:lang w:eastAsia="zh-CN"/>
        </w:rPr>
        <w:t>）</w:t>
      </w:r>
      <w:r>
        <w:rPr>
          <w:rFonts w:ascii="宋体" w:hAnsi="宋体" w:cs="宋体"/>
          <w:color w:val="auto"/>
          <w:sz w:val="24"/>
          <w:szCs w:val="22"/>
          <w:highlight w:val="none"/>
        </w:rPr>
        <w:t>单位负责人为同一人或者存在直接控股、管理关系的不同供应商，不得参加同一合同项下的政府采购活动；</w:t>
      </w:r>
    </w:p>
    <w:p w14:paraId="12606AB6">
      <w:pPr>
        <w:pStyle w:val="6"/>
        <w:keepNext w:val="0"/>
        <w:pageBreakBefore w:val="0"/>
        <w:shd w:val="clear"/>
        <w:kinsoku/>
        <w:wordWrap/>
        <w:overflowPunct/>
        <w:topLinePunct w:val="0"/>
        <w:bidi w:val="0"/>
        <w:spacing w:after="0" w:line="400" w:lineRule="exact"/>
        <w:ind w:left="0" w:leftChars="0"/>
        <w:rPr>
          <w:rFonts w:ascii="宋体" w:hAnsi="宋体" w:cs="宋体"/>
          <w:b/>
          <w:bCs/>
          <w:color w:val="auto"/>
          <w:sz w:val="24"/>
          <w:szCs w:val="24"/>
          <w:highlight w:val="none"/>
        </w:rPr>
      </w:pPr>
      <w:r>
        <w:rPr>
          <w:rFonts w:ascii="宋体" w:hAnsi="宋体" w:cs="宋体"/>
          <w:b/>
          <w:bCs/>
          <w:color w:val="auto"/>
          <w:sz w:val="24"/>
          <w:szCs w:val="24"/>
          <w:highlight w:val="none"/>
        </w:rPr>
        <w:t>三、获取（下载）采购文件</w:t>
      </w:r>
    </w:p>
    <w:p w14:paraId="27DCA8C9">
      <w:pPr>
        <w:keepNext w:val="0"/>
        <w:pageBreakBefore w:val="0"/>
        <w:shd w:val="clear"/>
        <w:kinsoku/>
        <w:wordWrap/>
        <w:overflowPunct/>
        <w:topLinePunct w:val="0"/>
        <w:bidi w:val="0"/>
        <w:spacing w:line="400" w:lineRule="exact"/>
        <w:ind w:firstLine="420"/>
        <w:rPr>
          <w:rFonts w:ascii="宋体" w:hAnsi="宋体" w:cs="宋体"/>
          <w:color w:val="auto"/>
          <w:sz w:val="24"/>
          <w:szCs w:val="24"/>
          <w:highlight w:val="none"/>
        </w:rPr>
      </w:pPr>
      <w:r>
        <w:rPr>
          <w:rFonts w:ascii="宋体" w:hAnsi="宋体" w:cs="宋体"/>
          <w:color w:val="auto"/>
          <w:sz w:val="24"/>
          <w:szCs w:val="24"/>
          <w:highlight w:val="none"/>
        </w:rPr>
        <w:t>时间：</w:t>
      </w:r>
      <w:r>
        <w:rPr>
          <w:rFonts w:hint="eastAsia" w:ascii="宋体" w:hAnsi="宋体" w:cs="宋体"/>
          <w:color w:val="auto"/>
          <w:sz w:val="24"/>
          <w:szCs w:val="24"/>
          <w:highlight w:val="none"/>
          <w:lang w:val="en-US" w:eastAsia="zh-CN"/>
        </w:rPr>
        <w:t>自公告发布之日起</w:t>
      </w:r>
      <w:r>
        <w:rPr>
          <w:rFonts w:ascii="宋体" w:hAnsi="宋体" w:cs="宋体"/>
          <w:color w:val="auto"/>
          <w:sz w:val="24"/>
          <w:szCs w:val="24"/>
          <w:highlight w:val="none"/>
        </w:rPr>
        <w:t>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ascii="宋体" w:hAnsi="宋体" w:cs="宋体"/>
          <w:color w:val="auto"/>
          <w:sz w:val="24"/>
          <w:szCs w:val="24"/>
          <w:highlight w:val="none"/>
        </w:rPr>
        <w:t>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每天上午00:00至12:00，下午12:00至23:59（北京时间，线上获取法定节假日均可，线下获取文件法定节假日除外）</w:t>
      </w:r>
    </w:p>
    <w:p w14:paraId="3BDB9747">
      <w:pPr>
        <w:keepNext w:val="0"/>
        <w:pageBreakBefore w:val="0"/>
        <w:shd w:val="clear"/>
        <w:kinsoku/>
        <w:wordWrap/>
        <w:overflowPunct/>
        <w:topLinePunct w:val="0"/>
        <w:bidi w:val="0"/>
        <w:spacing w:line="400" w:lineRule="exact"/>
        <w:ind w:firstLine="420"/>
        <w:rPr>
          <w:rFonts w:ascii="宋体" w:hAnsi="宋体" w:cs="宋体"/>
          <w:color w:val="auto"/>
          <w:sz w:val="24"/>
          <w:szCs w:val="24"/>
          <w:highlight w:val="none"/>
        </w:rPr>
      </w:pPr>
      <w:r>
        <w:rPr>
          <w:rFonts w:ascii="宋体" w:hAnsi="宋体" w:cs="宋体"/>
          <w:color w:val="auto"/>
          <w:sz w:val="24"/>
          <w:highlight w:val="none"/>
        </w:rPr>
        <w:t>地点（网址）：</w:t>
      </w:r>
      <w:r>
        <w:rPr>
          <w:rFonts w:ascii="宋体" w:hAnsi="宋体" w:cs="宋体"/>
          <w:color w:val="auto"/>
          <w:sz w:val="24"/>
          <w:szCs w:val="24"/>
          <w:highlight w:val="none"/>
        </w:rPr>
        <w:t>浙江政府采购网（http://zfcg.czt.zj.gov.cn/）</w:t>
      </w:r>
    </w:p>
    <w:p w14:paraId="2DD64F92">
      <w:pPr>
        <w:pStyle w:val="6"/>
        <w:keepNext w:val="0"/>
        <w:pageBreakBefore w:val="0"/>
        <w:shd w:val="clear"/>
        <w:kinsoku/>
        <w:wordWrap/>
        <w:overflowPunct/>
        <w:topLinePunct w:val="0"/>
        <w:bidi w:val="0"/>
        <w:snapToGrid w:val="0"/>
        <w:spacing w:after="0" w:line="400" w:lineRule="exact"/>
        <w:ind w:left="0" w:leftChars="0" w:firstLine="480" w:firstLineChars="200"/>
        <w:rPr>
          <w:rFonts w:ascii="宋体" w:hAnsi="宋体" w:cs="宋体"/>
          <w:color w:val="auto"/>
          <w:sz w:val="24"/>
          <w:szCs w:val="24"/>
          <w:highlight w:val="none"/>
        </w:rPr>
      </w:pPr>
      <w:r>
        <w:rPr>
          <w:rFonts w:ascii="宋体" w:hAnsi="宋体" w:cs="宋体"/>
          <w:color w:val="auto"/>
          <w:sz w:val="24"/>
          <w:highlight w:val="none"/>
        </w:rPr>
        <w:t>方式：</w:t>
      </w:r>
      <w:r>
        <w:rPr>
          <w:rFonts w:ascii="宋体" w:hAnsi="宋体" w:cs="宋体"/>
          <w:color w:val="auto"/>
          <w:sz w:val="24"/>
          <w:szCs w:val="24"/>
          <w:highlight w:val="none"/>
        </w:rPr>
        <w:t>供应商通过“浙江政府采购网”在线获取（采购公告下方选取“潜在供应商”处“获取采购文件”），不提供</w:t>
      </w:r>
      <w:r>
        <w:rPr>
          <w:rFonts w:hint="eastAsia" w:ascii="宋体" w:hAnsi="宋体" w:cs="宋体"/>
          <w:color w:val="auto"/>
          <w:sz w:val="24"/>
          <w:szCs w:val="24"/>
          <w:highlight w:val="none"/>
          <w:lang w:eastAsia="zh-CN"/>
        </w:rPr>
        <w:t>纸质</w:t>
      </w:r>
      <w:r>
        <w:rPr>
          <w:rFonts w:ascii="宋体" w:hAnsi="宋体" w:cs="宋体"/>
          <w:color w:val="auto"/>
          <w:sz w:val="24"/>
          <w:szCs w:val="24"/>
          <w:highlight w:val="none"/>
        </w:rPr>
        <w:t>版采购文件；供应商只有在“浙江政府采购网”完成获取采购文件申请并下载了采购文件后才视作依法获取采购文件。</w:t>
      </w:r>
    </w:p>
    <w:p w14:paraId="27DE889F">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售价（元）：0</w:t>
      </w:r>
    </w:p>
    <w:p w14:paraId="050DE826">
      <w:pPr>
        <w:pStyle w:val="6"/>
        <w:keepNext w:val="0"/>
        <w:pageBreakBefore w:val="0"/>
        <w:numPr>
          <w:ilvl w:val="0"/>
          <w:numId w:val="0"/>
        </w:numPr>
        <w:shd w:val="clear"/>
        <w:kinsoku/>
        <w:wordWrap/>
        <w:overflowPunct/>
        <w:topLinePunct w:val="0"/>
        <w:bidi w:val="0"/>
        <w:spacing w:after="0" w:line="400" w:lineRule="exact"/>
        <w:ind w:left="0" w:leftChars="0"/>
        <w:rPr>
          <w:rFonts w:ascii="宋体" w:hAnsi="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四、</w:t>
      </w:r>
      <w:r>
        <w:rPr>
          <w:rFonts w:ascii="宋体" w:hAnsi="宋体" w:cs="宋体"/>
          <w:b/>
          <w:bCs/>
          <w:color w:val="auto"/>
          <w:sz w:val="24"/>
          <w:szCs w:val="24"/>
          <w:highlight w:val="none"/>
        </w:rPr>
        <w:t>响应文件提交（上传）</w:t>
      </w:r>
    </w:p>
    <w:p w14:paraId="6BDECD91">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0（北京时间）</w:t>
      </w:r>
      <w:r>
        <w:rPr>
          <w:rFonts w:ascii="宋体" w:hAnsi="宋体" w:cs="宋体"/>
          <w:color w:val="auto"/>
          <w:kern w:val="0"/>
          <w:sz w:val="24"/>
          <w:highlight w:val="none"/>
        </w:rPr>
        <w:t>；</w:t>
      </w:r>
    </w:p>
    <w:p w14:paraId="3BE9BA69">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highlight w:val="none"/>
        </w:rPr>
      </w:pPr>
      <w:r>
        <w:rPr>
          <w:rFonts w:ascii="宋体" w:hAnsi="宋体" w:cs="宋体"/>
          <w:color w:val="auto"/>
          <w:sz w:val="24"/>
          <w:szCs w:val="24"/>
          <w:highlight w:val="none"/>
        </w:rPr>
        <w:t>地点（网址）：</w:t>
      </w:r>
      <w:r>
        <w:rPr>
          <w:rFonts w:ascii="宋体" w:hAnsi="宋体" w:cs="宋体"/>
          <w:bCs/>
          <w:color w:val="auto"/>
          <w:kern w:val="0"/>
          <w:sz w:val="24"/>
          <w:highlight w:val="none"/>
        </w:rPr>
        <w:t>通过“政府采购云平台（www.zcygov.cn）”实行在线投标响应。</w:t>
      </w:r>
      <w:r>
        <w:rPr>
          <w:rFonts w:ascii="宋体" w:hAnsi="宋体" w:cs="宋体"/>
          <w:color w:val="auto"/>
          <w:sz w:val="24"/>
          <w:szCs w:val="24"/>
          <w:highlight w:val="none"/>
        </w:rPr>
        <w:t> </w:t>
      </w:r>
    </w:p>
    <w:p w14:paraId="704E1A10">
      <w:pPr>
        <w:pStyle w:val="6"/>
        <w:keepNext w:val="0"/>
        <w:pageBreakBefore w:val="0"/>
        <w:numPr>
          <w:ilvl w:val="0"/>
          <w:numId w:val="0"/>
        </w:numPr>
        <w:shd w:val="clear"/>
        <w:kinsoku/>
        <w:wordWrap/>
        <w:overflowPunct/>
        <w:topLinePunct w:val="0"/>
        <w:bidi w:val="0"/>
        <w:spacing w:after="0" w:line="400" w:lineRule="exact"/>
        <w:ind w:left="0" w:leftChars="0"/>
        <w:rPr>
          <w:rFonts w:ascii="宋体" w:hAnsi="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五、</w:t>
      </w:r>
      <w:r>
        <w:rPr>
          <w:rFonts w:ascii="宋体" w:hAnsi="宋体" w:cs="宋体"/>
          <w:b/>
          <w:bCs/>
          <w:color w:val="auto"/>
          <w:sz w:val="24"/>
          <w:szCs w:val="24"/>
          <w:highlight w:val="none"/>
        </w:rPr>
        <w:t>响应文件开启：</w:t>
      </w:r>
    </w:p>
    <w:p w14:paraId="4BD13486">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ascii="宋体" w:hAnsi="宋体" w:cs="宋体"/>
          <w:color w:val="auto"/>
          <w:kern w:val="0"/>
          <w:sz w:val="24"/>
          <w:szCs w:val="22"/>
          <w:highlight w:val="none"/>
        </w:rPr>
        <w:t>（北京时间）；</w:t>
      </w:r>
    </w:p>
    <w:p w14:paraId="742285E3">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b/>
          <w:bCs/>
          <w:color w:val="auto"/>
          <w:kern w:val="0"/>
          <w:sz w:val="24"/>
          <w:highlight w:val="none"/>
          <w:u w:val="single"/>
        </w:rPr>
      </w:pPr>
      <w:r>
        <w:rPr>
          <w:rFonts w:ascii="宋体" w:hAnsi="宋体" w:cs="宋体"/>
          <w:color w:val="auto"/>
          <w:kern w:val="0"/>
          <w:sz w:val="24"/>
          <w:szCs w:val="22"/>
          <w:highlight w:val="none"/>
        </w:rPr>
        <w:t>地点（网址）：</w:t>
      </w:r>
      <w:r>
        <w:rPr>
          <w:rFonts w:hint="eastAsia" w:ascii="宋体" w:hAnsi="宋体" w:cs="宋体"/>
          <w:color w:val="auto"/>
          <w:sz w:val="24"/>
          <w:highlight w:val="none"/>
          <w:lang w:eastAsia="zh-CN"/>
        </w:rPr>
        <w:t>浙江中正工程项目管理有限公司衢州分公司（衢州市九华北大道509号合屹大厦2号楼2单元9楼）</w:t>
      </w:r>
      <w:r>
        <w:rPr>
          <w:rFonts w:ascii="宋体" w:hAnsi="宋体" w:cs="宋体"/>
          <w:color w:val="auto"/>
          <w:kern w:val="0"/>
          <w:sz w:val="24"/>
          <w:szCs w:val="22"/>
          <w:highlight w:val="none"/>
        </w:rPr>
        <w:t>，</w:t>
      </w:r>
      <w:r>
        <w:rPr>
          <w:rFonts w:ascii="宋体" w:hAnsi="宋体" w:cs="宋体"/>
          <w:color w:val="auto"/>
          <w:sz w:val="24"/>
          <w:highlight w:val="none"/>
        </w:rPr>
        <w:t>同步在政府采购云平台（https://www.zcygov.cn）上开启磋商响应文件。</w:t>
      </w:r>
    </w:p>
    <w:p w14:paraId="34EBA4CC">
      <w:pPr>
        <w:pStyle w:val="6"/>
        <w:keepNext w:val="0"/>
        <w:pageBreakBefore w:val="0"/>
        <w:shd w:val="clear"/>
        <w:kinsoku/>
        <w:wordWrap/>
        <w:overflowPunct/>
        <w:topLinePunct w:val="0"/>
        <w:bidi w:val="0"/>
        <w:spacing w:after="0" w:line="400" w:lineRule="exact"/>
        <w:ind w:left="0" w:leftChars="0"/>
        <w:rPr>
          <w:rFonts w:ascii="宋体" w:hAnsi="宋体" w:cs="宋体"/>
          <w:b/>
          <w:bCs/>
          <w:color w:val="auto"/>
          <w:sz w:val="24"/>
          <w:szCs w:val="24"/>
          <w:highlight w:val="none"/>
        </w:rPr>
      </w:pPr>
      <w:bookmarkStart w:id="11" w:name="_Toc35393794"/>
      <w:bookmarkStart w:id="12" w:name="_Toc35393625"/>
      <w:bookmarkStart w:id="13" w:name="_Toc28359084"/>
      <w:bookmarkStart w:id="14" w:name="_Toc28359007"/>
      <w:r>
        <w:rPr>
          <w:rFonts w:ascii="宋体" w:hAnsi="宋体" w:cs="宋体"/>
          <w:b/>
          <w:bCs/>
          <w:color w:val="auto"/>
          <w:sz w:val="24"/>
          <w:szCs w:val="24"/>
          <w:highlight w:val="none"/>
        </w:rPr>
        <w:t>六、公告期限</w:t>
      </w:r>
      <w:bookmarkEnd w:id="11"/>
      <w:bookmarkEnd w:id="12"/>
      <w:bookmarkEnd w:id="13"/>
      <w:bookmarkEnd w:id="14"/>
    </w:p>
    <w:p w14:paraId="130929B6">
      <w:pPr>
        <w:pStyle w:val="6"/>
        <w:keepNext w:val="0"/>
        <w:pageBreakBefore w:val="0"/>
        <w:shd w:val="clear"/>
        <w:kinsoku/>
        <w:wordWrap/>
        <w:overflowPunct/>
        <w:topLinePunct w:val="0"/>
        <w:bidi w:val="0"/>
        <w:spacing w:after="0" w:line="400" w:lineRule="exact"/>
        <w:ind w:left="0" w:leftChars="0" w:firstLine="480" w:firstLineChars="200"/>
        <w:rPr>
          <w:rFonts w:ascii="宋体" w:hAnsi="宋体" w:cs="宋体"/>
          <w:color w:val="auto"/>
          <w:sz w:val="24"/>
          <w:szCs w:val="24"/>
          <w:highlight w:val="none"/>
        </w:rPr>
      </w:pPr>
      <w:r>
        <w:rPr>
          <w:rFonts w:ascii="宋体" w:hAnsi="宋体" w:cs="宋体"/>
          <w:color w:val="auto"/>
          <w:sz w:val="24"/>
          <w:szCs w:val="24"/>
          <w:highlight w:val="none"/>
        </w:rPr>
        <w:t>自本公告发布之日起3个工作日。</w:t>
      </w:r>
    </w:p>
    <w:p w14:paraId="4E5DFE3A">
      <w:pPr>
        <w:keepNext w:val="0"/>
        <w:pageBreakBefore w:val="0"/>
        <w:widowControl/>
        <w:shd w:val="clear"/>
        <w:kinsoku/>
        <w:wordWrap/>
        <w:overflowPunct/>
        <w:topLinePunct w:val="0"/>
        <w:bidi w:val="0"/>
        <w:snapToGrid w:val="0"/>
        <w:spacing w:line="400" w:lineRule="exact"/>
        <w:jc w:val="left"/>
        <w:rPr>
          <w:rFonts w:ascii="宋体" w:hAnsi="宋体" w:cs="宋体"/>
          <w:b/>
          <w:color w:val="auto"/>
          <w:sz w:val="24"/>
          <w:highlight w:val="none"/>
        </w:rPr>
      </w:pPr>
      <w:bookmarkStart w:id="15" w:name="_Toc35393626"/>
      <w:bookmarkStart w:id="16" w:name="_Toc35393795"/>
      <w:r>
        <w:rPr>
          <w:rFonts w:ascii="宋体" w:hAnsi="宋体" w:cs="宋体"/>
          <w:b/>
          <w:bCs/>
          <w:color w:val="auto"/>
          <w:sz w:val="24"/>
          <w:szCs w:val="24"/>
          <w:highlight w:val="none"/>
        </w:rPr>
        <w:t>七、</w:t>
      </w:r>
      <w:bookmarkEnd w:id="15"/>
      <w:bookmarkEnd w:id="16"/>
      <w:r>
        <w:rPr>
          <w:rFonts w:ascii="宋体" w:hAnsi="宋体" w:cs="宋体"/>
          <w:b/>
          <w:bCs/>
          <w:color w:val="auto"/>
          <w:sz w:val="24"/>
          <w:szCs w:val="24"/>
          <w:highlight w:val="none"/>
        </w:rPr>
        <w:t>其他补充事宜</w:t>
      </w:r>
    </w:p>
    <w:p w14:paraId="55533CD7">
      <w:pPr>
        <w:keepNext w:val="0"/>
        <w:pageBreakBefore w:val="0"/>
        <w:widowControl/>
        <w:shd w:val="clear"/>
        <w:kinsoku/>
        <w:wordWrap/>
        <w:overflowPunct/>
        <w:topLinePunct w:val="0"/>
        <w:bidi w:val="0"/>
        <w:adjustRightInd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 1.《浙江省财政厅关于进一步发挥政府采购政策功能全力推动经济稳进提质的通知》 （浙财采监</w:t>
      </w:r>
      <w:r>
        <w:rPr>
          <w:rFonts w:hint="eastAsia" w:ascii="宋体" w:hAnsi="宋体" w:cs="宋体"/>
          <w:color w:val="auto"/>
          <w:kern w:val="0"/>
          <w:sz w:val="24"/>
          <w:szCs w:val="22"/>
          <w:highlight w:val="none"/>
          <w:lang w:eastAsia="zh-CN"/>
        </w:rPr>
        <w:t>〔2022〕3号</w:t>
      </w:r>
      <w:r>
        <w:rPr>
          <w:rFonts w:ascii="宋体" w:hAnsi="宋体" w:cs="宋体"/>
          <w:color w:val="auto"/>
          <w:kern w:val="0"/>
          <w:sz w:val="24"/>
          <w:szCs w:val="22"/>
          <w:highlight w:val="none"/>
        </w:rPr>
        <w:t>）、《浙江省财政厅关于进一步促进政府采购公平竞争打造最优营商环境的通知》（浙财采监</w:t>
      </w:r>
      <w:r>
        <w:rPr>
          <w:rFonts w:hint="eastAsia" w:ascii="宋体" w:hAnsi="宋体" w:cs="宋体"/>
          <w:color w:val="auto"/>
          <w:kern w:val="0"/>
          <w:sz w:val="24"/>
          <w:szCs w:val="22"/>
          <w:highlight w:val="none"/>
          <w:lang w:eastAsia="zh-CN"/>
        </w:rPr>
        <w:t>〔2021〕22号</w:t>
      </w:r>
      <w:r>
        <w:rPr>
          <w:rFonts w:ascii="宋体" w:hAnsi="宋体" w:cs="宋体"/>
          <w:color w:val="auto"/>
          <w:kern w:val="0"/>
          <w:sz w:val="24"/>
          <w:szCs w:val="22"/>
          <w:highlight w:val="none"/>
        </w:rPr>
        <w:t>）已分别于</w:t>
      </w:r>
      <w:r>
        <w:rPr>
          <w:rFonts w:hint="eastAsia" w:ascii="宋体" w:hAnsi="宋体" w:cs="宋体"/>
          <w:color w:val="auto"/>
          <w:kern w:val="0"/>
          <w:sz w:val="24"/>
          <w:szCs w:val="22"/>
          <w:highlight w:val="none"/>
          <w:lang w:eastAsia="zh-CN"/>
        </w:rPr>
        <w:t>202</w:t>
      </w: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lang w:eastAsia="zh-CN"/>
        </w:rPr>
        <w:t>年</w:t>
      </w:r>
      <w:r>
        <w:rPr>
          <w:rFonts w:ascii="宋体" w:hAnsi="宋体" w:cs="宋体"/>
          <w:color w:val="auto"/>
          <w:kern w:val="0"/>
          <w:sz w:val="24"/>
          <w:szCs w:val="22"/>
          <w:highlight w:val="none"/>
        </w:rPr>
        <w:t>1月29日和</w:t>
      </w:r>
      <w:r>
        <w:rPr>
          <w:rFonts w:hint="eastAsia" w:ascii="宋体" w:hAnsi="宋体" w:cs="宋体"/>
          <w:color w:val="auto"/>
          <w:kern w:val="0"/>
          <w:sz w:val="24"/>
          <w:szCs w:val="22"/>
          <w:highlight w:val="none"/>
          <w:lang w:eastAsia="zh-CN"/>
        </w:rPr>
        <w:t>202</w:t>
      </w: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lang w:eastAsia="zh-CN"/>
        </w:rPr>
        <w:t>年</w:t>
      </w:r>
      <w:r>
        <w:rPr>
          <w:rFonts w:ascii="宋体" w:hAnsi="宋体" w:cs="宋体"/>
          <w:color w:val="auto"/>
          <w:kern w:val="0"/>
          <w:sz w:val="24"/>
          <w:szCs w:val="22"/>
          <w:highlight w:val="none"/>
        </w:rPr>
        <w:t>2月1日开始实施，此前有关规定与上述文件内容不一致的，按上述文件要求执行。</w:t>
      </w:r>
    </w:p>
    <w:p w14:paraId="0443DB42">
      <w:pPr>
        <w:keepNext w:val="0"/>
        <w:pageBreakBefore w:val="0"/>
        <w:widowControl/>
        <w:shd w:val="clear"/>
        <w:kinsoku/>
        <w:wordWrap/>
        <w:overflowPunct/>
        <w:topLinePunct w:val="0"/>
        <w:bidi w:val="0"/>
        <w:adjustRightInd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 2.</w:t>
      </w:r>
      <w:r>
        <w:rPr>
          <w:rFonts w:hint="eastAsia" w:ascii="宋体" w:hAnsi="宋体" w:cs="宋体"/>
          <w:color w:val="auto"/>
          <w:kern w:val="0"/>
          <w:sz w:val="24"/>
          <w:szCs w:val="22"/>
          <w:highlight w:val="none"/>
        </w:rPr>
        <w:t>根据《浙江省财政厅关于进一步促进政府采购公平竞争打造最优营商环境的通知》</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浙财采监</w:t>
      </w:r>
      <w:r>
        <w:rPr>
          <w:rFonts w:hint="eastAsia" w:ascii="宋体" w:hAnsi="宋体" w:cs="宋体"/>
          <w:color w:val="auto"/>
          <w:kern w:val="0"/>
          <w:sz w:val="24"/>
          <w:szCs w:val="22"/>
          <w:highlight w:val="none"/>
          <w:lang w:eastAsia="zh-CN"/>
        </w:rPr>
        <w:t>〔2021〕22号）</w:t>
      </w:r>
      <w:r>
        <w:rPr>
          <w:rFonts w:hint="eastAsia" w:ascii="宋体" w:hAnsi="宋体" w:cs="宋体"/>
          <w:color w:val="auto"/>
          <w:kern w:val="0"/>
          <w:sz w:val="24"/>
          <w:szCs w:val="22"/>
          <w:highlight w:val="none"/>
        </w:rPr>
        <w:t>文件关于“健全行政裁决机制”要求，鼓励供应商在线提起询问，路径为</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政采云-项目采购-询问质疑投诉询问列表</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鼓励供应商在线提起质疑，路径为</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政采云-项目采购-询问质疑投诉-质疑列表。质疑供应商对在线质疑答复不满意的，可在线提起投诉，路径为</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3DB0D935">
      <w:pPr>
        <w:keepNext w:val="0"/>
        <w:pageBreakBefore w:val="0"/>
        <w:widowControl/>
        <w:shd w:val="clear"/>
        <w:kinsoku/>
        <w:wordWrap/>
        <w:overflowPunct/>
        <w:topLinePunct w:val="0"/>
        <w:bidi w:val="0"/>
        <w:adjustRightInd w:val="0"/>
        <w:snapToGrid w:val="0"/>
        <w:spacing w:line="400" w:lineRule="exact"/>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3.</w:t>
      </w:r>
      <w:r>
        <w:rPr>
          <w:rFonts w:hint="eastAsia" w:ascii="宋体" w:hAnsi="宋体" w:cs="宋体"/>
          <w:color w:val="auto"/>
          <w:kern w:val="0"/>
          <w:sz w:val="24"/>
          <w:szCs w:val="22"/>
          <w:highlight w:val="none"/>
        </w:rPr>
        <w:t>供应商认为采购文件使自己的权益受到损害的，可以自获取采购文件之日或者采购公告期限届满之日</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公告期限届满后获取采购文件的，以公告期限届满之日为准</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ascii="宋体" w:hAnsi="宋体" w:cs="宋体"/>
          <w:color w:val="auto"/>
          <w:kern w:val="0"/>
          <w:sz w:val="24"/>
          <w:szCs w:val="22"/>
          <w:highlight w:val="none"/>
        </w:rPr>
        <w:t>。</w:t>
      </w:r>
    </w:p>
    <w:p w14:paraId="2B8FE316">
      <w:pPr>
        <w:keepNext w:val="0"/>
        <w:pageBreakBefore w:val="0"/>
        <w:shd w:val="clear"/>
        <w:kinsoku/>
        <w:wordWrap/>
        <w:overflowPunct/>
        <w:topLinePunct w:val="0"/>
        <w:bidi w:val="0"/>
        <w:spacing w:line="400" w:lineRule="exact"/>
        <w:ind w:firstLine="480" w:firstLineChars="200"/>
        <w:rPr>
          <w:rFonts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4.</w:t>
      </w:r>
      <w:r>
        <w:rPr>
          <w:rFonts w:ascii="宋体" w:hAnsi="宋体" w:cs="宋体"/>
          <w:color w:val="auto"/>
          <w:kern w:val="0"/>
          <w:sz w:val="24"/>
          <w:szCs w:val="22"/>
          <w:highlight w:val="none"/>
        </w:rPr>
        <w:t>其他事项：</w:t>
      </w:r>
    </w:p>
    <w:p w14:paraId="2F92AC35">
      <w:pPr>
        <w:keepNext w:val="0"/>
        <w:keepLines w:val="0"/>
        <w:pageBreakBefore w:val="0"/>
        <w:shd w:val="clear"/>
        <w:kinsoku/>
        <w:wordWrap/>
        <w:overflowPunct/>
        <w:topLinePunct w:val="0"/>
        <w:autoSpaceDE w:val="0"/>
        <w:autoSpaceDN w:val="0"/>
        <w:bidi w:val="0"/>
        <w:adjustRightInd w:val="0"/>
        <w:snapToGrid/>
        <w:spacing w:line="400" w:lineRule="exact"/>
        <w:ind w:left="0" w:leftChars="0" w:right="-23"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（1）包括节约资源、保护环境、支持创新、促进中小企业发展等。 详见招标文件的第二部分总则。</w:t>
      </w:r>
    </w:p>
    <w:p w14:paraId="3F13C1CA">
      <w:pPr>
        <w:keepNext w:val="0"/>
        <w:keepLines w:val="0"/>
        <w:pageBreakBefore w:val="0"/>
        <w:shd w:val="clear"/>
        <w:kinsoku/>
        <w:wordWrap/>
        <w:overflowPunct/>
        <w:topLinePunct w:val="0"/>
        <w:autoSpaceDE w:val="0"/>
        <w:autoSpaceDN w:val="0"/>
        <w:bidi w:val="0"/>
        <w:adjustRightInd w:val="0"/>
        <w:snapToGrid/>
        <w:spacing w:line="400" w:lineRule="exact"/>
        <w:ind w:left="0" w:leftChars="0" w:right="-23"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（2）在线投标响应（电子投标）说明：</w:t>
      </w:r>
    </w:p>
    <w:p w14:paraId="7FC9D917">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投标文件的传输递交：供应商在投标截止时间前将加密的投标文件上传至政府采购云平台，还可以在投标截止时间前递交备份投标文件1份。⑨投标文件的解密：供应商按照平台提示和采购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供应商仅提交备份投标文件，没有在电子交易平台传输递交投标文件的，投标无效；⑩具体操作指南：详见政采云平台“服务中心-帮助文档-项目采购-操作流程-电子招投标-政府采购项目电子交易管理操作指南-供应商”。</w:t>
      </w:r>
    </w:p>
    <w:p w14:paraId="3675DEED">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）采购项目需要落实的政府采购政策：</w:t>
      </w:r>
    </w:p>
    <w:p w14:paraId="6B06BAA1">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1）《财政部发展改革委 生态环境部 市场监管总局关于调整优化节能产品、环境标志产品政府采购执行机制的通知》（财库〔2019〕9号）；</w:t>
      </w:r>
    </w:p>
    <w:p w14:paraId="6EE1CBB3">
      <w:pPr>
        <w:keepNext w:val="0"/>
        <w:keepLines w:val="0"/>
        <w:pageBreakBefore w:val="0"/>
        <w:shd w:val="clear"/>
        <w:kinsoku/>
        <w:wordWrap/>
        <w:overflowPunct/>
        <w:topLinePunct w:val="0"/>
        <w:bidi w:val="0"/>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2）《政府采购促进中小企业发展管理办法》（财库</w:t>
      </w:r>
      <w:r>
        <w:rPr>
          <w:rFonts w:hint="eastAsia" w:ascii="宋体" w:hAnsi="宋体" w:eastAsia="宋体" w:cs="宋体"/>
          <w:color w:val="auto"/>
          <w:sz w:val="24"/>
          <w:szCs w:val="24"/>
          <w:highlight w:val="none"/>
          <w:lang w:eastAsia="zh-CN"/>
        </w:rPr>
        <w:t>〔2020〕46号</w:t>
      </w:r>
      <w:r>
        <w:rPr>
          <w:rFonts w:hint="eastAsia" w:ascii="宋体" w:hAnsi="宋体" w:eastAsia="宋体" w:cs="宋体"/>
          <w:color w:val="auto"/>
          <w:sz w:val="24"/>
          <w:szCs w:val="24"/>
          <w:highlight w:val="none"/>
        </w:rPr>
        <w:t>）。</w:t>
      </w:r>
    </w:p>
    <w:p w14:paraId="54B1819E">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3）经招标人确认，本项目属于专门面向中小企业采购项目。本次采购为专门面向中小企业。</w:t>
      </w:r>
    </w:p>
    <w:p w14:paraId="4D9F082E">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4）根据财政部发布的《政府采购促进中小企业发展管理办法》（财库〔2020〕46号）的规定执行。投标文件中须提供《中小企业声明函》。</w:t>
      </w:r>
    </w:p>
    <w:p w14:paraId="0A52BF44">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5）对于专门面向中、小、微型企业或者监狱企业或者残疾人福利性单位的政府采购货物或服务项目或工程项目，符合资格条件的不再执行价格评审优惠的扶持政策。</w:t>
      </w:r>
    </w:p>
    <w:p w14:paraId="6F01FEED">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中标供应商为中小企业、残疾人福利性单位、监狱企业的，应当随中标结果同时公告其《中小企业声明函》、《残疾人福利性单位声明函》、《监狱企业声明函》，接受社会监督。）属于小型、微型企业的残疾人福利性单位、监狱企业，不重复享受政策。供应商提供的《中小企业声明函》、《残疾人福利性单位声明函》、《监狱企业声明函》与事实不符的，依照《政府采购法》第七十七条第一款的规定追究法律责任。 </w:t>
      </w:r>
    </w:p>
    <w:p w14:paraId="272C1C31">
      <w:pPr>
        <w:keepNext w:val="0"/>
        <w:keepLines w:val="0"/>
        <w:pageBreakBefore w:val="0"/>
        <w:shd w:val="clear"/>
        <w:kinsoku/>
        <w:wordWrap/>
        <w:overflowPunct/>
        <w:topLinePunct w:val="0"/>
        <w:autoSpaceDE w:val="0"/>
        <w:autoSpaceDN w:val="0"/>
        <w:bidi w:val="0"/>
        <w:adjustRightInd w:val="0"/>
        <w:snapToGrid/>
        <w:spacing w:line="400" w:lineRule="exact"/>
        <w:ind w:right="-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）信用记录：根据财库</w:t>
      </w:r>
      <w:r>
        <w:rPr>
          <w:rFonts w:hint="eastAsia" w:ascii="宋体" w:hAnsi="宋体" w:eastAsia="宋体" w:cs="宋体"/>
          <w:color w:val="auto"/>
          <w:sz w:val="24"/>
          <w:szCs w:val="24"/>
          <w:highlight w:val="none"/>
          <w:lang w:eastAsia="zh-CN"/>
        </w:rPr>
        <w:t>〔2016〕125号</w:t>
      </w:r>
      <w:r>
        <w:rPr>
          <w:rFonts w:hint="eastAsia" w:ascii="宋体" w:hAnsi="宋体" w:eastAsia="宋体" w:cs="宋体"/>
          <w:color w:val="auto"/>
          <w:sz w:val="24"/>
          <w:szCs w:val="24"/>
          <w:highlight w:val="none"/>
        </w:rPr>
        <w:t>《关于在政府采购活动中查询及使用信用记录有关问题的通知》要求，采购代理机构会对供应商信用记录进行查询并甄别。</w:t>
      </w:r>
    </w:p>
    <w:p w14:paraId="4D4E068F">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1）信用信息查询的截止时点：投标截止时间；</w:t>
      </w:r>
    </w:p>
    <w:p w14:paraId="7C9A9665">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2）查询渠道：“信用中国”（www.creditchina.gov.cn）、“中国政府采购网”（www.ccgp.gov.cn）；</w:t>
      </w:r>
    </w:p>
    <w:p w14:paraId="32FEF85F">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3）信用信息查询记录和证据留存具体方式：采购代理机构经办人将查询网页打印与其他采购文件一并保存；</w:t>
      </w:r>
    </w:p>
    <w:p w14:paraId="0A158280">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的使用规则：供应商存在不良信用记录的，其投标将被作为无效投标被拒绝。不良信用记录指：被列入失信被执行人、重大税收违法案件当事人名单、政府采购严重违法失信行为记录名单或浙江政府采购网曝光台中尚在行政处罚期内的。</w:t>
      </w:r>
    </w:p>
    <w:p w14:paraId="337545FA">
      <w:pPr>
        <w:keepNext w:val="0"/>
        <w:keepLines w:val="0"/>
        <w:pageBreakBefore w:val="0"/>
        <w:shd w:val="clear"/>
        <w:kinsoku/>
        <w:wordWrap/>
        <w:overflowPunct/>
        <w:topLinePunct w:val="0"/>
        <w:autoSpaceDE w:val="0"/>
        <w:autoSpaceDN w:val="0"/>
        <w:bidi w:val="0"/>
        <w:adjustRightInd w:val="0"/>
        <w:snapToGrid/>
        <w:spacing w:line="400" w:lineRule="exact"/>
        <w:ind w:left="0" w:leftChars="0" w:right="-23"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）本项目相关公告（包括招标公告、中标公告及更正公告等）均以浙江政府采购网（http://zfcg.czt.zj.gov.cn/）发布的为准。</w:t>
      </w:r>
    </w:p>
    <w:p w14:paraId="21623322">
      <w:pPr>
        <w:keepNext w:val="0"/>
        <w:pageBreakBefore w:val="0"/>
        <w:widowControl/>
        <w:shd w:val="clear"/>
        <w:kinsoku/>
        <w:wordWrap/>
        <w:overflowPunct/>
        <w:topLinePunct w:val="0"/>
        <w:bidi w:val="0"/>
        <w:snapToGrid w:val="0"/>
        <w:spacing w:line="400" w:lineRule="exact"/>
        <w:jc w:val="left"/>
        <w:rPr>
          <w:rFonts w:ascii="宋体" w:hAnsi="宋体" w:cs="宋体"/>
          <w:b/>
          <w:bCs/>
          <w:color w:val="auto"/>
          <w:sz w:val="24"/>
          <w:szCs w:val="24"/>
          <w:highlight w:val="none"/>
        </w:rPr>
      </w:pPr>
      <w:r>
        <w:rPr>
          <w:rFonts w:ascii="宋体" w:hAnsi="宋体" w:cs="宋体"/>
          <w:b/>
          <w:bCs/>
          <w:color w:val="auto"/>
          <w:sz w:val="24"/>
          <w:szCs w:val="24"/>
          <w:highlight w:val="none"/>
        </w:rPr>
        <w:t>八、凡对本次招标提出询问、质疑、投诉，请按以下方式联系：</w:t>
      </w:r>
    </w:p>
    <w:p w14:paraId="62BB7609">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 xml:space="preserve">1.采购人信息   </w:t>
      </w:r>
    </w:p>
    <w:p w14:paraId="2E450BBA">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名称：</w:t>
      </w:r>
      <w:r>
        <w:rPr>
          <w:rFonts w:hint="eastAsia" w:ascii="宋体" w:hAnsi="宋体" w:cs="宋体"/>
          <w:color w:val="auto"/>
          <w:sz w:val="24"/>
          <w:szCs w:val="24"/>
          <w:highlight w:val="none"/>
          <w:lang w:eastAsia="zh-CN"/>
        </w:rPr>
        <w:t>衢州市科学技术局</w:t>
      </w:r>
    </w:p>
    <w:p w14:paraId="6BC0C5AB">
      <w:pPr>
        <w:keepNext w:val="0"/>
        <w:pageBreakBefore w:val="0"/>
        <w:widowControl/>
        <w:shd w:val="clear"/>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地址</w:t>
      </w:r>
      <w:r>
        <w:rPr>
          <w:rFonts w:hint="eastAsia" w:ascii="宋体" w:hAnsi="宋体" w:cs="宋体"/>
          <w:color w:val="auto"/>
          <w:sz w:val="24"/>
          <w:szCs w:val="24"/>
          <w:highlight w:val="none"/>
          <w:lang w:eastAsia="zh-CN"/>
        </w:rPr>
        <w:t>： 衢州市柯城区三江东路</w:t>
      </w:r>
      <w:r>
        <w:rPr>
          <w:rFonts w:hint="eastAsia" w:ascii="宋体" w:hAnsi="宋体" w:cs="宋体"/>
          <w:color w:val="auto"/>
          <w:sz w:val="24"/>
          <w:szCs w:val="24"/>
          <w:highlight w:val="none"/>
          <w:lang w:val="en-US" w:eastAsia="zh-CN"/>
        </w:rPr>
        <w:t>53</w:t>
      </w:r>
      <w:r>
        <w:rPr>
          <w:rFonts w:hint="eastAsia" w:ascii="宋体" w:hAnsi="宋体" w:cs="宋体"/>
          <w:color w:val="auto"/>
          <w:sz w:val="24"/>
          <w:szCs w:val="24"/>
          <w:highlight w:val="none"/>
          <w:lang w:eastAsia="zh-CN"/>
        </w:rPr>
        <w:t>号</w:t>
      </w:r>
    </w:p>
    <w:p w14:paraId="1772E996">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传真：/</w:t>
      </w:r>
    </w:p>
    <w:p w14:paraId="4F0BB75A">
      <w:pPr>
        <w:keepNext w:val="0"/>
        <w:pageBreakBefore w:val="0"/>
        <w:widowControl/>
        <w:shd w:val="clear"/>
        <w:kinsoku/>
        <w:wordWrap/>
        <w:overflowPunct/>
        <w:topLinePunct w:val="0"/>
        <w:bidi w:val="0"/>
        <w:snapToGrid w:val="0"/>
        <w:spacing w:line="4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val="en-US" w:eastAsia="zh-CN"/>
        </w:rPr>
        <w:t xml:space="preserve"> 周女士</w:t>
      </w:r>
    </w:p>
    <w:p w14:paraId="1A663CC0">
      <w:pPr>
        <w:keepNext w:val="0"/>
        <w:pageBreakBefore w:val="0"/>
        <w:widowControl/>
        <w:shd w:val="clear"/>
        <w:kinsoku/>
        <w:wordWrap/>
        <w:overflowPunct/>
        <w:topLinePunct w:val="0"/>
        <w:bidi w:val="0"/>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项目联系方式：</w:t>
      </w:r>
      <w:r>
        <w:rPr>
          <w:rFonts w:hint="eastAsia" w:ascii="宋体" w:hAnsi="宋体" w:cs="宋体"/>
          <w:color w:val="auto"/>
          <w:sz w:val="24"/>
          <w:szCs w:val="24"/>
          <w:highlight w:val="none"/>
          <w:lang w:val="en-US" w:eastAsia="zh-CN"/>
        </w:rPr>
        <w:t xml:space="preserve"> 0570-3065567</w:t>
      </w:r>
    </w:p>
    <w:p w14:paraId="0E09062F">
      <w:pPr>
        <w:keepNext w:val="0"/>
        <w:pageBreakBefore w:val="0"/>
        <w:widowControl/>
        <w:shd w:val="clear"/>
        <w:kinsoku/>
        <w:wordWrap/>
        <w:overflowPunct/>
        <w:topLinePunct w:val="0"/>
        <w:bidi w:val="0"/>
        <w:snapToGrid w:val="0"/>
        <w:spacing w:line="400" w:lineRule="exact"/>
        <w:ind w:firstLine="480" w:firstLineChars="200"/>
        <w:jc w:val="left"/>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质疑联系人：</w:t>
      </w:r>
      <w:r>
        <w:rPr>
          <w:rFonts w:hint="eastAsia" w:ascii="宋体" w:hAnsi="宋体" w:cs="宋体"/>
          <w:color w:val="auto"/>
          <w:sz w:val="24"/>
          <w:szCs w:val="24"/>
          <w:highlight w:val="none"/>
          <w:lang w:val="en-US" w:eastAsia="zh-CN"/>
        </w:rPr>
        <w:t xml:space="preserve"> 王先生</w:t>
      </w:r>
    </w:p>
    <w:p w14:paraId="0203BABC">
      <w:pPr>
        <w:keepNext w:val="0"/>
        <w:pageBreakBefore w:val="0"/>
        <w:widowControl/>
        <w:shd w:val="clear"/>
        <w:kinsoku/>
        <w:wordWrap/>
        <w:overflowPunct/>
        <w:topLinePunct w:val="0"/>
        <w:bidi w:val="0"/>
        <w:snapToGrid w:val="0"/>
        <w:spacing w:line="400" w:lineRule="exact"/>
        <w:ind w:firstLine="480" w:firstLineChars="200"/>
        <w:jc w:val="left"/>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质疑联系方式：</w:t>
      </w:r>
      <w:r>
        <w:rPr>
          <w:rFonts w:hint="eastAsia" w:ascii="宋体" w:hAnsi="宋体" w:cs="宋体"/>
          <w:color w:val="auto"/>
          <w:sz w:val="24"/>
          <w:szCs w:val="24"/>
          <w:highlight w:val="none"/>
          <w:lang w:val="en-US" w:eastAsia="zh-CN"/>
        </w:rPr>
        <w:t xml:space="preserve"> 0570-3021360</w:t>
      </w:r>
    </w:p>
    <w:p w14:paraId="36256F1C">
      <w:pPr>
        <w:pStyle w:val="3"/>
        <w:numPr>
          <w:ilvl w:val="0"/>
          <w:numId w:val="0"/>
        </w:numPr>
        <w:shd w:val="clear"/>
        <w:tabs>
          <w:tab w:val="clear" w:pos="1110"/>
        </w:tabs>
        <w:ind w:left="560" w:leftChars="0"/>
        <w:rPr>
          <w:color w:val="auto"/>
          <w:highlight w:val="none"/>
        </w:rPr>
      </w:pPr>
    </w:p>
    <w:p w14:paraId="02A3EAFE">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2.采购代理机构信息</w:t>
      </w:r>
    </w:p>
    <w:p w14:paraId="3A83E755">
      <w:pPr>
        <w:pStyle w:val="3"/>
        <w:keepNext w:val="0"/>
        <w:pageBreakBefore w:val="0"/>
        <w:numPr>
          <w:ilvl w:val="0"/>
          <w:numId w:val="0"/>
        </w:numPr>
        <w:shd w:val="clear"/>
        <w:kinsoku/>
        <w:wordWrap/>
        <w:overflowPunct/>
        <w:topLinePunct w:val="0"/>
        <w:bidi w:val="0"/>
        <w:spacing w:line="400" w:lineRule="exact"/>
        <w:ind w:firstLine="480" w:firstLineChars="200"/>
        <w:rPr>
          <w:rFonts w:hint="eastAsia" w:ascii="宋体" w:hAnsi="宋体" w:eastAsia="宋体" w:cs="宋体"/>
          <w:bCs w:val="0"/>
          <w:color w:val="auto"/>
          <w:sz w:val="24"/>
          <w:szCs w:val="24"/>
          <w:highlight w:val="none"/>
          <w:lang w:eastAsia="zh-CN"/>
        </w:rPr>
      </w:pPr>
      <w:bookmarkStart w:id="17" w:name="_Toc31444"/>
      <w:bookmarkStart w:id="18" w:name="_Toc27903"/>
      <w:bookmarkStart w:id="19" w:name="_Toc29096"/>
      <w:bookmarkStart w:id="20" w:name="_Toc5778"/>
      <w:bookmarkStart w:id="21" w:name="_Toc28554"/>
      <w:r>
        <w:rPr>
          <w:rFonts w:ascii="宋体" w:hAnsi="宋体" w:eastAsia="宋体" w:cs="宋体"/>
          <w:bCs w:val="0"/>
          <w:color w:val="auto"/>
          <w:sz w:val="24"/>
          <w:szCs w:val="24"/>
          <w:highlight w:val="none"/>
        </w:rPr>
        <w:t>名称：</w:t>
      </w:r>
      <w:bookmarkEnd w:id="17"/>
      <w:bookmarkEnd w:id="18"/>
      <w:bookmarkEnd w:id="19"/>
      <w:bookmarkEnd w:id="20"/>
      <w:bookmarkEnd w:id="21"/>
      <w:r>
        <w:rPr>
          <w:rFonts w:hint="eastAsia" w:ascii="宋体" w:hAnsi="宋体" w:eastAsia="宋体" w:cs="宋体"/>
          <w:bCs w:val="0"/>
          <w:color w:val="auto"/>
          <w:sz w:val="24"/>
          <w:szCs w:val="24"/>
          <w:highlight w:val="none"/>
          <w:lang w:eastAsia="zh-CN"/>
        </w:rPr>
        <w:t>浙江中正工程项目管理有限公司</w:t>
      </w:r>
    </w:p>
    <w:p w14:paraId="40A43DAF">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sz w:val="24"/>
          <w:szCs w:val="24"/>
          <w:highlight w:val="none"/>
        </w:rPr>
      </w:pPr>
      <w:r>
        <w:rPr>
          <w:rFonts w:ascii="宋体" w:hAnsi="宋体" w:cs="宋体"/>
          <w:color w:val="auto"/>
          <w:sz w:val="24"/>
          <w:szCs w:val="24"/>
          <w:highlight w:val="none"/>
        </w:rPr>
        <w:t>地址：</w:t>
      </w:r>
      <w:r>
        <w:rPr>
          <w:rFonts w:hint="eastAsia" w:ascii="宋体" w:hAnsi="宋体" w:cs="宋体"/>
          <w:color w:val="auto"/>
          <w:sz w:val="24"/>
          <w:highlight w:val="none"/>
          <w:lang w:eastAsia="zh-CN"/>
        </w:rPr>
        <w:t>衢州市九华北大道509号合屹大厦2号楼2单元9楼</w:t>
      </w:r>
      <w:r>
        <w:rPr>
          <w:rFonts w:ascii="宋体" w:hAnsi="宋体" w:cs="宋体"/>
          <w:color w:val="auto"/>
          <w:sz w:val="24"/>
          <w:szCs w:val="24"/>
          <w:highlight w:val="none"/>
        </w:rPr>
        <w:t> 　   </w:t>
      </w:r>
    </w:p>
    <w:p w14:paraId="7FFBF007">
      <w:pPr>
        <w:pStyle w:val="3"/>
        <w:keepNext w:val="0"/>
        <w:pageBreakBefore w:val="0"/>
        <w:numPr>
          <w:ilvl w:val="0"/>
          <w:numId w:val="0"/>
        </w:numPr>
        <w:shd w:val="clear"/>
        <w:kinsoku/>
        <w:wordWrap/>
        <w:overflowPunct/>
        <w:topLinePunct w:val="0"/>
        <w:bidi w:val="0"/>
        <w:spacing w:line="400" w:lineRule="exact"/>
        <w:ind w:firstLine="480" w:firstLineChars="200"/>
        <w:rPr>
          <w:rFonts w:ascii="宋体" w:hAnsi="宋体" w:eastAsia="宋体" w:cs="宋体"/>
          <w:bCs w:val="0"/>
          <w:color w:val="auto"/>
          <w:sz w:val="24"/>
          <w:szCs w:val="24"/>
          <w:highlight w:val="none"/>
        </w:rPr>
      </w:pPr>
      <w:bookmarkStart w:id="22" w:name="_Toc26533"/>
      <w:bookmarkStart w:id="23" w:name="_Toc21395"/>
      <w:bookmarkStart w:id="24" w:name="_Toc16123"/>
      <w:bookmarkStart w:id="25" w:name="_Toc3367"/>
      <w:bookmarkStart w:id="26" w:name="_Toc27355"/>
      <w:r>
        <w:rPr>
          <w:rFonts w:ascii="宋体" w:hAnsi="宋体" w:eastAsia="宋体" w:cs="宋体"/>
          <w:bCs w:val="0"/>
          <w:color w:val="auto"/>
          <w:sz w:val="24"/>
          <w:szCs w:val="24"/>
          <w:highlight w:val="none"/>
        </w:rPr>
        <w:t>传真：</w:t>
      </w:r>
      <w:r>
        <w:rPr>
          <w:rFonts w:hint="eastAsia" w:ascii="宋体" w:hAnsi="宋体" w:eastAsia="宋体" w:cs="宋体"/>
          <w:color w:val="auto"/>
          <w:sz w:val="24"/>
          <w:highlight w:val="none"/>
          <w:lang w:val="en-US" w:eastAsia="zh-CN"/>
        </w:rPr>
        <w:t>0570-3850156</w:t>
      </w:r>
      <w:r>
        <w:rPr>
          <w:rFonts w:ascii="宋体" w:hAnsi="宋体" w:eastAsia="宋体" w:cs="宋体"/>
          <w:bCs w:val="0"/>
          <w:color w:val="auto"/>
          <w:sz w:val="24"/>
          <w:szCs w:val="24"/>
          <w:highlight w:val="none"/>
        </w:rPr>
        <w:t>  </w:t>
      </w:r>
      <w:bookmarkEnd w:id="22"/>
      <w:bookmarkEnd w:id="23"/>
      <w:bookmarkEnd w:id="24"/>
      <w:bookmarkEnd w:id="25"/>
      <w:bookmarkEnd w:id="26"/>
      <w:r>
        <w:rPr>
          <w:rFonts w:ascii="宋体" w:hAnsi="宋体" w:eastAsia="宋体" w:cs="宋体"/>
          <w:bCs w:val="0"/>
          <w:color w:val="auto"/>
          <w:sz w:val="24"/>
          <w:szCs w:val="24"/>
          <w:highlight w:val="none"/>
        </w:rPr>
        <w:t xml:space="preserve"> 　</w:t>
      </w:r>
    </w:p>
    <w:p w14:paraId="39B136D6">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eastAsia="zh-CN"/>
        </w:rPr>
        <w:t>徐露花</w:t>
      </w:r>
    </w:p>
    <w:p w14:paraId="563B9F82">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项目联系方式（询问）：</w:t>
      </w:r>
      <w:r>
        <w:rPr>
          <w:rFonts w:hint="eastAsia" w:ascii="宋体" w:hAnsi="宋体" w:cs="宋体"/>
          <w:color w:val="auto"/>
          <w:sz w:val="24"/>
          <w:szCs w:val="24"/>
          <w:highlight w:val="none"/>
          <w:lang w:eastAsia="zh-CN"/>
        </w:rPr>
        <w:t>0570-3850118</w:t>
      </w:r>
      <w:r>
        <w:rPr>
          <w:rFonts w:hint="eastAsia" w:ascii="宋体" w:hAnsi="宋体" w:eastAsia="宋体" w:cs="宋体"/>
          <w:color w:val="auto"/>
          <w:sz w:val="24"/>
          <w:szCs w:val="24"/>
          <w:highlight w:val="none"/>
        </w:rPr>
        <w:t xml:space="preserve"> </w:t>
      </w:r>
    </w:p>
    <w:p w14:paraId="038DB42A">
      <w:pPr>
        <w:keepNext w:val="0"/>
        <w:keepLines w:val="0"/>
        <w:pageBreakBefore w:val="0"/>
        <w:shd w:val="clear"/>
        <w:kinsoku/>
        <w:wordWrap/>
        <w:overflowPunct/>
        <w:topLinePunct w:val="0"/>
        <w:autoSpaceDE w:val="0"/>
        <w:autoSpaceDN w:val="0"/>
        <w:bidi w:val="0"/>
        <w:adjustRightInd w:val="0"/>
        <w:snapToGrid/>
        <w:spacing w:line="400" w:lineRule="exact"/>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质疑联系人：周丽爱             </w:t>
      </w:r>
    </w:p>
    <w:p w14:paraId="2D0A44AF">
      <w:pPr>
        <w:keepNext w:val="0"/>
        <w:pageBreakBefore w:val="0"/>
        <w:widowControl/>
        <w:shd w:val="clear"/>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质疑联系方式：0570-3850117 </w:t>
      </w:r>
    </w:p>
    <w:p w14:paraId="044EB096">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p>
    <w:p w14:paraId="6F6228FE">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3.同级政府采购监督管理部门</w:t>
      </w:r>
    </w:p>
    <w:p w14:paraId="16321C47">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名称：衢州市财政局</w:t>
      </w:r>
    </w:p>
    <w:p w14:paraId="0F6CEED2">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地址：衢州市三江东路28号</w:t>
      </w:r>
    </w:p>
    <w:p w14:paraId="63B0A813">
      <w:pPr>
        <w:keepNext w:val="0"/>
        <w:pageBreakBefore w:val="0"/>
        <w:widowControl/>
        <w:shd w:val="clear"/>
        <w:kinsoku/>
        <w:wordWrap/>
        <w:overflowPunct/>
        <w:topLinePunct w:val="0"/>
        <w:bidi w:val="0"/>
        <w:snapToGrid w:val="0"/>
        <w:spacing w:line="400" w:lineRule="exact"/>
        <w:ind w:firstLine="480" w:firstLineChars="200"/>
        <w:jc w:val="left"/>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传真：</w:t>
      </w:r>
      <w:r>
        <w:rPr>
          <w:rFonts w:hint="eastAsia" w:ascii="宋体" w:hAnsi="宋体" w:cs="宋体"/>
          <w:color w:val="auto"/>
          <w:sz w:val="24"/>
          <w:szCs w:val="24"/>
          <w:highlight w:val="none"/>
          <w:lang w:val="en-US" w:eastAsia="zh-CN"/>
        </w:rPr>
        <w:t>/</w:t>
      </w:r>
    </w:p>
    <w:p w14:paraId="0413B5E4">
      <w:pPr>
        <w:keepNext w:val="0"/>
        <w:pageBreakBefore w:val="0"/>
        <w:widowControl/>
        <w:shd w:val="clear"/>
        <w:kinsoku/>
        <w:wordWrap/>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联系人：</w:t>
      </w:r>
      <w:r>
        <w:rPr>
          <w:rFonts w:hint="eastAsia" w:ascii="宋体" w:hAnsi="宋体" w:cs="宋体"/>
          <w:color w:val="auto"/>
          <w:sz w:val="24"/>
          <w:szCs w:val="24"/>
          <w:highlight w:val="none"/>
          <w:lang w:eastAsia="zh-CN"/>
        </w:rPr>
        <w:t>黄女士</w:t>
      </w:r>
    </w:p>
    <w:p w14:paraId="658CFC3A">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kern w:val="0"/>
          <w:sz w:val="24"/>
          <w:highlight w:val="none"/>
        </w:rPr>
      </w:pPr>
      <w:r>
        <w:rPr>
          <w:rFonts w:ascii="宋体" w:hAnsi="宋体" w:cs="宋体"/>
          <w:color w:val="auto"/>
          <w:sz w:val="24"/>
          <w:szCs w:val="24"/>
          <w:highlight w:val="none"/>
        </w:rPr>
        <w:t>监督投诉电话：19957000570</w:t>
      </w:r>
    </w:p>
    <w:p w14:paraId="3F5BF0F3">
      <w:pPr>
        <w:keepNext w:val="0"/>
        <w:pageBreakBefore w:val="0"/>
        <w:shd w:val="clear"/>
        <w:kinsoku/>
        <w:wordWrap/>
        <w:overflowPunct/>
        <w:topLinePunct w:val="0"/>
        <w:autoSpaceDE w:val="0"/>
        <w:autoSpaceDN w:val="0"/>
        <w:bidi w:val="0"/>
        <w:adjustRightInd w:val="0"/>
        <w:spacing w:line="400" w:lineRule="exact"/>
        <w:ind w:right="-20"/>
        <w:rPr>
          <w:rFonts w:ascii="宋体" w:hAnsi="宋体" w:cs="宋体"/>
          <w:color w:val="auto"/>
          <w:kern w:val="0"/>
          <w:sz w:val="24"/>
          <w:highlight w:val="none"/>
        </w:rPr>
      </w:pPr>
    </w:p>
    <w:p w14:paraId="14F82AE9">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kern w:val="0"/>
          <w:sz w:val="24"/>
          <w:highlight w:val="none"/>
        </w:rPr>
      </w:pPr>
    </w:p>
    <w:p w14:paraId="1C8E9D67">
      <w:pPr>
        <w:keepNext w:val="0"/>
        <w:pageBreakBefore w:val="0"/>
        <w:shd w:val="clear"/>
        <w:kinsoku/>
        <w:wordWrap/>
        <w:overflowPunct/>
        <w:topLinePunct w:val="0"/>
        <w:autoSpaceDE w:val="0"/>
        <w:autoSpaceDN w:val="0"/>
        <w:bidi w:val="0"/>
        <w:adjustRightInd w:val="0"/>
        <w:spacing w:line="400" w:lineRule="exact"/>
        <w:ind w:right="-20" w:firstLine="480" w:firstLineChars="200"/>
        <w:rPr>
          <w:rFonts w:ascii="宋体" w:hAnsi="宋体" w:cs="宋体"/>
          <w:color w:val="auto"/>
          <w:kern w:val="0"/>
          <w:sz w:val="24"/>
          <w:highlight w:val="none"/>
        </w:rPr>
      </w:pPr>
    </w:p>
    <w:p w14:paraId="28DE2AA7">
      <w:pPr>
        <w:keepNext w:val="0"/>
        <w:pageBreakBefore w:val="0"/>
        <w:shd w:val="clear"/>
        <w:kinsoku/>
        <w:wordWrap/>
        <w:overflowPunct/>
        <w:topLinePunct w:val="0"/>
        <w:autoSpaceDE w:val="0"/>
        <w:autoSpaceDN w:val="0"/>
        <w:bidi w:val="0"/>
        <w:adjustRightInd w:val="0"/>
        <w:spacing w:line="400" w:lineRule="exact"/>
        <w:ind w:right="-20" w:firstLine="480" w:firstLineChars="200"/>
        <w:rPr>
          <w:color w:val="auto"/>
          <w:highlight w:val="none"/>
        </w:rPr>
      </w:pPr>
      <w:r>
        <w:rPr>
          <w:rFonts w:hint="eastAsia" w:ascii="宋体" w:hAnsi="宋体" w:cs="宋体"/>
          <w:color w:val="auto"/>
          <w:kern w:val="0"/>
          <w:sz w:val="24"/>
          <w:highlight w:val="none"/>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r>
        <w:rPr>
          <w:rFonts w:ascii="宋体" w:hAnsi="宋体" w:cs="宋体"/>
          <w:color w:val="auto"/>
          <w:kern w:val="0"/>
          <w:sz w:val="24"/>
          <w:highlight w:val="none"/>
        </w:rPr>
        <w:t>。</w:t>
      </w:r>
    </w:p>
    <w:p w14:paraId="18994CBB">
      <w:pPr>
        <w:shd w:val="clear"/>
        <w:rPr>
          <w:color w:val="auto"/>
          <w:highlight w:val="none"/>
        </w:rPr>
      </w:pPr>
      <w:bookmarkStart w:id="27" w:name="_Toc16103"/>
    </w:p>
    <w:p w14:paraId="12EF5FE0">
      <w:pPr>
        <w:pStyle w:val="2"/>
        <w:shd w:val="clear"/>
        <w:spacing w:line="240" w:lineRule="auto"/>
        <w:rPr>
          <w:rFonts w:ascii="宋体" w:hAnsi="宋体" w:cs="宋体"/>
          <w:color w:val="auto"/>
          <w:highlight w:val="none"/>
        </w:rPr>
      </w:pPr>
    </w:p>
    <w:p w14:paraId="73FBA36A">
      <w:pPr>
        <w:pStyle w:val="2"/>
        <w:shd w:val="clear"/>
        <w:spacing w:line="240" w:lineRule="auto"/>
        <w:rPr>
          <w:rFonts w:ascii="宋体" w:hAnsi="宋体" w:cs="宋体"/>
          <w:color w:val="auto"/>
          <w:highlight w:val="none"/>
        </w:rPr>
      </w:pPr>
    </w:p>
    <w:p w14:paraId="0BC8F029">
      <w:pPr>
        <w:pStyle w:val="2"/>
        <w:shd w:val="clear"/>
        <w:spacing w:line="240" w:lineRule="auto"/>
        <w:rPr>
          <w:rFonts w:ascii="宋体" w:hAnsi="宋体" w:cs="宋体"/>
          <w:color w:val="auto"/>
          <w:highlight w:val="none"/>
        </w:rPr>
      </w:pPr>
    </w:p>
    <w:p w14:paraId="5D3D02C0">
      <w:pPr>
        <w:pStyle w:val="2"/>
        <w:shd w:val="clear"/>
        <w:spacing w:line="240" w:lineRule="auto"/>
        <w:rPr>
          <w:rFonts w:ascii="宋体" w:hAnsi="宋体" w:cs="宋体"/>
          <w:color w:val="auto"/>
          <w:highlight w:val="none"/>
        </w:rPr>
      </w:pPr>
    </w:p>
    <w:p w14:paraId="64F13DEC">
      <w:pPr>
        <w:pStyle w:val="2"/>
        <w:shd w:val="clear"/>
        <w:spacing w:line="240" w:lineRule="auto"/>
        <w:rPr>
          <w:rFonts w:ascii="宋体" w:hAnsi="宋体" w:cs="宋体"/>
          <w:color w:val="auto"/>
          <w:highlight w:val="none"/>
        </w:rPr>
      </w:pPr>
    </w:p>
    <w:p w14:paraId="6B785082">
      <w:pPr>
        <w:pStyle w:val="2"/>
        <w:shd w:val="clear"/>
        <w:spacing w:line="240" w:lineRule="auto"/>
        <w:rPr>
          <w:rFonts w:ascii="宋体" w:hAnsi="宋体" w:cs="宋体"/>
          <w:color w:val="auto"/>
          <w:highlight w:val="none"/>
        </w:rPr>
      </w:pPr>
    </w:p>
    <w:p w14:paraId="5A2A3010">
      <w:pPr>
        <w:shd w:val="clear"/>
        <w:rPr>
          <w:rFonts w:ascii="宋体" w:hAnsi="宋体" w:cs="宋体"/>
          <w:color w:val="auto"/>
          <w:highlight w:val="none"/>
        </w:rPr>
      </w:pPr>
    </w:p>
    <w:p w14:paraId="3873825C">
      <w:pPr>
        <w:shd w:val="clear"/>
        <w:rPr>
          <w:rFonts w:ascii="宋体" w:hAnsi="宋体" w:cs="宋体"/>
          <w:color w:val="auto"/>
          <w:highlight w:val="none"/>
        </w:rPr>
      </w:pPr>
    </w:p>
    <w:p w14:paraId="5F4B7C45">
      <w:pPr>
        <w:shd w:val="clear"/>
        <w:rPr>
          <w:rFonts w:ascii="宋体" w:hAnsi="宋体" w:cs="宋体"/>
          <w:color w:val="auto"/>
          <w:highlight w:val="none"/>
        </w:rPr>
      </w:pPr>
    </w:p>
    <w:p w14:paraId="45769849">
      <w:pPr>
        <w:shd w:val="clear"/>
        <w:rPr>
          <w:rFonts w:ascii="宋体" w:hAnsi="宋体" w:cs="宋体"/>
          <w:color w:val="auto"/>
          <w:highlight w:val="none"/>
        </w:rPr>
      </w:pPr>
    </w:p>
    <w:p w14:paraId="23B57731">
      <w:pPr>
        <w:shd w:val="clear"/>
        <w:rPr>
          <w:rFonts w:ascii="宋体" w:hAnsi="宋体" w:cs="宋体"/>
          <w:color w:val="auto"/>
          <w:highlight w:val="none"/>
        </w:rPr>
      </w:pPr>
    </w:p>
    <w:p w14:paraId="6C39D0F6">
      <w:pPr>
        <w:shd w:val="clear"/>
        <w:rPr>
          <w:rFonts w:ascii="宋体" w:hAnsi="宋体" w:cs="宋体"/>
          <w:color w:val="auto"/>
          <w:highlight w:val="none"/>
        </w:rPr>
      </w:pPr>
    </w:p>
    <w:p w14:paraId="0DC05005">
      <w:pPr>
        <w:shd w:val="clear"/>
        <w:rPr>
          <w:rFonts w:ascii="宋体" w:hAnsi="宋体" w:cs="宋体"/>
          <w:color w:val="auto"/>
          <w:highlight w:val="none"/>
        </w:rPr>
      </w:pPr>
    </w:p>
    <w:p w14:paraId="341794C0">
      <w:pPr>
        <w:shd w:val="clear"/>
        <w:rPr>
          <w:rFonts w:ascii="宋体" w:hAnsi="宋体" w:cs="宋体"/>
          <w:color w:val="auto"/>
          <w:highlight w:val="none"/>
        </w:rPr>
      </w:pPr>
    </w:p>
    <w:p w14:paraId="732ADF54">
      <w:pPr>
        <w:shd w:val="clear"/>
        <w:rPr>
          <w:rFonts w:ascii="宋体" w:hAnsi="宋体" w:cs="宋体"/>
          <w:color w:val="auto"/>
          <w:highlight w:val="none"/>
        </w:rPr>
      </w:pPr>
    </w:p>
    <w:p w14:paraId="4760BEE6">
      <w:pPr>
        <w:shd w:val="clear"/>
        <w:rPr>
          <w:rFonts w:ascii="宋体" w:hAnsi="宋体" w:cs="宋体"/>
          <w:color w:val="auto"/>
          <w:highlight w:val="none"/>
        </w:rPr>
      </w:pPr>
    </w:p>
    <w:p w14:paraId="08582B51">
      <w:pPr>
        <w:pStyle w:val="2"/>
        <w:shd w:val="clear"/>
        <w:spacing w:line="240" w:lineRule="auto"/>
        <w:rPr>
          <w:rFonts w:ascii="宋体" w:hAnsi="宋体" w:cs="宋体"/>
          <w:color w:val="auto"/>
          <w:highlight w:val="none"/>
        </w:rPr>
      </w:pPr>
    </w:p>
    <w:p w14:paraId="2BD635C1">
      <w:pPr>
        <w:pStyle w:val="2"/>
        <w:shd w:val="clear"/>
        <w:spacing w:line="240" w:lineRule="auto"/>
        <w:rPr>
          <w:rFonts w:ascii="宋体" w:hAnsi="宋体" w:cs="宋体"/>
          <w:color w:val="auto"/>
          <w:highlight w:val="none"/>
        </w:rPr>
      </w:pPr>
    </w:p>
    <w:p w14:paraId="7BD266C6">
      <w:pPr>
        <w:pStyle w:val="2"/>
        <w:shd w:val="clear"/>
        <w:spacing w:line="240" w:lineRule="auto"/>
        <w:rPr>
          <w:rFonts w:ascii="宋体" w:hAnsi="宋体" w:cs="宋体"/>
          <w:color w:val="auto"/>
          <w:highlight w:val="none"/>
        </w:rPr>
      </w:pPr>
    </w:p>
    <w:p w14:paraId="50B49D75">
      <w:pPr>
        <w:pStyle w:val="2"/>
        <w:shd w:val="clear"/>
        <w:spacing w:line="240" w:lineRule="auto"/>
        <w:rPr>
          <w:rFonts w:ascii="宋体" w:hAnsi="宋体" w:cs="宋体"/>
          <w:color w:val="auto"/>
          <w:highlight w:val="none"/>
        </w:rPr>
      </w:pPr>
    </w:p>
    <w:p w14:paraId="2E192E7B">
      <w:pPr>
        <w:pStyle w:val="2"/>
        <w:shd w:val="clear"/>
        <w:spacing w:line="240" w:lineRule="auto"/>
        <w:rPr>
          <w:rFonts w:ascii="宋体" w:hAnsi="宋体" w:cs="宋体"/>
          <w:color w:val="auto"/>
          <w:highlight w:val="none"/>
        </w:rPr>
      </w:pPr>
    </w:p>
    <w:p w14:paraId="2461EF2A">
      <w:pPr>
        <w:shd w:val="clear"/>
        <w:rPr>
          <w:color w:val="auto"/>
          <w:highlight w:val="none"/>
        </w:rPr>
      </w:pPr>
    </w:p>
    <w:p w14:paraId="067924F5">
      <w:pPr>
        <w:shd w:val="clear"/>
        <w:rPr>
          <w:color w:val="auto"/>
          <w:highlight w:val="none"/>
        </w:rPr>
      </w:pPr>
    </w:p>
    <w:p w14:paraId="43E1A3BC">
      <w:pPr>
        <w:pStyle w:val="2"/>
        <w:shd w:val="clear"/>
        <w:spacing w:line="276" w:lineRule="auto"/>
        <w:rPr>
          <w:rFonts w:hAnsi="Times New Roman" w:eastAsia="宋体" w:cs="Times New Roman"/>
          <w:b/>
          <w:color w:val="auto"/>
          <w:highlight w:val="none"/>
        </w:rPr>
      </w:pPr>
      <w:r>
        <w:rPr>
          <w:rFonts w:hAnsi="Times New Roman" w:eastAsia="宋体" w:cs="Times New Roman"/>
          <w:b/>
          <w:color w:val="auto"/>
          <w:highlight w:val="none"/>
        </w:rPr>
        <w:t>第二部分  磋商响应供应商须知</w:t>
      </w:r>
      <w:bookmarkEnd w:id="27"/>
    </w:p>
    <w:p w14:paraId="133319C8">
      <w:pPr>
        <w:pStyle w:val="3"/>
        <w:numPr>
          <w:ilvl w:val="0"/>
          <w:numId w:val="0"/>
        </w:numPr>
        <w:shd w:val="clear"/>
        <w:jc w:val="center"/>
        <w:rPr>
          <w:rFonts w:ascii="宋体" w:hAnsi="宋体" w:eastAsia="宋体" w:cs="宋体"/>
          <w:color w:val="auto"/>
          <w:sz w:val="32"/>
          <w:highlight w:val="none"/>
        </w:rPr>
      </w:pPr>
      <w:bookmarkStart w:id="28" w:name="_Toc7545"/>
      <w:bookmarkStart w:id="29" w:name="_Toc233618971"/>
      <w:bookmarkStart w:id="30" w:name="_Toc6056"/>
      <w:bookmarkStart w:id="31" w:name="_Toc16017"/>
      <w:bookmarkStart w:id="32" w:name="_Toc14832"/>
      <w:bookmarkStart w:id="33" w:name="_Toc27801"/>
      <w:bookmarkStart w:id="34" w:name="_Toc6494376"/>
      <w:r>
        <w:rPr>
          <w:rFonts w:ascii="宋体" w:hAnsi="宋体" w:eastAsia="宋体" w:cs="宋体"/>
          <w:color w:val="auto"/>
          <w:sz w:val="32"/>
          <w:highlight w:val="none"/>
        </w:rPr>
        <w:t>前 附 表</w:t>
      </w:r>
      <w:bookmarkEnd w:id="28"/>
      <w:bookmarkEnd w:id="29"/>
      <w:bookmarkEnd w:id="30"/>
      <w:bookmarkEnd w:id="31"/>
      <w:bookmarkEnd w:id="32"/>
      <w:bookmarkEnd w:id="33"/>
      <w:bookmarkEnd w:id="34"/>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16"/>
        <w:gridCol w:w="7324"/>
      </w:tblGrid>
      <w:tr w14:paraId="135B6F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3" w:hRule="atLeast"/>
          <w:tblHeader/>
          <w:jc w:val="center"/>
        </w:trPr>
        <w:tc>
          <w:tcPr>
            <w:tcW w:w="802" w:type="dxa"/>
            <w:noWrap w:val="0"/>
            <w:vAlign w:val="center"/>
          </w:tcPr>
          <w:p w14:paraId="161C254F">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b/>
                <w:color w:val="auto"/>
                <w:sz w:val="24"/>
                <w:szCs w:val="24"/>
                <w:highlight w:val="none"/>
              </w:rPr>
            </w:pPr>
            <w:r>
              <w:rPr>
                <w:rFonts w:ascii="宋体" w:hAnsi="宋体" w:cs="宋体"/>
                <w:b/>
                <w:color w:val="auto"/>
                <w:sz w:val="24"/>
                <w:szCs w:val="24"/>
                <w:highlight w:val="none"/>
              </w:rPr>
              <w:t>序号</w:t>
            </w:r>
          </w:p>
        </w:tc>
        <w:tc>
          <w:tcPr>
            <w:tcW w:w="1116" w:type="dxa"/>
            <w:noWrap w:val="0"/>
            <w:vAlign w:val="center"/>
          </w:tcPr>
          <w:p w14:paraId="5F22DCEB">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b/>
                <w:color w:val="auto"/>
                <w:sz w:val="24"/>
                <w:szCs w:val="24"/>
                <w:highlight w:val="none"/>
              </w:rPr>
            </w:pPr>
            <w:r>
              <w:rPr>
                <w:rFonts w:ascii="宋体" w:hAnsi="宋体" w:cs="宋体"/>
                <w:b/>
                <w:color w:val="auto"/>
                <w:sz w:val="24"/>
                <w:szCs w:val="24"/>
                <w:highlight w:val="none"/>
              </w:rPr>
              <w:t>名称</w:t>
            </w:r>
          </w:p>
        </w:tc>
        <w:tc>
          <w:tcPr>
            <w:tcW w:w="7324" w:type="dxa"/>
            <w:noWrap w:val="0"/>
            <w:vAlign w:val="center"/>
          </w:tcPr>
          <w:p w14:paraId="7F4A1981">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b/>
                <w:color w:val="auto"/>
                <w:sz w:val="24"/>
                <w:szCs w:val="24"/>
                <w:highlight w:val="none"/>
              </w:rPr>
            </w:pPr>
            <w:r>
              <w:rPr>
                <w:rFonts w:ascii="宋体" w:hAnsi="宋体" w:cs="宋体"/>
                <w:b/>
                <w:color w:val="auto"/>
                <w:sz w:val="24"/>
                <w:szCs w:val="24"/>
                <w:highlight w:val="none"/>
              </w:rPr>
              <w:t>内容</w:t>
            </w:r>
          </w:p>
        </w:tc>
      </w:tr>
      <w:tr w14:paraId="7D885F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11131DD9">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1</w:t>
            </w:r>
          </w:p>
        </w:tc>
        <w:tc>
          <w:tcPr>
            <w:tcW w:w="1116" w:type="dxa"/>
            <w:noWrap w:val="0"/>
            <w:vAlign w:val="center"/>
          </w:tcPr>
          <w:p w14:paraId="6AC39DCE">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是否允许分包</w:t>
            </w:r>
          </w:p>
        </w:tc>
        <w:tc>
          <w:tcPr>
            <w:tcW w:w="7324" w:type="dxa"/>
            <w:noWrap w:val="0"/>
            <w:vAlign w:val="center"/>
          </w:tcPr>
          <w:p w14:paraId="4FB1EDB6">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pacing w:val="-2"/>
                <w:kern w:val="0"/>
                <w:position w:val="-3"/>
                <w:sz w:val="22"/>
                <w:szCs w:val="22"/>
                <w:highlight w:val="none"/>
                <w:lang w:val="zh-CN"/>
              </w:rPr>
              <w:t>成交人可以将合同项下非主体、非关键性工作分包给他人完成。</w:t>
            </w:r>
            <w:r>
              <w:rPr>
                <w:rFonts w:hint="eastAsia" w:ascii="宋体" w:hAnsi="宋体" w:cs="宋体"/>
                <w:color w:val="auto"/>
                <w:spacing w:val="-2"/>
                <w:kern w:val="0"/>
                <w:position w:val="-3"/>
                <w:sz w:val="22"/>
                <w:szCs w:val="22"/>
                <w:highlight w:val="none"/>
                <w:lang w:val="en-US" w:eastAsia="zh-CN"/>
              </w:rPr>
              <w:t>分包须经过采购人的同意，</w:t>
            </w:r>
            <w:r>
              <w:rPr>
                <w:rFonts w:ascii="宋体" w:hAnsi="宋体" w:cs="宋体"/>
                <w:color w:val="auto"/>
                <w:spacing w:val="-2"/>
                <w:kern w:val="0"/>
                <w:position w:val="-3"/>
                <w:sz w:val="22"/>
                <w:szCs w:val="22"/>
                <w:highlight w:val="none"/>
                <w:lang w:val="zh-CN"/>
              </w:rPr>
              <w:t>接受分包的人应当具备相应的资格条件，并不得再次分包。分包后不能解除成交人履行本项目合同的责任和义务，接受分包的人与成交人共同对采购人连带承担项目合同的责任和义务。</w:t>
            </w:r>
          </w:p>
        </w:tc>
      </w:tr>
      <w:tr w14:paraId="39CC14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802" w:type="dxa"/>
            <w:noWrap w:val="0"/>
            <w:vAlign w:val="center"/>
          </w:tcPr>
          <w:p w14:paraId="5E31CF46">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2</w:t>
            </w:r>
          </w:p>
        </w:tc>
        <w:tc>
          <w:tcPr>
            <w:tcW w:w="1116" w:type="dxa"/>
            <w:noWrap w:val="0"/>
            <w:vAlign w:val="center"/>
          </w:tcPr>
          <w:p w14:paraId="4A8D36C8">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t>踏勘现场</w:t>
            </w:r>
          </w:p>
        </w:tc>
        <w:tc>
          <w:tcPr>
            <w:tcW w:w="7324" w:type="dxa"/>
            <w:noWrap w:val="0"/>
            <w:vAlign w:val="center"/>
          </w:tcPr>
          <w:p w14:paraId="282D6019">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sym w:font="Wingdings" w:char="F0FE"/>
            </w:r>
            <w:r>
              <w:rPr>
                <w:rFonts w:ascii="宋体" w:hAnsi="宋体" w:cs="宋体"/>
                <w:color w:val="auto"/>
                <w:spacing w:val="-2"/>
                <w:kern w:val="0"/>
                <w:position w:val="-3"/>
                <w:sz w:val="22"/>
                <w:szCs w:val="22"/>
                <w:highlight w:val="none"/>
              </w:rPr>
              <w:t>不组织  供应商如有需要可自行前往踏勘，联系方式见磋商公告。</w:t>
            </w:r>
          </w:p>
          <w:p w14:paraId="30CD8FD4">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t xml:space="preserve">□统一组织踏勘时间：踏勘集中地点： </w:t>
            </w:r>
          </w:p>
        </w:tc>
      </w:tr>
      <w:tr w14:paraId="61A3FD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2" w:type="dxa"/>
            <w:noWrap w:val="0"/>
            <w:vAlign w:val="center"/>
          </w:tcPr>
          <w:p w14:paraId="54D46A61">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3</w:t>
            </w:r>
          </w:p>
        </w:tc>
        <w:tc>
          <w:tcPr>
            <w:tcW w:w="1116" w:type="dxa"/>
            <w:noWrap w:val="0"/>
            <w:vAlign w:val="center"/>
          </w:tcPr>
          <w:p w14:paraId="01D06C53">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t>磋商预备会（答疑会）</w:t>
            </w:r>
          </w:p>
        </w:tc>
        <w:tc>
          <w:tcPr>
            <w:tcW w:w="7324" w:type="dxa"/>
            <w:noWrap w:val="0"/>
            <w:vAlign w:val="center"/>
          </w:tcPr>
          <w:p w14:paraId="1973BEEF">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sym w:font="Wingdings" w:char="F0FE"/>
            </w:r>
            <w:r>
              <w:rPr>
                <w:rFonts w:ascii="宋体" w:hAnsi="宋体" w:cs="宋体"/>
                <w:color w:val="auto"/>
                <w:spacing w:val="-2"/>
                <w:kern w:val="0"/>
                <w:position w:val="-3"/>
                <w:sz w:val="22"/>
                <w:szCs w:val="22"/>
                <w:highlight w:val="none"/>
              </w:rPr>
              <w:t>不召开</w:t>
            </w:r>
          </w:p>
          <w:p w14:paraId="1EE24215">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t>□召开</w:t>
            </w:r>
          </w:p>
          <w:p w14:paraId="28F7F8A0">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pacing w:val="-2"/>
                <w:kern w:val="0"/>
                <w:position w:val="-3"/>
                <w:sz w:val="22"/>
                <w:szCs w:val="22"/>
                <w:highlight w:val="none"/>
              </w:rPr>
            </w:pPr>
            <w:r>
              <w:rPr>
                <w:rFonts w:ascii="宋体" w:hAnsi="宋体" w:cs="宋体"/>
                <w:color w:val="auto"/>
                <w:spacing w:val="-2"/>
                <w:kern w:val="0"/>
                <w:position w:val="-3"/>
                <w:sz w:val="22"/>
                <w:szCs w:val="22"/>
                <w:highlight w:val="none"/>
              </w:rPr>
              <w:t>召开时间：召开地点：</w:t>
            </w:r>
          </w:p>
        </w:tc>
      </w:tr>
      <w:tr w14:paraId="3A73F97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093" w:hRule="atLeast"/>
          <w:tblHeader/>
          <w:jc w:val="center"/>
        </w:trPr>
        <w:tc>
          <w:tcPr>
            <w:tcW w:w="802" w:type="dxa"/>
            <w:noWrap w:val="0"/>
            <w:vAlign w:val="center"/>
          </w:tcPr>
          <w:p w14:paraId="10187CAE">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4</w:t>
            </w:r>
          </w:p>
        </w:tc>
        <w:tc>
          <w:tcPr>
            <w:tcW w:w="1116" w:type="dxa"/>
            <w:noWrap w:val="0"/>
            <w:vAlign w:val="center"/>
          </w:tcPr>
          <w:p w14:paraId="5D0D0CF3">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kern w:val="0"/>
                <w:position w:val="-3"/>
                <w:sz w:val="22"/>
                <w:szCs w:val="22"/>
                <w:highlight w:val="none"/>
              </w:rPr>
              <w:t>是否</w:t>
            </w:r>
            <w:r>
              <w:rPr>
                <w:rFonts w:ascii="宋体" w:hAnsi="宋体" w:cs="宋体"/>
                <w:color w:val="auto"/>
                <w:spacing w:val="-2"/>
                <w:kern w:val="0"/>
                <w:position w:val="-3"/>
                <w:sz w:val="22"/>
                <w:szCs w:val="22"/>
                <w:highlight w:val="none"/>
              </w:rPr>
              <w:t>接</w:t>
            </w:r>
            <w:r>
              <w:rPr>
                <w:rFonts w:ascii="宋体" w:hAnsi="宋体" w:cs="宋体"/>
                <w:color w:val="auto"/>
                <w:kern w:val="0"/>
                <w:position w:val="-3"/>
                <w:sz w:val="22"/>
                <w:szCs w:val="22"/>
                <w:highlight w:val="none"/>
              </w:rPr>
              <w:t>受</w:t>
            </w:r>
            <w:r>
              <w:rPr>
                <w:rFonts w:ascii="宋体" w:hAnsi="宋体" w:cs="宋体"/>
                <w:color w:val="auto"/>
                <w:spacing w:val="-2"/>
                <w:kern w:val="0"/>
                <w:position w:val="-3"/>
                <w:sz w:val="22"/>
                <w:szCs w:val="22"/>
                <w:highlight w:val="none"/>
              </w:rPr>
              <w:t>联</w:t>
            </w:r>
            <w:r>
              <w:rPr>
                <w:rFonts w:ascii="宋体" w:hAnsi="宋体" w:cs="宋体"/>
                <w:color w:val="auto"/>
                <w:kern w:val="0"/>
                <w:position w:val="-3"/>
                <w:sz w:val="22"/>
                <w:szCs w:val="22"/>
                <w:highlight w:val="none"/>
              </w:rPr>
              <w:t>合</w:t>
            </w:r>
            <w:r>
              <w:rPr>
                <w:rFonts w:ascii="宋体" w:hAnsi="宋体" w:cs="宋体"/>
                <w:color w:val="auto"/>
                <w:spacing w:val="-2"/>
                <w:kern w:val="0"/>
                <w:position w:val="-3"/>
                <w:sz w:val="22"/>
                <w:szCs w:val="22"/>
                <w:highlight w:val="none"/>
              </w:rPr>
              <w:t>体</w:t>
            </w:r>
            <w:r>
              <w:rPr>
                <w:rFonts w:ascii="宋体" w:hAnsi="宋体" w:cs="宋体"/>
                <w:color w:val="auto"/>
                <w:kern w:val="0"/>
                <w:position w:val="-3"/>
                <w:sz w:val="22"/>
                <w:szCs w:val="22"/>
                <w:highlight w:val="none"/>
              </w:rPr>
              <w:t>磋商</w:t>
            </w:r>
          </w:p>
        </w:tc>
        <w:tc>
          <w:tcPr>
            <w:tcW w:w="7324" w:type="dxa"/>
            <w:noWrap w:val="0"/>
            <w:vAlign w:val="center"/>
          </w:tcPr>
          <w:p w14:paraId="533B6B6D">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sz w:val="22"/>
                <w:szCs w:val="22"/>
                <w:highlight w:val="none"/>
              </w:rPr>
            </w:pPr>
            <w:r>
              <w:rPr>
                <w:rFonts w:hint="eastAsia" w:ascii="宋体" w:hAnsi="宋体" w:cs="宋体"/>
                <w:color w:val="auto"/>
                <w:spacing w:val="-2"/>
                <w:kern w:val="0"/>
                <w:position w:val="-3"/>
                <w:sz w:val="22"/>
                <w:szCs w:val="22"/>
                <w:highlight w:val="none"/>
                <w:lang w:eastAsia="zh-CN"/>
              </w:rPr>
              <w:t>☑</w:t>
            </w:r>
            <w:r>
              <w:rPr>
                <w:rFonts w:ascii="宋体" w:hAnsi="宋体" w:cs="宋体"/>
                <w:color w:val="auto"/>
                <w:sz w:val="22"/>
                <w:szCs w:val="22"/>
                <w:highlight w:val="none"/>
                <w:lang w:val="zh-CN"/>
              </w:rPr>
              <w:t>否。</w:t>
            </w:r>
          </w:p>
          <w:p w14:paraId="3A5A01C1">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hint="eastAsia" w:ascii="宋体" w:hAnsi="宋体" w:cs="宋体"/>
                <w:color w:val="auto"/>
                <w:spacing w:val="-2"/>
                <w:kern w:val="0"/>
                <w:position w:val="-3"/>
                <w:sz w:val="22"/>
                <w:szCs w:val="22"/>
                <w:highlight w:val="none"/>
                <w:lang w:eastAsia="zh-CN"/>
              </w:rPr>
              <w:t>□</w:t>
            </w:r>
            <w:r>
              <w:rPr>
                <w:rFonts w:ascii="宋体" w:hAnsi="宋体" w:cs="宋体"/>
                <w:color w:val="auto"/>
                <w:sz w:val="22"/>
                <w:szCs w:val="22"/>
                <w:highlight w:val="none"/>
              </w:rPr>
              <w:t>是。1、联合体各方必须授权联合体主办方代表所有联合体成员单位负责磋商响应和合同实施工作。</w:t>
            </w:r>
          </w:p>
          <w:p w14:paraId="55377E71">
            <w:pPr>
              <w:keepNext w:val="0"/>
              <w:keepLines w:val="0"/>
              <w:pageBreakBefore w:val="0"/>
              <w:widowControl w:val="0"/>
              <w:numPr>
                <w:ilvl w:val="0"/>
                <w:numId w:val="2"/>
              </w:numPr>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联合体投标的，应按磋商文件要求提交联合体各成员的有关证件和资料。除非另有规定，本磋商文件中的“供应商”一词包括联合体各成员。</w:t>
            </w:r>
          </w:p>
        </w:tc>
      </w:tr>
      <w:tr w14:paraId="180A11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0643D555">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5</w:t>
            </w:r>
          </w:p>
        </w:tc>
        <w:tc>
          <w:tcPr>
            <w:tcW w:w="1116" w:type="dxa"/>
            <w:noWrap w:val="0"/>
            <w:vAlign w:val="center"/>
          </w:tcPr>
          <w:p w14:paraId="22DE7AB4">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kern w:val="0"/>
                <w:position w:val="-5"/>
                <w:sz w:val="22"/>
                <w:szCs w:val="22"/>
                <w:highlight w:val="none"/>
              </w:rPr>
              <w:t>投标文件</w:t>
            </w:r>
            <w:r>
              <w:rPr>
                <w:rFonts w:ascii="宋体" w:hAnsi="宋体" w:cs="宋体"/>
                <w:color w:val="auto"/>
                <w:spacing w:val="-2"/>
                <w:kern w:val="0"/>
                <w:position w:val="-5"/>
                <w:sz w:val="22"/>
                <w:szCs w:val="22"/>
                <w:highlight w:val="none"/>
              </w:rPr>
              <w:t>份</w:t>
            </w:r>
            <w:r>
              <w:rPr>
                <w:rFonts w:ascii="宋体" w:hAnsi="宋体" w:cs="宋体"/>
                <w:color w:val="auto"/>
                <w:kern w:val="0"/>
                <w:position w:val="-5"/>
                <w:sz w:val="22"/>
                <w:szCs w:val="22"/>
                <w:highlight w:val="none"/>
              </w:rPr>
              <w:t>数</w:t>
            </w:r>
          </w:p>
        </w:tc>
        <w:tc>
          <w:tcPr>
            <w:tcW w:w="7324" w:type="dxa"/>
            <w:noWrap w:val="0"/>
            <w:vAlign w:val="center"/>
          </w:tcPr>
          <w:p w14:paraId="7F2E5A44">
            <w:pPr>
              <w:keepNext w:val="0"/>
              <w:keepLines w:val="0"/>
              <w:pageBreakBefore w:val="0"/>
              <w:widowControl w:val="0"/>
              <w:numPr>
                <w:ilvl w:val="0"/>
                <w:numId w:val="3"/>
              </w:numPr>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lang w:bidi="ar"/>
              </w:rPr>
              <w:t>“电子加密投标文件”：在线上传递交、一份。</w:t>
            </w:r>
          </w:p>
          <w:p w14:paraId="7E995A5E">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lang w:bidi="ar"/>
              </w:rPr>
              <w:t>（2）“备份投标文件”</w:t>
            </w:r>
            <w:r>
              <w:rPr>
                <w:rFonts w:hint="eastAsia" w:ascii="宋体" w:hAnsi="宋体" w:cs="宋体"/>
                <w:color w:val="auto"/>
                <w:sz w:val="22"/>
                <w:szCs w:val="22"/>
                <w:highlight w:val="none"/>
                <w:lang w:eastAsia="zh-CN" w:bidi="ar"/>
              </w:rPr>
              <w:t>（</w:t>
            </w:r>
            <w:r>
              <w:rPr>
                <w:rFonts w:ascii="宋体" w:hAnsi="宋体" w:cs="宋体"/>
                <w:color w:val="auto"/>
                <w:sz w:val="22"/>
                <w:szCs w:val="22"/>
                <w:highlight w:val="none"/>
                <w:lang w:bidi="ar"/>
              </w:rPr>
              <w:t>若要递交）：密封包装后（EMS或顺丰邮寄形式）磋商响应截止时间前递交一份，邮寄地址：</w:t>
            </w:r>
            <w:r>
              <w:rPr>
                <w:rFonts w:hint="eastAsia" w:ascii="宋体" w:hAnsi="宋体" w:cs="宋体"/>
                <w:color w:val="auto"/>
                <w:sz w:val="22"/>
                <w:szCs w:val="22"/>
                <w:highlight w:val="none"/>
                <w:lang w:eastAsia="zh-CN"/>
              </w:rPr>
              <w:t>浙江中正工程项目管理有限公司衢州分公司（衢州市九华北大道509号合屹大厦2号楼2单元9楼）</w:t>
            </w:r>
            <w:r>
              <w:rPr>
                <w:rFonts w:ascii="宋体" w:hAnsi="宋体" w:cs="宋体"/>
                <w:color w:val="auto"/>
                <w:sz w:val="22"/>
                <w:szCs w:val="22"/>
                <w:highlight w:val="none"/>
                <w:lang w:bidi="ar"/>
              </w:rPr>
              <w:t>。</w:t>
            </w:r>
          </w:p>
        </w:tc>
      </w:tr>
      <w:tr w14:paraId="68B324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7D9C8332">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6</w:t>
            </w:r>
          </w:p>
        </w:tc>
        <w:tc>
          <w:tcPr>
            <w:tcW w:w="1116" w:type="dxa"/>
            <w:noWrap w:val="0"/>
            <w:vAlign w:val="center"/>
          </w:tcPr>
          <w:p w14:paraId="78150729">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sz w:val="22"/>
                <w:szCs w:val="22"/>
                <w:highlight w:val="none"/>
              </w:rPr>
            </w:pPr>
            <w:r>
              <w:rPr>
                <w:rFonts w:ascii="宋体" w:hAnsi="宋体" w:cs="宋体"/>
                <w:color w:val="auto"/>
                <w:kern w:val="0"/>
                <w:position w:val="-5"/>
                <w:sz w:val="22"/>
                <w:szCs w:val="22"/>
                <w:highlight w:val="none"/>
              </w:rPr>
              <w:t>投标文件的组成和编制</w:t>
            </w:r>
          </w:p>
        </w:tc>
        <w:tc>
          <w:tcPr>
            <w:tcW w:w="7324" w:type="dxa"/>
            <w:noWrap w:val="0"/>
            <w:vAlign w:val="center"/>
          </w:tcPr>
          <w:p w14:paraId="0BF124F4">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sz w:val="22"/>
                <w:szCs w:val="22"/>
                <w:highlight w:val="none"/>
                <w:lang w:bidi="ar"/>
              </w:rPr>
            </w:pPr>
            <w:r>
              <w:rPr>
                <w:rFonts w:ascii="宋体" w:hAnsi="宋体" w:cs="宋体"/>
                <w:color w:val="auto"/>
                <w:sz w:val="22"/>
                <w:szCs w:val="22"/>
                <w:highlight w:val="none"/>
                <w:lang w:bidi="ar"/>
              </w:rPr>
              <w:t>完整的《投标文件》由“资格文件”、“商务技术文件”和“报价文件”三个部分组成。</w:t>
            </w:r>
          </w:p>
          <w:p w14:paraId="33BD5EEB">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sz w:val="22"/>
                <w:szCs w:val="22"/>
                <w:highlight w:val="none"/>
              </w:rPr>
            </w:pPr>
            <w:r>
              <w:rPr>
                <w:rFonts w:ascii="宋体" w:hAnsi="宋体" w:cs="宋体"/>
                <w:color w:val="auto"/>
                <w:sz w:val="22"/>
                <w:szCs w:val="22"/>
                <w:highlight w:val="none"/>
                <w:lang w:bidi="ar"/>
              </w:rPr>
              <w:t>供应商应先安装“政采云电子交易客户端”，并按照本采购文件和“政府采购云平台”的要求，通过“政采云电子交易客户端”编制并加密投标文件。</w:t>
            </w:r>
          </w:p>
        </w:tc>
      </w:tr>
      <w:tr w14:paraId="2FADF3D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5D6A674C">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7</w:t>
            </w:r>
          </w:p>
        </w:tc>
        <w:tc>
          <w:tcPr>
            <w:tcW w:w="1116" w:type="dxa"/>
            <w:noWrap w:val="0"/>
            <w:vAlign w:val="center"/>
          </w:tcPr>
          <w:p w14:paraId="5D165358">
            <w:pPr>
              <w:keepNext w:val="0"/>
              <w:keepLines w:val="0"/>
              <w:pageBreakBefore w:val="0"/>
              <w:widowControl w:val="0"/>
              <w:shd w:val="clear"/>
              <w:kinsoku/>
              <w:wordWrap/>
              <w:overflowPunct/>
              <w:topLinePunct w:val="0"/>
              <w:autoSpaceDE w:val="0"/>
              <w:autoSpaceDN w:val="0"/>
              <w:bidi w:val="0"/>
              <w:adjustRightInd w:val="0"/>
              <w:spacing w:line="400" w:lineRule="exact"/>
              <w:ind w:right="-20"/>
              <w:jc w:val="left"/>
              <w:textAlignment w:val="auto"/>
              <w:rPr>
                <w:rFonts w:ascii="宋体" w:hAnsi="宋体" w:cs="宋体"/>
                <w:color w:val="auto"/>
                <w:kern w:val="0"/>
                <w:position w:val="-3"/>
                <w:sz w:val="22"/>
                <w:szCs w:val="22"/>
                <w:highlight w:val="none"/>
              </w:rPr>
            </w:pPr>
            <w:r>
              <w:rPr>
                <w:rFonts w:ascii="宋体" w:hAnsi="宋体" w:cs="宋体"/>
                <w:color w:val="auto"/>
                <w:sz w:val="22"/>
                <w:szCs w:val="22"/>
                <w:highlight w:val="none"/>
                <w:lang w:bidi="ar"/>
              </w:rPr>
              <w:t>签章</w:t>
            </w:r>
          </w:p>
        </w:tc>
        <w:tc>
          <w:tcPr>
            <w:tcW w:w="7324" w:type="dxa"/>
            <w:noWrap w:val="0"/>
            <w:vAlign w:val="center"/>
          </w:tcPr>
          <w:p w14:paraId="7C512CCD">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position w:val="-2"/>
                <w:sz w:val="22"/>
                <w:szCs w:val="22"/>
                <w:highlight w:val="none"/>
              </w:rPr>
            </w:pPr>
            <w:r>
              <w:rPr>
                <w:rFonts w:ascii="宋体" w:hAnsi="宋体" w:cs="宋体"/>
                <w:color w:val="auto"/>
                <w:sz w:val="22"/>
                <w:szCs w:val="22"/>
                <w:highlight w:val="none"/>
                <w:lang w:bidi="ar"/>
              </w:rPr>
              <w:t>电子签章</w:t>
            </w:r>
          </w:p>
        </w:tc>
      </w:tr>
      <w:tr w14:paraId="061CBE0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390BBC72">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8</w:t>
            </w:r>
          </w:p>
        </w:tc>
        <w:tc>
          <w:tcPr>
            <w:tcW w:w="1116" w:type="dxa"/>
            <w:noWrap w:val="0"/>
            <w:vAlign w:val="center"/>
          </w:tcPr>
          <w:p w14:paraId="241CE381">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sz w:val="22"/>
                <w:szCs w:val="22"/>
                <w:highlight w:val="none"/>
              </w:rPr>
            </w:pPr>
            <w:r>
              <w:rPr>
                <w:rFonts w:ascii="宋体" w:hAnsi="宋体" w:cs="宋体"/>
                <w:color w:val="auto"/>
                <w:kern w:val="0"/>
                <w:position w:val="-5"/>
                <w:sz w:val="22"/>
                <w:szCs w:val="22"/>
                <w:highlight w:val="none"/>
              </w:rPr>
              <w:t>投标文件有效期</w:t>
            </w:r>
          </w:p>
        </w:tc>
        <w:tc>
          <w:tcPr>
            <w:tcW w:w="7324" w:type="dxa"/>
            <w:noWrap w:val="0"/>
            <w:vAlign w:val="center"/>
          </w:tcPr>
          <w:p w14:paraId="71F29AB9">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sz w:val="22"/>
                <w:szCs w:val="22"/>
                <w:highlight w:val="none"/>
              </w:rPr>
            </w:pPr>
            <w:r>
              <w:rPr>
                <w:rFonts w:ascii="宋体" w:hAnsi="宋体" w:cs="宋体"/>
                <w:color w:val="auto"/>
                <w:kern w:val="0"/>
                <w:position w:val="-2"/>
                <w:sz w:val="22"/>
                <w:szCs w:val="22"/>
                <w:highlight w:val="none"/>
              </w:rPr>
              <w:t>自磋商截</w:t>
            </w:r>
            <w:r>
              <w:rPr>
                <w:rFonts w:ascii="宋体" w:hAnsi="宋体" w:cs="宋体"/>
                <w:color w:val="auto"/>
                <w:spacing w:val="-2"/>
                <w:kern w:val="0"/>
                <w:position w:val="-2"/>
                <w:sz w:val="22"/>
                <w:szCs w:val="22"/>
                <w:highlight w:val="none"/>
              </w:rPr>
              <w:t>止</w:t>
            </w:r>
            <w:r>
              <w:rPr>
                <w:rFonts w:ascii="宋体" w:hAnsi="宋体" w:cs="宋体"/>
                <w:color w:val="auto"/>
                <w:kern w:val="0"/>
                <w:position w:val="-2"/>
                <w:sz w:val="22"/>
                <w:szCs w:val="22"/>
                <w:highlight w:val="none"/>
              </w:rPr>
              <w:t>时</w:t>
            </w:r>
            <w:r>
              <w:rPr>
                <w:rFonts w:ascii="宋体" w:hAnsi="宋体" w:cs="宋体"/>
                <w:color w:val="auto"/>
                <w:spacing w:val="-2"/>
                <w:kern w:val="0"/>
                <w:position w:val="-2"/>
                <w:sz w:val="22"/>
                <w:szCs w:val="22"/>
                <w:highlight w:val="none"/>
              </w:rPr>
              <w:t>间</w:t>
            </w:r>
            <w:r>
              <w:rPr>
                <w:rFonts w:ascii="宋体" w:hAnsi="宋体" w:cs="宋体"/>
                <w:color w:val="auto"/>
                <w:kern w:val="0"/>
                <w:position w:val="-2"/>
                <w:sz w:val="22"/>
                <w:szCs w:val="22"/>
                <w:highlight w:val="none"/>
              </w:rPr>
              <w:t>起不少于</w:t>
            </w:r>
            <w:r>
              <w:rPr>
                <w:rFonts w:ascii="宋体" w:hAnsi="宋体" w:cs="宋体"/>
                <w:color w:val="auto"/>
                <w:spacing w:val="-2"/>
                <w:kern w:val="0"/>
                <w:position w:val="-2"/>
                <w:sz w:val="22"/>
                <w:szCs w:val="22"/>
                <w:highlight w:val="none"/>
              </w:rPr>
              <w:t>90天。</w:t>
            </w:r>
          </w:p>
        </w:tc>
      </w:tr>
      <w:tr w14:paraId="32D3B40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621B3043">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9</w:t>
            </w:r>
          </w:p>
        </w:tc>
        <w:tc>
          <w:tcPr>
            <w:tcW w:w="1116" w:type="dxa"/>
            <w:noWrap w:val="0"/>
            <w:vAlign w:val="center"/>
          </w:tcPr>
          <w:p w14:paraId="3E549736">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kern w:val="0"/>
                <w:sz w:val="22"/>
                <w:szCs w:val="22"/>
                <w:highlight w:val="none"/>
              </w:rPr>
            </w:pPr>
            <w:r>
              <w:rPr>
                <w:rFonts w:ascii="宋体" w:hAnsi="宋体" w:cs="宋体"/>
                <w:color w:val="auto"/>
                <w:kern w:val="0"/>
                <w:position w:val="-3"/>
                <w:sz w:val="22"/>
                <w:szCs w:val="22"/>
                <w:highlight w:val="none"/>
              </w:rPr>
              <w:t>投标文件的形式</w:t>
            </w:r>
          </w:p>
        </w:tc>
        <w:tc>
          <w:tcPr>
            <w:tcW w:w="7324" w:type="dxa"/>
            <w:noWrap w:val="0"/>
            <w:vAlign w:val="center"/>
          </w:tcPr>
          <w:p w14:paraId="15384B67">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lang w:bidi="ar"/>
              </w:rPr>
            </w:pPr>
            <w:r>
              <w:rPr>
                <w:rFonts w:ascii="宋体" w:hAnsi="宋体" w:cs="宋体"/>
                <w:color w:val="auto"/>
                <w:sz w:val="22"/>
                <w:szCs w:val="22"/>
                <w:highlight w:val="none"/>
                <w:lang w:bidi="ar"/>
              </w:rPr>
              <w:t>☑电子投标文件（包括“电子加密投标文件”和“备份投标文件”，在投标文件编制完成后同时生成）；</w:t>
            </w:r>
          </w:p>
          <w:p w14:paraId="47B7FC69">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lang w:bidi="ar"/>
              </w:rPr>
            </w:pPr>
            <w:r>
              <w:rPr>
                <w:rFonts w:ascii="宋体" w:hAnsi="宋体" w:cs="宋体"/>
                <w:color w:val="auto"/>
                <w:sz w:val="22"/>
                <w:szCs w:val="22"/>
                <w:highlight w:val="none"/>
                <w:lang w:bidi="ar"/>
              </w:rPr>
              <w:t>（1）“电子加密投标文件”是指通过“政采云电子交易客户端”完成投标文件编制后生成并加密的数据电文形式的投标文件。</w:t>
            </w:r>
          </w:p>
          <w:p w14:paraId="735B02F0">
            <w:pPr>
              <w:keepNext w:val="0"/>
              <w:keepLines w:val="0"/>
              <w:pageBreakBefore w:val="0"/>
              <w:widowControl w:val="0"/>
              <w:shd w:val="clear"/>
              <w:kinsoku/>
              <w:wordWrap/>
              <w:overflowPunct/>
              <w:topLinePunct w:val="0"/>
              <w:autoSpaceDE w:val="0"/>
              <w:autoSpaceDN w:val="0"/>
              <w:bidi w:val="0"/>
              <w:adjustRightInd w:val="0"/>
              <w:spacing w:line="400" w:lineRule="exact"/>
              <w:ind w:right="-20"/>
              <w:textAlignment w:val="auto"/>
              <w:rPr>
                <w:rFonts w:ascii="宋体" w:hAnsi="宋体" w:cs="宋体"/>
                <w:color w:val="auto"/>
                <w:sz w:val="22"/>
                <w:szCs w:val="22"/>
                <w:highlight w:val="none"/>
              </w:rPr>
            </w:pPr>
            <w:r>
              <w:rPr>
                <w:rFonts w:ascii="宋体" w:hAnsi="宋体" w:cs="宋体"/>
                <w:color w:val="auto"/>
                <w:sz w:val="22"/>
                <w:szCs w:val="22"/>
                <w:highlight w:val="none"/>
                <w:lang w:bidi="ar"/>
              </w:rPr>
              <w:t>（2）“备份投标文件”是指与“电子加密投标文件”同时生成的数据电文形式的电子文件（备份标书），其他方式编制的备份投标文件视为无效备份投标文件。</w:t>
            </w:r>
          </w:p>
        </w:tc>
      </w:tr>
      <w:tr w14:paraId="6998D9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54F852B2">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10</w:t>
            </w:r>
          </w:p>
        </w:tc>
        <w:tc>
          <w:tcPr>
            <w:tcW w:w="1116" w:type="dxa"/>
            <w:noWrap w:val="0"/>
            <w:vAlign w:val="center"/>
          </w:tcPr>
          <w:p w14:paraId="3DC6431B">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磋商代理服务费</w:t>
            </w:r>
          </w:p>
        </w:tc>
        <w:tc>
          <w:tcPr>
            <w:tcW w:w="7324" w:type="dxa"/>
            <w:noWrap w:val="0"/>
            <w:vAlign w:val="center"/>
          </w:tcPr>
          <w:p w14:paraId="5AE75576">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right="-20"/>
              <w:textAlignment w:val="auto"/>
              <w:rPr>
                <w:rFonts w:ascii="宋体" w:hAnsi="宋体" w:cs="宋体"/>
                <w:color w:val="auto"/>
                <w:sz w:val="22"/>
                <w:szCs w:val="22"/>
                <w:highlight w:val="none"/>
              </w:rPr>
            </w:pPr>
            <w:r>
              <w:rPr>
                <w:rFonts w:hint="eastAsia" w:ascii="宋体" w:hAnsi="宋体" w:cs="宋体"/>
                <w:b/>
                <w:bCs/>
                <w:color w:val="auto"/>
                <w:sz w:val="22"/>
                <w:szCs w:val="22"/>
                <w:highlight w:val="none"/>
              </w:rPr>
              <w:t>本项目的</w:t>
            </w:r>
            <w:r>
              <w:rPr>
                <w:rFonts w:hint="eastAsia" w:ascii="宋体" w:hAnsi="宋体" w:cs="宋体"/>
                <w:b/>
                <w:bCs/>
                <w:color w:val="auto"/>
                <w:sz w:val="22"/>
                <w:szCs w:val="22"/>
                <w:highlight w:val="none"/>
                <w:lang w:val="en-US" w:eastAsia="zh-CN"/>
              </w:rPr>
              <w:t>采购</w:t>
            </w:r>
            <w:r>
              <w:rPr>
                <w:rFonts w:hint="eastAsia" w:ascii="宋体" w:hAnsi="宋体" w:cs="宋体"/>
                <w:b/>
                <w:bCs/>
                <w:color w:val="auto"/>
                <w:sz w:val="22"/>
                <w:szCs w:val="22"/>
                <w:highlight w:val="none"/>
              </w:rPr>
              <w:t>代理服务费</w:t>
            </w:r>
            <w:r>
              <w:rPr>
                <w:rFonts w:hint="eastAsia" w:ascii="宋体" w:hAnsi="宋体" w:cs="宋体"/>
                <w:b/>
                <w:bCs/>
                <w:color w:val="auto"/>
                <w:sz w:val="22"/>
                <w:szCs w:val="22"/>
                <w:highlight w:val="none"/>
                <w:lang w:val="en-US" w:eastAsia="zh-CN"/>
              </w:rPr>
              <w:t>16000元</w:t>
            </w:r>
            <w:r>
              <w:rPr>
                <w:rFonts w:hint="eastAsia" w:ascii="宋体" w:hAnsi="宋体" w:cs="宋体"/>
                <w:b/>
                <w:bCs/>
                <w:color w:val="auto"/>
                <w:sz w:val="22"/>
                <w:szCs w:val="22"/>
                <w:highlight w:val="none"/>
              </w:rPr>
              <w:t>由</w:t>
            </w:r>
            <w:r>
              <w:rPr>
                <w:rFonts w:hint="eastAsia" w:ascii="宋体" w:hAnsi="宋体" w:cs="宋体"/>
                <w:b/>
                <w:bCs/>
                <w:color w:val="auto"/>
                <w:sz w:val="22"/>
                <w:szCs w:val="22"/>
                <w:highlight w:val="none"/>
                <w:lang w:val="en-US" w:eastAsia="zh-CN"/>
              </w:rPr>
              <w:t>成交单位在领取成交通知书时</w:t>
            </w:r>
            <w:r>
              <w:rPr>
                <w:rFonts w:hint="eastAsia" w:ascii="宋体" w:hAnsi="宋体" w:cs="宋体"/>
                <w:b/>
                <w:bCs/>
                <w:color w:val="auto"/>
                <w:sz w:val="22"/>
                <w:szCs w:val="22"/>
                <w:highlight w:val="none"/>
              </w:rPr>
              <w:t>支付</w:t>
            </w:r>
            <w:r>
              <w:rPr>
                <w:rFonts w:hint="eastAsia" w:ascii="宋体" w:hAnsi="宋体" w:cs="宋体"/>
                <w:b/>
                <w:bCs/>
                <w:color w:val="auto"/>
                <w:sz w:val="22"/>
                <w:szCs w:val="22"/>
                <w:highlight w:val="none"/>
                <w:lang w:val="en-US" w:eastAsia="zh-CN"/>
              </w:rPr>
              <w:t>给代理机构</w:t>
            </w:r>
            <w:r>
              <w:rPr>
                <w:rFonts w:hint="eastAsia" w:ascii="宋体" w:hAnsi="宋体" w:cs="宋体"/>
                <w:b/>
                <w:bCs/>
                <w:color w:val="auto"/>
                <w:sz w:val="22"/>
                <w:szCs w:val="22"/>
                <w:highlight w:val="none"/>
              </w:rPr>
              <w:t>。</w:t>
            </w:r>
          </w:p>
        </w:tc>
      </w:tr>
      <w:tr w14:paraId="49798B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restart"/>
            <w:noWrap w:val="0"/>
            <w:vAlign w:val="center"/>
          </w:tcPr>
          <w:p w14:paraId="788D3E43">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r>
              <w:rPr>
                <w:rFonts w:ascii="宋体" w:hAnsi="宋体" w:cs="宋体"/>
                <w:color w:val="auto"/>
                <w:sz w:val="22"/>
                <w:szCs w:val="22"/>
                <w:highlight w:val="none"/>
              </w:rPr>
              <w:t>11</w:t>
            </w:r>
          </w:p>
        </w:tc>
        <w:tc>
          <w:tcPr>
            <w:tcW w:w="1116" w:type="dxa"/>
            <w:vMerge w:val="restart"/>
            <w:noWrap w:val="0"/>
            <w:vAlign w:val="center"/>
          </w:tcPr>
          <w:p w14:paraId="2A1C9564">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其他注意事项</w:t>
            </w:r>
          </w:p>
        </w:tc>
        <w:tc>
          <w:tcPr>
            <w:tcW w:w="7324" w:type="dxa"/>
            <w:noWrap w:val="0"/>
            <w:vAlign w:val="center"/>
          </w:tcPr>
          <w:p w14:paraId="70F2AACB">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磋商文件中部分加“▲”的条款，属于磋商文件的实质性要求和条件，着重提醒各磋商响应供应商注意，并认真查看磋商文件中的每一个条款及要求，因误读磋商文件而造成的后果，采购人概不负责。</w:t>
            </w:r>
          </w:p>
        </w:tc>
      </w:tr>
      <w:tr w14:paraId="4CB0869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continue"/>
            <w:noWrap w:val="0"/>
            <w:vAlign w:val="center"/>
          </w:tcPr>
          <w:p w14:paraId="422F51CA">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4049D05D">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p>
        </w:tc>
        <w:tc>
          <w:tcPr>
            <w:tcW w:w="7324" w:type="dxa"/>
            <w:noWrap w:val="0"/>
            <w:vAlign w:val="center"/>
          </w:tcPr>
          <w:p w14:paraId="14C87E0D">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本项目磋商过程中经采购人代表同意，可能实质性变动采购需求中的技术、服务要求以及合同草案条款。</w:t>
            </w:r>
          </w:p>
        </w:tc>
      </w:tr>
      <w:tr w14:paraId="2697C6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continue"/>
            <w:noWrap w:val="0"/>
            <w:vAlign w:val="center"/>
          </w:tcPr>
          <w:p w14:paraId="255DC0AC">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4B3255BA">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p>
        </w:tc>
        <w:tc>
          <w:tcPr>
            <w:tcW w:w="7324" w:type="dxa"/>
            <w:noWrap w:val="0"/>
            <w:vAlign w:val="center"/>
          </w:tcPr>
          <w:p w14:paraId="216D00F3">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以上内容如有变化将另行通知，如通知其中某一项内容发生变化，其余未提及的内容将不作变动。</w:t>
            </w:r>
          </w:p>
        </w:tc>
      </w:tr>
      <w:tr w14:paraId="1ECC8B7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continue"/>
            <w:noWrap w:val="0"/>
            <w:vAlign w:val="center"/>
          </w:tcPr>
          <w:p w14:paraId="5EA1B128">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6A1C2813">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p>
        </w:tc>
        <w:tc>
          <w:tcPr>
            <w:tcW w:w="7324" w:type="dxa"/>
            <w:noWrap w:val="0"/>
            <w:vAlign w:val="center"/>
          </w:tcPr>
          <w:p w14:paraId="0E15D8AB">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根据《关于在政府采购活动中查询及使用信用记录</w:t>
            </w:r>
            <w:r>
              <w:rPr>
                <w:rFonts w:hint="eastAsia" w:ascii="宋体" w:hAnsi="宋体" w:cs="宋体"/>
                <w:color w:val="auto"/>
                <w:sz w:val="22"/>
                <w:szCs w:val="22"/>
                <w:highlight w:val="none"/>
                <w:lang w:eastAsia="zh-CN"/>
              </w:rPr>
              <w:t>有关</w:t>
            </w:r>
            <w:r>
              <w:rPr>
                <w:rFonts w:ascii="宋体" w:hAnsi="宋体" w:cs="宋体"/>
                <w:color w:val="auto"/>
                <w:sz w:val="22"/>
                <w:szCs w:val="22"/>
                <w:highlight w:val="none"/>
              </w:rPr>
              <w:t>问题的通知》财库</w:t>
            </w:r>
            <w:r>
              <w:rPr>
                <w:rFonts w:hint="eastAsia" w:ascii="宋体" w:hAnsi="宋体" w:cs="宋体"/>
                <w:color w:val="auto"/>
                <w:sz w:val="22"/>
                <w:szCs w:val="22"/>
                <w:highlight w:val="none"/>
                <w:lang w:eastAsia="zh-CN"/>
              </w:rPr>
              <w:t>〔2016〕125号</w:t>
            </w:r>
            <w:r>
              <w:rPr>
                <w:rFonts w:ascii="宋体" w:hAnsi="宋体" w:cs="宋体"/>
                <w:color w:val="auto"/>
                <w:sz w:val="22"/>
                <w:szCs w:val="22"/>
                <w:highlight w:val="none"/>
              </w:rPr>
              <w:t>的规定：</w:t>
            </w:r>
          </w:p>
          <w:p w14:paraId="54950210">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（1）采购人或采购代理机构将对本项目供应商的信用进行查询。</w:t>
            </w:r>
          </w:p>
          <w:p w14:paraId="24FD1126">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（2）查询渠道为信用中国网站（www.creditchina.gov.cn）、中国政府采购网（</w:t>
            </w:r>
            <w:r>
              <w:rPr>
                <w:rFonts w:ascii="宋体" w:hAnsi="宋体" w:cs="宋体"/>
                <w:color w:val="auto"/>
                <w:sz w:val="22"/>
                <w:szCs w:val="22"/>
                <w:highlight w:val="none"/>
              </w:rPr>
              <w:fldChar w:fldCharType="begin"/>
            </w:r>
            <w:r>
              <w:rPr>
                <w:rFonts w:ascii="宋体" w:hAnsi="宋体" w:cs="宋体"/>
                <w:color w:val="auto"/>
                <w:sz w:val="22"/>
                <w:szCs w:val="22"/>
                <w:highlight w:val="none"/>
              </w:rPr>
              <w:instrText xml:space="preserve"> HYPERLINK "http://www.ccgp.gov.cn/" </w:instrText>
            </w:r>
            <w:r>
              <w:rPr>
                <w:rFonts w:ascii="宋体" w:hAnsi="宋体" w:cs="宋体"/>
                <w:color w:val="auto"/>
                <w:sz w:val="22"/>
                <w:szCs w:val="22"/>
                <w:highlight w:val="none"/>
              </w:rPr>
              <w:fldChar w:fldCharType="separate"/>
            </w:r>
            <w:r>
              <w:rPr>
                <w:rFonts w:ascii="宋体" w:hAnsi="宋体" w:cs="宋体"/>
                <w:color w:val="auto"/>
                <w:sz w:val="22"/>
                <w:szCs w:val="22"/>
                <w:highlight w:val="none"/>
              </w:rPr>
              <w:t>www.ccgp.gov.cn</w:t>
            </w:r>
            <w:r>
              <w:rPr>
                <w:rFonts w:ascii="宋体" w:hAnsi="宋体" w:cs="宋体"/>
                <w:color w:val="auto"/>
                <w:sz w:val="22"/>
                <w:szCs w:val="22"/>
                <w:highlight w:val="none"/>
              </w:rPr>
              <w:fldChar w:fldCharType="end"/>
            </w:r>
            <w:r>
              <w:rPr>
                <w:rFonts w:ascii="宋体" w:hAnsi="宋体" w:cs="宋体"/>
                <w:color w:val="auto"/>
                <w:sz w:val="22"/>
                <w:szCs w:val="22"/>
                <w:highlight w:val="none"/>
              </w:rPr>
              <w:t>）。</w:t>
            </w:r>
          </w:p>
          <w:p w14:paraId="18CD6C76">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（3）被列入失信被执行人名单、重大税收违法案件当事人名单、政府采购严重违法失信行为记录等供应商信用信息均将用于本项目。</w:t>
            </w:r>
          </w:p>
          <w:p w14:paraId="731C8463">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（4）信用信息查询记录和证据以网页截图等方式留存。</w:t>
            </w:r>
          </w:p>
          <w:p w14:paraId="64060716">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（5）磋商截止日当日网站显示的信用信息将作为评审和确定成交人的依据。</w:t>
            </w:r>
          </w:p>
          <w:p w14:paraId="183E6EE9">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（6）联合体成员存在不良信用记录的，视同联合体存在不良信用记录。</w:t>
            </w:r>
          </w:p>
        </w:tc>
      </w:tr>
      <w:tr w14:paraId="728CE3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continue"/>
            <w:noWrap w:val="0"/>
            <w:vAlign w:val="center"/>
          </w:tcPr>
          <w:p w14:paraId="2DD36FD5">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5B1BC6E2">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p>
        </w:tc>
        <w:tc>
          <w:tcPr>
            <w:tcW w:w="7324" w:type="dxa"/>
            <w:noWrap w:val="0"/>
            <w:vAlign w:val="center"/>
          </w:tcPr>
          <w:p w14:paraId="6CC8E232">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融资政策，企业质押融资：取得政府采购合同的供应商，均可通过浙江政府采购网（https://zfcg.czt.zj.gov.cn/）首页的“浙江政采贷”模块进入申请贷款或通过政府采购云平台（</w:t>
            </w:r>
            <w:r>
              <w:rPr>
                <w:rFonts w:ascii="宋体" w:hAnsi="宋体" w:cs="宋体"/>
                <w:color w:val="auto"/>
                <w:sz w:val="22"/>
                <w:szCs w:val="22"/>
                <w:highlight w:val="none"/>
              </w:rPr>
              <w:fldChar w:fldCharType="begin"/>
            </w:r>
            <w:r>
              <w:rPr>
                <w:rFonts w:ascii="宋体" w:hAnsi="宋体" w:cs="宋体"/>
                <w:color w:val="auto"/>
                <w:sz w:val="22"/>
                <w:szCs w:val="22"/>
                <w:highlight w:val="none"/>
              </w:rPr>
              <w:instrText xml:space="preserve"> HYPERLINK "https://www.zcygov.cn/%EF%BC%89%E9%A6%96%E9%A1%B5%E7%9A%84%E2%80%9C%E9%87%91%E8%9E%8D%E6%9C%8D%E5%8A%A1%E2%80%9D%E6%A8%A1%E5%9D%97%E8%BF%9B%E5%85%A5%E7%94%B3%E8%AF%B7" \t "_blank" </w:instrText>
            </w:r>
            <w:r>
              <w:rPr>
                <w:rFonts w:ascii="宋体" w:hAnsi="宋体" w:cs="宋体"/>
                <w:color w:val="auto"/>
                <w:sz w:val="22"/>
                <w:szCs w:val="22"/>
                <w:highlight w:val="none"/>
              </w:rPr>
              <w:fldChar w:fldCharType="separate"/>
            </w:r>
            <w:r>
              <w:rPr>
                <w:rFonts w:ascii="宋体" w:hAnsi="宋体" w:cs="宋体"/>
                <w:color w:val="auto"/>
                <w:sz w:val="22"/>
                <w:szCs w:val="22"/>
                <w:highlight w:val="none"/>
              </w:rPr>
              <w:t>https://www.zcygov.cn/）首页的“金融服务”模块进入申请</w:t>
            </w:r>
            <w:r>
              <w:rPr>
                <w:rFonts w:ascii="宋体" w:hAnsi="宋体" w:cs="宋体"/>
                <w:color w:val="auto"/>
                <w:sz w:val="22"/>
                <w:szCs w:val="22"/>
                <w:highlight w:val="none"/>
              </w:rPr>
              <w:fldChar w:fldCharType="end"/>
            </w:r>
            <w:r>
              <w:rPr>
                <w:rFonts w:ascii="宋体" w:hAnsi="宋体" w:cs="宋体"/>
                <w:color w:val="auto"/>
                <w:sz w:val="22"/>
                <w:szCs w:val="22"/>
                <w:highlight w:val="none"/>
              </w:rPr>
              <w:t>贷款。也可通过“浙江政务网”登录到“衢融通”平台，发起政府采购质押融资申请。</w:t>
            </w:r>
          </w:p>
        </w:tc>
      </w:tr>
      <w:tr w14:paraId="37F98AA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02" w:type="dxa"/>
            <w:vMerge w:val="continue"/>
            <w:noWrap w:val="0"/>
            <w:vAlign w:val="center"/>
          </w:tcPr>
          <w:p w14:paraId="4B1442DD">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38C99ABB">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p>
        </w:tc>
        <w:tc>
          <w:tcPr>
            <w:tcW w:w="7324" w:type="dxa"/>
            <w:noWrap w:val="0"/>
            <w:vAlign w:val="center"/>
          </w:tcPr>
          <w:p w14:paraId="7BEBE8CE">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本项目需要落实的政府采购政策：</w:t>
            </w:r>
          </w:p>
          <w:p w14:paraId="2066E082">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（1）《财政部发展改革委 生态环境部 市场监管总局关于调整优化节能产品、环境标志产品政府采购执行机制的通知》（财库〔2019〕9号）；</w:t>
            </w:r>
          </w:p>
          <w:p w14:paraId="37EC8CA4">
            <w:pPr>
              <w:keepNext w:val="0"/>
              <w:keepLines w:val="0"/>
              <w:pageBreakBefore w:val="0"/>
              <w:widowControl w:val="0"/>
              <w:shd w:val="clear"/>
              <w:kinsoku/>
              <w:wordWrap/>
              <w:overflowPunct/>
              <w:topLinePunct w:val="0"/>
              <w:bidi w:val="0"/>
              <w:adjustRightInd w:val="0"/>
              <w:snapToGrid w:val="0"/>
              <w:spacing w:line="400" w:lineRule="exact"/>
              <w:textAlignment w:val="auto"/>
              <w:rPr>
                <w:rFonts w:hint="eastAsia" w:ascii="宋体" w:hAnsi="宋体" w:cs="宋体"/>
                <w:color w:val="auto"/>
                <w:sz w:val="22"/>
                <w:szCs w:val="22"/>
                <w:highlight w:val="none"/>
                <w:lang w:eastAsia="zh-CN"/>
              </w:rPr>
            </w:pPr>
            <w:r>
              <w:rPr>
                <w:rFonts w:ascii="宋体" w:hAnsi="宋体" w:cs="宋体"/>
                <w:color w:val="auto"/>
                <w:sz w:val="22"/>
                <w:szCs w:val="22"/>
                <w:highlight w:val="none"/>
              </w:rPr>
              <w:t>（2）《政府采购促进中小企业发展管理办法》（财库〔2020〕46号）</w:t>
            </w:r>
            <w:r>
              <w:rPr>
                <w:rFonts w:hint="eastAsia" w:ascii="宋体" w:hAnsi="宋体" w:cs="宋体"/>
                <w:color w:val="auto"/>
                <w:sz w:val="22"/>
                <w:szCs w:val="22"/>
                <w:highlight w:val="none"/>
                <w:lang w:eastAsia="zh-CN"/>
              </w:rPr>
              <w:t>。</w:t>
            </w:r>
          </w:p>
          <w:p w14:paraId="1CD19AD7">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b/>
                <w:bCs/>
                <w:color w:val="auto"/>
                <w:sz w:val="22"/>
                <w:szCs w:val="22"/>
                <w:highlight w:val="none"/>
              </w:rPr>
            </w:pPr>
            <w:r>
              <w:rPr>
                <w:rFonts w:ascii="宋体" w:hAnsi="宋体" w:cs="宋体"/>
                <w:b/>
                <w:bCs/>
                <w:color w:val="auto"/>
                <w:sz w:val="22"/>
                <w:szCs w:val="22"/>
                <w:highlight w:val="none"/>
              </w:rPr>
              <w:t>本项目所属行业：</w:t>
            </w:r>
            <w:r>
              <w:rPr>
                <w:rFonts w:hint="eastAsia" w:ascii="宋体" w:hAnsi="宋体" w:cs="宋体"/>
                <w:b/>
                <w:bCs/>
                <w:color w:val="auto"/>
                <w:sz w:val="22"/>
                <w:szCs w:val="22"/>
                <w:highlight w:val="none"/>
                <w:u w:val="single"/>
                <w:lang w:eastAsia="zh-CN"/>
              </w:rPr>
              <w:t>其他未列明行业</w:t>
            </w:r>
            <w:r>
              <w:rPr>
                <w:rFonts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划型标准：</w:t>
            </w:r>
            <w:r>
              <w:rPr>
                <w:rFonts w:hint="eastAsia" w:ascii="宋体" w:hAnsi="宋体" w:cs="宋体"/>
                <w:b/>
                <w:bCs/>
                <w:color w:val="auto"/>
                <w:sz w:val="22"/>
                <w:szCs w:val="22"/>
                <w:highlight w:val="none"/>
              </w:rPr>
              <w:t>从业人员300人以下的为中小微型企业。其中，从业人员100人及以上的为中型企业；从业人员10人及以上的为小型企业；从业人员10人以下的为微型企业。</w:t>
            </w:r>
          </w:p>
          <w:p w14:paraId="5EA5454C">
            <w:pPr>
              <w:pStyle w:val="3"/>
              <w:numPr>
                <w:ilvl w:val="0"/>
                <w:numId w:val="0"/>
              </w:numPr>
              <w:shd w:val="clear"/>
              <w:tabs>
                <w:tab w:val="clear" w:pos="1110"/>
              </w:tabs>
              <w:ind w:left="560" w:leftChars="0"/>
              <w:rPr>
                <w:color w:val="auto"/>
                <w:highlight w:val="none"/>
              </w:rPr>
            </w:pPr>
          </w:p>
        </w:tc>
      </w:tr>
      <w:tr w14:paraId="396AA80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continue"/>
            <w:noWrap w:val="0"/>
            <w:vAlign w:val="center"/>
          </w:tcPr>
          <w:p w14:paraId="202488FB">
            <w:pPr>
              <w:keepNext w:val="0"/>
              <w:keepLines w:val="0"/>
              <w:pageBreakBefore w:val="0"/>
              <w:widowControl w:val="0"/>
              <w:shd w:val="clear"/>
              <w:kinsoku/>
              <w:wordWrap/>
              <w:overflowPunct/>
              <w:topLinePunct w:val="0"/>
              <w:bidi w:val="0"/>
              <w:spacing w:line="400" w:lineRule="exact"/>
              <w:jc w:val="center"/>
              <w:textAlignment w:val="auto"/>
              <w:rPr>
                <w:rFonts w:ascii="宋体" w:hAnsi="宋体" w:cs="宋体"/>
                <w:color w:val="auto"/>
                <w:sz w:val="22"/>
                <w:szCs w:val="22"/>
                <w:highlight w:val="none"/>
              </w:rPr>
            </w:pPr>
          </w:p>
        </w:tc>
        <w:tc>
          <w:tcPr>
            <w:tcW w:w="1116" w:type="dxa"/>
            <w:vMerge w:val="continue"/>
            <w:noWrap w:val="0"/>
            <w:vAlign w:val="center"/>
          </w:tcPr>
          <w:p w14:paraId="50FDE569">
            <w:pPr>
              <w:keepNext w:val="0"/>
              <w:keepLines w:val="0"/>
              <w:pageBreakBefore w:val="0"/>
              <w:widowControl w:val="0"/>
              <w:shd w:val="clear"/>
              <w:kinsoku/>
              <w:wordWrap/>
              <w:overflowPunct/>
              <w:topLinePunct w:val="0"/>
              <w:bidi w:val="0"/>
              <w:spacing w:line="400" w:lineRule="exact"/>
              <w:textAlignment w:val="auto"/>
              <w:rPr>
                <w:rFonts w:ascii="宋体" w:hAnsi="宋体" w:cs="宋体"/>
                <w:color w:val="auto"/>
                <w:sz w:val="22"/>
                <w:szCs w:val="22"/>
                <w:highlight w:val="none"/>
              </w:rPr>
            </w:pPr>
          </w:p>
        </w:tc>
        <w:tc>
          <w:tcPr>
            <w:tcW w:w="7324" w:type="dxa"/>
            <w:noWrap w:val="0"/>
            <w:vAlign w:val="center"/>
          </w:tcPr>
          <w:p w14:paraId="7802A7D8">
            <w:pPr>
              <w:keepNext w:val="0"/>
              <w:keepLines w:val="0"/>
              <w:pageBreakBefore w:val="0"/>
              <w:widowControl w:val="0"/>
              <w:shd w:val="clear"/>
              <w:kinsoku/>
              <w:wordWrap/>
              <w:overflowPunct/>
              <w:topLinePunct w:val="0"/>
              <w:bidi w:val="0"/>
              <w:adjustRightInd w:val="0"/>
              <w:snapToGrid w:val="0"/>
              <w:spacing w:line="400" w:lineRule="exact"/>
              <w:textAlignment w:val="auto"/>
              <w:rPr>
                <w:rFonts w:ascii="宋体" w:hAnsi="宋体" w:cs="宋体"/>
                <w:color w:val="auto"/>
                <w:sz w:val="22"/>
                <w:szCs w:val="22"/>
                <w:highlight w:val="none"/>
              </w:rPr>
            </w:pPr>
            <w:r>
              <w:rPr>
                <w:rFonts w:ascii="宋体" w:hAnsi="宋体" w:cs="宋体"/>
                <w:color w:val="auto"/>
                <w:sz w:val="22"/>
                <w:szCs w:val="22"/>
                <w:highlight w:val="none"/>
              </w:rPr>
              <w:t>节能环保要求：</w:t>
            </w:r>
          </w:p>
          <w:p w14:paraId="2D446957">
            <w:pPr>
              <w:keepNext w:val="0"/>
              <w:keepLines w:val="0"/>
              <w:pageBreakBefore w:val="0"/>
              <w:widowControl w:val="0"/>
              <w:shd w:val="clear"/>
              <w:kinsoku/>
              <w:wordWrap/>
              <w:overflowPunct/>
              <w:topLinePunct w:val="0"/>
              <w:bidi w:val="0"/>
              <w:adjustRightInd w:val="0"/>
              <w:snapToGrid w:val="0"/>
              <w:spacing w:line="400" w:lineRule="exact"/>
              <w:ind w:firstLine="440" w:firstLineChars="200"/>
              <w:textAlignment w:val="auto"/>
              <w:rPr>
                <w:rFonts w:ascii="宋体" w:hAnsi="宋体" w:cs="宋体"/>
                <w:color w:val="auto"/>
                <w:sz w:val="22"/>
                <w:szCs w:val="22"/>
                <w:highlight w:val="none"/>
              </w:rPr>
            </w:pPr>
            <w:r>
              <w:rPr>
                <w:rFonts w:ascii="宋体" w:hAnsi="宋体" w:cs="宋体"/>
                <w:color w:val="auto"/>
                <w:sz w:val="22"/>
                <w:szCs w:val="22"/>
                <w:highlight w:val="none"/>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33470C2">
            <w:pPr>
              <w:keepNext w:val="0"/>
              <w:keepLines w:val="0"/>
              <w:pageBreakBefore w:val="0"/>
              <w:widowControl w:val="0"/>
              <w:shd w:val="clear"/>
              <w:kinsoku/>
              <w:wordWrap/>
              <w:overflowPunct/>
              <w:topLinePunct w:val="0"/>
              <w:bidi w:val="0"/>
              <w:adjustRightInd w:val="0"/>
              <w:snapToGrid w:val="0"/>
              <w:spacing w:line="400" w:lineRule="exact"/>
              <w:ind w:firstLine="440" w:firstLineChars="200"/>
              <w:textAlignment w:val="auto"/>
              <w:rPr>
                <w:rFonts w:ascii="宋体" w:hAnsi="宋体" w:cs="宋体"/>
                <w:color w:val="auto"/>
                <w:sz w:val="22"/>
                <w:szCs w:val="22"/>
                <w:highlight w:val="none"/>
              </w:rPr>
            </w:pPr>
            <w:r>
              <w:rPr>
                <w:rFonts w:ascii="宋体" w:hAnsi="宋体" w:cs="宋体"/>
                <w:color w:val="auto"/>
                <w:sz w:val="22"/>
                <w:szCs w:val="22"/>
                <w:highlight w:val="none"/>
              </w:rPr>
              <w:t>本次采购对属于节能产品政府采购品目清单规定的政府强制采购产品范围内的产品实施强制采购。供应商应当在响应文件中提供国家确定的认证机构出具的、处于有效期之内的节能产品认证证书（复制件）。不能提供上述证书的，响应文件无效。</w:t>
            </w:r>
          </w:p>
          <w:p w14:paraId="62A045BC">
            <w:pPr>
              <w:keepNext w:val="0"/>
              <w:keepLines w:val="0"/>
              <w:pageBreakBefore w:val="0"/>
              <w:widowControl w:val="0"/>
              <w:shd w:val="clear"/>
              <w:kinsoku/>
              <w:wordWrap/>
              <w:overflowPunct/>
              <w:topLinePunct w:val="0"/>
              <w:bidi w:val="0"/>
              <w:adjustRightInd w:val="0"/>
              <w:snapToGrid w:val="0"/>
              <w:spacing w:line="400" w:lineRule="exact"/>
              <w:ind w:firstLine="440" w:firstLineChars="200"/>
              <w:textAlignment w:val="auto"/>
              <w:rPr>
                <w:rFonts w:ascii="宋体" w:hAnsi="宋体" w:cs="宋体"/>
                <w:color w:val="auto"/>
                <w:sz w:val="22"/>
                <w:szCs w:val="22"/>
                <w:highlight w:val="none"/>
              </w:rPr>
            </w:pPr>
            <w:r>
              <w:rPr>
                <w:rFonts w:ascii="宋体" w:hAnsi="宋体" w:cs="宋体"/>
                <w:color w:val="auto"/>
                <w:sz w:val="22"/>
                <w:szCs w:val="22"/>
                <w:highlight w:val="none"/>
              </w:rPr>
              <w:t>本次采购对属于品目清单范围但不属于政府强制采购产品的，实施优先采购，具体按评审办法。供应商在响应文件中提供国家确定的认证机构出具的、处于有效期之内的节能产品或环境标志产品认证证书（复制件）。</w:t>
            </w:r>
          </w:p>
          <w:p w14:paraId="3122D0FA">
            <w:pPr>
              <w:keepNext w:val="0"/>
              <w:keepLines w:val="0"/>
              <w:pageBreakBefore w:val="0"/>
              <w:widowControl w:val="0"/>
              <w:shd w:val="clear"/>
              <w:kinsoku/>
              <w:wordWrap/>
              <w:overflowPunct/>
              <w:topLinePunct w:val="0"/>
              <w:bidi w:val="0"/>
              <w:adjustRightInd w:val="0"/>
              <w:snapToGrid w:val="0"/>
              <w:spacing w:line="400" w:lineRule="exact"/>
              <w:ind w:firstLine="440" w:firstLineChars="200"/>
              <w:textAlignment w:val="auto"/>
              <w:rPr>
                <w:rFonts w:ascii="宋体" w:hAnsi="宋体" w:cs="宋体"/>
                <w:color w:val="auto"/>
                <w:sz w:val="22"/>
                <w:szCs w:val="22"/>
                <w:highlight w:val="none"/>
              </w:rPr>
            </w:pPr>
            <w:r>
              <w:rPr>
                <w:rFonts w:ascii="宋体" w:hAnsi="宋体" w:cs="宋体"/>
                <w:color w:val="auto"/>
                <w:sz w:val="22"/>
                <w:szCs w:val="22"/>
                <w:highlight w:val="none"/>
              </w:rPr>
              <w:t>节能产品政府采购品目清单，以财政部、国家发展改革委发布的最新一期节能产品政府采购品目清单为准。环境标志产品政府采购品目清单，以财政部、生态环境部发布的最新一期环境标志产品政府采购品目清单为准。国家确定的认证机构以国家市场监管总局发布的参与实施政府采购节能产品、环境标志产品认证机构名录为准。</w:t>
            </w:r>
          </w:p>
        </w:tc>
      </w:tr>
      <w:bookmarkEnd w:id="1"/>
    </w:tbl>
    <w:p w14:paraId="43254BCF">
      <w:pPr>
        <w:shd w:val="clear"/>
        <w:adjustRightInd w:val="0"/>
        <w:snapToGrid w:val="0"/>
        <w:spacing w:line="360" w:lineRule="auto"/>
        <w:jc w:val="center"/>
        <w:outlineLvl w:val="1"/>
        <w:rPr>
          <w:rFonts w:ascii="宋体" w:hAnsi="宋体" w:cs="宋体"/>
          <w:b/>
          <w:color w:val="auto"/>
          <w:sz w:val="32"/>
          <w:highlight w:val="none"/>
        </w:rPr>
      </w:pPr>
      <w:bookmarkStart w:id="35" w:name="_Toc6494377"/>
      <w:bookmarkStart w:id="36" w:name="_Toc233618972"/>
      <w:bookmarkStart w:id="37" w:name="_Toc12823"/>
      <w:bookmarkStart w:id="38" w:name="_Toc226521904"/>
      <w:bookmarkStart w:id="39" w:name="_Toc226106516"/>
      <w:bookmarkStart w:id="40" w:name="_Toc226106467"/>
      <w:bookmarkStart w:id="41" w:name="_Toc225840109"/>
    </w:p>
    <w:p w14:paraId="2936FE5C">
      <w:pPr>
        <w:pStyle w:val="13"/>
        <w:shd w:val="clear"/>
        <w:rPr>
          <w:color w:val="auto"/>
          <w:highlight w:val="none"/>
        </w:rPr>
      </w:pPr>
    </w:p>
    <w:p w14:paraId="6CA61FEE">
      <w:pPr>
        <w:shd w:val="clear"/>
        <w:rPr>
          <w:color w:val="auto"/>
          <w:highlight w:val="none"/>
        </w:rPr>
      </w:pPr>
    </w:p>
    <w:p w14:paraId="74FAC890">
      <w:pPr>
        <w:pStyle w:val="13"/>
        <w:shd w:val="clear"/>
        <w:rPr>
          <w:color w:val="auto"/>
          <w:highlight w:val="none"/>
        </w:rPr>
      </w:pPr>
    </w:p>
    <w:p w14:paraId="2294830E">
      <w:pPr>
        <w:shd w:val="clear"/>
        <w:rPr>
          <w:color w:val="auto"/>
          <w:highlight w:val="none"/>
        </w:rPr>
      </w:pPr>
    </w:p>
    <w:p w14:paraId="00E5BD80">
      <w:pPr>
        <w:pStyle w:val="13"/>
        <w:shd w:val="clear"/>
        <w:rPr>
          <w:color w:val="auto"/>
          <w:highlight w:val="none"/>
        </w:rPr>
      </w:pPr>
    </w:p>
    <w:p w14:paraId="69EB8AB7">
      <w:pPr>
        <w:shd w:val="clear"/>
        <w:rPr>
          <w:color w:val="auto"/>
          <w:highlight w:val="none"/>
        </w:rPr>
      </w:pPr>
    </w:p>
    <w:p w14:paraId="16F317A8">
      <w:pPr>
        <w:pStyle w:val="18"/>
        <w:shd w:val="clear"/>
        <w:rPr>
          <w:color w:val="auto"/>
          <w:highlight w:val="none"/>
        </w:rPr>
      </w:pPr>
    </w:p>
    <w:p w14:paraId="6BECF54D">
      <w:pPr>
        <w:shd w:val="clear"/>
        <w:rPr>
          <w:color w:val="auto"/>
          <w:highlight w:val="none"/>
        </w:rPr>
      </w:pPr>
    </w:p>
    <w:p w14:paraId="6A49B6BE">
      <w:pPr>
        <w:pStyle w:val="2"/>
        <w:shd w:val="clear"/>
        <w:rPr>
          <w:color w:val="auto"/>
          <w:highlight w:val="none"/>
        </w:rPr>
      </w:pPr>
    </w:p>
    <w:p w14:paraId="4BA11EE9">
      <w:pPr>
        <w:shd w:val="clear"/>
        <w:rPr>
          <w:color w:val="auto"/>
          <w:highlight w:val="none"/>
        </w:rPr>
      </w:pPr>
    </w:p>
    <w:p w14:paraId="6C835655">
      <w:pPr>
        <w:pStyle w:val="2"/>
        <w:shd w:val="clear"/>
        <w:rPr>
          <w:color w:val="auto"/>
          <w:highlight w:val="none"/>
        </w:rPr>
      </w:pPr>
    </w:p>
    <w:p w14:paraId="5558CC85"/>
    <w:p w14:paraId="0C552424">
      <w:pPr>
        <w:shd w:val="clear"/>
        <w:rPr>
          <w:color w:val="auto"/>
          <w:highlight w:val="none"/>
        </w:rPr>
      </w:pPr>
    </w:p>
    <w:p w14:paraId="2E47E219">
      <w:pPr>
        <w:shd w:val="clear"/>
        <w:adjustRightInd w:val="0"/>
        <w:snapToGrid w:val="0"/>
        <w:spacing w:line="288" w:lineRule="auto"/>
        <w:jc w:val="center"/>
        <w:outlineLvl w:val="1"/>
        <w:rPr>
          <w:rFonts w:ascii="宋体" w:hAnsi="宋体" w:cs="宋体"/>
          <w:b/>
          <w:color w:val="auto"/>
          <w:sz w:val="32"/>
          <w:highlight w:val="none"/>
        </w:rPr>
      </w:pPr>
      <w:bookmarkStart w:id="42" w:name="_Toc26166"/>
      <w:bookmarkStart w:id="43" w:name="_Toc26835"/>
      <w:bookmarkStart w:id="44" w:name="_Toc19943"/>
      <w:bookmarkStart w:id="45" w:name="_Toc29786"/>
      <w:r>
        <w:rPr>
          <w:rFonts w:ascii="宋体" w:hAnsi="宋体" w:cs="宋体"/>
          <w:b/>
          <w:color w:val="auto"/>
          <w:sz w:val="32"/>
          <w:highlight w:val="none"/>
        </w:rPr>
        <w:t>一、总 则</w:t>
      </w:r>
      <w:bookmarkEnd w:id="35"/>
      <w:bookmarkEnd w:id="36"/>
      <w:bookmarkEnd w:id="37"/>
      <w:bookmarkEnd w:id="42"/>
      <w:bookmarkEnd w:id="43"/>
      <w:bookmarkEnd w:id="44"/>
      <w:bookmarkEnd w:id="45"/>
    </w:p>
    <w:p w14:paraId="42B76D62">
      <w:pPr>
        <w:pStyle w:val="22"/>
        <w:shd w:val="clear"/>
        <w:adjustRightInd w:val="0"/>
        <w:snapToGrid w:val="0"/>
        <w:spacing w:line="288" w:lineRule="auto"/>
        <w:ind w:firstLine="482" w:firstLineChars="200"/>
        <w:rPr>
          <w:rFonts w:hAnsi="宋体" w:cs="宋体"/>
          <w:b/>
          <w:color w:val="auto"/>
          <w:sz w:val="24"/>
          <w:highlight w:val="none"/>
        </w:rPr>
      </w:pPr>
      <w:bookmarkStart w:id="46" w:name="_Hlt74714665"/>
      <w:bookmarkEnd w:id="46"/>
      <w:bookmarkStart w:id="47" w:name="_Hlt74730295"/>
      <w:bookmarkEnd w:id="47"/>
      <w:bookmarkStart w:id="48" w:name="_Hlt74730208"/>
      <w:bookmarkStart w:id="49" w:name="_Hlt74730112"/>
      <w:r>
        <w:rPr>
          <w:rFonts w:hAnsi="宋体" w:cs="宋体"/>
          <w:b/>
          <w:color w:val="auto"/>
          <w:sz w:val="24"/>
          <w:highlight w:val="none"/>
        </w:rPr>
        <w:t>（一）实施依据</w:t>
      </w:r>
    </w:p>
    <w:p w14:paraId="7DB8265E">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本次招标工作按照《中华人民共和国政府采购法</w:t>
      </w:r>
      <w:r>
        <w:rPr>
          <w:rFonts w:hint="eastAsia" w:ascii="宋体" w:hAnsi="宋体" w:cs="宋体"/>
          <w:color w:val="auto"/>
          <w:highlight w:val="none"/>
          <w:lang w:eastAsia="zh-CN"/>
        </w:rPr>
        <w:t>》《</w:t>
      </w:r>
      <w:r>
        <w:rPr>
          <w:rFonts w:ascii="宋体" w:hAnsi="宋体" w:cs="宋体"/>
          <w:color w:val="auto"/>
          <w:highlight w:val="none"/>
        </w:rPr>
        <w:t>政府采购竞争性磋商采购方式管理暂行办法》等政府采购有关法律、法规、规章、文件的规定组织和实施。</w:t>
      </w:r>
    </w:p>
    <w:p w14:paraId="7B750DE9">
      <w:pPr>
        <w:pStyle w:val="22"/>
        <w:shd w:val="clear"/>
        <w:adjustRightInd w:val="0"/>
        <w:snapToGrid w:val="0"/>
        <w:spacing w:line="288" w:lineRule="auto"/>
        <w:ind w:firstLine="482" w:firstLineChars="200"/>
        <w:rPr>
          <w:rFonts w:hAnsi="宋体" w:cs="宋体"/>
          <w:b/>
          <w:color w:val="auto"/>
          <w:sz w:val="24"/>
          <w:highlight w:val="none"/>
        </w:rPr>
      </w:pPr>
      <w:bookmarkStart w:id="50" w:name="_Toc91899873"/>
      <w:r>
        <w:rPr>
          <w:rFonts w:hAnsi="宋体" w:cs="宋体"/>
          <w:b/>
          <w:color w:val="auto"/>
          <w:sz w:val="24"/>
          <w:highlight w:val="none"/>
        </w:rPr>
        <w:t>（二）采购方式</w:t>
      </w:r>
      <w:bookmarkEnd w:id="50"/>
    </w:p>
    <w:bookmarkEnd w:id="48"/>
    <w:bookmarkEnd w:id="49"/>
    <w:p w14:paraId="071C15F9">
      <w:pPr>
        <w:pStyle w:val="23"/>
        <w:shd w:val="clear"/>
        <w:adjustRightInd w:val="0"/>
        <w:snapToGrid w:val="0"/>
        <w:spacing w:before="0" w:line="288" w:lineRule="auto"/>
        <w:ind w:firstLine="480"/>
        <w:rPr>
          <w:rFonts w:ascii="宋体" w:hAnsi="宋体" w:cs="宋体"/>
          <w:color w:val="auto"/>
          <w:szCs w:val="22"/>
          <w:highlight w:val="none"/>
        </w:rPr>
      </w:pPr>
      <w:bookmarkStart w:id="51" w:name="_Toc91899877"/>
      <w:bookmarkStart w:id="52" w:name="_Hlt74730303"/>
      <w:r>
        <w:rPr>
          <w:rFonts w:ascii="宋体" w:hAnsi="宋体" w:cs="宋体"/>
          <w:color w:val="auto"/>
          <w:szCs w:val="22"/>
          <w:highlight w:val="none"/>
        </w:rPr>
        <w:t>竞争性磋商采购是指采购人、采购代理机构通过组建竞争性磋商小组（以下简称磋商小组）与符合条件的供应商就采购货物、工程和服务事宜进行磋商，供应商按照采购文件的要求提交磋商响应文件和报价，采购人从磋商小组评审后提出的候选供应商名单中确定成交供应商的采购方式。</w:t>
      </w:r>
    </w:p>
    <w:p w14:paraId="38327052">
      <w:pPr>
        <w:pStyle w:val="23"/>
        <w:shd w:val="clear"/>
        <w:adjustRightInd w:val="0"/>
        <w:snapToGrid w:val="0"/>
        <w:spacing w:before="0" w:line="288" w:lineRule="auto"/>
        <w:ind w:firstLine="482"/>
        <w:rPr>
          <w:rFonts w:ascii="宋体" w:hAnsi="宋体" w:cs="宋体"/>
          <w:b/>
          <w:color w:val="auto"/>
          <w:kern w:val="0"/>
          <w:highlight w:val="none"/>
          <w:lang w:val="zh-CN"/>
        </w:rPr>
      </w:pPr>
      <w:r>
        <w:rPr>
          <w:rFonts w:ascii="宋体" w:hAnsi="宋体" w:cs="宋体"/>
          <w:b/>
          <w:color w:val="auto"/>
          <w:highlight w:val="none"/>
        </w:rPr>
        <w:t>（三）</w:t>
      </w:r>
      <w:r>
        <w:rPr>
          <w:rFonts w:ascii="宋体" w:hAnsi="宋体" w:cs="宋体"/>
          <w:b/>
          <w:color w:val="auto"/>
          <w:kern w:val="0"/>
          <w:highlight w:val="none"/>
          <w:lang w:val="zh-CN"/>
        </w:rPr>
        <w:t>定义</w:t>
      </w:r>
    </w:p>
    <w:p w14:paraId="354C020F">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电子交易活动：是指以数据电文形式，依托政府采购项目电子交易平台进行的政府采购交易活动。</w:t>
      </w:r>
    </w:p>
    <w:p w14:paraId="02EEF6E2">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采购人：是指依法进行政府采购的国家机关、事业单位、团体组织，见“磋商须知前附表”，本文件中招标人与采购人意思相同；</w:t>
      </w:r>
    </w:p>
    <w:p w14:paraId="1B894E5A">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采购代理机构：受采购人委托，在委托的范围内办理政府采购事宜的机构，见“磋商公告”；</w:t>
      </w:r>
    </w:p>
    <w:p w14:paraId="768AA422">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采购组织机构：指采购人和受采购人委托的采购代理机构；</w:t>
      </w:r>
    </w:p>
    <w:p w14:paraId="7A78A4A0">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供应商：是指参加本政府采购项目磋商、签订合同、实施的单位，按阶段不同，分别理解为潜在供应商、磋商供应商、成交候选供应商、成交供应商、乙方；</w:t>
      </w:r>
    </w:p>
    <w:p w14:paraId="5E3A1992">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竞争性磋商采购文件：指向供应商发出的采购需求文件，本文件中采购文件与竞争性磋商采购文件意思相同；</w:t>
      </w:r>
    </w:p>
    <w:p w14:paraId="242AA675">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磋商响应文件：指供应商针对采购文件作出响应的文件，包括电子磋商响应文件、备份电子磋商响应文件、成交后提供的纸质磋商响应文件，所有磋商响应文件内容应保持一致。本文件中响应文件与磋商响应文件意思相同；</w:t>
      </w:r>
    </w:p>
    <w:p w14:paraId="6A5A7B4D">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磋商代表：是指参加本项目采购活动的供应商法定代表人或法定代表人授权代表；</w:t>
      </w:r>
    </w:p>
    <w:p w14:paraId="397DD8B8">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联合体：是指两个以上单位组成联合体，以一个供应商的身份参加磋商；</w:t>
      </w:r>
    </w:p>
    <w:p w14:paraId="1E47A2EC">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甲方（发包人）：是指合同签订的一方，一般与采购人相同；</w:t>
      </w:r>
    </w:p>
    <w:p w14:paraId="0406AB86">
      <w:pPr>
        <w:shd w:val="clear"/>
        <w:spacing w:line="288"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乙方（承包人）：是指合同签订的另一方，与成交供应商相同</w:t>
      </w:r>
      <w:r>
        <w:rPr>
          <w:rFonts w:hint="eastAsia" w:ascii="宋体" w:hAnsi="宋体" w:cs="宋体"/>
          <w:color w:val="auto"/>
          <w:sz w:val="24"/>
          <w:szCs w:val="24"/>
          <w:highlight w:val="none"/>
          <w:lang w:val="en-US" w:eastAsia="zh-CN"/>
        </w:rPr>
        <w:t>。</w:t>
      </w:r>
    </w:p>
    <w:p w14:paraId="5534EDBD">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关于中小企业参与政府采购活动的规定</w:t>
      </w:r>
    </w:p>
    <w:p w14:paraId="4CB3A8B3">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1）根据《中小企业划型标准规定》（工信部联企业</w:t>
      </w:r>
      <w:r>
        <w:rPr>
          <w:rFonts w:hint="eastAsia" w:ascii="宋体" w:hAnsi="宋体" w:cs="宋体"/>
          <w:color w:val="auto"/>
          <w:sz w:val="24"/>
          <w:szCs w:val="24"/>
          <w:highlight w:val="none"/>
          <w:lang w:eastAsia="zh-CN"/>
        </w:rPr>
        <w:t>〔2011〕300号</w:t>
      </w:r>
      <w:r>
        <w:rPr>
          <w:rFonts w:ascii="宋体" w:hAnsi="宋体" w:cs="宋体"/>
          <w:color w:val="auto"/>
          <w:sz w:val="24"/>
          <w:szCs w:val="24"/>
          <w:highlight w:val="none"/>
        </w:rPr>
        <w:t>）、《政府采购促进中小企业发展管理办法》（财库〔2020〕46号）的有关规定，《政府采购促进中小企业发展管理办法》所称中小企业（含中型、小型、微型企业，下同）应当同时符合以下条件：</w:t>
      </w:r>
    </w:p>
    <w:p w14:paraId="242EA63F">
      <w:pPr>
        <w:shd w:val="clear"/>
        <w:spacing w:line="288"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（1）符合中小企业划分标准</w:t>
      </w:r>
      <w:r>
        <w:rPr>
          <w:rFonts w:hint="eastAsia" w:ascii="宋体" w:hAnsi="宋体" w:cs="宋体"/>
          <w:color w:val="auto"/>
          <w:sz w:val="24"/>
          <w:szCs w:val="24"/>
          <w:highlight w:val="none"/>
          <w:lang w:eastAsia="zh-CN"/>
        </w:rPr>
        <w:t>。</w:t>
      </w:r>
    </w:p>
    <w:p w14:paraId="69E80662">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（2）在货物采购项目中，货物由中小企业制造，即货物由中小企业生产且使用该中小企业商号或者注册商标；</w:t>
      </w:r>
    </w:p>
    <w:p w14:paraId="4C61FF64">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在工程采购项目中，工程由中小企业承建，即工程施工单位为中小企业；</w:t>
      </w:r>
    </w:p>
    <w:p w14:paraId="6791394A">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在服务采购项目中，服务由中小企业承接，即提供服务的人员为中小企业依照《中华人民共和国劳动合同法》订立劳动合同的从业人员。</w:t>
      </w:r>
    </w:p>
    <w:p w14:paraId="1FEA75BA">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在货物采购项目中，供应商提供的货物既有中小企业制造货物，也有大型企业制造货物的，不享受本办法规定的中小企业扶持政策。</w:t>
      </w:r>
    </w:p>
    <w:p w14:paraId="242B6B93">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以联合体形式参加政府采购活动，联合体各方均为中小企业的，联合体视同中小企业。其中，联合体各方均为小微企业的，联合体视同小微企业。</w:t>
      </w:r>
    </w:p>
    <w:p w14:paraId="37E4382A">
      <w:pPr>
        <w:shd w:val="clear"/>
        <w:spacing w:line="288"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本办法所称中小企业划分标准，是指国务院有关部门根据企业从业人员、营业收入、资产总额等指标制定的中小企业划型标准。</w:t>
      </w:r>
    </w:p>
    <w:p w14:paraId="0CC7B12F">
      <w:pPr>
        <w:shd w:val="clear"/>
        <w:spacing w:line="288"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宋体"/>
          <w:color w:val="auto"/>
          <w:sz w:val="24"/>
          <w:szCs w:val="24"/>
          <w:highlight w:val="none"/>
          <w:lang w:eastAsia="zh-CN"/>
        </w:rPr>
        <w:t>。</w:t>
      </w:r>
    </w:p>
    <w:p w14:paraId="27DDD289">
      <w:pPr>
        <w:shd w:val="clear"/>
        <w:spacing w:line="288"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残疾人福利性单位：符合《财政部民政部中国残疾人联合会关于促进残疾人就业政府采购政策的通知》（财库〔2017〕 141 号）的规定单位</w:t>
      </w:r>
      <w:r>
        <w:rPr>
          <w:rFonts w:hint="eastAsia" w:ascii="宋体" w:hAnsi="宋体" w:cs="宋体"/>
          <w:color w:val="auto"/>
          <w:sz w:val="24"/>
          <w:szCs w:val="24"/>
          <w:highlight w:val="none"/>
          <w:lang w:eastAsia="zh-CN"/>
        </w:rPr>
        <w:t>。</w:t>
      </w:r>
    </w:p>
    <w:p w14:paraId="3E05BABB">
      <w:pPr>
        <w:shd w:val="clear"/>
        <w:spacing w:line="288"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监管部门：衢州市财政局</w:t>
      </w:r>
      <w:r>
        <w:rPr>
          <w:rFonts w:hint="eastAsia" w:ascii="宋体" w:hAnsi="宋体" w:cs="宋体"/>
          <w:color w:val="auto"/>
          <w:sz w:val="24"/>
          <w:szCs w:val="24"/>
          <w:highlight w:val="none"/>
          <w:lang w:eastAsia="zh-CN"/>
        </w:rPr>
        <w:t>。</w:t>
      </w:r>
    </w:p>
    <w:p w14:paraId="64D5C2DB">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szCs w:val="24"/>
          <w:highlight w:val="none"/>
        </w:rPr>
        <w:t>服务：本磋商文件所称服务，是指除货物和工程以外的其他政府采购对象，包括各类专业服务、信息网络开发服务、金融保险服务、运输服务，以及维修与维护服务等。</w:t>
      </w:r>
    </w:p>
    <w:p w14:paraId="7292B87E">
      <w:pPr>
        <w:shd w:val="clear"/>
        <w:tabs>
          <w:tab w:val="left" w:pos="0"/>
        </w:tabs>
        <w:autoSpaceDE w:val="0"/>
        <w:autoSpaceDN w:val="0"/>
        <w:adjustRightInd w:val="0"/>
        <w:spacing w:line="288" w:lineRule="auto"/>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书面形式：包括纸质文件、电子邮件、传真、信函、电报等。</w:t>
      </w:r>
    </w:p>
    <w:p w14:paraId="33DB9654">
      <w:pPr>
        <w:shd w:val="clear"/>
        <w:adjustRightInd w:val="0"/>
        <w:snapToGrid w:val="0"/>
        <w:spacing w:line="288"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实质性响应</w:t>
      </w:r>
      <w:r>
        <w:rPr>
          <w:rFonts w:hint="eastAsia" w:ascii="宋体" w:hAnsi="宋体" w:cs="宋体"/>
          <w:color w:val="auto"/>
          <w:sz w:val="24"/>
          <w:highlight w:val="none"/>
          <w:lang w:val="zh-CN"/>
        </w:rPr>
        <w:t>：</w:t>
      </w:r>
      <w:r>
        <w:rPr>
          <w:rFonts w:ascii="宋体" w:hAnsi="宋体" w:cs="宋体"/>
          <w:color w:val="auto"/>
          <w:sz w:val="24"/>
          <w:highlight w:val="none"/>
          <w:lang w:val="zh-CN"/>
        </w:rPr>
        <w:t>系指磋商响应文件符合磋商文件规定的实质性内容、条件和规定。</w:t>
      </w:r>
    </w:p>
    <w:p w14:paraId="56CA1A4D">
      <w:pPr>
        <w:shd w:val="clear"/>
        <w:adjustRightInd w:val="0"/>
        <w:snapToGrid w:val="0"/>
        <w:spacing w:line="288"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重大偏离或保留：系指将会影响到磋商文件规定的服务范围、质量标准，或会给合同中规定的采购人的权利和磋商响应</w:t>
      </w:r>
      <w:r>
        <w:rPr>
          <w:rFonts w:ascii="宋体" w:hAnsi="宋体" w:cs="宋体"/>
          <w:color w:val="auto"/>
          <w:sz w:val="24"/>
          <w:highlight w:val="none"/>
        </w:rPr>
        <w:t>供应商</w:t>
      </w:r>
      <w:r>
        <w:rPr>
          <w:rFonts w:ascii="宋体" w:hAnsi="宋体" w:cs="宋体"/>
          <w:color w:val="auto"/>
          <w:sz w:val="24"/>
          <w:highlight w:val="none"/>
          <w:lang w:val="zh-CN"/>
        </w:rPr>
        <w:t>的责任造成实质性限制，而纠正这些偏离或保留将对其他提交了实质性响应的磋商响应文件的磋商响应</w:t>
      </w:r>
      <w:r>
        <w:rPr>
          <w:rFonts w:ascii="宋体" w:hAnsi="宋体" w:cs="宋体"/>
          <w:color w:val="auto"/>
          <w:sz w:val="24"/>
          <w:highlight w:val="none"/>
        </w:rPr>
        <w:t>供应商</w:t>
      </w:r>
      <w:r>
        <w:rPr>
          <w:rFonts w:ascii="宋体" w:hAnsi="宋体" w:cs="宋体"/>
          <w:color w:val="auto"/>
          <w:sz w:val="24"/>
          <w:highlight w:val="none"/>
          <w:lang w:val="zh-CN"/>
        </w:rPr>
        <w:t>产生不公平影响的。</w:t>
      </w:r>
    </w:p>
    <w:p w14:paraId="7AF2F50F">
      <w:pPr>
        <w:shd w:val="clear"/>
        <w:tabs>
          <w:tab w:val="left" w:pos="0"/>
        </w:tabs>
        <w:autoSpaceDE w:val="0"/>
        <w:autoSpaceDN w:val="0"/>
        <w:adjustRightInd w:val="0"/>
        <w:spacing w:line="288" w:lineRule="auto"/>
        <w:ind w:firstLine="480" w:firstLineChars="200"/>
        <w:rPr>
          <w:rFonts w:ascii="宋体" w:hAnsi="宋体" w:cs="宋体"/>
          <w:color w:val="auto"/>
          <w:kern w:val="0"/>
          <w:sz w:val="24"/>
          <w:highlight w:val="none"/>
        </w:rPr>
      </w:pPr>
      <w:r>
        <w:rPr>
          <w:rFonts w:ascii="宋体" w:hAnsi="宋体" w:cs="宋体"/>
          <w:color w:val="auto"/>
          <w:sz w:val="24"/>
          <w:highlight w:val="none"/>
          <w:lang w:val="zh-CN"/>
        </w:rPr>
        <w:t>细微偏离：系指磋商响应文件对磋商文件的非实质性内容存在不完全响应或不响应。</w:t>
      </w:r>
    </w:p>
    <w:p w14:paraId="04B3A2FB">
      <w:pPr>
        <w:pStyle w:val="22"/>
        <w:shd w:val="clear"/>
        <w:adjustRightInd w:val="0"/>
        <w:snapToGrid w:val="0"/>
        <w:spacing w:line="288" w:lineRule="auto"/>
        <w:rPr>
          <w:rFonts w:hAnsi="宋体" w:cs="宋体"/>
          <w:b/>
          <w:color w:val="auto"/>
          <w:sz w:val="24"/>
          <w:highlight w:val="none"/>
        </w:rPr>
      </w:pPr>
      <w:r>
        <w:rPr>
          <w:rFonts w:hAnsi="宋体" w:cs="宋体"/>
          <w:b/>
          <w:color w:val="auto"/>
          <w:sz w:val="24"/>
          <w:highlight w:val="none"/>
        </w:rPr>
        <w:t>（四）磋商费用</w:t>
      </w:r>
    </w:p>
    <w:p w14:paraId="0B13A800">
      <w:pPr>
        <w:shd w:val="clear"/>
        <w:adjustRightInd w:val="0"/>
        <w:snapToGrid w:val="0"/>
        <w:spacing w:line="288" w:lineRule="auto"/>
        <w:ind w:firstLine="523" w:firstLineChars="218"/>
        <w:rPr>
          <w:rFonts w:ascii="宋体" w:hAnsi="宋体" w:cs="宋体"/>
          <w:color w:val="auto"/>
          <w:kern w:val="0"/>
          <w:position w:val="-5"/>
          <w:sz w:val="24"/>
          <w:szCs w:val="24"/>
          <w:highlight w:val="none"/>
        </w:rPr>
      </w:pPr>
      <w:r>
        <w:rPr>
          <w:rFonts w:ascii="宋体" w:hAnsi="宋体" w:cs="宋体"/>
          <w:color w:val="auto"/>
          <w:sz w:val="24"/>
          <w:highlight w:val="none"/>
          <w:lang w:val="zh-CN"/>
        </w:rPr>
        <w:t>无论磋商过程中的做法和结果如何，磋商响应供应商自行承担磋商活动中</w:t>
      </w:r>
      <w:r>
        <w:rPr>
          <w:rFonts w:ascii="宋体" w:hAnsi="宋体" w:eastAsia="宋体" w:cs="宋体"/>
          <w:color w:val="auto"/>
          <w:sz w:val="24"/>
          <w:highlight w:val="none"/>
          <w:lang w:val="zh-CN"/>
        </w:rPr>
        <w:t>所发生</w:t>
      </w:r>
      <w:r>
        <w:rPr>
          <w:rFonts w:ascii="宋体" w:hAnsi="宋体" w:cs="宋体"/>
          <w:color w:val="auto"/>
          <w:kern w:val="0"/>
          <w:position w:val="-5"/>
          <w:sz w:val="24"/>
          <w:szCs w:val="24"/>
          <w:highlight w:val="none"/>
        </w:rPr>
        <w:t>的全部费用。</w:t>
      </w:r>
    </w:p>
    <w:p w14:paraId="3881041A">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（五）语言文字</w:t>
      </w:r>
    </w:p>
    <w:bookmarkEnd w:id="51"/>
    <w:bookmarkEnd w:id="52"/>
    <w:p w14:paraId="54E94DCC">
      <w:pPr>
        <w:shd w:val="clear"/>
        <w:adjustRightInd w:val="0"/>
        <w:snapToGrid w:val="0"/>
        <w:spacing w:line="288" w:lineRule="auto"/>
        <w:ind w:firstLine="523" w:firstLineChars="218"/>
        <w:rPr>
          <w:rFonts w:ascii="宋体" w:hAnsi="宋体" w:cs="宋体"/>
          <w:color w:val="auto"/>
          <w:sz w:val="24"/>
          <w:highlight w:val="none"/>
        </w:rPr>
      </w:pPr>
      <w:bookmarkStart w:id="53" w:name="_Hlt75236290"/>
      <w:bookmarkEnd w:id="53"/>
      <w:bookmarkStart w:id="54" w:name="_Hlt74729768"/>
      <w:bookmarkEnd w:id="54"/>
      <w:bookmarkStart w:id="55" w:name="_Hlt68057669"/>
      <w:bookmarkEnd w:id="55"/>
      <w:bookmarkStart w:id="56" w:name="_Hlt74707468"/>
      <w:bookmarkEnd w:id="56"/>
      <w:bookmarkStart w:id="57" w:name="_Hlt68072990"/>
      <w:bookmarkEnd w:id="57"/>
      <w:bookmarkStart w:id="58" w:name="_Toc91899879"/>
      <w:r>
        <w:rPr>
          <w:rFonts w:hint="eastAsia" w:ascii="宋体" w:hAnsi="宋体" w:cs="宋体"/>
          <w:color w:val="auto"/>
          <w:sz w:val="24"/>
          <w:highlight w:val="none"/>
          <w:lang w:eastAsia="zh-CN"/>
        </w:rPr>
        <w:t>1.</w:t>
      </w:r>
      <w:r>
        <w:rPr>
          <w:rFonts w:ascii="宋体" w:hAnsi="宋体" w:cs="宋体"/>
          <w:color w:val="auto"/>
          <w:sz w:val="24"/>
          <w:highlight w:val="none"/>
        </w:rPr>
        <w:t>磋商有关的语言使用中文。</w:t>
      </w:r>
    </w:p>
    <w:p w14:paraId="5B69F4D9">
      <w:pPr>
        <w:shd w:val="clear"/>
        <w:adjustRightInd w:val="0"/>
        <w:snapToGrid w:val="0"/>
        <w:spacing w:line="288" w:lineRule="auto"/>
        <w:ind w:firstLine="523" w:firstLineChars="218"/>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外文专用术语需附有中文注释。磋商文件、磋商响应文件及相关往来文件中有外文资料的（如质疑函、进口产品厂商授权书等），资料提供方应当将其翻译为中文，注明翻译人员姓名、工作单位、联系方式等信息，并对译文的完整性、客观性、真实性负责。</w:t>
      </w:r>
    </w:p>
    <w:p w14:paraId="0ADE50EB">
      <w:pPr>
        <w:shd w:val="clear"/>
        <w:adjustRightInd w:val="0"/>
        <w:snapToGrid w:val="0"/>
        <w:spacing w:line="288" w:lineRule="auto"/>
        <w:rPr>
          <w:rFonts w:ascii="宋体" w:hAnsi="宋体" w:cs="宋体"/>
          <w:color w:val="auto"/>
          <w:sz w:val="24"/>
          <w:highlight w:val="none"/>
        </w:rPr>
      </w:pPr>
      <w:r>
        <w:rPr>
          <w:rFonts w:ascii="宋体" w:hAnsi="宋体" w:cs="宋体"/>
          <w:b/>
          <w:color w:val="auto"/>
          <w:sz w:val="24"/>
          <w:highlight w:val="none"/>
        </w:rPr>
        <w:t>（六）计量单位</w:t>
      </w:r>
    </w:p>
    <w:p w14:paraId="7A4B7F6A">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磋商文件有明确规定的，适用磋商文件规定的计量单位；磋商文件没有规定的，应采用中华人民共和国法定计量单位，否则视同未响应。</w:t>
      </w:r>
    </w:p>
    <w:p w14:paraId="24C0EBAC">
      <w:pPr>
        <w:shd w:val="clear"/>
        <w:adjustRightInd w:val="0"/>
        <w:snapToGrid w:val="0"/>
        <w:spacing w:line="288" w:lineRule="auto"/>
        <w:rPr>
          <w:rFonts w:ascii="宋体" w:hAnsi="宋体" w:cs="宋体"/>
          <w:color w:val="auto"/>
          <w:sz w:val="24"/>
          <w:highlight w:val="none"/>
        </w:rPr>
      </w:pPr>
      <w:r>
        <w:rPr>
          <w:rFonts w:ascii="宋体" w:hAnsi="宋体" w:cs="宋体"/>
          <w:b/>
          <w:color w:val="auto"/>
          <w:sz w:val="24"/>
          <w:highlight w:val="none"/>
        </w:rPr>
        <w:t>（七）转包与分包</w:t>
      </w:r>
    </w:p>
    <w:p w14:paraId="6790031B">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本项目不允许转包。若本须知“前附表”规定允许分包的，磋商响应供应商应当在磋商响应文件载明分包的具体情况。</w:t>
      </w:r>
    </w:p>
    <w:p w14:paraId="6AF58DAA">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（八）踏勘现场</w:t>
      </w:r>
    </w:p>
    <w:p w14:paraId="135ECE16">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若本须知“前附表”规定统一组织的，供应商应按规定的时间、地点准时出席，否则将不予单独安排；</w:t>
      </w:r>
    </w:p>
    <w:p w14:paraId="42D0DB21">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ascii="宋体" w:hAnsi="宋体" w:cs="宋体"/>
          <w:color w:val="auto"/>
          <w:sz w:val="24"/>
          <w:szCs w:val="24"/>
          <w:highlight w:val="none"/>
        </w:rPr>
        <w:t>供应商踏勘现场发生的费用自理。</w:t>
      </w:r>
    </w:p>
    <w:p w14:paraId="5E29D28F">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除采购人的原因外，供应商自行负责在踏勘现场中可能发生的人员伤亡和财产损失。</w:t>
      </w:r>
    </w:p>
    <w:p w14:paraId="15772272">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ascii="宋体" w:hAnsi="宋体" w:cs="宋体"/>
          <w:color w:val="auto"/>
          <w:sz w:val="24"/>
          <w:szCs w:val="24"/>
          <w:highlight w:val="none"/>
        </w:rPr>
        <w:t>采购人在踏勘现场中介绍的场地和相关的周边环境情况，供应商在编制磋商响应文件时参考，采购人不对供应商据此作出的判断和决策负责。</w:t>
      </w:r>
    </w:p>
    <w:p w14:paraId="01A7C62C">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（九）磋商预备会（答疑会）</w:t>
      </w:r>
    </w:p>
    <w:p w14:paraId="01E2613B">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若本须知“前附表”规定召开答疑会的，采购人将按规定的时间、地点准时召开答疑会，澄清供应商提出的问题，供应商应按规定准时出席，否则将不予单独安排答疑。</w:t>
      </w:r>
    </w:p>
    <w:p w14:paraId="338F3C40">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ascii="宋体" w:hAnsi="宋体" w:cs="宋体"/>
          <w:color w:val="auto"/>
          <w:sz w:val="24"/>
          <w:szCs w:val="24"/>
          <w:highlight w:val="none"/>
        </w:rPr>
        <w:t>供应商应在答疑会时间的前一天，以书面形式将提出的问题送达采购人，以便采购人在会议期间澄清。</w:t>
      </w:r>
    </w:p>
    <w:p w14:paraId="420D5A49">
      <w:pPr>
        <w:shd w:val="clear"/>
        <w:adjustRightInd w:val="0"/>
        <w:snapToGrid w:val="0"/>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答疑会后，采购人将按规定对供应商所提问题进行书面澄清答复。</w:t>
      </w:r>
    </w:p>
    <w:p w14:paraId="7B87086A">
      <w:pPr>
        <w:shd w:val="clear"/>
        <w:adjustRightInd w:val="0"/>
        <w:snapToGrid w:val="0"/>
        <w:spacing w:line="288" w:lineRule="auto"/>
        <w:rPr>
          <w:rFonts w:ascii="宋体" w:hAnsi="宋体" w:cs="宋体"/>
          <w:color w:val="auto"/>
          <w:sz w:val="24"/>
          <w:highlight w:val="none"/>
        </w:rPr>
      </w:pPr>
      <w:r>
        <w:rPr>
          <w:rFonts w:ascii="宋体" w:hAnsi="宋体" w:cs="宋体"/>
          <w:b/>
          <w:color w:val="auto"/>
          <w:sz w:val="24"/>
          <w:highlight w:val="none"/>
        </w:rPr>
        <w:t>（十）联合体磋商</w:t>
      </w:r>
    </w:p>
    <w:p w14:paraId="29B85A70">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若本须知“前附表”规定接受联合体磋商的，应遵守以下规定：</w:t>
      </w:r>
    </w:p>
    <w:p w14:paraId="14B40064">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以联合体形式参加本项目采购的，联合体的主办单位和成员单位均应当具备采购文件规定的供应商资格要求，并在响应文件中分别提供联合体的主办单位及成员单位的资格条件证明材料，在响应文件中提交联合协议书。</w:t>
      </w:r>
    </w:p>
    <w:p w14:paraId="0890CCD5">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以联合体形式参加采购活动的，应当在响应文件中提交由所有联合体成员各方盖章的联合协议书。联合协议书应载明联合体各方承担的工作和义务；联合协议书应当指定主办单位，授权其代表所有联合体各成员方，具体负责参与项目投标和合同实施阶段的主办、协调工作；联合协议书中应当载明由联合体各成员方共同与采购人签订合同，并就采购合同约定的事项对采购人承担连带责任。</w:t>
      </w:r>
    </w:p>
    <w:p w14:paraId="46A3C8A3">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响应文件的报价表中应列明联合体各成员</w:t>
      </w:r>
      <w:r>
        <w:rPr>
          <w:rFonts w:hint="eastAsia" w:ascii="宋体" w:hAnsi="宋体" w:cs="宋体"/>
          <w:color w:val="auto"/>
          <w:sz w:val="24"/>
          <w:highlight w:val="none"/>
          <w:lang w:eastAsia="zh-CN"/>
        </w:rPr>
        <w:t>方</w:t>
      </w:r>
      <w:r>
        <w:rPr>
          <w:rFonts w:ascii="宋体" w:hAnsi="宋体" w:cs="宋体"/>
          <w:color w:val="auto"/>
          <w:sz w:val="24"/>
          <w:highlight w:val="none"/>
        </w:rPr>
        <w:t>各自承担的内容及对应报价。</w:t>
      </w:r>
    </w:p>
    <w:p w14:paraId="1D015E61">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响应文件盖章事宜，按联合协议书约定由主办单位盖章，也可由联合体所有成员单位盖章。</w:t>
      </w:r>
    </w:p>
    <w:p w14:paraId="609B3957">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响应文件将被作无效处理。</w:t>
      </w:r>
    </w:p>
    <w:p w14:paraId="10C3CFF2">
      <w:pPr>
        <w:shd w:val="clear"/>
        <w:adjustRightInd w:val="0"/>
        <w:snapToGrid w:val="0"/>
        <w:spacing w:line="288" w:lineRule="auto"/>
        <w:ind w:firstLine="523" w:firstLineChars="218"/>
        <w:rPr>
          <w:rFonts w:ascii="CIDFont+F2" w:hAnsi="CIDFont+F2" w:eastAsia="CIDFont+F2"/>
          <w:color w:val="auto"/>
          <w:highlight w:val="none"/>
        </w:rPr>
      </w:pPr>
      <w:r>
        <w:rPr>
          <w:rFonts w:ascii="宋体" w:hAnsi="宋体" w:cs="宋体"/>
          <w:color w:val="auto"/>
          <w:sz w:val="24"/>
          <w:highlight w:val="none"/>
        </w:rPr>
        <w:t>采购文件的响应文件格式中除明确说明外所列供应商为联合协议书指定的主办单位。</w:t>
      </w:r>
    </w:p>
    <w:p w14:paraId="4504468E">
      <w:pPr>
        <w:shd w:val="clear"/>
        <w:adjustRightInd w:val="0"/>
        <w:snapToGrid w:val="0"/>
        <w:spacing w:line="288" w:lineRule="auto"/>
        <w:rPr>
          <w:rFonts w:ascii="宋体" w:hAnsi="宋体" w:cs="宋体"/>
          <w:color w:val="auto"/>
          <w:sz w:val="24"/>
          <w:highlight w:val="none"/>
        </w:rPr>
      </w:pPr>
      <w:r>
        <w:rPr>
          <w:rFonts w:ascii="宋体" w:hAnsi="宋体" w:cs="宋体"/>
          <w:b/>
          <w:color w:val="auto"/>
          <w:sz w:val="24"/>
          <w:highlight w:val="none"/>
        </w:rPr>
        <w:t>（十一）对供应商的限制</w:t>
      </w:r>
    </w:p>
    <w:p w14:paraId="7FFEDDE0">
      <w:pPr>
        <w:shd w:val="clear"/>
        <w:adjustRightInd w:val="0"/>
        <w:snapToGrid w:val="0"/>
        <w:spacing w:line="288" w:lineRule="auto"/>
        <w:ind w:firstLine="523" w:firstLineChars="218"/>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单位负责人（指法定代表人或者法律、行政法规规定代表单位行使职权的主要负责人）为同一人或者存在直接控股、管理关系的不同磋商响应供应商不得分别参加同一合同项下的采购活动。违反本条规定的，相关磋商响应均无效；</w:t>
      </w:r>
    </w:p>
    <w:p w14:paraId="3FED9F43">
      <w:pPr>
        <w:shd w:val="clear"/>
        <w:adjustRightInd w:val="0"/>
        <w:snapToGrid w:val="0"/>
        <w:spacing w:line="288" w:lineRule="auto"/>
        <w:ind w:firstLine="523" w:firstLineChars="218"/>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为本项目提供过整体设计、规范编制或者项目管理、监理、检测等服务的供应商，不得再参加该采购项目的其他采购活动（不包括为该项目提供整体设计、规范编制或者项目管理、监理、检测等服务）；</w:t>
      </w:r>
    </w:p>
    <w:p w14:paraId="591EEE2F">
      <w:pPr>
        <w:shd w:val="clear"/>
        <w:adjustRightInd w:val="0"/>
        <w:snapToGrid w:val="0"/>
        <w:spacing w:line="288" w:lineRule="auto"/>
        <w:ind w:firstLine="523" w:firstLineChars="218"/>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rPr>
        <w:t>以联合体形式参加政府采购活动的，联合体各方不得再单独参加或者与其他供应商另外组成联合体参加同一合同项下的政府采购活动；</w:t>
      </w:r>
    </w:p>
    <w:p w14:paraId="02524669">
      <w:pPr>
        <w:shd w:val="clear"/>
        <w:adjustRightInd w:val="0"/>
        <w:snapToGrid w:val="0"/>
        <w:spacing w:line="288"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ascii="宋体" w:hAnsi="宋体" w:cs="宋体"/>
          <w:color w:val="auto"/>
          <w:sz w:val="24"/>
          <w:szCs w:val="24"/>
          <w:highlight w:val="none"/>
          <w:lang w:val="zh-CN"/>
        </w:rPr>
        <w:t>磋商截止前被</w:t>
      </w:r>
      <w:r>
        <w:rPr>
          <w:rFonts w:ascii="宋体" w:hAnsi="宋体" w:cs="宋体"/>
          <w:color w:val="auto"/>
          <w:sz w:val="24"/>
          <w:szCs w:val="24"/>
          <w:highlight w:val="none"/>
        </w:rPr>
        <w:t>“</w:t>
      </w:r>
      <w:r>
        <w:rPr>
          <w:rFonts w:ascii="宋体" w:hAnsi="宋体" w:cs="宋体"/>
          <w:color w:val="auto"/>
          <w:sz w:val="24"/>
          <w:szCs w:val="24"/>
          <w:highlight w:val="none"/>
          <w:lang w:val="zh-CN"/>
        </w:rPr>
        <w:t>信用中国</w:t>
      </w:r>
      <w:r>
        <w:rPr>
          <w:rFonts w:ascii="宋体" w:hAnsi="宋体" w:cs="宋体"/>
          <w:color w:val="auto"/>
          <w:sz w:val="24"/>
          <w:szCs w:val="24"/>
          <w:highlight w:val="none"/>
        </w:rPr>
        <w:t>”</w:t>
      </w:r>
      <w:r>
        <w:rPr>
          <w:rFonts w:ascii="宋体" w:hAnsi="宋体" w:cs="宋体"/>
          <w:color w:val="auto"/>
          <w:sz w:val="24"/>
          <w:szCs w:val="24"/>
          <w:highlight w:val="none"/>
          <w:lang w:val="zh-CN"/>
        </w:rPr>
        <w:t>网站</w:t>
      </w:r>
      <w:r>
        <w:rPr>
          <w:rFonts w:hint="eastAsia" w:ascii="宋体" w:hAnsi="宋体" w:cs="宋体"/>
          <w:color w:val="auto"/>
          <w:sz w:val="24"/>
          <w:szCs w:val="24"/>
          <w:highlight w:val="none"/>
          <w:lang w:val="zh-CN"/>
        </w:rPr>
        <w:t>（wnww.creditchina.gov.cn)</w:t>
      </w:r>
      <w:r>
        <w:rPr>
          <w:rFonts w:ascii="宋体" w:hAnsi="宋体" w:cs="宋体"/>
          <w:color w:val="auto"/>
          <w:sz w:val="24"/>
          <w:szCs w:val="24"/>
          <w:highlight w:val="none"/>
        </w:rPr>
        <w:t>)</w:t>
      </w:r>
      <w:r>
        <w:rPr>
          <w:rFonts w:ascii="宋体" w:hAnsi="宋体" w:cs="宋体"/>
          <w:color w:val="auto"/>
          <w:sz w:val="24"/>
          <w:szCs w:val="24"/>
          <w:highlight w:val="none"/>
          <w:lang w:val="zh-CN"/>
        </w:rPr>
        <w:t>列入失信被执行人、重大税收违法案件当事人名单或被</w:t>
      </w:r>
      <w:r>
        <w:rPr>
          <w:rFonts w:ascii="宋体" w:hAnsi="宋体" w:cs="宋体"/>
          <w:color w:val="auto"/>
          <w:sz w:val="24"/>
          <w:szCs w:val="24"/>
          <w:highlight w:val="none"/>
        </w:rPr>
        <w:t>“</w:t>
      </w:r>
      <w:r>
        <w:rPr>
          <w:rFonts w:ascii="宋体" w:hAnsi="宋体" w:cs="宋体"/>
          <w:color w:val="auto"/>
          <w:sz w:val="24"/>
          <w:szCs w:val="24"/>
          <w:highlight w:val="none"/>
          <w:lang w:val="zh-CN"/>
        </w:rPr>
        <w:t>中国政府采购网</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wnw.ccgp.gov.cn</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val="zh-CN"/>
        </w:rPr>
        <w:t>列入政府采购严重违法失信行为记录名单等存在不良信用记录的供应商将被拒绝参加本项目采购活动。具体以磋商截止当日招标代理机构在上述两个网站上查询到的信息为准。</w:t>
      </w:r>
    </w:p>
    <w:p w14:paraId="495C9AC4">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8086CA8">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（十二）质疑与投诉</w:t>
      </w:r>
    </w:p>
    <w:p w14:paraId="3EE7D6FF">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供应商认为磋商文件、磋商过程或成交结果使自己的合法权益受到损害的，应当在知道或者应知其权益受到损害之日起七个工作日内，以书面形式向采购人、招标代理机构提出质疑，</w:t>
      </w:r>
      <w:r>
        <w:rPr>
          <w:rFonts w:ascii="宋体" w:hAnsi="宋体" w:cs="宋体"/>
          <w:color w:val="auto"/>
          <w:sz w:val="24"/>
          <w:szCs w:val="21"/>
          <w:highlight w:val="none"/>
        </w:rPr>
        <w:t>逾期提出的，采购人与招标代理机构可以不予受理、答复</w:t>
      </w:r>
      <w:r>
        <w:rPr>
          <w:rFonts w:ascii="宋体" w:hAnsi="宋体" w:cs="宋体"/>
          <w:color w:val="auto"/>
          <w:sz w:val="24"/>
          <w:highlight w:val="none"/>
        </w:rPr>
        <w:t>。“知道或者应知其权益受到损害之日”是指：</w:t>
      </w:r>
    </w:p>
    <w:p w14:paraId="7E0B6343">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（1）对磋商文件提出质疑的，为磋商公告期限届满之日（公告期限为公告发布后3个工作日，不含发布当日）；</w:t>
      </w:r>
    </w:p>
    <w:p w14:paraId="43FFEB6B">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（2）对采购过程提出质疑的，为各磋商程序环节结束之日；</w:t>
      </w:r>
    </w:p>
    <w:p w14:paraId="33926396">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（3）对磋商结果提出质疑的，为成交结果公告期限届满之日（公告期限为公告发布后1个工作日，不含发布当日）。</w:t>
      </w:r>
    </w:p>
    <w:p w14:paraId="7D65A769">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质疑、投诉应当采用书面形式，其中质疑书、投诉书均应当明确阐述磋商文件、磋商过程或者成交结果中使自己合法权益受到损害的实质性内容，并提供相关事实、依据和证据及其来源或线索，便于有关单位调查、答复和处理。</w:t>
      </w:r>
    </w:p>
    <w:p w14:paraId="363B4FFF">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rPr>
        <w:t>质疑（投诉）函应载明质疑（投诉）人全称、地址、邮编、传真、联系人、联系电话，电子邮箱；联系人必须为磋商响应供应商的在职职工，须提供法定代表人授权文件、法定代表人及联系人的身份证复印件、以及磋商响应供应商为该联系人缴纳的社保凭证，联系人为法定代表人的须提供法定代表人资格证明及身份证复印件；质疑（投诉）函</w:t>
      </w:r>
      <w:r>
        <w:rPr>
          <w:rFonts w:hint="eastAsia" w:ascii="宋体" w:hAnsi="宋体" w:eastAsia="宋体" w:cs="宋体"/>
          <w:color w:val="auto"/>
          <w:sz w:val="24"/>
          <w:highlight w:val="none"/>
        </w:rPr>
        <w:t>（一式三份）</w:t>
      </w:r>
      <w:r>
        <w:rPr>
          <w:rFonts w:ascii="宋体" w:hAnsi="宋体" w:cs="宋体"/>
          <w:color w:val="auto"/>
          <w:sz w:val="24"/>
          <w:highlight w:val="none"/>
        </w:rPr>
        <w:t>必须有联系人署名且加盖公章，否则不予受理。</w:t>
      </w:r>
    </w:p>
    <w:p w14:paraId="7AA220A4">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质疑、投诉函以电子邮件或传真形式提交的，还须在提交后以邮寄的方式提交质疑书纸质原件，以实际收到原件之日作为收到质疑之日。</w:t>
      </w:r>
    </w:p>
    <w:p w14:paraId="47BF50C5">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rPr>
        <w:t>未按上述要求提供的质疑（投诉）函，采购组织机构有权不予受理。</w:t>
      </w:r>
    </w:p>
    <w:p w14:paraId="13C624CD">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ascii="宋体" w:hAnsi="宋体" w:cs="宋体"/>
          <w:color w:val="auto"/>
          <w:sz w:val="24"/>
          <w:highlight w:val="none"/>
        </w:rPr>
        <w:t>质疑供应商对采购人、招标代理机构的答复不满意或者采购人、招标代理机构未在规定时间内作出答复的，可以在答复期满后十五个工作日内向同级政府采购监管部门投诉。</w:t>
      </w:r>
    </w:p>
    <w:p w14:paraId="264CD17F">
      <w:pPr>
        <w:shd w:val="clear"/>
        <w:adjustRightInd w:val="0"/>
        <w:snapToGrid w:val="0"/>
        <w:spacing w:line="288" w:lineRule="auto"/>
        <w:rPr>
          <w:rFonts w:ascii="宋体" w:hAnsi="宋体" w:cs="宋体"/>
          <w:color w:val="auto"/>
          <w:sz w:val="24"/>
          <w:highlight w:val="none"/>
        </w:rPr>
      </w:pPr>
      <w:r>
        <w:rPr>
          <w:rFonts w:ascii="宋体" w:hAnsi="宋体" w:cs="宋体"/>
          <w:b/>
          <w:color w:val="auto"/>
          <w:sz w:val="24"/>
          <w:highlight w:val="none"/>
        </w:rPr>
        <w:t>（十三）其他注意事项</w:t>
      </w:r>
    </w:p>
    <w:p w14:paraId="77F75B31">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见本须知“前附表”，同时还需注意以下事项：</w:t>
      </w:r>
    </w:p>
    <w:p w14:paraId="68F21C20">
      <w:pPr>
        <w:keepNext w:val="0"/>
        <w:keepLines w:val="0"/>
        <w:pageBreakBefore w:val="0"/>
        <w:shd w:val="clear"/>
        <w:kinsoku/>
        <w:wordWrap/>
        <w:overflowPunct/>
        <w:topLinePunct w:val="0"/>
        <w:bidi w:val="0"/>
        <w:adjustRightInd w:val="0"/>
        <w:snapToGrid w:val="0"/>
        <w:spacing w:line="400" w:lineRule="exact"/>
        <w:ind w:firstLine="523" w:firstLineChars="21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法定代表人授权代表须为</w:t>
      </w:r>
      <w:r>
        <w:rPr>
          <w:rFonts w:hint="eastAsia" w:ascii="宋体" w:hAnsi="宋体" w:eastAsia="宋体" w:cs="宋体"/>
          <w:color w:val="auto"/>
          <w:sz w:val="24"/>
          <w:highlight w:val="none"/>
          <w:lang w:eastAsia="zh-CN"/>
        </w:rPr>
        <w:t>供应商</w:t>
      </w:r>
      <w:r>
        <w:rPr>
          <w:rFonts w:hint="eastAsia" w:ascii="宋体" w:hAnsi="宋体" w:eastAsia="宋体" w:cs="宋体"/>
          <w:b/>
          <w:color w:val="auto"/>
          <w:sz w:val="24"/>
          <w:highlight w:val="none"/>
        </w:rPr>
        <w:t>在职职工</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须在投标文件中提供附有该授权代表为</w:t>
      </w:r>
      <w:r>
        <w:rPr>
          <w:rFonts w:hint="eastAsia" w:ascii="宋体" w:hAnsi="宋体" w:eastAsia="宋体" w:cs="宋体"/>
          <w:color w:val="auto"/>
          <w:sz w:val="24"/>
          <w:highlight w:val="none"/>
          <w:lang w:eastAsia="zh-CN"/>
        </w:rPr>
        <w:t>供应商</w:t>
      </w:r>
      <w:r>
        <w:rPr>
          <w:rFonts w:hint="eastAsia" w:ascii="宋体" w:hAnsi="宋体" w:eastAsia="宋体" w:cs="宋体"/>
          <w:b/>
          <w:color w:val="auto"/>
          <w:sz w:val="24"/>
          <w:highlight w:val="none"/>
        </w:rPr>
        <w:t>在职员工相关证明文件（如</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为该员工缴纳的社保记录或劳务合同等）</w:t>
      </w:r>
      <w:r>
        <w:rPr>
          <w:rFonts w:hint="eastAsia" w:ascii="宋体" w:hAnsi="宋体" w:eastAsia="宋体" w:cs="宋体"/>
          <w:color w:val="auto"/>
          <w:sz w:val="24"/>
          <w:highlight w:val="none"/>
        </w:rPr>
        <w:t>的《法定代表人授权书》。</w:t>
      </w:r>
    </w:p>
    <w:p w14:paraId="0575744D">
      <w:pPr>
        <w:keepNext w:val="0"/>
        <w:keepLines w:val="0"/>
        <w:pageBreakBefore w:val="0"/>
        <w:shd w:val="clear"/>
        <w:kinsoku/>
        <w:wordWrap/>
        <w:overflowPunct/>
        <w:topLinePunct w:val="0"/>
        <w:bidi w:val="0"/>
        <w:adjustRightInd w:val="0"/>
        <w:snapToGrid w:val="0"/>
        <w:spacing w:line="400" w:lineRule="exact"/>
        <w:ind w:firstLine="523" w:firstLineChars="21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w:t>
      </w:r>
      <w:r>
        <w:rPr>
          <w:rFonts w:hint="eastAsia" w:ascii="宋体" w:hAnsi="宋体" w:eastAsia="宋体" w:cs="宋体"/>
          <w:color w:val="auto"/>
          <w:sz w:val="24"/>
          <w:highlight w:val="none"/>
          <w:lang w:eastAsia="zh-CN"/>
        </w:rPr>
        <w:t>签署的</w:t>
      </w:r>
      <w:r>
        <w:rPr>
          <w:rFonts w:hint="eastAsia" w:ascii="宋体" w:hAnsi="宋体" w:eastAsia="宋体" w:cs="宋体"/>
          <w:color w:val="auto"/>
          <w:sz w:val="24"/>
          <w:highlight w:val="none"/>
        </w:rPr>
        <w:t>文件材料具有同等效力。</w:t>
      </w:r>
    </w:p>
    <w:p w14:paraId="183F3004">
      <w:pPr>
        <w:keepNext w:val="0"/>
        <w:keepLines w:val="0"/>
        <w:pageBreakBefore w:val="0"/>
        <w:shd w:val="clear"/>
        <w:kinsoku/>
        <w:wordWrap/>
        <w:overflowPunct/>
        <w:topLinePunct w:val="0"/>
        <w:bidi w:val="0"/>
        <w:adjustRightInd w:val="0"/>
        <w:snapToGrid w:val="0"/>
        <w:spacing w:line="400" w:lineRule="exact"/>
        <w:ind w:firstLine="523" w:firstLineChars="21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对所的采购内容必须全部进行投标。</w:t>
      </w:r>
    </w:p>
    <w:p w14:paraId="698C0530">
      <w:pPr>
        <w:keepNext w:val="0"/>
        <w:keepLines w:val="0"/>
        <w:pageBreakBefore w:val="0"/>
        <w:shd w:val="clear"/>
        <w:kinsoku/>
        <w:wordWrap/>
        <w:overflowPunct/>
        <w:topLinePunct w:val="0"/>
        <w:bidi w:val="0"/>
        <w:adjustRightInd w:val="0"/>
        <w:snapToGrid w:val="0"/>
        <w:spacing w:line="400" w:lineRule="exact"/>
        <w:ind w:firstLine="523" w:firstLineChars="21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不论招标人、招标代理机构向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发送的资料文件，还是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提出的问题，均采用书面形式，任何口头提问及答复一律无效。</w:t>
      </w:r>
    </w:p>
    <w:p w14:paraId="1DF7AFC1">
      <w:pPr>
        <w:shd w:val="clear"/>
        <w:adjustRightInd w:val="0"/>
        <w:snapToGrid w:val="0"/>
        <w:spacing w:line="288" w:lineRule="auto"/>
        <w:ind w:firstLine="523" w:firstLineChars="218"/>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5</w:t>
      </w:r>
      <w:r>
        <w:rPr>
          <w:rFonts w:ascii="宋体" w:hAnsi="宋体" w:cs="宋体"/>
          <w:color w:val="auto"/>
          <w:sz w:val="24"/>
          <w:highlight w:val="none"/>
        </w:rPr>
        <w:t>、磋商响应供应商应保证服务过程中免受第三方提出的侵犯其专利权、商标权、著作权或其他知识产权的起诉。磋商响应供应商应承担由此可能产生的一切法律责任和费用。</w:t>
      </w:r>
    </w:p>
    <w:p w14:paraId="381646FD">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（十四）保密</w:t>
      </w:r>
    </w:p>
    <w:p w14:paraId="27591954">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参与磋商活动的各方应对磋商文件和磋商响应文件中的商业和技术等秘密保密，违者应对此造成的后果承担法律责任。</w:t>
      </w:r>
    </w:p>
    <w:bookmarkEnd w:id="58"/>
    <w:p w14:paraId="45A48859">
      <w:pPr>
        <w:shd w:val="clear"/>
        <w:adjustRightInd w:val="0"/>
        <w:snapToGrid w:val="0"/>
        <w:spacing w:line="288" w:lineRule="auto"/>
        <w:jc w:val="center"/>
        <w:outlineLvl w:val="1"/>
        <w:rPr>
          <w:rFonts w:ascii="宋体" w:hAnsi="宋体" w:cs="宋体"/>
          <w:b/>
          <w:color w:val="auto"/>
          <w:sz w:val="32"/>
          <w:highlight w:val="none"/>
        </w:rPr>
      </w:pPr>
      <w:bookmarkStart w:id="59" w:name="_Toc233618973"/>
      <w:bookmarkStart w:id="60" w:name="_Toc14368"/>
      <w:bookmarkStart w:id="61" w:name="_Toc25621"/>
      <w:bookmarkStart w:id="62" w:name="_Toc2335"/>
      <w:bookmarkStart w:id="63" w:name="_Toc22245"/>
      <w:bookmarkStart w:id="64" w:name="_Toc15129"/>
      <w:bookmarkStart w:id="65" w:name="_Toc6494378"/>
      <w:r>
        <w:rPr>
          <w:rFonts w:ascii="宋体" w:hAnsi="宋体" w:cs="宋体"/>
          <w:b/>
          <w:color w:val="auto"/>
          <w:sz w:val="32"/>
          <w:highlight w:val="none"/>
        </w:rPr>
        <w:t>二、</w:t>
      </w:r>
      <w:bookmarkEnd w:id="59"/>
      <w:r>
        <w:rPr>
          <w:rFonts w:ascii="宋体" w:hAnsi="宋体" w:cs="宋体"/>
          <w:b/>
          <w:color w:val="auto"/>
          <w:sz w:val="32"/>
          <w:highlight w:val="none"/>
        </w:rPr>
        <w:t>磋商文件</w:t>
      </w:r>
      <w:bookmarkEnd w:id="60"/>
      <w:bookmarkEnd w:id="61"/>
      <w:bookmarkEnd w:id="62"/>
      <w:bookmarkEnd w:id="63"/>
      <w:bookmarkEnd w:id="64"/>
      <w:bookmarkEnd w:id="65"/>
    </w:p>
    <w:p w14:paraId="5161B466">
      <w:pPr>
        <w:pStyle w:val="22"/>
        <w:shd w:val="clear"/>
        <w:adjustRightInd w:val="0"/>
        <w:snapToGrid w:val="0"/>
        <w:spacing w:line="288" w:lineRule="auto"/>
        <w:rPr>
          <w:rFonts w:hAnsi="宋体" w:cs="宋体"/>
          <w:b/>
          <w:color w:val="auto"/>
          <w:sz w:val="24"/>
          <w:highlight w:val="none"/>
        </w:rPr>
      </w:pPr>
      <w:bookmarkStart w:id="66" w:name="_Toc91899880"/>
      <w:bookmarkStart w:id="67" w:name="_Hlt74730307"/>
      <w:r>
        <w:rPr>
          <w:rFonts w:hAnsi="宋体" w:cs="宋体"/>
          <w:b/>
          <w:color w:val="auto"/>
          <w:sz w:val="24"/>
          <w:highlight w:val="none"/>
        </w:rPr>
        <w:t>（一）磋商文件的</w:t>
      </w:r>
      <w:bookmarkEnd w:id="66"/>
      <w:r>
        <w:rPr>
          <w:rFonts w:hAnsi="宋体" w:cs="宋体"/>
          <w:b/>
          <w:color w:val="auto"/>
          <w:sz w:val="24"/>
          <w:highlight w:val="none"/>
        </w:rPr>
        <w:t>组成</w:t>
      </w:r>
    </w:p>
    <w:bookmarkEnd w:id="67"/>
    <w:p w14:paraId="638BE502">
      <w:pPr>
        <w:pStyle w:val="22"/>
        <w:shd w:val="clear"/>
        <w:adjustRightInd w:val="0"/>
        <w:snapToGrid w:val="0"/>
        <w:spacing w:line="288" w:lineRule="auto"/>
        <w:ind w:firstLine="480" w:firstLineChars="200"/>
        <w:rPr>
          <w:rFonts w:hAnsi="宋体" w:cs="宋体"/>
          <w:color w:val="auto"/>
          <w:sz w:val="24"/>
          <w:highlight w:val="none"/>
        </w:rPr>
      </w:pPr>
      <w:r>
        <w:rPr>
          <w:rFonts w:hint="eastAsia" w:hAnsi="宋体" w:cs="宋体"/>
          <w:color w:val="auto"/>
          <w:sz w:val="24"/>
          <w:highlight w:val="none"/>
          <w:lang w:eastAsia="zh-CN"/>
        </w:rPr>
        <w:t>1.</w:t>
      </w:r>
      <w:r>
        <w:rPr>
          <w:rFonts w:hAnsi="宋体" w:cs="宋体"/>
          <w:color w:val="auto"/>
          <w:sz w:val="24"/>
          <w:highlight w:val="none"/>
        </w:rPr>
        <w:t xml:space="preserve"> 磋商文件包括下列文件及附件</w:t>
      </w:r>
    </w:p>
    <w:p w14:paraId="4E12F973">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第一部分  磋商公告</w:t>
      </w:r>
    </w:p>
    <w:p w14:paraId="1BF07F1F">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第二部分  磋商响应供应商须知</w:t>
      </w:r>
    </w:p>
    <w:p w14:paraId="3855C07F">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第三部分  项目技术及服务要求</w:t>
      </w:r>
    </w:p>
    <w:p w14:paraId="5779F7E3">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第四部分  合同草案</w:t>
      </w:r>
    </w:p>
    <w:p w14:paraId="27BEA6C5">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第五部分  磋商响应文件部分格式文件</w:t>
      </w:r>
    </w:p>
    <w:p w14:paraId="22079968">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第六部分  评分办法</w:t>
      </w:r>
    </w:p>
    <w:p w14:paraId="38BC9C19">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补充文件（如果有，包括相关的补充、更正、澄清公告和文件）</w:t>
      </w:r>
    </w:p>
    <w:p w14:paraId="212A5BEA">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其他附件（如果有，如图纸等）</w:t>
      </w:r>
    </w:p>
    <w:p w14:paraId="46629049">
      <w:pPr>
        <w:pStyle w:val="22"/>
        <w:numPr>
          <w:ilvl w:val="0"/>
          <w:numId w:val="4"/>
        </w:numPr>
        <w:shd w:val="clear"/>
        <w:adjustRightInd w:val="0"/>
        <w:snapToGrid w:val="0"/>
        <w:spacing w:line="288" w:lineRule="auto"/>
        <w:rPr>
          <w:rFonts w:hAnsi="宋体" w:cs="宋体"/>
          <w:color w:val="auto"/>
          <w:sz w:val="24"/>
          <w:highlight w:val="none"/>
        </w:rPr>
      </w:pPr>
      <w:r>
        <w:rPr>
          <w:rFonts w:hAnsi="宋体" w:cs="宋体"/>
          <w:color w:val="auto"/>
          <w:sz w:val="24"/>
          <w:highlight w:val="none"/>
        </w:rPr>
        <w:t>磋商过程中对磋商文件作出的实质性变动（如果有）</w:t>
      </w:r>
    </w:p>
    <w:p w14:paraId="110873DA">
      <w:pPr>
        <w:pStyle w:val="22"/>
        <w:shd w:val="clear"/>
        <w:adjustRightInd w:val="0"/>
        <w:snapToGrid w:val="0"/>
        <w:spacing w:line="288" w:lineRule="auto"/>
        <w:ind w:firstLine="480" w:firstLineChars="200"/>
        <w:rPr>
          <w:rFonts w:hAnsi="宋体" w:cs="宋体"/>
          <w:color w:val="auto"/>
          <w:sz w:val="24"/>
          <w:highlight w:val="none"/>
        </w:rPr>
      </w:pPr>
      <w:r>
        <w:rPr>
          <w:rFonts w:hint="eastAsia" w:hAnsi="宋体" w:cs="宋体"/>
          <w:color w:val="auto"/>
          <w:sz w:val="24"/>
          <w:highlight w:val="none"/>
          <w:lang w:eastAsia="zh-CN"/>
        </w:rPr>
        <w:t>2.</w:t>
      </w:r>
      <w:r>
        <w:rPr>
          <w:rFonts w:hAnsi="宋体" w:cs="宋体"/>
          <w:color w:val="auto"/>
          <w:sz w:val="24"/>
          <w:highlight w:val="none"/>
        </w:rPr>
        <w:t>供应商应认真审阅上述磋商文件组成中所有的内容。如果供应商编制的磋商响应文件没有从实质上响应磋商文件的要求，其磋商响应文件将被拒绝。</w:t>
      </w:r>
    </w:p>
    <w:p w14:paraId="2DC900DC">
      <w:pPr>
        <w:pStyle w:val="22"/>
        <w:shd w:val="clear"/>
        <w:adjustRightInd w:val="0"/>
        <w:snapToGrid w:val="0"/>
        <w:spacing w:line="288" w:lineRule="auto"/>
        <w:rPr>
          <w:rFonts w:hAnsi="宋体" w:cs="宋体"/>
          <w:b/>
          <w:color w:val="auto"/>
          <w:sz w:val="24"/>
          <w:highlight w:val="none"/>
        </w:rPr>
      </w:pPr>
      <w:r>
        <w:rPr>
          <w:rFonts w:hAnsi="宋体" w:cs="宋体"/>
          <w:b/>
          <w:color w:val="auto"/>
          <w:sz w:val="24"/>
          <w:highlight w:val="none"/>
        </w:rPr>
        <w:t>（二）磋商文件的解释</w:t>
      </w:r>
    </w:p>
    <w:p w14:paraId="598C93AF">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供应商</w:t>
      </w:r>
      <w:r>
        <w:rPr>
          <w:rFonts w:ascii="宋体" w:hAnsi="宋体" w:cs="宋体"/>
          <w:color w:val="auto"/>
          <w:sz w:val="24"/>
          <w:szCs w:val="21"/>
          <w:highlight w:val="none"/>
        </w:rPr>
        <w:t>一旦参与本次磋商活动，即被视为接受了本磋商文件的所有内容，如有任何异议，均应在答疑截止时间前提出。</w:t>
      </w:r>
    </w:p>
    <w:p w14:paraId="794BABD6">
      <w:pPr>
        <w:shd w:val="clear"/>
        <w:tabs>
          <w:tab w:val="left" w:pos="3780"/>
        </w:tabs>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ascii="宋体" w:hAnsi="宋体" w:cs="宋体"/>
          <w:color w:val="auto"/>
          <w:sz w:val="24"/>
          <w:szCs w:val="24"/>
          <w:highlight w:val="none"/>
        </w:rPr>
        <w:t>磋商文件澄清、答复、修改、补充等书面内容均作为磋商文件的补充文件，是磋商文件的组成部分，将以传真、网上公告、电子邮件等形式书面告知所有购买磋商文件的供应商，并对所有磋商响应供应商均有约束力。当磋商文件与补充文件就同一内容的表述不一致时，以最后发出的书面文件为准。</w:t>
      </w:r>
    </w:p>
    <w:p w14:paraId="688B23E0">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3.</w:t>
      </w:r>
      <w:r>
        <w:rPr>
          <w:rFonts w:ascii="宋体" w:hAnsi="宋体" w:cs="宋体"/>
          <w:color w:val="auto"/>
          <w:sz w:val="24"/>
          <w:szCs w:val="21"/>
          <w:highlight w:val="none"/>
        </w:rPr>
        <w:t>磋商文件的解释权归采购人、招标代理机构所有。</w:t>
      </w:r>
    </w:p>
    <w:p w14:paraId="463B6846">
      <w:pPr>
        <w:shd w:val="clear"/>
        <w:tabs>
          <w:tab w:val="left" w:pos="3780"/>
        </w:tabs>
        <w:spacing w:line="288" w:lineRule="auto"/>
        <w:rPr>
          <w:rFonts w:ascii="宋体" w:hAnsi="宋体" w:cs="宋体"/>
          <w:b/>
          <w:color w:val="auto"/>
          <w:sz w:val="24"/>
          <w:szCs w:val="21"/>
          <w:highlight w:val="none"/>
        </w:rPr>
      </w:pPr>
      <w:r>
        <w:rPr>
          <w:rFonts w:ascii="宋体" w:hAnsi="宋体" w:cs="宋体"/>
          <w:b/>
          <w:color w:val="auto"/>
          <w:sz w:val="24"/>
          <w:szCs w:val="21"/>
          <w:highlight w:val="none"/>
        </w:rPr>
        <w:t>（三）磋商文件的澄清</w:t>
      </w:r>
    </w:p>
    <w:p w14:paraId="6054A97A">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1.</w:t>
      </w:r>
      <w:r>
        <w:rPr>
          <w:rFonts w:ascii="宋体" w:hAnsi="宋体" w:cs="宋体"/>
          <w:color w:val="auto"/>
          <w:sz w:val="24"/>
          <w:szCs w:val="21"/>
          <w:highlight w:val="none"/>
        </w:rPr>
        <w:t>供应商对磋商文件如有疑问要求澄清，或认为有必要与采购人、招标代理机构进行技术交流的，供应商需将书面资料（</w:t>
      </w:r>
      <w:r>
        <w:rPr>
          <w:rFonts w:ascii="宋体" w:hAnsi="宋体" w:cs="宋体"/>
          <w:bCs/>
          <w:color w:val="auto"/>
          <w:kern w:val="0"/>
          <w:sz w:val="24"/>
          <w:szCs w:val="24"/>
          <w:highlight w:val="none"/>
        </w:rPr>
        <w:t>《（项目名称）询问函》</w:t>
      </w:r>
      <w:r>
        <w:rPr>
          <w:rFonts w:ascii="宋体" w:hAnsi="宋体" w:cs="宋体"/>
          <w:color w:val="auto"/>
          <w:sz w:val="24"/>
          <w:szCs w:val="21"/>
          <w:highlight w:val="none"/>
        </w:rPr>
        <w:t>）在磋商公告规定的询问截止时间前（对补充文件如有疑问要求澄清的，应在 24 小时内）以书面形式送达至招标代理机构，并与招标代理机构进行确认。招标代理机构有权对逾期收到疑问将不予受理、答复。</w:t>
      </w:r>
    </w:p>
    <w:p w14:paraId="7309EB43">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2.</w:t>
      </w:r>
      <w:r>
        <w:rPr>
          <w:rFonts w:ascii="宋体" w:hAnsi="宋体" w:cs="宋体"/>
          <w:color w:val="auto"/>
          <w:sz w:val="24"/>
          <w:szCs w:val="21"/>
          <w:highlight w:val="none"/>
        </w:rPr>
        <w:t>供应商要求澄清的资料应写明供应商</w:t>
      </w:r>
      <w:r>
        <w:rPr>
          <w:rFonts w:ascii="宋体" w:hAnsi="宋体" w:cs="宋体"/>
          <w:color w:val="auto"/>
          <w:sz w:val="24"/>
          <w:highlight w:val="none"/>
        </w:rPr>
        <w:t>全称、地址、邮编、传真、联系人、联系电话、电子邮箱、询疑日期并加盖供应商公章。</w:t>
      </w:r>
    </w:p>
    <w:p w14:paraId="41AFA436">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3.</w:t>
      </w:r>
      <w:r>
        <w:rPr>
          <w:rFonts w:ascii="宋体" w:hAnsi="宋体" w:cs="宋体"/>
          <w:color w:val="auto"/>
          <w:sz w:val="24"/>
          <w:szCs w:val="21"/>
          <w:highlight w:val="none"/>
        </w:rPr>
        <w:t xml:space="preserve"> 如有必要，采购人和招标代理机构对供应商所有要求澄清的问题都予以书面解答，澄清答复的文件为磋商补充文件，作为磋商文件的组成部分。</w:t>
      </w:r>
    </w:p>
    <w:p w14:paraId="43AD0093">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4.</w:t>
      </w:r>
      <w:r>
        <w:rPr>
          <w:rFonts w:ascii="宋体" w:hAnsi="宋体" w:cs="宋体"/>
          <w:color w:val="auto"/>
          <w:sz w:val="24"/>
          <w:szCs w:val="21"/>
          <w:highlight w:val="none"/>
        </w:rPr>
        <w:t xml:space="preserve"> 磋商响应供应商在磋商文件规定的询疑截止时间前内未对磋商文件提出疑问的，招标代理机构将视其对磋商文件无异议。</w:t>
      </w:r>
    </w:p>
    <w:p w14:paraId="3679CB99">
      <w:pPr>
        <w:pStyle w:val="22"/>
        <w:shd w:val="clear"/>
        <w:adjustRightInd w:val="0"/>
        <w:snapToGrid w:val="0"/>
        <w:spacing w:line="288" w:lineRule="auto"/>
        <w:rPr>
          <w:rFonts w:hAnsi="宋体" w:cs="宋体"/>
          <w:b/>
          <w:color w:val="auto"/>
          <w:sz w:val="24"/>
          <w:highlight w:val="none"/>
        </w:rPr>
      </w:pPr>
      <w:r>
        <w:rPr>
          <w:rFonts w:hAnsi="宋体" w:cs="宋体"/>
          <w:b/>
          <w:color w:val="auto"/>
          <w:sz w:val="24"/>
          <w:highlight w:val="none"/>
        </w:rPr>
        <w:t>（四）磋商文件的修改</w:t>
      </w:r>
    </w:p>
    <w:p w14:paraId="1EE98EDA">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由于各种原因采购人可能在磋商截止时间前以</w:t>
      </w:r>
      <w:r>
        <w:rPr>
          <w:rFonts w:ascii="宋体" w:hAnsi="宋体" w:cs="宋体"/>
          <w:color w:val="auto"/>
          <w:sz w:val="24"/>
          <w:szCs w:val="24"/>
          <w:highlight w:val="none"/>
        </w:rPr>
        <w:t>澄清、答复、修改、补充</w:t>
      </w:r>
      <w:r>
        <w:rPr>
          <w:rFonts w:ascii="宋体" w:hAnsi="宋体" w:cs="宋体"/>
          <w:color w:val="auto"/>
          <w:sz w:val="24"/>
          <w:highlight w:val="none"/>
        </w:rPr>
        <w:t>文件的形式修改完善磋商文件。</w:t>
      </w:r>
    </w:p>
    <w:p w14:paraId="74F5272B">
      <w:pPr>
        <w:shd w:val="clear"/>
        <w:tabs>
          <w:tab w:val="left" w:pos="3780"/>
        </w:tabs>
        <w:spacing w:line="288"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lang w:eastAsia="zh-CN"/>
        </w:rPr>
        <w:t>2.</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文件发出后，原则上不改变磋商文件规定的磋商截止时间及磋商文件开启时间。供应商如认为</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文件内容影响磋商响应文件编制，须延长磋商截止时间的，必须在收到</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文件后 24 小时内将意见和理由以书面形式向招标代理机构提出，否则，招标代理机构视供应商完全接受并有足够的时间编制磋商响应文件且按规定时间进行响应。</w:t>
      </w:r>
    </w:p>
    <w:p w14:paraId="7E7540B5">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szCs w:val="21"/>
          <w:highlight w:val="none"/>
          <w:lang w:eastAsia="zh-CN"/>
        </w:rPr>
        <w:t>3.</w:t>
      </w:r>
      <w:r>
        <w:rPr>
          <w:rFonts w:ascii="宋体" w:hAnsi="宋体" w:cs="宋体"/>
          <w:color w:val="auto"/>
          <w:sz w:val="24"/>
          <w:szCs w:val="21"/>
          <w:highlight w:val="none"/>
        </w:rPr>
        <w:t>供应商在收到</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文件后，应在 24 小时内以书面形式向招标代理机构确认已收到该</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文件，逾期未确认的招标代理机构有权视其已收到。对</w:t>
      </w:r>
      <w:r>
        <w:rPr>
          <w:rFonts w:ascii="宋体" w:hAnsi="宋体" w:cs="宋体"/>
          <w:color w:val="auto"/>
          <w:sz w:val="24"/>
          <w:szCs w:val="24"/>
          <w:highlight w:val="none"/>
        </w:rPr>
        <w:t>澄清、答复、修改、补充</w:t>
      </w:r>
      <w:r>
        <w:rPr>
          <w:rFonts w:ascii="宋体" w:hAnsi="宋体" w:cs="宋体"/>
          <w:color w:val="auto"/>
          <w:sz w:val="24"/>
          <w:szCs w:val="21"/>
          <w:highlight w:val="none"/>
        </w:rPr>
        <w:t>文件如有疑问要求澄清，应在 24 小时内将书面送达招标代理机构，并与招标代理机构进行确认，逾期提出的，招标代理机构可不予受理。如有必要，招标代理机构将以书面形式回复询疑人。</w:t>
      </w:r>
    </w:p>
    <w:p w14:paraId="6EB90F65">
      <w:pPr>
        <w:shd w:val="clear"/>
        <w:adjustRightInd w:val="0"/>
        <w:snapToGrid w:val="0"/>
        <w:spacing w:line="288" w:lineRule="auto"/>
        <w:jc w:val="center"/>
        <w:outlineLvl w:val="1"/>
        <w:rPr>
          <w:rFonts w:ascii="宋体" w:hAnsi="宋体" w:cs="宋体"/>
          <w:b/>
          <w:color w:val="auto"/>
          <w:sz w:val="32"/>
          <w:highlight w:val="none"/>
        </w:rPr>
      </w:pPr>
      <w:bookmarkStart w:id="68" w:name="_Toc91899884"/>
      <w:bookmarkStart w:id="69" w:name="_Toc233618974"/>
      <w:bookmarkStart w:id="70" w:name="_Toc6494379"/>
      <w:bookmarkStart w:id="71" w:name="_Toc25128"/>
      <w:bookmarkStart w:id="72" w:name="_Toc12474"/>
      <w:bookmarkStart w:id="73" w:name="_Toc17035"/>
      <w:bookmarkStart w:id="74" w:name="_Toc5587"/>
      <w:bookmarkStart w:id="75" w:name="_Toc721"/>
      <w:r>
        <w:rPr>
          <w:rFonts w:ascii="宋体" w:hAnsi="宋体" w:cs="宋体"/>
          <w:b/>
          <w:color w:val="auto"/>
          <w:sz w:val="32"/>
          <w:highlight w:val="none"/>
        </w:rPr>
        <w:t>三、</w:t>
      </w:r>
      <w:bookmarkEnd w:id="68"/>
      <w:bookmarkEnd w:id="69"/>
      <w:r>
        <w:rPr>
          <w:rFonts w:ascii="宋体" w:hAnsi="宋体" w:cs="宋体"/>
          <w:b/>
          <w:color w:val="auto"/>
          <w:sz w:val="32"/>
          <w:highlight w:val="none"/>
        </w:rPr>
        <w:t>磋商响应文件</w:t>
      </w:r>
      <w:bookmarkEnd w:id="70"/>
      <w:bookmarkEnd w:id="71"/>
      <w:bookmarkEnd w:id="72"/>
      <w:bookmarkEnd w:id="73"/>
      <w:bookmarkEnd w:id="74"/>
      <w:bookmarkEnd w:id="75"/>
    </w:p>
    <w:p w14:paraId="6DC823D9">
      <w:pPr>
        <w:pStyle w:val="23"/>
        <w:shd w:val="clear"/>
        <w:adjustRightInd w:val="0"/>
        <w:snapToGrid w:val="0"/>
        <w:spacing w:before="0" w:line="288" w:lineRule="auto"/>
        <w:ind w:firstLine="0" w:firstLineChars="0"/>
        <w:rPr>
          <w:rFonts w:ascii="宋体" w:hAnsi="宋体" w:cs="宋体"/>
          <w:color w:val="auto"/>
          <w:kern w:val="0"/>
          <w:highlight w:val="none"/>
          <w:lang w:val="zh-CN"/>
        </w:rPr>
      </w:pPr>
      <w:r>
        <w:rPr>
          <w:rFonts w:ascii="宋体" w:hAnsi="宋体" w:cs="宋体"/>
          <w:b/>
          <w:color w:val="auto"/>
          <w:highlight w:val="none"/>
        </w:rPr>
        <w:t>（一）磋商响应文件的编制</w:t>
      </w:r>
    </w:p>
    <w:p w14:paraId="00AB91E5">
      <w:pPr>
        <w:shd w:val="clear"/>
        <w:spacing w:line="288" w:lineRule="auto"/>
        <w:ind w:firstLine="482" w:firstLineChars="200"/>
        <w:rPr>
          <w:rFonts w:ascii="宋体" w:hAnsi="宋体" w:cs="宋体"/>
          <w:b/>
          <w:color w:val="auto"/>
          <w:sz w:val="24"/>
          <w:highlight w:val="none"/>
        </w:rPr>
      </w:pPr>
      <w:r>
        <w:rPr>
          <w:rFonts w:hint="eastAsia" w:ascii="宋体" w:hAnsi="宋体" w:cs="宋体"/>
          <w:b/>
          <w:color w:val="auto"/>
          <w:kern w:val="0"/>
          <w:sz w:val="24"/>
          <w:highlight w:val="none"/>
          <w:lang w:eastAsia="zh-CN"/>
        </w:rPr>
        <w:t>1.</w:t>
      </w:r>
      <w:r>
        <w:rPr>
          <w:rFonts w:ascii="宋体" w:hAnsi="宋体" w:cs="宋体"/>
          <w:b/>
          <w:color w:val="auto"/>
          <w:sz w:val="24"/>
          <w:highlight w:val="none"/>
        </w:rPr>
        <w:t>本项目通过“政府采购云平台（www.zcygov.cn）”实行在线投标响应（电子投标）。供应商应通过“政采云电子交易客户端”，并按照本磋商文件和“政府采购云平台”的要求编制并加密磋商响应文件并进行关联定位。</w:t>
      </w:r>
    </w:p>
    <w:p w14:paraId="7D7DE347">
      <w:pPr>
        <w:shd w:val="clear"/>
        <w:spacing w:line="288" w:lineRule="auto"/>
        <w:ind w:firstLine="422" w:firstLineChars="175"/>
        <w:rPr>
          <w:rFonts w:ascii="宋体" w:hAnsi="宋体" w:cs="宋体"/>
          <w:b/>
          <w:color w:val="auto"/>
          <w:kern w:val="0"/>
          <w:sz w:val="24"/>
          <w:highlight w:val="none"/>
        </w:rPr>
      </w:pPr>
      <w:r>
        <w:rPr>
          <w:rFonts w:hint="eastAsia" w:ascii="宋体" w:hAnsi="宋体" w:cs="宋体"/>
          <w:b/>
          <w:color w:val="auto"/>
          <w:kern w:val="0"/>
          <w:sz w:val="24"/>
          <w:highlight w:val="none"/>
          <w:lang w:eastAsia="zh-CN"/>
        </w:rPr>
        <w:t>2.</w:t>
      </w:r>
      <w:r>
        <w:rPr>
          <w:rFonts w:ascii="宋体" w:hAnsi="宋体" w:cs="宋体"/>
          <w:b/>
          <w:color w:val="auto"/>
          <w:kern w:val="0"/>
          <w:sz w:val="24"/>
          <w:highlight w:val="none"/>
        </w:rPr>
        <w:t>供应商应当按照本章节 “磋商响应文件组成”规定的内容及顺序在“政采云电子交易客户端”编制磋商响应文件。其中《资格文件》和《商务技术文件》中不得出现本项目磋商响应报价，如因供应商原因提前泄露投标报价，是供应商的责任。</w:t>
      </w:r>
    </w:p>
    <w:p w14:paraId="04111AC3">
      <w:pPr>
        <w:shd w:val="clear"/>
        <w:spacing w:line="288" w:lineRule="auto"/>
        <w:ind w:firstLine="422" w:firstLineChars="175"/>
        <w:rPr>
          <w:rFonts w:ascii="宋体" w:hAnsi="宋体" w:cs="宋体"/>
          <w:b/>
          <w:color w:val="auto"/>
          <w:sz w:val="24"/>
          <w:highlight w:val="none"/>
        </w:rPr>
      </w:pPr>
      <w:r>
        <w:rPr>
          <w:rFonts w:hint="eastAsia" w:ascii="宋体" w:hAnsi="宋体" w:cs="宋体"/>
          <w:b/>
          <w:color w:val="auto"/>
          <w:sz w:val="24"/>
          <w:highlight w:val="none"/>
          <w:lang w:eastAsia="zh-CN"/>
        </w:rPr>
        <w:t>3.</w:t>
      </w:r>
      <w:r>
        <w:rPr>
          <w:rFonts w:ascii="宋体" w:hAnsi="宋体" w:cs="宋体"/>
          <w:b/>
          <w:color w:val="auto"/>
          <w:sz w:val="24"/>
          <w:highlight w:val="none"/>
        </w:rPr>
        <w:t xml:space="preserve">本文件《第五部分  </w:t>
      </w:r>
      <w:r>
        <w:rPr>
          <w:rFonts w:ascii="宋体" w:hAnsi="宋体" w:cs="宋体"/>
          <w:b/>
          <w:color w:val="auto"/>
          <w:kern w:val="0"/>
          <w:sz w:val="24"/>
          <w:highlight w:val="none"/>
        </w:rPr>
        <w:t>磋商响应</w:t>
      </w:r>
      <w:r>
        <w:rPr>
          <w:rFonts w:ascii="宋体" w:hAnsi="宋体" w:cs="宋体"/>
          <w:b/>
          <w:color w:val="auto"/>
          <w:sz w:val="24"/>
          <w:highlight w:val="none"/>
        </w:rPr>
        <w:t>文件部分格式文件》中有提供格式的，</w:t>
      </w:r>
      <w:r>
        <w:rPr>
          <w:rFonts w:ascii="宋体" w:hAnsi="宋体" w:cs="宋体"/>
          <w:b/>
          <w:color w:val="auto"/>
          <w:kern w:val="0"/>
          <w:sz w:val="24"/>
          <w:highlight w:val="none"/>
        </w:rPr>
        <w:t>供应商</w:t>
      </w:r>
      <w:r>
        <w:rPr>
          <w:rFonts w:ascii="宋体" w:hAnsi="宋体" w:cs="宋体"/>
          <w:b/>
          <w:color w:val="auto"/>
          <w:sz w:val="24"/>
          <w:highlight w:val="none"/>
        </w:rPr>
        <w:t xml:space="preserve">须参照格式进行编制（格式中要求提供相关证明材料的还需后附相关证明材料），并按格式要求在指定位置根据要求进行签章，否则视为未提供；本文件《第五部分  </w:t>
      </w:r>
      <w:r>
        <w:rPr>
          <w:rFonts w:ascii="宋体" w:hAnsi="宋体" w:cs="宋体"/>
          <w:b/>
          <w:color w:val="auto"/>
          <w:kern w:val="0"/>
          <w:sz w:val="24"/>
          <w:highlight w:val="none"/>
        </w:rPr>
        <w:t>磋商响应</w:t>
      </w:r>
      <w:r>
        <w:rPr>
          <w:rFonts w:ascii="宋体" w:hAnsi="宋体" w:cs="宋体"/>
          <w:b/>
          <w:color w:val="auto"/>
          <w:sz w:val="24"/>
          <w:highlight w:val="none"/>
        </w:rPr>
        <w:t>文件部分格式文件》未提供格式的，请各供应商自行拟定格式，并加盖单位公章，否则视为未提供。</w:t>
      </w:r>
    </w:p>
    <w:p w14:paraId="1016672B">
      <w:pPr>
        <w:shd w:val="clear"/>
        <w:spacing w:line="288"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lang w:eastAsia="zh-CN"/>
        </w:rPr>
        <w:t>4.</w:t>
      </w:r>
      <w:r>
        <w:rPr>
          <w:rFonts w:ascii="宋体" w:hAnsi="宋体" w:cs="宋体"/>
          <w:color w:val="auto"/>
          <w:kern w:val="0"/>
          <w:sz w:val="24"/>
          <w:highlight w:val="none"/>
        </w:rPr>
        <w:t>《磋商响应文件》内容不完整、编排混乱导致《磋商响应文件》被误读、漏读或者查找不到相关内容的，是供应商的责任。</w:t>
      </w:r>
    </w:p>
    <w:p w14:paraId="37D8A750">
      <w:pPr>
        <w:shd w:val="clear"/>
        <w:spacing w:line="288"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5.</w:t>
      </w:r>
      <w:r>
        <w:rPr>
          <w:rFonts w:ascii="宋体" w:hAnsi="宋体" w:cs="宋体"/>
          <w:color w:val="auto"/>
          <w:kern w:val="0"/>
          <w:sz w:val="24"/>
          <w:highlight w:val="none"/>
        </w:rPr>
        <w:t>《磋商响应文件》因字迹潦草或表达不清所引起的后果由供应商负责。</w:t>
      </w:r>
    </w:p>
    <w:p w14:paraId="3E369F9A">
      <w:pPr>
        <w:shd w:val="clear"/>
        <w:tabs>
          <w:tab w:val="left" w:pos="3780"/>
        </w:tabs>
        <w:spacing w:line="288"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ascii="宋体" w:hAnsi="宋体" w:cs="宋体"/>
          <w:color w:val="auto"/>
          <w:kern w:val="0"/>
          <w:sz w:val="24"/>
          <w:highlight w:val="none"/>
        </w:rPr>
        <w:t>供应商没有按照本章节 “磋商响应文件组成”要求提供全部资料，或者没有仔细阅读磋商文件，或者没有对磋商文件在各方面的要求作出实质性响应是供应商的风险，由此造成的一切后果由供应商自行承担。</w:t>
      </w:r>
    </w:p>
    <w:p w14:paraId="3F232B77">
      <w:pPr>
        <w:shd w:val="clear"/>
        <w:tabs>
          <w:tab w:val="left" w:pos="3780"/>
        </w:tabs>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ascii="宋体" w:hAnsi="宋体" w:cs="宋体"/>
          <w:color w:val="auto"/>
          <w:sz w:val="24"/>
          <w:highlight w:val="none"/>
        </w:rPr>
        <w:t>磋商响应文件必须按磋商文件提供的格式签字或盖章。授权代表签字的，磋商响应文件应附法定代表人签署的授权委托书。</w:t>
      </w:r>
    </w:p>
    <w:p w14:paraId="59FEDAEC">
      <w:pPr>
        <w:pStyle w:val="4"/>
        <w:shd w:val="clear"/>
        <w:spacing w:before="0" w:after="0" w:line="288" w:lineRule="auto"/>
        <w:jc w:val="both"/>
        <w:rPr>
          <w:rFonts w:ascii="宋体" w:hAnsi="宋体" w:cs="宋体"/>
          <w:color w:val="auto"/>
          <w:sz w:val="24"/>
          <w:szCs w:val="24"/>
          <w:highlight w:val="none"/>
        </w:rPr>
      </w:pPr>
      <w:r>
        <w:rPr>
          <w:rFonts w:ascii="宋体" w:hAnsi="宋体" w:cs="宋体"/>
          <w:color w:val="auto"/>
          <w:sz w:val="24"/>
          <w:highlight w:val="none"/>
        </w:rPr>
        <w:t>（二）</w:t>
      </w:r>
      <w:r>
        <w:rPr>
          <w:rFonts w:ascii="宋体" w:hAnsi="宋体" w:cs="宋体"/>
          <w:color w:val="auto"/>
          <w:kern w:val="0"/>
          <w:sz w:val="24"/>
          <w:highlight w:val="none"/>
        </w:rPr>
        <w:t>磋商响应</w:t>
      </w:r>
      <w:r>
        <w:rPr>
          <w:rFonts w:ascii="宋体" w:hAnsi="宋体" w:cs="宋体"/>
          <w:color w:val="auto"/>
          <w:sz w:val="24"/>
          <w:szCs w:val="24"/>
          <w:highlight w:val="none"/>
        </w:rPr>
        <w:t>文件的签章</w:t>
      </w:r>
    </w:p>
    <w:p w14:paraId="6F46530E">
      <w:pPr>
        <w:keepNext w:val="0"/>
        <w:keepLines w:val="0"/>
        <w:pageBreakBefore w:val="0"/>
        <w:shd w:val="clear"/>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eastAsia="zh-CN"/>
        </w:rPr>
        <w:t>1.</w:t>
      </w:r>
      <w:r>
        <w:rPr>
          <w:rFonts w:hint="eastAsia" w:ascii="宋体" w:hAnsi="宋体" w:eastAsia="宋体" w:cs="宋体"/>
          <w:b/>
          <w:bCs/>
          <w:color w:val="auto"/>
          <w:sz w:val="24"/>
          <w:szCs w:val="22"/>
          <w:highlight w:val="none"/>
        </w:rPr>
        <w:t>《投标文件》的签章：见《前附表》；</w:t>
      </w:r>
    </w:p>
    <w:p w14:paraId="695CE323">
      <w:pPr>
        <w:keepNext w:val="0"/>
        <w:keepLines w:val="0"/>
        <w:pageBreakBefore w:val="0"/>
        <w:shd w:val="clear"/>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eastAsia="zh-CN"/>
        </w:rPr>
        <w:t>2.</w:t>
      </w:r>
      <w:r>
        <w:rPr>
          <w:rFonts w:hint="eastAsia" w:ascii="宋体" w:hAnsi="宋体" w:eastAsia="宋体" w:cs="宋体"/>
          <w:b/>
          <w:bCs/>
          <w:color w:val="auto"/>
          <w:sz w:val="24"/>
          <w:szCs w:val="22"/>
          <w:highlight w:val="none"/>
        </w:rPr>
        <w:t>《投标文件》应由</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法定代表人或其授权代表签字（或盖章），并加盖</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公章。</w:t>
      </w:r>
    </w:p>
    <w:p w14:paraId="30A53E74">
      <w:pPr>
        <w:pStyle w:val="8"/>
        <w:shd w:val="clear"/>
        <w:adjustRightInd w:val="0"/>
        <w:snapToGrid w:val="0"/>
        <w:spacing w:line="288" w:lineRule="auto"/>
        <w:ind w:firstLine="482" w:firstLineChars="200"/>
        <w:rPr>
          <w:rFonts w:hAnsi="宋体" w:cs="宋体"/>
          <w:b/>
          <w:color w:val="auto"/>
          <w:highlight w:val="none"/>
        </w:rPr>
      </w:pPr>
      <w:r>
        <w:rPr>
          <w:rFonts w:hint="eastAsia" w:hAnsi="宋体" w:eastAsia="宋体" w:cs="宋体"/>
          <w:b/>
          <w:bCs/>
          <w:color w:val="auto"/>
          <w:sz w:val="24"/>
          <w:szCs w:val="22"/>
          <w:highlight w:val="none"/>
          <w:lang w:eastAsia="zh-CN"/>
        </w:rPr>
        <w:t>3.</w:t>
      </w:r>
      <w:r>
        <w:rPr>
          <w:rFonts w:hint="eastAsia" w:ascii="宋体" w:hAnsi="宋体" w:eastAsia="宋体" w:cs="宋体"/>
          <w:b/>
          <w:bCs/>
          <w:color w:val="auto"/>
          <w:sz w:val="24"/>
          <w:szCs w:val="22"/>
          <w:highlight w:val="none"/>
        </w:rPr>
        <w:t>电子签章操作指南详见采购公告附件《供应商项目采购-电子招投标操作指南》</w:t>
      </w:r>
      <w:r>
        <w:rPr>
          <w:rFonts w:hAnsi="宋体" w:cs="宋体"/>
          <w:b/>
          <w:color w:val="auto"/>
          <w:sz w:val="24"/>
          <w:highlight w:val="none"/>
        </w:rPr>
        <w:t>（三）磋商响应文件的组成</w:t>
      </w:r>
    </w:p>
    <w:p w14:paraId="2D046283">
      <w:pPr>
        <w:pStyle w:val="8"/>
        <w:shd w:val="clear"/>
        <w:adjustRightInd w:val="0"/>
        <w:snapToGrid w:val="0"/>
        <w:spacing w:line="288" w:lineRule="auto"/>
        <w:rPr>
          <w:rFonts w:hint="eastAsia" w:ascii="宋体" w:hAnsi="宋体" w:eastAsia="宋体" w:cs="宋体"/>
          <w:b/>
          <w:color w:val="auto"/>
          <w:sz w:val="24"/>
          <w:highlight w:val="none"/>
        </w:rPr>
      </w:pPr>
      <w:r>
        <w:rPr>
          <w:rFonts w:hint="eastAsia" w:hAnsi="宋体" w:eastAsia="宋体" w:cs="宋体"/>
          <w:b/>
          <w:color w:val="auto"/>
          <w:sz w:val="24"/>
          <w:highlight w:val="none"/>
          <w:lang w:eastAsia="zh-CN"/>
        </w:rPr>
        <w:t>1.</w:t>
      </w:r>
      <w:r>
        <w:rPr>
          <w:rFonts w:hint="eastAsia" w:ascii="宋体" w:hAnsi="宋体" w:eastAsia="宋体" w:cs="宋体"/>
          <w:b/>
          <w:color w:val="auto"/>
          <w:sz w:val="24"/>
          <w:highlight w:val="none"/>
        </w:rPr>
        <w:t>资格文件</w:t>
      </w:r>
    </w:p>
    <w:p w14:paraId="281EDCCF">
      <w:pPr>
        <w:shd w:val="clear"/>
        <w:tabs>
          <w:tab w:val="left" w:pos="3780"/>
        </w:tabs>
        <w:spacing w:line="34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资格审查材料【按第五部分格式一要求提供。应包括所有内容（均需供应商加盖公章），证明其符合《中华人民共和国政府采购法》规定的供应商基本条件、落实政府采购政策需满足的资格要求和采购项目对供应商的特定条件（如果项目要求）的有关资格证明文件）。</w:t>
      </w:r>
    </w:p>
    <w:p w14:paraId="7E93B7A9">
      <w:pPr>
        <w:pStyle w:val="8"/>
        <w:shd w:val="clear"/>
        <w:adjustRightInd w:val="0"/>
        <w:snapToGrid w:val="0"/>
        <w:spacing w:line="288" w:lineRule="auto"/>
        <w:rPr>
          <w:rFonts w:hint="eastAsia" w:ascii="宋体" w:hAnsi="宋体" w:eastAsia="宋体" w:cs="宋体"/>
          <w:b/>
          <w:color w:val="auto"/>
          <w:sz w:val="24"/>
          <w:highlight w:val="none"/>
        </w:rPr>
      </w:pPr>
      <w:r>
        <w:rPr>
          <w:rFonts w:hint="eastAsia" w:hAnsi="宋体" w:eastAsia="宋体" w:cs="宋体"/>
          <w:b/>
          <w:color w:val="auto"/>
          <w:sz w:val="24"/>
          <w:highlight w:val="none"/>
          <w:lang w:eastAsia="zh-CN"/>
        </w:rPr>
        <w:t>2.</w:t>
      </w:r>
      <w:r>
        <w:rPr>
          <w:rFonts w:hint="eastAsia" w:ascii="宋体" w:hAnsi="宋体" w:eastAsia="宋体" w:cs="宋体"/>
          <w:b/>
          <w:color w:val="auto"/>
          <w:sz w:val="24"/>
          <w:highlight w:val="none"/>
        </w:rPr>
        <w:t>商务技术文件</w:t>
      </w:r>
    </w:p>
    <w:p w14:paraId="7F664BE7">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（1）项目自评分一览表（格式见第五部分格式二）；</w:t>
      </w:r>
    </w:p>
    <w:p w14:paraId="52EBF62B">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磋商声明函（格式见第五部分格式</w:t>
      </w:r>
      <w:r>
        <w:rPr>
          <w:rFonts w:hint="eastAsia" w:ascii="宋体" w:hAnsi="宋体" w:eastAsia="宋体" w:cs="宋体"/>
          <w:color w:val="auto"/>
          <w:sz w:val="24"/>
          <w:szCs w:val="22"/>
          <w:highlight w:val="none"/>
          <w:lang w:val="en-US" w:eastAsia="zh-CN"/>
        </w:rPr>
        <w:t>三</w:t>
      </w:r>
      <w:r>
        <w:rPr>
          <w:rFonts w:hint="eastAsia" w:ascii="宋体" w:hAnsi="宋体" w:eastAsia="宋体" w:cs="宋体"/>
          <w:color w:val="auto"/>
          <w:sz w:val="24"/>
          <w:szCs w:val="22"/>
          <w:highlight w:val="none"/>
        </w:rPr>
        <w:t>）；</w:t>
      </w:r>
    </w:p>
    <w:p w14:paraId="541C0E8D">
      <w:pPr>
        <w:shd w:val="clear"/>
        <w:tabs>
          <w:tab w:val="left" w:pos="3780"/>
        </w:tabs>
        <w:spacing w:line="288" w:lineRule="auto"/>
        <w:ind w:firstLine="480" w:firstLineChars="20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）法定代表人身份证明或附有法定代表人身份证明及授权代表为供应商在职员工的证明文件（供应商为其缴纳的社保记录或劳务合同等）的授权委托书（格式见第五部分格式</w:t>
      </w:r>
      <w:r>
        <w:rPr>
          <w:rFonts w:hint="eastAsia" w:ascii="宋体" w:hAnsi="宋体" w:eastAsia="宋体" w:cs="宋体"/>
          <w:color w:val="auto"/>
          <w:sz w:val="24"/>
          <w:szCs w:val="22"/>
          <w:highlight w:val="none"/>
          <w:lang w:val="en-US" w:eastAsia="zh-CN"/>
        </w:rPr>
        <w:t>四</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eastAsia="zh-CN"/>
        </w:rPr>
        <w:t>；</w:t>
      </w:r>
    </w:p>
    <w:p w14:paraId="61C5723F">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4</w:t>
      </w:r>
      <w:r>
        <w:rPr>
          <w:rFonts w:hint="eastAsia" w:ascii="宋体" w:hAnsi="宋体" w:eastAsia="宋体" w:cs="宋体"/>
          <w:color w:val="auto"/>
          <w:sz w:val="24"/>
          <w:szCs w:val="22"/>
          <w:highlight w:val="none"/>
        </w:rPr>
        <w:t>）商务评分中所需的材料（如有，详见评标办法）；</w:t>
      </w:r>
    </w:p>
    <w:p w14:paraId="57011184">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）以往业绩情况（如有，具体要求见评标办法，并按第五部分格式</w:t>
      </w:r>
      <w:r>
        <w:rPr>
          <w:rFonts w:hint="eastAsia" w:ascii="宋体" w:hAnsi="宋体" w:eastAsia="宋体" w:cs="宋体"/>
          <w:color w:val="auto"/>
          <w:sz w:val="24"/>
          <w:szCs w:val="22"/>
          <w:highlight w:val="none"/>
          <w:lang w:val="en-US" w:eastAsia="zh-CN"/>
        </w:rPr>
        <w:t>五</w:t>
      </w:r>
      <w:r>
        <w:rPr>
          <w:rFonts w:hint="eastAsia" w:ascii="宋体" w:hAnsi="宋体" w:eastAsia="宋体" w:cs="宋体"/>
          <w:color w:val="auto"/>
          <w:sz w:val="24"/>
          <w:szCs w:val="22"/>
          <w:highlight w:val="none"/>
        </w:rPr>
        <w:t>要求编排）；</w:t>
      </w:r>
    </w:p>
    <w:p w14:paraId="1B44CC98">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）商务</w:t>
      </w:r>
      <w:r>
        <w:rPr>
          <w:rFonts w:hint="eastAsia" w:ascii="宋体" w:hAnsi="宋体" w:eastAsia="宋体" w:cs="宋体"/>
          <w:color w:val="auto"/>
          <w:sz w:val="24"/>
          <w:szCs w:val="22"/>
          <w:highlight w:val="none"/>
          <w:lang w:eastAsia="zh-CN"/>
        </w:rPr>
        <w:t>技术</w:t>
      </w:r>
      <w:r>
        <w:rPr>
          <w:rFonts w:hint="eastAsia" w:ascii="宋体" w:hAnsi="宋体" w:eastAsia="宋体" w:cs="宋体"/>
          <w:color w:val="auto"/>
          <w:sz w:val="24"/>
          <w:szCs w:val="22"/>
          <w:highlight w:val="none"/>
        </w:rPr>
        <w:t>偏离表（“商务</w:t>
      </w:r>
      <w:r>
        <w:rPr>
          <w:rFonts w:hint="eastAsia" w:ascii="宋体" w:hAnsi="宋体" w:eastAsia="宋体" w:cs="宋体"/>
          <w:color w:val="auto"/>
          <w:sz w:val="24"/>
          <w:szCs w:val="22"/>
          <w:highlight w:val="none"/>
          <w:lang w:eastAsia="zh-CN"/>
        </w:rPr>
        <w:t>技术</w:t>
      </w:r>
      <w:r>
        <w:rPr>
          <w:rFonts w:hint="eastAsia" w:ascii="宋体" w:hAnsi="宋体" w:eastAsia="宋体" w:cs="宋体"/>
          <w:color w:val="auto"/>
          <w:sz w:val="24"/>
          <w:szCs w:val="22"/>
          <w:highlight w:val="none"/>
        </w:rPr>
        <w:t>偏离”是指对“第四部分 合同文本”中条款的偏离</w:t>
      </w:r>
      <w:r>
        <w:rPr>
          <w:rFonts w:hint="eastAsia" w:ascii="宋体" w:hAnsi="宋体" w:eastAsia="宋体" w:cs="宋体"/>
          <w:color w:val="auto"/>
          <w:sz w:val="24"/>
          <w:szCs w:val="22"/>
          <w:highlight w:val="none"/>
          <w:lang w:eastAsia="zh-CN"/>
        </w:rPr>
        <w:t>和</w:t>
      </w:r>
      <w:r>
        <w:rPr>
          <w:rFonts w:hint="eastAsia" w:ascii="宋体" w:hAnsi="宋体" w:eastAsia="宋体" w:cs="宋体"/>
          <w:color w:val="auto"/>
          <w:sz w:val="24"/>
          <w:szCs w:val="22"/>
          <w:highlight w:val="none"/>
        </w:rPr>
        <w:t>对“第三部分  项目技术及服务要求”中条款的偏离。格式见第五部分格式</w:t>
      </w:r>
      <w:r>
        <w:rPr>
          <w:rFonts w:hint="eastAsia" w:ascii="宋体" w:hAnsi="宋体" w:eastAsia="宋体" w:cs="宋体"/>
          <w:color w:val="auto"/>
          <w:sz w:val="24"/>
          <w:szCs w:val="22"/>
          <w:highlight w:val="none"/>
          <w:lang w:val="en-US" w:eastAsia="zh-CN"/>
        </w:rPr>
        <w:t>六</w:t>
      </w:r>
      <w:r>
        <w:rPr>
          <w:rFonts w:hint="eastAsia" w:ascii="宋体" w:hAnsi="宋体" w:eastAsia="宋体" w:cs="宋体"/>
          <w:color w:val="auto"/>
          <w:sz w:val="24"/>
          <w:szCs w:val="22"/>
          <w:highlight w:val="none"/>
        </w:rPr>
        <w:t>）；</w:t>
      </w:r>
    </w:p>
    <w:p w14:paraId="1DBA1B28">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7</w:t>
      </w:r>
      <w:r>
        <w:rPr>
          <w:rFonts w:hint="eastAsia" w:ascii="宋体" w:hAnsi="宋体" w:eastAsia="宋体" w:cs="宋体"/>
          <w:color w:val="auto"/>
          <w:sz w:val="24"/>
          <w:szCs w:val="22"/>
          <w:highlight w:val="none"/>
        </w:rPr>
        <w:t>）技术和服务响应方案；</w:t>
      </w:r>
    </w:p>
    <w:p w14:paraId="3E3FE926">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）技术评分中所需的材料（详见评标办法，如其中有服务团队人员要求的，须按第五部分格式</w:t>
      </w:r>
      <w:r>
        <w:rPr>
          <w:rFonts w:hint="eastAsia" w:ascii="宋体" w:hAnsi="宋体" w:eastAsia="宋体" w:cs="宋体"/>
          <w:color w:val="auto"/>
          <w:sz w:val="24"/>
          <w:szCs w:val="22"/>
          <w:highlight w:val="none"/>
          <w:lang w:val="en-US" w:eastAsia="zh-CN"/>
        </w:rPr>
        <w:t>七</w:t>
      </w:r>
      <w:r>
        <w:rPr>
          <w:rFonts w:hint="eastAsia" w:ascii="宋体" w:hAnsi="宋体" w:eastAsia="宋体" w:cs="宋体"/>
          <w:color w:val="auto"/>
          <w:sz w:val="24"/>
          <w:szCs w:val="22"/>
          <w:highlight w:val="none"/>
        </w:rPr>
        <w:t>格式编写，售后服务方案，培训计划等）；</w:t>
      </w:r>
    </w:p>
    <w:p w14:paraId="148B6340">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9</w:t>
      </w:r>
      <w:r>
        <w:rPr>
          <w:rFonts w:hint="eastAsia" w:ascii="宋体" w:hAnsi="宋体" w:eastAsia="宋体" w:cs="宋体"/>
          <w:color w:val="auto"/>
          <w:sz w:val="24"/>
          <w:szCs w:val="22"/>
          <w:highlight w:val="none"/>
        </w:rPr>
        <w:t>）其他</w:t>
      </w:r>
      <w:r>
        <w:rPr>
          <w:rFonts w:hint="eastAsia" w:ascii="宋体" w:hAnsi="宋体" w:eastAsia="宋体" w:cs="宋体"/>
          <w:color w:val="auto"/>
          <w:sz w:val="24"/>
          <w:szCs w:val="22"/>
          <w:highlight w:val="none"/>
          <w:lang w:eastAsia="zh-CN"/>
        </w:rPr>
        <w:t>商务</w:t>
      </w:r>
      <w:r>
        <w:rPr>
          <w:rFonts w:hint="eastAsia" w:ascii="宋体" w:hAnsi="宋体" w:eastAsia="宋体" w:cs="宋体"/>
          <w:color w:val="auto"/>
          <w:sz w:val="24"/>
          <w:szCs w:val="22"/>
          <w:highlight w:val="none"/>
        </w:rPr>
        <w:t>技术文件或说明（如有）。</w:t>
      </w:r>
    </w:p>
    <w:p w14:paraId="55FCD8B0">
      <w:pPr>
        <w:pStyle w:val="8"/>
        <w:shd w:val="clear"/>
        <w:adjustRightInd w:val="0"/>
        <w:snapToGrid w:val="0"/>
        <w:spacing w:line="288" w:lineRule="auto"/>
        <w:rPr>
          <w:rFonts w:hint="eastAsia" w:ascii="宋体" w:hAnsi="宋体" w:eastAsia="宋体" w:cs="宋体"/>
          <w:b/>
          <w:color w:val="auto"/>
          <w:sz w:val="24"/>
          <w:highlight w:val="none"/>
        </w:rPr>
      </w:pPr>
      <w:r>
        <w:rPr>
          <w:rFonts w:hint="eastAsia" w:hAnsi="宋体" w:eastAsia="宋体" w:cs="宋体"/>
          <w:b/>
          <w:color w:val="auto"/>
          <w:sz w:val="24"/>
          <w:highlight w:val="none"/>
          <w:lang w:eastAsia="zh-CN"/>
        </w:rPr>
        <w:t>3.</w:t>
      </w:r>
      <w:r>
        <w:rPr>
          <w:rFonts w:hint="eastAsia" w:ascii="宋体" w:hAnsi="宋体" w:eastAsia="宋体" w:cs="宋体"/>
          <w:b/>
          <w:color w:val="auto"/>
          <w:sz w:val="24"/>
          <w:highlight w:val="none"/>
        </w:rPr>
        <w:t>报价文件</w:t>
      </w:r>
    </w:p>
    <w:p w14:paraId="7DEA0C1F">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（1）初次报价一览表（格式见第五部分格式</w:t>
      </w:r>
      <w:r>
        <w:rPr>
          <w:rFonts w:hint="eastAsia" w:ascii="宋体" w:hAnsi="宋体" w:eastAsia="宋体" w:cs="宋体"/>
          <w:color w:val="auto"/>
          <w:sz w:val="24"/>
          <w:szCs w:val="22"/>
          <w:highlight w:val="none"/>
          <w:lang w:val="en-US" w:eastAsia="zh-CN"/>
        </w:rPr>
        <w:t>八</w:t>
      </w:r>
      <w:r>
        <w:rPr>
          <w:rFonts w:hint="eastAsia" w:ascii="宋体" w:hAnsi="宋体" w:eastAsia="宋体" w:cs="宋体"/>
          <w:color w:val="auto"/>
          <w:sz w:val="24"/>
          <w:szCs w:val="22"/>
          <w:highlight w:val="none"/>
        </w:rPr>
        <w:t>）；</w:t>
      </w:r>
    </w:p>
    <w:p w14:paraId="2232DD9F">
      <w:pPr>
        <w:shd w:val="clear"/>
        <w:tabs>
          <w:tab w:val="left" w:pos="3780"/>
        </w:tabs>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（2）初次报价明细表（格式见第五部分格式</w:t>
      </w:r>
      <w:r>
        <w:rPr>
          <w:rFonts w:hint="eastAsia" w:ascii="宋体" w:hAnsi="宋体" w:eastAsia="宋体" w:cs="宋体"/>
          <w:color w:val="auto"/>
          <w:sz w:val="24"/>
          <w:szCs w:val="22"/>
          <w:highlight w:val="none"/>
          <w:lang w:val="en-US" w:eastAsia="zh-CN"/>
        </w:rPr>
        <w:t>九</w:t>
      </w:r>
      <w:r>
        <w:rPr>
          <w:rFonts w:hint="eastAsia" w:ascii="宋体" w:hAnsi="宋体" w:eastAsia="宋体" w:cs="宋体"/>
          <w:color w:val="auto"/>
          <w:sz w:val="24"/>
          <w:szCs w:val="22"/>
          <w:highlight w:val="none"/>
        </w:rPr>
        <w:t>）。</w:t>
      </w:r>
    </w:p>
    <w:p w14:paraId="4766604B">
      <w:pPr>
        <w:shd w:val="clear"/>
        <w:tabs>
          <w:tab w:val="left" w:pos="3780"/>
        </w:tabs>
        <w:spacing w:line="288" w:lineRule="auto"/>
        <w:ind w:firstLine="480" w:firstLineChars="200"/>
        <w:rPr>
          <w:rFonts w:ascii="宋体" w:hAnsi="宋体" w:cs="宋体"/>
          <w:color w:val="auto"/>
          <w:sz w:val="24"/>
          <w:highlight w:val="none"/>
          <w:u w:val="single"/>
        </w:rPr>
      </w:pPr>
      <w:r>
        <w:rPr>
          <w:rFonts w:ascii="宋体" w:hAnsi="宋体" w:cs="宋体"/>
          <w:color w:val="auto"/>
          <w:sz w:val="24"/>
          <w:szCs w:val="22"/>
          <w:highlight w:val="none"/>
          <w:u w:val="single"/>
          <w:lang w:val="zh-CN"/>
        </w:rPr>
        <w:t>磋商响应文件中所需的各种证书、证件、证明资料</w:t>
      </w:r>
      <w:r>
        <w:rPr>
          <w:rFonts w:ascii="宋体" w:hAnsi="宋体" w:cs="宋体"/>
          <w:color w:val="auto"/>
          <w:sz w:val="24"/>
          <w:szCs w:val="22"/>
          <w:highlight w:val="none"/>
          <w:u w:val="single"/>
        </w:rPr>
        <w:t>等</w:t>
      </w:r>
      <w:r>
        <w:rPr>
          <w:rFonts w:ascii="宋体" w:hAnsi="宋体" w:cs="宋体"/>
          <w:color w:val="auto"/>
          <w:sz w:val="24"/>
          <w:szCs w:val="22"/>
          <w:highlight w:val="none"/>
          <w:u w:val="single"/>
          <w:lang w:val="zh-CN"/>
        </w:rPr>
        <w:t>如是复印件，须在复印件上加盖有效公章。</w:t>
      </w:r>
    </w:p>
    <w:p w14:paraId="4ACDCA3D">
      <w:pPr>
        <w:pStyle w:val="23"/>
        <w:shd w:val="clear"/>
        <w:adjustRightInd w:val="0"/>
        <w:snapToGrid w:val="0"/>
        <w:spacing w:before="0" w:line="288" w:lineRule="auto"/>
        <w:ind w:firstLine="482"/>
        <w:rPr>
          <w:rFonts w:ascii="宋体" w:hAnsi="宋体" w:cs="宋体"/>
          <w:bCs/>
          <w:color w:val="auto"/>
          <w:highlight w:val="none"/>
          <w:u w:val="single"/>
        </w:rPr>
      </w:pPr>
      <w:r>
        <w:rPr>
          <w:rFonts w:ascii="宋体" w:hAnsi="宋体" w:cs="宋体"/>
          <w:b/>
          <w:color w:val="auto"/>
          <w:highlight w:val="none"/>
        </w:rPr>
        <w:t>（三）磋商响应报价</w:t>
      </w:r>
    </w:p>
    <w:p w14:paraId="3D6D7922">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1.</w:t>
      </w:r>
      <w:r>
        <w:rPr>
          <w:rFonts w:ascii="宋体" w:hAnsi="宋体" w:cs="宋体"/>
          <w:color w:val="auto"/>
          <w:highlight w:val="none"/>
        </w:rPr>
        <w:t>报价组成</w:t>
      </w:r>
    </w:p>
    <w:p w14:paraId="60CCE9F7">
      <w:pPr>
        <w:pStyle w:val="23"/>
        <w:shd w:val="clear"/>
        <w:adjustRightInd w:val="0"/>
        <w:snapToGrid w:val="0"/>
        <w:spacing w:before="0" w:line="288" w:lineRule="auto"/>
        <w:ind w:firstLine="480"/>
        <w:rPr>
          <w:rFonts w:hAnsi="宋体" w:cs="Arial"/>
          <w:color w:val="auto"/>
          <w:szCs w:val="22"/>
          <w:highlight w:val="none"/>
        </w:rPr>
      </w:pPr>
      <w:r>
        <w:rPr>
          <w:rFonts w:hAnsi="宋体" w:cs="Arial"/>
          <w:color w:val="auto"/>
          <w:szCs w:val="22"/>
          <w:highlight w:val="none"/>
        </w:rPr>
        <w:t>磋商报价承包总价必须包括但不限于有关本项目的</w:t>
      </w:r>
      <w:r>
        <w:rPr>
          <w:rFonts w:hint="eastAsia" w:hAnsi="宋体" w:cs="Arial"/>
          <w:color w:val="auto"/>
          <w:szCs w:val="22"/>
          <w:highlight w:val="none"/>
          <w:lang w:val="en-US" w:eastAsia="zh-CN"/>
        </w:rPr>
        <w:t>赛事</w:t>
      </w:r>
      <w:r>
        <w:rPr>
          <w:rFonts w:hAnsi="宋体" w:cs="Arial"/>
          <w:color w:val="auto"/>
          <w:szCs w:val="22"/>
          <w:highlight w:val="none"/>
        </w:rPr>
        <w:t>服务的全部费用、税费以及与该服务有关的一切不可预见费用均计入报价。采购文件未列明，而供应商认为必需的费用也需列入报价。</w:t>
      </w:r>
    </w:p>
    <w:p w14:paraId="03B83612">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2.</w:t>
      </w:r>
      <w:r>
        <w:rPr>
          <w:rFonts w:ascii="宋体" w:hAnsi="宋体" w:cs="宋体"/>
          <w:color w:val="auto"/>
          <w:highlight w:val="none"/>
        </w:rPr>
        <w:t>其它费用处理</w:t>
      </w:r>
    </w:p>
    <w:p w14:paraId="5D14132C">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磋商文件未列明，而磋商响应供应商认为必需的费用也需列入报价。磋商响应供应商在磋商响应报价中应充分考虑所有可能发生的费用，否则采购人将视磋商响应总价中已包括所有费用。</w:t>
      </w:r>
    </w:p>
    <w:p w14:paraId="74EF278E">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3.</w:t>
      </w:r>
      <w:r>
        <w:rPr>
          <w:rFonts w:ascii="宋体" w:hAnsi="宋体" w:cs="宋体"/>
          <w:color w:val="auto"/>
          <w:highlight w:val="none"/>
        </w:rPr>
        <w:t>磋商货币</w:t>
      </w:r>
    </w:p>
    <w:p w14:paraId="10027FC7">
      <w:pPr>
        <w:pStyle w:val="5"/>
        <w:shd w:val="clear"/>
        <w:snapToGrid w:val="0"/>
        <w:spacing w:line="288" w:lineRule="auto"/>
        <w:ind w:firstLine="480" w:firstLineChars="200"/>
        <w:rPr>
          <w:rFonts w:ascii="宋体" w:hAnsi="宋体" w:cs="宋体"/>
          <w:color w:val="auto"/>
          <w:highlight w:val="none"/>
        </w:rPr>
      </w:pPr>
      <w:r>
        <w:rPr>
          <w:rFonts w:ascii="宋体" w:hAnsi="宋体" w:cs="宋体"/>
          <w:color w:val="auto"/>
          <w:highlight w:val="none"/>
        </w:rPr>
        <w:t>磋商响应文件中价格全部采用人民币报价。</w:t>
      </w:r>
    </w:p>
    <w:p w14:paraId="55FD76A8">
      <w:pPr>
        <w:pStyle w:val="5"/>
        <w:shd w:val="clear"/>
        <w:snapToGrid w:val="0"/>
        <w:spacing w:line="288" w:lineRule="auto"/>
        <w:ind w:firstLine="480" w:firstLineChars="200"/>
        <w:rPr>
          <w:rFonts w:ascii="宋体" w:hAnsi="宋体" w:cs="宋体"/>
          <w:color w:val="auto"/>
          <w:highlight w:val="none"/>
        </w:rPr>
      </w:pPr>
      <w:r>
        <w:rPr>
          <w:rFonts w:ascii="宋体" w:hAnsi="宋体" w:cs="宋体"/>
          <w:color w:val="auto"/>
          <w:highlight w:val="none"/>
        </w:rPr>
        <w:t>报价应是唯一的，不接受有选择的报价。</w:t>
      </w:r>
    </w:p>
    <w:p w14:paraId="5251A743">
      <w:pPr>
        <w:shd w:val="clear"/>
        <w:autoSpaceDE w:val="0"/>
        <w:autoSpaceDN w:val="0"/>
        <w:adjustRightInd w:val="0"/>
        <w:snapToGrid w:val="0"/>
        <w:spacing w:line="288"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磋商响应供应商对在合同执行中，除上述费用及磋商文件规定的由成交人负责的工作范围以外需要采购人协调或提供便利的工作应当在磋商响应文件中说明。</w:t>
      </w:r>
      <w:bookmarkStart w:id="76" w:name="_Hlt75236011"/>
      <w:bookmarkEnd w:id="76"/>
    </w:p>
    <w:p w14:paraId="645FE645">
      <w:pPr>
        <w:shd w:val="clear"/>
        <w:adjustRightInd w:val="0"/>
        <w:snapToGrid w:val="0"/>
        <w:spacing w:line="288" w:lineRule="auto"/>
        <w:ind w:firstLine="480" w:firstLineChars="200"/>
        <w:rPr>
          <w:rFonts w:ascii="宋体" w:hAnsi="宋体" w:cs="宋体"/>
          <w:b/>
          <w:color w:val="auto"/>
          <w:sz w:val="24"/>
          <w:szCs w:val="24"/>
          <w:highlight w:val="none"/>
        </w:rPr>
      </w:pPr>
      <w:r>
        <w:rPr>
          <w:rFonts w:hint="eastAsia" w:ascii="宋体" w:hAnsi="宋体" w:cs="宋体"/>
          <w:color w:val="auto"/>
          <w:sz w:val="24"/>
          <w:highlight w:val="none"/>
          <w:lang w:eastAsia="zh-CN"/>
        </w:rPr>
        <w:t>5.</w:t>
      </w:r>
      <w:r>
        <w:rPr>
          <w:rFonts w:ascii="宋体" w:hAnsi="宋体" w:cs="宋体"/>
          <w:color w:val="auto"/>
          <w:sz w:val="24"/>
          <w:szCs w:val="24"/>
          <w:highlight w:val="none"/>
          <w:u w:val="single"/>
        </w:rPr>
        <w:t>报价是成交的一个重要因素，但最低报价不是成交的唯一依据。</w:t>
      </w:r>
    </w:p>
    <w:p w14:paraId="0088AAB6">
      <w:pPr>
        <w:pStyle w:val="23"/>
        <w:shd w:val="clear"/>
        <w:adjustRightInd w:val="0"/>
        <w:snapToGrid w:val="0"/>
        <w:spacing w:before="0" w:line="288" w:lineRule="auto"/>
        <w:ind w:firstLine="0" w:firstLineChars="0"/>
        <w:rPr>
          <w:rFonts w:ascii="宋体" w:hAnsi="宋体" w:cs="宋体"/>
          <w:b/>
          <w:color w:val="auto"/>
          <w:highlight w:val="none"/>
        </w:rPr>
      </w:pPr>
      <w:bookmarkStart w:id="77" w:name="_Toc91899887"/>
      <w:r>
        <w:rPr>
          <w:rFonts w:ascii="宋体" w:hAnsi="宋体" w:cs="宋体"/>
          <w:b/>
          <w:color w:val="auto"/>
          <w:highlight w:val="none"/>
        </w:rPr>
        <w:t>（四）磋商有效期</w:t>
      </w:r>
    </w:p>
    <w:p w14:paraId="43F67982">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1.</w:t>
      </w:r>
      <w:r>
        <w:rPr>
          <w:rFonts w:ascii="宋体" w:hAnsi="宋体" w:cs="宋体"/>
          <w:color w:val="auto"/>
          <w:highlight w:val="none"/>
        </w:rPr>
        <w:t>磋商响应文件合格投递后，自磋商截止日期起，至前附表规定的日期内有效。合同签订后，磋商响应文件作为合同附件，磋商响应文件有效期同合同有效期。</w:t>
      </w:r>
    </w:p>
    <w:p w14:paraId="6FF851DE">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2.</w:t>
      </w:r>
      <w:r>
        <w:rPr>
          <w:rFonts w:ascii="宋体" w:hAnsi="宋体" w:cs="宋体"/>
          <w:color w:val="auto"/>
          <w:highlight w:val="none"/>
        </w:rPr>
        <w:t xml:space="preserve"> 采购人如因故推迟磋商截止时间，将以书面形式通知所有磋商响应供应商。在这种情况下，采购人与磋商响应供应商以前在磋商截止期方面的全部权利、责任和义务，将适用于延长至新的磋商截止期。</w:t>
      </w:r>
    </w:p>
    <w:p w14:paraId="3A0F41AF">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3.</w:t>
      </w:r>
      <w:r>
        <w:rPr>
          <w:rFonts w:ascii="宋体" w:hAnsi="宋体" w:cs="宋体"/>
          <w:color w:val="auto"/>
          <w:highlight w:val="none"/>
        </w:rPr>
        <w:t>磋商响应供应商可拒绝接受延期要求。同意延长有效期的磋商响应供应商不能修改磋商响应文件。</w:t>
      </w:r>
    </w:p>
    <w:p w14:paraId="5B27524F">
      <w:pPr>
        <w:pStyle w:val="23"/>
        <w:shd w:val="clear"/>
        <w:adjustRightInd w:val="0"/>
        <w:snapToGrid w:val="0"/>
        <w:spacing w:before="0" w:line="288" w:lineRule="auto"/>
        <w:ind w:firstLine="480"/>
        <w:rPr>
          <w:rFonts w:ascii="宋体" w:hAnsi="宋体" w:cs="宋体"/>
          <w:color w:val="auto"/>
          <w:highlight w:val="none"/>
        </w:rPr>
      </w:pPr>
      <w:r>
        <w:rPr>
          <w:rFonts w:hint="eastAsia" w:ascii="宋体" w:hAnsi="宋体" w:cs="宋体"/>
          <w:color w:val="auto"/>
          <w:highlight w:val="none"/>
          <w:lang w:eastAsia="zh-CN"/>
        </w:rPr>
        <w:t>4.</w:t>
      </w:r>
      <w:r>
        <w:rPr>
          <w:rFonts w:ascii="宋体" w:hAnsi="宋体" w:cs="宋体"/>
          <w:color w:val="auto"/>
          <w:highlight w:val="none"/>
        </w:rPr>
        <w:t>响应截止后，在响应有效期内，供应商不能撤销响应文件。供应商强行撤销响应文件的，应按采购预算金额的2%赔偿对采购组织机构造成的损失。</w:t>
      </w:r>
    </w:p>
    <w:bookmarkEnd w:id="77"/>
    <w:p w14:paraId="42703435">
      <w:pPr>
        <w:shd w:val="clear"/>
        <w:adjustRightInd w:val="0"/>
        <w:snapToGrid w:val="0"/>
        <w:spacing w:line="288" w:lineRule="auto"/>
        <w:jc w:val="center"/>
        <w:outlineLvl w:val="1"/>
        <w:rPr>
          <w:rFonts w:ascii="宋体" w:hAnsi="宋体" w:cs="宋体"/>
          <w:b/>
          <w:color w:val="auto"/>
          <w:sz w:val="32"/>
          <w:highlight w:val="none"/>
        </w:rPr>
      </w:pPr>
      <w:bookmarkStart w:id="78" w:name="_Toc4441"/>
      <w:bookmarkStart w:id="79" w:name="_Toc12760"/>
      <w:bookmarkStart w:id="80" w:name="_Toc21961"/>
      <w:bookmarkStart w:id="81" w:name="_Toc6494380"/>
      <w:bookmarkStart w:id="82" w:name="_Toc24022"/>
      <w:bookmarkStart w:id="83" w:name="_Toc14662"/>
      <w:bookmarkStart w:id="84" w:name="_Toc91899892"/>
      <w:r>
        <w:rPr>
          <w:rFonts w:ascii="宋体" w:hAnsi="宋体" w:cs="宋体"/>
          <w:b/>
          <w:color w:val="auto"/>
          <w:sz w:val="32"/>
          <w:highlight w:val="none"/>
        </w:rPr>
        <w:t>四、磋商响应</w:t>
      </w:r>
      <w:bookmarkEnd w:id="78"/>
      <w:bookmarkEnd w:id="79"/>
      <w:bookmarkEnd w:id="80"/>
      <w:bookmarkEnd w:id="81"/>
      <w:bookmarkEnd w:id="82"/>
      <w:bookmarkEnd w:id="83"/>
    </w:p>
    <w:p w14:paraId="7DD38844">
      <w:pPr>
        <w:pStyle w:val="23"/>
        <w:shd w:val="clear"/>
        <w:adjustRightInd w:val="0"/>
        <w:snapToGrid w:val="0"/>
        <w:spacing w:before="0" w:line="288" w:lineRule="auto"/>
        <w:ind w:firstLine="0" w:firstLineChars="0"/>
        <w:rPr>
          <w:rFonts w:ascii="宋体" w:hAnsi="宋体" w:cs="宋体"/>
          <w:bCs/>
          <w:color w:val="auto"/>
          <w:szCs w:val="22"/>
          <w:highlight w:val="none"/>
        </w:rPr>
      </w:pPr>
      <w:r>
        <w:rPr>
          <w:rFonts w:ascii="宋体" w:hAnsi="宋体" w:cs="宋体"/>
          <w:bCs/>
          <w:color w:val="auto"/>
          <w:szCs w:val="22"/>
          <w:highlight w:val="none"/>
        </w:rPr>
        <w:t>（一）磋商响应文件的上传和递交</w:t>
      </w:r>
    </w:p>
    <w:p w14:paraId="30954EDF">
      <w:pPr>
        <w:shd w:val="clear"/>
        <w:adjustRightInd w:val="0"/>
        <w:snapToGrid w:val="0"/>
        <w:spacing w:line="288" w:lineRule="auto"/>
        <w:ind w:firstLine="482" w:firstLineChars="200"/>
        <w:rPr>
          <w:rFonts w:ascii="宋体" w:hAnsi="宋体" w:cs="宋体"/>
          <w:b/>
          <w:bCs/>
          <w:color w:val="auto"/>
          <w:sz w:val="24"/>
          <w:szCs w:val="22"/>
          <w:highlight w:val="none"/>
        </w:rPr>
      </w:pPr>
      <w:r>
        <w:rPr>
          <w:rFonts w:hint="eastAsia" w:ascii="宋体" w:hAnsi="宋体" w:cs="宋体"/>
          <w:b/>
          <w:bCs/>
          <w:color w:val="auto"/>
          <w:sz w:val="24"/>
          <w:szCs w:val="22"/>
          <w:highlight w:val="none"/>
          <w:lang w:eastAsia="zh-CN"/>
        </w:rPr>
        <w:t>1.</w:t>
      </w:r>
      <w:r>
        <w:rPr>
          <w:rFonts w:ascii="宋体" w:hAnsi="宋体" w:cs="宋体"/>
          <w:b/>
          <w:bCs/>
          <w:color w:val="auto"/>
          <w:sz w:val="24"/>
          <w:szCs w:val="22"/>
          <w:highlight w:val="none"/>
        </w:rPr>
        <w:t>“电子加密投标文件”的上传、递交：</w:t>
      </w:r>
    </w:p>
    <w:p w14:paraId="514EC1BF">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a.供应商应在磋商响应截止时间前将“电子加密投标文件”成功上传递交至“政府采购云平台”，否则投标无效。</w:t>
      </w:r>
    </w:p>
    <w:p w14:paraId="7C71338C">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b.“电子加密投标文件”成功上传递交后，供应商可自行打印磋商响应文件接收回执。</w:t>
      </w:r>
    </w:p>
    <w:p w14:paraId="685D5A67">
      <w:pPr>
        <w:shd w:val="clear"/>
        <w:adjustRightInd w:val="0"/>
        <w:snapToGrid w:val="0"/>
        <w:spacing w:line="288" w:lineRule="auto"/>
        <w:ind w:firstLine="482" w:firstLineChars="200"/>
        <w:rPr>
          <w:rFonts w:ascii="宋体" w:hAnsi="宋体" w:cs="宋体"/>
          <w:b/>
          <w:bCs/>
          <w:color w:val="auto"/>
          <w:sz w:val="24"/>
          <w:szCs w:val="22"/>
          <w:highlight w:val="none"/>
        </w:rPr>
      </w:pPr>
      <w:r>
        <w:rPr>
          <w:rFonts w:hint="eastAsia" w:ascii="宋体" w:hAnsi="宋体" w:cs="宋体"/>
          <w:b/>
          <w:bCs/>
          <w:color w:val="auto"/>
          <w:sz w:val="24"/>
          <w:szCs w:val="22"/>
          <w:highlight w:val="none"/>
          <w:lang w:eastAsia="zh-CN"/>
        </w:rPr>
        <w:t>2.</w:t>
      </w:r>
      <w:r>
        <w:rPr>
          <w:rFonts w:ascii="宋体" w:hAnsi="宋体" w:cs="宋体"/>
          <w:b/>
          <w:bCs/>
          <w:color w:val="auto"/>
          <w:sz w:val="24"/>
          <w:szCs w:val="22"/>
          <w:highlight w:val="none"/>
        </w:rPr>
        <w:t>“备份投标文件”的密封包装、递交：</w:t>
      </w:r>
    </w:p>
    <w:p w14:paraId="1BECBF5B">
      <w:pPr>
        <w:keepNext w:val="0"/>
        <w:keepLines w:val="0"/>
        <w:pageBreakBefore w:val="0"/>
        <w:shd w:val="clear"/>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b/>
          <w:bCs/>
          <w:color w:val="auto"/>
          <w:sz w:val="24"/>
          <w:szCs w:val="22"/>
          <w:highlight w:val="none"/>
        </w:rPr>
      </w:pPr>
      <w:r>
        <w:rPr>
          <w:rFonts w:ascii="宋体" w:hAnsi="宋体" w:cs="宋体"/>
          <w:b/>
          <w:bCs/>
          <w:color w:val="auto"/>
          <w:sz w:val="24"/>
          <w:szCs w:val="22"/>
          <w:highlight w:val="none"/>
        </w:rPr>
        <w:t>a.供应商在“政府采购云平台”完成“电子加密投标文件”的上传递交后，还可以（EMS或顺丰邮寄形式）在磋商响应截止时间前递交以介质（U盘）存储的 “备份投标文件”（一份）</w:t>
      </w:r>
      <w:r>
        <w:rPr>
          <w:rFonts w:hint="eastAsia" w:ascii="宋体" w:hAnsi="宋体" w:eastAsia="宋体" w:cs="宋体"/>
          <w:b/>
          <w:bCs/>
          <w:color w:val="auto"/>
          <w:sz w:val="24"/>
          <w:szCs w:val="22"/>
          <w:highlight w:val="none"/>
        </w:rPr>
        <w:t>；</w:t>
      </w:r>
    </w:p>
    <w:p w14:paraId="27C8FF78">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b.“备份投标文件”应当密封包装，并在包装上标注投标项目名称、供应商名称并加盖公章。没有密封包装或者逾期邮寄送达至投标地点的“备份投标文件”将不予接收；</w:t>
      </w:r>
    </w:p>
    <w:p w14:paraId="1AE862D5">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c.通过“政府采购云平台”成功上传递交的“电子加密投标文件”已按时解密的，“备份投标文件”自动失效。磋商响应截止时间前，供应商仅递交了“备份投标文件”而未将“电子加密投标文件”成功上传至“政府采购云平台”的，磋商响应无效。</w:t>
      </w:r>
    </w:p>
    <w:p w14:paraId="2E2DFF05">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d.电子备份投标文件，由供应商决定是否递交，并自行承担不递交电子备份投标文件的风险。</w:t>
      </w:r>
    </w:p>
    <w:p w14:paraId="3FA01DEC">
      <w:pPr>
        <w:shd w:val="clear"/>
        <w:adjustRightInd w:val="0"/>
        <w:snapToGrid w:val="0"/>
        <w:spacing w:line="288" w:lineRule="auto"/>
        <w:ind w:firstLine="482" w:firstLineChars="200"/>
        <w:rPr>
          <w:rFonts w:ascii="宋体" w:hAnsi="宋体" w:cs="宋体"/>
          <w:b/>
          <w:bCs/>
          <w:color w:val="auto"/>
          <w:sz w:val="24"/>
          <w:szCs w:val="22"/>
          <w:highlight w:val="none"/>
        </w:rPr>
      </w:pPr>
      <w:r>
        <w:rPr>
          <w:rFonts w:hint="eastAsia" w:ascii="宋体" w:hAnsi="宋体" w:cs="宋体"/>
          <w:b/>
          <w:bCs/>
          <w:color w:val="auto"/>
          <w:sz w:val="24"/>
          <w:szCs w:val="22"/>
          <w:highlight w:val="none"/>
          <w:lang w:eastAsia="zh-CN"/>
        </w:rPr>
        <w:t>3.</w:t>
      </w:r>
      <w:r>
        <w:rPr>
          <w:rFonts w:ascii="宋体" w:hAnsi="宋体" w:cs="宋体"/>
          <w:b/>
          <w:bCs/>
          <w:color w:val="auto"/>
          <w:sz w:val="24"/>
          <w:szCs w:val="22"/>
          <w:highlight w:val="none"/>
        </w:rPr>
        <w:t>采购人如因故推迟磋商响应截止时间，将以书面形式通知所有供应商。在这种情况下，采购人与供应商以前在磋商响应截止期方面的全部权利、责任和义务，将适用于延长至新的磋商响应截止期。</w:t>
      </w:r>
    </w:p>
    <w:p w14:paraId="573675AD">
      <w:pPr>
        <w:pStyle w:val="23"/>
        <w:shd w:val="clear"/>
        <w:adjustRightInd w:val="0"/>
        <w:snapToGrid w:val="0"/>
        <w:spacing w:before="0" w:line="288" w:lineRule="auto"/>
        <w:ind w:firstLine="0" w:firstLineChars="0"/>
        <w:rPr>
          <w:rFonts w:ascii="宋体" w:hAnsi="宋体" w:cs="宋体"/>
          <w:bCs/>
          <w:color w:val="auto"/>
          <w:szCs w:val="22"/>
          <w:highlight w:val="none"/>
        </w:rPr>
      </w:pPr>
      <w:r>
        <w:rPr>
          <w:rFonts w:ascii="宋体" w:hAnsi="宋体" w:cs="宋体"/>
          <w:bCs/>
          <w:color w:val="auto"/>
          <w:szCs w:val="22"/>
          <w:highlight w:val="none"/>
        </w:rPr>
        <w:t>（二）“电子加密投标文件”解密和异常情况处理</w:t>
      </w:r>
    </w:p>
    <w:p w14:paraId="3B5B3F3D">
      <w:pPr>
        <w:shd w:val="clear"/>
        <w:spacing w:line="288" w:lineRule="auto"/>
        <w:ind w:firstLine="482" w:firstLineChars="200"/>
        <w:rPr>
          <w:rFonts w:ascii="宋体" w:hAnsi="宋体" w:cs="宋体"/>
          <w:b/>
          <w:bCs/>
          <w:color w:val="auto"/>
          <w:sz w:val="24"/>
          <w:highlight w:val="none"/>
          <w:lang w:bidi="ar"/>
        </w:rPr>
      </w:pPr>
      <w:r>
        <w:rPr>
          <w:rFonts w:ascii="宋体" w:hAnsi="宋体" w:cs="宋体"/>
          <w:b/>
          <w:bCs/>
          <w:color w:val="auto"/>
          <w:sz w:val="24"/>
          <w:highlight w:val="none"/>
          <w:lang w:bidi="ar"/>
        </w:rPr>
        <w:t>（1）磋商会议开始后，采购组织机构将向各供应商发出“电子加密投标文件”的解密通知，各供应商代表应当在接到解密通知后30分钟内自行完成“电子加密投标文件”的在线解密。</w:t>
      </w:r>
    </w:p>
    <w:p w14:paraId="2EFC1D37">
      <w:pPr>
        <w:shd w:val="clear"/>
        <w:spacing w:line="288" w:lineRule="auto"/>
        <w:ind w:firstLine="482" w:firstLineChars="200"/>
        <w:rPr>
          <w:rFonts w:ascii="宋体" w:hAnsi="宋体" w:cs="宋体"/>
          <w:b/>
          <w:bCs/>
          <w:color w:val="auto"/>
          <w:sz w:val="24"/>
          <w:highlight w:val="none"/>
          <w:lang w:bidi="ar"/>
        </w:rPr>
      </w:pPr>
      <w:r>
        <w:rPr>
          <w:rFonts w:ascii="宋体" w:hAnsi="宋体" w:cs="宋体"/>
          <w:b/>
          <w:bCs/>
          <w:color w:val="auto"/>
          <w:sz w:val="24"/>
          <w:highlight w:val="none"/>
          <w:lang w:bidi="ar"/>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w:t>
      </w:r>
      <w:r>
        <w:rPr>
          <w:rFonts w:ascii="宋体" w:hAnsi="宋体" w:cs="宋体"/>
          <w:b/>
          <w:bCs/>
          <w:color w:val="auto"/>
          <w:sz w:val="24"/>
          <w:szCs w:val="22"/>
          <w:highlight w:val="none"/>
        </w:rPr>
        <w:t>磋商响应</w:t>
      </w:r>
      <w:r>
        <w:rPr>
          <w:rFonts w:ascii="宋体" w:hAnsi="宋体" w:cs="宋体"/>
          <w:b/>
          <w:bCs/>
          <w:color w:val="auto"/>
          <w:sz w:val="24"/>
          <w:highlight w:val="none"/>
          <w:lang w:bidi="ar"/>
        </w:rPr>
        <w:t>文件撤回。</w:t>
      </w:r>
    </w:p>
    <w:p w14:paraId="34527747">
      <w:pPr>
        <w:pStyle w:val="23"/>
        <w:shd w:val="clear"/>
        <w:adjustRightInd w:val="0"/>
        <w:snapToGrid w:val="0"/>
        <w:spacing w:before="0" w:line="288" w:lineRule="auto"/>
        <w:ind w:firstLine="482"/>
        <w:rPr>
          <w:rFonts w:ascii="宋体" w:hAnsi="宋体" w:cs="宋体"/>
          <w:b/>
          <w:bCs/>
          <w:color w:val="auto"/>
          <w:highlight w:val="none"/>
          <w:lang w:bidi="ar"/>
        </w:rPr>
      </w:pPr>
      <w:r>
        <w:rPr>
          <w:rFonts w:ascii="宋体" w:hAnsi="宋体" w:cs="宋体"/>
          <w:b/>
          <w:bCs/>
          <w:color w:val="auto"/>
          <w:highlight w:val="none"/>
          <w:lang w:bidi="ar"/>
        </w:rPr>
        <w:t>（3）</w:t>
      </w:r>
      <w:r>
        <w:rPr>
          <w:rFonts w:ascii="宋体" w:hAnsi="宋体" w:cs="宋体"/>
          <w:b/>
          <w:bCs/>
          <w:color w:val="auto"/>
          <w:szCs w:val="22"/>
          <w:highlight w:val="none"/>
        </w:rPr>
        <w:t>磋商响应</w:t>
      </w:r>
      <w:r>
        <w:rPr>
          <w:rFonts w:ascii="宋体" w:hAnsi="宋体" w:cs="宋体"/>
          <w:b/>
          <w:bCs/>
          <w:color w:val="auto"/>
          <w:highlight w:val="none"/>
          <w:lang w:bidi="ar"/>
        </w:rPr>
        <w:t>截止时间前，供应商仅递交了“备份投标文件”而未将电子加密投标文件上传至“政府采购云平台”的，</w:t>
      </w:r>
      <w:r>
        <w:rPr>
          <w:rFonts w:ascii="宋体" w:hAnsi="宋体" w:cs="宋体"/>
          <w:b/>
          <w:bCs/>
          <w:color w:val="auto"/>
          <w:szCs w:val="22"/>
          <w:highlight w:val="none"/>
        </w:rPr>
        <w:t>磋商响应</w:t>
      </w:r>
      <w:r>
        <w:rPr>
          <w:rFonts w:ascii="宋体" w:hAnsi="宋体" w:cs="宋体"/>
          <w:b/>
          <w:bCs/>
          <w:color w:val="auto"/>
          <w:highlight w:val="none"/>
          <w:lang w:bidi="ar"/>
        </w:rPr>
        <w:t>无效。</w:t>
      </w:r>
    </w:p>
    <w:p w14:paraId="219926F5">
      <w:pPr>
        <w:pStyle w:val="23"/>
        <w:shd w:val="clear"/>
        <w:adjustRightInd w:val="0"/>
        <w:snapToGrid w:val="0"/>
        <w:spacing w:before="0" w:line="288" w:lineRule="auto"/>
        <w:ind w:firstLine="0" w:firstLineChars="0"/>
        <w:rPr>
          <w:rFonts w:ascii="宋体" w:hAnsi="宋体" w:cs="宋体"/>
          <w:bCs/>
          <w:color w:val="auto"/>
          <w:highlight w:val="none"/>
        </w:rPr>
      </w:pPr>
      <w:r>
        <w:rPr>
          <w:rFonts w:ascii="宋体" w:hAnsi="宋体" w:cs="宋体"/>
          <w:bCs/>
          <w:color w:val="auto"/>
          <w:szCs w:val="22"/>
          <w:highlight w:val="none"/>
        </w:rPr>
        <w:t>（三）磋商响应</w:t>
      </w:r>
      <w:r>
        <w:rPr>
          <w:rFonts w:ascii="宋体" w:hAnsi="宋体" w:cs="宋体"/>
          <w:bCs/>
          <w:color w:val="auto"/>
          <w:highlight w:val="none"/>
        </w:rPr>
        <w:t>文件的修改与撤回</w:t>
      </w:r>
    </w:p>
    <w:p w14:paraId="41901B84">
      <w:pPr>
        <w:shd w:val="clear"/>
        <w:spacing w:line="288" w:lineRule="auto"/>
        <w:ind w:firstLine="426" w:firstLineChars="177"/>
        <w:rPr>
          <w:rFonts w:ascii="宋体" w:hAnsi="宋体" w:cs="宋体"/>
          <w:color w:val="auto"/>
          <w:kern w:val="0"/>
          <w:sz w:val="24"/>
          <w:highlight w:val="none"/>
        </w:rPr>
      </w:pPr>
      <w:r>
        <w:rPr>
          <w:rFonts w:hint="eastAsia" w:ascii="宋体" w:hAnsi="宋体" w:cs="宋体"/>
          <w:b/>
          <w:color w:val="auto"/>
          <w:kern w:val="0"/>
          <w:sz w:val="24"/>
          <w:highlight w:val="none"/>
          <w:lang w:eastAsia="zh-CN"/>
        </w:rPr>
        <w:t>1.</w:t>
      </w:r>
      <w:r>
        <w:rPr>
          <w:rFonts w:ascii="宋体" w:hAnsi="宋体" w:cs="宋体"/>
          <w:b/>
          <w:color w:val="auto"/>
          <w:kern w:val="0"/>
          <w:sz w:val="24"/>
          <w:highlight w:val="none"/>
        </w:rPr>
        <w:t>供应商应当在</w:t>
      </w:r>
      <w:r>
        <w:rPr>
          <w:rFonts w:ascii="宋体" w:hAnsi="宋体" w:cs="宋体"/>
          <w:b/>
          <w:bCs/>
          <w:color w:val="auto"/>
          <w:sz w:val="24"/>
          <w:szCs w:val="22"/>
          <w:highlight w:val="none"/>
        </w:rPr>
        <w:t>磋商响应</w:t>
      </w:r>
      <w:r>
        <w:rPr>
          <w:rFonts w:ascii="宋体" w:hAnsi="宋体" w:cs="宋体"/>
          <w:b/>
          <w:color w:val="auto"/>
          <w:kern w:val="0"/>
          <w:sz w:val="24"/>
          <w:highlight w:val="none"/>
        </w:rPr>
        <w:t>截止时间前完成</w:t>
      </w:r>
      <w:r>
        <w:rPr>
          <w:rFonts w:ascii="宋体" w:hAnsi="宋体" w:cs="宋体"/>
          <w:b/>
          <w:bCs/>
          <w:color w:val="auto"/>
          <w:sz w:val="24"/>
          <w:szCs w:val="22"/>
          <w:highlight w:val="none"/>
        </w:rPr>
        <w:t>磋商响应</w:t>
      </w:r>
      <w:r>
        <w:rPr>
          <w:rFonts w:ascii="宋体" w:hAnsi="宋体" w:cs="宋体"/>
          <w:b/>
          <w:color w:val="auto"/>
          <w:kern w:val="0"/>
          <w:sz w:val="24"/>
          <w:highlight w:val="none"/>
        </w:rPr>
        <w:t>文件的上传、递交，并可以补充、修改或者撤回</w:t>
      </w:r>
      <w:r>
        <w:rPr>
          <w:rFonts w:ascii="宋体" w:hAnsi="宋体" w:cs="宋体"/>
          <w:b/>
          <w:bCs/>
          <w:color w:val="auto"/>
          <w:sz w:val="24"/>
          <w:szCs w:val="22"/>
          <w:highlight w:val="none"/>
        </w:rPr>
        <w:t>磋商响应</w:t>
      </w:r>
      <w:r>
        <w:rPr>
          <w:rFonts w:ascii="宋体" w:hAnsi="宋体" w:cs="宋体"/>
          <w:b/>
          <w:color w:val="auto"/>
          <w:kern w:val="0"/>
          <w:sz w:val="24"/>
          <w:highlight w:val="none"/>
        </w:rPr>
        <w:t>文件。补充或者修改</w:t>
      </w:r>
      <w:r>
        <w:rPr>
          <w:rFonts w:ascii="宋体" w:hAnsi="宋体" w:cs="宋体"/>
          <w:b/>
          <w:bCs/>
          <w:color w:val="auto"/>
          <w:sz w:val="24"/>
          <w:szCs w:val="22"/>
          <w:highlight w:val="none"/>
        </w:rPr>
        <w:t>磋商响应</w:t>
      </w:r>
      <w:r>
        <w:rPr>
          <w:rFonts w:ascii="宋体" w:hAnsi="宋体" w:cs="宋体"/>
          <w:b/>
          <w:color w:val="auto"/>
          <w:kern w:val="0"/>
          <w:sz w:val="24"/>
          <w:highlight w:val="none"/>
        </w:rPr>
        <w:t>文件的，应当先行撤回原文件，补充、修改后重新上传、递交。</w:t>
      </w:r>
      <w:r>
        <w:rPr>
          <w:rFonts w:ascii="宋体" w:hAnsi="宋体" w:cs="宋体"/>
          <w:b/>
          <w:bCs/>
          <w:color w:val="auto"/>
          <w:sz w:val="24"/>
          <w:szCs w:val="22"/>
          <w:highlight w:val="none"/>
        </w:rPr>
        <w:t>磋商响应</w:t>
      </w:r>
      <w:r>
        <w:rPr>
          <w:rFonts w:ascii="宋体" w:hAnsi="宋体" w:cs="宋体"/>
          <w:b/>
          <w:color w:val="auto"/>
          <w:kern w:val="0"/>
          <w:sz w:val="24"/>
          <w:highlight w:val="none"/>
        </w:rPr>
        <w:t>截止时间前未完成上传、递交的，视为撤回</w:t>
      </w:r>
      <w:r>
        <w:rPr>
          <w:rFonts w:ascii="宋体" w:hAnsi="宋体" w:cs="宋体"/>
          <w:b/>
          <w:bCs/>
          <w:color w:val="auto"/>
          <w:sz w:val="24"/>
          <w:szCs w:val="22"/>
          <w:highlight w:val="none"/>
        </w:rPr>
        <w:t>磋商响应</w:t>
      </w:r>
      <w:r>
        <w:rPr>
          <w:rFonts w:ascii="宋体" w:hAnsi="宋体" w:cs="宋体"/>
          <w:b/>
          <w:color w:val="auto"/>
          <w:kern w:val="0"/>
          <w:sz w:val="24"/>
          <w:highlight w:val="none"/>
        </w:rPr>
        <w:t>文件。</w:t>
      </w:r>
      <w:r>
        <w:rPr>
          <w:rFonts w:ascii="宋体" w:hAnsi="宋体" w:cs="宋体"/>
          <w:b/>
          <w:bCs/>
          <w:color w:val="auto"/>
          <w:sz w:val="24"/>
          <w:szCs w:val="22"/>
          <w:highlight w:val="none"/>
        </w:rPr>
        <w:t>磋商响应</w:t>
      </w:r>
      <w:r>
        <w:rPr>
          <w:rFonts w:ascii="宋体" w:hAnsi="宋体" w:cs="宋体"/>
          <w:b/>
          <w:color w:val="auto"/>
          <w:kern w:val="0"/>
          <w:sz w:val="24"/>
          <w:highlight w:val="none"/>
        </w:rPr>
        <w:t>截止时间后递交的</w:t>
      </w:r>
      <w:r>
        <w:rPr>
          <w:rFonts w:ascii="宋体" w:hAnsi="宋体" w:cs="宋体"/>
          <w:b/>
          <w:bCs/>
          <w:color w:val="auto"/>
          <w:sz w:val="24"/>
          <w:szCs w:val="22"/>
          <w:highlight w:val="none"/>
        </w:rPr>
        <w:t>磋商响应</w:t>
      </w:r>
      <w:r>
        <w:rPr>
          <w:rFonts w:ascii="宋体" w:hAnsi="宋体" w:cs="宋体"/>
          <w:b/>
          <w:color w:val="auto"/>
          <w:kern w:val="0"/>
          <w:sz w:val="24"/>
          <w:highlight w:val="none"/>
        </w:rPr>
        <w:t>文件，“政府采购云平台”将予以拒收。</w:t>
      </w:r>
    </w:p>
    <w:p w14:paraId="2203179E">
      <w:pPr>
        <w:shd w:val="clear"/>
        <w:spacing w:line="288" w:lineRule="auto"/>
        <w:ind w:firstLine="426" w:firstLineChars="177"/>
        <w:rPr>
          <w:rFonts w:ascii="宋体" w:hAnsi="宋体" w:cs="宋体"/>
          <w:b/>
          <w:color w:val="auto"/>
          <w:kern w:val="0"/>
          <w:sz w:val="24"/>
          <w:highlight w:val="none"/>
        </w:rPr>
      </w:pPr>
      <w:r>
        <w:rPr>
          <w:rFonts w:hint="eastAsia" w:ascii="宋体" w:hAnsi="宋体" w:cs="宋体"/>
          <w:b/>
          <w:color w:val="auto"/>
          <w:kern w:val="0"/>
          <w:sz w:val="24"/>
          <w:highlight w:val="none"/>
          <w:lang w:eastAsia="zh-CN"/>
        </w:rPr>
        <w:t>2.</w:t>
      </w:r>
      <w:r>
        <w:rPr>
          <w:rFonts w:ascii="宋体" w:hAnsi="宋体" w:cs="宋体"/>
          <w:b/>
          <w:bCs/>
          <w:color w:val="auto"/>
          <w:sz w:val="24"/>
          <w:szCs w:val="22"/>
          <w:highlight w:val="none"/>
        </w:rPr>
        <w:t>磋商响应</w:t>
      </w:r>
      <w:r>
        <w:rPr>
          <w:rFonts w:ascii="宋体" w:hAnsi="宋体" w:cs="宋体"/>
          <w:b/>
          <w:color w:val="auto"/>
          <w:kern w:val="0"/>
          <w:sz w:val="24"/>
          <w:highlight w:val="none"/>
        </w:rPr>
        <w:t>截止时间后，供应商不得撤回、修改《投标文件》。</w:t>
      </w:r>
    </w:p>
    <w:bookmarkEnd w:id="84"/>
    <w:p w14:paraId="6F0C601F">
      <w:pPr>
        <w:shd w:val="clear"/>
        <w:adjustRightInd w:val="0"/>
        <w:snapToGrid w:val="0"/>
        <w:spacing w:line="288" w:lineRule="auto"/>
        <w:jc w:val="center"/>
        <w:outlineLvl w:val="1"/>
        <w:rPr>
          <w:rFonts w:ascii="宋体" w:hAnsi="宋体" w:cs="宋体"/>
          <w:b/>
          <w:color w:val="auto"/>
          <w:sz w:val="32"/>
          <w:highlight w:val="none"/>
        </w:rPr>
      </w:pPr>
      <w:bookmarkStart w:id="85" w:name="_Toc233618976"/>
      <w:bookmarkStart w:id="86" w:name="_Toc91899897"/>
      <w:bookmarkStart w:id="87" w:name="_Toc6494381"/>
      <w:bookmarkStart w:id="88" w:name="_Toc3040"/>
      <w:bookmarkStart w:id="89" w:name="_Toc29249"/>
      <w:bookmarkStart w:id="90" w:name="_Toc2201"/>
      <w:bookmarkStart w:id="91" w:name="_Toc4330"/>
      <w:bookmarkStart w:id="92" w:name="_Toc1485"/>
      <w:r>
        <w:rPr>
          <w:rFonts w:ascii="宋体" w:hAnsi="宋体" w:cs="宋体"/>
          <w:b/>
          <w:color w:val="auto"/>
          <w:sz w:val="32"/>
          <w:highlight w:val="none"/>
        </w:rPr>
        <w:t>五、</w:t>
      </w:r>
      <w:bookmarkEnd w:id="85"/>
      <w:bookmarkEnd w:id="86"/>
      <w:r>
        <w:rPr>
          <w:rFonts w:ascii="宋体" w:hAnsi="宋体" w:cs="宋体"/>
          <w:b/>
          <w:color w:val="auto"/>
          <w:sz w:val="32"/>
          <w:highlight w:val="none"/>
        </w:rPr>
        <w:t>磋商文件开启</w:t>
      </w:r>
      <w:bookmarkEnd w:id="87"/>
      <w:bookmarkEnd w:id="88"/>
      <w:bookmarkEnd w:id="89"/>
      <w:bookmarkEnd w:id="90"/>
      <w:bookmarkEnd w:id="91"/>
      <w:bookmarkEnd w:id="92"/>
    </w:p>
    <w:p w14:paraId="4B1B930E">
      <w:pPr>
        <w:pStyle w:val="4"/>
        <w:shd w:val="clear"/>
        <w:spacing w:before="0" w:after="0" w:line="288" w:lineRule="auto"/>
        <w:jc w:val="both"/>
        <w:rPr>
          <w:rFonts w:ascii="宋体" w:hAnsi="宋体" w:cs="宋体"/>
          <w:color w:val="auto"/>
          <w:sz w:val="24"/>
          <w:szCs w:val="24"/>
          <w:highlight w:val="none"/>
        </w:rPr>
      </w:pPr>
      <w:r>
        <w:rPr>
          <w:rFonts w:ascii="宋体" w:hAnsi="宋体" w:cs="宋体"/>
          <w:color w:val="auto"/>
          <w:sz w:val="24"/>
          <w:szCs w:val="24"/>
          <w:highlight w:val="none"/>
        </w:rPr>
        <w:t>（一）开标形式</w:t>
      </w:r>
    </w:p>
    <w:p w14:paraId="1F454B8A">
      <w:pPr>
        <w:shd w:val="clear"/>
        <w:spacing w:line="288" w:lineRule="auto"/>
        <w:ind w:firstLine="426" w:firstLineChars="177"/>
        <w:rPr>
          <w:rFonts w:ascii="宋体" w:hAnsi="宋体" w:cs="宋体"/>
          <w:b/>
          <w:color w:val="auto"/>
          <w:sz w:val="24"/>
          <w:highlight w:val="none"/>
        </w:rPr>
      </w:pPr>
      <w:r>
        <w:rPr>
          <w:rFonts w:hint="eastAsia" w:ascii="宋体" w:hAnsi="宋体" w:cs="宋体"/>
          <w:b/>
          <w:color w:val="auto"/>
          <w:sz w:val="24"/>
          <w:highlight w:val="none"/>
          <w:lang w:eastAsia="zh-CN"/>
        </w:rPr>
        <w:t>1.</w:t>
      </w:r>
      <w:r>
        <w:rPr>
          <w:rFonts w:ascii="宋体" w:hAnsi="宋体" w:cs="宋体"/>
          <w:b/>
          <w:color w:val="auto"/>
          <w:sz w:val="24"/>
          <w:highlight w:val="none"/>
        </w:rPr>
        <w:t>采购组织机构将按照磋商文件规定的时间通过“政府采购云平台”组织磋商、开启磋商响应文件，所有供应商均应当准时在线参加。</w:t>
      </w:r>
    </w:p>
    <w:p w14:paraId="2222F8E7">
      <w:pPr>
        <w:pStyle w:val="4"/>
        <w:shd w:val="clear"/>
        <w:spacing w:before="0" w:after="0" w:line="288" w:lineRule="auto"/>
        <w:jc w:val="both"/>
        <w:rPr>
          <w:rFonts w:ascii="宋体" w:hAnsi="宋体" w:cs="宋体"/>
          <w:color w:val="auto"/>
          <w:sz w:val="24"/>
          <w:szCs w:val="24"/>
          <w:highlight w:val="none"/>
        </w:rPr>
      </w:pPr>
      <w:r>
        <w:rPr>
          <w:rFonts w:ascii="宋体" w:hAnsi="宋体" w:cs="宋体"/>
          <w:color w:val="auto"/>
          <w:sz w:val="24"/>
          <w:szCs w:val="24"/>
          <w:highlight w:val="none"/>
        </w:rPr>
        <w:t>（二）开标准备</w:t>
      </w:r>
    </w:p>
    <w:p w14:paraId="340EC491">
      <w:pPr>
        <w:shd w:val="clear"/>
        <w:spacing w:line="288" w:lineRule="auto"/>
        <w:ind w:firstLine="422" w:firstLineChars="176"/>
        <w:rPr>
          <w:rFonts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ascii="宋体" w:hAnsi="宋体" w:cs="宋体"/>
          <w:color w:val="auto"/>
          <w:kern w:val="0"/>
          <w:sz w:val="24"/>
          <w:highlight w:val="none"/>
        </w:rPr>
        <w:t>磋商的准备工作由采购组织机构负责落实；</w:t>
      </w:r>
    </w:p>
    <w:p w14:paraId="09EBC827">
      <w:pPr>
        <w:shd w:val="clear"/>
        <w:spacing w:line="288" w:lineRule="auto"/>
        <w:ind w:firstLine="422" w:firstLineChars="176"/>
        <w:rPr>
          <w:rFonts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ascii="宋体" w:hAnsi="宋体" w:cs="宋体"/>
          <w:b/>
          <w:color w:val="auto"/>
          <w:sz w:val="24"/>
          <w:highlight w:val="none"/>
        </w:rPr>
        <w:t>采购组织机构将按照磋商文件规定的时间通过“政府采购云平台”组织磋商、开启磋商响应文件，所有供应商均应当准时在线参加。</w:t>
      </w:r>
      <w:r>
        <w:rPr>
          <w:rFonts w:ascii="宋体" w:hAnsi="宋体" w:cs="宋体"/>
          <w:b/>
          <w:color w:val="auto"/>
          <w:kern w:val="0"/>
          <w:sz w:val="24"/>
          <w:highlight w:val="none"/>
        </w:rPr>
        <w:t>供应商如不参加开标大会的，视同认可开标结果，事后不得对采购相关人员、磋商过程和磋商结果提出异议，同时供应商因未在线参加开标而导致</w:t>
      </w:r>
      <w:r>
        <w:rPr>
          <w:rFonts w:ascii="宋体" w:hAnsi="宋体" w:cs="宋体"/>
          <w:b/>
          <w:color w:val="auto"/>
          <w:sz w:val="24"/>
          <w:highlight w:val="none"/>
        </w:rPr>
        <w:t>磋商响应</w:t>
      </w:r>
      <w:r>
        <w:rPr>
          <w:rFonts w:ascii="宋体" w:hAnsi="宋体" w:cs="宋体"/>
          <w:b/>
          <w:color w:val="auto"/>
          <w:kern w:val="0"/>
          <w:sz w:val="24"/>
          <w:highlight w:val="none"/>
        </w:rPr>
        <w:t>文件无法按时解密等一切后果由供应商自己承担。</w:t>
      </w:r>
    </w:p>
    <w:p w14:paraId="125A9A2C">
      <w:pPr>
        <w:pStyle w:val="4"/>
        <w:shd w:val="clear"/>
        <w:spacing w:before="0" w:after="0" w:line="288" w:lineRule="auto"/>
        <w:jc w:val="both"/>
        <w:rPr>
          <w:rFonts w:ascii="宋体" w:hAnsi="宋体" w:cs="宋体"/>
          <w:color w:val="auto"/>
          <w:sz w:val="24"/>
          <w:szCs w:val="24"/>
          <w:highlight w:val="none"/>
        </w:rPr>
      </w:pPr>
      <w:r>
        <w:rPr>
          <w:rFonts w:ascii="宋体" w:hAnsi="宋体" w:cs="宋体"/>
          <w:color w:val="auto"/>
          <w:sz w:val="24"/>
          <w:szCs w:val="24"/>
          <w:highlight w:val="none"/>
        </w:rPr>
        <w:t>（三）组织磋商活动</w:t>
      </w:r>
    </w:p>
    <w:p w14:paraId="764D86E0">
      <w:pPr>
        <w:shd w:val="clear"/>
        <w:spacing w:line="288" w:lineRule="auto"/>
        <w:ind w:firstLine="424" w:firstLineChars="177"/>
        <w:rPr>
          <w:rFonts w:ascii="宋体" w:hAnsi="宋体" w:cs="宋体"/>
          <w:color w:val="auto"/>
          <w:sz w:val="24"/>
          <w:highlight w:val="none"/>
        </w:rPr>
      </w:pPr>
      <w:bookmarkStart w:id="93" w:name="_Toc91899903"/>
      <w:r>
        <w:rPr>
          <w:rFonts w:hint="eastAsia" w:ascii="宋体" w:hAnsi="宋体" w:cs="宋体"/>
          <w:color w:val="auto"/>
          <w:sz w:val="24"/>
          <w:highlight w:val="none"/>
          <w:lang w:eastAsia="zh-CN"/>
        </w:rPr>
        <w:t>1.</w:t>
      </w:r>
      <w:r>
        <w:rPr>
          <w:rFonts w:ascii="宋体" w:hAnsi="宋体" w:cs="宋体"/>
          <w:color w:val="auto"/>
          <w:sz w:val="24"/>
          <w:highlight w:val="none"/>
        </w:rPr>
        <w:t>磋商小组所有成员应当集中与单一供应商分别进行磋商，并将给予所有参加磋商的供应商平等的磋商机会。</w:t>
      </w:r>
    </w:p>
    <w:p w14:paraId="0552A5D3">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在磋商过程中，磋商小组经采购人代表确认后可以根据采购文件和磋商情况实质性变动采购需求中的技术、服务要求以及合同草案条款。对采购文件作出的实质性变动是采购文件的有效组成部分，磋商小组以书面形式通过政府采购云平台通知所有参加磋商的供应商。</w:t>
      </w:r>
    </w:p>
    <w:p w14:paraId="779078AD">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rPr>
        <w:t xml:space="preserve"> 供应商按照采购文件的变动情况和磋商小组的要求进行承诺并作为磋商响应文件的一部分，并加盖单位公章，上传政府采购云平台。</w:t>
      </w:r>
    </w:p>
    <w:p w14:paraId="0B72DB5C">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 xml:space="preserve"> 已提交响应文件的供应商，在提交最后报价之前，可以根据磋商情况退出磋商。</w:t>
      </w:r>
    </w:p>
    <w:p w14:paraId="20C44DB2">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rPr>
        <w:t xml:space="preserve"> 在政府采购云平台中汇总各供应商的商务技术得分，通知供应商经评审无效的理由。</w:t>
      </w:r>
    </w:p>
    <w:p w14:paraId="4438F506">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6.</w:t>
      </w:r>
      <w:r>
        <w:rPr>
          <w:rFonts w:ascii="宋体" w:hAnsi="宋体" w:cs="宋体"/>
          <w:color w:val="auto"/>
          <w:sz w:val="24"/>
          <w:highlight w:val="none"/>
        </w:rPr>
        <w:t>磋商结束后，磋商小组将要求所有实质性响应的供应商按政府采购云平台规定时间内分别进行最后报价，最后报价是供应商响应文件的有效组成部分。</w:t>
      </w:r>
    </w:p>
    <w:p w14:paraId="42E5199F">
      <w:pPr>
        <w:shd w:val="clear"/>
        <w:spacing w:line="288" w:lineRule="auto"/>
        <w:ind w:firstLine="424" w:firstLineChars="177"/>
        <w:rPr>
          <w:rFonts w:ascii="宋体" w:hAnsi="宋体" w:cs="宋体"/>
          <w:color w:val="auto"/>
          <w:sz w:val="24"/>
          <w:highlight w:val="none"/>
        </w:rPr>
      </w:pPr>
      <w:bookmarkStart w:id="94" w:name="_Toc23368"/>
      <w:bookmarkStart w:id="95" w:name="_Toc24550037"/>
      <w:bookmarkStart w:id="96" w:name="_Toc33194393"/>
      <w:bookmarkStart w:id="97" w:name="_Toc642"/>
      <w:r>
        <w:rPr>
          <w:rFonts w:hint="eastAsia" w:ascii="宋体" w:hAnsi="宋体" w:cs="宋体"/>
          <w:color w:val="auto"/>
          <w:sz w:val="24"/>
          <w:highlight w:val="none"/>
          <w:lang w:eastAsia="zh-CN"/>
        </w:rPr>
        <w:t>7.</w:t>
      </w:r>
      <w:r>
        <w:rPr>
          <w:rFonts w:ascii="宋体" w:hAnsi="宋体" w:cs="宋体"/>
          <w:color w:val="auto"/>
          <w:sz w:val="24"/>
          <w:highlight w:val="none"/>
        </w:rPr>
        <w:t>待所有供应商报价上传政府采购云平台完成后，统一开启供应商的最后报价，同时当场制作并打印开标记录表，由供应商代表、唱标人、记录人和现场监督员在开标记录表上签字确认（供应商代表未签字且未说明理由，视为无异议）。磋商小组对报价的合理性进行审查核实、评分，政府采购云平台汇总各供应商最终得分，并在政府采购云平台上公布得分结果。</w:t>
      </w:r>
    </w:p>
    <w:p w14:paraId="7DF425C4">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8.</w:t>
      </w:r>
      <w:r>
        <w:rPr>
          <w:rFonts w:ascii="宋体" w:hAnsi="宋体" w:cs="宋体"/>
          <w:color w:val="auto"/>
          <w:sz w:val="24"/>
          <w:highlight w:val="none"/>
        </w:rPr>
        <w:t xml:space="preserve"> 磋商的任何一方不得透露与磋商有关的其他供应商的技术资料、价格和其他信息。</w:t>
      </w:r>
    </w:p>
    <w:p w14:paraId="07B95918">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9.</w:t>
      </w:r>
      <w:r>
        <w:rPr>
          <w:rFonts w:ascii="宋体" w:hAnsi="宋体" w:cs="宋体"/>
          <w:color w:val="auto"/>
          <w:sz w:val="24"/>
          <w:highlight w:val="none"/>
        </w:rPr>
        <w:t>采购代理机构对相关磋商内容进行记录，以存档备查。</w:t>
      </w:r>
    </w:p>
    <w:p w14:paraId="7A8478AC">
      <w:pPr>
        <w:shd w:val="clear"/>
        <w:spacing w:line="288" w:lineRule="auto"/>
        <w:ind w:firstLine="424" w:firstLineChars="177"/>
        <w:rPr>
          <w:rFonts w:ascii="宋体" w:hAnsi="宋体" w:cs="宋体"/>
          <w:color w:val="auto"/>
          <w:sz w:val="24"/>
          <w:highlight w:val="none"/>
        </w:rPr>
      </w:pPr>
      <w:r>
        <w:rPr>
          <w:rFonts w:hint="eastAsia" w:ascii="宋体" w:hAnsi="宋体" w:cs="宋体"/>
          <w:color w:val="auto"/>
          <w:sz w:val="24"/>
          <w:highlight w:val="none"/>
          <w:lang w:eastAsia="zh-CN"/>
        </w:rPr>
        <w:t>10.</w:t>
      </w:r>
      <w:r>
        <w:rPr>
          <w:rFonts w:ascii="宋体" w:hAnsi="宋体" w:cs="宋体"/>
          <w:color w:val="auto"/>
          <w:sz w:val="24"/>
          <w:highlight w:val="none"/>
        </w:rPr>
        <w:t xml:space="preserve"> 磋商评审期间，供应商应随时随地答复磋商</w:t>
      </w:r>
      <w:r>
        <w:rPr>
          <w:rFonts w:hint="eastAsia" w:ascii="宋体" w:hAnsi="宋体" w:cs="宋体"/>
          <w:color w:val="auto"/>
          <w:sz w:val="24"/>
          <w:highlight w:val="none"/>
          <w:lang w:eastAsia="zh-CN"/>
        </w:rPr>
        <w:t>小组</w:t>
      </w:r>
      <w:r>
        <w:rPr>
          <w:rFonts w:ascii="宋体" w:hAnsi="宋体" w:cs="宋体"/>
          <w:color w:val="auto"/>
          <w:sz w:val="24"/>
          <w:highlight w:val="none"/>
        </w:rPr>
        <w:t>提出的问题，解答包括有关的商务、技术问题等，并按磋商小组要求及时形成磋商承诺。</w:t>
      </w:r>
    </w:p>
    <w:p w14:paraId="4C662D7D">
      <w:pPr>
        <w:pStyle w:val="3"/>
        <w:numPr>
          <w:ilvl w:val="0"/>
          <w:numId w:val="0"/>
        </w:numPr>
        <w:shd w:val="clear"/>
        <w:spacing w:line="288" w:lineRule="auto"/>
        <w:rPr>
          <w:rFonts w:ascii="宋体" w:hAnsi="宋体" w:eastAsia="宋体" w:cs="宋体"/>
          <w:color w:val="auto"/>
          <w:sz w:val="24"/>
          <w:szCs w:val="24"/>
          <w:highlight w:val="none"/>
        </w:rPr>
      </w:pPr>
      <w:bookmarkStart w:id="98" w:name="_Toc4405"/>
      <w:bookmarkStart w:id="99" w:name="_Toc22036"/>
      <w:bookmarkStart w:id="100" w:name="_Toc909"/>
      <w:r>
        <w:rPr>
          <w:rFonts w:ascii="宋体" w:hAnsi="宋体" w:eastAsia="宋体" w:cs="宋体"/>
          <w:color w:val="auto"/>
          <w:sz w:val="24"/>
          <w:szCs w:val="24"/>
          <w:highlight w:val="none"/>
        </w:rPr>
        <w:t>（四）供应商资格审查</w:t>
      </w:r>
      <w:bookmarkEnd w:id="94"/>
      <w:bookmarkEnd w:id="95"/>
      <w:bookmarkEnd w:id="96"/>
      <w:bookmarkEnd w:id="97"/>
      <w:bookmarkEnd w:id="98"/>
      <w:bookmarkEnd w:id="99"/>
      <w:bookmarkEnd w:id="100"/>
    </w:p>
    <w:p w14:paraId="0105D67E">
      <w:pPr>
        <w:shd w:val="clear"/>
        <w:spacing w:line="288" w:lineRule="auto"/>
        <w:ind w:firstLine="426" w:firstLineChars="177"/>
        <w:rPr>
          <w:rFonts w:ascii="宋体" w:hAnsi="宋体" w:cs="宋体"/>
          <w:color w:val="auto"/>
          <w:sz w:val="24"/>
          <w:highlight w:val="none"/>
        </w:rPr>
      </w:pPr>
      <w:r>
        <w:rPr>
          <w:rFonts w:hint="eastAsia" w:ascii="宋体" w:hAnsi="宋体" w:cs="宋体"/>
          <w:b/>
          <w:color w:val="auto"/>
          <w:sz w:val="24"/>
          <w:highlight w:val="none"/>
          <w:lang w:eastAsia="zh-CN"/>
        </w:rPr>
        <w:t>1.</w:t>
      </w:r>
      <w:r>
        <w:rPr>
          <w:rFonts w:ascii="宋体" w:hAnsi="宋体" w:cs="宋体"/>
          <w:b/>
          <w:color w:val="auto"/>
          <w:sz w:val="24"/>
          <w:highlight w:val="none"/>
        </w:rPr>
        <w:t>磋商小组首先依法对各供应商的资格进行审查，审查各供应商的资格是否满足磋商文件的要求。</w:t>
      </w:r>
      <w:r>
        <w:rPr>
          <w:rFonts w:ascii="宋体" w:hAnsi="宋体" w:cs="宋体"/>
          <w:color w:val="auto"/>
          <w:sz w:val="24"/>
          <w:szCs w:val="22"/>
          <w:highlight w:val="none"/>
        </w:rPr>
        <w:t>磋商小组</w:t>
      </w:r>
      <w:r>
        <w:rPr>
          <w:rFonts w:ascii="宋体" w:hAnsi="宋体" w:cs="宋体"/>
          <w:color w:val="auto"/>
          <w:sz w:val="24"/>
          <w:highlight w:val="none"/>
        </w:rPr>
        <w:t>对供应商所提交的资格证明材料仅负审核的责任。如发现供应商所提交的资格证明材料不合法或与事实不符，采购人可取消其成交资格并追究供应商的法律责任。</w:t>
      </w:r>
    </w:p>
    <w:p w14:paraId="5E6340F3">
      <w:pPr>
        <w:shd w:val="clear"/>
        <w:spacing w:line="288" w:lineRule="auto"/>
        <w:ind w:firstLine="426" w:firstLineChars="177"/>
        <w:rPr>
          <w:rFonts w:ascii="宋体" w:hAnsi="宋体" w:cs="宋体"/>
          <w:b/>
          <w:color w:val="auto"/>
          <w:kern w:val="0"/>
          <w:sz w:val="24"/>
          <w:highlight w:val="none"/>
        </w:rPr>
      </w:pPr>
      <w:r>
        <w:rPr>
          <w:rFonts w:hint="eastAsia" w:ascii="宋体" w:hAnsi="宋体" w:cs="宋体"/>
          <w:b/>
          <w:color w:val="auto"/>
          <w:sz w:val="24"/>
          <w:highlight w:val="none"/>
          <w:lang w:eastAsia="zh-CN"/>
        </w:rPr>
        <w:t>2.</w:t>
      </w:r>
      <w:r>
        <w:rPr>
          <w:rFonts w:ascii="宋体" w:hAnsi="宋体" w:cs="宋体"/>
          <w:b/>
          <w:color w:val="auto"/>
          <w:sz w:val="24"/>
          <w:highlight w:val="none"/>
        </w:rPr>
        <w:t>供应商提交的资格证明材料无法证明其符合磋商文件规定的“供应商资格要求”的，磋商小组</w:t>
      </w:r>
      <w:r>
        <w:rPr>
          <w:rFonts w:ascii="宋体" w:hAnsi="宋体" w:cs="宋体"/>
          <w:b/>
          <w:color w:val="auto"/>
          <w:kern w:val="0"/>
          <w:sz w:val="24"/>
          <w:highlight w:val="none"/>
        </w:rPr>
        <w:t>将对其作资格审查不通过处理（无效投标），并不再将其投标提交评标委员会进行后续评审。</w:t>
      </w:r>
    </w:p>
    <w:p w14:paraId="5105E7D3">
      <w:pPr>
        <w:shd w:val="clear"/>
        <w:spacing w:line="288" w:lineRule="auto"/>
        <w:ind w:firstLine="426" w:firstLineChars="177"/>
        <w:rPr>
          <w:rFonts w:ascii="宋体" w:hAnsi="宋体" w:cs="宋体"/>
          <w:b/>
          <w:color w:val="auto"/>
          <w:kern w:val="0"/>
          <w:sz w:val="24"/>
          <w:highlight w:val="none"/>
        </w:rPr>
      </w:pPr>
      <w:r>
        <w:rPr>
          <w:rFonts w:hint="eastAsia" w:ascii="宋体" w:hAnsi="宋体" w:cs="宋体"/>
          <w:b/>
          <w:color w:val="auto"/>
          <w:kern w:val="0"/>
          <w:sz w:val="24"/>
          <w:highlight w:val="none"/>
          <w:lang w:eastAsia="zh-CN"/>
        </w:rPr>
        <w:t>3.</w:t>
      </w:r>
      <w:r>
        <w:rPr>
          <w:rFonts w:ascii="宋体" w:hAnsi="宋体" w:cs="宋体"/>
          <w:b/>
          <w:color w:val="auto"/>
          <w:kern w:val="0"/>
          <w:sz w:val="24"/>
          <w:highlight w:val="none"/>
        </w:rPr>
        <w:t>单位负责人为同一人或者存在直接控股、管理关系的不同供应商</w:t>
      </w:r>
      <w:r>
        <w:rPr>
          <w:rFonts w:hint="eastAsia" w:ascii="宋体" w:hAnsi="宋体" w:cs="宋体"/>
          <w:b/>
          <w:color w:val="auto"/>
          <w:kern w:val="0"/>
          <w:sz w:val="24"/>
          <w:highlight w:val="none"/>
          <w:lang w:val="en-US" w:eastAsia="zh-CN"/>
        </w:rPr>
        <w:t>分别</w:t>
      </w:r>
      <w:r>
        <w:rPr>
          <w:rFonts w:ascii="宋体" w:hAnsi="宋体" w:cs="宋体"/>
          <w:b/>
          <w:color w:val="auto"/>
          <w:kern w:val="0"/>
          <w:sz w:val="24"/>
          <w:highlight w:val="none"/>
        </w:rPr>
        <w:t>参加同一合同项下的政府采购活动的，相关供应商均作资格无效处理。</w:t>
      </w:r>
    </w:p>
    <w:p w14:paraId="7BDAF3A5">
      <w:pPr>
        <w:shd w:val="clear"/>
        <w:adjustRightInd w:val="0"/>
        <w:snapToGrid w:val="0"/>
        <w:spacing w:line="288" w:lineRule="auto"/>
        <w:jc w:val="center"/>
        <w:outlineLvl w:val="1"/>
        <w:rPr>
          <w:rFonts w:ascii="宋体" w:hAnsi="宋体" w:cs="宋体"/>
          <w:b/>
          <w:color w:val="auto"/>
          <w:sz w:val="32"/>
          <w:highlight w:val="none"/>
        </w:rPr>
      </w:pPr>
      <w:bookmarkStart w:id="101" w:name="_Toc233618977"/>
      <w:bookmarkStart w:id="102" w:name="_Toc91899902"/>
      <w:bookmarkStart w:id="103" w:name="_Toc5479"/>
      <w:bookmarkStart w:id="104" w:name="_Toc12915"/>
      <w:bookmarkStart w:id="105" w:name="_Toc23888"/>
      <w:bookmarkStart w:id="106" w:name="_Toc654"/>
      <w:bookmarkStart w:id="107" w:name="_Toc6494382"/>
      <w:bookmarkStart w:id="108" w:name="_Toc23876"/>
      <w:r>
        <w:rPr>
          <w:rFonts w:ascii="宋体" w:hAnsi="宋体" w:cs="宋体"/>
          <w:b/>
          <w:color w:val="auto"/>
          <w:sz w:val="32"/>
          <w:highlight w:val="none"/>
        </w:rPr>
        <w:t>六、</w:t>
      </w:r>
      <w:bookmarkEnd w:id="101"/>
      <w:bookmarkEnd w:id="102"/>
      <w:r>
        <w:rPr>
          <w:rFonts w:ascii="宋体" w:hAnsi="宋体" w:cs="宋体"/>
          <w:b/>
          <w:color w:val="auto"/>
          <w:sz w:val="32"/>
          <w:highlight w:val="none"/>
        </w:rPr>
        <w:t>磋商</w:t>
      </w:r>
      <w:bookmarkEnd w:id="103"/>
      <w:bookmarkEnd w:id="104"/>
      <w:bookmarkEnd w:id="105"/>
      <w:bookmarkEnd w:id="106"/>
      <w:bookmarkEnd w:id="107"/>
      <w:bookmarkEnd w:id="108"/>
    </w:p>
    <w:p w14:paraId="6EB8FF0B">
      <w:pPr>
        <w:pStyle w:val="22"/>
        <w:shd w:val="clear"/>
        <w:adjustRightInd w:val="0"/>
        <w:snapToGrid w:val="0"/>
        <w:spacing w:line="288" w:lineRule="auto"/>
        <w:rPr>
          <w:rFonts w:hAnsi="宋体" w:cs="宋体"/>
          <w:b/>
          <w:color w:val="auto"/>
          <w:sz w:val="24"/>
          <w:highlight w:val="none"/>
        </w:rPr>
      </w:pPr>
      <w:r>
        <w:rPr>
          <w:rFonts w:hAnsi="宋体" w:cs="宋体"/>
          <w:b/>
          <w:color w:val="auto"/>
          <w:sz w:val="24"/>
          <w:highlight w:val="none"/>
        </w:rPr>
        <w:t>（一）磋商组织</w:t>
      </w:r>
    </w:p>
    <w:p w14:paraId="71D6F5BA">
      <w:pPr>
        <w:pStyle w:val="22"/>
        <w:shd w:val="clear"/>
        <w:spacing w:line="288" w:lineRule="auto"/>
        <w:ind w:firstLine="470" w:firstLineChars="196"/>
        <w:rPr>
          <w:rFonts w:hAnsi="宋体" w:cs="宋体"/>
          <w:color w:val="auto"/>
          <w:sz w:val="24"/>
          <w:highlight w:val="none"/>
        </w:rPr>
      </w:pPr>
      <w:r>
        <w:rPr>
          <w:rFonts w:hAnsi="宋体" w:cs="宋体"/>
          <w:color w:val="auto"/>
          <w:sz w:val="24"/>
          <w:highlight w:val="none"/>
        </w:rPr>
        <w:t>本项目磋商小组由3人</w:t>
      </w:r>
      <w:r>
        <w:rPr>
          <w:rFonts w:hint="eastAsia" w:hAnsi="宋体" w:cs="宋体"/>
          <w:color w:val="auto"/>
          <w:sz w:val="24"/>
          <w:highlight w:val="none"/>
          <w:lang w:eastAsia="zh-CN"/>
        </w:rPr>
        <w:t>（</w:t>
      </w:r>
      <w:r>
        <w:rPr>
          <w:rFonts w:hAnsi="宋体" w:cs="宋体"/>
          <w:color w:val="auto"/>
          <w:sz w:val="24"/>
          <w:highlight w:val="none"/>
        </w:rPr>
        <w:t>含</w:t>
      </w:r>
      <w:r>
        <w:rPr>
          <w:rFonts w:hint="eastAsia" w:hAnsi="宋体" w:cs="宋体"/>
          <w:color w:val="auto"/>
          <w:sz w:val="24"/>
          <w:highlight w:val="none"/>
          <w:lang w:eastAsia="zh-CN"/>
        </w:rPr>
        <w:t>）</w:t>
      </w:r>
      <w:r>
        <w:rPr>
          <w:rFonts w:hAnsi="宋体" w:cs="宋体"/>
          <w:color w:val="auto"/>
          <w:sz w:val="24"/>
          <w:highlight w:val="none"/>
        </w:rPr>
        <w:t>以上单数的人员组成，负责对磋商响应文件进行审查、质询、评审和比较等。磋商小组</w:t>
      </w:r>
      <w:r>
        <w:rPr>
          <w:rFonts w:hAnsi="宋体" w:cs="宋体"/>
          <w:color w:val="auto"/>
          <w:sz w:val="24"/>
          <w:highlight w:val="none"/>
          <w:lang w:val="zh-CN"/>
        </w:rPr>
        <w:t>由采购咨询专家和采购人代表组成，其中采购咨询专家人数不少于成员总数的三分之二。</w:t>
      </w:r>
    </w:p>
    <w:p w14:paraId="1F458CA7">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（二）磋商原则</w:t>
      </w:r>
    </w:p>
    <w:p w14:paraId="3308C69C">
      <w:pPr>
        <w:pStyle w:val="22"/>
        <w:shd w:val="clear"/>
        <w:adjustRightInd w:val="0"/>
        <w:snapToGrid w:val="0"/>
        <w:spacing w:line="288" w:lineRule="auto"/>
        <w:ind w:firstLine="480" w:firstLineChars="200"/>
        <w:rPr>
          <w:rFonts w:hAnsi="宋体" w:cs="宋体"/>
          <w:color w:val="auto"/>
          <w:sz w:val="24"/>
          <w:highlight w:val="none"/>
        </w:rPr>
      </w:pPr>
      <w:r>
        <w:rPr>
          <w:rFonts w:hint="eastAsia" w:hAnsi="宋体" w:cs="宋体"/>
          <w:color w:val="auto"/>
          <w:sz w:val="24"/>
          <w:highlight w:val="none"/>
          <w:lang w:eastAsia="zh-CN"/>
        </w:rPr>
        <w:t>1.</w:t>
      </w:r>
      <w:r>
        <w:rPr>
          <w:rFonts w:hAnsi="宋体" w:cs="宋体"/>
          <w:color w:val="auto"/>
          <w:sz w:val="24"/>
          <w:highlight w:val="none"/>
        </w:rPr>
        <w:t>竞争优选；</w:t>
      </w:r>
    </w:p>
    <w:p w14:paraId="00E32E44">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公平、公正、科学合理</w:t>
      </w:r>
      <w:r>
        <w:rPr>
          <w:rFonts w:ascii="宋体" w:hAnsi="宋体" w:cs="宋体"/>
          <w:color w:val="auto"/>
          <w:sz w:val="24"/>
          <w:highlight w:val="none"/>
          <w:lang w:val="zh-CN"/>
        </w:rPr>
        <w:t>；</w:t>
      </w:r>
    </w:p>
    <w:p w14:paraId="71A6AF34">
      <w:pPr>
        <w:shd w:val="clear"/>
        <w:adjustRightInd w:val="0"/>
        <w:snapToGrid w:val="0"/>
        <w:spacing w:line="288"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w:t>
      </w:r>
      <w:r>
        <w:rPr>
          <w:rFonts w:ascii="宋体" w:hAnsi="宋体" w:cs="宋体"/>
          <w:color w:val="auto"/>
          <w:sz w:val="24"/>
          <w:highlight w:val="none"/>
        </w:rPr>
        <w:t>价格合理，方案、产品先进可行；</w:t>
      </w:r>
    </w:p>
    <w:p w14:paraId="42382F1A">
      <w:pPr>
        <w:shd w:val="clear"/>
        <w:adjustRightInd w:val="0"/>
        <w:snapToGrid w:val="0"/>
        <w:spacing w:line="288"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w:t>
      </w:r>
      <w:r>
        <w:rPr>
          <w:rFonts w:ascii="宋体" w:hAnsi="宋体" w:cs="宋体"/>
          <w:color w:val="auto"/>
          <w:sz w:val="24"/>
          <w:highlight w:val="none"/>
          <w:lang w:val="zh-CN"/>
        </w:rPr>
        <w:t>反对不正当竞争。</w:t>
      </w:r>
    </w:p>
    <w:p w14:paraId="518B10C4">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（三）磋商纪律</w:t>
      </w:r>
    </w:p>
    <w:p w14:paraId="03BA387E">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磋商小组成员要严格遵守磋商纪律、保密、回避等相关规定，依法独立履行磋商职责，客观、公正、审慎参与磋商工作；</w:t>
      </w:r>
    </w:p>
    <w:p w14:paraId="59C24F86">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严格遵守磋商时间，因突发情况确实不能按时参加磋商的，应事先告知磋商组织机构；</w:t>
      </w:r>
    </w:p>
    <w:p w14:paraId="4E4A03BE">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服从磋商组织机构的现场管理，主动出示身份证明，进入磋商区域后应主动寄存移动通讯工具，按要求佩戴工作牌；</w:t>
      </w:r>
    </w:p>
    <w:p w14:paraId="5C1A3A25">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rPr>
        <w:t>与磋商响应供应商或磋商小组其他成员存在利害关系的，要主动回避，自觉签订《政府采购评审人员廉洁自律承诺书》；</w:t>
      </w:r>
    </w:p>
    <w:p w14:paraId="4B665188">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保持磋商现场安静，不在磋商现场随意走动，因发生不可预见情况确需与外界联系或暂时离开磋商现场的，应向现场监督员说明情况，征得同意后在监控区域内进行相关活动，并应接受相关工作人员的监督；</w:t>
      </w:r>
    </w:p>
    <w:p w14:paraId="45A16BD6">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rPr>
        <w:t>自觉遵守职业道德，尊重采购人代表和磋商响应供应商代表，配合磋商组织机构回答磋商响应供应商代表提出的有关异议；</w:t>
      </w:r>
    </w:p>
    <w:p w14:paraId="39042C73">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ascii="宋体" w:hAnsi="宋体" w:cs="宋体"/>
          <w:color w:val="auto"/>
          <w:sz w:val="24"/>
          <w:highlight w:val="none"/>
        </w:rPr>
        <w:t>不得将磋商过程、结果和磋商响应供应商的商业秘密透露给任何单位和个人。未公告磋商结果前不准泄露磋商结果，不准将磋商资料带出会场；</w:t>
      </w:r>
    </w:p>
    <w:p w14:paraId="5A3268ED">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ascii="宋体" w:hAnsi="宋体" w:cs="宋体"/>
          <w:color w:val="auto"/>
          <w:sz w:val="24"/>
          <w:highlight w:val="none"/>
        </w:rPr>
        <w:t>磋商过程中，涉及到相关法律法规不清楚之处的，由采购人监管部门或请示权威部门作出法定解释，涉及到磋商文件的由编制磋商文件的机构和部门负责解释。</w:t>
      </w:r>
    </w:p>
    <w:p w14:paraId="5F66F3D4">
      <w:pPr>
        <w:shd w:val="clear"/>
        <w:adjustRightInd w:val="0"/>
        <w:snapToGrid w:val="0"/>
        <w:spacing w:line="288"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eastAsia="zh-CN"/>
        </w:rPr>
        <w:t>8.</w:t>
      </w:r>
      <w:r>
        <w:rPr>
          <w:rFonts w:ascii="宋体" w:hAnsi="宋体" w:cs="宋体"/>
          <w:color w:val="auto"/>
          <w:sz w:val="24"/>
          <w:highlight w:val="none"/>
        </w:rPr>
        <w:t>如实行暗标评审的，其磋商响应文件和产品样品的评审编号和编号保管，由监督人员负责；在磋商小组成员评分完成后，再将磋商响应供应商的磋商响应文件和提供的产品样品编号交评委。</w:t>
      </w:r>
    </w:p>
    <w:p w14:paraId="301D57F7">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（四） 磋商程序</w:t>
      </w:r>
    </w:p>
    <w:p w14:paraId="54A14F60">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在磋商专家中推选磋商小组组长，优先推选资深专家为组长；</w:t>
      </w:r>
    </w:p>
    <w:p w14:paraId="5452F15D">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磋商小组组长召集成员认真阅读磋商文件以及相关补充、质疑、答复文件、项目书面说明等材料，熟悉磋商项目的基本概况、质量要求、数量、主要技术标准或服务需求，合同主要条款，磋商响应文件无效情形，评分方法、磋商依据、评分标准等；</w:t>
      </w:r>
    </w:p>
    <w:p w14:paraId="2A900497">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u w:val="single"/>
        </w:rPr>
        <w:t>资格审查</w:t>
      </w:r>
      <w:r>
        <w:rPr>
          <w:rFonts w:ascii="宋体" w:hAnsi="宋体" w:cs="宋体"/>
          <w:color w:val="auto"/>
          <w:sz w:val="24"/>
          <w:highlight w:val="none"/>
        </w:rPr>
        <w:t>，经采购人书面授权的磋商小组按照磋商文件要求对磋商响应供应商逐一进行资格审查；</w:t>
      </w:r>
    </w:p>
    <w:p w14:paraId="6D5B201C">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highlight w:val="none"/>
          <w:lang w:eastAsia="zh-CN"/>
        </w:rPr>
        <w:t>4.</w:t>
      </w:r>
      <w:r>
        <w:rPr>
          <w:rFonts w:ascii="宋体" w:hAnsi="宋体" w:cs="宋体"/>
          <w:color w:val="auto"/>
          <w:sz w:val="24"/>
          <w:szCs w:val="22"/>
          <w:highlight w:val="none"/>
          <w:u w:val="single"/>
        </w:rPr>
        <w:t>符合性检查</w:t>
      </w:r>
      <w:r>
        <w:rPr>
          <w:rFonts w:ascii="宋体" w:hAnsi="宋体" w:cs="宋体"/>
          <w:color w:val="auto"/>
          <w:sz w:val="24"/>
          <w:highlight w:val="none"/>
        </w:rPr>
        <w:t>，磋商人员对通过资格审</w:t>
      </w:r>
      <w:r>
        <w:rPr>
          <w:rFonts w:ascii="宋体" w:hAnsi="宋体" w:cs="宋体"/>
          <w:color w:val="auto"/>
          <w:sz w:val="24"/>
          <w:szCs w:val="22"/>
          <w:highlight w:val="none"/>
        </w:rPr>
        <w:t>查的各磋商响应文件依据竞争性磋商文件的规定，从响应文件的有效性、完整性和对竞争性磋商文件的响应程度进行审查，以确定是否对竞争性磋商文件的实质性要求作出响应。</w:t>
      </w:r>
    </w:p>
    <w:p w14:paraId="5B977843">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u w:val="single"/>
        </w:rPr>
        <w:t>磋商</w:t>
      </w:r>
      <w:r>
        <w:rPr>
          <w:rFonts w:ascii="宋体" w:hAnsi="宋体" w:cs="宋体"/>
          <w:color w:val="auto"/>
          <w:sz w:val="24"/>
          <w:highlight w:val="none"/>
        </w:rPr>
        <w:t>，磋商小组所有成员应当集中与单一供应商分别进行磋商，并可以根据磋商文件和磋商情况实质性变动采购需求中的技术、服务要求以及合同草案条款，但不得变动磋商文件中的其他内容。实质性变动的内容，须经采购人代表确认。</w:t>
      </w:r>
    </w:p>
    <w:p w14:paraId="5F30D25C">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对磋商文件作出的实质性变动是磋商文件的有效组成部分并书面形式同时通知所有参加磋商的磋商响应供应商。</w:t>
      </w:r>
    </w:p>
    <w:p w14:paraId="4B716496">
      <w:pPr>
        <w:shd w:val="clear"/>
        <w:spacing w:line="288" w:lineRule="auto"/>
        <w:ind w:firstLine="480" w:firstLineChars="200"/>
        <w:jc w:val="left"/>
        <w:rPr>
          <w:rFonts w:ascii="宋体" w:hAnsi="宋体" w:cs="宋体"/>
          <w:color w:val="auto"/>
          <w:sz w:val="24"/>
          <w:highlight w:val="none"/>
        </w:rPr>
      </w:pPr>
      <w:r>
        <w:rPr>
          <w:rFonts w:ascii="宋体" w:hAnsi="宋体" w:cs="宋体"/>
          <w:color w:val="auto"/>
          <w:sz w:val="24"/>
          <w:highlight w:val="none"/>
        </w:rPr>
        <w:t>供应商按照采购文件的变动情况和磋商小组的要求进行承诺并作为磋商响应文件的一部分，并加盖单位公章，上传政府采购云平台。</w:t>
      </w:r>
    </w:p>
    <w:p w14:paraId="4EF6607F">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highlight w:val="none"/>
          <w:lang w:eastAsia="zh-CN"/>
        </w:rPr>
        <w:t>6.</w:t>
      </w:r>
      <w:r>
        <w:rPr>
          <w:rFonts w:ascii="宋体" w:hAnsi="宋体" w:cs="宋体"/>
          <w:color w:val="auto"/>
          <w:sz w:val="24"/>
          <w:szCs w:val="22"/>
          <w:highlight w:val="none"/>
        </w:rPr>
        <w:t>磋商小组成员对各磋商响应文件非实质性内容有疑议或异议，或者审查发现明显的文字或计算错误等，及时向磋商小组组长提出。经磋商小组商议认为需要磋商响应供应商作出必要澄清或说明的，应通知该磋商响应供应商代表以书面形式作出澄清或说明；</w:t>
      </w:r>
    </w:p>
    <w:p w14:paraId="26B03179">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7.</w:t>
      </w:r>
      <w:r>
        <w:rPr>
          <w:rFonts w:ascii="宋体" w:hAnsi="宋体" w:cs="宋体"/>
          <w:color w:val="auto"/>
          <w:sz w:val="24"/>
          <w:szCs w:val="22"/>
          <w:highlight w:val="none"/>
        </w:rPr>
        <w:t>商务技术评分，磋商人员按磋商文件规定的评分方法和评分标准，依法独立对磋商响应文件（含磋商过程中因要求实质性变动所重新提交的响应材料）商务技术部分进行评估、比较，并给予评价或打分，不受任何单位和个人的干预；</w:t>
      </w:r>
    </w:p>
    <w:p w14:paraId="7748B5ED">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8.</w:t>
      </w:r>
      <w:r>
        <w:rPr>
          <w:rFonts w:ascii="宋体" w:hAnsi="宋体" w:cs="宋体"/>
          <w:color w:val="auto"/>
          <w:sz w:val="24"/>
          <w:szCs w:val="22"/>
          <w:highlight w:val="none"/>
        </w:rPr>
        <w:t>磋商小组对商务技术部分评审结果进行确认，现场监督员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3501A05">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szCs w:val="22"/>
          <w:highlight w:val="none"/>
          <w:lang w:eastAsia="zh-CN"/>
        </w:rPr>
        <w:t>9.</w:t>
      </w:r>
      <w:r>
        <w:rPr>
          <w:rFonts w:ascii="宋体" w:hAnsi="宋体" w:cs="宋体"/>
          <w:color w:val="auto"/>
          <w:sz w:val="24"/>
          <w:highlight w:val="none"/>
        </w:rPr>
        <w:t>磋商文件能够详细列明采购标的的技术、服务要求的，磋商结束后，磋商小组应当要求所有实质性响应的磋商响应供应商在规定时间内提交最后报价。提交最后报价的供应商不得少于3家。</w:t>
      </w:r>
    </w:p>
    <w:p w14:paraId="20B01C6C">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磋商文件不能详细列明采购标的的技术、服务要求，需经磋商由磋商响应供应商提供最终设计方案或解决方案的，磋商结束后，磋商小组应当按照少数服从多数的原则投票推荐3家以上磋商响应供应商的设计方案或者解决方案，并要求其在规定时间内提交最后报价。</w:t>
      </w:r>
    </w:p>
    <w:p w14:paraId="02021BD3">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10.</w:t>
      </w:r>
      <w:r>
        <w:rPr>
          <w:rFonts w:ascii="宋体" w:hAnsi="宋体" w:cs="宋体"/>
          <w:color w:val="auto"/>
          <w:sz w:val="24"/>
          <w:szCs w:val="22"/>
          <w:highlight w:val="none"/>
        </w:rPr>
        <w:t>价格评分，磋商人员按磋商文件规定的评分方法和磋商标准，对有效的磋商响应文件的报价进行打分；</w:t>
      </w:r>
    </w:p>
    <w:p w14:paraId="39BB431C">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11.</w:t>
      </w:r>
      <w:r>
        <w:rPr>
          <w:rFonts w:ascii="宋体" w:hAnsi="宋体" w:cs="宋体"/>
          <w:color w:val="auto"/>
          <w:sz w:val="24"/>
          <w:szCs w:val="22"/>
          <w:highlight w:val="none"/>
        </w:rPr>
        <w:t>磋商小组对报价部分评审结果进行确认；</w:t>
      </w:r>
    </w:p>
    <w:p w14:paraId="3C2424B4">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12.</w:t>
      </w:r>
      <w:r>
        <w:rPr>
          <w:rFonts w:ascii="宋体" w:hAnsi="宋体" w:cs="宋体"/>
          <w:color w:val="auto"/>
          <w:sz w:val="24"/>
          <w:szCs w:val="22"/>
          <w:highlight w:val="none"/>
        </w:rPr>
        <w:t>磋商小组根据评审汇总情况和磋商文件规定确定成交候选供应商排序名单；</w:t>
      </w:r>
    </w:p>
    <w:p w14:paraId="51F13649">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13.</w:t>
      </w:r>
      <w:r>
        <w:rPr>
          <w:rFonts w:ascii="宋体" w:hAnsi="宋体" w:cs="宋体"/>
          <w:color w:val="auto"/>
          <w:sz w:val="24"/>
          <w:szCs w:val="22"/>
          <w:highlight w:val="none"/>
        </w:rPr>
        <w:t>起草评审报告，所有评审人员须在评审报告上签字确认。</w:t>
      </w:r>
    </w:p>
    <w:p w14:paraId="378DBE08">
      <w:pPr>
        <w:shd w:val="clear"/>
        <w:adjustRightInd w:val="0"/>
        <w:snapToGrid w:val="0"/>
        <w:spacing w:line="288" w:lineRule="auto"/>
        <w:rPr>
          <w:rFonts w:ascii="宋体" w:hAnsi="宋体" w:cs="宋体"/>
          <w:b/>
          <w:color w:val="auto"/>
          <w:sz w:val="24"/>
          <w:highlight w:val="none"/>
          <w:lang w:val="zh-CN"/>
        </w:rPr>
      </w:pPr>
      <w:r>
        <w:rPr>
          <w:rFonts w:ascii="宋体" w:hAnsi="宋体" w:cs="宋体"/>
          <w:b/>
          <w:color w:val="auto"/>
          <w:sz w:val="24"/>
          <w:highlight w:val="none"/>
        </w:rPr>
        <w:t>（五）</w:t>
      </w:r>
      <w:r>
        <w:rPr>
          <w:rFonts w:ascii="宋体" w:hAnsi="宋体" w:cs="宋体"/>
          <w:b/>
          <w:color w:val="auto"/>
          <w:sz w:val="24"/>
          <w:highlight w:val="none"/>
          <w:lang w:val="zh-CN"/>
        </w:rPr>
        <w:t>磋商响应文件的鉴定</w:t>
      </w:r>
    </w:p>
    <w:p w14:paraId="25EC10B4">
      <w:pPr>
        <w:shd w:val="clear"/>
        <w:adjustRightInd w:val="0"/>
        <w:snapToGrid w:val="0"/>
        <w:spacing w:line="288"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ascii="宋体" w:hAnsi="宋体" w:cs="宋体"/>
          <w:color w:val="auto"/>
          <w:sz w:val="24"/>
          <w:highlight w:val="none"/>
          <w:lang w:val="zh-CN"/>
        </w:rPr>
        <w:t>磋商小组将审查每份磋商响应文件是否实质上响应了磋商文件的要求。重大偏离和保留、细微偏离由磋商小组鉴定。如发现磋商响应文件与磋商文件要求有重大偏离和保留，其磋商响应文件将被作无效标处理。磋商响应供应商不得通过修正或</w:t>
      </w:r>
      <w:r>
        <w:rPr>
          <w:rFonts w:hint="eastAsia" w:ascii="宋体" w:hAnsi="宋体" w:cs="宋体"/>
          <w:color w:val="auto"/>
          <w:sz w:val="24"/>
          <w:highlight w:val="none"/>
          <w:lang w:val="zh-CN"/>
        </w:rPr>
        <w:t>撤销</w:t>
      </w:r>
      <w:r>
        <w:rPr>
          <w:rFonts w:ascii="宋体" w:hAnsi="宋体" w:cs="宋体"/>
          <w:color w:val="auto"/>
          <w:sz w:val="24"/>
          <w:highlight w:val="none"/>
          <w:lang w:val="zh-CN"/>
        </w:rPr>
        <w:t>不符合磋商文件要求的重大偏离和保留从而使其磋商响应文件实质性响应磋商文件要求。但允许磋商响应文件在实质性满足磋商文件要求的前提下出现的细微偏差，在详细评审时可按磋商办法对细微偏差做出不利于该磋商响应供应商的评审。</w:t>
      </w:r>
    </w:p>
    <w:p w14:paraId="7C54826E">
      <w:pPr>
        <w:shd w:val="clear"/>
        <w:adjustRightInd w:val="0"/>
        <w:snapToGrid w:val="0"/>
        <w:spacing w:line="288" w:lineRule="auto"/>
        <w:ind w:firstLine="482" w:firstLineChars="200"/>
        <w:rPr>
          <w:rFonts w:ascii="宋体" w:hAnsi="宋体" w:cs="宋体"/>
          <w:b/>
          <w:bCs/>
          <w:color w:val="auto"/>
          <w:highlight w:val="none"/>
          <w:u w:val="single"/>
        </w:rPr>
      </w:pPr>
      <w:r>
        <w:rPr>
          <w:rFonts w:hint="eastAsia" w:ascii="宋体" w:hAnsi="宋体" w:cs="宋体"/>
          <w:b/>
          <w:color w:val="auto"/>
          <w:sz w:val="24"/>
          <w:szCs w:val="24"/>
          <w:highlight w:val="none"/>
          <w:lang w:eastAsia="zh-CN"/>
        </w:rPr>
        <w:t>2.</w:t>
      </w:r>
      <w:r>
        <w:rPr>
          <w:rFonts w:ascii="宋体" w:hAnsi="宋体" w:cs="宋体"/>
          <w:b/>
          <w:color w:val="auto"/>
          <w:sz w:val="24"/>
          <w:szCs w:val="24"/>
          <w:highlight w:val="none"/>
        </w:rPr>
        <w:t>无效标情形</w:t>
      </w:r>
      <w:r>
        <w:rPr>
          <w:rFonts w:ascii="宋体" w:hAnsi="宋体" w:cs="宋体"/>
          <w:b/>
          <w:color w:val="auto"/>
          <w:sz w:val="24"/>
          <w:szCs w:val="24"/>
          <w:highlight w:val="none"/>
          <w:u w:val="single"/>
        </w:rPr>
        <w:t>有下列情形之一的响应文件，由磋商小组按少数服从多数原则进行认定，经认定属实后将该响应文件作无效标处理：</w:t>
      </w:r>
    </w:p>
    <w:p w14:paraId="7A1C95F6">
      <w:pPr>
        <w:pStyle w:val="10"/>
        <w:shd w:val="clear"/>
        <w:spacing w:line="400" w:lineRule="exact"/>
        <w:rPr>
          <w:rFonts w:hint="eastAsia" w:ascii="宋体" w:hAnsi="宋体" w:eastAsia="宋体" w:cs="宋体"/>
          <w:b/>
          <w:bCs/>
          <w:color w:val="auto"/>
          <w:kern w:val="2"/>
          <w:sz w:val="24"/>
          <w:szCs w:val="20"/>
          <w:highlight w:val="none"/>
          <w:lang w:val="en-US" w:eastAsia="zh-CN" w:bidi="ar-SA"/>
        </w:rPr>
      </w:pPr>
      <w:bookmarkStart w:id="109" w:name="_Hlk33211013"/>
      <w:r>
        <w:rPr>
          <w:rFonts w:hint="eastAsia" w:ascii="宋体" w:hAnsi="宋体" w:eastAsia="宋体" w:cs="宋体"/>
          <w:b/>
          <w:bCs/>
          <w:color w:val="auto"/>
          <w:kern w:val="2"/>
          <w:sz w:val="24"/>
          <w:szCs w:val="20"/>
          <w:highlight w:val="none"/>
          <w:lang w:val="en-US" w:eastAsia="zh-CN" w:bidi="ar-SA"/>
        </w:rPr>
        <w:t>（一）资格审查文件符合性审查中，存在下列情形之一的，经评标委员会按少数服从多数原则认定后作无效标处理：</w:t>
      </w:r>
    </w:p>
    <w:p w14:paraId="5D4BD3B2">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（1）不同供应商的电子投标（响应）文件上传计算机的网卡MAC地址或硬盘序列号等硬件信息相同的；</w:t>
      </w:r>
    </w:p>
    <w:p w14:paraId="4E2641B0">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（2）上传的电子投标（响应）文件若出现使用本项目其他投标（响应）供应商的数字证书加密的，或者加盖本项目其他投标（响应）供应商的电子印章的；</w:t>
      </w:r>
    </w:p>
    <w:p w14:paraId="07FE0895">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（3）不同供应商的投标（响应）文件的内容存在三处（含）以上错误一致的；</w:t>
      </w:r>
    </w:p>
    <w:p w14:paraId="4901E73A">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（4）不同供应商联系人为同一人或不同联系人的联系电话一致的；</w:t>
      </w:r>
    </w:p>
    <w:p w14:paraId="13570F0C">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（5）仅提交“备份投标文件”的；</w:t>
      </w:r>
    </w:p>
    <w:p w14:paraId="0BB133A0">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（6）资格审查资料不符合招标文件要求；</w:t>
      </w:r>
    </w:p>
    <w:p w14:paraId="0F484462">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（7）不响应或擅自改变本招标文件要求或投标文件有采购人不能接受的附加条件的；</w:t>
      </w:r>
    </w:p>
    <w:p w14:paraId="35BC36FB">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（8）《资格文件》中出现本项目投标报价的；</w:t>
      </w:r>
    </w:p>
    <w:p w14:paraId="4FFD291B">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（9）《中小企业声明函》行业填写错误或者未填写行业的（除填写为“采购文件确定的行业”等类似瑕疵的以外）或类型填写错误的（类型为：中型企业、小型企业、微型企业）；</w:t>
      </w:r>
    </w:p>
    <w:p w14:paraId="3A08E341">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（10）违反国家或政府部门相关法律、法规、文件规定的。</w:t>
      </w:r>
    </w:p>
    <w:p w14:paraId="4F6784AF">
      <w:pPr>
        <w:shd w:val="clear"/>
        <w:adjustRightInd w:val="0"/>
        <w:snapToGrid w:val="0"/>
        <w:spacing w:line="400" w:lineRule="exact"/>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（二）</w:t>
      </w:r>
      <w:bookmarkStart w:id="110" w:name="OLE_LINK36"/>
      <w:r>
        <w:rPr>
          <w:rFonts w:hint="eastAsia" w:ascii="宋体" w:hAnsi="宋体" w:eastAsia="宋体" w:cs="宋体"/>
          <w:b/>
          <w:bCs/>
          <w:color w:val="auto"/>
          <w:kern w:val="2"/>
          <w:sz w:val="24"/>
          <w:szCs w:val="20"/>
          <w:highlight w:val="none"/>
          <w:lang w:val="en-US" w:eastAsia="zh-CN" w:bidi="ar-SA"/>
        </w:rPr>
        <w:t>商务、技术文件符合性审查中，存在下列情形之一的，经评标委员会按少数服从多数原则认定后作无效标处理：</w:t>
      </w:r>
    </w:p>
    <w:bookmarkEnd w:id="110"/>
    <w:p w14:paraId="689F6FC6">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bookmarkStart w:id="111" w:name="_Toc33194396"/>
      <w:r>
        <w:rPr>
          <w:rFonts w:hint="eastAsia" w:ascii="宋体" w:hAnsi="宋体" w:eastAsia="宋体" w:cs="宋体"/>
          <w:color w:val="auto"/>
          <w:kern w:val="2"/>
          <w:sz w:val="24"/>
          <w:szCs w:val="20"/>
          <w:highlight w:val="none"/>
          <w:lang w:val="en-US" w:eastAsia="zh-CN" w:bidi="ar-SA"/>
        </w:rPr>
        <w:t>（1）投标文件未有效授权，法定代表人授权委托书等填写不完整或有涂改的；</w:t>
      </w:r>
      <w:bookmarkEnd w:id="111"/>
    </w:p>
    <w:p w14:paraId="01DBC801">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（2）投标文件没有对本招标文件作出实质性响应的，或不满足（不响应）本招标文件中标注“▲”的实质性要求条款的，或存在招标文件中明确规定的其他无效标情形的；</w:t>
      </w:r>
    </w:p>
    <w:p w14:paraId="4639F7D1">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（3）投标文件存在一个或一个以上备选（替代）投标方案的；</w:t>
      </w:r>
    </w:p>
    <w:p w14:paraId="2FA41E02">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（4）仅提交“备份投标文件”的；</w:t>
      </w:r>
    </w:p>
    <w:p w14:paraId="03FB4DAB">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（5）文件组成内容不齐全，本招标文件规定必须提供而未提供的（属于资格审查范围的除外）；</w:t>
      </w:r>
    </w:p>
    <w:p w14:paraId="6FBD1C6E">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（6）投标文件标注的响应或偏离情况与事实不符，或提供了虚假材料的；</w:t>
      </w:r>
    </w:p>
    <w:p w14:paraId="3C92482A">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（7）不响应或擅自改变本招标文件要求或投标文件有采购人不能接受的附加条件的；</w:t>
      </w:r>
    </w:p>
    <w:p w14:paraId="215EE36F">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（8）参加同一合同项下政府采购活动的不同供应商之间存在利害关系并且存在影响政府采购公平竞争行为的；</w:t>
      </w:r>
    </w:p>
    <w:p w14:paraId="7B23CFEE">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bookmarkStart w:id="112" w:name="_Toc33194397"/>
      <w:r>
        <w:rPr>
          <w:rFonts w:hint="eastAsia" w:ascii="宋体" w:hAnsi="宋体" w:eastAsia="宋体" w:cs="宋体"/>
          <w:color w:val="auto"/>
          <w:kern w:val="2"/>
          <w:sz w:val="24"/>
          <w:szCs w:val="20"/>
          <w:highlight w:val="none"/>
          <w:lang w:val="en-US" w:eastAsia="zh-CN" w:bidi="ar-SA"/>
        </w:rPr>
        <w:t>（9）采购人拟采购的产品如属于品目清单范围内的强制采购品目的，供应商未</w:t>
      </w:r>
      <w:bookmarkEnd w:id="112"/>
      <w:bookmarkStart w:id="113" w:name="_Toc33194398"/>
      <w:r>
        <w:rPr>
          <w:rFonts w:hint="eastAsia" w:ascii="宋体" w:hAnsi="宋体" w:eastAsia="宋体" w:cs="宋体"/>
          <w:color w:val="auto"/>
          <w:kern w:val="2"/>
          <w:sz w:val="24"/>
          <w:szCs w:val="20"/>
          <w:highlight w:val="none"/>
          <w:lang w:val="en-US" w:eastAsia="zh-CN" w:bidi="ar-SA"/>
        </w:rPr>
        <w:t>能在响应文件中提供国家确定的认证机构出具的、处于有效期之内的该产品节能产品、环境标志产品认证证书；</w:t>
      </w:r>
      <w:bookmarkEnd w:id="113"/>
    </w:p>
    <w:p w14:paraId="157D9F21">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（10）《商务技术文件》中出现本项目投标报价的；</w:t>
      </w:r>
    </w:p>
    <w:p w14:paraId="6CF28728">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（11）不同供应商的电子投标（响应）文件上传计算机的网卡MAC地址或硬盘序列号等硬件信息相同的；</w:t>
      </w:r>
    </w:p>
    <w:p w14:paraId="0D89CBDA">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（12）上传的电子投标（响应）文件若出现使用本项目其他投标（响应）供应商的数字证书加密的，或者加盖本项目其他投标（响应）供应商的电子印章的；</w:t>
      </w:r>
    </w:p>
    <w:p w14:paraId="72AFB8F0">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（13）不同供应商的投标（响应）文件的内容存在三处（含）以上错误一致的；</w:t>
      </w:r>
    </w:p>
    <w:p w14:paraId="2458D44E">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（14）不同供应商联系人为同一人或不同联系人的联系电话一致的；</w:t>
      </w:r>
    </w:p>
    <w:p w14:paraId="50731B73">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（15）▲投标文件商务技术自评分中，客观分自评总分低于商务技术客观分总分60%或主观分总分低于商务技术主观分总分60%的，符合性审查不通过，投标无效。</w:t>
      </w:r>
    </w:p>
    <w:p w14:paraId="28043EC8">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7AAF700A">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（16）违反国家或政府部门相关法律、法规、文件规定的。</w:t>
      </w:r>
    </w:p>
    <w:p w14:paraId="711528BE">
      <w:pPr>
        <w:shd w:val="clear"/>
        <w:adjustRightInd w:val="0"/>
        <w:snapToGrid w:val="0"/>
        <w:spacing w:line="400" w:lineRule="exact"/>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（三）报价文件符合性审查中，存在下列情形之一的，经评标委员会认定后作无效标处理：</w:t>
      </w:r>
    </w:p>
    <w:p w14:paraId="7A53F69D">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（1）投标文件没有对本招标文件作出实质性响应的，或不满足（不响应）本招标文件中标注“▲”的实质性要求条款的，或存在招标文件中明确规定的其他无效标情形的；</w:t>
      </w:r>
    </w:p>
    <w:p w14:paraId="7B96D621">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（2）投标文件存在一个或一个以上备选（替代）投标方案的；</w:t>
      </w:r>
    </w:p>
    <w:p w14:paraId="4C05FEA8">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（3）未按照招标文件标明的币种报价的，或者投标报价涵盖的内容不符合招标文件要求的；</w:t>
      </w:r>
    </w:p>
    <w:p w14:paraId="3042D8F9">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（4）投标报价出现前后不一致，供应商不确认报价修正。供应商收到修正确认文件后，未在规定时间内做出回复的，视为不确认；</w:t>
      </w:r>
    </w:p>
    <w:p w14:paraId="0CEDF9A0">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（5）投标报价超过采购预算（或最高限价）的；</w:t>
      </w:r>
    </w:p>
    <w:p w14:paraId="510CE851">
      <w:pPr>
        <w:shd w:val="clear"/>
        <w:adjustRightInd w:val="0"/>
        <w:snapToGrid w:val="0"/>
        <w:spacing w:line="400" w:lineRule="exact"/>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（6）仅提交“备份投标文件”的；</w:t>
      </w:r>
    </w:p>
    <w:p w14:paraId="599BCE85">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（7）投标文件组成内容不齐全，本招标文件规定必须提供而未提供的（属于资格审查范围的除外）；</w:t>
      </w:r>
    </w:p>
    <w:p w14:paraId="5CDC6F17">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（8）投标文件标注的响应或偏离情况与事实不符，或提供了虚假材料的；</w:t>
      </w:r>
    </w:p>
    <w:p w14:paraId="067648A8">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（9）不响应或擅自改变本招标文件要求或投标文件有采购人不能接受的附加条件的；</w:t>
      </w:r>
    </w:p>
    <w:p w14:paraId="7FC99661">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10）评审委员会认为供应商报价明显低于其他合格供应商的报价，有可能影响产品质量或者不能诚信履约的，应当要求其在合理时间内提供书面说明，必要时提供相关证明材料；供应商不能证明其报价合理性的（供应商不得进行影响产品质量或者诚信履约的恶意报价。供应商在项目评审前准备好报价核算、报价明细、报价说明等材料，以备评审专家核查），供应商收到要求书面说明的通知后，未在规定时间内做出回复的，视为不能证明其报价合理性；</w:t>
      </w:r>
    </w:p>
    <w:p w14:paraId="33F7DA88">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（12）不同供应商的电子投标（响应）文件上传计算机的网卡MAC地址或硬盘序列号等硬件信息相同的；</w:t>
      </w:r>
    </w:p>
    <w:p w14:paraId="3EF51D2E">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（13）上传的电子投标（响应）文件若出现使用本项目其他投标（响应）供应商的数字证书加密的，或者加盖本项目其他投标（响应）供应商的电子印章的；</w:t>
      </w:r>
    </w:p>
    <w:p w14:paraId="2A1BAF51">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（14）不同供应商的投标（响应）文件的内容存在三处（含）以上错误一致的；</w:t>
      </w:r>
    </w:p>
    <w:p w14:paraId="72E9159C">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（15）不同供应商联系人为同一人或不同联系人的联系电话一致的；</w:t>
      </w:r>
    </w:p>
    <w:p w14:paraId="5B6A0A21">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（16）投标文件商务技术评审得分低于商务技术总分60%的，报价符合性审查不通过，并视作投标无效。</w:t>
      </w:r>
    </w:p>
    <w:p w14:paraId="11CBAEE3">
      <w:pPr>
        <w:shd w:val="clear"/>
        <w:adjustRightInd w:val="0"/>
        <w:snapToGrid w:val="0"/>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（17）违反国家或政府部门相关法律、法规、文件规定的。</w:t>
      </w:r>
    </w:p>
    <w:p w14:paraId="298E45D3">
      <w:pPr>
        <w:shd w:val="clear"/>
        <w:adjustRightInd w:val="0"/>
        <w:snapToGrid w:val="0"/>
        <w:spacing w:line="400" w:lineRule="exact"/>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（四）串通投标认定，有下列情形之一的，视为供应商串通投标，其投标无效：</w:t>
      </w:r>
    </w:p>
    <w:p w14:paraId="7E191F7C">
      <w:pPr>
        <w:shd w:val="clear"/>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（1）不同供应商的投标文件由同一单位或者个人编制或同一IP地址上传；</w:t>
      </w:r>
    </w:p>
    <w:p w14:paraId="483AF639">
      <w:pPr>
        <w:shd w:val="clear"/>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（2）不同供应商委托同一单位或者个人办理投标事宜；</w:t>
      </w:r>
    </w:p>
    <w:p w14:paraId="382D2455">
      <w:pPr>
        <w:shd w:val="clear"/>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（3）不同供应商的投标文件载明的项目管理成员或者联系人员为同一人；</w:t>
      </w:r>
    </w:p>
    <w:p w14:paraId="34834019">
      <w:pPr>
        <w:shd w:val="clear"/>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（4）不同供应商的投标文件异常一致或者投标报价呈规律性差异；</w:t>
      </w:r>
    </w:p>
    <w:p w14:paraId="61D90814">
      <w:pPr>
        <w:shd w:val="clear"/>
        <w:spacing w:line="400" w:lineRule="exact"/>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（5）不同供应商的投标文件相互混装。</w:t>
      </w:r>
    </w:p>
    <w:bookmarkEnd w:id="109"/>
    <w:p w14:paraId="6B55A424">
      <w:pPr>
        <w:shd w:val="clear"/>
        <w:adjustRightInd w:val="0"/>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eastAsia="zh-CN"/>
        </w:rPr>
        <w:t>3.</w:t>
      </w:r>
      <w:r>
        <w:rPr>
          <w:rFonts w:hint="eastAsia" w:ascii="宋体" w:hAnsi="宋体" w:cs="宋体"/>
          <w:b/>
          <w:color w:val="auto"/>
          <w:sz w:val="24"/>
          <w:highlight w:val="none"/>
        </w:rPr>
        <w:t xml:space="preserve">政府采购评审中出现下列情形之一的，评审委员会应当启动异常低价投标（响应）审查程序： </w:t>
      </w:r>
    </w:p>
    <w:p w14:paraId="0CC88D1E">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 xml:space="preserve">投标（响应）报价低于全部通过符合性审查供应商投标（响应）报价平均值50%的，即投标（响应）报价&lt;全部通过符合性审查供应商投标（响应）报价平均值×50%； </w:t>
      </w:r>
    </w:p>
    <w:p w14:paraId="7059B028">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 xml:space="preserve">投标（响应）报价低于通过符合性审查的次低报价供应商投标（响应）报价50%的，即投标（响应）报价&lt;通过符合性审查的次低报价供应商投标（响应）报价×50%； </w:t>
      </w:r>
    </w:p>
    <w:p w14:paraId="3219EAF2">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投标（响应）报价低于采购项目最高限价</w:t>
      </w:r>
      <w:r>
        <w:rPr>
          <w:rFonts w:hint="eastAsia" w:ascii="宋体" w:hAnsi="宋体" w:cs="宋体"/>
          <w:b w:val="0"/>
          <w:bCs/>
          <w:color w:val="auto"/>
          <w:sz w:val="24"/>
          <w:highlight w:val="none"/>
          <w:lang w:val="en-US" w:eastAsia="zh-CN"/>
        </w:rPr>
        <w:t>50</w:t>
      </w:r>
      <w:r>
        <w:rPr>
          <w:rFonts w:hint="eastAsia" w:ascii="宋体" w:hAnsi="宋体" w:cs="宋体"/>
          <w:b w:val="0"/>
          <w:bCs/>
          <w:color w:val="auto"/>
          <w:sz w:val="24"/>
          <w:highlight w:val="none"/>
        </w:rPr>
        <w:t>%的，即投标（响应）报价&lt;采购项目最高限价×</w:t>
      </w:r>
      <w:r>
        <w:rPr>
          <w:rFonts w:hint="eastAsia" w:ascii="宋体" w:hAnsi="宋体" w:cs="宋体"/>
          <w:b w:val="0"/>
          <w:bCs/>
          <w:color w:val="auto"/>
          <w:sz w:val="24"/>
          <w:highlight w:val="none"/>
          <w:lang w:val="en-US" w:eastAsia="zh-CN"/>
        </w:rPr>
        <w:t>50</w:t>
      </w:r>
      <w:r>
        <w:rPr>
          <w:rFonts w:hint="eastAsia" w:ascii="宋体" w:hAnsi="宋体" w:cs="宋体"/>
          <w:b w:val="0"/>
          <w:bCs/>
          <w:color w:val="auto"/>
          <w:sz w:val="24"/>
          <w:highlight w:val="none"/>
        </w:rPr>
        <w:t xml:space="preserve">%； </w:t>
      </w:r>
    </w:p>
    <w:p w14:paraId="6E02C1FA">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 xml:space="preserve">评审委员会基于专业判断，认为供应商报价过低，有可能影响产品质量或者不能诚信履约的其他情形。 </w:t>
      </w:r>
    </w:p>
    <w:p w14:paraId="20DE9252">
      <w:pPr>
        <w:shd w:val="clear"/>
        <w:adjustRightInd w:val="0"/>
        <w:snapToGrid w:val="0"/>
        <w:spacing w:line="288" w:lineRule="auto"/>
        <w:ind w:firstLine="482" w:firstLineChars="200"/>
        <w:rPr>
          <w:rFonts w:ascii="宋体" w:hAnsi="宋体" w:cs="宋体"/>
          <w:b/>
          <w:bCs w:val="0"/>
          <w:color w:val="auto"/>
          <w:sz w:val="24"/>
          <w:highlight w:val="none"/>
        </w:rPr>
      </w:pPr>
      <w:r>
        <w:rPr>
          <w:rFonts w:hint="eastAsia" w:ascii="宋体" w:hAnsi="宋体" w:cs="宋体"/>
          <w:b/>
          <w:bCs w:val="0"/>
          <w:color w:val="auto"/>
          <w:sz w:val="24"/>
          <w:highlight w:val="none"/>
        </w:rPr>
        <w:t>评审委员会启动异常低价投标（响应）审查后，属于前述第</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1</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rPr>
        <w:t>项至第</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4</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rPr>
        <w:t xml:space="preserve">项情形，供应商已随投标（响应）文件一并提交相关书面说明及必要的证明材料的，在评审现场可不再重复提交。 </w:t>
      </w:r>
    </w:p>
    <w:p w14:paraId="3E9D2CFC">
      <w:pPr>
        <w:shd w:val="clear"/>
        <w:adjustRightInd w:val="0"/>
        <w:snapToGrid w:val="0"/>
        <w:spacing w:line="288" w:lineRule="auto"/>
        <w:ind w:firstLine="482" w:firstLineChars="200"/>
        <w:rPr>
          <w:rFonts w:ascii="宋体" w:hAnsi="宋体" w:cs="宋体"/>
          <w:color w:val="auto"/>
          <w:sz w:val="24"/>
          <w:highlight w:val="none"/>
        </w:rPr>
      </w:pPr>
      <w:r>
        <w:rPr>
          <w:rFonts w:hint="eastAsia" w:ascii="宋体" w:hAnsi="宋体" w:cs="宋体"/>
          <w:b/>
          <w:color w:val="auto"/>
          <w:sz w:val="24"/>
          <w:highlight w:val="none"/>
          <w:lang w:val="en-US" w:eastAsia="zh-CN"/>
        </w:rPr>
        <w:t>4.</w:t>
      </w:r>
      <w:r>
        <w:rPr>
          <w:rFonts w:ascii="宋体" w:hAnsi="宋体" w:cs="宋体"/>
          <w:b/>
          <w:color w:val="auto"/>
          <w:sz w:val="24"/>
          <w:highlight w:val="none"/>
        </w:rPr>
        <w:t>磋商响应报价的错误修正</w:t>
      </w:r>
    </w:p>
    <w:p w14:paraId="1606B256">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4.1</w:t>
      </w:r>
      <w:r>
        <w:rPr>
          <w:rFonts w:hint="eastAsia" w:ascii="宋体" w:hAnsi="宋体" w:cs="宋体"/>
          <w:b w:val="0"/>
          <w:bCs/>
          <w:color w:val="auto"/>
          <w:sz w:val="24"/>
          <w:highlight w:val="none"/>
        </w:rPr>
        <w:t>电子交易平台客户端里开标一览表录入的投标报价信息与扫描上传的报价文件不一致的，以扫描上传的报价文件为准。</w:t>
      </w:r>
    </w:p>
    <w:p w14:paraId="27513526">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4.2磋商响应</w:t>
      </w:r>
      <w:r>
        <w:rPr>
          <w:rFonts w:hint="eastAsia" w:ascii="宋体" w:hAnsi="宋体" w:cs="宋体"/>
          <w:b w:val="0"/>
          <w:bCs/>
          <w:color w:val="auto"/>
          <w:sz w:val="24"/>
          <w:highlight w:val="none"/>
        </w:rPr>
        <w:t>报价出现前后不一致的，除</w:t>
      </w:r>
      <w:r>
        <w:rPr>
          <w:rFonts w:hint="eastAsia" w:ascii="宋体" w:hAnsi="宋体" w:cs="宋体"/>
          <w:b w:val="0"/>
          <w:bCs/>
          <w:color w:val="auto"/>
          <w:sz w:val="24"/>
          <w:highlight w:val="none"/>
          <w:lang w:val="en-US" w:eastAsia="zh-CN"/>
        </w:rPr>
        <w:t>采购</w:t>
      </w:r>
      <w:r>
        <w:rPr>
          <w:rFonts w:hint="eastAsia" w:ascii="宋体" w:hAnsi="宋体" w:cs="宋体"/>
          <w:b w:val="0"/>
          <w:bCs/>
          <w:color w:val="auto"/>
          <w:sz w:val="24"/>
          <w:highlight w:val="none"/>
        </w:rPr>
        <w:t>文件另有规定外，按照下列规定修正：</w:t>
      </w:r>
    </w:p>
    <w:p w14:paraId="18463A3A">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报价</w:t>
      </w:r>
      <w:r>
        <w:rPr>
          <w:rFonts w:hint="eastAsia" w:ascii="宋体" w:hAnsi="宋体" w:cs="宋体"/>
          <w:b w:val="0"/>
          <w:bCs/>
          <w:color w:val="auto"/>
          <w:sz w:val="24"/>
          <w:highlight w:val="none"/>
        </w:rPr>
        <w:t>文件中开标一览表内容与</w:t>
      </w:r>
      <w:r>
        <w:rPr>
          <w:rFonts w:hint="eastAsia" w:ascii="宋体" w:hAnsi="宋体" w:cs="宋体"/>
          <w:b w:val="0"/>
          <w:bCs/>
          <w:color w:val="auto"/>
          <w:sz w:val="24"/>
          <w:highlight w:val="none"/>
          <w:lang w:val="en-US" w:eastAsia="zh-CN"/>
        </w:rPr>
        <w:t>报价</w:t>
      </w:r>
      <w:r>
        <w:rPr>
          <w:rFonts w:hint="eastAsia" w:ascii="宋体" w:hAnsi="宋体" w:cs="宋体"/>
          <w:b w:val="0"/>
          <w:bCs/>
          <w:color w:val="auto"/>
          <w:sz w:val="24"/>
          <w:highlight w:val="none"/>
        </w:rPr>
        <w:t>文件中相应内容不一致的，以开标一览表为准；</w:t>
      </w:r>
    </w:p>
    <w:p w14:paraId="725970F5">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大写金额和小写金额不一致的，以大写金额为准；</w:t>
      </w:r>
    </w:p>
    <w:p w14:paraId="4CBAF151">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单价金额小数点或者百分比有明显错位的，以开标一览表的总价为准，并修改单价；</w:t>
      </w:r>
    </w:p>
    <w:p w14:paraId="338BEB4E">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如分项价格或单价有遗漏，应视作已含在投标总价中；其投标总价不予调整。其分项价或单价由评标委员会在投标总价不变的前提下根据合理的原则对其予以确定；</w:t>
      </w:r>
    </w:p>
    <w:p w14:paraId="64F01B2C">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总价金额与按单价汇总金额不一致的，以单价金额计算结果为准。</w:t>
      </w:r>
    </w:p>
    <w:p w14:paraId="4FC2A415">
      <w:pPr>
        <w:shd w:val="clear"/>
        <w:adjustRightInd w:val="0"/>
        <w:snapToGrid w:val="0"/>
        <w:spacing w:line="288"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同时出现两种以上不一致的，按照前款规定的顺序修正。修正后的报价按照经</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加盖公章后产生约束力，</w:t>
      </w:r>
      <w:r>
        <w:rPr>
          <w:rFonts w:hint="eastAsia" w:ascii="宋体" w:hAnsi="宋体" w:cs="宋体"/>
          <w:b w:val="0"/>
          <w:bCs/>
          <w:color w:val="auto"/>
          <w:sz w:val="24"/>
          <w:highlight w:val="none"/>
          <w:lang w:val="en-US" w:eastAsia="zh-CN"/>
        </w:rPr>
        <w:t>供应商</w:t>
      </w:r>
      <w:r>
        <w:rPr>
          <w:rFonts w:hint="eastAsia" w:ascii="宋体" w:hAnsi="宋体" w:cs="宋体"/>
          <w:b w:val="0"/>
          <w:bCs/>
          <w:color w:val="auto"/>
          <w:sz w:val="24"/>
          <w:highlight w:val="none"/>
        </w:rPr>
        <w:t>不确认的，其</w:t>
      </w:r>
      <w:r>
        <w:rPr>
          <w:rFonts w:hint="eastAsia" w:ascii="宋体" w:hAnsi="宋体" w:cs="宋体"/>
          <w:b w:val="0"/>
          <w:bCs/>
          <w:color w:val="auto"/>
          <w:sz w:val="24"/>
          <w:highlight w:val="none"/>
          <w:lang w:val="en-US" w:eastAsia="zh-CN"/>
        </w:rPr>
        <w:t>磋商</w:t>
      </w:r>
      <w:r>
        <w:rPr>
          <w:rFonts w:hint="eastAsia" w:ascii="宋体" w:hAnsi="宋体" w:cs="宋体"/>
          <w:b w:val="0"/>
          <w:bCs/>
          <w:color w:val="auto"/>
          <w:sz w:val="24"/>
          <w:highlight w:val="none"/>
        </w:rPr>
        <w:t>无效。</w:t>
      </w:r>
    </w:p>
    <w:p w14:paraId="631F398B">
      <w:pPr>
        <w:shd w:val="clear"/>
        <w:adjustRightInd w:val="0"/>
        <w:snapToGrid w:val="0"/>
        <w:spacing w:line="288"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5.</w:t>
      </w:r>
      <w:r>
        <w:rPr>
          <w:rFonts w:ascii="宋体" w:hAnsi="宋体" w:cs="宋体"/>
          <w:b/>
          <w:color w:val="auto"/>
          <w:sz w:val="24"/>
          <w:highlight w:val="none"/>
        </w:rPr>
        <w:t>废标</w:t>
      </w:r>
    </w:p>
    <w:p w14:paraId="28B0F632">
      <w:pPr>
        <w:shd w:val="clear"/>
        <w:adjustRightInd w:val="0"/>
        <w:snapToGrid w:val="0"/>
        <w:spacing w:line="288" w:lineRule="auto"/>
        <w:ind w:firstLine="480" w:firstLineChars="200"/>
        <w:rPr>
          <w:rFonts w:ascii="宋体" w:hAnsi="宋体" w:cs="宋体"/>
          <w:color w:val="auto"/>
          <w:sz w:val="24"/>
          <w:highlight w:val="none"/>
          <w:u w:val="single"/>
        </w:rPr>
      </w:pPr>
      <w:r>
        <w:rPr>
          <w:rFonts w:ascii="宋体" w:hAnsi="宋体" w:cs="宋体"/>
          <w:color w:val="auto"/>
          <w:sz w:val="24"/>
          <w:highlight w:val="none"/>
        </w:rPr>
        <w:t>在磋商采购中，出现下列情形之一的，本项目废标：</w:t>
      </w:r>
    </w:p>
    <w:p w14:paraId="694F6470">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出现影响采购公正的违法、违规行为的；</w:t>
      </w:r>
    </w:p>
    <w:p w14:paraId="45FB574A">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ascii="宋体" w:hAnsi="宋体" w:cs="宋体"/>
          <w:color w:val="auto"/>
          <w:sz w:val="24"/>
          <w:highlight w:val="none"/>
        </w:rPr>
        <w:t>2）磋商响应供应商的最终报价均超过预算，采购人不能支付的；</w:t>
      </w:r>
    </w:p>
    <w:p w14:paraId="50C54CFE">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（3）因重大变故，采购任务取消的。</w:t>
      </w:r>
    </w:p>
    <w:p w14:paraId="379EB900">
      <w:pPr>
        <w:shd w:val="clear"/>
        <w:adjustRightInd w:val="0"/>
        <w:snapToGrid w:val="0"/>
        <w:spacing w:line="288" w:lineRule="auto"/>
        <w:ind w:firstLine="482" w:firstLineChars="200"/>
        <w:rPr>
          <w:rFonts w:ascii="宋体" w:hAnsi="宋体" w:cs="宋体"/>
          <w:b/>
          <w:color w:val="auto"/>
          <w:sz w:val="24"/>
          <w:szCs w:val="22"/>
          <w:highlight w:val="none"/>
        </w:rPr>
      </w:pPr>
      <w:r>
        <w:rPr>
          <w:rFonts w:hint="eastAsia" w:ascii="宋体" w:hAnsi="宋体" w:cs="宋体"/>
          <w:b/>
          <w:color w:val="auto"/>
          <w:sz w:val="24"/>
          <w:szCs w:val="22"/>
          <w:highlight w:val="none"/>
          <w:lang w:val="en-US" w:eastAsia="zh-CN"/>
        </w:rPr>
        <w:t>6.</w:t>
      </w:r>
      <w:r>
        <w:rPr>
          <w:rFonts w:ascii="宋体" w:hAnsi="宋体" w:cs="宋体"/>
          <w:b/>
          <w:color w:val="auto"/>
          <w:sz w:val="24"/>
          <w:szCs w:val="22"/>
          <w:highlight w:val="none"/>
        </w:rPr>
        <w:t>可中止电子交易活动的情形</w:t>
      </w:r>
    </w:p>
    <w:p w14:paraId="1DB93BA8">
      <w:pPr>
        <w:shd w:val="clear"/>
        <w:adjustRightInd w:val="0"/>
        <w:snapToGrid w:val="0"/>
        <w:spacing w:line="288" w:lineRule="auto"/>
        <w:ind w:firstLine="482" w:firstLineChars="200"/>
        <w:rPr>
          <w:rFonts w:ascii="宋体" w:hAnsi="宋体" w:cs="宋体"/>
          <w:b/>
          <w:bCs/>
          <w:color w:val="auto"/>
          <w:sz w:val="24"/>
          <w:szCs w:val="22"/>
          <w:highlight w:val="none"/>
        </w:rPr>
      </w:pPr>
      <w:r>
        <w:rPr>
          <w:rFonts w:ascii="宋体" w:hAnsi="宋体" w:cs="宋体"/>
          <w:b/>
          <w:bCs/>
          <w:color w:val="auto"/>
          <w:sz w:val="24"/>
          <w:szCs w:val="22"/>
          <w:highlight w:val="none"/>
        </w:rPr>
        <w:t>采购过程中出现以下情形，导致电子交易平台无法正常运行，或者无法保证电子交易的公平、公正和安全时，采购组织机构可中止电子交易活动：</w:t>
      </w:r>
    </w:p>
    <w:p w14:paraId="235356BE">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（1）电子交易平台发生故障而无法登录访问的；</w:t>
      </w:r>
    </w:p>
    <w:p w14:paraId="0946AAD6">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（2）电子交易平台应用或数据库出现错误，不能进行正常操作的；</w:t>
      </w:r>
    </w:p>
    <w:p w14:paraId="07F3B4D6">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（3）电子交易平台发现严重安全漏洞，有潜在泄密危险的；</w:t>
      </w:r>
    </w:p>
    <w:p w14:paraId="7B340AA5">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（4）病毒发作导致不能进行正常操作的；</w:t>
      </w:r>
    </w:p>
    <w:p w14:paraId="0797849C">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（5）其他无法保证电子交易的公平、公正和安全的情况。</w:t>
      </w:r>
    </w:p>
    <w:p w14:paraId="09003421">
      <w:pPr>
        <w:shd w:val="clear"/>
        <w:adjustRightInd w:val="0"/>
        <w:snapToGrid w:val="0"/>
        <w:spacing w:line="288" w:lineRule="auto"/>
        <w:ind w:firstLine="482" w:firstLineChars="200"/>
        <w:rPr>
          <w:rFonts w:ascii="宋体" w:hAnsi="宋体" w:cs="宋体"/>
          <w:color w:val="auto"/>
          <w:sz w:val="24"/>
          <w:highlight w:val="none"/>
        </w:rPr>
      </w:pPr>
      <w:r>
        <w:rPr>
          <w:rFonts w:ascii="宋体" w:hAnsi="宋体" w:cs="宋体"/>
          <w:b/>
          <w:bCs/>
          <w:color w:val="auto"/>
          <w:sz w:val="24"/>
          <w:szCs w:val="22"/>
          <w:highlight w:val="none"/>
        </w:rPr>
        <w:t>出现前款规定情形，不影响采购公平、公正性的，采购组织机构可以待上述情形消除后继续组织电子交易活动；影响或可能影响采购公平、公正性的，应当重新采购。</w:t>
      </w:r>
    </w:p>
    <w:p w14:paraId="70EC6907">
      <w:pPr>
        <w:pStyle w:val="23"/>
        <w:shd w:val="clear"/>
        <w:adjustRightInd w:val="0"/>
        <w:snapToGrid w:val="0"/>
        <w:spacing w:before="0" w:line="288" w:lineRule="auto"/>
        <w:ind w:firstLine="0" w:firstLineChars="0"/>
        <w:rPr>
          <w:rFonts w:ascii="宋体" w:hAnsi="宋体" w:cs="宋体"/>
          <w:b/>
          <w:color w:val="auto"/>
          <w:szCs w:val="24"/>
          <w:highlight w:val="none"/>
        </w:rPr>
      </w:pPr>
      <w:r>
        <w:rPr>
          <w:rFonts w:ascii="宋体" w:hAnsi="宋体" w:cs="宋体"/>
          <w:b/>
          <w:color w:val="auto"/>
          <w:szCs w:val="24"/>
          <w:highlight w:val="none"/>
        </w:rPr>
        <w:t>（六）磋商响应文件的澄清</w:t>
      </w:r>
    </w:p>
    <w:p w14:paraId="7DB9639A">
      <w:pPr>
        <w:pStyle w:val="23"/>
        <w:shd w:val="clear"/>
        <w:adjustRightInd w:val="0"/>
        <w:snapToGrid w:val="0"/>
        <w:spacing w:before="0" w:line="288" w:lineRule="auto"/>
        <w:ind w:firstLine="480"/>
        <w:rPr>
          <w:rFonts w:ascii="宋体" w:hAnsi="宋体" w:cs="宋体"/>
          <w:color w:val="auto"/>
          <w:szCs w:val="24"/>
          <w:highlight w:val="none"/>
        </w:rPr>
      </w:pPr>
      <w:r>
        <w:rPr>
          <w:rFonts w:hint="eastAsia" w:ascii="宋体" w:hAnsi="宋体" w:cs="宋体"/>
          <w:color w:val="auto"/>
          <w:szCs w:val="24"/>
          <w:highlight w:val="none"/>
          <w:lang w:eastAsia="zh-CN"/>
        </w:rPr>
        <w:t>1.</w:t>
      </w:r>
      <w:r>
        <w:rPr>
          <w:rFonts w:ascii="宋体" w:hAnsi="宋体" w:cs="宋体"/>
          <w:color w:val="auto"/>
          <w:szCs w:val="24"/>
          <w:highlight w:val="none"/>
        </w:rPr>
        <w:t>为了有助于磋商响应文件的审查、评价和比较，磋商小组可以个别地要求磋商响应供应商对磋商响应文件中含义不明确、同类问题表述不一致、有明显的文字和计算错误的内容等进行澄清并做出书面答复</w:t>
      </w:r>
      <w:r>
        <w:rPr>
          <w:rFonts w:ascii="宋体" w:hAnsi="宋体" w:cs="宋体"/>
          <w:color w:val="auto"/>
          <w:szCs w:val="22"/>
          <w:highlight w:val="none"/>
        </w:rPr>
        <w:t>（或通过“政府采购云平台”在线询标），供应商澄清、说明或补正时间为30分钟</w:t>
      </w:r>
      <w:r>
        <w:rPr>
          <w:rFonts w:ascii="宋体" w:hAnsi="宋体" w:cs="宋体"/>
          <w:color w:val="auto"/>
          <w:szCs w:val="24"/>
          <w:highlight w:val="none"/>
        </w:rPr>
        <w:t>。书面答复须由磋商响应供应商代表签字（或盖章）并作为磋商响应文件的一部分。</w:t>
      </w:r>
    </w:p>
    <w:p w14:paraId="4684FF69">
      <w:pPr>
        <w:shd w:val="clear"/>
        <w:adjustRightInd w:val="0"/>
        <w:snapToGrid w:val="0"/>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磋商响应供应商对磋商响应文件的澄清不得超出磋商响应文件的范围或者改变磋商响应文件的实质性内容。</w:t>
      </w:r>
    </w:p>
    <w:p w14:paraId="1211DE3C">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（七）评分办法</w:t>
      </w:r>
    </w:p>
    <w:bookmarkEnd w:id="93"/>
    <w:p w14:paraId="47600035">
      <w:pPr>
        <w:shd w:val="clear"/>
        <w:adjustRightInd w:val="0"/>
        <w:snapToGrid w:val="0"/>
        <w:spacing w:line="288" w:lineRule="auto"/>
        <w:ind w:firstLine="480" w:firstLineChars="200"/>
        <w:rPr>
          <w:rFonts w:ascii="宋体" w:hAnsi="宋体" w:cs="宋体"/>
          <w:color w:val="auto"/>
          <w:sz w:val="24"/>
          <w:szCs w:val="22"/>
          <w:highlight w:val="none"/>
        </w:rPr>
      </w:pPr>
      <w:bookmarkStart w:id="114" w:name="_Toc86216994"/>
      <w:r>
        <w:rPr>
          <w:rFonts w:ascii="宋体" w:hAnsi="宋体" w:cs="宋体"/>
          <w:color w:val="auto"/>
          <w:sz w:val="24"/>
          <w:szCs w:val="22"/>
          <w:highlight w:val="none"/>
        </w:rPr>
        <w:t>详见“第六部分  评分办法”。</w:t>
      </w:r>
    </w:p>
    <w:p w14:paraId="76D0BC12">
      <w:pPr>
        <w:pStyle w:val="23"/>
        <w:shd w:val="clear"/>
        <w:adjustRightInd w:val="0"/>
        <w:snapToGrid w:val="0"/>
        <w:spacing w:before="0" w:line="288" w:lineRule="auto"/>
        <w:ind w:firstLine="0" w:firstLineChars="0"/>
        <w:rPr>
          <w:rFonts w:ascii="宋体" w:hAnsi="宋体" w:cs="宋体"/>
          <w:b/>
          <w:color w:val="auto"/>
          <w:szCs w:val="24"/>
          <w:highlight w:val="none"/>
        </w:rPr>
      </w:pPr>
      <w:r>
        <w:rPr>
          <w:rFonts w:ascii="宋体" w:hAnsi="宋体" w:cs="宋体"/>
          <w:b/>
          <w:color w:val="auto"/>
          <w:szCs w:val="24"/>
          <w:highlight w:val="none"/>
        </w:rPr>
        <w:t>（八）磋商内容的保密</w:t>
      </w:r>
    </w:p>
    <w:p w14:paraId="3FB72638">
      <w:pPr>
        <w:pStyle w:val="23"/>
        <w:shd w:val="clear"/>
        <w:adjustRightInd w:val="0"/>
        <w:snapToGrid w:val="0"/>
        <w:spacing w:before="0" w:line="288" w:lineRule="auto"/>
        <w:ind w:firstLine="480"/>
        <w:rPr>
          <w:rFonts w:ascii="宋体" w:hAnsi="宋体" w:cs="宋体"/>
          <w:color w:val="auto"/>
          <w:szCs w:val="24"/>
          <w:highlight w:val="none"/>
        </w:rPr>
      </w:pPr>
      <w:r>
        <w:rPr>
          <w:rFonts w:hint="eastAsia" w:ascii="宋体" w:hAnsi="宋体" w:cs="宋体"/>
          <w:color w:val="auto"/>
          <w:szCs w:val="24"/>
          <w:highlight w:val="none"/>
          <w:lang w:eastAsia="zh-CN"/>
        </w:rPr>
        <w:t>1.</w:t>
      </w:r>
      <w:r>
        <w:rPr>
          <w:rFonts w:ascii="宋体" w:hAnsi="宋体" w:cs="宋体"/>
          <w:color w:val="auto"/>
          <w:szCs w:val="24"/>
          <w:highlight w:val="none"/>
        </w:rPr>
        <w:t>磋商开始后，直到公告成交单位止，凡属于审查、澄清、评价和比较磋商的所有资料，都不向磋商响应供应商或与磋商无关的其他人泄露。</w:t>
      </w:r>
    </w:p>
    <w:p w14:paraId="5730BF6A">
      <w:pPr>
        <w:pStyle w:val="23"/>
        <w:shd w:val="clear"/>
        <w:adjustRightInd w:val="0"/>
        <w:snapToGrid w:val="0"/>
        <w:spacing w:before="0" w:line="288" w:lineRule="auto"/>
        <w:ind w:firstLine="480"/>
        <w:rPr>
          <w:rFonts w:ascii="宋体" w:hAnsi="宋体" w:cs="宋体"/>
          <w:color w:val="auto"/>
          <w:szCs w:val="24"/>
          <w:highlight w:val="none"/>
        </w:rPr>
      </w:pPr>
      <w:r>
        <w:rPr>
          <w:rFonts w:hint="eastAsia" w:ascii="宋体" w:hAnsi="宋体" w:cs="宋体"/>
          <w:color w:val="auto"/>
          <w:szCs w:val="24"/>
          <w:highlight w:val="none"/>
          <w:lang w:eastAsia="zh-CN"/>
        </w:rPr>
        <w:t>2.</w:t>
      </w:r>
      <w:r>
        <w:rPr>
          <w:rFonts w:ascii="宋体" w:hAnsi="宋体" w:cs="宋体"/>
          <w:color w:val="auto"/>
          <w:szCs w:val="24"/>
          <w:highlight w:val="none"/>
        </w:rPr>
        <w:t xml:space="preserve"> 在磋商响应文件的审查、澄清、评价和比较以及确定成交人过程中，磋商响应供应商对采购人、招标代理机构和磋商小组施加影响的任何行为，都将导致取消资格。</w:t>
      </w:r>
      <w:bookmarkStart w:id="115" w:name="_Toc233618978"/>
    </w:p>
    <w:p w14:paraId="266EAC7C">
      <w:pPr>
        <w:shd w:val="clear"/>
        <w:adjustRightInd w:val="0"/>
        <w:snapToGrid w:val="0"/>
        <w:spacing w:line="288" w:lineRule="auto"/>
        <w:jc w:val="center"/>
        <w:outlineLvl w:val="1"/>
        <w:rPr>
          <w:rFonts w:ascii="宋体" w:hAnsi="宋体" w:cs="宋体"/>
          <w:b/>
          <w:color w:val="auto"/>
          <w:sz w:val="32"/>
          <w:highlight w:val="none"/>
        </w:rPr>
      </w:pPr>
      <w:bookmarkStart w:id="116" w:name="_Toc2624"/>
      <w:bookmarkStart w:id="117" w:name="_Toc6494383"/>
      <w:bookmarkStart w:id="118" w:name="_Toc9738"/>
      <w:bookmarkStart w:id="119" w:name="_Toc734"/>
      <w:bookmarkStart w:id="120" w:name="_Toc12986"/>
      <w:bookmarkStart w:id="121" w:name="_Toc10552"/>
      <w:r>
        <w:rPr>
          <w:rFonts w:ascii="宋体" w:hAnsi="宋体" w:cs="宋体"/>
          <w:b/>
          <w:color w:val="auto"/>
          <w:sz w:val="32"/>
          <w:highlight w:val="none"/>
        </w:rPr>
        <w:t>七、</w:t>
      </w:r>
      <w:bookmarkEnd w:id="114"/>
      <w:bookmarkEnd w:id="115"/>
      <w:r>
        <w:rPr>
          <w:rFonts w:ascii="宋体" w:hAnsi="宋体" w:cs="宋体"/>
          <w:b/>
          <w:color w:val="auto"/>
          <w:sz w:val="32"/>
          <w:highlight w:val="none"/>
        </w:rPr>
        <w:t>磋商结果确定</w:t>
      </w:r>
      <w:bookmarkEnd w:id="116"/>
      <w:bookmarkEnd w:id="117"/>
      <w:bookmarkEnd w:id="118"/>
      <w:bookmarkEnd w:id="119"/>
      <w:bookmarkEnd w:id="120"/>
      <w:bookmarkEnd w:id="121"/>
    </w:p>
    <w:p w14:paraId="098E9EC6">
      <w:pPr>
        <w:pStyle w:val="24"/>
        <w:shd w:val="clear"/>
        <w:tabs>
          <w:tab w:val="left" w:pos="1440"/>
        </w:tabs>
        <w:adjustRightInd w:val="0"/>
        <w:snapToGrid w:val="0"/>
        <w:spacing w:line="288" w:lineRule="auto"/>
        <w:ind w:firstLine="0"/>
        <w:rPr>
          <w:rFonts w:ascii="宋体" w:hAnsi="宋体" w:eastAsia="宋体" w:cs="宋体"/>
          <w:b/>
          <w:color w:val="auto"/>
          <w:sz w:val="24"/>
          <w:szCs w:val="24"/>
          <w:highlight w:val="none"/>
        </w:rPr>
      </w:pPr>
      <w:r>
        <w:rPr>
          <w:rFonts w:ascii="宋体" w:hAnsi="宋体" w:eastAsia="宋体" w:cs="宋体"/>
          <w:b/>
          <w:color w:val="auto"/>
          <w:sz w:val="24"/>
          <w:szCs w:val="24"/>
          <w:highlight w:val="none"/>
        </w:rPr>
        <w:t>（一）确定磋商结果</w:t>
      </w:r>
    </w:p>
    <w:p w14:paraId="6FA29954">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评标委员会根据以下规定确定供应商排名并推荐成交候选人。</w:t>
      </w:r>
    </w:p>
    <w:p w14:paraId="05ADAEBA">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1.</w:t>
      </w:r>
      <w:r>
        <w:rPr>
          <w:rFonts w:ascii="宋体" w:hAnsi="宋体" w:cs="宋体"/>
          <w:color w:val="auto"/>
          <w:sz w:val="24"/>
          <w:szCs w:val="22"/>
          <w:highlight w:val="none"/>
        </w:rPr>
        <w:t>评标委员会根据各供应商的综合得分（商务技术分与报价得分之和）从高到低依次进行排名排序。特殊情形按以下原则处理：</w:t>
      </w:r>
    </w:p>
    <w:p w14:paraId="208CB297">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（1）综合得分相同的，按磋商响应报价低的优先原则确定排名；</w:t>
      </w:r>
    </w:p>
    <w:p w14:paraId="171A81B0">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（2）综合得分和磋商响应报价均相同的，按</w:t>
      </w:r>
      <w:r>
        <w:rPr>
          <w:rFonts w:hint="eastAsia" w:ascii="宋体" w:hAnsi="宋体" w:cs="宋体"/>
          <w:color w:val="auto"/>
          <w:sz w:val="24"/>
          <w:szCs w:val="22"/>
          <w:highlight w:val="none"/>
          <w:lang w:val="en-US" w:eastAsia="zh-CN"/>
        </w:rPr>
        <w:t>商务技术</w:t>
      </w:r>
      <w:r>
        <w:rPr>
          <w:rFonts w:ascii="宋体" w:hAnsi="宋体" w:cs="宋体"/>
          <w:color w:val="auto"/>
          <w:sz w:val="24"/>
          <w:szCs w:val="22"/>
          <w:highlight w:val="none"/>
        </w:rPr>
        <w:t>得分从高到低确定排名；</w:t>
      </w:r>
    </w:p>
    <w:p w14:paraId="484F95CF">
      <w:pPr>
        <w:shd w:val="clear"/>
        <w:adjustRightInd w:val="0"/>
        <w:snapToGrid w:val="0"/>
        <w:spacing w:line="288"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（3）综合得分、磋商响应报价和</w:t>
      </w:r>
      <w:r>
        <w:rPr>
          <w:rFonts w:hint="eastAsia" w:ascii="宋体" w:hAnsi="宋体" w:cs="宋体"/>
          <w:color w:val="auto"/>
          <w:sz w:val="24"/>
          <w:szCs w:val="22"/>
          <w:highlight w:val="none"/>
          <w:lang w:val="en-US" w:eastAsia="zh-CN"/>
        </w:rPr>
        <w:t>商务技术</w:t>
      </w:r>
      <w:r>
        <w:rPr>
          <w:rFonts w:ascii="宋体" w:hAnsi="宋体" w:cs="宋体"/>
          <w:color w:val="auto"/>
          <w:sz w:val="24"/>
          <w:szCs w:val="22"/>
          <w:highlight w:val="none"/>
        </w:rPr>
        <w:t>得分均相同的由</w:t>
      </w:r>
      <w:r>
        <w:rPr>
          <w:rFonts w:hint="eastAsia" w:ascii="宋体" w:hAnsi="宋体" w:cs="宋体"/>
          <w:color w:val="auto"/>
          <w:sz w:val="24"/>
          <w:szCs w:val="22"/>
          <w:highlight w:val="none"/>
          <w:lang w:val="en-US" w:eastAsia="zh-CN"/>
        </w:rPr>
        <w:t>磋商小组</w:t>
      </w:r>
      <w:r>
        <w:rPr>
          <w:rFonts w:ascii="宋体" w:hAnsi="宋体" w:cs="宋体"/>
          <w:color w:val="auto"/>
          <w:sz w:val="24"/>
          <w:szCs w:val="22"/>
          <w:highlight w:val="none"/>
        </w:rPr>
        <w:t>全体成员记名投票按少数服从多数的原则确定排名。</w:t>
      </w:r>
    </w:p>
    <w:p w14:paraId="00875DF0">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2.</w:t>
      </w:r>
      <w:r>
        <w:rPr>
          <w:rFonts w:ascii="宋体" w:hAnsi="宋体" w:cs="宋体"/>
          <w:color w:val="auto"/>
          <w:sz w:val="24"/>
          <w:szCs w:val="22"/>
          <w:highlight w:val="none"/>
        </w:rPr>
        <w:t>根据最终得分排序，通过书面评审报告的形式，向采购人推荐</w:t>
      </w:r>
      <w:r>
        <w:rPr>
          <w:rFonts w:hint="eastAsia" w:ascii="宋体" w:hAnsi="宋体" w:cs="宋体"/>
          <w:color w:val="auto"/>
          <w:sz w:val="24"/>
          <w:szCs w:val="22"/>
          <w:highlight w:val="none"/>
          <w:lang w:val="en-US" w:eastAsia="zh-CN"/>
        </w:rPr>
        <w:t>三名</w:t>
      </w:r>
      <w:r>
        <w:rPr>
          <w:rFonts w:ascii="宋体" w:hAnsi="宋体" w:cs="宋体"/>
          <w:color w:val="auto"/>
          <w:sz w:val="24"/>
          <w:szCs w:val="22"/>
          <w:highlight w:val="none"/>
        </w:rPr>
        <w:t>中标候选人。</w:t>
      </w:r>
    </w:p>
    <w:p w14:paraId="2DFD7550">
      <w:pPr>
        <w:shd w:val="clear"/>
        <w:adjustRightInd w:val="0"/>
        <w:snapToGrid w:val="0"/>
        <w:spacing w:line="288"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lang w:eastAsia="zh-CN"/>
        </w:rPr>
        <w:t>3.</w:t>
      </w:r>
      <w:r>
        <w:rPr>
          <w:rFonts w:ascii="宋体" w:hAnsi="宋体" w:cs="宋体"/>
          <w:color w:val="auto"/>
          <w:sz w:val="24"/>
          <w:szCs w:val="22"/>
          <w:highlight w:val="none"/>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46B143C2">
      <w:pPr>
        <w:pStyle w:val="24"/>
        <w:shd w:val="clear"/>
        <w:tabs>
          <w:tab w:val="left" w:pos="1440"/>
        </w:tabs>
        <w:adjustRightInd w:val="0"/>
        <w:snapToGrid w:val="0"/>
        <w:spacing w:line="288" w:lineRule="auto"/>
        <w:ind w:firstLine="0"/>
        <w:rPr>
          <w:rFonts w:ascii="宋体" w:hAnsi="宋体" w:eastAsia="宋体" w:cs="宋体"/>
          <w:b/>
          <w:color w:val="auto"/>
          <w:sz w:val="24"/>
          <w:szCs w:val="24"/>
          <w:highlight w:val="none"/>
        </w:rPr>
      </w:pPr>
      <w:r>
        <w:rPr>
          <w:rFonts w:ascii="宋体" w:hAnsi="宋体" w:eastAsia="宋体" w:cs="宋体"/>
          <w:b/>
          <w:color w:val="auto"/>
          <w:sz w:val="24"/>
          <w:szCs w:val="24"/>
          <w:highlight w:val="none"/>
        </w:rPr>
        <w:t>（二）成交结果公告</w:t>
      </w:r>
    </w:p>
    <w:p w14:paraId="1055F18B">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在采购人确认磋商结果后招标代理机构按相关政府采购规定将磋商结果发布在原磋商公告发布媒体。公告有效期为1个工作日。采购人、招标代理机构及磋商小组对未成交的磋商响应供应商不作落标原因解释。</w:t>
      </w:r>
    </w:p>
    <w:p w14:paraId="04F94B31">
      <w:pPr>
        <w:pStyle w:val="24"/>
        <w:shd w:val="clear"/>
        <w:tabs>
          <w:tab w:val="left" w:pos="1440"/>
        </w:tabs>
        <w:adjustRightInd w:val="0"/>
        <w:snapToGrid w:val="0"/>
        <w:spacing w:line="288" w:lineRule="auto"/>
        <w:ind w:firstLine="0"/>
        <w:rPr>
          <w:rFonts w:ascii="宋体" w:hAnsi="宋体" w:eastAsia="宋体" w:cs="宋体"/>
          <w:b/>
          <w:color w:val="auto"/>
          <w:sz w:val="24"/>
          <w:szCs w:val="24"/>
          <w:highlight w:val="none"/>
        </w:rPr>
      </w:pPr>
      <w:bookmarkStart w:id="122" w:name="_Hlt75236103"/>
      <w:bookmarkEnd w:id="122"/>
      <w:bookmarkStart w:id="123" w:name="_Toc86216995"/>
      <w:bookmarkStart w:id="124" w:name="_Toc91899910"/>
      <w:r>
        <w:rPr>
          <w:rFonts w:ascii="宋体" w:hAnsi="宋体" w:eastAsia="宋体" w:cs="宋体"/>
          <w:b/>
          <w:color w:val="auto"/>
          <w:sz w:val="24"/>
          <w:szCs w:val="24"/>
          <w:highlight w:val="none"/>
        </w:rPr>
        <w:t>（三）成交通知书</w:t>
      </w:r>
    </w:p>
    <w:p w14:paraId="134DC096">
      <w:pPr>
        <w:shd w:val="clear"/>
        <w:adjustRightInd w:val="0"/>
        <w:snapToGrid w:val="0"/>
        <w:spacing w:line="288" w:lineRule="auto"/>
        <w:ind w:firstLine="480" w:firstLineChars="200"/>
        <w:rPr>
          <w:rFonts w:ascii="宋体" w:hAnsi="宋体" w:cs="宋体"/>
          <w:color w:val="auto"/>
          <w:sz w:val="24"/>
          <w:highlight w:val="none"/>
        </w:rPr>
      </w:pPr>
      <w:r>
        <w:rPr>
          <w:rFonts w:ascii="宋体" w:hAnsi="宋体" w:cs="宋体"/>
          <w:color w:val="auto"/>
          <w:sz w:val="24"/>
          <w:highlight w:val="none"/>
        </w:rPr>
        <w:t>招标代理机构将以书面形式向成交人发出成交通知书。</w:t>
      </w:r>
      <w:bookmarkStart w:id="125" w:name="_Toc233618979"/>
    </w:p>
    <w:p w14:paraId="48877FAB">
      <w:pPr>
        <w:shd w:val="clear"/>
        <w:adjustRightInd w:val="0"/>
        <w:snapToGrid w:val="0"/>
        <w:spacing w:line="288" w:lineRule="auto"/>
        <w:jc w:val="center"/>
        <w:outlineLvl w:val="1"/>
        <w:rPr>
          <w:rFonts w:ascii="宋体" w:hAnsi="宋体" w:cs="宋体"/>
          <w:b/>
          <w:color w:val="auto"/>
          <w:sz w:val="32"/>
          <w:highlight w:val="none"/>
        </w:rPr>
      </w:pPr>
      <w:bookmarkStart w:id="126" w:name="_Toc10716"/>
      <w:bookmarkStart w:id="127" w:name="_Toc4503"/>
      <w:bookmarkStart w:id="128" w:name="_Toc686"/>
      <w:bookmarkStart w:id="129" w:name="_Toc10841"/>
      <w:bookmarkStart w:id="130" w:name="_Toc6494384"/>
      <w:bookmarkStart w:id="131" w:name="_Toc8153"/>
      <w:r>
        <w:rPr>
          <w:rFonts w:ascii="宋体" w:hAnsi="宋体" w:cs="宋体"/>
          <w:b/>
          <w:color w:val="auto"/>
          <w:sz w:val="32"/>
          <w:highlight w:val="none"/>
        </w:rPr>
        <w:t>八、</w:t>
      </w:r>
      <w:bookmarkEnd w:id="123"/>
      <w:r>
        <w:rPr>
          <w:rFonts w:ascii="宋体" w:hAnsi="宋体" w:cs="宋体"/>
          <w:b/>
          <w:color w:val="auto"/>
          <w:sz w:val="32"/>
          <w:highlight w:val="none"/>
        </w:rPr>
        <w:t>合同签订及其他</w:t>
      </w:r>
      <w:bookmarkEnd w:id="125"/>
      <w:bookmarkEnd w:id="126"/>
      <w:bookmarkEnd w:id="127"/>
      <w:bookmarkEnd w:id="128"/>
      <w:bookmarkEnd w:id="129"/>
      <w:bookmarkEnd w:id="130"/>
      <w:bookmarkEnd w:id="131"/>
    </w:p>
    <w:bookmarkEnd w:id="124"/>
    <w:p w14:paraId="582BBF74">
      <w:pPr>
        <w:shd w:val="clear"/>
        <w:adjustRightInd w:val="0"/>
        <w:snapToGrid w:val="0"/>
        <w:spacing w:line="288" w:lineRule="auto"/>
        <w:rPr>
          <w:rFonts w:ascii="宋体" w:hAnsi="宋体" w:cs="宋体"/>
          <w:b/>
          <w:color w:val="auto"/>
          <w:sz w:val="24"/>
          <w:highlight w:val="none"/>
        </w:rPr>
      </w:pPr>
      <w:r>
        <w:rPr>
          <w:rFonts w:ascii="宋体" w:hAnsi="宋体" w:cs="宋体"/>
          <w:b/>
          <w:color w:val="auto"/>
          <w:sz w:val="24"/>
          <w:highlight w:val="none"/>
        </w:rPr>
        <w:t>（一）合同的签订</w:t>
      </w:r>
    </w:p>
    <w:p w14:paraId="6E66C169">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成交人接到成交通知书后按规定的日期、时间、地点，由法定代表人或其授权代表与采购人代表参照“第四部分 合同草案”内容签订采购合同，即政府采购合同。</w:t>
      </w:r>
    </w:p>
    <w:p w14:paraId="5FFE0783">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所签订的合同不得对磋商文件和成交人磋商响应文件（含磋商过程中因要求实质性变动所重新提交的响应材料）作实质性修改。采购人不得向成交供应商提出任何不合理的要求，作为签订合同的条件，不得与成交人私下订立背离合同实质性内容的协议。</w:t>
      </w:r>
    </w:p>
    <w:p w14:paraId="34C6E733">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磋商文件及补充文件、成交人的磋商响应文件及磋商修改文件、磋商过程中有关澄清文件和成交通知书均作为合同附件。</w:t>
      </w:r>
    </w:p>
    <w:p w14:paraId="19B5FEFC">
      <w:pPr>
        <w:pStyle w:val="23"/>
        <w:shd w:val="clear"/>
        <w:adjustRightInd w:val="0"/>
        <w:snapToGrid w:val="0"/>
        <w:spacing w:before="0" w:line="288" w:lineRule="auto"/>
        <w:ind w:firstLine="480"/>
        <w:rPr>
          <w:rFonts w:ascii="宋体" w:hAnsi="宋体" w:cs="宋体"/>
          <w:color w:val="auto"/>
          <w:szCs w:val="22"/>
          <w:highlight w:val="none"/>
        </w:rPr>
      </w:pPr>
      <w:r>
        <w:rPr>
          <w:rFonts w:ascii="宋体" w:hAnsi="宋体" w:cs="宋体"/>
          <w:color w:val="auto"/>
          <w:szCs w:val="22"/>
          <w:highlight w:val="none"/>
        </w:rPr>
        <w:t>联合体磋商响应成交的，联合体各方应当共同与</w:t>
      </w:r>
      <w:r>
        <w:rPr>
          <w:rFonts w:ascii="宋体" w:hAnsi="宋体" w:cs="宋体"/>
          <w:color w:val="auto"/>
          <w:szCs w:val="22"/>
          <w:highlight w:val="none"/>
        </w:rPr>
        <w:fldChar w:fldCharType="begin"/>
      </w:r>
      <w:r>
        <w:rPr>
          <w:rFonts w:ascii="宋体" w:hAnsi="宋体" w:cs="宋体"/>
          <w:color w:val="auto"/>
          <w:szCs w:val="22"/>
          <w:highlight w:val="none"/>
        </w:rPr>
        <w:instrText xml:space="preserve"> HYPERLINK "http://www.baidu.com/s?wd=%E6%8B%9B%E6%A0%87%E4%BA%BA&amp;hl_tag=textlink&amp;tn=SE_hldp01350_v6v6zkg6" </w:instrText>
      </w:r>
      <w:r>
        <w:rPr>
          <w:rFonts w:ascii="宋体" w:hAnsi="宋体" w:cs="宋体"/>
          <w:color w:val="auto"/>
          <w:szCs w:val="22"/>
          <w:highlight w:val="none"/>
        </w:rPr>
        <w:fldChar w:fldCharType="separate"/>
      </w:r>
      <w:r>
        <w:rPr>
          <w:rFonts w:ascii="宋体" w:hAnsi="宋体" w:cs="宋体"/>
          <w:color w:val="auto"/>
          <w:szCs w:val="22"/>
          <w:highlight w:val="none"/>
        </w:rPr>
        <w:t>采购人</w:t>
      </w:r>
      <w:r>
        <w:rPr>
          <w:rFonts w:ascii="宋体" w:hAnsi="宋体" w:cs="宋体"/>
          <w:color w:val="auto"/>
          <w:szCs w:val="22"/>
          <w:highlight w:val="none"/>
        </w:rPr>
        <w:fldChar w:fldCharType="end"/>
      </w:r>
      <w:r>
        <w:rPr>
          <w:rFonts w:ascii="宋体" w:hAnsi="宋体" w:cs="宋体"/>
          <w:color w:val="auto"/>
          <w:szCs w:val="22"/>
          <w:highlight w:val="none"/>
        </w:rPr>
        <w:t>签订合同，联合体主办方负责联合体内部所有协调和管理工作，并代表联合体各方与采购人发生业务往来关系（包括并不限于文件及资金等所有日常业务往来关系）。采购人对联合体各方都有管理权限，由于联合体各方不服从管理的，采购人可以直接采用任何处理方案来推进工程进度，包括经济处罚、更换项目人员等，本条款必须完全响应并作为合同签订时的一部分。</w:t>
      </w:r>
    </w:p>
    <w:p w14:paraId="484FA2CB">
      <w:pPr>
        <w:pStyle w:val="23"/>
        <w:shd w:val="clear"/>
        <w:adjustRightInd w:val="0"/>
        <w:snapToGrid w:val="0"/>
        <w:spacing w:before="0" w:line="288" w:lineRule="auto"/>
        <w:ind w:firstLine="480"/>
        <w:rPr>
          <w:rFonts w:ascii="宋体" w:hAnsi="宋体" w:cs="宋体"/>
          <w:color w:val="auto"/>
          <w:szCs w:val="22"/>
          <w:highlight w:val="none"/>
        </w:rPr>
      </w:pPr>
      <w:r>
        <w:rPr>
          <w:rFonts w:ascii="宋体" w:hAnsi="宋体" w:cs="宋体"/>
          <w:color w:val="auto"/>
          <w:szCs w:val="22"/>
          <w:highlight w:val="none"/>
        </w:rPr>
        <w:t>联合体各方对成交的项目</w:t>
      </w:r>
      <w:r>
        <w:rPr>
          <w:rFonts w:ascii="宋体" w:hAnsi="宋体" w:cs="宋体"/>
          <w:color w:val="auto"/>
          <w:szCs w:val="22"/>
          <w:highlight w:val="none"/>
        </w:rPr>
        <w:fldChar w:fldCharType="begin"/>
      </w:r>
      <w:r>
        <w:rPr>
          <w:rFonts w:ascii="宋体" w:hAnsi="宋体" w:cs="宋体"/>
          <w:color w:val="auto"/>
          <w:szCs w:val="22"/>
          <w:highlight w:val="none"/>
        </w:rPr>
        <w:instrText xml:space="preserve"> HYPERLINK "http://www.baidu.com/s?wd=%E6%89%BF%E6%8B%85%E8%BF%9E%E5%B8%A6%E8%B4%A3%E4%BB%BB&amp;hl_tag=textlink&amp;tn=SE_hldp01350_v6v6zkg6" </w:instrText>
      </w:r>
      <w:r>
        <w:rPr>
          <w:rFonts w:ascii="宋体" w:hAnsi="宋体" w:cs="宋体"/>
          <w:color w:val="auto"/>
          <w:szCs w:val="22"/>
          <w:highlight w:val="none"/>
        </w:rPr>
        <w:fldChar w:fldCharType="separate"/>
      </w:r>
      <w:r>
        <w:rPr>
          <w:rFonts w:ascii="宋体" w:hAnsi="宋体" w:cs="宋体"/>
          <w:color w:val="auto"/>
          <w:szCs w:val="22"/>
          <w:highlight w:val="none"/>
        </w:rPr>
        <w:t>承担连带责任</w:t>
      </w:r>
      <w:r>
        <w:rPr>
          <w:rFonts w:ascii="宋体" w:hAnsi="宋体" w:cs="宋体"/>
          <w:color w:val="auto"/>
          <w:szCs w:val="22"/>
          <w:highlight w:val="none"/>
        </w:rPr>
        <w:fldChar w:fldCharType="end"/>
      </w:r>
      <w:r>
        <w:rPr>
          <w:rFonts w:ascii="宋体" w:hAnsi="宋体" w:cs="宋体"/>
          <w:color w:val="auto"/>
          <w:szCs w:val="22"/>
          <w:highlight w:val="none"/>
        </w:rPr>
        <w:t>。联合体中的某一方违反合同，采购人都有权要求其中的任何一方承担全部责任。联合体协议的约定不能免除任何一方其应负的连带责任。</w:t>
      </w:r>
    </w:p>
    <w:p w14:paraId="082DBE4F">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成交后，供应商拒绝签订合同的，采购人可以按照评审报告推荐的成交候选人名单排序，确定下一候选人为成交供应商，也可以重新开展政府采购活动。供应商成交后拒绝签订合同的，应按采购预算金额的2%对采购人进行赔偿；赔偿金额不足以弥补采购人损失的，供应商应继续承担超过部分的损失。</w:t>
      </w:r>
    </w:p>
    <w:p w14:paraId="489093FD">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存在下列行为的，采购代理机构将其失信行为上报政府采购主管部门，由主管部门按有关规定对其违法失信行为记录进行公开：</w:t>
      </w:r>
    </w:p>
    <w:p w14:paraId="218C72F2">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（1）成交后，拒绝签订政府采购合同的；</w:t>
      </w:r>
    </w:p>
    <w:p w14:paraId="69D12C1F">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（2）响应有效期内撤销响应文件的。</w:t>
      </w:r>
    </w:p>
    <w:p w14:paraId="09F7BA31">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如签订合同并生效后，供应商无故拒绝或延期合格交货的，除按照合同条款处罚外，列入不良行为记录一次，并给予通报。</w:t>
      </w:r>
    </w:p>
    <w:p w14:paraId="49AADD20">
      <w:pPr>
        <w:pStyle w:val="23"/>
        <w:shd w:val="clear"/>
        <w:adjustRightInd w:val="0"/>
        <w:snapToGrid w:val="0"/>
        <w:spacing w:before="0" w:line="288" w:lineRule="auto"/>
        <w:ind w:firstLine="480"/>
        <w:rPr>
          <w:rFonts w:ascii="宋体" w:hAnsi="宋体" w:cs="宋体"/>
          <w:color w:val="auto"/>
          <w:highlight w:val="none"/>
        </w:rPr>
      </w:pPr>
      <w:r>
        <w:rPr>
          <w:rFonts w:ascii="宋体" w:hAnsi="宋体" w:cs="宋体"/>
          <w:color w:val="auto"/>
          <w:highlight w:val="none"/>
        </w:rPr>
        <w:t xml:space="preserve">成交人因制造商原因无法供货导致无法签订合同的视为“成交后无正当理由不与采购人签订合同”。 </w:t>
      </w:r>
    </w:p>
    <w:p w14:paraId="192F2ECB">
      <w:pPr>
        <w:shd w:val="clear"/>
        <w:tabs>
          <w:tab w:val="left" w:pos="0"/>
        </w:tabs>
        <w:spacing w:line="288" w:lineRule="auto"/>
        <w:rPr>
          <w:rFonts w:ascii="宋体" w:hAnsi="宋体" w:cs="宋体"/>
          <w:b/>
          <w:color w:val="auto"/>
          <w:sz w:val="24"/>
          <w:highlight w:val="none"/>
        </w:rPr>
      </w:pPr>
      <w:r>
        <w:rPr>
          <w:rFonts w:ascii="宋体" w:hAnsi="宋体" w:cs="宋体"/>
          <w:b/>
          <w:color w:val="auto"/>
          <w:sz w:val="24"/>
          <w:highlight w:val="none"/>
        </w:rPr>
        <w:t>（二）售后服务考核</w:t>
      </w:r>
    </w:p>
    <w:p w14:paraId="4774ACA1">
      <w:pPr>
        <w:pStyle w:val="23"/>
        <w:shd w:val="clear"/>
        <w:adjustRightInd w:val="0"/>
        <w:snapToGrid w:val="0"/>
        <w:spacing w:before="0" w:line="288" w:lineRule="auto"/>
        <w:ind w:firstLine="480"/>
        <w:rPr>
          <w:rFonts w:ascii="宋体" w:hAnsi="宋体" w:cs="宋体"/>
          <w:color w:val="auto"/>
          <w:szCs w:val="24"/>
          <w:highlight w:val="none"/>
        </w:rPr>
      </w:pPr>
      <w:r>
        <w:rPr>
          <w:rFonts w:ascii="宋体" w:hAnsi="宋体" w:cs="宋体"/>
          <w:color w:val="auto"/>
          <w:szCs w:val="24"/>
          <w:highlight w:val="none"/>
        </w:rPr>
        <w:t>将参照有关法律法规，对供应商进行考核，发现弄虚作假，偷工减料，以次充好，达不到国家、行业有关标准和技术文件规定的，一经查实，采购人将视情况终止合同。</w:t>
      </w:r>
    </w:p>
    <w:p w14:paraId="3BDD18FC">
      <w:pPr>
        <w:shd w:val="clear"/>
        <w:tabs>
          <w:tab w:val="left" w:pos="0"/>
        </w:tabs>
        <w:spacing w:line="288" w:lineRule="auto"/>
        <w:rPr>
          <w:rFonts w:ascii="宋体" w:hAnsi="宋体" w:cs="宋体"/>
          <w:b/>
          <w:color w:val="auto"/>
          <w:sz w:val="24"/>
          <w:highlight w:val="none"/>
        </w:rPr>
      </w:pPr>
      <w:r>
        <w:rPr>
          <w:rFonts w:ascii="宋体" w:hAnsi="宋体" w:cs="宋体"/>
          <w:b/>
          <w:color w:val="auto"/>
          <w:sz w:val="24"/>
          <w:highlight w:val="none"/>
        </w:rPr>
        <w:t>（三）磋商代理服务费</w:t>
      </w:r>
    </w:p>
    <w:p w14:paraId="558C8F3A">
      <w:pPr>
        <w:pStyle w:val="23"/>
        <w:shd w:val="clear"/>
        <w:adjustRightInd w:val="0"/>
        <w:snapToGrid w:val="0"/>
        <w:spacing w:before="0" w:line="288" w:lineRule="auto"/>
        <w:ind w:firstLine="480"/>
        <w:rPr>
          <w:rFonts w:ascii="宋体" w:hAnsi="宋体" w:cs="宋体"/>
          <w:color w:val="auto"/>
          <w:szCs w:val="24"/>
          <w:highlight w:val="none"/>
        </w:rPr>
      </w:pPr>
      <w:r>
        <w:rPr>
          <w:rFonts w:ascii="宋体" w:hAnsi="宋体" w:cs="宋体"/>
          <w:color w:val="auto"/>
          <w:szCs w:val="24"/>
          <w:highlight w:val="none"/>
        </w:rPr>
        <w:t>本次磋商代理服务费按本须知“前附表”规定收取。</w:t>
      </w:r>
    </w:p>
    <w:p w14:paraId="61A65A6A">
      <w:pPr>
        <w:pStyle w:val="2"/>
        <w:shd w:val="clear"/>
        <w:rPr>
          <w:rFonts w:ascii="宋体" w:hAnsi="宋体" w:cs="宋体"/>
          <w:b w:val="0"/>
          <w:color w:val="auto"/>
          <w:sz w:val="36"/>
          <w:szCs w:val="36"/>
          <w:highlight w:val="none"/>
        </w:rPr>
      </w:pPr>
      <w:r>
        <w:rPr>
          <w:rFonts w:ascii="宋体" w:hAnsi="宋体" w:cs="宋体"/>
          <w:b w:val="0"/>
          <w:color w:val="auto"/>
          <w:sz w:val="36"/>
          <w:szCs w:val="36"/>
          <w:highlight w:val="none"/>
        </w:rPr>
        <w:br w:type="page"/>
      </w:r>
      <w:bookmarkStart w:id="132" w:name="_Toc3602"/>
      <w:r>
        <w:rPr>
          <w:rFonts w:ascii="宋体" w:hAnsi="宋体" w:cs="宋体"/>
          <w:bCs/>
          <w:color w:val="auto"/>
          <w:sz w:val="36"/>
          <w:szCs w:val="36"/>
          <w:highlight w:val="none"/>
        </w:rPr>
        <w:t>第三部分  项目技术及服务要求</w:t>
      </w:r>
      <w:bookmarkEnd w:id="132"/>
    </w:p>
    <w:p w14:paraId="1594CA38">
      <w:pPr>
        <w:shd w:val="clear"/>
        <w:spacing w:line="360" w:lineRule="auto"/>
        <w:jc w:val="left"/>
        <w:rPr>
          <w:rFonts w:hint="eastAsia" w:ascii="宋体" w:hAnsi="宋体" w:eastAsia="宋体" w:cs="宋体"/>
          <w:b/>
          <w:bCs/>
          <w:color w:val="auto"/>
          <w:sz w:val="24"/>
          <w:highlight w:val="none"/>
        </w:rPr>
      </w:pPr>
      <w:bookmarkStart w:id="133" w:name="_Toc233618985"/>
      <w:bookmarkStart w:id="134" w:name="_Toc12301"/>
      <w:bookmarkStart w:id="135" w:name="_Toc35401305"/>
      <w:bookmarkStart w:id="136" w:name="_Toc91899916"/>
      <w:bookmarkStart w:id="137" w:name="_Toc37243119"/>
      <w:bookmarkStart w:id="138" w:name="_Toc233618986"/>
      <w:bookmarkStart w:id="139" w:name="_Toc86217003"/>
      <w:r>
        <w:rPr>
          <w:rFonts w:hint="eastAsia" w:ascii="宋体" w:hAnsi="宋体" w:eastAsia="宋体" w:cs="宋体"/>
          <w:b/>
          <w:bCs/>
          <w:color w:val="auto"/>
          <w:sz w:val="24"/>
          <w:highlight w:val="none"/>
        </w:rPr>
        <w:t>一、需求清单</w:t>
      </w:r>
    </w:p>
    <w:tbl>
      <w:tblPr>
        <w:tblStyle w:val="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205"/>
        <w:gridCol w:w="855"/>
        <w:gridCol w:w="870"/>
        <w:gridCol w:w="1342"/>
        <w:gridCol w:w="1868"/>
        <w:gridCol w:w="1256"/>
      </w:tblGrid>
      <w:tr w14:paraId="7504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71" w:type="dxa"/>
            <w:noWrap w:val="0"/>
            <w:vAlign w:val="center"/>
          </w:tcPr>
          <w:p w14:paraId="65499FA8">
            <w:pPr>
              <w:widowControl/>
              <w:shd w:val="clear"/>
              <w:tabs>
                <w:tab w:val="left" w:pos="360"/>
              </w:tabs>
              <w:jc w:val="center"/>
              <w:rPr>
                <w:rFonts w:hint="eastAsia" w:ascii="宋体" w:hAnsi="宋体" w:eastAsia="宋体" w:cs="宋体"/>
                <w:b/>
                <w:bCs/>
                <w:color w:val="auto"/>
                <w:sz w:val="24"/>
                <w:szCs w:val="15"/>
                <w:highlight w:val="none"/>
              </w:rPr>
            </w:pPr>
            <w:r>
              <w:rPr>
                <w:rFonts w:hint="eastAsia" w:ascii="宋体" w:hAnsi="宋体" w:eastAsia="宋体" w:cs="宋体"/>
                <w:b/>
                <w:bCs/>
                <w:color w:val="auto"/>
                <w:sz w:val="24"/>
                <w:szCs w:val="15"/>
                <w:highlight w:val="none"/>
              </w:rPr>
              <w:t>项目名称</w:t>
            </w:r>
          </w:p>
        </w:tc>
        <w:tc>
          <w:tcPr>
            <w:tcW w:w="2205" w:type="dxa"/>
            <w:noWrap w:val="0"/>
            <w:vAlign w:val="center"/>
          </w:tcPr>
          <w:p w14:paraId="50DD2609">
            <w:pPr>
              <w:widowControl/>
              <w:shd w:val="clear"/>
              <w:tabs>
                <w:tab w:val="left" w:pos="360"/>
              </w:tabs>
              <w:jc w:val="center"/>
              <w:rPr>
                <w:rFonts w:hint="eastAsia" w:ascii="宋体" w:hAnsi="宋体" w:eastAsia="宋体" w:cs="宋体"/>
                <w:b/>
                <w:bCs/>
                <w:color w:val="auto"/>
                <w:sz w:val="24"/>
                <w:szCs w:val="15"/>
                <w:highlight w:val="none"/>
              </w:rPr>
            </w:pPr>
            <w:r>
              <w:rPr>
                <w:rFonts w:hint="eastAsia" w:ascii="宋体" w:hAnsi="宋体" w:eastAsia="宋体" w:cs="宋体"/>
                <w:b/>
                <w:bCs/>
                <w:color w:val="auto"/>
                <w:sz w:val="24"/>
                <w:szCs w:val="15"/>
                <w:highlight w:val="none"/>
              </w:rPr>
              <w:t>主要服务技术要求</w:t>
            </w:r>
          </w:p>
        </w:tc>
        <w:tc>
          <w:tcPr>
            <w:tcW w:w="855" w:type="dxa"/>
            <w:noWrap w:val="0"/>
            <w:vAlign w:val="center"/>
          </w:tcPr>
          <w:p w14:paraId="33DF3266">
            <w:pPr>
              <w:widowControl/>
              <w:shd w:val="clear"/>
              <w:tabs>
                <w:tab w:val="left" w:pos="360"/>
              </w:tabs>
              <w:jc w:val="center"/>
              <w:rPr>
                <w:rFonts w:hint="eastAsia" w:ascii="宋体" w:hAnsi="宋体" w:eastAsia="宋体" w:cs="宋体"/>
                <w:b/>
                <w:bCs/>
                <w:color w:val="auto"/>
                <w:sz w:val="24"/>
                <w:szCs w:val="15"/>
                <w:highlight w:val="none"/>
              </w:rPr>
            </w:pPr>
            <w:r>
              <w:rPr>
                <w:rFonts w:hint="eastAsia" w:ascii="宋体" w:hAnsi="宋体" w:eastAsia="宋体" w:cs="宋体"/>
                <w:b/>
                <w:bCs/>
                <w:color w:val="auto"/>
                <w:sz w:val="24"/>
                <w:szCs w:val="15"/>
                <w:highlight w:val="none"/>
              </w:rPr>
              <w:t>单位</w:t>
            </w:r>
          </w:p>
        </w:tc>
        <w:tc>
          <w:tcPr>
            <w:tcW w:w="870" w:type="dxa"/>
            <w:noWrap w:val="0"/>
            <w:vAlign w:val="center"/>
          </w:tcPr>
          <w:p w14:paraId="7F2011A5">
            <w:pPr>
              <w:widowControl/>
              <w:shd w:val="clear"/>
              <w:tabs>
                <w:tab w:val="left" w:pos="360"/>
              </w:tabs>
              <w:jc w:val="center"/>
              <w:rPr>
                <w:rFonts w:hint="eastAsia" w:ascii="宋体" w:hAnsi="宋体" w:eastAsia="宋体" w:cs="宋体"/>
                <w:b/>
                <w:bCs/>
                <w:color w:val="auto"/>
                <w:sz w:val="24"/>
                <w:szCs w:val="15"/>
                <w:highlight w:val="none"/>
                <w:lang w:eastAsia="zh-CN"/>
              </w:rPr>
            </w:pPr>
            <w:r>
              <w:rPr>
                <w:rFonts w:hint="eastAsia" w:ascii="宋体" w:hAnsi="宋体" w:eastAsia="宋体" w:cs="宋体"/>
                <w:b/>
                <w:bCs/>
                <w:color w:val="auto"/>
                <w:sz w:val="24"/>
                <w:szCs w:val="15"/>
                <w:highlight w:val="none"/>
              </w:rPr>
              <w:t>数量</w:t>
            </w:r>
          </w:p>
        </w:tc>
        <w:tc>
          <w:tcPr>
            <w:tcW w:w="1342" w:type="dxa"/>
            <w:noWrap w:val="0"/>
            <w:vAlign w:val="center"/>
          </w:tcPr>
          <w:p w14:paraId="4641BE26">
            <w:pPr>
              <w:shd w:val="clear"/>
              <w:spacing w:line="280" w:lineRule="exact"/>
              <w:jc w:val="center"/>
              <w:rPr>
                <w:rFonts w:hint="eastAsia" w:ascii="宋体" w:hAnsi="宋体" w:eastAsia="宋体" w:cs="宋体"/>
                <w:b/>
                <w:bCs/>
                <w:color w:val="auto"/>
                <w:sz w:val="24"/>
                <w:szCs w:val="15"/>
                <w:highlight w:val="none"/>
                <w:lang w:val="en-US" w:eastAsia="zh-CN"/>
              </w:rPr>
            </w:pPr>
            <w:r>
              <w:rPr>
                <w:rFonts w:hint="eastAsia" w:ascii="宋体" w:hAnsi="宋体" w:eastAsia="宋体" w:cs="宋体"/>
                <w:b/>
                <w:bCs/>
                <w:color w:val="auto"/>
                <w:sz w:val="24"/>
                <w:szCs w:val="15"/>
                <w:highlight w:val="none"/>
                <w:lang w:val="en-US" w:eastAsia="zh-CN"/>
              </w:rPr>
              <w:t>预算单价</w:t>
            </w:r>
          </w:p>
          <w:p w14:paraId="36E9A1E0">
            <w:pPr>
              <w:shd w:val="clear"/>
              <w:spacing w:line="280" w:lineRule="exact"/>
              <w:jc w:val="center"/>
              <w:rPr>
                <w:rFonts w:hint="eastAsia" w:ascii="宋体" w:hAnsi="宋体" w:eastAsia="宋体" w:cs="宋体"/>
                <w:b/>
                <w:bCs/>
                <w:color w:val="auto"/>
                <w:sz w:val="24"/>
                <w:szCs w:val="15"/>
                <w:highlight w:val="none"/>
                <w:lang w:val="en-US" w:eastAsia="zh-CN"/>
              </w:rPr>
            </w:pPr>
            <w:r>
              <w:rPr>
                <w:rFonts w:hint="eastAsia" w:ascii="宋体" w:hAnsi="宋体" w:eastAsia="宋体" w:cs="宋体"/>
                <w:b/>
                <w:bCs/>
                <w:color w:val="auto"/>
                <w:sz w:val="24"/>
                <w:szCs w:val="15"/>
                <w:highlight w:val="none"/>
                <w:lang w:val="en-US" w:eastAsia="zh-CN"/>
              </w:rPr>
              <w:t>（元/年）</w:t>
            </w:r>
          </w:p>
        </w:tc>
        <w:tc>
          <w:tcPr>
            <w:tcW w:w="1868" w:type="dxa"/>
            <w:noWrap w:val="0"/>
            <w:vAlign w:val="center"/>
          </w:tcPr>
          <w:p w14:paraId="1485986D">
            <w:pPr>
              <w:shd w:val="clear"/>
              <w:spacing w:line="280" w:lineRule="exact"/>
              <w:jc w:val="center"/>
              <w:rPr>
                <w:rFonts w:hint="eastAsia" w:ascii="宋体" w:hAnsi="宋体" w:eastAsia="宋体" w:cs="宋体"/>
                <w:b/>
                <w:bCs/>
                <w:color w:val="auto"/>
                <w:sz w:val="24"/>
                <w:szCs w:val="15"/>
                <w:highlight w:val="none"/>
                <w:lang w:val="en-US" w:eastAsia="zh-CN"/>
              </w:rPr>
            </w:pPr>
            <w:r>
              <w:rPr>
                <w:rFonts w:hint="eastAsia" w:ascii="宋体" w:hAnsi="宋体" w:eastAsia="宋体" w:cs="宋体"/>
                <w:b/>
                <w:bCs/>
                <w:color w:val="auto"/>
                <w:sz w:val="24"/>
                <w:szCs w:val="15"/>
                <w:highlight w:val="none"/>
                <w:lang w:val="en-US" w:eastAsia="zh-CN"/>
              </w:rPr>
              <w:t>预算总价（元）</w:t>
            </w:r>
          </w:p>
        </w:tc>
        <w:tc>
          <w:tcPr>
            <w:tcW w:w="1256" w:type="dxa"/>
            <w:noWrap w:val="0"/>
            <w:vAlign w:val="center"/>
          </w:tcPr>
          <w:p w14:paraId="1A37E5FE">
            <w:pPr>
              <w:shd w:val="clear"/>
              <w:spacing w:line="280" w:lineRule="exact"/>
              <w:jc w:val="center"/>
              <w:rPr>
                <w:rFonts w:hint="eastAsia" w:ascii="宋体" w:hAnsi="宋体" w:eastAsia="宋体" w:cs="宋体"/>
                <w:b/>
                <w:bCs/>
                <w:color w:val="auto"/>
                <w:sz w:val="24"/>
                <w:szCs w:val="15"/>
                <w:highlight w:val="none"/>
                <w:lang w:val="en-US" w:eastAsia="zh-CN"/>
              </w:rPr>
            </w:pPr>
            <w:r>
              <w:rPr>
                <w:rFonts w:hint="eastAsia" w:ascii="宋体" w:hAnsi="宋体" w:eastAsia="宋体" w:cs="宋体"/>
                <w:b/>
                <w:bCs/>
                <w:color w:val="auto"/>
                <w:sz w:val="24"/>
                <w:szCs w:val="15"/>
                <w:highlight w:val="none"/>
                <w:lang w:val="en-US" w:eastAsia="zh-CN"/>
              </w:rPr>
              <w:t>备注</w:t>
            </w:r>
          </w:p>
        </w:tc>
      </w:tr>
      <w:tr w14:paraId="0C08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71" w:type="dxa"/>
            <w:noWrap w:val="0"/>
            <w:vAlign w:val="center"/>
          </w:tcPr>
          <w:p w14:paraId="1E1EA64C">
            <w:pPr>
              <w:widowControl/>
              <w:shd w:val="clear"/>
              <w:tabs>
                <w:tab w:val="left" w:pos="360"/>
              </w:tabs>
              <w:jc w:val="center"/>
              <w:rPr>
                <w:rFonts w:hint="default"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衢州科技大市场运营服务</w:t>
            </w:r>
          </w:p>
        </w:tc>
        <w:tc>
          <w:tcPr>
            <w:tcW w:w="2205" w:type="dxa"/>
            <w:noWrap w:val="0"/>
            <w:vAlign w:val="center"/>
          </w:tcPr>
          <w:p w14:paraId="3FA6175E">
            <w:pPr>
              <w:widowControl/>
              <w:shd w:val="clear"/>
              <w:tabs>
                <w:tab w:val="left" w:pos="360"/>
              </w:tabs>
              <w:jc w:val="center"/>
              <w:rPr>
                <w:rFonts w:hint="eastAsia"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详见“二、采购需求”</w:t>
            </w:r>
          </w:p>
        </w:tc>
        <w:tc>
          <w:tcPr>
            <w:tcW w:w="855" w:type="dxa"/>
            <w:noWrap w:val="0"/>
            <w:vAlign w:val="center"/>
          </w:tcPr>
          <w:p w14:paraId="6B3AC0E4">
            <w:pPr>
              <w:widowControl/>
              <w:shd w:val="clear"/>
              <w:tabs>
                <w:tab w:val="left" w:pos="360"/>
              </w:tabs>
              <w:jc w:val="center"/>
              <w:rPr>
                <w:rFonts w:hint="eastAsia"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年</w:t>
            </w:r>
          </w:p>
        </w:tc>
        <w:tc>
          <w:tcPr>
            <w:tcW w:w="870" w:type="dxa"/>
            <w:noWrap w:val="0"/>
            <w:vAlign w:val="center"/>
          </w:tcPr>
          <w:p w14:paraId="39343CC6">
            <w:pPr>
              <w:widowControl/>
              <w:shd w:val="clear"/>
              <w:tabs>
                <w:tab w:val="left" w:pos="360"/>
              </w:tabs>
              <w:jc w:val="center"/>
              <w:rPr>
                <w:rFonts w:hint="eastAsia"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2</w:t>
            </w:r>
          </w:p>
        </w:tc>
        <w:tc>
          <w:tcPr>
            <w:tcW w:w="1342" w:type="dxa"/>
            <w:noWrap w:val="0"/>
            <w:vAlign w:val="center"/>
          </w:tcPr>
          <w:p w14:paraId="12CF38EC">
            <w:pPr>
              <w:widowControl/>
              <w:shd w:val="clear"/>
              <w:tabs>
                <w:tab w:val="left" w:pos="360"/>
              </w:tabs>
              <w:jc w:val="center"/>
              <w:rPr>
                <w:rFonts w:hint="default"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1330000</w:t>
            </w:r>
          </w:p>
        </w:tc>
        <w:tc>
          <w:tcPr>
            <w:tcW w:w="1868" w:type="dxa"/>
            <w:noWrap w:val="0"/>
            <w:vAlign w:val="center"/>
          </w:tcPr>
          <w:p w14:paraId="0676C5B6">
            <w:pPr>
              <w:widowControl/>
              <w:shd w:val="clear"/>
              <w:tabs>
                <w:tab w:val="left" w:pos="360"/>
              </w:tabs>
              <w:jc w:val="center"/>
              <w:rPr>
                <w:rFonts w:hint="default"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2660000</w:t>
            </w:r>
          </w:p>
        </w:tc>
        <w:tc>
          <w:tcPr>
            <w:tcW w:w="1256" w:type="dxa"/>
            <w:noWrap w:val="0"/>
            <w:vAlign w:val="center"/>
          </w:tcPr>
          <w:p w14:paraId="3B5C9665">
            <w:pPr>
              <w:shd w:val="clear"/>
              <w:spacing w:line="320" w:lineRule="exact"/>
              <w:jc w:val="center"/>
              <w:rPr>
                <w:rFonts w:hint="default"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合同一年一签</w:t>
            </w:r>
          </w:p>
        </w:tc>
      </w:tr>
      <w:tr w14:paraId="666C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01" w:type="dxa"/>
            <w:gridSpan w:val="4"/>
            <w:noWrap w:val="0"/>
            <w:vAlign w:val="center"/>
          </w:tcPr>
          <w:p w14:paraId="1A4D75BA">
            <w:pPr>
              <w:widowControl/>
              <w:shd w:val="clear"/>
              <w:tabs>
                <w:tab w:val="left" w:pos="360"/>
              </w:tabs>
              <w:jc w:val="center"/>
              <w:rPr>
                <w:rFonts w:hint="eastAsia"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lang w:val="en-US" w:eastAsia="zh-CN"/>
              </w:rPr>
              <w:t>合  计：</w:t>
            </w:r>
            <w:r>
              <w:rPr>
                <w:rFonts w:hint="eastAsia" w:ascii="宋体" w:hAnsi="宋体" w:eastAsia="宋体" w:cs="宋体"/>
                <w:color w:val="auto"/>
                <w:sz w:val="24"/>
                <w:szCs w:val="15"/>
                <w:highlight w:val="none"/>
                <w:u w:val="single"/>
                <w:lang w:val="en-US" w:eastAsia="zh-CN"/>
              </w:rPr>
              <w:t>人民币贰佰陆拾陆万元整</w:t>
            </w:r>
          </w:p>
        </w:tc>
        <w:tc>
          <w:tcPr>
            <w:tcW w:w="1342" w:type="dxa"/>
            <w:noWrap w:val="0"/>
            <w:vAlign w:val="center"/>
          </w:tcPr>
          <w:p w14:paraId="4AA5A54B">
            <w:pPr>
              <w:shd w:val="clear"/>
              <w:spacing w:line="320" w:lineRule="exact"/>
              <w:jc w:val="center"/>
              <w:rPr>
                <w:rFonts w:hint="eastAsia" w:ascii="宋体" w:hAnsi="宋体" w:eastAsia="宋体" w:cs="宋体"/>
                <w:color w:val="auto"/>
                <w:sz w:val="24"/>
                <w:szCs w:val="15"/>
                <w:highlight w:val="none"/>
                <w:u w:val="single"/>
                <w:lang w:val="en-US" w:eastAsia="zh-CN"/>
              </w:rPr>
            </w:pPr>
          </w:p>
        </w:tc>
        <w:tc>
          <w:tcPr>
            <w:tcW w:w="3124" w:type="dxa"/>
            <w:gridSpan w:val="2"/>
            <w:noWrap w:val="0"/>
            <w:vAlign w:val="center"/>
          </w:tcPr>
          <w:p w14:paraId="1FCD6A0E">
            <w:pPr>
              <w:shd w:val="clear"/>
              <w:spacing w:line="320" w:lineRule="exact"/>
              <w:jc w:val="center"/>
              <w:rPr>
                <w:rFonts w:hint="eastAsia" w:ascii="宋体" w:hAnsi="宋体" w:eastAsia="宋体" w:cs="宋体"/>
                <w:color w:val="auto"/>
                <w:sz w:val="24"/>
                <w:szCs w:val="15"/>
                <w:highlight w:val="none"/>
                <w:lang w:val="en-US" w:eastAsia="zh-CN"/>
              </w:rPr>
            </w:pPr>
            <w:r>
              <w:rPr>
                <w:rFonts w:hint="eastAsia" w:ascii="宋体" w:hAnsi="宋体" w:eastAsia="宋体" w:cs="宋体"/>
                <w:color w:val="auto"/>
                <w:sz w:val="24"/>
                <w:szCs w:val="15"/>
                <w:highlight w:val="none"/>
                <w:u w:val="single"/>
                <w:lang w:val="en-US" w:eastAsia="zh-CN"/>
              </w:rPr>
              <w:t>￥2660000.00元</w:t>
            </w:r>
          </w:p>
        </w:tc>
      </w:tr>
    </w:tbl>
    <w:p w14:paraId="357038B1">
      <w:pPr>
        <w:shd w:val="clea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二、采购需求</w:t>
      </w:r>
    </w:p>
    <w:p w14:paraId="11B441E1">
      <w:pPr>
        <w:shd w:val="clear"/>
        <w:spacing w:line="360" w:lineRule="auto"/>
        <w:jc w:val="left"/>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&lt;一&gt;项目概况</w:t>
      </w:r>
    </w:p>
    <w:p w14:paraId="297D384D">
      <w:pPr>
        <w:shd w:val="clear"/>
        <w:spacing w:line="360" w:lineRule="auto"/>
        <w:ind w:firstLine="482"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项目名称</w:t>
      </w:r>
      <w:r>
        <w:rPr>
          <w:rFonts w:hint="eastAsia" w:ascii="宋体" w:hAnsi="宋体" w:eastAsia="宋体" w:cs="宋体"/>
          <w:b/>
          <w:bCs/>
          <w:color w:val="auto"/>
          <w:sz w:val="22"/>
          <w:szCs w:val="22"/>
          <w:highlight w:val="none"/>
        </w:rPr>
        <w:t>：</w:t>
      </w:r>
      <w:r>
        <w:rPr>
          <w:rFonts w:hint="eastAsia" w:ascii="宋体" w:hAnsi="宋体" w:eastAsia="宋体" w:cs="宋体"/>
          <w:b w:val="0"/>
          <w:bCs w:val="0"/>
          <w:color w:val="auto"/>
          <w:sz w:val="24"/>
          <w:highlight w:val="none"/>
          <w:lang w:val="en-US" w:eastAsia="zh-CN"/>
        </w:rPr>
        <w:t>衢州科技大市场运营服务</w:t>
      </w:r>
    </w:p>
    <w:p w14:paraId="0F3E0D03">
      <w:pPr>
        <w:shd w:val="clear"/>
        <w:spacing w:line="360" w:lineRule="auto"/>
        <w:ind w:firstLine="482" w:firstLineChars="200"/>
        <w:jc w:val="left"/>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预算金额（元）</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2660000</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1330000元/年</w:t>
      </w:r>
      <w:r>
        <w:rPr>
          <w:rFonts w:hint="eastAsia" w:ascii="宋体" w:hAnsi="宋体" w:eastAsia="宋体" w:cs="宋体"/>
          <w:b w:val="0"/>
          <w:bCs w:val="0"/>
          <w:color w:val="auto"/>
          <w:sz w:val="24"/>
          <w:highlight w:val="none"/>
          <w:lang w:eastAsia="zh-CN"/>
        </w:rPr>
        <w:t>）</w:t>
      </w:r>
    </w:p>
    <w:p w14:paraId="1D8F320B">
      <w:pPr>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3.</w:t>
      </w:r>
      <w:r>
        <w:rPr>
          <w:rFonts w:hint="eastAsia" w:ascii="宋体" w:hAnsi="宋体" w:eastAsia="宋体" w:cs="宋体"/>
          <w:b/>
          <w:bCs/>
          <w:color w:val="auto"/>
          <w:sz w:val="24"/>
          <w:highlight w:val="none"/>
        </w:rPr>
        <w:t>最高限价（元）：</w:t>
      </w:r>
      <w:r>
        <w:rPr>
          <w:rFonts w:hint="eastAsia" w:ascii="宋体" w:hAnsi="宋体" w:eastAsia="宋体" w:cs="宋体"/>
          <w:b w:val="0"/>
          <w:bCs w:val="0"/>
          <w:color w:val="auto"/>
          <w:sz w:val="24"/>
          <w:highlight w:val="none"/>
          <w:lang w:val="en-US" w:eastAsia="zh-CN"/>
        </w:rPr>
        <w:t>2660000</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1330000元/年</w:t>
      </w:r>
      <w:r>
        <w:rPr>
          <w:rFonts w:hint="eastAsia" w:ascii="宋体" w:hAnsi="宋体" w:eastAsia="宋体" w:cs="宋体"/>
          <w:b w:val="0"/>
          <w:bCs w:val="0"/>
          <w:color w:val="auto"/>
          <w:sz w:val="24"/>
          <w:highlight w:val="none"/>
          <w:lang w:eastAsia="zh-CN"/>
        </w:rPr>
        <w:t>）</w:t>
      </w:r>
    </w:p>
    <w:p w14:paraId="39D6812C">
      <w:pPr>
        <w:shd w:val="clear"/>
        <w:spacing w:line="360" w:lineRule="auto"/>
        <w:ind w:firstLine="48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费用说明：</w:t>
      </w:r>
      <w:r>
        <w:rPr>
          <w:rFonts w:hint="eastAsia" w:ascii="宋体" w:hAnsi="宋体" w:eastAsia="宋体" w:cs="宋体"/>
          <w:b w:val="0"/>
          <w:bCs w:val="0"/>
          <w:color w:val="auto"/>
          <w:sz w:val="24"/>
          <w:szCs w:val="24"/>
          <w:highlight w:val="none"/>
          <w:lang w:val="en-US" w:eastAsia="zh-CN"/>
        </w:rPr>
        <w:t>本项目服务费分基础运营服务费及考核经费，其中基础运营服务费占比40%，考核经费占比60%。</w:t>
      </w:r>
    </w:p>
    <w:p w14:paraId="686A44CC">
      <w:pPr>
        <w:shd w:val="clear"/>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项目概况</w:t>
      </w:r>
    </w:p>
    <w:p w14:paraId="0A336070">
      <w:pPr>
        <w:shd w:val="clea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上级部门对科技大市场建设的总体要求，结合衢州市发展提升科技服务的实际需要以及现有的基础条件，通过对衢州科技大市场的运营管理，逐步形成展示、交易、服务、共享、交流“五位一体”，线上线下有机融合全省统一的技术市场体系，现决定开展衢州科技大市场运营服务采购。</w:t>
      </w:r>
    </w:p>
    <w:p w14:paraId="5FD0CEE2">
      <w:pPr>
        <w:shd w:val="clea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&lt;二&gt;具体服务内容、要求等</w:t>
      </w:r>
    </w:p>
    <w:p w14:paraId="40F38303">
      <w:pPr>
        <w:numPr>
          <w:ilvl w:val="0"/>
          <w:numId w:val="5"/>
        </w:num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服务范围</w:t>
      </w:r>
    </w:p>
    <w:p w14:paraId="4BC349F5">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（1）组织开展大型技术交易活动；</w:t>
      </w:r>
      <w:r>
        <w:rPr>
          <w:rFonts w:hint="eastAsia" w:ascii="宋体" w:hAnsi="宋体" w:eastAsia="宋体" w:cs="宋体"/>
          <w:b w:val="0"/>
          <w:bCs w:val="0"/>
          <w:color w:val="auto"/>
          <w:sz w:val="24"/>
          <w:szCs w:val="24"/>
          <w:highlight w:val="none"/>
          <w:lang w:val="en-US" w:eastAsia="zh-CN"/>
        </w:rPr>
        <w:tab/>
      </w:r>
    </w:p>
    <w:p w14:paraId="2A8DEAD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（2）技术交易与服务；</w:t>
      </w:r>
    </w:p>
    <w:p w14:paraId="6AE258FC">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（3）引进优质技术中介服务机构；</w:t>
      </w:r>
    </w:p>
    <w:p w14:paraId="0C699A30">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（4）高校、科研院所开展联系对接；</w:t>
      </w:r>
    </w:p>
    <w:p w14:paraId="2185F40E">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（5）技术市场运行与维护；</w:t>
      </w:r>
    </w:p>
    <w:p w14:paraId="2A240B8A">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（6）政策、法规和科技信息发布；</w:t>
      </w:r>
    </w:p>
    <w:p w14:paraId="429D3E7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（7）企业技术需求的征集、挖掘与发布；</w:t>
      </w:r>
    </w:p>
    <w:p w14:paraId="5A8A30F5">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（8）科技服务网站运维；</w:t>
      </w:r>
    </w:p>
    <w:p w14:paraId="0DFD9D5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（9）技术协议管理；</w:t>
      </w:r>
    </w:p>
    <w:p w14:paraId="45F35B42">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（10）成果、专利和高校院所及专家团队信息发布；</w:t>
      </w:r>
    </w:p>
    <w:p w14:paraId="384D63C7">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（11）技术查新咨询服务；</w:t>
      </w:r>
    </w:p>
    <w:p w14:paraId="3EFE6E9F">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（12）高能级科创平台服务；</w:t>
      </w:r>
    </w:p>
    <w:p w14:paraId="25BC84FE">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（13）技术和项目评价评估及可行性分析；</w:t>
      </w:r>
    </w:p>
    <w:p w14:paraId="4AE18F7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（14）科技推广宣传服务；</w:t>
      </w:r>
    </w:p>
    <w:p w14:paraId="565879D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（15）政策咨询宣传等；</w:t>
      </w:r>
    </w:p>
    <w:p w14:paraId="4911B66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（16）协助采购人完成市委市政府交办重点任务和其他临时性工作。</w:t>
      </w:r>
    </w:p>
    <w:p w14:paraId="3B52B7F3">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平台运行</w:t>
      </w:r>
    </w:p>
    <w:p w14:paraId="785B5BF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bookmarkStart w:id="140" w:name="_Hlk14288336"/>
      <w:r>
        <w:rPr>
          <w:rFonts w:hint="eastAsia" w:ascii="宋体" w:hAnsi="宋体" w:eastAsia="宋体" w:cs="宋体"/>
          <w:b w:val="0"/>
          <w:bCs w:val="0"/>
          <w:color w:val="auto"/>
          <w:sz w:val="24"/>
          <w:szCs w:val="24"/>
          <w:highlight w:val="none"/>
          <w:lang w:val="en-US" w:eastAsia="zh-CN"/>
        </w:rPr>
        <w:t>负责“衢州科技大市场”科技活动的开展、衢州科技项目管理系统网站运营，确保内容真实、合法、安全、更新及时，并配合政府职能部门做好网站安全检查；</w:t>
      </w:r>
    </w:p>
    <w:p w14:paraId="0DF4F8B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负责办公场地及其办公设备维护、维修工作，确保正常运行。</w:t>
      </w:r>
    </w:p>
    <w:p w14:paraId="41F4EDDB">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负责组织不少于5人的运营团队驻衢，其中至少安排1名全职工作人员到采购人指定地点办公，运营商需提供电脑、打印机、空调等办公必备用品</w:t>
      </w:r>
      <w:bookmarkEnd w:id="140"/>
      <w:r>
        <w:rPr>
          <w:rFonts w:hint="eastAsia" w:ascii="宋体" w:hAnsi="宋体" w:eastAsia="宋体" w:cs="宋体"/>
          <w:b w:val="0"/>
          <w:bCs w:val="0"/>
          <w:color w:val="auto"/>
          <w:sz w:val="24"/>
          <w:szCs w:val="24"/>
          <w:highlight w:val="none"/>
          <w:lang w:val="en-US" w:eastAsia="zh-CN"/>
        </w:rPr>
        <w:t>。</w:t>
      </w:r>
    </w:p>
    <w:p w14:paraId="0D8ED679">
      <w:pPr>
        <w:numPr>
          <w:ilvl w:val="0"/>
          <w:numId w:val="0"/>
        </w:numPr>
        <w:shd w:val="clear"/>
        <w:spacing w:line="360" w:lineRule="auto"/>
        <w:ind w:left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3.考核</w:t>
      </w:r>
    </w:p>
    <w:p w14:paraId="6D99BDEC">
      <w:pPr>
        <w:shd w:val="clear"/>
        <w:spacing w:line="360" w:lineRule="auto"/>
        <w:ind w:firstLine="240" w:firstLineChars="1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考核管理应用：招标方及相关管理部门采取日常巡查和检查考核相结合的办法对中标方进行考核及监督检查，对存在问题的按照考核评分标准扣分。如第一年服务期满年度考核得分达到80分及以上的，方可签订下一年度合同，两年服务期满年度考核得分均达到80分及以上，在年度预算能够保障的前提下，根据运营需要，经双方友好协商，可以根据本次中标价格续签一年。70分（不含）以下，采购人有权单方面终止合同，并不予拨付考核经费，由此造成的损失由运营方自行承担。年度考核分70分（含）-80分（不含）的，拨付比例为80%，考核分80分（含）-90分（不含）的，拨付比例为90%，如考核得分90分及以上的，考核经费拨付比例为100%。</w:t>
      </w:r>
    </w:p>
    <w:p w14:paraId="45491820">
      <w:pPr>
        <w:shd w:val="clear"/>
        <w:spacing w:line="360" w:lineRule="auto"/>
        <w:ind w:firstLine="240" w:firstLineChars="1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（2）考核标准（详见合同附件）</w:t>
      </w:r>
    </w:p>
    <w:p w14:paraId="0AAE1D01">
      <w:pPr>
        <w:numPr>
          <w:ilvl w:val="0"/>
          <w:numId w:val="6"/>
        </w:num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工作内容</w:t>
      </w:r>
    </w:p>
    <w:p w14:paraId="3DB6E7B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确保不少于5名工作人员驻衢，其中至少安排1名全职工作人员到采购人指定地点办公，工作人员学历要求本科及以上（其中硕士及以上学历至少1名），需具有较强的团队合作精神、沟通协调能力、应变能力与责任感，需具备较强的文字功底，具有科技相关工作经验者。</w:t>
      </w:r>
    </w:p>
    <w:p w14:paraId="2598568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（2）开展科技交流、促进成果转化、服务高能级科创平台、服务创新主体培育、开展科技招商活动、促成企业与高校院所共建创新联合体、帮助企业引进高层次人才等。</w:t>
      </w:r>
    </w:p>
    <w:p w14:paraId="2CF3CC6E">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（3）设置企业服务热线，协助采购人相关业务处室为企业提供政策解答。</w:t>
      </w:r>
    </w:p>
    <w:p w14:paraId="497E279A">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（4）征集有一定价值的企业技术难题50项以上，突出问题导向，协调高校院所力量配合企业攻关，辅导企业、科创平台完成中国创新挑战赛项目申报工作，其中入围省级大赛不少于1个。</w:t>
      </w:r>
    </w:p>
    <w:p w14:paraId="3D55BCA5">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（5）组织20项科技成果（需求）参与竞价拍卖并促成技术交易。发布科技成果不少于350个，每年促成转化不少于10个。</w:t>
      </w:r>
    </w:p>
    <w:p w14:paraId="26CAED3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（6）完成国家级或省级人才工程有效申报，协助采购人开展“南孔精英”计划培养专项科技创新领域人才项目申报或其他评审申报类工作。</w:t>
      </w:r>
    </w:p>
    <w:p w14:paraId="65197B97">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（7）协助开展高能级科创平台做好日常材料归集、绩效考核等工作，减轻研究院材料申报负担；协助高能级科创平台或高层次人才项目对接基金或金融机构或场景（场地）等不少于10个。</w:t>
      </w:r>
    </w:p>
    <w:p w14:paraId="291E7DFB">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（8）组织高能级科创平台外出招聘不少于2场/年，推介博士学历以上人才30人次；根据科技人才需要，提供服务。</w:t>
      </w:r>
    </w:p>
    <w:p w14:paraId="53DA96FA">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（9）建立科技型企业梯度培育库，积极协助企业申报国家级、省级、市级相关荣誉、资质、项目、平台等。</w:t>
      </w:r>
    </w:p>
    <w:p w14:paraId="71E40A1D">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（10）根据采购人部署，收集并整理衢州市高校、科研院所的成果、科研团队信息，形成成果清单、服务清单、人才清单等，定期在微信公众号上发布宣传，有效促进平台影响力和知晓度。</w:t>
      </w:r>
    </w:p>
    <w:p w14:paraId="02C9D52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（11）为创新主体宣传推介“衢创保”“衢创担”“衢创贷”“衢创投”等科技金融“一站式”服务，开展科技金融政策培训或对接会不少于3场。</w:t>
      </w:r>
    </w:p>
    <w:p w14:paraId="423275BC">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（12）根据采购人要求，引导衢州创新主体（企业、高校、科研院所、服务机构等）入驻指定数字化平台的数量增幅比例不低于50%。</w:t>
      </w:r>
    </w:p>
    <w:p w14:paraId="367B7FB7">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（13）常态化做好指定数字化平台的日常运维，通过数字化平台、短信群发、微信推送等形式发布科技政策、科技活动等讯息。</w:t>
      </w:r>
    </w:p>
    <w:p w14:paraId="2F65456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（14）根据采购人部署，收集并整理衢州市高校、科研院所的成果、科研团队信息，形成成果清单、服务清单、人才清单等，定期在微信公众号上发布宣传，有效促进平台影响力和知晓度。</w:t>
      </w:r>
    </w:p>
    <w:p w14:paraId="7D0E128E">
      <w:pPr>
        <w:shd w:val="clear"/>
        <w:spacing w:line="360" w:lineRule="auto"/>
        <w:ind w:left="239" w:leftChars="114"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（15）优化科技金融、中试平台、概念验证等线上服务和对接渠道，提高服务精准性。</w:t>
      </w:r>
    </w:p>
    <w:p w14:paraId="6A583F6F">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（16）协助举办国家高新技术企业和科技型中小企业申报、R&amp;D投入提升、科技成果转化、创新券运用等相关培训4场以上。</w:t>
      </w:r>
    </w:p>
    <w:p w14:paraId="1AE927BE">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（17）协助组织开展科技服务技术经理人培训30人次以上，培育一批懂技术、懂市场、懂政策的职业经理人。</w:t>
      </w:r>
    </w:p>
    <w:p w14:paraId="2500DF87">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（18）协助采购人完成市委市政府交办的重点工作，答复和落实相关批示件精神，完成采购人临时交办的工作。</w:t>
      </w:r>
    </w:p>
    <w:p w14:paraId="670B8F79">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5D8AC9EC">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（一）总体要求</w:t>
      </w:r>
    </w:p>
    <w:p w14:paraId="2A81FC8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必须符合招标文件（包括补充更正，如有）的服务要求，符合国家相关服务标准和招标文件规定标准。</w:t>
      </w:r>
    </w:p>
    <w:p w14:paraId="79380352">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（二）付款方式</w:t>
      </w:r>
    </w:p>
    <w:p w14:paraId="76AF30E1">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按财务结算要求，通过银行划帐方式结算。</w:t>
      </w:r>
    </w:p>
    <w:p w14:paraId="7B7A9491">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（三）服务期限</w:t>
      </w:r>
    </w:p>
    <w:p w14:paraId="0899FC40">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服务期限：服务期共计两年。本项目合同采取一年一签方式，服务时间自合同签订之日起计算，如第一年服务期满年度考核得分达到80分及以上的，方可签订下一年度合同，两年服务期满年度考核得分均达到80分及以上，在年度预算能够保障的前提下，根据运营需要，经双方友好协商，可以根据本次中标价格续签一年。 </w:t>
      </w:r>
    </w:p>
    <w:p w14:paraId="6BFBD7DB">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2.标准：符合我国国家有关技术规范要求和技术标准。</w:t>
      </w:r>
    </w:p>
    <w:p w14:paraId="636E3C03">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3.投标供应商提供涉及本项目工作的相关服务。</w:t>
      </w:r>
    </w:p>
    <w:p w14:paraId="0461D88A">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4.投标供应商应在投标文件中提供实施计划。</w:t>
      </w:r>
    </w:p>
    <w:p w14:paraId="10AE2904">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（四）服务要求</w:t>
      </w:r>
    </w:p>
    <w:p w14:paraId="6ACF84D2">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1.供应商在履行合同义务期间，应遵守国家有关法律、法规、维护采购人的合法权益。</w:t>
      </w:r>
    </w:p>
    <w:p w14:paraId="67E0F79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2.供应商应组建能够满足本项目服务需要的项目组，按照工作范围和内容完成技术服务工作，并按约定向采购人汇报工作进展。</w:t>
      </w:r>
    </w:p>
    <w:p w14:paraId="7E667559">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3.供应商应自行承担项目实施过程中的安全责任，采购人在任何情况下不承担任何责任。</w:t>
      </w:r>
    </w:p>
    <w:p w14:paraId="3D73FD2D">
      <w:pPr>
        <w:shd w:val="clear"/>
        <w:spacing w:line="360" w:lineRule="auto"/>
        <w:ind w:firstLine="240" w:firstLineChars="100"/>
        <w:jc w:val="left"/>
        <w:rPr>
          <w:rFonts w:hint="eastAsia" w:ascii="宋体" w:hAnsi="宋体" w:eastAsia="宋体" w:cs="宋体"/>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4.在项目实施期内，中标单位在接到采购方要求后应立即作出响应，投标人应承诺在1小时内响应并提出解决方案，3小时之内到现场进行处理，</w:t>
      </w:r>
      <w:r>
        <w:rPr>
          <w:rFonts w:hint="eastAsia" w:ascii="宋体" w:hAnsi="宋体" w:eastAsia="宋体" w:cs="宋体"/>
          <w:b/>
          <w:bCs/>
          <w:color w:val="auto"/>
          <w:sz w:val="24"/>
          <w:szCs w:val="24"/>
          <w:highlight w:val="none"/>
          <w:lang w:val="en-US" w:eastAsia="zh-CN"/>
        </w:rPr>
        <w:t>为此，投标人应提供相应承诺书。</w:t>
      </w:r>
    </w:p>
    <w:p w14:paraId="7B95FB8D">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（五）验收</w:t>
      </w:r>
    </w:p>
    <w:p w14:paraId="517AEA36">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1.采购人根据招标文件、合同、投标文件等资料进行考核，符合国家相关法律法规要求，通过采购人组织的考核为准。</w:t>
      </w:r>
    </w:p>
    <w:p w14:paraId="50EE58DA">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（六）项目款的结算</w:t>
      </w:r>
    </w:p>
    <w:p w14:paraId="46E344F1">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1.采购人根据合同、投标文件等资料进行考核。</w:t>
      </w:r>
    </w:p>
    <w:p w14:paraId="7C0D1148">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2.合同生效以及具备实施条件后7个工作日内，采购人向成交人一次性支付每年度基础运营费的100%。</w:t>
      </w:r>
    </w:p>
    <w:p w14:paraId="4DE500CF">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3.完成每年度工作目标，服务期满考核合格，根据实际考核得分予以拨付考核经费，考核标准详见合同附件。</w:t>
      </w:r>
    </w:p>
    <w:p w14:paraId="17AF244E">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（七）履约保证金</w:t>
      </w:r>
    </w:p>
    <w:p w14:paraId="6D70E25C">
      <w:pPr>
        <w:shd w:val="clear"/>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本项目不收取履约保证金。</w:t>
      </w:r>
    </w:p>
    <w:p w14:paraId="74CC2AE0">
      <w:pPr>
        <w:pStyle w:val="25"/>
        <w:shd w:val="clear"/>
        <w:rPr>
          <w:rFonts w:hint="eastAsia" w:ascii="宋体" w:hAnsi="宋体" w:eastAsia="宋体" w:cs="宋体"/>
          <w:color w:val="auto"/>
          <w:highlight w:val="none"/>
          <w:lang w:val="en-US" w:eastAsia="zh-CN"/>
        </w:rPr>
      </w:pPr>
    </w:p>
    <w:p w14:paraId="2F527115">
      <w:pPr>
        <w:pStyle w:val="25"/>
        <w:shd w:val="clear"/>
        <w:rPr>
          <w:rFonts w:hint="eastAsia" w:ascii="宋体" w:hAnsi="宋体" w:eastAsia="宋体" w:cs="宋体"/>
          <w:color w:val="auto"/>
          <w:highlight w:val="none"/>
          <w:lang w:val="en-US" w:eastAsia="zh-CN"/>
        </w:rPr>
      </w:pPr>
    </w:p>
    <w:p w14:paraId="33276C47">
      <w:pPr>
        <w:pStyle w:val="25"/>
        <w:shd w:val="clear"/>
        <w:rPr>
          <w:rFonts w:hint="eastAsia" w:ascii="宋体" w:hAnsi="宋体" w:eastAsia="宋体" w:cs="宋体"/>
          <w:color w:val="auto"/>
          <w:highlight w:val="none"/>
          <w:lang w:val="en-US" w:eastAsia="zh-CN"/>
        </w:rPr>
      </w:pPr>
    </w:p>
    <w:p w14:paraId="5BA4B025">
      <w:pPr>
        <w:pStyle w:val="25"/>
        <w:shd w:val="clear"/>
        <w:rPr>
          <w:rFonts w:hint="eastAsia" w:ascii="宋体" w:hAnsi="宋体" w:eastAsia="宋体" w:cs="宋体"/>
          <w:color w:val="auto"/>
          <w:highlight w:val="none"/>
          <w:lang w:val="en-US" w:eastAsia="zh-CN"/>
        </w:rPr>
      </w:pPr>
    </w:p>
    <w:p w14:paraId="1B06E9AE">
      <w:pPr>
        <w:pStyle w:val="2"/>
        <w:shd w:val="clear"/>
        <w:rPr>
          <w:color w:val="auto"/>
          <w:highlight w:val="none"/>
        </w:rPr>
      </w:pPr>
      <w:r>
        <w:rPr>
          <w:color w:val="auto"/>
          <w:highlight w:val="none"/>
        </w:rPr>
        <w:br w:type="page"/>
      </w:r>
      <w:r>
        <w:rPr>
          <w:color w:val="auto"/>
          <w:highlight w:val="none"/>
        </w:rPr>
        <w:t xml:space="preserve">第四部分  </w:t>
      </w:r>
      <w:bookmarkEnd w:id="133"/>
      <w:r>
        <w:rPr>
          <w:color w:val="auto"/>
          <w:highlight w:val="none"/>
        </w:rPr>
        <w:t>合同文本</w:t>
      </w:r>
      <w:bookmarkEnd w:id="134"/>
    </w:p>
    <w:bookmarkEnd w:id="135"/>
    <w:bookmarkEnd w:id="136"/>
    <w:bookmarkEnd w:id="137"/>
    <w:p w14:paraId="31183630">
      <w:pPr>
        <w:shd w:val="clear"/>
        <w:snapToGrid w:val="0"/>
        <w:spacing w:line="300" w:lineRule="auto"/>
        <w:ind w:firstLine="4222" w:firstLineChars="1508"/>
        <w:rPr>
          <w:rFonts w:cs="Calibri"/>
          <w:color w:val="auto"/>
          <w:sz w:val="28"/>
          <w:szCs w:val="28"/>
          <w:highlight w:val="none"/>
        </w:rPr>
      </w:pPr>
      <w:r>
        <w:rPr>
          <w:rFonts w:cs="Calibri"/>
          <w:color w:val="auto"/>
          <w:sz w:val="28"/>
          <w:szCs w:val="28"/>
          <w:highlight w:val="none"/>
        </w:rPr>
        <w:t>采购合同</w:t>
      </w:r>
    </w:p>
    <w:p w14:paraId="76950936">
      <w:pPr>
        <w:pStyle w:val="26"/>
        <w:shd w:val="clear"/>
        <w:ind w:firstLine="480"/>
        <w:jc w:val="center"/>
        <w:rPr>
          <w:rFonts w:cs="Calibri"/>
          <w:color w:val="auto"/>
          <w:sz w:val="28"/>
          <w:szCs w:val="28"/>
          <w:highlight w:val="none"/>
        </w:rPr>
      </w:pPr>
      <w:r>
        <w:rPr>
          <w:rFonts w:cs="Calibri"/>
          <w:color w:val="auto"/>
          <w:sz w:val="24"/>
          <w:szCs w:val="24"/>
          <w:highlight w:val="none"/>
        </w:rPr>
        <w:t>（甲乙双方应按采购文件确定的事项及响应文件响应内容签订本合同，不得对采购文件确定的事项和成交供应商的响应文件作实质性修改）</w:t>
      </w:r>
    </w:p>
    <w:p w14:paraId="4966325B">
      <w:pPr>
        <w:pStyle w:val="26"/>
        <w:shd w:val="clear"/>
        <w:ind w:firstLine="560"/>
        <w:rPr>
          <w:rFonts w:cs="Calibri"/>
          <w:color w:val="auto"/>
          <w:sz w:val="28"/>
          <w:szCs w:val="28"/>
          <w:highlight w:val="none"/>
        </w:rPr>
      </w:pPr>
    </w:p>
    <w:p w14:paraId="1F06748E">
      <w:pPr>
        <w:shd w:val="clear"/>
        <w:snapToGrid w:val="0"/>
        <w:spacing w:line="300" w:lineRule="auto"/>
        <w:ind w:firstLine="3179" w:firstLineChars="1508"/>
        <w:rPr>
          <w:rFonts w:cs="Calibri"/>
          <w:b/>
          <w:color w:val="auto"/>
          <w:szCs w:val="21"/>
          <w:highlight w:val="none"/>
        </w:rPr>
      </w:pPr>
    </w:p>
    <w:p w14:paraId="510B3B92">
      <w:pPr>
        <w:shd w:val="clear"/>
        <w:snapToGrid w:val="0"/>
        <w:spacing w:line="300" w:lineRule="auto"/>
        <w:ind w:firstLine="3179" w:firstLineChars="1508"/>
        <w:rPr>
          <w:rFonts w:cs="Calibri"/>
          <w:color w:val="auto"/>
          <w:szCs w:val="21"/>
          <w:highlight w:val="none"/>
        </w:rPr>
      </w:pPr>
      <w:r>
        <w:rPr>
          <w:rFonts w:cs="Calibri"/>
          <w:b/>
          <w:color w:val="auto"/>
          <w:szCs w:val="21"/>
          <w:highlight w:val="none"/>
        </w:rPr>
        <w:t>合同编号：</w:t>
      </w:r>
      <w:r>
        <w:rPr>
          <w:rFonts w:cs="Calibri"/>
          <w:b/>
          <w:color w:val="auto"/>
          <w:szCs w:val="21"/>
          <w:highlight w:val="none"/>
          <w:u w:val="single"/>
        </w:rPr>
        <w:t>【               】</w:t>
      </w:r>
    </w:p>
    <w:p w14:paraId="53FB302E">
      <w:pPr>
        <w:shd w:val="clear"/>
        <w:snapToGrid w:val="0"/>
        <w:spacing w:line="300" w:lineRule="auto"/>
        <w:rPr>
          <w:rFonts w:cs="Calibri"/>
          <w:color w:val="auto"/>
          <w:szCs w:val="21"/>
          <w:highlight w:val="none"/>
        </w:rPr>
      </w:pPr>
    </w:p>
    <w:p w14:paraId="64252796">
      <w:pPr>
        <w:shd w:val="clear"/>
        <w:snapToGrid w:val="0"/>
        <w:spacing w:line="300" w:lineRule="auto"/>
        <w:rPr>
          <w:rFonts w:cs="Calibri"/>
          <w:color w:val="auto"/>
          <w:szCs w:val="21"/>
          <w:highlight w:val="none"/>
        </w:rPr>
      </w:pPr>
    </w:p>
    <w:p w14:paraId="44A03871">
      <w:pPr>
        <w:shd w:val="clear"/>
        <w:snapToGrid w:val="0"/>
        <w:spacing w:line="300" w:lineRule="auto"/>
        <w:rPr>
          <w:rFonts w:cs="Calibri"/>
          <w:color w:val="auto"/>
          <w:szCs w:val="21"/>
          <w:highlight w:val="none"/>
        </w:rPr>
      </w:pPr>
    </w:p>
    <w:p w14:paraId="311ADB20">
      <w:pPr>
        <w:shd w:val="clear"/>
        <w:snapToGrid w:val="0"/>
        <w:spacing w:line="300" w:lineRule="auto"/>
        <w:rPr>
          <w:rFonts w:cs="Calibri"/>
          <w:color w:val="auto"/>
          <w:szCs w:val="21"/>
          <w:highlight w:val="none"/>
        </w:rPr>
      </w:pPr>
    </w:p>
    <w:p w14:paraId="6CC7E450">
      <w:pPr>
        <w:shd w:val="clear"/>
        <w:snapToGrid w:val="0"/>
        <w:spacing w:line="300" w:lineRule="auto"/>
        <w:rPr>
          <w:rFonts w:cs="Calibri"/>
          <w:color w:val="auto"/>
          <w:szCs w:val="21"/>
          <w:highlight w:val="none"/>
        </w:rPr>
      </w:pPr>
    </w:p>
    <w:p w14:paraId="18AC1971">
      <w:pPr>
        <w:shd w:val="clear"/>
        <w:snapToGrid w:val="0"/>
        <w:spacing w:line="300" w:lineRule="auto"/>
        <w:rPr>
          <w:rFonts w:cs="Calibri"/>
          <w:color w:val="auto"/>
          <w:szCs w:val="21"/>
          <w:highlight w:val="none"/>
        </w:rPr>
      </w:pPr>
    </w:p>
    <w:p w14:paraId="17A01FB5">
      <w:pPr>
        <w:shd w:val="clear"/>
        <w:snapToGrid w:val="0"/>
        <w:spacing w:line="300" w:lineRule="auto"/>
        <w:ind w:left="3076" w:leftChars="798" w:hanging="1400" w:hangingChars="500"/>
        <w:rPr>
          <w:rFonts w:hint="default" w:cs="Calibri"/>
          <w:color w:val="auto"/>
          <w:sz w:val="28"/>
          <w:szCs w:val="28"/>
          <w:highlight w:val="none"/>
          <w:lang w:val="en"/>
        </w:rPr>
      </w:pPr>
      <w:r>
        <w:rPr>
          <w:rFonts w:cs="Calibri"/>
          <w:color w:val="auto"/>
          <w:sz w:val="28"/>
          <w:szCs w:val="28"/>
          <w:highlight w:val="none"/>
        </w:rPr>
        <w:t>项目名称：</w:t>
      </w:r>
      <w:r>
        <w:rPr>
          <w:rFonts w:hint="eastAsia" w:cs="Calibri"/>
          <w:color w:val="auto"/>
          <w:sz w:val="28"/>
          <w:szCs w:val="28"/>
          <w:highlight w:val="none"/>
          <w:u w:val="single"/>
          <w:lang w:val="en" w:eastAsia="zh-CN"/>
        </w:rPr>
        <w:t>衢州科技大市场运营服务</w:t>
      </w:r>
    </w:p>
    <w:p w14:paraId="158887C7">
      <w:pPr>
        <w:shd w:val="clear"/>
        <w:snapToGrid w:val="0"/>
        <w:spacing w:line="300" w:lineRule="auto"/>
        <w:rPr>
          <w:rFonts w:cs="Calibri"/>
          <w:color w:val="auto"/>
          <w:sz w:val="28"/>
          <w:szCs w:val="28"/>
          <w:highlight w:val="none"/>
        </w:rPr>
      </w:pPr>
    </w:p>
    <w:p w14:paraId="41B8DC5F">
      <w:pPr>
        <w:shd w:val="clear"/>
        <w:snapToGrid w:val="0"/>
        <w:spacing w:line="300" w:lineRule="auto"/>
        <w:rPr>
          <w:rFonts w:cs="Calibri"/>
          <w:color w:val="auto"/>
          <w:sz w:val="28"/>
          <w:szCs w:val="28"/>
          <w:highlight w:val="none"/>
        </w:rPr>
      </w:pPr>
    </w:p>
    <w:p w14:paraId="7E466B7A">
      <w:pPr>
        <w:shd w:val="clear"/>
        <w:snapToGrid w:val="0"/>
        <w:spacing w:line="300" w:lineRule="auto"/>
        <w:rPr>
          <w:rFonts w:cs="Calibri"/>
          <w:color w:val="auto"/>
          <w:sz w:val="28"/>
          <w:szCs w:val="28"/>
          <w:highlight w:val="none"/>
        </w:rPr>
      </w:pPr>
    </w:p>
    <w:p w14:paraId="790A340D">
      <w:pPr>
        <w:shd w:val="clear"/>
        <w:snapToGrid w:val="0"/>
        <w:spacing w:line="300" w:lineRule="auto"/>
        <w:rPr>
          <w:rFonts w:cs="Calibri"/>
          <w:color w:val="auto"/>
          <w:sz w:val="28"/>
          <w:szCs w:val="28"/>
          <w:highlight w:val="none"/>
        </w:rPr>
      </w:pPr>
    </w:p>
    <w:p w14:paraId="0649152C">
      <w:pPr>
        <w:shd w:val="clear"/>
        <w:snapToGrid w:val="0"/>
        <w:spacing w:line="300" w:lineRule="auto"/>
        <w:rPr>
          <w:rFonts w:cs="Calibri"/>
          <w:color w:val="auto"/>
          <w:sz w:val="28"/>
          <w:szCs w:val="28"/>
          <w:highlight w:val="none"/>
        </w:rPr>
      </w:pPr>
    </w:p>
    <w:p w14:paraId="108FAD5D">
      <w:pPr>
        <w:shd w:val="clear"/>
        <w:snapToGrid w:val="0"/>
        <w:spacing w:line="300" w:lineRule="auto"/>
        <w:rPr>
          <w:rFonts w:cs="Calibri"/>
          <w:color w:val="auto"/>
          <w:sz w:val="28"/>
          <w:szCs w:val="28"/>
          <w:highlight w:val="none"/>
        </w:rPr>
      </w:pPr>
    </w:p>
    <w:p w14:paraId="66ACF252">
      <w:pPr>
        <w:shd w:val="clear"/>
        <w:snapToGrid w:val="0"/>
        <w:spacing w:line="300" w:lineRule="auto"/>
        <w:rPr>
          <w:rFonts w:cs="Calibri"/>
          <w:color w:val="auto"/>
          <w:sz w:val="28"/>
          <w:szCs w:val="28"/>
          <w:highlight w:val="none"/>
        </w:rPr>
      </w:pPr>
    </w:p>
    <w:p w14:paraId="00214DCC">
      <w:pPr>
        <w:shd w:val="clear"/>
        <w:snapToGrid w:val="0"/>
        <w:spacing w:line="300" w:lineRule="auto"/>
        <w:ind w:firstLine="1820" w:firstLineChars="650"/>
        <w:rPr>
          <w:rFonts w:cs="Calibri"/>
          <w:color w:val="auto"/>
          <w:sz w:val="28"/>
          <w:szCs w:val="28"/>
          <w:highlight w:val="none"/>
        </w:rPr>
      </w:pPr>
      <w:r>
        <w:rPr>
          <w:rFonts w:cs="Calibri"/>
          <w:color w:val="auto"/>
          <w:sz w:val="28"/>
          <w:szCs w:val="28"/>
          <w:highlight w:val="none"/>
        </w:rPr>
        <w:t>甲方：</w:t>
      </w:r>
      <w:r>
        <w:rPr>
          <w:rFonts w:hint="eastAsia" w:cs="Calibri"/>
          <w:color w:val="auto"/>
          <w:sz w:val="28"/>
          <w:szCs w:val="28"/>
          <w:highlight w:val="none"/>
          <w:u w:val="single"/>
          <w:lang w:eastAsia="zh-CN"/>
        </w:rPr>
        <w:t>衢州市科学技术局</w:t>
      </w:r>
    </w:p>
    <w:p w14:paraId="6598FC20">
      <w:pPr>
        <w:shd w:val="clear"/>
        <w:snapToGrid w:val="0"/>
        <w:spacing w:line="300" w:lineRule="auto"/>
        <w:ind w:firstLine="1820" w:firstLineChars="650"/>
        <w:rPr>
          <w:rFonts w:cs="Calibri"/>
          <w:color w:val="auto"/>
          <w:sz w:val="28"/>
          <w:szCs w:val="28"/>
          <w:highlight w:val="none"/>
        </w:rPr>
      </w:pPr>
      <w:r>
        <w:rPr>
          <w:rFonts w:cs="Calibri"/>
          <w:color w:val="auto"/>
          <w:sz w:val="28"/>
          <w:szCs w:val="28"/>
          <w:highlight w:val="none"/>
        </w:rPr>
        <w:t>乙方：</w:t>
      </w:r>
      <w:r>
        <w:rPr>
          <w:rFonts w:cs="Calibri"/>
          <w:color w:val="auto"/>
          <w:sz w:val="28"/>
          <w:szCs w:val="28"/>
          <w:highlight w:val="none"/>
          <w:u w:val="single"/>
        </w:rPr>
        <w:t>【乙方名称】</w:t>
      </w:r>
    </w:p>
    <w:p w14:paraId="2648E93A">
      <w:pPr>
        <w:shd w:val="clear"/>
        <w:snapToGrid w:val="0"/>
        <w:spacing w:line="300" w:lineRule="auto"/>
        <w:rPr>
          <w:rFonts w:cs="Calibri"/>
          <w:color w:val="auto"/>
          <w:sz w:val="28"/>
          <w:szCs w:val="28"/>
          <w:highlight w:val="none"/>
        </w:rPr>
      </w:pPr>
    </w:p>
    <w:p w14:paraId="60D1AE20">
      <w:pPr>
        <w:shd w:val="clear"/>
        <w:snapToGrid w:val="0"/>
        <w:spacing w:line="300" w:lineRule="auto"/>
        <w:rPr>
          <w:rFonts w:cs="Calibri"/>
          <w:color w:val="auto"/>
          <w:sz w:val="28"/>
          <w:szCs w:val="28"/>
          <w:highlight w:val="none"/>
        </w:rPr>
      </w:pPr>
    </w:p>
    <w:p w14:paraId="02618936">
      <w:pPr>
        <w:shd w:val="clear"/>
        <w:snapToGrid w:val="0"/>
        <w:spacing w:line="300" w:lineRule="auto"/>
        <w:rPr>
          <w:rFonts w:cs="Calibri"/>
          <w:color w:val="auto"/>
          <w:szCs w:val="21"/>
          <w:highlight w:val="none"/>
        </w:rPr>
      </w:pPr>
    </w:p>
    <w:p w14:paraId="00E20A3B">
      <w:pPr>
        <w:shd w:val="clear"/>
        <w:snapToGrid w:val="0"/>
        <w:spacing w:line="300" w:lineRule="auto"/>
        <w:rPr>
          <w:rFonts w:cs="Calibri"/>
          <w:color w:val="auto"/>
          <w:szCs w:val="21"/>
          <w:highlight w:val="none"/>
        </w:rPr>
      </w:pPr>
    </w:p>
    <w:p w14:paraId="6149C792">
      <w:pPr>
        <w:shd w:val="clear"/>
        <w:snapToGrid w:val="0"/>
        <w:spacing w:line="300" w:lineRule="auto"/>
        <w:rPr>
          <w:rFonts w:cs="Calibri"/>
          <w:color w:val="auto"/>
          <w:szCs w:val="21"/>
          <w:highlight w:val="none"/>
        </w:rPr>
      </w:pPr>
    </w:p>
    <w:p w14:paraId="13586FEE">
      <w:pPr>
        <w:shd w:val="clear"/>
        <w:snapToGrid w:val="0"/>
        <w:spacing w:line="300" w:lineRule="auto"/>
        <w:rPr>
          <w:rFonts w:cs="Calibri"/>
          <w:color w:val="auto"/>
          <w:szCs w:val="21"/>
          <w:highlight w:val="none"/>
        </w:rPr>
      </w:pPr>
    </w:p>
    <w:p w14:paraId="27D0B8FA">
      <w:pPr>
        <w:shd w:val="clear"/>
        <w:snapToGrid w:val="0"/>
        <w:spacing w:line="300" w:lineRule="auto"/>
        <w:rPr>
          <w:rFonts w:cs="Calibri"/>
          <w:color w:val="auto"/>
          <w:szCs w:val="21"/>
          <w:highlight w:val="none"/>
        </w:rPr>
      </w:pPr>
    </w:p>
    <w:p w14:paraId="51E138B8">
      <w:pPr>
        <w:shd w:val="clear"/>
        <w:snapToGrid w:val="0"/>
        <w:spacing w:line="300" w:lineRule="auto"/>
        <w:rPr>
          <w:rFonts w:cs="Calibri"/>
          <w:color w:val="auto"/>
          <w:szCs w:val="21"/>
          <w:highlight w:val="none"/>
        </w:rPr>
      </w:pPr>
    </w:p>
    <w:p w14:paraId="7DF9387C">
      <w:pPr>
        <w:shd w:val="clear"/>
        <w:snapToGrid w:val="0"/>
        <w:spacing w:line="300" w:lineRule="auto"/>
        <w:rPr>
          <w:rFonts w:cs="Calibri"/>
          <w:color w:val="auto"/>
          <w:szCs w:val="21"/>
          <w:highlight w:val="none"/>
        </w:rPr>
      </w:pPr>
    </w:p>
    <w:p w14:paraId="5C516C9D">
      <w:pPr>
        <w:shd w:val="clear"/>
        <w:snapToGrid w:val="0"/>
        <w:spacing w:line="300" w:lineRule="auto"/>
        <w:rPr>
          <w:rFonts w:cs="Calibri"/>
          <w:color w:val="auto"/>
          <w:szCs w:val="21"/>
          <w:highlight w:val="none"/>
        </w:rPr>
      </w:pPr>
    </w:p>
    <w:p w14:paraId="3CB976EC">
      <w:pPr>
        <w:shd w:val="clear"/>
        <w:snapToGrid w:val="0"/>
        <w:spacing w:line="300" w:lineRule="auto"/>
        <w:rPr>
          <w:rFonts w:cs="Calibri"/>
          <w:color w:val="auto"/>
          <w:szCs w:val="21"/>
          <w:highlight w:val="none"/>
        </w:rPr>
      </w:pPr>
    </w:p>
    <w:p w14:paraId="2EB43DEE">
      <w:pPr>
        <w:shd w:val="clear"/>
        <w:snapToGrid w:val="0"/>
        <w:spacing w:line="300" w:lineRule="auto"/>
        <w:ind w:firstLine="2240" w:firstLineChars="800"/>
        <w:rPr>
          <w:rFonts w:cs="Calibri"/>
          <w:color w:val="auto"/>
          <w:sz w:val="28"/>
          <w:szCs w:val="28"/>
          <w:highlight w:val="none"/>
        </w:rPr>
      </w:pPr>
      <w:r>
        <w:rPr>
          <w:rFonts w:cs="Calibri"/>
          <w:color w:val="auto"/>
          <w:sz w:val="28"/>
          <w:szCs w:val="28"/>
          <w:highlight w:val="none"/>
        </w:rPr>
        <w:t>签订地址：浙江省衢州市</w:t>
      </w:r>
    </w:p>
    <w:p w14:paraId="6C5F522D">
      <w:pPr>
        <w:shd w:val="clear"/>
        <w:snapToGrid w:val="0"/>
        <w:spacing w:line="300" w:lineRule="auto"/>
        <w:jc w:val="center"/>
        <w:rPr>
          <w:rFonts w:cs="Calibri"/>
          <w:color w:val="auto"/>
          <w:sz w:val="28"/>
          <w:szCs w:val="28"/>
          <w:highlight w:val="none"/>
        </w:rPr>
      </w:pPr>
      <w:r>
        <w:rPr>
          <w:rFonts w:cs="Calibri"/>
          <w:color w:val="auto"/>
          <w:sz w:val="28"/>
          <w:szCs w:val="28"/>
          <w:highlight w:val="none"/>
        </w:rPr>
        <w:t>签署日期：</w:t>
      </w:r>
      <w:r>
        <w:rPr>
          <w:rFonts w:cs="Calibri"/>
          <w:color w:val="auto"/>
          <w:sz w:val="28"/>
          <w:szCs w:val="28"/>
          <w:highlight w:val="none"/>
          <w:u w:val="single"/>
        </w:rPr>
        <w:t>二〇二</w:t>
      </w:r>
      <w:r>
        <w:rPr>
          <w:rFonts w:hint="eastAsia" w:cs="Calibri"/>
          <w:color w:val="auto"/>
          <w:sz w:val="28"/>
          <w:szCs w:val="28"/>
          <w:highlight w:val="none"/>
          <w:u w:val="single"/>
          <w:lang w:val="en-US" w:eastAsia="zh-CN"/>
        </w:rPr>
        <w:t>六</w:t>
      </w:r>
      <w:r>
        <w:rPr>
          <w:rFonts w:cs="Calibri"/>
          <w:color w:val="auto"/>
          <w:sz w:val="28"/>
          <w:szCs w:val="28"/>
          <w:highlight w:val="none"/>
          <w:u w:val="single"/>
        </w:rPr>
        <w:t>年【】月【】日</w:t>
      </w:r>
    </w:p>
    <w:p w14:paraId="0500ABB1">
      <w:pPr>
        <w:shd w:val="clear"/>
        <w:snapToGrid w:val="0"/>
        <w:spacing w:line="308" w:lineRule="auto"/>
        <w:jc w:val="center"/>
        <w:rPr>
          <w:rFonts w:cs="Calibri"/>
          <w:color w:val="auto"/>
          <w:sz w:val="28"/>
          <w:szCs w:val="28"/>
          <w:highlight w:val="none"/>
        </w:rPr>
      </w:pPr>
    </w:p>
    <w:p w14:paraId="13D05843">
      <w:pPr>
        <w:keepNext w:val="0"/>
        <w:pageBreakBefore w:val="0"/>
        <w:widowControl w:val="0"/>
        <w:shd w:val="clear"/>
        <w:kinsoku/>
        <w:wordWrap/>
        <w:overflowPunct/>
        <w:topLinePunct w:val="0"/>
        <w:autoSpaceDE/>
        <w:autoSpaceDN/>
        <w:bidi w:val="0"/>
        <w:snapToGrid w:val="0"/>
        <w:spacing w:line="336" w:lineRule="auto"/>
        <w:jc w:val="center"/>
        <w:textAlignment w:val="auto"/>
        <w:rPr>
          <w:rFonts w:cs="Calibri"/>
          <w:color w:val="auto"/>
          <w:sz w:val="28"/>
          <w:szCs w:val="28"/>
          <w:highlight w:val="none"/>
        </w:rPr>
      </w:pPr>
    </w:p>
    <w:p w14:paraId="78DAD439">
      <w:pPr>
        <w:keepNext w:val="0"/>
        <w:pageBreakBefore w:val="0"/>
        <w:widowControl w:val="0"/>
        <w:shd w:val="clear"/>
        <w:kinsoku/>
        <w:wordWrap/>
        <w:overflowPunct/>
        <w:topLinePunct w:val="0"/>
        <w:autoSpaceDE/>
        <w:autoSpaceDN/>
        <w:bidi w:val="0"/>
        <w:snapToGrid w:val="0"/>
        <w:spacing w:line="336" w:lineRule="auto"/>
        <w:jc w:val="center"/>
        <w:textAlignment w:val="auto"/>
        <w:rPr>
          <w:rFonts w:cs="Calibri"/>
          <w:color w:val="auto"/>
          <w:sz w:val="28"/>
          <w:szCs w:val="28"/>
          <w:highlight w:val="none"/>
        </w:rPr>
      </w:pPr>
      <w:r>
        <w:rPr>
          <w:rFonts w:cs="Calibri"/>
          <w:color w:val="auto"/>
          <w:sz w:val="28"/>
          <w:szCs w:val="28"/>
          <w:highlight w:val="none"/>
        </w:rPr>
        <w:t>合同条款</w:t>
      </w:r>
    </w:p>
    <w:p w14:paraId="3A613923">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衢州市科学技术局</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val="en" w:eastAsia="zh-CN"/>
        </w:rPr>
        <w:t>衢州科技大市场运营服务</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u w:val="single"/>
          <w:lang w:eastAsia="zh-CN"/>
        </w:rPr>
        <w:t>衢州市科学技术局</w:t>
      </w:r>
      <w:r>
        <w:rPr>
          <w:rFonts w:hint="eastAsia" w:ascii="宋体" w:hAnsi="宋体" w:eastAsia="宋体" w:cs="宋体"/>
          <w:color w:val="auto"/>
          <w:sz w:val="24"/>
          <w:szCs w:val="24"/>
          <w:highlight w:val="none"/>
        </w:rPr>
        <w:t>以采购文件（项目编号：</w:t>
      </w:r>
      <w:r>
        <w:rPr>
          <w:rFonts w:hint="eastAsia" w:ascii="宋体" w:hAnsi="宋体" w:eastAsia="宋体" w:cs="宋体"/>
          <w:color w:val="auto"/>
          <w:sz w:val="24"/>
          <w:szCs w:val="24"/>
          <w:highlight w:val="none"/>
          <w:u w:val="single"/>
          <w:lang w:eastAsia="zh-CN"/>
        </w:rPr>
        <w:t>ZZCG2026012</w:t>
      </w:r>
      <w:r>
        <w:rPr>
          <w:rFonts w:hint="eastAsia" w:ascii="宋体" w:hAnsi="宋体" w:eastAsia="宋体" w:cs="宋体"/>
          <w:color w:val="auto"/>
          <w:sz w:val="24"/>
          <w:szCs w:val="24"/>
          <w:highlight w:val="none"/>
        </w:rPr>
        <w:t>）进行竞争性磋商采购。甲方确定</w:t>
      </w:r>
      <w:r>
        <w:rPr>
          <w:rFonts w:hint="eastAsia" w:ascii="宋体" w:hAnsi="宋体" w:eastAsia="宋体" w:cs="宋体"/>
          <w:color w:val="auto"/>
          <w:sz w:val="24"/>
          <w:szCs w:val="24"/>
          <w:highlight w:val="none"/>
          <w:u w:val="single"/>
        </w:rPr>
        <w:t>【乙方名称】</w:t>
      </w:r>
      <w:r>
        <w:rPr>
          <w:rFonts w:hint="eastAsia" w:ascii="宋体" w:hAnsi="宋体" w:eastAsia="宋体" w:cs="宋体"/>
          <w:color w:val="auto"/>
          <w:sz w:val="24"/>
          <w:szCs w:val="24"/>
          <w:highlight w:val="none"/>
        </w:rPr>
        <w:t>为成交供应商。甲、乙双方依据《中华人民共和国政府采购法》、《中华人民共和国民法典》，在平等自愿的基础上，同意按照下面的条款和条件，签署本合同。</w:t>
      </w:r>
    </w:p>
    <w:p w14:paraId="32E16EA3">
      <w:pPr>
        <w:pStyle w:val="3"/>
        <w:keepNext w:val="0"/>
        <w:pageBreakBefore w:val="0"/>
        <w:widowControl w:val="0"/>
        <w:numPr>
          <w:ilvl w:val="0"/>
          <w:numId w:val="0"/>
        </w:numPr>
        <w:shd w:val="clear"/>
        <w:tabs>
          <w:tab w:val="clear" w:pos="706"/>
        </w:tabs>
        <w:kinsoku/>
        <w:wordWrap/>
        <w:overflowPunct/>
        <w:topLinePunct w:val="0"/>
        <w:autoSpaceDE/>
        <w:autoSpaceDN/>
        <w:bidi w:val="0"/>
        <w:spacing w:line="336" w:lineRule="auto"/>
        <w:ind w:left="528"/>
        <w:textAlignment w:val="auto"/>
        <w:rPr>
          <w:rFonts w:hint="eastAsia" w:ascii="宋体" w:hAnsi="宋体" w:eastAsia="宋体" w:cs="宋体"/>
          <w:b/>
          <w:bCs w:val="0"/>
          <w:color w:val="auto"/>
          <w:sz w:val="24"/>
          <w:szCs w:val="24"/>
          <w:highlight w:val="none"/>
        </w:rPr>
      </w:pPr>
      <w:bookmarkStart w:id="141" w:name="_Toc4021"/>
      <w:bookmarkStart w:id="142" w:name="_Toc15295"/>
      <w:bookmarkStart w:id="143" w:name="_Toc3651"/>
      <w:r>
        <w:rPr>
          <w:rFonts w:hint="eastAsia" w:ascii="宋体" w:hAnsi="宋体" w:eastAsia="宋体" w:cs="宋体"/>
          <w:b/>
          <w:bCs w:val="0"/>
          <w:color w:val="auto"/>
          <w:sz w:val="24"/>
          <w:szCs w:val="24"/>
          <w:highlight w:val="none"/>
        </w:rPr>
        <w:t>一、项目采购依据</w:t>
      </w:r>
      <w:bookmarkEnd w:id="141"/>
      <w:bookmarkEnd w:id="142"/>
      <w:bookmarkEnd w:id="143"/>
    </w:p>
    <w:p w14:paraId="1D55BBDB">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政府采购预算执行确认书：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号   </w:t>
      </w:r>
    </w:p>
    <w:p w14:paraId="70FC28CE">
      <w:pPr>
        <w:pStyle w:val="3"/>
        <w:keepNext w:val="0"/>
        <w:pageBreakBefore w:val="0"/>
        <w:widowControl w:val="0"/>
        <w:numPr>
          <w:ilvl w:val="0"/>
          <w:numId w:val="0"/>
        </w:numPr>
        <w:shd w:val="clear"/>
        <w:tabs>
          <w:tab w:val="clear" w:pos="706"/>
        </w:tabs>
        <w:kinsoku/>
        <w:wordWrap/>
        <w:overflowPunct/>
        <w:topLinePunct w:val="0"/>
        <w:autoSpaceDE/>
        <w:autoSpaceDN/>
        <w:bidi w:val="0"/>
        <w:spacing w:line="336" w:lineRule="auto"/>
        <w:ind w:left="528"/>
        <w:textAlignment w:val="auto"/>
        <w:rPr>
          <w:rFonts w:hint="eastAsia" w:ascii="宋体" w:hAnsi="宋体" w:eastAsia="宋体" w:cs="宋体"/>
          <w:b/>
          <w:bCs w:val="0"/>
          <w:color w:val="auto"/>
          <w:sz w:val="24"/>
          <w:szCs w:val="24"/>
          <w:highlight w:val="none"/>
        </w:rPr>
      </w:pPr>
      <w:bookmarkStart w:id="144" w:name="_Toc14239"/>
      <w:bookmarkStart w:id="145" w:name="_Toc19366"/>
      <w:bookmarkStart w:id="146" w:name="_Toc13579"/>
      <w:r>
        <w:rPr>
          <w:rFonts w:hint="eastAsia" w:ascii="宋体" w:hAnsi="宋体" w:eastAsia="宋体" w:cs="宋体"/>
          <w:b/>
          <w:bCs w:val="0"/>
          <w:color w:val="auto"/>
          <w:sz w:val="24"/>
          <w:szCs w:val="24"/>
          <w:highlight w:val="none"/>
        </w:rPr>
        <w:t>二、合同的组成部分</w:t>
      </w:r>
      <w:bookmarkEnd w:id="144"/>
      <w:bookmarkEnd w:id="145"/>
      <w:bookmarkEnd w:id="146"/>
    </w:p>
    <w:p w14:paraId="6709BBDE">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以下文件为本合同的组成部分，应该认为是一个整体，彼此相互解释，相互补充。组成合同的多个文件的优先支配地位的次序如下：</w:t>
      </w:r>
    </w:p>
    <w:p w14:paraId="53C32BD1">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本合同书</w:t>
      </w:r>
    </w:p>
    <w:p w14:paraId="1A6E3ADF">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成交通知书</w:t>
      </w:r>
    </w:p>
    <w:p w14:paraId="6E2E5E20">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磋商承诺</w:t>
      </w:r>
    </w:p>
    <w:p w14:paraId="784F8CF3">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磋商响应文件      （包括磋商记录）</w:t>
      </w:r>
    </w:p>
    <w:p w14:paraId="6469BD19">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磋商文件          （</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rPr>
        <w:t>修改文件）</w:t>
      </w:r>
    </w:p>
    <w:p w14:paraId="0457443D">
      <w:pPr>
        <w:pStyle w:val="3"/>
        <w:keepNext w:val="0"/>
        <w:pageBreakBefore w:val="0"/>
        <w:widowControl w:val="0"/>
        <w:numPr>
          <w:ilvl w:val="0"/>
          <w:numId w:val="0"/>
        </w:numPr>
        <w:shd w:val="clear"/>
        <w:tabs>
          <w:tab w:val="clear" w:pos="706"/>
        </w:tabs>
        <w:kinsoku/>
        <w:wordWrap/>
        <w:overflowPunct/>
        <w:topLinePunct w:val="0"/>
        <w:autoSpaceDE/>
        <w:autoSpaceDN/>
        <w:bidi w:val="0"/>
        <w:spacing w:line="336" w:lineRule="auto"/>
        <w:ind w:left="528"/>
        <w:textAlignment w:val="auto"/>
        <w:rPr>
          <w:rFonts w:hint="eastAsia" w:ascii="宋体" w:hAnsi="宋体" w:eastAsia="宋体" w:cs="宋体"/>
          <w:b/>
          <w:bCs w:val="0"/>
          <w:color w:val="auto"/>
          <w:sz w:val="24"/>
          <w:szCs w:val="24"/>
          <w:highlight w:val="none"/>
          <w:lang w:eastAsia="zh-CN"/>
        </w:rPr>
      </w:pPr>
      <w:bookmarkStart w:id="147" w:name="_Toc18142"/>
      <w:bookmarkStart w:id="148" w:name="_Toc28274"/>
      <w:bookmarkStart w:id="149" w:name="_Toc17411"/>
      <w:r>
        <w:rPr>
          <w:rFonts w:hint="eastAsia" w:ascii="宋体" w:hAnsi="宋体" w:eastAsia="宋体" w:cs="宋体"/>
          <w:b/>
          <w:bCs w:val="0"/>
          <w:color w:val="auto"/>
          <w:sz w:val="24"/>
          <w:szCs w:val="24"/>
          <w:highlight w:val="none"/>
        </w:rPr>
        <w:t>三、</w:t>
      </w:r>
      <w:bookmarkEnd w:id="147"/>
      <w:bookmarkEnd w:id="148"/>
      <w:bookmarkEnd w:id="149"/>
      <w:r>
        <w:rPr>
          <w:rFonts w:hint="eastAsia" w:ascii="宋体" w:hAnsi="宋体" w:eastAsia="宋体" w:cs="宋体"/>
          <w:b/>
          <w:bCs w:val="0"/>
          <w:color w:val="auto"/>
          <w:sz w:val="24"/>
          <w:szCs w:val="24"/>
          <w:highlight w:val="none"/>
          <w:lang w:val="en-US" w:eastAsia="zh-CN"/>
        </w:rPr>
        <w:t>合同</w:t>
      </w:r>
      <w:r>
        <w:rPr>
          <w:rFonts w:hint="eastAsia" w:ascii="宋体" w:hAnsi="宋体" w:eastAsia="宋体" w:cs="宋体"/>
          <w:b/>
          <w:bCs w:val="0"/>
          <w:color w:val="auto"/>
          <w:sz w:val="24"/>
          <w:szCs w:val="24"/>
          <w:highlight w:val="none"/>
          <w:lang w:eastAsia="zh-CN"/>
        </w:rPr>
        <w:t>内容</w:t>
      </w:r>
    </w:p>
    <w:p w14:paraId="481E1D18">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项目名称：衢州科技大市场运营服务</w:t>
      </w:r>
    </w:p>
    <w:p w14:paraId="1131FC4C">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服务期限两年：202 年 月 日至202 年 月 日（具体开始服务日期由甲方指定）。甲方对乙方的服务按年度进行考核，若第一年度服务期满乙方年度考核得分未达到70分，甲方有权解除本合同，若乙方</w:t>
      </w:r>
      <w:r>
        <w:rPr>
          <w:rFonts w:hint="eastAsia" w:ascii="宋体" w:hAnsi="宋体" w:eastAsia="宋体" w:cs="宋体"/>
          <w:b w:val="0"/>
          <w:bCs w:val="0"/>
          <w:color w:val="auto"/>
          <w:sz w:val="24"/>
          <w:szCs w:val="24"/>
          <w:highlight w:val="none"/>
          <w:lang w:val="en-US" w:eastAsia="zh-CN"/>
        </w:rPr>
        <w:t>两年服务期满年度考核得分均达到80分及以上</w:t>
      </w:r>
      <w:r>
        <w:rPr>
          <w:rFonts w:hint="eastAsia" w:ascii="宋体" w:hAnsi="宋体" w:eastAsia="宋体" w:cs="宋体"/>
          <w:color w:val="auto"/>
          <w:sz w:val="24"/>
          <w:szCs w:val="24"/>
          <w:highlight w:val="none"/>
          <w:lang w:val="en-US" w:eastAsia="zh-CN"/>
        </w:rPr>
        <w:t>，在年度预算能够保障的前提下，根据运营需要，经双方友好协商，可以根据本次合同价格续签一年。</w:t>
      </w:r>
    </w:p>
    <w:p w14:paraId="394BFD61">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 衢州科技大市场运营服务，具体内容详见采购需求及附件《202  年衢州科技大市场考核目标及分值》。</w:t>
      </w:r>
    </w:p>
    <w:p w14:paraId="3DD14E31">
      <w:pPr>
        <w:pStyle w:val="3"/>
        <w:keepNext w:val="0"/>
        <w:pageBreakBefore w:val="0"/>
        <w:widowControl w:val="0"/>
        <w:numPr>
          <w:ilvl w:val="0"/>
          <w:numId w:val="0"/>
        </w:numPr>
        <w:shd w:val="clear"/>
        <w:tabs>
          <w:tab w:val="clear" w:pos="706"/>
        </w:tabs>
        <w:kinsoku/>
        <w:wordWrap/>
        <w:overflowPunct/>
        <w:topLinePunct w:val="0"/>
        <w:autoSpaceDE/>
        <w:autoSpaceDN/>
        <w:bidi w:val="0"/>
        <w:spacing w:line="336" w:lineRule="auto"/>
        <w:ind w:left="528"/>
        <w:textAlignment w:val="auto"/>
        <w:rPr>
          <w:rFonts w:hint="eastAsia" w:ascii="宋体" w:hAnsi="宋体" w:eastAsia="宋体" w:cs="宋体"/>
          <w:b/>
          <w:bCs w:val="0"/>
          <w:color w:val="auto"/>
          <w:sz w:val="24"/>
          <w:szCs w:val="24"/>
          <w:highlight w:val="none"/>
        </w:rPr>
      </w:pPr>
      <w:bookmarkStart w:id="150" w:name="_Toc24460"/>
      <w:bookmarkStart w:id="151" w:name="_Toc18843"/>
      <w:bookmarkStart w:id="152" w:name="_Toc7947"/>
      <w:r>
        <w:rPr>
          <w:rFonts w:hint="eastAsia" w:ascii="宋体" w:hAnsi="宋体" w:eastAsia="宋体" w:cs="宋体"/>
          <w:b/>
          <w:bCs w:val="0"/>
          <w:color w:val="auto"/>
          <w:sz w:val="24"/>
          <w:szCs w:val="24"/>
          <w:highlight w:val="none"/>
        </w:rPr>
        <w:t>四、</w:t>
      </w:r>
      <w:r>
        <w:rPr>
          <w:rFonts w:hint="eastAsia" w:ascii="宋体" w:hAnsi="宋体" w:eastAsia="宋体" w:cs="宋体"/>
          <w:b/>
          <w:bCs w:val="0"/>
          <w:color w:val="auto"/>
          <w:sz w:val="24"/>
          <w:szCs w:val="24"/>
          <w:highlight w:val="none"/>
          <w:lang w:val="en-US" w:eastAsia="zh-CN"/>
        </w:rPr>
        <w:t>服务费用</w:t>
      </w:r>
      <w:bookmarkEnd w:id="150"/>
      <w:bookmarkEnd w:id="151"/>
      <w:bookmarkEnd w:id="152"/>
    </w:p>
    <w:p w14:paraId="328F4D02">
      <w:pPr>
        <w:keepNext w:val="0"/>
        <w:pageBreakBefore w:val="0"/>
        <w:widowControl w:val="0"/>
        <w:shd w:val="clear"/>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每年度服务费用</w:t>
      </w:r>
      <w:r>
        <w:rPr>
          <w:rFonts w:hint="eastAsia" w:ascii="宋体" w:hAnsi="宋体" w:eastAsia="宋体" w:cs="宋体"/>
          <w:color w:val="auto"/>
          <w:sz w:val="24"/>
          <w:szCs w:val="24"/>
          <w:highlight w:val="none"/>
        </w:rPr>
        <w:t>为人民币（大写）：____________________元，（¥________元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服务费用由两部分组成，分别为</w:t>
      </w:r>
      <w:bookmarkStart w:id="153" w:name="_Toc30885"/>
      <w:r>
        <w:rPr>
          <w:rFonts w:hint="eastAsia" w:ascii="宋体" w:hAnsi="宋体" w:eastAsia="宋体" w:cs="宋体"/>
          <w:color w:val="auto"/>
          <w:sz w:val="24"/>
          <w:szCs w:val="24"/>
          <w:highlight w:val="none"/>
          <w:u w:val="single"/>
        </w:rPr>
        <w:t>基础运营费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占年度服务费用的40%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为  万元以及</w:t>
      </w:r>
      <w:r>
        <w:rPr>
          <w:rFonts w:hint="eastAsia" w:ascii="宋体" w:hAnsi="宋体" w:eastAsia="宋体" w:cs="宋体"/>
          <w:color w:val="auto"/>
          <w:sz w:val="24"/>
          <w:szCs w:val="24"/>
          <w:highlight w:val="none"/>
          <w:u w:val="single"/>
        </w:rPr>
        <w:t>考核经费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占年度服务费用的60%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为   万元</w:t>
      </w:r>
      <w:r>
        <w:rPr>
          <w:rFonts w:hint="eastAsia" w:ascii="宋体" w:hAnsi="宋体" w:eastAsia="宋体" w:cs="宋体"/>
          <w:color w:val="auto"/>
          <w:sz w:val="24"/>
          <w:szCs w:val="24"/>
          <w:highlight w:val="none"/>
          <w:u w:val="single"/>
          <w:lang w:eastAsia="zh-CN"/>
        </w:rPr>
        <w:t>。</w:t>
      </w:r>
    </w:p>
    <w:p w14:paraId="5F885829">
      <w:pPr>
        <w:pStyle w:val="3"/>
        <w:keepNext w:val="0"/>
        <w:pageBreakBefore w:val="0"/>
        <w:widowControl w:val="0"/>
        <w:numPr>
          <w:ilvl w:val="0"/>
          <w:numId w:val="0"/>
        </w:numPr>
        <w:shd w:val="clear"/>
        <w:tabs>
          <w:tab w:val="clear" w:pos="706"/>
        </w:tabs>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color w:val="auto"/>
          <w:sz w:val="24"/>
          <w:szCs w:val="24"/>
          <w:highlight w:val="none"/>
        </w:rPr>
      </w:pPr>
      <w:bookmarkStart w:id="154" w:name="_Toc20679"/>
      <w:bookmarkStart w:id="155" w:name="_Toc9094"/>
      <w:r>
        <w:rPr>
          <w:rFonts w:hint="eastAsia" w:ascii="宋体" w:hAnsi="宋体" w:eastAsia="宋体" w:cs="宋体"/>
          <w:b/>
          <w:bCs w:val="0"/>
          <w:color w:val="auto"/>
          <w:sz w:val="24"/>
          <w:szCs w:val="24"/>
          <w:highlight w:val="none"/>
        </w:rPr>
        <w:t>五、合同价款的支付</w:t>
      </w:r>
      <w:bookmarkEnd w:id="153"/>
      <w:bookmarkEnd w:id="154"/>
      <w:bookmarkEnd w:id="155"/>
    </w:p>
    <w:p w14:paraId="58E8BEE5">
      <w:pPr>
        <w:keepNext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本合同中甲乙双方之间所发生的一切费用以人民币进行结算。</w:t>
      </w:r>
    </w:p>
    <w:p w14:paraId="6B7CA725">
      <w:pPr>
        <w:keepNext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支付方式：</w:t>
      </w:r>
    </w:p>
    <w:tbl>
      <w:tblPr>
        <w:tblStyle w:val="19"/>
        <w:tblW w:w="943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6914"/>
        <w:gridCol w:w="1299"/>
      </w:tblGrid>
      <w:tr w14:paraId="2351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dxa"/>
            <w:noWrap w:val="0"/>
            <w:tcMar>
              <w:top w:w="0" w:type="dxa"/>
              <w:left w:w="57" w:type="dxa"/>
              <w:bottom w:w="0" w:type="dxa"/>
              <w:right w:w="57" w:type="dxa"/>
            </w:tcMar>
            <w:vAlign w:val="center"/>
          </w:tcPr>
          <w:p w14:paraId="2832C840">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付款次数</w:t>
            </w:r>
          </w:p>
        </w:tc>
        <w:tc>
          <w:tcPr>
            <w:tcW w:w="6914" w:type="dxa"/>
            <w:noWrap w:val="0"/>
            <w:tcMar>
              <w:top w:w="0" w:type="dxa"/>
              <w:left w:w="57" w:type="dxa"/>
              <w:bottom w:w="0" w:type="dxa"/>
              <w:right w:w="57" w:type="dxa"/>
            </w:tcMar>
            <w:vAlign w:val="center"/>
          </w:tcPr>
          <w:p w14:paraId="51F589B6">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付款条件</w:t>
            </w:r>
          </w:p>
        </w:tc>
        <w:tc>
          <w:tcPr>
            <w:tcW w:w="1299" w:type="dxa"/>
            <w:noWrap w:val="0"/>
            <w:tcMar>
              <w:top w:w="0" w:type="dxa"/>
              <w:left w:w="57" w:type="dxa"/>
              <w:bottom w:w="0" w:type="dxa"/>
              <w:right w:w="57" w:type="dxa"/>
            </w:tcMar>
            <w:vAlign w:val="center"/>
          </w:tcPr>
          <w:p w14:paraId="1C7D44E6">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0BEB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223" w:type="dxa"/>
            <w:noWrap w:val="0"/>
            <w:tcMar>
              <w:top w:w="0" w:type="dxa"/>
              <w:left w:w="57" w:type="dxa"/>
              <w:bottom w:w="0" w:type="dxa"/>
              <w:right w:w="57" w:type="dxa"/>
            </w:tcMar>
            <w:vAlign w:val="center"/>
          </w:tcPr>
          <w:p w14:paraId="7B59B710">
            <w:pPr>
              <w:keepNext w:val="0"/>
              <w:pageBreakBefore w:val="0"/>
              <w:widowControl w:val="0"/>
              <w:shd w:val="clear"/>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4" w:type="dxa"/>
            <w:noWrap w:val="0"/>
            <w:tcMar>
              <w:top w:w="0" w:type="dxa"/>
              <w:left w:w="57" w:type="dxa"/>
              <w:bottom w:w="0" w:type="dxa"/>
              <w:right w:w="57" w:type="dxa"/>
            </w:tcMar>
            <w:vAlign w:val="center"/>
          </w:tcPr>
          <w:p w14:paraId="54A55612">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每年度的</w:t>
            </w:r>
            <w:r>
              <w:rPr>
                <w:rFonts w:hint="eastAsia" w:ascii="宋体" w:hAnsi="宋体" w:eastAsia="宋体" w:cs="宋体"/>
                <w:color w:val="auto"/>
                <w:sz w:val="24"/>
                <w:szCs w:val="24"/>
                <w:highlight w:val="none"/>
              </w:rPr>
              <w:t>实施条件</w:t>
            </w:r>
            <w:r>
              <w:rPr>
                <w:rFonts w:hint="eastAsia" w:ascii="宋体" w:hAnsi="宋体" w:eastAsia="宋体" w:cs="宋体"/>
                <w:color w:val="auto"/>
                <w:sz w:val="24"/>
                <w:szCs w:val="24"/>
                <w:highlight w:val="none"/>
                <w:lang w:val="en-US" w:eastAsia="zh-CN"/>
              </w:rPr>
              <w:t>以及支付条件</w:t>
            </w:r>
            <w:r>
              <w:rPr>
                <w:rFonts w:hint="eastAsia" w:ascii="宋体" w:hAnsi="宋体" w:eastAsia="宋体" w:cs="宋体"/>
                <w:color w:val="auto"/>
                <w:sz w:val="24"/>
                <w:szCs w:val="24"/>
                <w:highlight w:val="none"/>
              </w:rPr>
              <w:t>后7个工作日内，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一次性支付</w:t>
            </w:r>
            <w:r>
              <w:rPr>
                <w:rFonts w:hint="eastAsia" w:ascii="宋体" w:hAnsi="宋体" w:eastAsia="宋体" w:cs="宋体"/>
                <w:color w:val="auto"/>
                <w:sz w:val="24"/>
                <w:szCs w:val="24"/>
                <w:highlight w:val="none"/>
                <w:lang w:val="en-US" w:eastAsia="zh-CN"/>
              </w:rPr>
              <w:t>每年度</w:t>
            </w:r>
            <w:r>
              <w:rPr>
                <w:rFonts w:hint="eastAsia" w:ascii="宋体" w:hAnsi="宋体" w:eastAsia="宋体" w:cs="宋体"/>
                <w:color w:val="auto"/>
                <w:sz w:val="24"/>
                <w:szCs w:val="24"/>
                <w:highlight w:val="none"/>
              </w:rPr>
              <w:t>基础运营费的100%。</w:t>
            </w:r>
          </w:p>
        </w:tc>
        <w:tc>
          <w:tcPr>
            <w:tcW w:w="1299" w:type="dxa"/>
            <w:noWrap w:val="0"/>
            <w:tcMar>
              <w:top w:w="0" w:type="dxa"/>
              <w:left w:w="57" w:type="dxa"/>
              <w:bottom w:w="0" w:type="dxa"/>
              <w:right w:w="57" w:type="dxa"/>
            </w:tcMar>
            <w:vAlign w:val="center"/>
          </w:tcPr>
          <w:p w14:paraId="5563831B">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p>
        </w:tc>
      </w:tr>
      <w:tr w14:paraId="6D07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dxa"/>
            <w:noWrap w:val="0"/>
            <w:tcMar>
              <w:top w:w="0" w:type="dxa"/>
              <w:left w:w="57" w:type="dxa"/>
              <w:bottom w:w="0" w:type="dxa"/>
              <w:right w:w="57" w:type="dxa"/>
            </w:tcMar>
            <w:vAlign w:val="center"/>
          </w:tcPr>
          <w:p w14:paraId="11B6278D">
            <w:pPr>
              <w:keepNext w:val="0"/>
              <w:pageBreakBefore w:val="0"/>
              <w:widowControl w:val="0"/>
              <w:shd w:val="clear"/>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914" w:type="dxa"/>
            <w:noWrap w:val="0"/>
            <w:tcMar>
              <w:top w:w="0" w:type="dxa"/>
              <w:left w:w="57" w:type="dxa"/>
              <w:bottom w:w="0" w:type="dxa"/>
              <w:right w:w="57" w:type="dxa"/>
            </w:tcMar>
            <w:vAlign w:val="center"/>
          </w:tcPr>
          <w:p w14:paraId="073FA157">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年度工作目标，服务期满考核合格，根据实际考核得分予以拨付考核经费，</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考核标准详见合同附件。</w:t>
            </w:r>
          </w:p>
        </w:tc>
        <w:tc>
          <w:tcPr>
            <w:tcW w:w="1299" w:type="dxa"/>
            <w:noWrap w:val="0"/>
            <w:tcMar>
              <w:top w:w="0" w:type="dxa"/>
              <w:left w:w="57" w:type="dxa"/>
              <w:bottom w:w="0" w:type="dxa"/>
              <w:right w:w="57" w:type="dxa"/>
            </w:tcMar>
            <w:vAlign w:val="center"/>
          </w:tcPr>
          <w:p w14:paraId="102A35AF">
            <w:pPr>
              <w:keepNext w:val="0"/>
              <w:pageBreakBefore w:val="0"/>
              <w:widowControl w:val="0"/>
              <w:shd w:val="clea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rPr>
            </w:pPr>
          </w:p>
        </w:tc>
      </w:tr>
    </w:tbl>
    <w:p w14:paraId="5319A0ED">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每次合同款项支付</w:t>
      </w:r>
      <w:r>
        <w:rPr>
          <w:rFonts w:hint="eastAsia" w:ascii="宋体" w:hAnsi="宋体" w:eastAsia="宋体" w:cs="宋体"/>
          <w:color w:val="auto"/>
          <w:sz w:val="24"/>
          <w:szCs w:val="24"/>
          <w:highlight w:val="none"/>
          <w:lang w:val="en-US" w:eastAsia="zh-CN"/>
        </w:rPr>
        <w:t>前30日</w:t>
      </w:r>
      <w:r>
        <w:rPr>
          <w:rFonts w:hint="eastAsia" w:ascii="宋体" w:hAnsi="宋体" w:eastAsia="宋体" w:cs="宋体"/>
          <w:color w:val="auto"/>
          <w:sz w:val="24"/>
          <w:szCs w:val="24"/>
          <w:highlight w:val="none"/>
        </w:rPr>
        <w:t>，乙方需提供同等金额的正规发票给甲方。</w:t>
      </w:r>
      <w:r>
        <w:rPr>
          <w:rFonts w:hint="eastAsia" w:ascii="宋体" w:hAnsi="宋体" w:eastAsia="宋体" w:cs="宋体"/>
          <w:color w:val="auto"/>
          <w:sz w:val="24"/>
          <w:szCs w:val="24"/>
          <w:highlight w:val="none"/>
          <w:lang w:val="en-US" w:eastAsia="zh-CN"/>
        </w:rPr>
        <w:t>若乙方逾期提供，甲方有权延付服务费用。</w:t>
      </w:r>
    </w:p>
    <w:p w14:paraId="5F5B7784">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发票类型：增值税发票。</w:t>
      </w:r>
    </w:p>
    <w:p w14:paraId="31E2D45F">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甲方应付合同款至以下乙方指定的银行账户：</w:t>
      </w:r>
    </w:p>
    <w:p w14:paraId="53A665C3">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w:t>
      </w:r>
    </w:p>
    <w:p w14:paraId="7EA554BD">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w:t>
      </w:r>
    </w:p>
    <w:p w14:paraId="3742D5D1">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w:t>
      </w:r>
    </w:p>
    <w:p w14:paraId="506FD4CA">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56" w:name="_Toc24618"/>
      <w:bookmarkStart w:id="157" w:name="_Toc14493"/>
      <w:bookmarkStart w:id="158" w:name="_Toc7833"/>
      <w:r>
        <w:rPr>
          <w:rFonts w:hint="eastAsia" w:ascii="宋体" w:hAnsi="宋体" w:eastAsia="宋体" w:cs="宋体"/>
          <w:b/>
          <w:bCs w:val="0"/>
          <w:color w:val="auto"/>
          <w:sz w:val="24"/>
          <w:szCs w:val="24"/>
          <w:highlight w:val="none"/>
          <w:lang w:eastAsia="zh-CN"/>
        </w:rPr>
        <w:t>六</w:t>
      </w:r>
      <w:r>
        <w:rPr>
          <w:rFonts w:hint="eastAsia" w:ascii="宋体" w:hAnsi="宋体" w:eastAsia="宋体" w:cs="宋体"/>
          <w:b/>
          <w:bCs w:val="0"/>
          <w:color w:val="auto"/>
          <w:sz w:val="24"/>
          <w:szCs w:val="24"/>
          <w:highlight w:val="none"/>
        </w:rPr>
        <w:t>、本合同地点</w:t>
      </w:r>
      <w:bookmarkEnd w:id="156"/>
      <w:bookmarkEnd w:id="157"/>
      <w:bookmarkEnd w:id="158"/>
    </w:p>
    <w:p w14:paraId="452D4C06">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履行地点：</w:t>
      </w:r>
      <w:r>
        <w:rPr>
          <w:rFonts w:hint="eastAsia" w:ascii="宋体" w:hAnsi="宋体" w:eastAsia="宋体" w:cs="宋体"/>
          <w:color w:val="auto"/>
          <w:sz w:val="24"/>
          <w:szCs w:val="24"/>
          <w:highlight w:val="none"/>
          <w:u w:val="single"/>
        </w:rPr>
        <w:t>【               】</w:t>
      </w:r>
    </w:p>
    <w:p w14:paraId="16D39318">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59" w:name="_Toc28488"/>
      <w:bookmarkStart w:id="160" w:name="_Toc6190"/>
      <w:bookmarkStart w:id="161" w:name="_Toc22843"/>
      <w:bookmarkStart w:id="162" w:name="_Toc16737"/>
      <w:r>
        <w:rPr>
          <w:rFonts w:hint="eastAsia" w:ascii="宋体" w:hAnsi="宋体" w:eastAsia="宋体" w:cs="宋体"/>
          <w:b/>
          <w:bCs w:val="0"/>
          <w:color w:val="auto"/>
          <w:sz w:val="24"/>
          <w:szCs w:val="24"/>
          <w:highlight w:val="none"/>
          <w:lang w:eastAsia="zh-CN"/>
        </w:rPr>
        <w:t>七</w:t>
      </w:r>
      <w:r>
        <w:rPr>
          <w:rFonts w:hint="eastAsia" w:ascii="宋体" w:hAnsi="宋体" w:eastAsia="宋体" w:cs="宋体"/>
          <w:b/>
          <w:bCs w:val="0"/>
          <w:color w:val="auto"/>
          <w:sz w:val="24"/>
          <w:szCs w:val="24"/>
          <w:highlight w:val="none"/>
        </w:rPr>
        <w:t>、双方的职责和义务及服务人员</w:t>
      </w:r>
      <w:bookmarkEnd w:id="159"/>
      <w:bookmarkEnd w:id="160"/>
      <w:bookmarkEnd w:id="161"/>
      <w:bookmarkEnd w:id="162"/>
    </w:p>
    <w:p w14:paraId="663D0BDB">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bookmarkStart w:id="163" w:name="_Toc14629"/>
      <w:bookmarkStart w:id="164" w:name="_Toc440276530"/>
      <w:bookmarkStart w:id="165" w:name="_Toc23765"/>
      <w:bookmarkStart w:id="166" w:name="_Toc14912"/>
      <w:bookmarkStart w:id="167" w:name="_Toc440276574"/>
      <w:bookmarkStart w:id="168" w:name="_Toc15402"/>
      <w:r>
        <w:rPr>
          <w:rFonts w:hint="eastAsia" w:ascii="宋体" w:hAnsi="宋体" w:eastAsia="宋体" w:cs="宋体"/>
          <w:color w:val="auto"/>
          <w:sz w:val="24"/>
          <w:szCs w:val="24"/>
          <w:highlight w:val="none"/>
        </w:rPr>
        <w:t>（一） 甲方的职责、权利和义务</w:t>
      </w:r>
      <w:bookmarkEnd w:id="163"/>
      <w:bookmarkEnd w:id="164"/>
      <w:bookmarkEnd w:id="165"/>
      <w:bookmarkEnd w:id="166"/>
      <w:bookmarkEnd w:id="167"/>
      <w:bookmarkEnd w:id="168"/>
    </w:p>
    <w:p w14:paraId="1BDEAE25">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为了保证实现项目目标，甲方有权对乙方项目技术服务人员提出具体和明确的合理要求。</w:t>
      </w:r>
    </w:p>
    <w:p w14:paraId="7D282BCC">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甲方应积极协调相关单位，协助乙方开展工作，并根据乙方的合理要求，负责向乙方及时提供有关项目的基础资料。</w:t>
      </w:r>
    </w:p>
    <w:p w14:paraId="7B93E5ED">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甲方应当全面、真实地叙述与本项目事务有关的各种情况，并保证所提供的一切相关文件真实、合法和有效。</w:t>
      </w:r>
    </w:p>
    <w:p w14:paraId="73CC818B">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甲方应为本项目安排相应的联系人，并安排相关负责人员与乙方就项目情况及重大问题深入沟通，在技术问题上为乙方提供必要的人员支持。</w:t>
      </w:r>
    </w:p>
    <w:p w14:paraId="7183221A">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甲方应按本合同规定及时足额支付相应的费用。</w:t>
      </w:r>
    </w:p>
    <w:p w14:paraId="75CC19E1">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69" w:name="_Toc30789"/>
      <w:bookmarkStart w:id="170" w:name="_Toc10179"/>
      <w:bookmarkStart w:id="171" w:name="_Toc440276575"/>
      <w:bookmarkStart w:id="172" w:name="_Toc440276531"/>
      <w:bookmarkStart w:id="173" w:name="_Toc10379"/>
      <w:bookmarkStart w:id="174" w:name="_Toc23516"/>
      <w:r>
        <w:rPr>
          <w:rFonts w:hint="eastAsia" w:ascii="宋体" w:hAnsi="宋体" w:eastAsia="宋体" w:cs="宋体"/>
          <w:b/>
          <w:bCs w:val="0"/>
          <w:color w:val="auto"/>
          <w:sz w:val="24"/>
          <w:szCs w:val="24"/>
          <w:highlight w:val="none"/>
        </w:rPr>
        <w:t>（二）乙方的职责和义务</w:t>
      </w:r>
      <w:bookmarkEnd w:id="169"/>
      <w:bookmarkEnd w:id="170"/>
      <w:bookmarkEnd w:id="171"/>
      <w:bookmarkEnd w:id="172"/>
      <w:bookmarkEnd w:id="173"/>
      <w:bookmarkEnd w:id="174"/>
    </w:p>
    <w:p w14:paraId="74BFF6C4">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乙方应充分理解甲方的意图，其工作思路、想法须贯穿项目实施的目的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确保实现甲方项目目标</w:t>
      </w:r>
      <w:r>
        <w:rPr>
          <w:rFonts w:hint="eastAsia" w:ascii="宋体" w:hAnsi="宋体" w:eastAsia="宋体" w:cs="宋体"/>
          <w:color w:val="auto"/>
          <w:sz w:val="24"/>
          <w:szCs w:val="24"/>
          <w:highlight w:val="none"/>
        </w:rPr>
        <w:t>。</w:t>
      </w:r>
    </w:p>
    <w:p w14:paraId="5712A39F">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本合同约定的</w:t>
      </w:r>
      <w:r>
        <w:rPr>
          <w:rFonts w:hint="eastAsia" w:ascii="宋体" w:hAnsi="宋体" w:eastAsia="宋体" w:cs="宋体"/>
          <w:color w:val="auto"/>
          <w:sz w:val="24"/>
          <w:szCs w:val="24"/>
          <w:highlight w:val="none"/>
        </w:rPr>
        <w:t>服务，并对服务质量负责，确保甲方权益。</w:t>
      </w:r>
    </w:p>
    <w:p w14:paraId="4260AB92">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选派合格和足够的人员，保证人员足够的工作时间以及时迅捷提供服务。若甲方对任何人员不满意且提出正当理由，则乙方应及时更换。</w:t>
      </w:r>
    </w:p>
    <w:p w14:paraId="451E1EE3">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同甲方共同商定技术服务工作计划，对工作进度进行控制，并按照工作计划安排及时向甲方汇报工作。</w:t>
      </w:r>
    </w:p>
    <w:p w14:paraId="1177109A">
      <w:pPr>
        <w:pStyle w:val="5"/>
        <w:keepNext w:val="0"/>
        <w:pageBreakBefore w:val="0"/>
        <w:widowControl w:val="0"/>
        <w:shd w:val="clea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未经甲方事先书面同意，乙方不得将由甲方提供的有关合同或任何合同条文、规格、计划、图纸、样品或资料提供给予履行本合同无关的任何其他人。即使向履行本合同有关的人员提供，也应注意保密并限于履行合同的必需范围。</w:t>
      </w:r>
    </w:p>
    <w:p w14:paraId="1C89BB6E">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75" w:name="_Toc5185"/>
      <w:bookmarkStart w:id="176" w:name="_Toc24041"/>
      <w:bookmarkStart w:id="177" w:name="_Toc27503"/>
      <w:bookmarkStart w:id="178" w:name="_Toc19766"/>
      <w:r>
        <w:rPr>
          <w:rFonts w:hint="eastAsia" w:ascii="宋体" w:hAnsi="宋体" w:eastAsia="宋体" w:cs="宋体"/>
          <w:b/>
          <w:bCs w:val="0"/>
          <w:color w:val="auto"/>
          <w:sz w:val="24"/>
          <w:szCs w:val="24"/>
          <w:highlight w:val="none"/>
        </w:rPr>
        <w:t>（三）服务人员</w:t>
      </w:r>
      <w:bookmarkEnd w:id="175"/>
      <w:bookmarkEnd w:id="176"/>
      <w:bookmarkEnd w:id="177"/>
      <w:bookmarkEnd w:id="178"/>
    </w:p>
    <w:p w14:paraId="549FE0C0">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乙方应派遣一名具有专业知识的资深管理人员负责与甲方对接，负责本项目的项目管理，统筹相关工作，监督项目执行与情况汇报，控制工作质量，执行变更和应急情况管理，并根据实际状况调整</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乙方人员安排，以保证项目的正常高效运作。</w:t>
      </w:r>
    </w:p>
    <w:p w14:paraId="2B3E924A">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w:t>
      </w:r>
      <w:r>
        <w:rPr>
          <w:rFonts w:hint="eastAsia" w:ascii="宋体" w:hAnsi="宋体" w:eastAsia="宋体" w:cs="宋体"/>
          <w:color w:val="auto"/>
          <w:sz w:val="24"/>
          <w:szCs w:val="24"/>
          <w:highlight w:val="none"/>
          <w:lang w:val="en-US" w:eastAsia="zh-CN"/>
        </w:rPr>
        <w:t>包括但不限于重新招标、衔接其服务费用以及律师费、鉴定费等在内的一切</w:t>
      </w:r>
      <w:r>
        <w:rPr>
          <w:rFonts w:hint="eastAsia" w:ascii="宋体" w:hAnsi="宋体" w:eastAsia="宋体" w:cs="宋体"/>
          <w:color w:val="auto"/>
          <w:sz w:val="24"/>
          <w:szCs w:val="24"/>
          <w:highlight w:val="none"/>
        </w:rPr>
        <w:t>损失</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由乙方承担。</w:t>
      </w:r>
    </w:p>
    <w:p w14:paraId="169703DE">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甲乙双方指定代表，作为履行本合同服务事宜的主要联系人。</w:t>
      </w:r>
    </w:p>
    <w:p w14:paraId="766D8606">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p>
    <w:p w14:paraId="5210F1A2">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p>
    <w:p w14:paraId="1207E2C3">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79" w:name="_Toc25039"/>
      <w:bookmarkStart w:id="180" w:name="_Toc21877"/>
      <w:bookmarkStart w:id="181" w:name="_Toc17681"/>
      <w:bookmarkStart w:id="182" w:name="_Toc13650"/>
      <w:r>
        <w:rPr>
          <w:rFonts w:hint="eastAsia" w:ascii="宋体" w:hAnsi="宋体" w:eastAsia="宋体" w:cs="宋体"/>
          <w:b/>
          <w:bCs w:val="0"/>
          <w:color w:val="auto"/>
          <w:sz w:val="24"/>
          <w:szCs w:val="24"/>
          <w:highlight w:val="none"/>
          <w:lang w:eastAsia="zh-CN"/>
        </w:rPr>
        <w:t>八</w:t>
      </w:r>
      <w:r>
        <w:rPr>
          <w:rFonts w:hint="eastAsia" w:ascii="宋体" w:hAnsi="宋体" w:eastAsia="宋体" w:cs="宋体"/>
          <w:b/>
          <w:bCs w:val="0"/>
          <w:color w:val="auto"/>
          <w:sz w:val="24"/>
          <w:szCs w:val="24"/>
          <w:highlight w:val="none"/>
        </w:rPr>
        <w:t>、服务考核</w:t>
      </w:r>
      <w:bookmarkEnd w:id="179"/>
      <w:bookmarkEnd w:id="180"/>
      <w:bookmarkEnd w:id="181"/>
      <w:bookmarkEnd w:id="182"/>
      <w:r>
        <w:rPr>
          <w:rFonts w:hint="eastAsia" w:ascii="宋体" w:hAnsi="宋体" w:eastAsia="宋体" w:cs="宋体"/>
          <w:b/>
          <w:bCs w:val="0"/>
          <w:color w:val="auto"/>
          <w:sz w:val="24"/>
          <w:szCs w:val="24"/>
          <w:highlight w:val="none"/>
          <w:lang w:val="en-US" w:eastAsia="zh-CN"/>
        </w:rPr>
        <w:t>与验收</w:t>
      </w:r>
    </w:p>
    <w:p w14:paraId="0041D89F">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val="0"/>
          <w:bCs w:val="0"/>
          <w:color w:val="auto"/>
          <w:sz w:val="24"/>
          <w:szCs w:val="24"/>
          <w:highlight w:val="none"/>
          <w:lang w:val="en-US" w:eastAsia="zh-CN"/>
        </w:rPr>
      </w:pPr>
      <w:bookmarkStart w:id="183" w:name="_Toc24309"/>
      <w:bookmarkStart w:id="184" w:name="_Toc8653"/>
      <w:bookmarkStart w:id="185" w:name="_Toc19114"/>
      <w:bookmarkStart w:id="186" w:name="_Toc29521"/>
      <w:r>
        <w:rPr>
          <w:rFonts w:hint="eastAsia" w:ascii="宋体" w:hAnsi="宋体" w:eastAsia="宋体" w:cs="宋体"/>
          <w:b w:val="0"/>
          <w:bCs w:val="0"/>
          <w:color w:val="auto"/>
          <w:sz w:val="24"/>
          <w:szCs w:val="24"/>
          <w:highlight w:val="none"/>
          <w:lang w:val="en-US" w:eastAsia="zh-CN"/>
        </w:rPr>
        <w:t>甲方及相关管理部门采取日常巡查和检查考核相结合的办法对乙方进行考核及监</w:t>
      </w:r>
    </w:p>
    <w:p w14:paraId="45785637">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督检查，对存在问题的按照考核评分标准扣分。具体考核标准详见附件。</w:t>
      </w:r>
    </w:p>
    <w:p w14:paraId="53884BC0">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eastAsia="zh-CN"/>
        </w:rPr>
        <w:t>九</w:t>
      </w:r>
      <w:r>
        <w:rPr>
          <w:rFonts w:hint="eastAsia" w:ascii="宋体" w:hAnsi="宋体" w:eastAsia="宋体" w:cs="宋体"/>
          <w:b/>
          <w:bCs w:val="0"/>
          <w:color w:val="auto"/>
          <w:sz w:val="24"/>
          <w:szCs w:val="24"/>
          <w:highlight w:val="none"/>
        </w:rPr>
        <w:t>、</w:t>
      </w:r>
      <w:bookmarkEnd w:id="183"/>
      <w:bookmarkEnd w:id="184"/>
      <w:bookmarkEnd w:id="185"/>
      <w:bookmarkEnd w:id="186"/>
      <w:r>
        <w:rPr>
          <w:rFonts w:hint="eastAsia" w:ascii="宋体" w:hAnsi="宋体" w:eastAsia="宋体" w:cs="宋体"/>
          <w:b/>
          <w:bCs w:val="0"/>
          <w:color w:val="auto"/>
          <w:sz w:val="24"/>
          <w:szCs w:val="24"/>
          <w:highlight w:val="none"/>
          <w:lang w:val="en-US" w:eastAsia="zh-CN"/>
        </w:rPr>
        <w:t>质量标准和售后服务</w:t>
      </w:r>
    </w:p>
    <w:p w14:paraId="0259605F">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按照相关规范文件执行，乙方应当确保能够符合甲方的要求，为衢州科技大市场提供高品质的运营服务。</w:t>
      </w:r>
    </w:p>
    <w:p w14:paraId="5EF246A3">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87" w:name="_Toc5614"/>
      <w:bookmarkStart w:id="188" w:name="_Toc20696"/>
      <w:bookmarkStart w:id="189" w:name="_Toc1453"/>
      <w:bookmarkStart w:id="190" w:name="_Toc30637"/>
      <w:r>
        <w:rPr>
          <w:rFonts w:hint="eastAsia" w:ascii="宋体" w:hAnsi="宋体" w:eastAsia="宋体" w:cs="宋体"/>
          <w:b/>
          <w:bCs w:val="0"/>
          <w:color w:val="auto"/>
          <w:sz w:val="24"/>
          <w:szCs w:val="24"/>
          <w:highlight w:val="none"/>
        </w:rPr>
        <w:t>十、转让和分包</w:t>
      </w:r>
      <w:bookmarkEnd w:id="187"/>
      <w:bookmarkEnd w:id="188"/>
      <w:bookmarkEnd w:id="189"/>
      <w:bookmarkEnd w:id="190"/>
    </w:p>
    <w:p w14:paraId="13FDD515">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bookmarkStart w:id="191" w:name="_Toc7679"/>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DF6C3CA">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乙方采取分包方式履行合同的，</w:t>
      </w:r>
      <w:r>
        <w:rPr>
          <w:rFonts w:hint="eastAsia" w:ascii="宋体" w:hAnsi="宋体" w:eastAsia="宋体" w:cs="宋体"/>
          <w:color w:val="auto"/>
          <w:sz w:val="24"/>
          <w:szCs w:val="24"/>
          <w:highlight w:val="none"/>
          <w:lang w:eastAsia="zh-CN"/>
        </w:rPr>
        <w:t>由乙方</w:t>
      </w:r>
      <w:r>
        <w:rPr>
          <w:rFonts w:hint="eastAsia" w:ascii="宋体" w:hAnsi="宋体" w:eastAsia="宋体" w:cs="宋体"/>
          <w:color w:val="auto"/>
          <w:sz w:val="24"/>
          <w:szCs w:val="24"/>
          <w:highlight w:val="none"/>
        </w:rPr>
        <w:t>向分包供应商支付款项。</w:t>
      </w:r>
    </w:p>
    <w:p w14:paraId="7543BD3C">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92" w:name="_Toc6597"/>
      <w:bookmarkStart w:id="193" w:name="_Toc6076"/>
      <w:bookmarkStart w:id="194" w:name="_Toc10762"/>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一</w:t>
      </w:r>
      <w:r>
        <w:rPr>
          <w:rFonts w:hint="eastAsia" w:ascii="宋体" w:hAnsi="宋体" w:eastAsia="宋体" w:cs="宋体"/>
          <w:b/>
          <w:bCs w:val="0"/>
          <w:color w:val="auto"/>
          <w:sz w:val="24"/>
          <w:szCs w:val="24"/>
          <w:highlight w:val="none"/>
        </w:rPr>
        <w:t>、通知</w:t>
      </w:r>
      <w:bookmarkEnd w:id="191"/>
      <w:bookmarkEnd w:id="192"/>
      <w:bookmarkEnd w:id="193"/>
      <w:bookmarkEnd w:id="194"/>
    </w:p>
    <w:p w14:paraId="02F7DA4B">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本合同任何一方给另一方的通知，都应以书面形式发送，而另一方也应以书面形式确认并发送到对方明确的地址。</w:t>
      </w:r>
    </w:p>
    <w:p w14:paraId="1A1BDE02">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95" w:name="_Toc29094"/>
      <w:bookmarkStart w:id="196" w:name="_Toc21638"/>
      <w:bookmarkStart w:id="197" w:name="_Toc2263"/>
      <w:bookmarkStart w:id="198" w:name="_Toc5908"/>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二</w:t>
      </w:r>
      <w:r>
        <w:rPr>
          <w:rFonts w:hint="eastAsia" w:ascii="宋体" w:hAnsi="宋体" w:eastAsia="宋体" w:cs="宋体"/>
          <w:b/>
          <w:bCs w:val="0"/>
          <w:color w:val="auto"/>
          <w:sz w:val="24"/>
          <w:szCs w:val="24"/>
          <w:highlight w:val="none"/>
        </w:rPr>
        <w:t>、计量单位</w:t>
      </w:r>
      <w:bookmarkEnd w:id="195"/>
      <w:bookmarkEnd w:id="196"/>
      <w:bookmarkEnd w:id="197"/>
      <w:bookmarkEnd w:id="198"/>
    </w:p>
    <w:p w14:paraId="7A5D9FDB">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除技术规范中另有规定外，计量单位均使用国家法定计量单位。</w:t>
      </w:r>
    </w:p>
    <w:p w14:paraId="77DDD71B">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199" w:name="_Toc1461"/>
      <w:bookmarkStart w:id="200" w:name="_Toc2165"/>
      <w:bookmarkStart w:id="201" w:name="_Toc30409"/>
      <w:bookmarkStart w:id="202" w:name="_Toc23703"/>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、不可抗力</w:t>
      </w:r>
      <w:bookmarkEnd w:id="199"/>
      <w:bookmarkEnd w:id="200"/>
      <w:bookmarkEnd w:id="201"/>
      <w:bookmarkEnd w:id="202"/>
    </w:p>
    <w:p w14:paraId="6170F04C">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如果双方中任何一方遭遇法律规定的不可抗力，致使合同履行受阻时，履行合同的期限应予延长，延长的期限应相当于不可抗力所影响的时间。</w:t>
      </w:r>
    </w:p>
    <w:p w14:paraId="4F7E68A7">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受事故影响的一方应在不可抗力的事故发生后尽快</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书面形式通知另一方，并在事故发生后合同规定时间内，将有关部门出具的证明文件送达另一方。</w:t>
      </w:r>
    </w:p>
    <w:p w14:paraId="0427D7D0">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不可抗力使合同的某些内容有变更必要的，双方应通过协商达成进一步履行合同的协议，因不可抗力致使合同不能履行的，合同终止。</w:t>
      </w:r>
    </w:p>
    <w:p w14:paraId="18A47270">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03" w:name="_Toc31867"/>
      <w:bookmarkStart w:id="204" w:name="_Toc17155"/>
      <w:bookmarkStart w:id="205" w:name="_Toc787"/>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四</w:t>
      </w:r>
      <w:r>
        <w:rPr>
          <w:rFonts w:hint="eastAsia" w:ascii="宋体" w:hAnsi="宋体" w:eastAsia="宋体" w:cs="宋体"/>
          <w:b/>
          <w:bCs w:val="0"/>
          <w:color w:val="auto"/>
          <w:sz w:val="24"/>
          <w:szCs w:val="24"/>
          <w:highlight w:val="none"/>
        </w:rPr>
        <w:t>、违约责任</w:t>
      </w:r>
      <w:bookmarkEnd w:id="203"/>
      <w:bookmarkEnd w:id="204"/>
      <w:bookmarkEnd w:id="205"/>
    </w:p>
    <w:p w14:paraId="5C538DBC">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甲方无正当理由拒接受服务的，甲方向乙方偿付合同款项的百分之五作为违约金。</w:t>
      </w:r>
    </w:p>
    <w:p w14:paraId="29371FAC">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甲方无故逾期</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的，甲方应</w:t>
      </w:r>
      <w:r>
        <w:rPr>
          <w:rFonts w:hint="eastAsia" w:ascii="宋体" w:hAnsi="宋体" w:eastAsia="宋体" w:cs="宋体"/>
          <w:color w:val="auto"/>
          <w:sz w:val="24"/>
          <w:szCs w:val="24"/>
          <w:highlight w:val="none"/>
          <w:lang w:val="en-US" w:eastAsia="zh-CN"/>
        </w:rPr>
        <w:t>按</w:t>
      </w:r>
      <w:r>
        <w:rPr>
          <w:rFonts w:hint="eastAsia" w:ascii="宋体" w:hAnsi="宋体" w:eastAsia="宋体" w:cs="宋体"/>
          <w:i w:val="0"/>
          <w:iCs w:val="0"/>
          <w:caps w:val="0"/>
          <w:color w:val="auto"/>
          <w:spacing w:val="0"/>
          <w:sz w:val="24"/>
          <w:szCs w:val="24"/>
          <w:highlight w:val="none"/>
          <w:u w:val="none"/>
          <w:shd w:val="clear" w:color="auto" w:fill="auto"/>
        </w:rPr>
        <w:t>全国银行间同业拆借中心公布</w:t>
      </w:r>
      <w:r>
        <w:rPr>
          <w:rFonts w:hint="eastAsia" w:ascii="宋体" w:hAnsi="宋体" w:eastAsia="宋体" w:cs="宋体"/>
          <w:i w:val="0"/>
          <w:iCs w:val="0"/>
          <w:caps w:val="0"/>
          <w:color w:val="auto"/>
          <w:spacing w:val="0"/>
          <w:sz w:val="24"/>
          <w:szCs w:val="24"/>
          <w:highlight w:val="none"/>
          <w:u w:val="none"/>
          <w:shd w:val="clear" w:color="auto" w:fill="auto"/>
          <w:lang w:val="en-US" w:eastAsia="zh-CN"/>
        </w:rPr>
        <w:t>的一年期</w:t>
      </w:r>
      <w:r>
        <w:rPr>
          <w:rFonts w:hint="eastAsia" w:ascii="宋体" w:hAnsi="宋体" w:eastAsia="宋体" w:cs="宋体"/>
          <w:i w:val="0"/>
          <w:iCs w:val="0"/>
          <w:caps w:val="0"/>
          <w:color w:val="auto"/>
          <w:spacing w:val="0"/>
          <w:sz w:val="24"/>
          <w:szCs w:val="24"/>
          <w:highlight w:val="none"/>
          <w:u w:val="none"/>
          <w:shd w:val="clear" w:color="auto" w:fill="auto"/>
        </w:rPr>
        <w:t>贷款市场报价利率</w:t>
      </w:r>
      <w:r>
        <w:rPr>
          <w:rFonts w:hint="eastAsia" w:ascii="宋体" w:hAnsi="宋体" w:eastAsia="宋体" w:cs="宋体"/>
          <w:color w:val="auto"/>
          <w:sz w:val="24"/>
          <w:szCs w:val="24"/>
          <w:highlight w:val="none"/>
        </w:rPr>
        <w:t>向乙方支付违约金。</w:t>
      </w:r>
    </w:p>
    <w:p w14:paraId="49FED2A5">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除合同规定的不可抗力外，如果乙方没有按照合同规定的时间提供服务，乙方应每日按</w:t>
      </w:r>
      <w:r>
        <w:rPr>
          <w:rFonts w:hint="eastAsia" w:ascii="宋体" w:hAnsi="宋体" w:eastAsia="宋体" w:cs="宋体"/>
          <w:color w:val="auto"/>
          <w:sz w:val="24"/>
          <w:szCs w:val="24"/>
          <w:highlight w:val="none"/>
          <w:lang w:val="en-US" w:eastAsia="zh-CN"/>
        </w:rPr>
        <w:t>合同年度服务费用</w:t>
      </w:r>
      <w:r>
        <w:rPr>
          <w:rFonts w:hint="eastAsia" w:ascii="宋体" w:hAnsi="宋体" w:eastAsia="宋体" w:cs="宋体"/>
          <w:color w:val="auto"/>
          <w:sz w:val="24"/>
          <w:szCs w:val="24"/>
          <w:highlight w:val="none"/>
        </w:rPr>
        <w:t>的万分之五向甲方支付违约金。</w:t>
      </w:r>
    </w:p>
    <w:p w14:paraId="33259099">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项目结束时</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不合格</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，乙方应在收到甲方通知后10日内退还甲方已支付的合同款，逾期退还合同款的，每日按未退还金额的1%</w:t>
      </w:r>
      <w:r>
        <w:rPr>
          <w:rFonts w:hint="eastAsia" w:ascii="宋体" w:hAnsi="宋体" w:eastAsia="宋体" w:cs="宋体"/>
          <w:color w:val="auto"/>
          <w:sz w:val="24"/>
          <w:szCs w:val="24"/>
          <w:highlight w:val="none"/>
          <w:lang w:val="en-US" w:eastAsia="zh-CN"/>
        </w:rPr>
        <w:t>向甲方</w:t>
      </w:r>
      <w:r>
        <w:rPr>
          <w:rFonts w:hint="eastAsia" w:ascii="宋体" w:hAnsi="宋体" w:eastAsia="宋体" w:cs="宋体"/>
          <w:color w:val="auto"/>
          <w:sz w:val="24"/>
          <w:szCs w:val="24"/>
          <w:highlight w:val="none"/>
        </w:rPr>
        <w:t>支付违约金。</w:t>
      </w:r>
    </w:p>
    <w:p w14:paraId="3ED26272">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其他违约条款双方协商确定：</w:t>
      </w:r>
      <w:r>
        <w:rPr>
          <w:rFonts w:hint="eastAsia" w:ascii="宋体" w:hAnsi="宋体" w:eastAsia="宋体" w:cs="宋体"/>
          <w:color w:val="auto"/>
          <w:sz w:val="24"/>
          <w:szCs w:val="24"/>
          <w:highlight w:val="none"/>
          <w:u w:val="single"/>
        </w:rPr>
        <w:t>【               】</w:t>
      </w:r>
    </w:p>
    <w:p w14:paraId="0A502D8C">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06" w:name="_Toc23686"/>
      <w:bookmarkStart w:id="207" w:name="_Toc13046"/>
      <w:bookmarkStart w:id="208" w:name="_Toc16885"/>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五</w:t>
      </w:r>
      <w:r>
        <w:rPr>
          <w:rFonts w:hint="eastAsia" w:ascii="宋体" w:hAnsi="宋体" w:eastAsia="宋体" w:cs="宋体"/>
          <w:b/>
          <w:bCs w:val="0"/>
          <w:color w:val="auto"/>
          <w:sz w:val="24"/>
          <w:szCs w:val="24"/>
          <w:highlight w:val="none"/>
        </w:rPr>
        <w:t>、违约解除合同</w:t>
      </w:r>
      <w:bookmarkEnd w:id="206"/>
      <w:bookmarkEnd w:id="207"/>
      <w:bookmarkEnd w:id="208"/>
    </w:p>
    <w:p w14:paraId="37BDC204">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出现以下</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情形之一的</w:t>
      </w:r>
      <w:r>
        <w:rPr>
          <w:rFonts w:hint="eastAsia" w:ascii="宋体" w:hAnsi="宋体" w:eastAsia="宋体" w:cs="宋体"/>
          <w:color w:val="auto"/>
          <w:sz w:val="24"/>
          <w:szCs w:val="24"/>
          <w:highlight w:val="none"/>
        </w:rPr>
        <w:t>，甲方可向乙方发出书面通知，部分或全部</w:t>
      </w:r>
      <w:r>
        <w:rPr>
          <w:rFonts w:hint="eastAsia" w:ascii="宋体" w:hAnsi="宋体" w:eastAsia="宋体" w:cs="宋体"/>
          <w:color w:val="auto"/>
          <w:sz w:val="24"/>
          <w:szCs w:val="24"/>
          <w:highlight w:val="none"/>
          <w:lang w:val="en-US" w:eastAsia="zh-CN"/>
        </w:rPr>
        <w:t>解除</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同时保留向乙方追诉的权利</w:t>
      </w:r>
      <w:r>
        <w:rPr>
          <w:rFonts w:hint="eastAsia" w:ascii="宋体" w:hAnsi="宋体" w:eastAsia="宋体" w:cs="宋体"/>
          <w:color w:val="auto"/>
          <w:sz w:val="24"/>
          <w:szCs w:val="24"/>
          <w:highlight w:val="none"/>
          <w:lang w:val="en-US" w:eastAsia="zh-CN"/>
        </w:rPr>
        <w:t>：</w:t>
      </w:r>
    </w:p>
    <w:p w14:paraId="78732583">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在履行期限届满之前，乙方明确表示或者以自己的行为表示不履行主要义务</w:t>
      </w:r>
      <w:r>
        <w:rPr>
          <w:rFonts w:hint="eastAsia" w:ascii="宋体" w:hAnsi="宋体" w:eastAsia="宋体" w:cs="宋体"/>
          <w:color w:val="auto"/>
          <w:sz w:val="24"/>
          <w:szCs w:val="24"/>
          <w:highlight w:val="none"/>
          <w:lang w:eastAsia="zh-CN"/>
        </w:rPr>
        <w:t>。</w:t>
      </w:r>
    </w:p>
    <w:p w14:paraId="28C85EDB">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乙方迟延履行主要义务，经催告后在合理期限内仍未履行</w:t>
      </w:r>
      <w:r>
        <w:rPr>
          <w:rFonts w:hint="eastAsia" w:ascii="宋体" w:hAnsi="宋体" w:eastAsia="宋体" w:cs="宋体"/>
          <w:color w:val="auto"/>
          <w:sz w:val="24"/>
          <w:szCs w:val="24"/>
          <w:highlight w:val="none"/>
          <w:lang w:eastAsia="zh-CN"/>
        </w:rPr>
        <w:t>。</w:t>
      </w:r>
    </w:p>
    <w:p w14:paraId="4F444C37">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乙方迟延履行义务或者有其他违约行为致使不能实现合同目的</w:t>
      </w:r>
      <w:r>
        <w:rPr>
          <w:rFonts w:hint="eastAsia" w:ascii="宋体" w:hAnsi="宋体" w:eastAsia="宋体" w:cs="宋体"/>
          <w:color w:val="auto"/>
          <w:sz w:val="24"/>
          <w:szCs w:val="24"/>
          <w:highlight w:val="none"/>
          <w:lang w:eastAsia="zh-CN"/>
        </w:rPr>
        <w:t>。</w:t>
      </w:r>
    </w:p>
    <w:p w14:paraId="321B16E6">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乙方转包，或者未经甲方同意采取分包方式履行合同</w:t>
      </w:r>
      <w:r>
        <w:rPr>
          <w:rFonts w:hint="eastAsia" w:ascii="宋体" w:hAnsi="宋体" w:eastAsia="宋体" w:cs="宋体"/>
          <w:color w:val="auto"/>
          <w:sz w:val="24"/>
          <w:szCs w:val="24"/>
          <w:highlight w:val="none"/>
          <w:lang w:eastAsia="zh-CN"/>
        </w:rPr>
        <w:t>。</w:t>
      </w:r>
    </w:p>
    <w:p w14:paraId="20FAF13C">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甲方认为乙方在本合同履行过程中有腐败和欺诈行为的。</w:t>
      </w:r>
    </w:p>
    <w:p w14:paraId="0BA34763">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.1“腐败行为”和“欺诈行为”定义如下：</w:t>
      </w:r>
    </w:p>
    <w:p w14:paraId="6D856894">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“腐败行为”是指提供/给予/接受或索取任何有价值的东西来影响甲方在合同签订、履行过程中的行为。</w:t>
      </w:r>
    </w:p>
    <w:p w14:paraId="17EAD816">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“欺诈行为”是指为了影响合同签订、履行过程，以谎报事实的方法， 损害甲方的利益的行为。</w:t>
      </w:r>
    </w:p>
    <w:p w14:paraId="0A82C0CA">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6在合同履行期限内，累计出现3次乙方未能符合甲方要求的情形或</w:t>
      </w:r>
      <w:r>
        <w:rPr>
          <w:rFonts w:hint="eastAsia" w:ascii="宋体" w:hAnsi="宋体" w:eastAsia="宋体" w:cs="宋体"/>
          <w:color w:val="auto"/>
          <w:sz w:val="24"/>
          <w:szCs w:val="24"/>
          <w:highlight w:val="none"/>
        </w:rPr>
        <w:t>乙方没有按照合同规定的时间提供服务</w:t>
      </w:r>
      <w:r>
        <w:rPr>
          <w:rFonts w:hint="eastAsia" w:ascii="宋体" w:hAnsi="宋体" w:eastAsia="宋体" w:cs="宋体"/>
          <w:color w:val="auto"/>
          <w:sz w:val="24"/>
          <w:szCs w:val="24"/>
          <w:highlight w:val="none"/>
          <w:lang w:val="en-US" w:eastAsia="zh-CN"/>
        </w:rPr>
        <w:t>逾期超过10日的情形。</w:t>
      </w:r>
    </w:p>
    <w:p w14:paraId="791DFD83">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法律、法规规定的其他情形。</w:t>
      </w:r>
    </w:p>
    <w:p w14:paraId="74EBA2D5">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甲方解除合同的，合同于甲方发出书面解除合同通知书送达乙方之日起解除。乙方应在合同解除后 10 日内退还甲方已支付的</w:t>
      </w:r>
      <w:r>
        <w:rPr>
          <w:rFonts w:hint="eastAsia" w:ascii="宋体" w:hAnsi="宋体" w:eastAsia="宋体" w:cs="宋体"/>
          <w:color w:val="auto"/>
          <w:sz w:val="24"/>
          <w:szCs w:val="24"/>
          <w:highlight w:val="none"/>
          <w:lang w:val="en-US" w:eastAsia="zh-CN"/>
        </w:rPr>
        <w:t>服务费用</w:t>
      </w:r>
      <w:r>
        <w:rPr>
          <w:rFonts w:hint="eastAsia" w:ascii="宋体" w:hAnsi="宋体" w:eastAsia="宋体" w:cs="宋体"/>
          <w:color w:val="auto"/>
          <w:sz w:val="24"/>
          <w:szCs w:val="24"/>
          <w:highlight w:val="none"/>
        </w:rPr>
        <w:t>，逾期退还的，每日按未退还金额的 1 %</w:t>
      </w:r>
      <w:r>
        <w:rPr>
          <w:rFonts w:hint="eastAsia" w:ascii="宋体" w:hAnsi="宋体" w:eastAsia="宋体" w:cs="宋体"/>
          <w:color w:val="auto"/>
          <w:sz w:val="24"/>
          <w:szCs w:val="24"/>
          <w:highlight w:val="none"/>
          <w:lang w:val="en-US" w:eastAsia="zh-CN"/>
        </w:rPr>
        <w:t>向甲方</w:t>
      </w:r>
      <w:r>
        <w:rPr>
          <w:rFonts w:hint="eastAsia" w:ascii="宋体" w:hAnsi="宋体" w:eastAsia="宋体" w:cs="宋体"/>
          <w:color w:val="auto"/>
          <w:sz w:val="24"/>
          <w:szCs w:val="24"/>
          <w:highlight w:val="none"/>
        </w:rPr>
        <w:t>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同时，甲方有权要求乙方按合同款项的20%支付违约金，如因此给甲方造成包括但不限于律师费等在内的一切损失，乙方还应承担赔偿责任。</w:t>
      </w:r>
    </w:p>
    <w:p w14:paraId="05E1C6CF">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甲方解除合同的，应当报同级财政部门备案。</w:t>
      </w:r>
    </w:p>
    <w:p w14:paraId="5146DEB1">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09" w:name="_Toc3750"/>
      <w:bookmarkStart w:id="210" w:name="_Toc26942"/>
      <w:bookmarkStart w:id="211" w:name="_Toc7835"/>
      <w:bookmarkStart w:id="212" w:name="_Toc22096"/>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六</w:t>
      </w:r>
      <w:r>
        <w:rPr>
          <w:rFonts w:hint="eastAsia" w:ascii="宋体" w:hAnsi="宋体" w:eastAsia="宋体" w:cs="宋体"/>
          <w:b/>
          <w:bCs w:val="0"/>
          <w:color w:val="auto"/>
          <w:sz w:val="24"/>
          <w:szCs w:val="24"/>
          <w:highlight w:val="none"/>
        </w:rPr>
        <w:t>、破产</w:t>
      </w:r>
      <w:r>
        <w:rPr>
          <w:rFonts w:hint="eastAsia" w:ascii="宋体" w:hAnsi="宋体" w:eastAsia="宋体" w:cs="宋体"/>
          <w:b/>
          <w:bCs w:val="0"/>
          <w:color w:val="auto"/>
          <w:sz w:val="24"/>
          <w:szCs w:val="24"/>
          <w:highlight w:val="none"/>
          <w:lang w:val="en-US" w:eastAsia="zh-CN"/>
        </w:rPr>
        <w:t>解除</w:t>
      </w:r>
      <w:r>
        <w:rPr>
          <w:rFonts w:hint="eastAsia" w:ascii="宋体" w:hAnsi="宋体" w:eastAsia="宋体" w:cs="宋体"/>
          <w:b/>
          <w:bCs w:val="0"/>
          <w:color w:val="auto"/>
          <w:sz w:val="24"/>
          <w:szCs w:val="24"/>
          <w:highlight w:val="none"/>
        </w:rPr>
        <w:t>合同</w:t>
      </w:r>
      <w:bookmarkEnd w:id="209"/>
      <w:bookmarkEnd w:id="210"/>
      <w:bookmarkEnd w:id="211"/>
      <w:bookmarkEnd w:id="212"/>
    </w:p>
    <w:p w14:paraId="7F9B4812">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如果乙方破产或无清偿能力时，甲方经报同级政府采购监督管理部门审批后，可在任何时候以书面</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通知乙方提出</w:t>
      </w:r>
      <w:r>
        <w:rPr>
          <w:rFonts w:hint="eastAsia" w:ascii="宋体" w:hAnsi="宋体" w:eastAsia="宋体" w:cs="宋体"/>
          <w:color w:val="auto"/>
          <w:sz w:val="24"/>
          <w:szCs w:val="24"/>
          <w:highlight w:val="none"/>
          <w:lang w:val="en-US" w:eastAsia="zh-CN"/>
        </w:rPr>
        <w:t>解除</w:t>
      </w:r>
      <w:r>
        <w:rPr>
          <w:rFonts w:hint="eastAsia" w:ascii="宋体" w:hAnsi="宋体" w:eastAsia="宋体" w:cs="宋体"/>
          <w:color w:val="auto"/>
          <w:sz w:val="24"/>
          <w:szCs w:val="24"/>
          <w:highlight w:val="none"/>
        </w:rPr>
        <w:t>合同而不给乙方补偿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该合同的</w:t>
      </w:r>
      <w:r>
        <w:rPr>
          <w:rFonts w:hint="eastAsia" w:ascii="宋体" w:hAnsi="宋体" w:eastAsia="宋体" w:cs="宋体"/>
          <w:color w:val="auto"/>
          <w:sz w:val="24"/>
          <w:szCs w:val="24"/>
          <w:highlight w:val="none"/>
          <w:lang w:val="en-US" w:eastAsia="zh-CN"/>
        </w:rPr>
        <w:t>解除</w:t>
      </w:r>
      <w:r>
        <w:rPr>
          <w:rFonts w:hint="eastAsia" w:ascii="宋体" w:hAnsi="宋体" w:eastAsia="宋体" w:cs="宋体"/>
          <w:color w:val="auto"/>
          <w:sz w:val="24"/>
          <w:szCs w:val="24"/>
          <w:highlight w:val="none"/>
        </w:rPr>
        <w:t>将不损害或不影响甲方已经采取或将要采取任何行动或补救措施的权利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乙方应在合同解除后 10 日内退还甲方已支付的合同款，逾期退还合同款的，每日按未退还金额的 1 %</w:t>
      </w:r>
      <w:r>
        <w:rPr>
          <w:rFonts w:hint="eastAsia" w:ascii="宋体" w:hAnsi="宋体" w:eastAsia="宋体" w:cs="宋体"/>
          <w:color w:val="auto"/>
          <w:sz w:val="24"/>
          <w:szCs w:val="24"/>
          <w:highlight w:val="none"/>
          <w:lang w:val="en-US" w:eastAsia="zh-CN"/>
        </w:rPr>
        <w:t>向甲方</w:t>
      </w:r>
      <w:r>
        <w:rPr>
          <w:rFonts w:hint="eastAsia" w:ascii="宋体" w:hAnsi="宋体" w:eastAsia="宋体" w:cs="宋体"/>
          <w:color w:val="auto"/>
          <w:sz w:val="24"/>
          <w:szCs w:val="24"/>
          <w:highlight w:val="none"/>
        </w:rPr>
        <w:t>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同时，甲方有权要求乙方按合同款项的20%支付违约金，如因此给甲方造成包括但不限于律师费等在内的一切损失，乙方还应承担赔偿责任。</w:t>
      </w:r>
    </w:p>
    <w:p w14:paraId="29564693">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13" w:name="_Toc18489"/>
      <w:bookmarkStart w:id="214" w:name="_Toc3403"/>
      <w:bookmarkStart w:id="215" w:name="_Toc27890"/>
      <w:bookmarkStart w:id="216" w:name="_Toc23701"/>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七</w:t>
      </w:r>
      <w:r>
        <w:rPr>
          <w:rFonts w:hint="eastAsia" w:ascii="宋体" w:hAnsi="宋体" w:eastAsia="宋体" w:cs="宋体"/>
          <w:b/>
          <w:bCs w:val="0"/>
          <w:color w:val="auto"/>
          <w:sz w:val="24"/>
          <w:szCs w:val="24"/>
          <w:highlight w:val="none"/>
        </w:rPr>
        <w:t>、适用</w:t>
      </w:r>
      <w:bookmarkEnd w:id="213"/>
      <w:bookmarkEnd w:id="214"/>
      <w:bookmarkEnd w:id="215"/>
      <w:bookmarkEnd w:id="216"/>
    </w:p>
    <w:p w14:paraId="67540D0C">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本合同应按照《中华人民共和国政府采购法》、《中华人民共和国民法典》、《浙江省政府采购合同暂行办法》等进行解释。</w:t>
      </w:r>
    </w:p>
    <w:p w14:paraId="104BA653">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17" w:name="_Toc27322"/>
      <w:bookmarkStart w:id="218" w:name="_Toc21199"/>
      <w:bookmarkStart w:id="219" w:name="_Toc8449"/>
      <w:bookmarkStart w:id="220" w:name="_Toc860"/>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八</w:t>
      </w:r>
      <w:r>
        <w:rPr>
          <w:rFonts w:hint="eastAsia" w:ascii="宋体" w:hAnsi="宋体" w:eastAsia="宋体" w:cs="宋体"/>
          <w:b/>
          <w:bCs w:val="0"/>
          <w:color w:val="auto"/>
          <w:sz w:val="24"/>
          <w:szCs w:val="24"/>
          <w:highlight w:val="none"/>
        </w:rPr>
        <w:t>、解决争议的方法</w:t>
      </w:r>
      <w:bookmarkEnd w:id="217"/>
      <w:bookmarkEnd w:id="218"/>
      <w:bookmarkEnd w:id="219"/>
      <w:bookmarkEnd w:id="220"/>
    </w:p>
    <w:p w14:paraId="7377F6F3">
      <w:pPr>
        <w:keepNext w:val="0"/>
        <w:pageBreakBefore w:val="0"/>
        <w:widowControl w:val="0"/>
        <w:shd w:val="clear"/>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因合同履行中发生的争议，可通过合同当事人双方友好协商解决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协商不成的</w:t>
      </w:r>
      <w:r>
        <w:rPr>
          <w:rFonts w:hint="eastAsia" w:ascii="宋体" w:hAnsi="宋体" w:eastAsia="宋体" w:cs="宋体"/>
          <w:color w:val="auto"/>
          <w:sz w:val="24"/>
          <w:szCs w:val="24"/>
          <w:highlight w:val="none"/>
        </w:rPr>
        <w:t>，可向甲方所在地人民法院提起诉讼</w:t>
      </w:r>
      <w:r>
        <w:rPr>
          <w:rFonts w:hint="eastAsia" w:ascii="宋体" w:hAnsi="宋体" w:eastAsia="宋体" w:cs="宋体"/>
          <w:color w:val="auto"/>
          <w:sz w:val="24"/>
          <w:szCs w:val="24"/>
          <w:highlight w:val="none"/>
          <w:lang w:val="en-US" w:eastAsia="zh-CN"/>
        </w:rPr>
        <w:t>解决</w:t>
      </w:r>
      <w:r>
        <w:rPr>
          <w:rFonts w:hint="eastAsia" w:ascii="宋体" w:hAnsi="宋体" w:eastAsia="宋体" w:cs="宋体"/>
          <w:color w:val="auto"/>
          <w:sz w:val="24"/>
          <w:szCs w:val="24"/>
          <w:highlight w:val="none"/>
        </w:rPr>
        <w:t>。</w:t>
      </w:r>
    </w:p>
    <w:p w14:paraId="38164434">
      <w:pPr>
        <w:pStyle w:val="3"/>
        <w:keepNext w:val="0"/>
        <w:pageBreakBefore w:val="0"/>
        <w:widowControl w:val="0"/>
        <w:numPr>
          <w:ilvl w:val="0"/>
          <w:numId w:val="0"/>
        </w:numPr>
        <w:shd w:val="clear"/>
        <w:tabs>
          <w:tab w:val="clear" w:pos="706"/>
        </w:tabs>
        <w:kinsoku/>
        <w:wordWrap/>
        <w:overflowPunct/>
        <w:topLinePunct w:val="0"/>
        <w:autoSpaceDE/>
        <w:autoSpaceDN/>
        <w:bidi w:val="0"/>
        <w:spacing w:line="420" w:lineRule="exact"/>
        <w:ind w:left="528"/>
        <w:textAlignment w:val="auto"/>
        <w:rPr>
          <w:rFonts w:hint="eastAsia" w:ascii="宋体" w:hAnsi="宋体" w:eastAsia="宋体" w:cs="宋体"/>
          <w:b/>
          <w:bCs w:val="0"/>
          <w:color w:val="auto"/>
          <w:sz w:val="24"/>
          <w:szCs w:val="24"/>
          <w:highlight w:val="none"/>
        </w:rPr>
      </w:pPr>
      <w:bookmarkStart w:id="221" w:name="_Toc2786"/>
      <w:bookmarkStart w:id="222" w:name="_Toc18333"/>
      <w:bookmarkStart w:id="223" w:name="_Toc28922"/>
      <w:bookmarkStart w:id="224" w:name="_Toc25769"/>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eastAsia="zh-CN"/>
        </w:rPr>
        <w:t>九</w:t>
      </w:r>
      <w:r>
        <w:rPr>
          <w:rFonts w:hint="eastAsia" w:ascii="宋体" w:hAnsi="宋体" w:eastAsia="宋体" w:cs="宋体"/>
          <w:b/>
          <w:bCs w:val="0"/>
          <w:color w:val="auto"/>
          <w:sz w:val="24"/>
          <w:szCs w:val="24"/>
          <w:highlight w:val="none"/>
        </w:rPr>
        <w:t>、合同的生效及其他</w:t>
      </w:r>
      <w:bookmarkEnd w:id="221"/>
      <w:bookmarkEnd w:id="222"/>
      <w:bookmarkEnd w:id="223"/>
      <w:bookmarkEnd w:id="224"/>
    </w:p>
    <w:p w14:paraId="313E63BE">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政府采购项目的采购合同内容的确定应以采购文件和响应文件为基础，不得违背其实质性内容。</w:t>
      </w:r>
    </w:p>
    <w:p w14:paraId="2F7B6D73">
      <w:pPr>
        <w:keepNext w:val="0"/>
        <w:pageBreakBefore w:val="0"/>
        <w:widowControl w:val="0"/>
        <w:shd w:val="clear"/>
        <w:kinsoku/>
        <w:wordWrap/>
        <w:overflowPunct/>
        <w:topLinePunct w:val="0"/>
        <w:autoSpaceDE/>
        <w:autoSpaceDN/>
        <w:bidi w:val="0"/>
        <w:adjustRightIn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本合同未尽事宜，另行签订补充协议</w:t>
      </w:r>
      <w:r>
        <w:rPr>
          <w:rFonts w:hint="eastAsia" w:ascii="宋体" w:hAnsi="宋体" w:eastAsia="宋体" w:cs="宋体"/>
          <w:color w:val="auto"/>
          <w:sz w:val="24"/>
          <w:szCs w:val="24"/>
          <w:highlight w:val="none"/>
          <w:lang w:eastAsia="zh-CN"/>
        </w:rPr>
        <w:t>。</w:t>
      </w:r>
    </w:p>
    <w:p w14:paraId="774A6C5A">
      <w:pPr>
        <w:keepNext w:val="0"/>
        <w:pageBreakBefore w:val="0"/>
        <w:widowControl w:val="0"/>
        <w:shd w:val="clear"/>
        <w:kinsoku/>
        <w:wordWrap/>
        <w:overflowPunct/>
        <w:topLinePunct w:val="0"/>
        <w:autoSpaceDE/>
        <w:autoSpaceDN/>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3.本</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经甲乙</w:t>
      </w:r>
      <w:r>
        <w:rPr>
          <w:rFonts w:hint="eastAsia" w:ascii="宋体" w:hAnsi="宋体" w:eastAsia="宋体" w:cs="宋体"/>
          <w:color w:val="auto"/>
          <w:sz w:val="24"/>
          <w:szCs w:val="24"/>
          <w:highlight w:val="none"/>
        </w:rPr>
        <w:t>双方签字盖章后开始生效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lang w:val="en-US" w:eastAsia="zh-CN"/>
        </w:rPr>
        <w:t>伍</w:t>
      </w:r>
      <w:r>
        <w:rPr>
          <w:rFonts w:hint="eastAsia" w:ascii="宋体" w:hAnsi="宋体" w:eastAsia="宋体" w:cs="宋体"/>
          <w:color w:val="auto"/>
          <w:sz w:val="24"/>
          <w:szCs w:val="24"/>
          <w:highlight w:val="none"/>
        </w:rPr>
        <w:t>份，甲方、乙方双方各执</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份，采购代理机构</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具有同等法律效力</w:t>
      </w:r>
      <w:r>
        <w:rPr>
          <w:rFonts w:hint="eastAsia" w:ascii="宋体" w:hAnsi="宋体" w:eastAsia="宋体" w:cs="宋体"/>
          <w:color w:val="auto"/>
          <w:sz w:val="24"/>
          <w:szCs w:val="24"/>
          <w:highlight w:val="none"/>
        </w:rPr>
        <w:t>。</w:t>
      </w:r>
    </w:p>
    <w:p w14:paraId="5202DC0A">
      <w:pPr>
        <w:shd w:val="clear"/>
        <w:adjustRightInd w:val="0"/>
        <w:snapToGrid w:val="0"/>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946A408">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b/>
          <w:bCs/>
          <w:color w:val="auto"/>
          <w:sz w:val="24"/>
          <w:szCs w:val="24"/>
          <w:highlight w:val="none"/>
        </w:rPr>
      </w:pPr>
    </w:p>
    <w:tbl>
      <w:tblPr>
        <w:tblStyle w:val="19"/>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4560"/>
      </w:tblGrid>
      <w:tr w14:paraId="4F2A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42B87110">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甲方（单位章）： </w:t>
            </w:r>
          </w:p>
        </w:tc>
        <w:tc>
          <w:tcPr>
            <w:tcW w:w="4560" w:type="dxa"/>
            <w:noWrap w:val="0"/>
            <w:vAlign w:val="center"/>
          </w:tcPr>
          <w:p w14:paraId="7020DFAA">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乙方（单位章）：</w:t>
            </w:r>
          </w:p>
        </w:tc>
      </w:tr>
      <w:tr w14:paraId="2D15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5D4D1CA0">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tc>
        <w:tc>
          <w:tcPr>
            <w:tcW w:w="4560" w:type="dxa"/>
            <w:noWrap w:val="0"/>
            <w:vAlign w:val="center"/>
          </w:tcPr>
          <w:p w14:paraId="658932C8">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tc>
      </w:tr>
      <w:tr w14:paraId="08ED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5CA8B1CB">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或授权代表（签字）：</w:t>
            </w:r>
          </w:p>
        </w:tc>
        <w:tc>
          <w:tcPr>
            <w:tcW w:w="4560" w:type="dxa"/>
            <w:noWrap w:val="0"/>
            <w:vAlign w:val="center"/>
          </w:tcPr>
          <w:p w14:paraId="10235998">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或授权代表（签字）：</w:t>
            </w:r>
          </w:p>
        </w:tc>
      </w:tr>
      <w:tr w14:paraId="38CC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0A9061CE">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4560" w:type="dxa"/>
            <w:noWrap w:val="0"/>
            <w:vAlign w:val="center"/>
          </w:tcPr>
          <w:p w14:paraId="68138E27">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r>
      <w:tr w14:paraId="5F00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56F7A9FD">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60" w:type="dxa"/>
            <w:noWrap w:val="0"/>
            <w:vAlign w:val="center"/>
          </w:tcPr>
          <w:p w14:paraId="1E09C340">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14:paraId="24F1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0172AB18">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4560" w:type="dxa"/>
            <w:noWrap w:val="0"/>
            <w:vAlign w:val="center"/>
          </w:tcPr>
          <w:p w14:paraId="48911BF9">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r>
      <w:tr w14:paraId="4CE5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186731BE">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c>
          <w:tcPr>
            <w:tcW w:w="4560" w:type="dxa"/>
            <w:noWrap w:val="0"/>
            <w:vAlign w:val="center"/>
          </w:tcPr>
          <w:p w14:paraId="731D363B">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7493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217984A4">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p>
        </w:tc>
        <w:tc>
          <w:tcPr>
            <w:tcW w:w="4560" w:type="dxa"/>
            <w:noWrap w:val="0"/>
            <w:vAlign w:val="center"/>
          </w:tcPr>
          <w:p w14:paraId="28A4407B">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r>
      <w:tr w14:paraId="2084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7B0DEAA3">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tc>
        <w:tc>
          <w:tcPr>
            <w:tcW w:w="4560" w:type="dxa"/>
            <w:noWrap w:val="0"/>
            <w:vAlign w:val="center"/>
          </w:tcPr>
          <w:p w14:paraId="615840D2">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tc>
      </w:tr>
      <w:tr w14:paraId="2A8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2C6B41FF">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年  月  日</w:t>
            </w:r>
          </w:p>
        </w:tc>
        <w:tc>
          <w:tcPr>
            <w:tcW w:w="4560" w:type="dxa"/>
            <w:noWrap w:val="0"/>
            <w:vAlign w:val="center"/>
          </w:tcPr>
          <w:p w14:paraId="5DE3075D">
            <w:pPr>
              <w:keepNext w:val="0"/>
              <w:pageBreakBefore w:val="0"/>
              <w:widowControl w:val="0"/>
              <w:shd w:val="clear"/>
              <w:kinsoku/>
              <w:wordWrap/>
              <w:overflowPunct/>
              <w:topLinePunct w:val="0"/>
              <w:autoSpaceDE/>
              <w:autoSpaceDN/>
              <w:bidi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年  月  日</w:t>
            </w:r>
          </w:p>
        </w:tc>
      </w:tr>
    </w:tbl>
    <w:p w14:paraId="706DE577">
      <w:pPr>
        <w:keepNext w:val="0"/>
        <w:pageBreakBefore w:val="0"/>
        <w:widowControl w:val="0"/>
        <w:shd w:val="clear"/>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签约地点：</w:t>
      </w:r>
    </w:p>
    <w:p w14:paraId="48E834A1">
      <w:pPr>
        <w:keepNext w:val="0"/>
        <w:pageBreakBefore w:val="0"/>
        <w:widowControl w:val="0"/>
        <w:shd w:val="clear"/>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highlight w:val="none"/>
        </w:rPr>
      </w:pPr>
    </w:p>
    <w:p w14:paraId="2019B235">
      <w:pPr>
        <w:keepNext w:val="0"/>
        <w:pageBreakBefore w:val="0"/>
        <w:widowControl w:val="0"/>
        <w:shd w:val="clear"/>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：202 年衢州科技大市场考核目标及分值</w:t>
      </w:r>
    </w:p>
    <w:p w14:paraId="3D95CEF7">
      <w:pPr>
        <w:shd w:val="clear"/>
        <w:rPr>
          <w:rFonts w:hint="eastAsia" w:ascii="宋体" w:hAnsi="宋体" w:eastAsia="宋体" w:cs="宋体"/>
          <w:color w:val="auto"/>
          <w:sz w:val="24"/>
          <w:szCs w:val="24"/>
          <w:highlight w:val="none"/>
        </w:rPr>
        <w:sectPr>
          <w:headerReference r:id="rId8" w:type="default"/>
          <w:footerReference r:id="rId9" w:type="default"/>
          <w:endnotePr>
            <w:numFmt w:val="decimal"/>
          </w:endnotePr>
          <w:pgSz w:w="11906" w:h="16838"/>
          <w:pgMar w:top="1440" w:right="1440" w:bottom="1440" w:left="1440" w:header="851" w:footer="851" w:gutter="0"/>
          <w:pgNumType w:fmt="decimal"/>
          <w:cols w:space="720" w:num="1"/>
          <w:titlePg/>
          <w:docGrid w:linePitch="381" w:charSpace="0"/>
        </w:sectPr>
      </w:pPr>
    </w:p>
    <w:p w14:paraId="0826706C">
      <w:pPr>
        <w:shd w:val="clear"/>
        <w:jc w:val="center"/>
        <w:rPr>
          <w:color w:val="auto"/>
          <w:highlight w:val="none"/>
        </w:rPr>
      </w:pPr>
      <w:r>
        <w:rPr>
          <w:rFonts w:hint="eastAsia" w:ascii="宋体" w:hAnsi="宋体" w:eastAsia="宋体" w:cs="宋体"/>
          <w:b/>
          <w:bCs/>
          <w:color w:val="auto"/>
          <w:sz w:val="28"/>
          <w:szCs w:val="28"/>
          <w:highlight w:val="none"/>
          <w:lang w:val="en-US" w:eastAsia="zh-CN"/>
        </w:rPr>
        <w:t>202</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年衢州科技大市场考核目标及分值</w:t>
      </w:r>
    </w:p>
    <w:p w14:paraId="7DAF2328">
      <w:pPr>
        <w:shd w:val="clear"/>
        <w:rPr>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9"/>
        <w:gridCol w:w="2033"/>
        <w:gridCol w:w="7328"/>
        <w:gridCol w:w="1886"/>
      </w:tblGrid>
      <w:tr w14:paraId="5A8F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noWrap w:val="0"/>
            <w:vAlign w:val="center"/>
          </w:tcPr>
          <w:p w14:paraId="043E6148">
            <w:pPr>
              <w:keepNext w:val="0"/>
              <w:keepLines w:val="0"/>
              <w:widowControl/>
              <w:suppressLineNumbers w:val="0"/>
              <w:shd w:val="clear"/>
              <w:jc w:val="center"/>
              <w:textAlignment w:val="center"/>
              <w:rPr>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39" w:type="dxa"/>
            <w:noWrap w:val="0"/>
            <w:vAlign w:val="center"/>
          </w:tcPr>
          <w:p w14:paraId="0C05E918">
            <w:pPr>
              <w:keepNext w:val="0"/>
              <w:keepLines w:val="0"/>
              <w:widowControl/>
              <w:suppressLineNumbers w:val="0"/>
              <w:shd w:val="clear"/>
              <w:jc w:val="center"/>
              <w:textAlignment w:val="center"/>
              <w:rPr>
                <w:color w:val="auto"/>
                <w:highlight w:val="none"/>
                <w:vertAlign w:val="baseline"/>
              </w:rPr>
            </w:pPr>
            <w:r>
              <w:rPr>
                <w:rFonts w:hint="default" w:ascii="方正书宋_GBK" w:hAnsi="方正书宋_GBK" w:eastAsia="方正书宋_GBK" w:cs="方正书宋_GBK"/>
                <w:b/>
                <w:bCs/>
                <w:i w:val="0"/>
                <w:iCs w:val="0"/>
                <w:color w:val="auto"/>
                <w:kern w:val="0"/>
                <w:sz w:val="21"/>
                <w:szCs w:val="21"/>
                <w:highlight w:val="none"/>
                <w:u w:val="none"/>
                <w:lang w:val="en-US" w:eastAsia="zh-CN" w:bidi="ar"/>
              </w:rPr>
              <w:t>分类</w:t>
            </w:r>
          </w:p>
        </w:tc>
        <w:tc>
          <w:tcPr>
            <w:tcW w:w="2033" w:type="dxa"/>
            <w:noWrap w:val="0"/>
            <w:vAlign w:val="center"/>
          </w:tcPr>
          <w:p w14:paraId="4179CF68">
            <w:pPr>
              <w:keepNext w:val="0"/>
              <w:keepLines w:val="0"/>
              <w:widowControl/>
              <w:suppressLineNumbers w:val="0"/>
              <w:shd w:val="clear"/>
              <w:jc w:val="center"/>
              <w:textAlignment w:val="center"/>
              <w:rPr>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工作任务</w:t>
            </w:r>
          </w:p>
        </w:tc>
        <w:tc>
          <w:tcPr>
            <w:tcW w:w="7328" w:type="dxa"/>
            <w:noWrap w:val="0"/>
            <w:vAlign w:val="center"/>
          </w:tcPr>
          <w:p w14:paraId="2BB7A716">
            <w:pPr>
              <w:keepNext w:val="0"/>
              <w:keepLines w:val="0"/>
              <w:widowControl/>
              <w:suppressLineNumbers w:val="0"/>
              <w:shd w:val="clear"/>
              <w:jc w:val="center"/>
              <w:textAlignment w:val="center"/>
              <w:rPr>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主要内容</w:t>
            </w:r>
          </w:p>
        </w:tc>
        <w:tc>
          <w:tcPr>
            <w:tcW w:w="1886" w:type="dxa"/>
            <w:noWrap w:val="0"/>
            <w:vAlign w:val="center"/>
          </w:tcPr>
          <w:p w14:paraId="716BA604">
            <w:pPr>
              <w:keepNext w:val="0"/>
              <w:keepLines w:val="0"/>
              <w:widowControl/>
              <w:suppressLineNumbers w:val="0"/>
              <w:shd w:val="clear"/>
              <w:jc w:val="center"/>
              <w:textAlignment w:val="center"/>
              <w:rPr>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6167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697D86C9">
            <w:pPr>
              <w:keepNext w:val="0"/>
              <w:keepLines w:val="0"/>
              <w:widowControl/>
              <w:suppressLineNumbers w:val="0"/>
              <w:shd w:val="clear"/>
              <w:jc w:val="center"/>
              <w:textAlignment w:val="center"/>
              <w:rPr>
                <w:color w:val="auto"/>
                <w:highlight w:val="none"/>
                <w:vertAlign w:val="baseline"/>
              </w:rPr>
            </w:pPr>
            <w:r>
              <w:rPr>
                <w:rFonts w:hint="eastAsia" w:ascii="Times New Roman" w:hAnsi="Times New Roman" w:cs="Times New Roman"/>
                <w:i w:val="0"/>
                <w:iCs w:val="0"/>
                <w:color w:val="auto"/>
                <w:kern w:val="0"/>
                <w:sz w:val="21"/>
                <w:szCs w:val="21"/>
                <w:highlight w:val="none"/>
                <w:u w:val="none"/>
                <w:lang w:val="en-US" w:eastAsia="zh-CN" w:bidi="ar"/>
              </w:rPr>
              <w:t>1</w:t>
            </w:r>
          </w:p>
        </w:tc>
        <w:tc>
          <w:tcPr>
            <w:tcW w:w="1339" w:type="dxa"/>
            <w:vMerge w:val="restart"/>
            <w:noWrap w:val="0"/>
            <w:vAlign w:val="center"/>
          </w:tcPr>
          <w:p w14:paraId="77024A18">
            <w:pPr>
              <w:keepNext w:val="0"/>
              <w:keepLines w:val="0"/>
              <w:widowControl/>
              <w:suppressLineNumbers w:val="0"/>
              <w:shd w:val="clear"/>
              <w:jc w:val="center"/>
              <w:textAlignment w:val="center"/>
              <w:rPr>
                <w:color w:val="auto"/>
                <w:sz w:val="21"/>
                <w:szCs w:val="21"/>
                <w:highlight w:val="none"/>
                <w:vertAlign w:val="baseline"/>
              </w:rPr>
            </w:pPr>
            <w:r>
              <w:rPr>
                <w:rFonts w:hint="default" w:ascii="Times New Roman" w:hAnsi="Times New Roman" w:cs="Times New Roman"/>
                <w:i w:val="0"/>
                <w:iCs w:val="0"/>
                <w:color w:val="auto"/>
                <w:sz w:val="21"/>
                <w:szCs w:val="21"/>
                <w:highlight w:val="none"/>
                <w:u w:val="none"/>
                <w:lang w:eastAsia="zh-CN"/>
              </w:rPr>
              <w:t>科技活动</w:t>
            </w:r>
          </w:p>
        </w:tc>
        <w:tc>
          <w:tcPr>
            <w:tcW w:w="2033" w:type="dxa"/>
            <w:noWrap w:val="0"/>
            <w:vAlign w:val="center"/>
          </w:tcPr>
          <w:p w14:paraId="05A608E0">
            <w:pPr>
              <w:keepNext w:val="0"/>
              <w:keepLines w:val="0"/>
              <w:widowControl/>
              <w:suppressLineNumbers w:val="0"/>
              <w:shd w:val="clear"/>
              <w:spacing w:line="300" w:lineRule="exact"/>
              <w:jc w:val="center"/>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产学研活动</w:t>
            </w:r>
          </w:p>
        </w:tc>
        <w:tc>
          <w:tcPr>
            <w:tcW w:w="7328" w:type="dxa"/>
            <w:noWrap w:val="0"/>
            <w:vAlign w:val="center"/>
          </w:tcPr>
          <w:p w14:paraId="3C2A9E90">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组织“产学研用金”等活动不少于17场，其中主办不少于6场（主办活动1分/场）。</w:t>
            </w:r>
          </w:p>
        </w:tc>
        <w:tc>
          <w:tcPr>
            <w:tcW w:w="1886" w:type="dxa"/>
            <w:noWrap w:val="0"/>
            <w:vAlign w:val="center"/>
          </w:tcPr>
          <w:p w14:paraId="6A088EE0">
            <w:pPr>
              <w:shd w:val="clear"/>
              <w:jc w:val="center"/>
              <w:rPr>
                <w:color w:val="auto"/>
                <w:sz w:val="21"/>
                <w:szCs w:val="21"/>
                <w:highlight w:val="none"/>
                <w:vertAlign w:val="baseline"/>
              </w:rPr>
            </w:pPr>
            <w:r>
              <w:rPr>
                <w:rFonts w:hint="default" w:ascii="Times New Roman" w:hAnsi="Times New Roman" w:cs="Times New Roman"/>
                <w:i w:val="0"/>
                <w:iCs w:val="0"/>
                <w:color w:val="auto"/>
                <w:kern w:val="0"/>
                <w:sz w:val="21"/>
                <w:szCs w:val="21"/>
                <w:highlight w:val="none"/>
                <w:u w:val="none"/>
                <w:lang w:val="en-US" w:eastAsia="zh-CN" w:bidi="ar"/>
              </w:rPr>
              <w:t>11.5</w:t>
            </w:r>
          </w:p>
        </w:tc>
      </w:tr>
      <w:tr w14:paraId="410C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1C717F30">
            <w:pPr>
              <w:keepNext w:val="0"/>
              <w:keepLines w:val="0"/>
              <w:widowControl/>
              <w:suppressLineNumbers w:val="0"/>
              <w:shd w:val="clear"/>
              <w:jc w:val="center"/>
              <w:textAlignment w:val="center"/>
              <w:rPr>
                <w:color w:val="auto"/>
                <w:highlight w:val="none"/>
                <w:vertAlign w:val="baseline"/>
              </w:rPr>
            </w:pPr>
            <w:r>
              <w:rPr>
                <w:rFonts w:hint="eastAsia" w:ascii="Times New Roman" w:hAnsi="Times New Roman" w:cs="Times New Roman"/>
                <w:i w:val="0"/>
                <w:iCs w:val="0"/>
                <w:color w:val="auto"/>
                <w:kern w:val="0"/>
                <w:sz w:val="21"/>
                <w:szCs w:val="21"/>
                <w:highlight w:val="none"/>
                <w:u w:val="none"/>
                <w:lang w:val="en-US" w:eastAsia="zh-CN" w:bidi="ar"/>
              </w:rPr>
              <w:t>2</w:t>
            </w:r>
          </w:p>
        </w:tc>
        <w:tc>
          <w:tcPr>
            <w:tcW w:w="1339" w:type="dxa"/>
            <w:vMerge w:val="continue"/>
            <w:noWrap w:val="0"/>
            <w:vAlign w:val="center"/>
          </w:tcPr>
          <w:p w14:paraId="6B8766C7">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74C34CD6">
            <w:pPr>
              <w:keepNext w:val="0"/>
              <w:keepLines w:val="0"/>
              <w:widowControl/>
              <w:suppressLineNumbers w:val="0"/>
              <w:shd w:val="clear"/>
              <w:spacing w:line="300" w:lineRule="exact"/>
              <w:jc w:val="center"/>
              <w:textAlignment w:val="center"/>
              <w:rPr>
                <w:color w:val="auto"/>
                <w:sz w:val="21"/>
                <w:szCs w:val="21"/>
                <w:highlight w:val="none"/>
                <w:vertAlign w:val="baseline"/>
              </w:rPr>
            </w:pPr>
            <w:r>
              <w:rPr>
                <w:rStyle w:val="27"/>
                <w:rFonts w:hint="default" w:ascii="Times New Roman" w:hAnsi="Times New Roman" w:eastAsia="宋体" w:cs="Times New Roman"/>
                <w:color w:val="auto"/>
                <w:sz w:val="21"/>
                <w:szCs w:val="21"/>
                <w:highlight w:val="none"/>
                <w:lang w:val="en-US" w:eastAsia="zh-CN" w:bidi="ar"/>
              </w:rPr>
              <w:t>仪器共享活动</w:t>
            </w:r>
          </w:p>
        </w:tc>
        <w:tc>
          <w:tcPr>
            <w:tcW w:w="7328" w:type="dxa"/>
            <w:noWrap w:val="0"/>
            <w:vAlign w:val="center"/>
          </w:tcPr>
          <w:p w14:paraId="22E5245F">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每年举办4场大仪共享推介活动，每季度开展1次。</w:t>
            </w:r>
          </w:p>
        </w:tc>
        <w:tc>
          <w:tcPr>
            <w:tcW w:w="1886" w:type="dxa"/>
            <w:noWrap w:val="0"/>
            <w:vAlign w:val="center"/>
          </w:tcPr>
          <w:p w14:paraId="0AB71E91">
            <w:pPr>
              <w:shd w:val="clear"/>
              <w:jc w:val="center"/>
              <w:rPr>
                <w:color w:val="auto"/>
                <w:sz w:val="21"/>
                <w:szCs w:val="21"/>
                <w:highlight w:val="none"/>
                <w:vertAlign w:val="baseline"/>
              </w:rPr>
            </w:pPr>
            <w:r>
              <w:rPr>
                <w:rFonts w:hint="default" w:ascii="Times New Roman" w:hAnsi="Times New Roman" w:cs="Times New Roman"/>
                <w:i w:val="0"/>
                <w:iCs w:val="0"/>
                <w:color w:val="auto"/>
                <w:kern w:val="0"/>
                <w:sz w:val="21"/>
                <w:szCs w:val="21"/>
                <w:highlight w:val="none"/>
                <w:u w:val="none"/>
                <w:lang w:val="en-US" w:eastAsia="zh-CN" w:bidi="ar"/>
              </w:rPr>
              <w:t>4</w:t>
            </w:r>
          </w:p>
        </w:tc>
      </w:tr>
      <w:tr w14:paraId="765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49B77ADF">
            <w:pPr>
              <w:keepNext w:val="0"/>
              <w:keepLines w:val="0"/>
              <w:widowControl/>
              <w:suppressLineNumbers w:val="0"/>
              <w:shd w:val="clear"/>
              <w:jc w:val="center"/>
              <w:textAlignment w:val="center"/>
              <w:rPr>
                <w:color w:val="auto"/>
                <w:highlight w:val="none"/>
                <w:vertAlign w:val="baseline"/>
              </w:rPr>
            </w:pPr>
            <w:r>
              <w:rPr>
                <w:rFonts w:hint="eastAsia" w:ascii="Times New Roman" w:hAnsi="Times New Roman" w:cs="Times New Roman"/>
                <w:i w:val="0"/>
                <w:iCs w:val="0"/>
                <w:color w:val="auto"/>
                <w:kern w:val="0"/>
                <w:sz w:val="21"/>
                <w:szCs w:val="21"/>
                <w:highlight w:val="none"/>
                <w:u w:val="none"/>
                <w:lang w:val="en-US" w:eastAsia="zh-CN" w:bidi="ar"/>
              </w:rPr>
              <w:t>3</w:t>
            </w:r>
          </w:p>
        </w:tc>
        <w:tc>
          <w:tcPr>
            <w:tcW w:w="1339" w:type="dxa"/>
            <w:vMerge w:val="continue"/>
            <w:noWrap w:val="0"/>
            <w:vAlign w:val="center"/>
          </w:tcPr>
          <w:p w14:paraId="40BF8037">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096825B0">
            <w:pPr>
              <w:keepNext w:val="0"/>
              <w:keepLines w:val="0"/>
              <w:widowControl/>
              <w:suppressLineNumbers w:val="0"/>
              <w:shd w:val="clear"/>
              <w:spacing w:line="300" w:lineRule="exact"/>
              <w:jc w:val="center"/>
              <w:textAlignment w:val="center"/>
              <w:rPr>
                <w:color w:val="auto"/>
                <w:sz w:val="21"/>
                <w:szCs w:val="21"/>
                <w:highlight w:val="none"/>
                <w:vertAlign w:val="baseline"/>
              </w:rPr>
            </w:pPr>
            <w:r>
              <w:rPr>
                <w:rFonts w:hint="default" w:ascii="Times New Roman" w:hAnsi="Times New Roman" w:cs="Times New Roman"/>
                <w:i w:val="0"/>
                <w:iCs w:val="0"/>
                <w:color w:val="auto"/>
                <w:sz w:val="21"/>
                <w:szCs w:val="21"/>
                <w:highlight w:val="none"/>
                <w:u w:val="none"/>
                <w:lang w:eastAsia="zh-CN"/>
              </w:rPr>
              <w:t>政策培训活动</w:t>
            </w:r>
          </w:p>
        </w:tc>
        <w:tc>
          <w:tcPr>
            <w:tcW w:w="7328" w:type="dxa"/>
            <w:noWrap w:val="0"/>
            <w:vAlign w:val="center"/>
          </w:tcPr>
          <w:p w14:paraId="0F18F587">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协助举办国家高新技术企业和科技型中小企业申报、R&amp;D投入提升、科技成果转化、创新券运用等相关培训4场以上。</w:t>
            </w:r>
          </w:p>
        </w:tc>
        <w:tc>
          <w:tcPr>
            <w:tcW w:w="1886" w:type="dxa"/>
            <w:noWrap w:val="0"/>
            <w:vAlign w:val="center"/>
          </w:tcPr>
          <w:p w14:paraId="0160F887">
            <w:pPr>
              <w:shd w:val="clear"/>
              <w:jc w:val="center"/>
              <w:rPr>
                <w:color w:val="auto"/>
                <w:sz w:val="21"/>
                <w:szCs w:val="21"/>
                <w:highlight w:val="none"/>
                <w:vertAlign w:val="baseline"/>
              </w:rPr>
            </w:pPr>
            <w:r>
              <w:rPr>
                <w:rFonts w:hint="default" w:ascii="Times New Roman" w:hAnsi="Times New Roman" w:cs="Times New Roman"/>
                <w:i w:val="0"/>
                <w:iCs w:val="0"/>
                <w:color w:val="auto"/>
                <w:kern w:val="0"/>
                <w:sz w:val="21"/>
                <w:szCs w:val="21"/>
                <w:highlight w:val="none"/>
                <w:u w:val="none"/>
                <w:lang w:val="en-US" w:eastAsia="zh-CN" w:bidi="ar"/>
              </w:rPr>
              <w:t>4</w:t>
            </w:r>
          </w:p>
        </w:tc>
      </w:tr>
      <w:tr w14:paraId="0BEC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27EF48BB">
            <w:pPr>
              <w:keepNext w:val="0"/>
              <w:keepLines w:val="0"/>
              <w:widowControl/>
              <w:suppressLineNumbers w:val="0"/>
              <w:shd w:val="clear"/>
              <w:jc w:val="center"/>
              <w:textAlignment w:val="center"/>
              <w:rPr>
                <w:color w:val="auto"/>
                <w:highlight w:val="none"/>
                <w:vertAlign w:val="baseline"/>
              </w:rPr>
            </w:pPr>
            <w:r>
              <w:rPr>
                <w:rFonts w:hint="eastAsia" w:ascii="Times New Roman" w:hAnsi="Times New Roman" w:cs="Times New Roman"/>
                <w:i w:val="0"/>
                <w:iCs w:val="0"/>
                <w:color w:val="auto"/>
                <w:sz w:val="21"/>
                <w:szCs w:val="21"/>
                <w:highlight w:val="none"/>
                <w:u w:val="none"/>
                <w:lang w:val="en-US" w:eastAsia="zh-CN"/>
              </w:rPr>
              <w:t>4</w:t>
            </w:r>
          </w:p>
        </w:tc>
        <w:tc>
          <w:tcPr>
            <w:tcW w:w="1339" w:type="dxa"/>
            <w:vMerge w:val="restart"/>
            <w:noWrap w:val="0"/>
            <w:vAlign w:val="center"/>
          </w:tcPr>
          <w:p w14:paraId="76D4E054">
            <w:pPr>
              <w:keepNext w:val="0"/>
              <w:keepLines w:val="0"/>
              <w:widowControl/>
              <w:suppressLineNumbers w:val="0"/>
              <w:shd w:val="clear"/>
              <w:jc w:val="center"/>
              <w:textAlignment w:val="center"/>
              <w:rPr>
                <w:color w:val="auto"/>
                <w:sz w:val="21"/>
                <w:szCs w:val="21"/>
                <w:highlight w:val="none"/>
                <w:vertAlign w:val="baseline"/>
              </w:rPr>
            </w:pPr>
            <w:r>
              <w:rPr>
                <w:rFonts w:hint="default" w:ascii="Times New Roman" w:hAnsi="Times New Roman" w:eastAsia="宋体" w:cs="Times New Roman"/>
                <w:i w:val="0"/>
                <w:iCs w:val="0"/>
                <w:color w:val="auto"/>
                <w:sz w:val="21"/>
                <w:szCs w:val="21"/>
                <w:highlight w:val="none"/>
                <w:u w:val="none"/>
                <w:lang w:eastAsia="zh-CN"/>
              </w:rPr>
              <w:t>技术转移与成果转化</w:t>
            </w:r>
          </w:p>
        </w:tc>
        <w:tc>
          <w:tcPr>
            <w:tcW w:w="2033" w:type="dxa"/>
            <w:noWrap w:val="0"/>
            <w:vAlign w:val="center"/>
          </w:tcPr>
          <w:p w14:paraId="5DECA65C">
            <w:pPr>
              <w:keepNext w:val="0"/>
              <w:keepLines w:val="0"/>
              <w:widowControl/>
              <w:suppressLineNumbers w:val="0"/>
              <w:shd w:val="clear"/>
              <w:spacing w:line="300" w:lineRule="exact"/>
              <w:jc w:val="center"/>
              <w:textAlignment w:val="center"/>
              <w:rPr>
                <w:color w:val="auto"/>
                <w:sz w:val="21"/>
                <w:szCs w:val="21"/>
                <w:highlight w:val="none"/>
                <w:vertAlign w:val="baseline"/>
              </w:rPr>
            </w:pPr>
            <w:r>
              <w:rPr>
                <w:rFonts w:hint="default" w:ascii="Times New Roman" w:hAnsi="Times New Roman" w:eastAsia="宋体" w:cs="Times New Roman"/>
                <w:i w:val="0"/>
                <w:iCs w:val="0"/>
                <w:color w:val="auto"/>
                <w:sz w:val="21"/>
                <w:szCs w:val="21"/>
                <w:highlight w:val="none"/>
                <w:u w:val="none"/>
                <w:lang w:eastAsia="zh-CN"/>
              </w:rPr>
              <w:t>技术合同登记</w:t>
            </w:r>
          </w:p>
        </w:tc>
        <w:tc>
          <w:tcPr>
            <w:tcW w:w="7328" w:type="dxa"/>
            <w:noWrap w:val="0"/>
            <w:vAlign w:val="center"/>
          </w:tcPr>
          <w:p w14:paraId="058C204A">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协助完成</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下达的市本级年度技术交易指标任务。</w:t>
            </w:r>
          </w:p>
        </w:tc>
        <w:tc>
          <w:tcPr>
            <w:tcW w:w="1886" w:type="dxa"/>
            <w:noWrap w:val="0"/>
            <w:vAlign w:val="center"/>
          </w:tcPr>
          <w:p w14:paraId="72710481">
            <w:pPr>
              <w:shd w:val="clear"/>
              <w:jc w:val="center"/>
              <w:rPr>
                <w:color w:val="auto"/>
                <w:sz w:val="21"/>
                <w:szCs w:val="21"/>
                <w:highlight w:val="none"/>
                <w:vertAlign w:val="baseline"/>
              </w:rPr>
            </w:pPr>
            <w:r>
              <w:rPr>
                <w:rFonts w:hint="default" w:ascii="Times New Roman" w:hAnsi="Times New Roman" w:cs="Times New Roman"/>
                <w:i w:val="0"/>
                <w:iCs w:val="0"/>
                <w:color w:val="auto"/>
                <w:kern w:val="2"/>
                <w:sz w:val="21"/>
                <w:szCs w:val="21"/>
                <w:highlight w:val="none"/>
                <w:u w:val="none"/>
                <w:lang w:val="en-US" w:eastAsia="zh-CN" w:bidi="ar-SA"/>
              </w:rPr>
              <w:t>3</w:t>
            </w:r>
          </w:p>
        </w:tc>
      </w:tr>
      <w:tr w14:paraId="19CC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noWrap w:val="0"/>
            <w:vAlign w:val="center"/>
          </w:tcPr>
          <w:p w14:paraId="76D9A22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339" w:type="dxa"/>
            <w:vMerge w:val="continue"/>
            <w:noWrap w:val="0"/>
            <w:vAlign w:val="center"/>
          </w:tcPr>
          <w:p w14:paraId="2C1ACA45">
            <w:pPr>
              <w:shd w:val="clear"/>
              <w:jc w:val="center"/>
              <w:rPr>
                <w:color w:val="auto"/>
                <w:sz w:val="21"/>
                <w:szCs w:val="21"/>
                <w:highlight w:val="none"/>
                <w:vertAlign w:val="baseline"/>
              </w:rPr>
            </w:pPr>
          </w:p>
        </w:tc>
        <w:tc>
          <w:tcPr>
            <w:tcW w:w="2033" w:type="dxa"/>
            <w:noWrap w:val="0"/>
            <w:vAlign w:val="center"/>
          </w:tcPr>
          <w:p w14:paraId="284DE367">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成果拍卖</w:t>
            </w:r>
          </w:p>
        </w:tc>
        <w:tc>
          <w:tcPr>
            <w:tcW w:w="7328" w:type="dxa"/>
            <w:noWrap w:val="0"/>
            <w:vAlign w:val="center"/>
          </w:tcPr>
          <w:p w14:paraId="15D88935">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组织20项科技成果（需求）开展线上或线下竞价拍卖并促成技术交易，视高能级科创平台成果数量及时组织拍卖活动。</w:t>
            </w:r>
          </w:p>
        </w:tc>
        <w:tc>
          <w:tcPr>
            <w:tcW w:w="1886" w:type="dxa"/>
            <w:noWrap w:val="0"/>
            <w:vAlign w:val="center"/>
          </w:tcPr>
          <w:p w14:paraId="501ED0A2">
            <w:pPr>
              <w:keepNext w:val="0"/>
              <w:keepLines w:val="0"/>
              <w:widowControl/>
              <w:suppressLineNumbers w:val="0"/>
              <w:shd w:val="clear"/>
              <w:jc w:val="center"/>
              <w:textAlignment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5</w:t>
            </w:r>
          </w:p>
        </w:tc>
      </w:tr>
      <w:tr w14:paraId="77EC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67BB7C1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6</w:t>
            </w:r>
          </w:p>
        </w:tc>
        <w:tc>
          <w:tcPr>
            <w:tcW w:w="1339" w:type="dxa"/>
            <w:vMerge w:val="continue"/>
            <w:noWrap w:val="0"/>
            <w:vAlign w:val="center"/>
          </w:tcPr>
          <w:p w14:paraId="66CC7F82">
            <w:pPr>
              <w:shd w:val="clear"/>
              <w:jc w:val="center"/>
              <w:rPr>
                <w:color w:val="auto"/>
                <w:sz w:val="21"/>
                <w:szCs w:val="21"/>
                <w:highlight w:val="none"/>
                <w:vertAlign w:val="baseline"/>
              </w:rPr>
            </w:pPr>
          </w:p>
        </w:tc>
        <w:tc>
          <w:tcPr>
            <w:tcW w:w="2033" w:type="dxa"/>
            <w:noWrap w:val="0"/>
            <w:vAlign w:val="center"/>
          </w:tcPr>
          <w:p w14:paraId="71756BE4">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成果发布</w:t>
            </w:r>
          </w:p>
        </w:tc>
        <w:tc>
          <w:tcPr>
            <w:tcW w:w="7328" w:type="dxa"/>
            <w:noWrap w:val="0"/>
            <w:vAlign w:val="center"/>
          </w:tcPr>
          <w:p w14:paraId="12FD2AA3">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发布科技成果不少于350个。</w:t>
            </w:r>
          </w:p>
        </w:tc>
        <w:tc>
          <w:tcPr>
            <w:tcW w:w="1886" w:type="dxa"/>
            <w:noWrap w:val="0"/>
            <w:vAlign w:val="center"/>
          </w:tcPr>
          <w:p w14:paraId="532B3A03">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3.5</w:t>
            </w:r>
          </w:p>
        </w:tc>
      </w:tr>
      <w:tr w14:paraId="35BE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0D34189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1339" w:type="dxa"/>
            <w:vMerge w:val="continue"/>
            <w:noWrap w:val="0"/>
            <w:vAlign w:val="center"/>
          </w:tcPr>
          <w:p w14:paraId="4E395CA4">
            <w:pPr>
              <w:shd w:val="clear"/>
              <w:jc w:val="center"/>
              <w:rPr>
                <w:color w:val="auto"/>
                <w:sz w:val="21"/>
                <w:szCs w:val="21"/>
                <w:highlight w:val="none"/>
                <w:vertAlign w:val="baseline"/>
              </w:rPr>
            </w:pPr>
          </w:p>
        </w:tc>
        <w:tc>
          <w:tcPr>
            <w:tcW w:w="2033" w:type="dxa"/>
            <w:noWrap w:val="0"/>
            <w:vAlign w:val="center"/>
          </w:tcPr>
          <w:p w14:paraId="2E37C3B3">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成果转化</w:t>
            </w:r>
          </w:p>
        </w:tc>
        <w:tc>
          <w:tcPr>
            <w:tcW w:w="7328" w:type="dxa"/>
            <w:noWrap w:val="0"/>
            <w:vAlign w:val="center"/>
          </w:tcPr>
          <w:p w14:paraId="5CC2FD75">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每年促成</w:t>
            </w:r>
            <w:r>
              <w:rPr>
                <w:rStyle w:val="27"/>
                <w:rFonts w:hint="eastAsia" w:ascii="Times New Roman" w:hAnsi="Times New Roman" w:eastAsia="宋体" w:cs="Times New Roman"/>
                <w:color w:val="auto"/>
                <w:sz w:val="21"/>
                <w:szCs w:val="21"/>
                <w:highlight w:val="none"/>
                <w:lang w:val="en-US" w:eastAsia="zh-CN" w:bidi="ar"/>
              </w:rPr>
              <w:t>科创平台或企业或高层次人才项目成果转化</w:t>
            </w:r>
            <w:r>
              <w:rPr>
                <w:rStyle w:val="27"/>
                <w:rFonts w:hint="default" w:ascii="Times New Roman" w:hAnsi="Times New Roman" w:eastAsia="宋体" w:cs="Times New Roman"/>
                <w:color w:val="auto"/>
                <w:sz w:val="21"/>
                <w:szCs w:val="21"/>
                <w:highlight w:val="none"/>
                <w:lang w:val="en-US" w:eastAsia="zh-CN" w:bidi="ar"/>
              </w:rPr>
              <w:t>不少于10个（3分），其中以创办企业形式转化成果不少于3个（3分）。</w:t>
            </w:r>
          </w:p>
        </w:tc>
        <w:tc>
          <w:tcPr>
            <w:tcW w:w="1886" w:type="dxa"/>
            <w:noWrap w:val="0"/>
            <w:vAlign w:val="center"/>
          </w:tcPr>
          <w:p w14:paraId="205DC9F1">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6</w:t>
            </w:r>
          </w:p>
        </w:tc>
      </w:tr>
      <w:tr w14:paraId="65F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2A161E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8</w:t>
            </w:r>
          </w:p>
        </w:tc>
        <w:tc>
          <w:tcPr>
            <w:tcW w:w="1339" w:type="dxa"/>
            <w:vMerge w:val="restart"/>
            <w:noWrap w:val="0"/>
            <w:vAlign w:val="center"/>
          </w:tcPr>
          <w:p w14:paraId="61EEBC4C">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eastAsia="zh-CN"/>
              </w:rPr>
            </w:pPr>
          </w:p>
          <w:p w14:paraId="400B30FD">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eastAsia="zh-CN"/>
              </w:rPr>
            </w:pPr>
          </w:p>
          <w:p w14:paraId="696A1574">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科技型企业培育服务</w:t>
            </w:r>
          </w:p>
          <w:p w14:paraId="11BBFCDD">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eastAsia="zh-CN"/>
              </w:rPr>
            </w:pPr>
          </w:p>
          <w:p w14:paraId="59500335">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5939333B">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技术难题</w:t>
            </w:r>
          </w:p>
        </w:tc>
        <w:tc>
          <w:tcPr>
            <w:tcW w:w="7328" w:type="dxa"/>
            <w:noWrap w:val="0"/>
            <w:vAlign w:val="center"/>
          </w:tcPr>
          <w:p w14:paraId="6E00FECC">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收集创新主体技术难题不少于50个。</w:t>
            </w:r>
          </w:p>
        </w:tc>
        <w:tc>
          <w:tcPr>
            <w:tcW w:w="1886" w:type="dxa"/>
            <w:noWrap w:val="0"/>
            <w:vAlign w:val="center"/>
          </w:tcPr>
          <w:p w14:paraId="1FDD5986">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5</w:t>
            </w:r>
          </w:p>
        </w:tc>
      </w:tr>
      <w:tr w14:paraId="55B4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3F489E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9</w:t>
            </w:r>
          </w:p>
        </w:tc>
        <w:tc>
          <w:tcPr>
            <w:tcW w:w="1339" w:type="dxa"/>
            <w:vMerge w:val="continue"/>
            <w:noWrap w:val="0"/>
            <w:vAlign w:val="center"/>
          </w:tcPr>
          <w:p w14:paraId="5F1EDBD9">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1FF53CB2">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企业走访服务</w:t>
            </w:r>
          </w:p>
        </w:tc>
        <w:tc>
          <w:tcPr>
            <w:tcW w:w="7328" w:type="dxa"/>
            <w:noWrap w:val="0"/>
            <w:vAlign w:val="center"/>
          </w:tcPr>
          <w:p w14:paraId="07DAABFD">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组织“助企服务”走访对接交流至少300人次或100家次，开展技术难题摸排、科技金融服务、申报政策宣讲等工作。</w:t>
            </w:r>
          </w:p>
        </w:tc>
        <w:tc>
          <w:tcPr>
            <w:tcW w:w="1886" w:type="dxa"/>
            <w:noWrap w:val="0"/>
            <w:vAlign w:val="center"/>
          </w:tcPr>
          <w:p w14:paraId="2AE5FF2B">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5</w:t>
            </w:r>
          </w:p>
        </w:tc>
      </w:tr>
      <w:tr w14:paraId="2E13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4E06339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10</w:t>
            </w:r>
          </w:p>
        </w:tc>
        <w:tc>
          <w:tcPr>
            <w:tcW w:w="1339" w:type="dxa"/>
            <w:vMerge w:val="continue"/>
            <w:noWrap w:val="0"/>
            <w:vAlign w:val="center"/>
          </w:tcPr>
          <w:p w14:paraId="20D8428A">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2FE8A44C">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企业梯度培育</w:t>
            </w:r>
          </w:p>
        </w:tc>
        <w:tc>
          <w:tcPr>
            <w:tcW w:w="7328" w:type="dxa"/>
            <w:noWrap w:val="0"/>
            <w:vAlign w:val="center"/>
          </w:tcPr>
          <w:p w14:paraId="528E7B64">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根据</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要求，协助建立科技型企业梯度培育库。</w:t>
            </w:r>
          </w:p>
        </w:tc>
        <w:tc>
          <w:tcPr>
            <w:tcW w:w="1886" w:type="dxa"/>
            <w:noWrap w:val="0"/>
            <w:vAlign w:val="center"/>
          </w:tcPr>
          <w:p w14:paraId="69A87929">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2.5</w:t>
            </w:r>
          </w:p>
        </w:tc>
      </w:tr>
      <w:tr w14:paraId="4A62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7D6FD60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11</w:t>
            </w:r>
          </w:p>
        </w:tc>
        <w:tc>
          <w:tcPr>
            <w:tcW w:w="1339" w:type="dxa"/>
            <w:vMerge w:val="continue"/>
            <w:noWrap w:val="0"/>
            <w:vAlign w:val="center"/>
          </w:tcPr>
          <w:p w14:paraId="7717CE25">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21B2CEFF">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政策咨询</w:t>
            </w:r>
          </w:p>
        </w:tc>
        <w:tc>
          <w:tcPr>
            <w:tcW w:w="7328" w:type="dxa"/>
            <w:noWrap w:val="0"/>
            <w:vAlign w:val="center"/>
          </w:tcPr>
          <w:p w14:paraId="21993288">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设置企业服务热线，协助</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相关业务处室为企业提供政策解答。每收到企业有效投诉1起扣1分，扣完为止。</w:t>
            </w:r>
          </w:p>
        </w:tc>
        <w:tc>
          <w:tcPr>
            <w:tcW w:w="1886" w:type="dxa"/>
            <w:noWrap w:val="0"/>
            <w:vAlign w:val="center"/>
          </w:tcPr>
          <w:p w14:paraId="27BF7A64">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3</w:t>
            </w:r>
          </w:p>
        </w:tc>
      </w:tr>
      <w:tr w14:paraId="6EE1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3CB90AA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12</w:t>
            </w:r>
          </w:p>
        </w:tc>
        <w:tc>
          <w:tcPr>
            <w:tcW w:w="1339" w:type="dxa"/>
            <w:vMerge w:val="restart"/>
            <w:noWrap w:val="0"/>
            <w:vAlign w:val="center"/>
          </w:tcPr>
          <w:p w14:paraId="46A542FE">
            <w:pPr>
              <w:keepNext w:val="0"/>
              <w:keepLines w:val="0"/>
              <w:widowControl/>
              <w:suppressLineNumbers w:val="0"/>
              <w:shd w:val="clear"/>
              <w:jc w:val="center"/>
              <w:textAlignment w:val="center"/>
              <w:rPr>
                <w:color w:val="auto"/>
                <w:sz w:val="21"/>
                <w:szCs w:val="21"/>
                <w:highlight w:val="none"/>
                <w:vertAlign w:val="baseline"/>
              </w:rPr>
            </w:pPr>
            <w:r>
              <w:rPr>
                <w:rFonts w:hint="default" w:ascii="Times New Roman" w:hAnsi="Times New Roman" w:cs="Times New Roman"/>
                <w:i w:val="0"/>
                <w:iCs w:val="0"/>
                <w:color w:val="auto"/>
                <w:sz w:val="21"/>
                <w:szCs w:val="21"/>
                <w:highlight w:val="none"/>
                <w:u w:val="none"/>
                <w:lang w:eastAsia="zh-CN"/>
              </w:rPr>
              <w:t>科创</w:t>
            </w:r>
            <w:r>
              <w:rPr>
                <w:rFonts w:hint="eastAsia" w:ascii="Times New Roman" w:hAnsi="Times New Roman" w:cs="Times New Roman"/>
                <w:i w:val="0"/>
                <w:iCs w:val="0"/>
                <w:color w:val="auto"/>
                <w:sz w:val="21"/>
                <w:szCs w:val="21"/>
                <w:highlight w:val="none"/>
                <w:u w:val="none"/>
                <w:lang w:eastAsia="zh-CN"/>
              </w:rPr>
              <w:t>平台和科技</w:t>
            </w:r>
            <w:r>
              <w:rPr>
                <w:rFonts w:hint="default" w:ascii="Times New Roman" w:hAnsi="Times New Roman" w:cs="Times New Roman"/>
                <w:i w:val="0"/>
                <w:iCs w:val="0"/>
                <w:color w:val="auto"/>
                <w:sz w:val="21"/>
                <w:szCs w:val="21"/>
                <w:highlight w:val="none"/>
                <w:u w:val="none"/>
                <w:lang w:eastAsia="zh-CN"/>
              </w:rPr>
              <w:t>项目服务</w:t>
            </w:r>
          </w:p>
        </w:tc>
        <w:tc>
          <w:tcPr>
            <w:tcW w:w="2033" w:type="dxa"/>
            <w:noWrap w:val="0"/>
            <w:vAlign w:val="center"/>
          </w:tcPr>
          <w:p w14:paraId="58709FBF">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概念验证中心申报</w:t>
            </w:r>
          </w:p>
        </w:tc>
        <w:tc>
          <w:tcPr>
            <w:tcW w:w="7328" w:type="dxa"/>
            <w:noWrap w:val="0"/>
            <w:vAlign w:val="center"/>
          </w:tcPr>
          <w:p w14:paraId="2B19CBFC">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协助创新主体申报市级及以上概念验证中心。</w:t>
            </w:r>
          </w:p>
        </w:tc>
        <w:tc>
          <w:tcPr>
            <w:tcW w:w="1886" w:type="dxa"/>
            <w:noWrap w:val="0"/>
            <w:vAlign w:val="center"/>
          </w:tcPr>
          <w:p w14:paraId="5260DF0C">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0.5</w:t>
            </w:r>
          </w:p>
        </w:tc>
      </w:tr>
      <w:tr w14:paraId="048B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5F9C260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13</w:t>
            </w:r>
          </w:p>
        </w:tc>
        <w:tc>
          <w:tcPr>
            <w:tcW w:w="1339" w:type="dxa"/>
            <w:vMerge w:val="continue"/>
            <w:noWrap w:val="0"/>
            <w:vAlign w:val="center"/>
          </w:tcPr>
          <w:p w14:paraId="7345F293">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1C42F9B4">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重点实验室（研究院）申报</w:t>
            </w:r>
          </w:p>
        </w:tc>
        <w:tc>
          <w:tcPr>
            <w:tcW w:w="7328" w:type="dxa"/>
            <w:noWrap w:val="0"/>
            <w:vAlign w:val="center"/>
          </w:tcPr>
          <w:p w14:paraId="7DCE89FA">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协助创新主体申报市级及以上重点实验室（研究院）。</w:t>
            </w:r>
          </w:p>
        </w:tc>
        <w:tc>
          <w:tcPr>
            <w:tcW w:w="1886" w:type="dxa"/>
            <w:noWrap w:val="0"/>
            <w:vAlign w:val="center"/>
          </w:tcPr>
          <w:p w14:paraId="5506CB65">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0.5</w:t>
            </w:r>
          </w:p>
        </w:tc>
      </w:tr>
      <w:tr w14:paraId="3AB9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18D97F1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14</w:t>
            </w:r>
          </w:p>
        </w:tc>
        <w:tc>
          <w:tcPr>
            <w:tcW w:w="1339" w:type="dxa"/>
            <w:vMerge w:val="continue"/>
            <w:noWrap w:val="0"/>
            <w:vAlign w:val="center"/>
          </w:tcPr>
          <w:p w14:paraId="6BFD4F03">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3660381B">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研发中心申报</w:t>
            </w:r>
          </w:p>
        </w:tc>
        <w:tc>
          <w:tcPr>
            <w:tcW w:w="7328" w:type="dxa"/>
            <w:noWrap w:val="0"/>
            <w:vAlign w:val="center"/>
          </w:tcPr>
          <w:p w14:paraId="1B418CA2">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协助创新主体申报市级及以上研发中心。</w:t>
            </w:r>
          </w:p>
        </w:tc>
        <w:tc>
          <w:tcPr>
            <w:tcW w:w="1886" w:type="dxa"/>
            <w:noWrap w:val="0"/>
            <w:vAlign w:val="center"/>
          </w:tcPr>
          <w:p w14:paraId="1C0E52F2">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0.5</w:t>
            </w:r>
          </w:p>
        </w:tc>
      </w:tr>
      <w:tr w14:paraId="742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2" w:type="dxa"/>
            <w:noWrap w:val="0"/>
            <w:vAlign w:val="center"/>
          </w:tcPr>
          <w:p w14:paraId="189A556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15</w:t>
            </w:r>
          </w:p>
        </w:tc>
        <w:tc>
          <w:tcPr>
            <w:tcW w:w="1339" w:type="dxa"/>
            <w:vMerge w:val="continue"/>
            <w:noWrap w:val="0"/>
            <w:vAlign w:val="center"/>
          </w:tcPr>
          <w:p w14:paraId="6BFFCFF7">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02FF0406">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cs="Times New Roman"/>
                <w:i w:val="0"/>
                <w:iCs w:val="0"/>
                <w:color w:val="auto"/>
                <w:sz w:val="21"/>
                <w:szCs w:val="21"/>
                <w:highlight w:val="none"/>
                <w:u w:val="none"/>
                <w:lang w:eastAsia="zh-CN"/>
              </w:rPr>
              <w:t>企业申报</w:t>
            </w:r>
          </w:p>
        </w:tc>
        <w:tc>
          <w:tcPr>
            <w:tcW w:w="7328" w:type="dxa"/>
            <w:noWrap w:val="0"/>
            <w:vAlign w:val="center"/>
          </w:tcPr>
          <w:p w14:paraId="4D0DB48B">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协助做好企业申报科技型中小企业、高新技术企业等国家级、省级、市级相关荣誉、资质、项目等工作。</w:t>
            </w:r>
          </w:p>
        </w:tc>
        <w:tc>
          <w:tcPr>
            <w:tcW w:w="1886" w:type="dxa"/>
            <w:noWrap w:val="0"/>
            <w:vAlign w:val="center"/>
          </w:tcPr>
          <w:p w14:paraId="79704DEC">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1</w:t>
            </w:r>
          </w:p>
        </w:tc>
      </w:tr>
      <w:tr w14:paraId="0987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2D735B2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16</w:t>
            </w:r>
          </w:p>
        </w:tc>
        <w:tc>
          <w:tcPr>
            <w:tcW w:w="1339" w:type="dxa"/>
            <w:vMerge w:val="continue"/>
            <w:noWrap w:val="0"/>
            <w:vAlign w:val="center"/>
          </w:tcPr>
          <w:p w14:paraId="7F35BA20">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37F80CFB">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项目对接</w:t>
            </w:r>
          </w:p>
        </w:tc>
        <w:tc>
          <w:tcPr>
            <w:tcW w:w="7328" w:type="dxa"/>
            <w:noWrap w:val="0"/>
            <w:vAlign w:val="center"/>
          </w:tcPr>
          <w:p w14:paraId="2263A56E">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同金融机构、人保公司等服务主体，为创新主体宣传推介“科创保”“科创担”“科创贷”“衢创投”等科技金融产品，协助高能级科创平台或高层次人才项目对接基金或金融机构或场景（场地）等不少于10个。</w:t>
            </w:r>
          </w:p>
        </w:tc>
        <w:tc>
          <w:tcPr>
            <w:tcW w:w="1886" w:type="dxa"/>
            <w:noWrap w:val="0"/>
            <w:vAlign w:val="center"/>
          </w:tcPr>
          <w:p w14:paraId="4B5F8238">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4</w:t>
            </w:r>
          </w:p>
        </w:tc>
      </w:tr>
      <w:tr w14:paraId="64A5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noWrap w:val="0"/>
            <w:vAlign w:val="center"/>
          </w:tcPr>
          <w:p w14:paraId="6798B1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17</w:t>
            </w:r>
          </w:p>
        </w:tc>
        <w:tc>
          <w:tcPr>
            <w:tcW w:w="1339" w:type="dxa"/>
            <w:vMerge w:val="continue"/>
            <w:noWrap w:val="0"/>
            <w:vAlign w:val="center"/>
          </w:tcPr>
          <w:p w14:paraId="38A492FE">
            <w:pPr>
              <w:keepNext w:val="0"/>
              <w:keepLines w:val="0"/>
              <w:widowControl/>
              <w:suppressLineNumbers w:val="0"/>
              <w:shd w:val="clear"/>
              <w:jc w:val="center"/>
              <w:textAlignment w:val="center"/>
              <w:rPr>
                <w:color w:val="auto"/>
                <w:sz w:val="21"/>
                <w:szCs w:val="21"/>
                <w:highlight w:val="none"/>
                <w:vertAlign w:val="baseline"/>
              </w:rPr>
            </w:pPr>
          </w:p>
        </w:tc>
        <w:tc>
          <w:tcPr>
            <w:tcW w:w="2033" w:type="dxa"/>
            <w:noWrap w:val="0"/>
            <w:vAlign w:val="center"/>
          </w:tcPr>
          <w:p w14:paraId="1D5BD9E0">
            <w:pPr>
              <w:keepNext w:val="0"/>
              <w:keepLines w:val="0"/>
              <w:widowControl/>
              <w:suppressLineNumbers w:val="0"/>
              <w:shd w:val="clear"/>
              <w:spacing w:line="3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项目辅导</w:t>
            </w:r>
          </w:p>
        </w:tc>
        <w:tc>
          <w:tcPr>
            <w:tcW w:w="7328" w:type="dxa"/>
            <w:noWrap w:val="0"/>
            <w:vAlign w:val="center"/>
          </w:tcPr>
          <w:p w14:paraId="45CE2DB3">
            <w:pPr>
              <w:keepNext w:val="0"/>
              <w:keepLines w:val="0"/>
              <w:widowControl/>
              <w:suppressLineNumbers w:val="0"/>
              <w:shd w:val="clear"/>
              <w:spacing w:line="300" w:lineRule="exact"/>
              <w:jc w:val="left"/>
              <w:textAlignment w:val="center"/>
              <w:rPr>
                <w:rStyle w:val="27"/>
                <w:rFonts w:hint="eastAsia"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完成创新挑战赛等相关类别项目申报工作，其中申报数量不少于3个（3分），入围省级大赛不少于1个（1分）。</w:t>
            </w:r>
          </w:p>
        </w:tc>
        <w:tc>
          <w:tcPr>
            <w:tcW w:w="1886" w:type="dxa"/>
            <w:noWrap w:val="0"/>
            <w:vAlign w:val="center"/>
          </w:tcPr>
          <w:p w14:paraId="43AF0B59">
            <w:pPr>
              <w:shd w:val="clear"/>
              <w:jc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4</w:t>
            </w:r>
          </w:p>
        </w:tc>
      </w:tr>
      <w:tr w14:paraId="6FE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360B87B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18</w:t>
            </w:r>
          </w:p>
        </w:tc>
        <w:tc>
          <w:tcPr>
            <w:tcW w:w="1339" w:type="dxa"/>
            <w:vMerge w:val="restart"/>
            <w:noWrap w:val="0"/>
            <w:vAlign w:val="center"/>
          </w:tcPr>
          <w:p w14:paraId="2EA21584">
            <w:pPr>
              <w:keepNext w:val="0"/>
              <w:keepLines w:val="0"/>
              <w:widowControl/>
              <w:suppressLineNumbers w:val="0"/>
              <w:shd w:val="clear"/>
              <w:jc w:val="center"/>
              <w:textAlignment w:val="center"/>
              <w:rPr>
                <w:rFonts w:hint="eastAsia" w:ascii="宋体" w:hAnsi="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eastAsia="zh-CN"/>
              </w:rPr>
              <w:t>科技人才服务</w:t>
            </w:r>
          </w:p>
        </w:tc>
        <w:tc>
          <w:tcPr>
            <w:tcW w:w="2033" w:type="dxa"/>
            <w:noWrap w:val="0"/>
            <w:vAlign w:val="center"/>
          </w:tcPr>
          <w:p w14:paraId="3BA6AC6C">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人才申报</w:t>
            </w:r>
          </w:p>
        </w:tc>
        <w:tc>
          <w:tcPr>
            <w:tcW w:w="7328" w:type="dxa"/>
            <w:noWrap w:val="0"/>
            <w:vAlign w:val="center"/>
          </w:tcPr>
          <w:p w14:paraId="74C3EE6B">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协助国家级或省级人才工程有效申报，完成至少3名国家级或省级人才</w:t>
            </w:r>
            <w:r>
              <w:rPr>
                <w:rStyle w:val="27"/>
                <w:rFonts w:hint="eastAsia" w:ascii="Times New Roman" w:hAnsi="Times New Roman" w:eastAsia="宋体" w:cs="Times New Roman"/>
                <w:color w:val="auto"/>
                <w:sz w:val="21"/>
                <w:szCs w:val="21"/>
                <w:highlight w:val="none"/>
                <w:lang w:val="en-US" w:eastAsia="zh-CN" w:bidi="ar"/>
              </w:rPr>
              <w:t>有效</w:t>
            </w:r>
            <w:r>
              <w:rPr>
                <w:rStyle w:val="27"/>
                <w:rFonts w:hint="default" w:ascii="Times New Roman" w:hAnsi="Times New Roman" w:eastAsia="宋体" w:cs="Times New Roman"/>
                <w:color w:val="auto"/>
                <w:sz w:val="21"/>
                <w:szCs w:val="21"/>
                <w:highlight w:val="none"/>
                <w:lang w:val="en-US" w:eastAsia="zh-CN" w:bidi="ar"/>
              </w:rPr>
              <w:t>申报。对企业提出的咨询问题给予及时解答辅导。</w:t>
            </w:r>
          </w:p>
        </w:tc>
        <w:tc>
          <w:tcPr>
            <w:tcW w:w="1886" w:type="dxa"/>
            <w:noWrap w:val="0"/>
            <w:vAlign w:val="center"/>
          </w:tcPr>
          <w:p w14:paraId="5D151567">
            <w:pPr>
              <w:shd w:val="clear"/>
              <w:jc w:val="center"/>
              <w:rPr>
                <w:color w:val="auto"/>
                <w:sz w:val="21"/>
                <w:szCs w:val="21"/>
                <w:highlight w:val="none"/>
              </w:rPr>
            </w:pPr>
            <w:r>
              <w:rPr>
                <w:rFonts w:hint="default" w:ascii="Times New Roman" w:hAnsi="Times New Roman" w:cs="Times New Roman"/>
                <w:i w:val="0"/>
                <w:iCs w:val="0"/>
                <w:color w:val="auto"/>
                <w:sz w:val="21"/>
                <w:szCs w:val="21"/>
                <w:highlight w:val="none"/>
                <w:u w:val="none"/>
                <w:lang w:val="en-US" w:eastAsia="zh-CN"/>
              </w:rPr>
              <w:t>3</w:t>
            </w:r>
          </w:p>
        </w:tc>
      </w:tr>
      <w:tr w14:paraId="6131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1AAB419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19</w:t>
            </w:r>
          </w:p>
        </w:tc>
        <w:tc>
          <w:tcPr>
            <w:tcW w:w="1339" w:type="dxa"/>
            <w:vMerge w:val="continue"/>
            <w:noWrap w:val="0"/>
            <w:vAlign w:val="center"/>
          </w:tcPr>
          <w:p w14:paraId="74E7CAF1">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33D5187A">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人才项目申报</w:t>
            </w:r>
          </w:p>
        </w:tc>
        <w:tc>
          <w:tcPr>
            <w:tcW w:w="7328" w:type="dxa"/>
            <w:noWrap w:val="0"/>
            <w:vAlign w:val="center"/>
          </w:tcPr>
          <w:p w14:paraId="1CB5FAE8">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根据</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工作需要，协助开展“南孔精英”计划培养专项科技创新领域人才项目申报或其他评审申报类工作。</w:t>
            </w:r>
          </w:p>
        </w:tc>
        <w:tc>
          <w:tcPr>
            <w:tcW w:w="1886" w:type="dxa"/>
            <w:noWrap w:val="0"/>
            <w:vAlign w:val="center"/>
          </w:tcPr>
          <w:p w14:paraId="0B50EBD6">
            <w:pPr>
              <w:shd w:val="clear"/>
              <w:jc w:val="center"/>
              <w:rPr>
                <w:color w:val="auto"/>
                <w:sz w:val="21"/>
                <w:szCs w:val="21"/>
                <w:highlight w:val="none"/>
              </w:rPr>
            </w:pPr>
            <w:r>
              <w:rPr>
                <w:rFonts w:hint="default" w:ascii="Times New Roman" w:hAnsi="Times New Roman" w:cs="Times New Roman"/>
                <w:i w:val="0"/>
                <w:iCs w:val="0"/>
                <w:color w:val="auto"/>
                <w:sz w:val="21"/>
                <w:szCs w:val="21"/>
                <w:highlight w:val="none"/>
                <w:u w:val="none"/>
                <w:lang w:val="en-US" w:eastAsia="zh-CN"/>
              </w:rPr>
              <w:t>1</w:t>
            </w:r>
          </w:p>
        </w:tc>
      </w:tr>
      <w:tr w14:paraId="7231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7EE5B24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20</w:t>
            </w:r>
          </w:p>
        </w:tc>
        <w:tc>
          <w:tcPr>
            <w:tcW w:w="1339" w:type="dxa"/>
            <w:vMerge w:val="continue"/>
            <w:noWrap w:val="0"/>
            <w:vAlign w:val="center"/>
          </w:tcPr>
          <w:p w14:paraId="64944025">
            <w:pPr>
              <w:shd w:val="clear"/>
              <w:jc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218918C3">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eastAsia="宋体" w:cs="Times New Roman"/>
                <w:i w:val="0"/>
                <w:iCs w:val="0"/>
                <w:color w:val="auto"/>
                <w:sz w:val="21"/>
                <w:szCs w:val="21"/>
                <w:highlight w:val="none"/>
                <w:u w:val="none"/>
                <w:lang w:eastAsia="zh-CN"/>
              </w:rPr>
              <w:t>人才引育</w:t>
            </w:r>
          </w:p>
        </w:tc>
        <w:tc>
          <w:tcPr>
            <w:tcW w:w="7328" w:type="dxa"/>
            <w:noWrap w:val="0"/>
            <w:vAlign w:val="center"/>
          </w:tcPr>
          <w:p w14:paraId="6CF6E767">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组织高能级科创平台外出招聘不少于2场/年。</w:t>
            </w:r>
          </w:p>
        </w:tc>
        <w:tc>
          <w:tcPr>
            <w:tcW w:w="1886" w:type="dxa"/>
            <w:noWrap w:val="0"/>
            <w:vAlign w:val="center"/>
          </w:tcPr>
          <w:p w14:paraId="10070923">
            <w:pPr>
              <w:shd w:val="clear"/>
              <w:jc w:val="center"/>
              <w:rPr>
                <w:color w:val="auto"/>
                <w:sz w:val="21"/>
                <w:szCs w:val="21"/>
                <w:highlight w:val="none"/>
              </w:rPr>
            </w:pPr>
            <w:r>
              <w:rPr>
                <w:rFonts w:hint="eastAsia" w:ascii="Times New Roman" w:hAnsi="Times New Roman" w:cs="Times New Roman"/>
                <w:i w:val="0"/>
                <w:iCs w:val="0"/>
                <w:color w:val="auto"/>
                <w:kern w:val="0"/>
                <w:sz w:val="21"/>
                <w:szCs w:val="21"/>
                <w:highlight w:val="none"/>
                <w:u w:val="none"/>
                <w:lang w:val="en-US" w:eastAsia="zh-CN" w:bidi="ar"/>
              </w:rPr>
              <w:t>4</w:t>
            </w:r>
          </w:p>
        </w:tc>
      </w:tr>
      <w:tr w14:paraId="4757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2E23A6A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21</w:t>
            </w:r>
          </w:p>
        </w:tc>
        <w:tc>
          <w:tcPr>
            <w:tcW w:w="1339" w:type="dxa"/>
            <w:vMerge w:val="continue"/>
            <w:noWrap w:val="0"/>
            <w:vAlign w:val="center"/>
          </w:tcPr>
          <w:p w14:paraId="797C6552">
            <w:pPr>
              <w:shd w:val="clear"/>
              <w:jc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4BAD24A2">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人才推介</w:t>
            </w:r>
          </w:p>
        </w:tc>
        <w:tc>
          <w:tcPr>
            <w:tcW w:w="7328" w:type="dxa"/>
            <w:noWrap w:val="0"/>
            <w:vAlign w:val="center"/>
          </w:tcPr>
          <w:p w14:paraId="46B1508D">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向各创新平台或企业推介博士学历以上人才信息至少30人次。</w:t>
            </w:r>
          </w:p>
        </w:tc>
        <w:tc>
          <w:tcPr>
            <w:tcW w:w="1886" w:type="dxa"/>
            <w:noWrap w:val="0"/>
            <w:vAlign w:val="center"/>
          </w:tcPr>
          <w:p w14:paraId="1CFA36DF">
            <w:pPr>
              <w:keepNext w:val="0"/>
              <w:keepLines w:val="0"/>
              <w:widowControl/>
              <w:suppressLineNumbers w:val="0"/>
              <w:shd w:val="clear"/>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val="en-US" w:eastAsia="zh-CN"/>
              </w:rPr>
              <w:t>3</w:t>
            </w:r>
          </w:p>
        </w:tc>
      </w:tr>
      <w:tr w14:paraId="5D9A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0DE3467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22</w:t>
            </w:r>
          </w:p>
        </w:tc>
        <w:tc>
          <w:tcPr>
            <w:tcW w:w="1339" w:type="dxa"/>
            <w:vMerge w:val="continue"/>
            <w:noWrap w:val="0"/>
            <w:vAlign w:val="center"/>
          </w:tcPr>
          <w:p w14:paraId="5ED328BE">
            <w:pPr>
              <w:shd w:val="clear"/>
              <w:jc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37F5B1B3">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技术经理人管理</w:t>
            </w:r>
          </w:p>
        </w:tc>
        <w:tc>
          <w:tcPr>
            <w:tcW w:w="7328" w:type="dxa"/>
            <w:noWrap w:val="0"/>
            <w:vAlign w:val="center"/>
          </w:tcPr>
          <w:p w14:paraId="3548AA7E">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w:t>
            </w:r>
            <w:r>
              <w:rPr>
                <w:rStyle w:val="27"/>
                <w:rFonts w:hint="eastAsia" w:ascii="Times New Roman" w:hAnsi="Times New Roman" w:eastAsia="宋体" w:cs="Times New Roman"/>
                <w:color w:val="auto"/>
                <w:sz w:val="21"/>
                <w:szCs w:val="21"/>
                <w:highlight w:val="none"/>
                <w:lang w:val="en-US" w:eastAsia="zh-CN" w:bidi="ar"/>
              </w:rPr>
              <w:t>组织开展</w:t>
            </w:r>
            <w:r>
              <w:rPr>
                <w:rStyle w:val="27"/>
                <w:rFonts w:hint="default" w:ascii="Times New Roman" w:hAnsi="Times New Roman" w:eastAsia="宋体" w:cs="Times New Roman"/>
                <w:color w:val="auto"/>
                <w:sz w:val="21"/>
                <w:szCs w:val="21"/>
                <w:highlight w:val="none"/>
                <w:lang w:val="en-US" w:eastAsia="zh-CN" w:bidi="ar"/>
              </w:rPr>
              <w:t>科技服务技术经理人</w:t>
            </w:r>
            <w:r>
              <w:rPr>
                <w:rStyle w:val="27"/>
                <w:rFonts w:hint="eastAsia" w:ascii="Times New Roman" w:hAnsi="Times New Roman" w:eastAsia="宋体" w:cs="Times New Roman"/>
                <w:color w:val="auto"/>
                <w:sz w:val="21"/>
                <w:szCs w:val="21"/>
                <w:highlight w:val="none"/>
                <w:lang w:val="en-US" w:eastAsia="zh-CN" w:bidi="ar"/>
              </w:rPr>
              <w:t>培训30人次以上</w:t>
            </w:r>
            <w:r>
              <w:rPr>
                <w:rStyle w:val="27"/>
                <w:rFonts w:hint="default" w:ascii="Times New Roman" w:hAnsi="Times New Roman" w:eastAsia="宋体" w:cs="Times New Roman"/>
                <w:color w:val="auto"/>
                <w:sz w:val="21"/>
                <w:szCs w:val="21"/>
                <w:highlight w:val="none"/>
                <w:lang w:val="en-US" w:eastAsia="zh-CN" w:bidi="ar"/>
              </w:rPr>
              <w:t>，培育一批懂技术、懂市场、懂政策的职业经理人。</w:t>
            </w:r>
          </w:p>
        </w:tc>
        <w:tc>
          <w:tcPr>
            <w:tcW w:w="1886" w:type="dxa"/>
            <w:noWrap w:val="0"/>
            <w:vAlign w:val="center"/>
          </w:tcPr>
          <w:p w14:paraId="1C3E0AC4">
            <w:pPr>
              <w:shd w:val="clear"/>
              <w:jc w:val="center"/>
              <w:rPr>
                <w:color w:val="auto"/>
                <w:sz w:val="21"/>
                <w:szCs w:val="21"/>
                <w:highlight w:val="none"/>
              </w:rPr>
            </w:pPr>
            <w:r>
              <w:rPr>
                <w:rFonts w:hint="eastAsia" w:ascii="Times New Roman" w:hAnsi="Times New Roman" w:cs="Times New Roman"/>
                <w:i w:val="0"/>
                <w:iCs w:val="0"/>
                <w:color w:val="auto"/>
                <w:kern w:val="0"/>
                <w:sz w:val="21"/>
                <w:szCs w:val="21"/>
                <w:highlight w:val="none"/>
                <w:u w:val="none"/>
                <w:lang w:val="en-US" w:eastAsia="zh-CN" w:bidi="ar"/>
              </w:rPr>
              <w:t>1</w:t>
            </w:r>
          </w:p>
        </w:tc>
      </w:tr>
      <w:tr w14:paraId="1212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noWrap w:val="0"/>
            <w:vAlign w:val="center"/>
          </w:tcPr>
          <w:p w14:paraId="5ADDF0D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23</w:t>
            </w:r>
          </w:p>
        </w:tc>
        <w:tc>
          <w:tcPr>
            <w:tcW w:w="1339" w:type="dxa"/>
            <w:vMerge w:val="restart"/>
            <w:noWrap w:val="0"/>
            <w:vAlign w:val="center"/>
          </w:tcPr>
          <w:p w14:paraId="6F1141D3">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eastAsia="zh-CN"/>
              </w:rPr>
              <w:t>科创资源培育</w:t>
            </w:r>
          </w:p>
        </w:tc>
        <w:tc>
          <w:tcPr>
            <w:tcW w:w="2033" w:type="dxa"/>
            <w:noWrap w:val="0"/>
            <w:vAlign w:val="center"/>
          </w:tcPr>
          <w:p w14:paraId="1E7953C5">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科创</w:t>
            </w:r>
            <w:r>
              <w:rPr>
                <w:rFonts w:hint="default" w:ascii="Times New Roman" w:hAnsi="Times New Roman" w:eastAsia="宋体" w:cs="Times New Roman"/>
                <w:i w:val="0"/>
                <w:iCs w:val="0"/>
                <w:color w:val="auto"/>
                <w:sz w:val="21"/>
                <w:szCs w:val="21"/>
                <w:highlight w:val="none"/>
                <w:u w:val="none"/>
                <w:lang w:eastAsia="zh-CN"/>
              </w:rPr>
              <w:t>平台服务</w:t>
            </w:r>
          </w:p>
        </w:tc>
        <w:tc>
          <w:tcPr>
            <w:tcW w:w="7328" w:type="dxa"/>
            <w:noWrap w:val="0"/>
            <w:vAlign w:val="center"/>
          </w:tcPr>
          <w:p w14:paraId="465ADD85">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通过数字化平台协助开展高能级科创平台做好日常材料归集、绩效考核等工作，减轻各科创平台材料申报负担。</w:t>
            </w:r>
          </w:p>
        </w:tc>
        <w:tc>
          <w:tcPr>
            <w:tcW w:w="1886" w:type="dxa"/>
            <w:noWrap w:val="0"/>
            <w:vAlign w:val="center"/>
          </w:tcPr>
          <w:p w14:paraId="05ECF8D2">
            <w:pPr>
              <w:shd w:val="clear"/>
              <w:jc w:val="center"/>
              <w:rPr>
                <w:color w:val="auto"/>
                <w:sz w:val="21"/>
                <w:szCs w:val="21"/>
                <w:highlight w:val="none"/>
              </w:rPr>
            </w:pPr>
            <w:r>
              <w:rPr>
                <w:rFonts w:hint="default" w:ascii="Times New Roman" w:hAnsi="Times New Roman" w:cs="Times New Roman"/>
                <w:i w:val="0"/>
                <w:iCs w:val="0"/>
                <w:color w:val="auto"/>
                <w:sz w:val="21"/>
                <w:szCs w:val="21"/>
                <w:highlight w:val="none"/>
                <w:u w:val="none"/>
                <w:lang w:val="en-US" w:eastAsia="zh-CN"/>
              </w:rPr>
              <w:t>3</w:t>
            </w:r>
          </w:p>
        </w:tc>
      </w:tr>
      <w:tr w14:paraId="5AD0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1C8BED7D">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24</w:t>
            </w:r>
          </w:p>
        </w:tc>
        <w:tc>
          <w:tcPr>
            <w:tcW w:w="1339" w:type="dxa"/>
            <w:vMerge w:val="continue"/>
            <w:noWrap w:val="0"/>
            <w:vAlign w:val="center"/>
          </w:tcPr>
          <w:p w14:paraId="0041F250">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4A4306FA">
            <w:pPr>
              <w:keepNext w:val="0"/>
              <w:keepLines w:val="0"/>
              <w:widowControl/>
              <w:suppressLineNumbers w:val="0"/>
              <w:shd w:val="clear"/>
              <w:spacing w:line="300" w:lineRule="exact"/>
              <w:jc w:val="center"/>
              <w:textAlignment w:val="center"/>
              <w:rPr>
                <w:color w:val="auto"/>
                <w:sz w:val="21"/>
                <w:szCs w:val="21"/>
                <w:highlight w:val="none"/>
              </w:rPr>
            </w:pPr>
            <w:r>
              <w:rPr>
                <w:rFonts w:hint="default" w:ascii="Times New Roman" w:hAnsi="Times New Roman" w:cs="Times New Roman"/>
                <w:i w:val="0"/>
                <w:iCs w:val="0"/>
                <w:color w:val="auto"/>
                <w:sz w:val="21"/>
                <w:szCs w:val="21"/>
                <w:highlight w:val="none"/>
                <w:u w:val="none"/>
                <w:lang w:eastAsia="zh-CN"/>
              </w:rPr>
              <w:t>创新主体集聚</w:t>
            </w:r>
          </w:p>
        </w:tc>
        <w:tc>
          <w:tcPr>
            <w:tcW w:w="7328" w:type="dxa"/>
            <w:noWrap w:val="0"/>
            <w:vAlign w:val="center"/>
          </w:tcPr>
          <w:p w14:paraId="07B0A6D2">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根据</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要求，引导衢州创新主体（企业、高校、科研院所、服务机构等）入驻指定数字化平台的数量增幅比例不低于50%。</w:t>
            </w:r>
          </w:p>
        </w:tc>
        <w:tc>
          <w:tcPr>
            <w:tcW w:w="1886" w:type="dxa"/>
            <w:noWrap w:val="0"/>
            <w:vAlign w:val="center"/>
          </w:tcPr>
          <w:p w14:paraId="46340D00">
            <w:pPr>
              <w:shd w:val="clear"/>
              <w:jc w:val="center"/>
              <w:rPr>
                <w:color w:val="auto"/>
                <w:sz w:val="21"/>
                <w:szCs w:val="21"/>
                <w:highlight w:val="none"/>
              </w:rPr>
            </w:pPr>
            <w:r>
              <w:rPr>
                <w:rFonts w:hint="default" w:ascii="Times New Roman" w:hAnsi="Times New Roman" w:cs="Times New Roman"/>
                <w:i w:val="0"/>
                <w:iCs w:val="0"/>
                <w:color w:val="auto"/>
                <w:kern w:val="0"/>
                <w:sz w:val="21"/>
                <w:szCs w:val="21"/>
                <w:highlight w:val="none"/>
                <w:u w:val="none"/>
                <w:lang w:val="en-US" w:eastAsia="zh-CN" w:bidi="ar"/>
              </w:rPr>
              <w:t>5</w:t>
            </w:r>
          </w:p>
        </w:tc>
      </w:tr>
      <w:tr w14:paraId="5E2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2" w:type="dxa"/>
            <w:noWrap w:val="0"/>
            <w:vAlign w:val="center"/>
          </w:tcPr>
          <w:p w14:paraId="7D2D0448">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25</w:t>
            </w:r>
          </w:p>
        </w:tc>
        <w:tc>
          <w:tcPr>
            <w:tcW w:w="1339" w:type="dxa"/>
            <w:vMerge w:val="continue"/>
            <w:noWrap w:val="0"/>
            <w:vAlign w:val="center"/>
          </w:tcPr>
          <w:p w14:paraId="1AAF18EC">
            <w:pPr>
              <w:shd w:val="clear"/>
              <w:jc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1DF65D30">
            <w:pPr>
              <w:keepNext w:val="0"/>
              <w:keepLines w:val="0"/>
              <w:widowControl/>
              <w:suppressLineNumbers w:val="0"/>
              <w:shd w:val="clear"/>
              <w:spacing w:line="300" w:lineRule="exact"/>
              <w:jc w:val="center"/>
              <w:textAlignment w:val="center"/>
              <w:rPr>
                <w:rFonts w:hint="default" w:ascii="Times New Roman" w:hAnsi="Times New Roman" w:cs="Times New Roman"/>
                <w:i w:val="0"/>
                <w:iCs w:val="0"/>
                <w:color w:val="auto"/>
                <w:sz w:val="21"/>
                <w:szCs w:val="21"/>
                <w:highlight w:val="none"/>
                <w:u w:val="none"/>
                <w:lang w:eastAsia="zh-CN"/>
              </w:rPr>
            </w:pPr>
            <w:r>
              <w:rPr>
                <w:rStyle w:val="28"/>
                <w:rFonts w:hint="default" w:ascii="Times New Roman" w:hAnsi="Times New Roman" w:eastAsia="宋体" w:cs="Times New Roman"/>
                <w:color w:val="auto"/>
                <w:sz w:val="21"/>
                <w:szCs w:val="21"/>
                <w:highlight w:val="none"/>
                <w:lang w:bidi="ar"/>
              </w:rPr>
              <w:t>数字化</w:t>
            </w:r>
            <w:r>
              <w:rPr>
                <w:rStyle w:val="28"/>
                <w:rFonts w:hint="default" w:ascii="Times New Roman" w:hAnsi="Times New Roman" w:cs="Times New Roman"/>
                <w:color w:val="auto"/>
                <w:sz w:val="21"/>
                <w:szCs w:val="21"/>
                <w:highlight w:val="none"/>
                <w:lang w:bidi="ar"/>
              </w:rPr>
              <w:t>平台赋能</w:t>
            </w:r>
          </w:p>
        </w:tc>
        <w:tc>
          <w:tcPr>
            <w:tcW w:w="7328" w:type="dxa"/>
            <w:noWrap w:val="0"/>
            <w:vAlign w:val="center"/>
          </w:tcPr>
          <w:p w14:paraId="48204435">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常态化做好指定数字化平台的日常运维，通过数字化平台、短信群发、微信推送等形式发布科技政策、科技活动等讯息覆盖人数不少于10000人次。</w:t>
            </w:r>
          </w:p>
        </w:tc>
        <w:tc>
          <w:tcPr>
            <w:tcW w:w="1886" w:type="dxa"/>
            <w:noWrap w:val="0"/>
            <w:vAlign w:val="center"/>
          </w:tcPr>
          <w:p w14:paraId="4A317C85">
            <w:pPr>
              <w:shd w:val="clear"/>
              <w:jc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5</w:t>
            </w:r>
          </w:p>
        </w:tc>
      </w:tr>
      <w:tr w14:paraId="6AAD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noWrap w:val="0"/>
            <w:vAlign w:val="center"/>
          </w:tcPr>
          <w:p w14:paraId="5C8F36B0">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26</w:t>
            </w:r>
          </w:p>
        </w:tc>
        <w:tc>
          <w:tcPr>
            <w:tcW w:w="1339" w:type="dxa"/>
            <w:vMerge w:val="continue"/>
            <w:noWrap w:val="0"/>
            <w:vAlign w:val="center"/>
          </w:tcPr>
          <w:p w14:paraId="11B226A2">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784851D3">
            <w:pPr>
              <w:keepNext w:val="0"/>
              <w:keepLines w:val="0"/>
              <w:widowControl/>
              <w:suppressLineNumbers w:val="0"/>
              <w:shd w:val="clear"/>
              <w:spacing w:line="300" w:lineRule="exact"/>
              <w:jc w:val="center"/>
              <w:textAlignment w:val="center"/>
              <w:rPr>
                <w:rFonts w:hint="default" w:ascii="Times New Roman" w:hAnsi="Times New Roman" w:cs="Times New Roman"/>
                <w:i w:val="0"/>
                <w:iCs w:val="0"/>
                <w:color w:val="auto"/>
                <w:sz w:val="21"/>
                <w:szCs w:val="21"/>
                <w:highlight w:val="none"/>
                <w:u w:val="none"/>
                <w:lang w:eastAsia="zh-CN"/>
              </w:rPr>
            </w:pPr>
            <w:r>
              <w:rPr>
                <w:rStyle w:val="28"/>
                <w:rFonts w:hint="default" w:ascii="Times New Roman" w:hAnsi="Times New Roman" w:eastAsia="宋体" w:cs="Times New Roman"/>
                <w:color w:val="auto"/>
                <w:sz w:val="21"/>
                <w:szCs w:val="21"/>
                <w:highlight w:val="none"/>
                <w:lang w:eastAsia="zh-CN" w:bidi="ar"/>
              </w:rPr>
              <w:t>服务能力提升</w:t>
            </w:r>
          </w:p>
        </w:tc>
        <w:tc>
          <w:tcPr>
            <w:tcW w:w="7328" w:type="dxa"/>
            <w:noWrap w:val="0"/>
            <w:vAlign w:val="center"/>
          </w:tcPr>
          <w:p w14:paraId="7BC55F3B">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优化科技金融、中试平台、概念验证等线上服务和对接渠道，提高服务效能。</w:t>
            </w:r>
          </w:p>
        </w:tc>
        <w:tc>
          <w:tcPr>
            <w:tcW w:w="1886" w:type="dxa"/>
            <w:noWrap w:val="0"/>
            <w:vAlign w:val="center"/>
          </w:tcPr>
          <w:p w14:paraId="3FCBE278">
            <w:pPr>
              <w:shd w:val="clear"/>
              <w:jc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val="en-US" w:eastAsia="zh-CN"/>
              </w:rPr>
              <w:t>3</w:t>
            </w:r>
          </w:p>
        </w:tc>
      </w:tr>
      <w:tr w14:paraId="5363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noWrap w:val="0"/>
            <w:vAlign w:val="center"/>
          </w:tcPr>
          <w:p w14:paraId="5EEC7496">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27</w:t>
            </w:r>
          </w:p>
        </w:tc>
        <w:tc>
          <w:tcPr>
            <w:tcW w:w="1339" w:type="dxa"/>
            <w:vMerge w:val="continue"/>
            <w:noWrap w:val="0"/>
            <w:vAlign w:val="center"/>
          </w:tcPr>
          <w:p w14:paraId="7698839C">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33" w:type="dxa"/>
            <w:noWrap w:val="0"/>
            <w:vAlign w:val="center"/>
          </w:tcPr>
          <w:p w14:paraId="446A0CD9">
            <w:pPr>
              <w:keepNext w:val="0"/>
              <w:keepLines w:val="0"/>
              <w:widowControl/>
              <w:suppressLineNumbers w:val="0"/>
              <w:shd w:val="clear"/>
              <w:spacing w:line="300" w:lineRule="exact"/>
              <w:jc w:val="center"/>
              <w:textAlignment w:val="center"/>
              <w:rPr>
                <w:rFonts w:hint="default" w:ascii="Times New Roman" w:hAnsi="Times New Roman"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科技资源梳理</w:t>
            </w:r>
          </w:p>
        </w:tc>
        <w:tc>
          <w:tcPr>
            <w:tcW w:w="7328" w:type="dxa"/>
            <w:noWrap w:val="0"/>
            <w:vAlign w:val="center"/>
          </w:tcPr>
          <w:p w14:paraId="2DC52E01">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根据</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部署，收集并整理我市高校、科研院所的成果、科研团队信息，形成成果清单、服务清单、人才清单等，定期在微信公众号上发布宣传，有效促进平台影响力和知晓度。</w:t>
            </w:r>
          </w:p>
        </w:tc>
        <w:tc>
          <w:tcPr>
            <w:tcW w:w="1886" w:type="dxa"/>
            <w:noWrap w:val="0"/>
            <w:vAlign w:val="center"/>
          </w:tcPr>
          <w:p w14:paraId="3451EB10">
            <w:pPr>
              <w:shd w:val="clear"/>
              <w:jc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w:t>
            </w:r>
          </w:p>
        </w:tc>
      </w:tr>
      <w:tr w14:paraId="2FEB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noWrap w:val="0"/>
            <w:vAlign w:val="center"/>
          </w:tcPr>
          <w:p w14:paraId="3063086B">
            <w:pPr>
              <w:keepNext w:val="0"/>
              <w:keepLines w:val="0"/>
              <w:widowControl/>
              <w:suppressLineNumbers w:val="0"/>
              <w:shd w:val="clear"/>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28</w:t>
            </w:r>
          </w:p>
        </w:tc>
        <w:tc>
          <w:tcPr>
            <w:tcW w:w="1339" w:type="dxa"/>
            <w:noWrap w:val="0"/>
            <w:vAlign w:val="center"/>
          </w:tcPr>
          <w:p w14:paraId="104F61C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sz w:val="21"/>
                <w:szCs w:val="21"/>
                <w:highlight w:val="none"/>
                <w:u w:val="none"/>
                <w:lang w:eastAsia="zh-CN"/>
              </w:rPr>
              <w:t>综合管理</w:t>
            </w:r>
          </w:p>
        </w:tc>
        <w:tc>
          <w:tcPr>
            <w:tcW w:w="2033" w:type="dxa"/>
            <w:noWrap w:val="0"/>
            <w:vAlign w:val="center"/>
          </w:tcPr>
          <w:p w14:paraId="0BAF3A94">
            <w:pPr>
              <w:keepNext w:val="0"/>
              <w:keepLines w:val="0"/>
              <w:widowControl/>
              <w:suppressLineNumbers w:val="0"/>
              <w:shd w:val="clear"/>
              <w:spacing w:line="300" w:lineRule="exact"/>
              <w:jc w:val="center"/>
              <w:textAlignment w:val="center"/>
              <w:rPr>
                <w:rFonts w:hint="default" w:ascii="Times New Roman" w:hAnsi="Times New Roman"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临时交办任务</w:t>
            </w:r>
          </w:p>
        </w:tc>
        <w:tc>
          <w:tcPr>
            <w:tcW w:w="7328" w:type="dxa"/>
            <w:noWrap w:val="0"/>
            <w:vAlign w:val="center"/>
          </w:tcPr>
          <w:p w14:paraId="6AD761DA">
            <w:pPr>
              <w:keepNext w:val="0"/>
              <w:keepLines w:val="0"/>
              <w:widowControl/>
              <w:suppressLineNumbers w:val="0"/>
              <w:shd w:val="clear"/>
              <w:spacing w:line="300" w:lineRule="exact"/>
              <w:jc w:val="left"/>
              <w:textAlignment w:val="center"/>
              <w:rPr>
                <w:rStyle w:val="27"/>
                <w:rFonts w:hint="default" w:ascii="Times New Roman" w:hAnsi="Times New Roman" w:eastAsia="宋体" w:cs="Times New Roman"/>
                <w:color w:val="auto"/>
                <w:sz w:val="21"/>
                <w:szCs w:val="21"/>
                <w:highlight w:val="none"/>
                <w:lang w:val="en-US" w:eastAsia="zh-CN" w:bidi="ar"/>
              </w:rPr>
            </w:pPr>
            <w:r>
              <w:rPr>
                <w:rStyle w:val="27"/>
                <w:rFonts w:hint="default" w:ascii="Times New Roman" w:hAnsi="Times New Roman" w:eastAsia="宋体" w:cs="Times New Roman"/>
                <w:color w:val="auto"/>
                <w:sz w:val="21"/>
                <w:szCs w:val="21"/>
                <w:highlight w:val="none"/>
                <w:lang w:val="en-US" w:eastAsia="zh-CN" w:bidi="ar"/>
              </w:rPr>
              <w:t>协助</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完成市委市政府交办的重点工作，答复和落实相关批示件精神，完成</w:t>
            </w:r>
            <w:r>
              <w:rPr>
                <w:rStyle w:val="27"/>
                <w:rFonts w:hint="eastAsia" w:ascii="Times New Roman" w:hAnsi="Times New Roman" w:eastAsia="宋体" w:cs="Times New Roman"/>
                <w:color w:val="auto"/>
                <w:sz w:val="21"/>
                <w:szCs w:val="21"/>
                <w:highlight w:val="none"/>
                <w:lang w:val="en-US" w:eastAsia="zh-CN" w:bidi="ar"/>
              </w:rPr>
              <w:t>采购人</w:t>
            </w:r>
            <w:r>
              <w:rPr>
                <w:rStyle w:val="27"/>
                <w:rFonts w:hint="default" w:ascii="Times New Roman" w:hAnsi="Times New Roman" w:eastAsia="宋体" w:cs="Times New Roman"/>
                <w:color w:val="auto"/>
                <w:sz w:val="21"/>
                <w:szCs w:val="21"/>
                <w:highlight w:val="none"/>
                <w:lang w:val="en-US" w:eastAsia="zh-CN" w:bidi="ar"/>
              </w:rPr>
              <w:t>临时交办的工作，根据工作效率、质量酌情给分。</w:t>
            </w:r>
          </w:p>
        </w:tc>
        <w:tc>
          <w:tcPr>
            <w:tcW w:w="1886" w:type="dxa"/>
            <w:noWrap w:val="0"/>
            <w:vAlign w:val="center"/>
          </w:tcPr>
          <w:p w14:paraId="6AA78F75">
            <w:pPr>
              <w:shd w:val="clear"/>
              <w:jc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6</w:t>
            </w:r>
          </w:p>
        </w:tc>
      </w:tr>
      <w:tr w14:paraId="02F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22" w:type="dxa"/>
            <w:vMerge w:val="restart"/>
            <w:noWrap w:val="0"/>
            <w:vAlign w:val="center"/>
          </w:tcPr>
          <w:p w14:paraId="7EA3FC20">
            <w:pPr>
              <w:keepNext w:val="0"/>
              <w:keepLines w:val="0"/>
              <w:widowControl/>
              <w:suppressLineNumbers w:val="0"/>
              <w:shd w:val="clear"/>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加分项</w:t>
            </w:r>
          </w:p>
        </w:tc>
        <w:tc>
          <w:tcPr>
            <w:tcW w:w="12586" w:type="dxa"/>
            <w:gridSpan w:val="4"/>
            <w:noWrap w:val="0"/>
            <w:vAlign w:val="center"/>
          </w:tcPr>
          <w:p w14:paraId="037D2BA3">
            <w:pPr>
              <w:shd w:val="clear"/>
              <w:jc w:val="left"/>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1.开展科技类活动及培训工作超出既定目标的，每超出1场，协办的加0.5分，主办的加1分，最高不超过2分。</w:t>
            </w:r>
          </w:p>
        </w:tc>
      </w:tr>
      <w:tr w14:paraId="1DFC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22" w:type="dxa"/>
            <w:vMerge w:val="continue"/>
            <w:noWrap w:val="0"/>
            <w:vAlign w:val="center"/>
          </w:tcPr>
          <w:p w14:paraId="49D0B0FB">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35ABE9C0">
            <w:pPr>
              <w:shd w:val="clear"/>
              <w:jc w:val="left"/>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r>
              <w:rPr>
                <w:rStyle w:val="27"/>
                <w:rFonts w:hint="default" w:ascii="Times New Roman" w:hAnsi="Times New Roman" w:eastAsia="宋体" w:cs="Times New Roman"/>
                <w:color w:val="auto"/>
                <w:sz w:val="21"/>
                <w:szCs w:val="21"/>
                <w:highlight w:val="none"/>
                <w:lang w:val="en-US" w:eastAsia="zh-CN" w:bidi="ar"/>
              </w:rPr>
              <w:t>开展科技招商活动，促成高新技术领域企业落户衢州的每家加</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Style w:val="27"/>
                <w:rFonts w:hint="default" w:ascii="Times New Roman" w:hAnsi="Times New Roman" w:eastAsia="宋体" w:cs="Times New Roman"/>
                <w:color w:val="auto"/>
                <w:sz w:val="21"/>
                <w:szCs w:val="21"/>
                <w:highlight w:val="none"/>
                <w:lang w:val="en-US" w:eastAsia="zh-CN" w:bidi="ar"/>
              </w:rPr>
              <w:t>分，促成战略性新兴产业项目或科技成果、科技项目落户衢州的每个加</w:t>
            </w:r>
            <w:r>
              <w:rPr>
                <w:rFonts w:hint="default" w:ascii="Times New Roman" w:hAnsi="Times New Roman" w:eastAsia="宋体" w:cs="Times New Roman"/>
                <w:i w:val="0"/>
                <w:iCs w:val="0"/>
                <w:color w:val="auto"/>
                <w:kern w:val="0"/>
                <w:sz w:val="21"/>
                <w:szCs w:val="21"/>
                <w:highlight w:val="none"/>
                <w:u w:val="none"/>
                <w:lang w:val="en-US" w:eastAsia="zh-CN" w:bidi="ar"/>
              </w:rPr>
              <w:t>5</w:t>
            </w:r>
            <w:r>
              <w:rPr>
                <w:rStyle w:val="27"/>
                <w:rFonts w:hint="default" w:ascii="Times New Roman" w:hAnsi="Times New Roman" w:eastAsia="宋体" w:cs="Times New Roman"/>
                <w:color w:val="auto"/>
                <w:sz w:val="21"/>
                <w:szCs w:val="21"/>
                <w:highlight w:val="none"/>
                <w:lang w:val="en-US" w:eastAsia="zh-CN" w:bidi="ar"/>
              </w:rPr>
              <w:t>分；通过市招商中心信息研判，每项加</w:t>
            </w: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27"/>
                <w:rFonts w:hint="default" w:ascii="Times New Roman" w:hAnsi="Times New Roman" w:eastAsia="宋体" w:cs="Times New Roman"/>
                <w:color w:val="auto"/>
                <w:sz w:val="21"/>
                <w:szCs w:val="21"/>
                <w:highlight w:val="none"/>
                <w:lang w:val="en-US" w:eastAsia="zh-CN" w:bidi="ar"/>
              </w:rPr>
              <w:t>分。</w:t>
            </w:r>
            <w:r>
              <w:rPr>
                <w:rStyle w:val="29"/>
                <w:rFonts w:hint="default" w:ascii="Times New Roman" w:hAnsi="Times New Roman" w:eastAsia="宋体" w:cs="Times New Roman"/>
                <w:color w:val="auto"/>
                <w:sz w:val="21"/>
                <w:szCs w:val="21"/>
                <w:highlight w:val="none"/>
                <w:lang w:val="en-US" w:eastAsia="zh-CN" w:bidi="ar"/>
              </w:rPr>
              <w:t>促进研究院项目产业化</w:t>
            </w:r>
            <w:r>
              <w:rPr>
                <w:rStyle w:val="29"/>
                <w:rFonts w:hint="default" w:ascii="Times New Roman" w:hAnsi="Times New Roman" w:cs="Times New Roman"/>
                <w:color w:val="auto"/>
                <w:sz w:val="21"/>
                <w:szCs w:val="21"/>
                <w:highlight w:val="none"/>
                <w:lang w:val="en-US" w:eastAsia="zh-CN" w:bidi="ar"/>
              </w:rPr>
              <w:t>超过考核目标的</w:t>
            </w:r>
            <w:r>
              <w:rPr>
                <w:rStyle w:val="30"/>
                <w:rFonts w:hint="default" w:ascii="Times New Roman" w:hAnsi="Times New Roman" w:eastAsia="宋体" w:cs="Times New Roman"/>
                <w:color w:val="auto"/>
                <w:sz w:val="21"/>
                <w:szCs w:val="21"/>
                <w:highlight w:val="none"/>
                <w:lang w:val="en-US" w:eastAsia="zh-CN" w:bidi="ar"/>
              </w:rPr>
              <w:t>，每新增</w:t>
            </w:r>
            <w:r>
              <w:rPr>
                <w:rStyle w:val="31"/>
                <w:rFonts w:hint="default" w:ascii="Times New Roman" w:hAnsi="Times New Roman" w:eastAsia="宋体" w:cs="Times New Roman"/>
                <w:color w:val="auto"/>
                <w:sz w:val="21"/>
                <w:szCs w:val="21"/>
                <w:highlight w:val="none"/>
                <w:lang w:val="en-US" w:eastAsia="zh-CN" w:bidi="ar"/>
              </w:rPr>
              <w:t>1</w:t>
            </w:r>
            <w:r>
              <w:rPr>
                <w:rStyle w:val="30"/>
                <w:rFonts w:hint="default" w:ascii="Times New Roman" w:hAnsi="Times New Roman" w:eastAsia="宋体" w:cs="Times New Roman"/>
                <w:color w:val="auto"/>
                <w:sz w:val="21"/>
                <w:szCs w:val="21"/>
                <w:highlight w:val="none"/>
                <w:lang w:val="en-US" w:eastAsia="zh-CN" w:bidi="ar"/>
              </w:rPr>
              <w:t>个加</w:t>
            </w:r>
            <w:r>
              <w:rPr>
                <w:rStyle w:val="31"/>
                <w:rFonts w:hint="default" w:ascii="Times New Roman" w:hAnsi="Times New Roman" w:eastAsia="宋体" w:cs="Times New Roman"/>
                <w:color w:val="auto"/>
                <w:sz w:val="21"/>
                <w:szCs w:val="21"/>
                <w:highlight w:val="none"/>
                <w:lang w:val="en-US" w:eastAsia="zh-CN" w:bidi="ar"/>
              </w:rPr>
              <w:t>2</w:t>
            </w:r>
            <w:r>
              <w:rPr>
                <w:rStyle w:val="30"/>
                <w:rFonts w:hint="default" w:ascii="Times New Roman" w:hAnsi="Times New Roman" w:eastAsia="宋体" w:cs="Times New Roman"/>
                <w:color w:val="auto"/>
                <w:sz w:val="21"/>
                <w:szCs w:val="21"/>
                <w:highlight w:val="none"/>
                <w:lang w:val="en-US" w:eastAsia="zh-CN" w:bidi="ar"/>
              </w:rPr>
              <w:t>分。</w:t>
            </w:r>
            <w:r>
              <w:rPr>
                <w:rStyle w:val="27"/>
                <w:rFonts w:hint="default" w:ascii="Times New Roman" w:hAnsi="Times New Roman" w:eastAsia="宋体" w:cs="Times New Roman"/>
                <w:color w:val="auto"/>
                <w:sz w:val="21"/>
                <w:szCs w:val="21"/>
                <w:highlight w:val="none"/>
                <w:lang w:val="en-US" w:eastAsia="zh-CN" w:bidi="ar"/>
              </w:rPr>
              <w:t>上不封顶</w:t>
            </w:r>
            <w:r>
              <w:rPr>
                <w:rStyle w:val="27"/>
                <w:rFonts w:hint="default" w:ascii="Times New Roman" w:hAnsi="Times New Roman" w:cs="Times New Roman"/>
                <w:color w:val="auto"/>
                <w:sz w:val="21"/>
                <w:szCs w:val="21"/>
                <w:highlight w:val="none"/>
                <w:lang w:val="en-US" w:eastAsia="zh-CN" w:bidi="ar"/>
              </w:rPr>
              <w:t>。</w:t>
            </w:r>
          </w:p>
        </w:tc>
      </w:tr>
      <w:tr w14:paraId="18A3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vMerge w:val="continue"/>
            <w:noWrap w:val="0"/>
            <w:vAlign w:val="center"/>
          </w:tcPr>
          <w:p w14:paraId="18CC878E">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53FE4C24">
            <w:pPr>
              <w:shd w:val="clear"/>
              <w:jc w:val="left"/>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3.根据</w:t>
            </w:r>
            <w:r>
              <w:rPr>
                <w:rFonts w:hint="eastAsia" w:ascii="Times New Roman" w:hAnsi="Times New Roman" w:eastAsia="宋体" w:cs="Times New Roman"/>
                <w:i w:val="0"/>
                <w:iCs w:val="0"/>
                <w:color w:val="auto"/>
                <w:kern w:val="0"/>
                <w:sz w:val="21"/>
                <w:szCs w:val="21"/>
                <w:highlight w:val="none"/>
                <w:u w:val="none"/>
                <w:lang w:val="en-US" w:eastAsia="zh-CN" w:bidi="ar"/>
              </w:rPr>
              <w:t>采购人</w:t>
            </w:r>
            <w:r>
              <w:rPr>
                <w:rFonts w:hint="default" w:ascii="Times New Roman" w:hAnsi="Times New Roman" w:eastAsia="宋体" w:cs="Times New Roman"/>
                <w:i w:val="0"/>
                <w:iCs w:val="0"/>
                <w:color w:val="auto"/>
                <w:kern w:val="0"/>
                <w:sz w:val="21"/>
                <w:szCs w:val="21"/>
                <w:highlight w:val="none"/>
                <w:u w:val="none"/>
                <w:lang w:val="en-US" w:eastAsia="zh-CN" w:bidi="ar"/>
              </w:rPr>
              <w:t>要求，提供相关创新主体分析报告（每家0.5，最高不超过4分）。促成企业与高校院所共建创新联合体的，每家加2分，最高不超过10分。</w:t>
            </w:r>
          </w:p>
        </w:tc>
      </w:tr>
      <w:tr w14:paraId="0240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vMerge w:val="continue"/>
            <w:noWrap w:val="0"/>
            <w:vAlign w:val="center"/>
          </w:tcPr>
          <w:p w14:paraId="77917A89">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35A78CE6">
            <w:pPr>
              <w:shd w:val="clear"/>
              <w:jc w:val="left"/>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4.帮助企业引进高层次人才的，院士、国（省）级引才计划、国（省）级特支计划每名分别加10分、8分、5分、3分(引进以落地区块人才科技部门认定为准，提供推荐过程证明材料。上不封顶。</w:t>
            </w:r>
          </w:p>
        </w:tc>
      </w:tr>
      <w:tr w14:paraId="6DA2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22" w:type="dxa"/>
            <w:vMerge w:val="continue"/>
            <w:noWrap w:val="0"/>
            <w:vAlign w:val="center"/>
          </w:tcPr>
          <w:p w14:paraId="0CCC9601">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56398D21">
            <w:pPr>
              <w:shd w:val="clear"/>
              <w:jc w:val="left"/>
              <w:rPr>
                <w:rFonts w:hint="default" w:ascii="Times New Roman" w:hAnsi="Times New Roman" w:cs="Times New Roman"/>
                <w:i w:val="0"/>
                <w:iCs w:val="0"/>
                <w:color w:val="auto"/>
                <w:kern w:val="0"/>
                <w:sz w:val="21"/>
                <w:szCs w:val="21"/>
                <w:highlight w:val="none"/>
                <w:u w:val="none"/>
                <w:lang w:val="en-US" w:eastAsia="zh-CN" w:bidi="ar"/>
              </w:rPr>
            </w:pPr>
            <w:r>
              <w:rPr>
                <w:rStyle w:val="27"/>
                <w:rFonts w:hint="default" w:ascii="Times New Roman" w:hAnsi="Times New Roman" w:cs="Times New Roman"/>
                <w:color w:val="auto"/>
                <w:highlight w:val="none"/>
              </w:rPr>
              <w:t>5.</w:t>
            </w:r>
            <w:r>
              <w:rPr>
                <w:rStyle w:val="27"/>
                <w:rFonts w:hint="default" w:ascii="Times New Roman" w:hAnsi="Times New Roman" w:eastAsia="宋体" w:cs="Times New Roman"/>
                <w:color w:val="auto"/>
                <w:sz w:val="21"/>
                <w:szCs w:val="21"/>
                <w:highlight w:val="none"/>
                <w:lang w:val="en-US" w:eastAsia="zh-CN" w:bidi="ar"/>
              </w:rPr>
              <w:t>衢州科技大市场获得国家级、省级</w:t>
            </w:r>
            <w:r>
              <w:rPr>
                <w:rStyle w:val="27"/>
                <w:rFonts w:hint="default" w:ascii="Times New Roman" w:hAnsi="Times New Roman" w:cs="Times New Roman"/>
                <w:color w:val="auto"/>
                <w:sz w:val="21"/>
                <w:szCs w:val="21"/>
                <w:highlight w:val="none"/>
                <w:lang w:val="en-US" w:eastAsia="zh-CN" w:bidi="ar"/>
              </w:rPr>
              <w:t>荣誉</w:t>
            </w:r>
            <w:r>
              <w:rPr>
                <w:rStyle w:val="27"/>
                <w:rFonts w:hint="default" w:ascii="Times New Roman" w:hAnsi="Times New Roman" w:eastAsia="宋体" w:cs="Times New Roman"/>
                <w:color w:val="auto"/>
                <w:sz w:val="21"/>
                <w:szCs w:val="21"/>
                <w:highlight w:val="none"/>
                <w:lang w:val="en-US" w:eastAsia="zh-CN" w:bidi="ar"/>
              </w:rPr>
              <w:t>分别加</w:t>
            </w:r>
            <w:r>
              <w:rPr>
                <w:rStyle w:val="27"/>
                <w:rFonts w:hint="default" w:ascii="Times New Roman" w:hAnsi="Times New Roman" w:cs="Times New Roman"/>
                <w:color w:val="auto"/>
                <w:highlight w:val="none"/>
              </w:rPr>
              <w:t>10</w:t>
            </w:r>
            <w:r>
              <w:rPr>
                <w:rStyle w:val="27"/>
                <w:rFonts w:hint="default" w:ascii="Times New Roman" w:hAnsi="Times New Roman" w:eastAsia="宋体" w:cs="Times New Roman"/>
                <w:color w:val="auto"/>
                <w:sz w:val="21"/>
                <w:szCs w:val="21"/>
                <w:highlight w:val="none"/>
                <w:lang w:val="en-US" w:eastAsia="zh-CN" w:bidi="ar"/>
              </w:rPr>
              <w:t>分、</w:t>
            </w:r>
            <w:r>
              <w:rPr>
                <w:rStyle w:val="27"/>
                <w:rFonts w:hint="default" w:ascii="Times New Roman" w:hAnsi="Times New Roman" w:cs="Times New Roman"/>
                <w:color w:val="auto"/>
                <w:highlight w:val="none"/>
              </w:rPr>
              <w:t>8</w:t>
            </w:r>
            <w:r>
              <w:rPr>
                <w:rStyle w:val="27"/>
                <w:rFonts w:hint="default" w:ascii="Times New Roman" w:hAnsi="Times New Roman" w:eastAsia="宋体" w:cs="Times New Roman"/>
                <w:color w:val="auto"/>
                <w:sz w:val="21"/>
                <w:szCs w:val="21"/>
                <w:highlight w:val="none"/>
                <w:lang w:val="en-US" w:eastAsia="zh-CN" w:bidi="ar"/>
              </w:rPr>
              <w:t>分；</w:t>
            </w:r>
            <w:r>
              <w:rPr>
                <w:rStyle w:val="27"/>
                <w:rFonts w:hint="default" w:ascii="Times New Roman" w:hAnsi="Times New Roman" w:cs="Times New Roman"/>
                <w:color w:val="auto"/>
                <w:highlight w:val="none"/>
              </w:rPr>
              <w:t>相关做法获得国家级、省级</w:t>
            </w:r>
            <w:r>
              <w:rPr>
                <w:rStyle w:val="27"/>
                <w:rFonts w:hint="default" w:ascii="Times New Roman" w:hAnsi="Times New Roman" w:cs="Times New Roman"/>
                <w:color w:val="auto"/>
                <w:highlight w:val="none"/>
                <w:lang w:eastAsia="zh-CN"/>
              </w:rPr>
              <w:t>报道</w:t>
            </w:r>
            <w:r>
              <w:rPr>
                <w:rStyle w:val="27"/>
                <w:rFonts w:hint="default" w:ascii="Times New Roman" w:hAnsi="Times New Roman" w:cs="Times New Roman"/>
                <w:color w:val="auto"/>
                <w:highlight w:val="none"/>
              </w:rPr>
              <w:t>分别加4分、2分</w:t>
            </w:r>
            <w:r>
              <w:rPr>
                <w:rStyle w:val="27"/>
                <w:rFonts w:hint="default" w:ascii="Times New Roman" w:hAnsi="Times New Roman" w:cs="Times New Roman"/>
                <w:color w:val="auto"/>
                <w:highlight w:val="none"/>
                <w:lang w:eastAsia="zh-CN"/>
              </w:rPr>
              <w:t>。</w:t>
            </w:r>
            <w:r>
              <w:rPr>
                <w:rStyle w:val="27"/>
                <w:rFonts w:hint="default" w:ascii="Times New Roman" w:hAnsi="Times New Roman" w:eastAsia="宋体" w:cs="Times New Roman"/>
                <w:color w:val="auto"/>
                <w:highlight w:val="none"/>
              </w:rPr>
              <w:t>同类就高不重复享受。</w:t>
            </w:r>
          </w:p>
        </w:tc>
      </w:tr>
      <w:tr w14:paraId="27DB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vMerge w:val="continue"/>
            <w:noWrap w:val="0"/>
            <w:vAlign w:val="center"/>
          </w:tcPr>
          <w:p w14:paraId="0EE15D94">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583DDF01">
            <w:pPr>
              <w:shd w:val="clear"/>
              <w:jc w:val="left"/>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Style w:val="27"/>
                <w:rFonts w:hint="default" w:ascii="Times New Roman" w:hAnsi="Times New Roman" w:eastAsia="宋体" w:cs="Times New Roman"/>
                <w:color w:val="auto"/>
                <w:sz w:val="21"/>
                <w:szCs w:val="21"/>
                <w:highlight w:val="none"/>
                <w:lang w:val="en-US" w:eastAsia="zh-CN" w:bidi="ar"/>
              </w:rPr>
              <w:t>为市内各大创新平台和八大区块企业完成国家级或省级人才工程有效申报的，在完成考核既定指标基础上，每增加1名加</w:t>
            </w: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27"/>
                <w:rFonts w:hint="default" w:ascii="Times New Roman" w:hAnsi="Times New Roman" w:eastAsia="宋体" w:cs="Times New Roman"/>
                <w:color w:val="auto"/>
                <w:sz w:val="21"/>
                <w:szCs w:val="21"/>
                <w:highlight w:val="none"/>
                <w:lang w:val="en-US" w:eastAsia="zh-CN" w:bidi="ar"/>
              </w:rPr>
              <w:t>分，封顶</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Style w:val="27"/>
                <w:rFonts w:hint="default" w:ascii="Times New Roman" w:hAnsi="Times New Roman" w:eastAsia="宋体" w:cs="Times New Roman"/>
                <w:color w:val="auto"/>
                <w:sz w:val="21"/>
                <w:szCs w:val="21"/>
                <w:highlight w:val="none"/>
                <w:lang w:val="en-US" w:eastAsia="zh-CN" w:bidi="ar"/>
              </w:rPr>
              <w:t>分（提供服务证明材料）</w:t>
            </w:r>
            <w:r>
              <w:rPr>
                <w:rStyle w:val="27"/>
                <w:rFonts w:hint="default" w:ascii="Times New Roman" w:hAnsi="Times New Roman" w:cs="Times New Roman"/>
                <w:color w:val="auto"/>
                <w:sz w:val="21"/>
                <w:szCs w:val="21"/>
                <w:highlight w:val="none"/>
                <w:lang w:val="en-US" w:eastAsia="zh-CN" w:bidi="ar"/>
              </w:rPr>
              <w:t>。</w:t>
            </w:r>
          </w:p>
        </w:tc>
      </w:tr>
      <w:tr w14:paraId="2F1A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2" w:type="dxa"/>
            <w:vMerge w:val="continue"/>
            <w:noWrap w:val="0"/>
            <w:vAlign w:val="center"/>
          </w:tcPr>
          <w:p w14:paraId="327DD952">
            <w:pPr>
              <w:shd w:val="clear"/>
              <w:jc w:val="center"/>
              <w:rPr>
                <w:rFonts w:hint="eastAsia" w:ascii="Times New Roman" w:hAnsi="Times New Roman" w:cs="Times New Roman"/>
                <w:i w:val="0"/>
                <w:iCs w:val="0"/>
                <w:color w:val="auto"/>
                <w:sz w:val="21"/>
                <w:szCs w:val="21"/>
                <w:highlight w:val="none"/>
                <w:u w:val="none"/>
                <w:lang w:val="en-US" w:eastAsia="zh-CN"/>
              </w:rPr>
            </w:pPr>
          </w:p>
        </w:tc>
        <w:tc>
          <w:tcPr>
            <w:tcW w:w="12586" w:type="dxa"/>
            <w:gridSpan w:val="4"/>
            <w:noWrap w:val="0"/>
            <w:vAlign w:val="center"/>
          </w:tcPr>
          <w:p w14:paraId="7CBB4B43">
            <w:pPr>
              <w:shd w:val="clear"/>
              <w:jc w:val="left"/>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r>
              <w:rPr>
                <w:rStyle w:val="27"/>
                <w:rFonts w:hint="default" w:ascii="Times New Roman" w:hAnsi="Times New Roman" w:eastAsia="宋体" w:cs="Times New Roman"/>
                <w:color w:val="auto"/>
                <w:sz w:val="21"/>
                <w:szCs w:val="21"/>
                <w:highlight w:val="none"/>
                <w:lang w:val="en-US" w:eastAsia="zh-CN" w:bidi="ar"/>
              </w:rPr>
              <w:t>帮扶科技型企业（项目）解决项目场地或资金问题（</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Style w:val="27"/>
                <w:rFonts w:hint="default" w:ascii="Times New Roman" w:hAnsi="Times New Roman" w:eastAsia="宋体" w:cs="Times New Roman"/>
                <w:color w:val="auto"/>
                <w:sz w:val="21"/>
                <w:szCs w:val="21"/>
                <w:highlight w:val="none"/>
                <w:lang w:val="en-US" w:eastAsia="zh-CN" w:bidi="ar"/>
              </w:rPr>
              <w:t>万以上）或招聘问题（</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Style w:val="27"/>
                <w:rFonts w:hint="default" w:ascii="Times New Roman" w:hAnsi="Times New Roman" w:eastAsia="宋体" w:cs="Times New Roman"/>
                <w:color w:val="auto"/>
                <w:sz w:val="21"/>
                <w:szCs w:val="21"/>
                <w:highlight w:val="none"/>
                <w:lang w:val="en-US" w:eastAsia="zh-CN" w:bidi="ar"/>
              </w:rPr>
              <w:t>名员工以上）的，每个加</w:t>
            </w:r>
            <w:r>
              <w:rPr>
                <w:rFonts w:hint="default" w:ascii="Times New Roman" w:hAnsi="Times New Roman" w:eastAsia="宋体" w:cs="Times New Roman"/>
                <w:i w:val="0"/>
                <w:iCs w:val="0"/>
                <w:color w:val="auto"/>
                <w:kern w:val="0"/>
                <w:sz w:val="21"/>
                <w:szCs w:val="21"/>
                <w:highlight w:val="none"/>
                <w:u w:val="none"/>
                <w:lang w:val="en-US" w:eastAsia="zh-CN" w:bidi="ar"/>
              </w:rPr>
              <w:t>0.5</w:t>
            </w:r>
            <w:r>
              <w:rPr>
                <w:rStyle w:val="27"/>
                <w:rFonts w:hint="default" w:ascii="Times New Roman" w:hAnsi="Times New Roman" w:eastAsia="宋体" w:cs="Times New Roman"/>
                <w:color w:val="auto"/>
                <w:sz w:val="21"/>
                <w:szCs w:val="21"/>
                <w:highlight w:val="none"/>
                <w:lang w:val="en-US" w:eastAsia="zh-CN" w:bidi="ar"/>
              </w:rPr>
              <w:t>分，封顶</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Style w:val="27"/>
                <w:rFonts w:hint="default" w:ascii="Times New Roman" w:hAnsi="Times New Roman" w:eastAsia="宋体" w:cs="Times New Roman"/>
                <w:color w:val="auto"/>
                <w:sz w:val="21"/>
                <w:szCs w:val="21"/>
                <w:highlight w:val="none"/>
                <w:lang w:val="en-US" w:eastAsia="zh-CN" w:bidi="ar"/>
              </w:rPr>
              <w:t>分（提供落实过程证明材料）。</w:t>
            </w:r>
          </w:p>
        </w:tc>
      </w:tr>
    </w:tbl>
    <w:p w14:paraId="5936EE1F">
      <w:pPr>
        <w:shd w:val="clear"/>
        <w:rPr>
          <w:color w:val="auto"/>
          <w:highlight w:val="none"/>
        </w:rPr>
      </w:pPr>
    </w:p>
    <w:p w14:paraId="6B0FBFD6">
      <w:pPr>
        <w:shd w:val="clear"/>
        <w:ind w:firstLine="420" w:firstLineChars="200"/>
        <w:rPr>
          <w:rFonts w:hint="eastAsia"/>
          <w:color w:val="auto"/>
          <w:highlight w:val="none"/>
          <w:lang w:eastAsia="zh-CN"/>
        </w:rPr>
      </w:pPr>
      <w:r>
        <w:rPr>
          <w:rFonts w:hint="eastAsia"/>
          <w:color w:val="auto"/>
          <w:highlight w:val="none"/>
          <w:lang w:eastAsia="zh-CN"/>
        </w:rPr>
        <w:t>注：</w:t>
      </w:r>
    </w:p>
    <w:p w14:paraId="71EBDCD9">
      <w:pPr>
        <w:shd w:val="clear"/>
        <w:ind w:firstLine="420" w:firstLineChars="200"/>
        <w:rPr>
          <w:rFonts w:hint="default"/>
          <w:color w:val="auto"/>
          <w:highlight w:val="none"/>
          <w:lang w:val="en-US" w:eastAsia="zh-CN"/>
        </w:rPr>
      </w:pPr>
      <w:r>
        <w:rPr>
          <w:rFonts w:hint="eastAsia"/>
          <w:color w:val="auto"/>
          <w:highlight w:val="none"/>
          <w:lang w:eastAsia="zh-CN"/>
        </w:rPr>
        <w:t>1.</w:t>
      </w:r>
      <w:r>
        <w:rPr>
          <w:rFonts w:hint="eastAsia"/>
          <w:color w:val="auto"/>
          <w:highlight w:val="none"/>
          <w:lang w:val="en-US" w:eastAsia="zh-CN"/>
        </w:rPr>
        <w:t>考核得分等于基础分加附加分。</w:t>
      </w:r>
    </w:p>
    <w:p w14:paraId="6E1E3F19">
      <w:pPr>
        <w:shd w:val="clear"/>
        <w:ind w:firstLine="420" w:firstLineChars="20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基础分小于70分（不含）的，附加分按照实际加分的0%计算；基础分在70分（含）-80分（不含）之间的，附加分按照实际加分的50%计算；基础分在80分（含）-90分（不含）的，附加分按照实际加分的100%计算。</w:t>
      </w:r>
    </w:p>
    <w:p w14:paraId="0A735445">
      <w:pPr>
        <w:shd w:val="clear"/>
        <w:ind w:firstLine="42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考核得分小于</w:t>
      </w:r>
      <w:r>
        <w:rPr>
          <w:rFonts w:hint="eastAsia"/>
          <w:color w:val="auto"/>
          <w:highlight w:val="none"/>
          <w:lang w:val="en-US" w:eastAsia="zh-CN"/>
        </w:rPr>
        <w:t>70</w:t>
      </w:r>
      <w:r>
        <w:rPr>
          <w:rFonts w:hint="eastAsia"/>
          <w:color w:val="auto"/>
          <w:highlight w:val="none"/>
          <w:lang w:eastAsia="zh-CN"/>
        </w:rPr>
        <w:t>分的，考核经费不予拨付，</w:t>
      </w:r>
      <w:r>
        <w:rPr>
          <w:rFonts w:hint="eastAsia"/>
          <w:color w:val="auto"/>
          <w:highlight w:val="none"/>
          <w:lang w:val="en-US" w:eastAsia="zh-CN"/>
        </w:rPr>
        <w:t>采购人</w:t>
      </w:r>
      <w:r>
        <w:rPr>
          <w:rFonts w:hint="eastAsia"/>
          <w:color w:val="auto"/>
          <w:highlight w:val="none"/>
          <w:lang w:eastAsia="zh-CN"/>
        </w:rPr>
        <w:t>有权单方取消合作，由此造成损失由运营方承担。</w:t>
      </w:r>
    </w:p>
    <w:p w14:paraId="7C71F7EA">
      <w:pPr>
        <w:shd w:val="clear"/>
        <w:ind w:firstLine="420" w:firstLineChars="20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.考核分数在70分（含）-80分（不含）的，拨付比例80%；80分（含）-90分（不含）的，拨付比例90%；90分及以上，拨付比例100%。</w:t>
      </w:r>
    </w:p>
    <w:p w14:paraId="13342D44">
      <w:pPr>
        <w:shd w:val="clear"/>
        <w:ind w:firstLine="420" w:firstLineChars="200"/>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.如合同执行过程中浙江省科技厅、衢州市政府、</w:t>
      </w:r>
      <w:r>
        <w:rPr>
          <w:rFonts w:hint="eastAsia"/>
          <w:color w:val="auto"/>
          <w:highlight w:val="none"/>
          <w:lang w:val="en-US" w:eastAsia="zh-CN"/>
        </w:rPr>
        <w:t>采购人</w:t>
      </w:r>
      <w:r>
        <w:rPr>
          <w:rFonts w:hint="eastAsia"/>
          <w:color w:val="auto"/>
          <w:highlight w:val="none"/>
          <w:lang w:eastAsia="zh-CN"/>
        </w:rPr>
        <w:t>对考核目标另有要求的，按照新的要求执行。</w:t>
      </w:r>
    </w:p>
    <w:p w14:paraId="0CE8990F">
      <w:pPr>
        <w:shd w:val="clear"/>
        <w:ind w:firstLine="420" w:firstLineChars="200"/>
        <w:rPr>
          <w:rFonts w:hint="eastAsia"/>
          <w:color w:val="auto"/>
          <w:highlight w:val="none"/>
          <w:lang w:val="en-US" w:eastAsia="zh-CN"/>
        </w:rPr>
        <w:sectPr>
          <w:endnotePr>
            <w:numFmt w:val="decimal"/>
          </w:endnotePr>
          <w:pgSz w:w="16838" w:h="11906" w:orient="landscape"/>
          <w:pgMar w:top="1440" w:right="1440" w:bottom="1440" w:left="1440" w:header="851" w:footer="851" w:gutter="0"/>
          <w:pgNumType w:fmt="decimal"/>
          <w:cols w:space="720" w:num="1"/>
          <w:titlePg/>
          <w:docGrid w:linePitch="381" w:charSpace="0"/>
        </w:sectPr>
      </w:pPr>
      <w:r>
        <w:rPr>
          <w:rFonts w:hint="eastAsia"/>
          <w:color w:val="auto"/>
          <w:highlight w:val="none"/>
          <w:lang w:val="en-US" w:eastAsia="zh-CN"/>
        </w:rPr>
        <w:t>6.考核需提供有关活动证明，具体解释权归采购人所有。</w:t>
      </w:r>
    </w:p>
    <w:p w14:paraId="503E6329">
      <w:pPr>
        <w:pStyle w:val="2"/>
        <w:shd w:val="clear"/>
        <w:rPr>
          <w:rFonts w:ascii="宋体" w:hAnsi="宋体" w:cs="宋体"/>
          <w:color w:val="auto"/>
          <w:highlight w:val="none"/>
        </w:rPr>
      </w:pPr>
      <w:bookmarkStart w:id="225" w:name="_Toc20445"/>
      <w:r>
        <w:rPr>
          <w:rFonts w:ascii="宋体" w:hAnsi="宋体" w:cs="宋体"/>
          <w:color w:val="auto"/>
          <w:highlight w:val="none"/>
        </w:rPr>
        <w:t xml:space="preserve">第五部分 </w:t>
      </w:r>
      <w:bookmarkEnd w:id="138"/>
      <w:bookmarkEnd w:id="139"/>
      <w:r>
        <w:rPr>
          <w:rFonts w:ascii="宋体" w:hAnsi="宋体" w:cs="宋体"/>
          <w:color w:val="auto"/>
          <w:highlight w:val="none"/>
        </w:rPr>
        <w:t>磋商响应文件部分格式文件</w:t>
      </w:r>
      <w:bookmarkEnd w:id="225"/>
    </w:p>
    <w:p w14:paraId="1CBD4551">
      <w:pPr>
        <w:pStyle w:val="3"/>
        <w:numPr>
          <w:ilvl w:val="0"/>
          <w:numId w:val="0"/>
        </w:numPr>
        <w:shd w:val="clear"/>
        <w:jc w:val="center"/>
        <w:rPr>
          <w:rFonts w:ascii="宋体" w:hAnsi="宋体" w:eastAsia="宋体"/>
          <w:color w:val="auto"/>
          <w:sz w:val="28"/>
          <w:szCs w:val="22"/>
          <w:highlight w:val="none"/>
        </w:rPr>
      </w:pPr>
      <w:bookmarkStart w:id="226" w:name="_Toc2639"/>
      <w:bookmarkStart w:id="227" w:name="_Toc27373"/>
      <w:bookmarkStart w:id="228" w:name="_Toc16977"/>
      <w:bookmarkStart w:id="229" w:name="_Toc20778"/>
      <w:bookmarkStart w:id="230" w:name="_Toc3057"/>
      <w:bookmarkStart w:id="231" w:name="_Toc519670202"/>
      <w:bookmarkStart w:id="232" w:name="_Toc22003"/>
      <w:bookmarkStart w:id="233" w:name="_Toc6494388"/>
      <w:bookmarkStart w:id="234" w:name="_Toc3918"/>
      <w:bookmarkStart w:id="235" w:name="_Toc233618990"/>
      <w:bookmarkStart w:id="236" w:name="_Toc233618989"/>
      <w:r>
        <w:rPr>
          <w:rFonts w:ascii="宋体" w:hAnsi="宋体" w:eastAsia="宋体"/>
          <w:color w:val="auto"/>
          <w:sz w:val="28"/>
          <w:szCs w:val="22"/>
          <w:highlight w:val="none"/>
          <w:lang w:val="zh-CN"/>
        </w:rPr>
        <w:t>格式</w:t>
      </w:r>
      <w:r>
        <w:rPr>
          <w:rFonts w:ascii="宋体" w:hAnsi="宋体" w:eastAsia="宋体"/>
          <w:color w:val="auto"/>
          <w:sz w:val="28"/>
          <w:szCs w:val="22"/>
          <w:highlight w:val="none"/>
        </w:rPr>
        <w:t>一：</w:t>
      </w:r>
      <w:bookmarkEnd w:id="226"/>
      <w:r>
        <w:rPr>
          <w:rFonts w:ascii="宋体" w:hAnsi="宋体" w:eastAsia="宋体"/>
          <w:color w:val="auto"/>
          <w:sz w:val="28"/>
          <w:szCs w:val="22"/>
          <w:highlight w:val="none"/>
        </w:rPr>
        <w:t>资格后审材料</w:t>
      </w:r>
      <w:bookmarkEnd w:id="227"/>
      <w:bookmarkEnd w:id="228"/>
      <w:bookmarkEnd w:id="229"/>
      <w:bookmarkEnd w:id="230"/>
    </w:p>
    <w:p w14:paraId="746A9187">
      <w:pPr>
        <w:shd w:val="clear"/>
        <w:autoSpaceDE w:val="0"/>
        <w:autoSpaceDN w:val="0"/>
        <w:adjustRightInd w:val="0"/>
        <w:snapToGrid w:val="0"/>
        <w:spacing w:line="300" w:lineRule="auto"/>
        <w:ind w:firstLine="602" w:firstLineChars="200"/>
        <w:jc w:val="center"/>
        <w:rPr>
          <w:rFonts w:ascii="Arial" w:hAnsi="Arial" w:cs="Arial"/>
          <w:color w:val="auto"/>
          <w:kern w:val="0"/>
          <w:szCs w:val="21"/>
          <w:highlight w:val="none"/>
        </w:rPr>
      </w:pPr>
      <w:r>
        <w:rPr>
          <w:rFonts w:ascii="宋体" w:hAnsi="宋体" w:cs="宋体"/>
          <w:b/>
          <w:color w:val="auto"/>
          <w:sz w:val="30"/>
          <w:szCs w:val="30"/>
          <w:highlight w:val="none"/>
        </w:rPr>
        <w:t>资格后审材料</w:t>
      </w:r>
    </w:p>
    <w:p w14:paraId="5E431ACB">
      <w:pPr>
        <w:pStyle w:val="8"/>
        <w:shd w:val="clear"/>
        <w:snapToGrid w:val="0"/>
        <w:spacing w:line="400" w:lineRule="exact"/>
        <w:ind w:firstLine="480" w:firstLineChars="200"/>
        <w:rPr>
          <w:rFonts w:hAnsi="宋体"/>
          <w:color w:val="auto"/>
          <w:sz w:val="24"/>
          <w:szCs w:val="24"/>
          <w:highlight w:val="none"/>
        </w:rPr>
      </w:pPr>
      <w:r>
        <w:rPr>
          <w:rFonts w:hAnsi="宋体"/>
          <w:color w:val="auto"/>
          <w:sz w:val="24"/>
          <w:szCs w:val="24"/>
          <w:highlight w:val="none"/>
        </w:rPr>
        <w:t>（一）资格后审须知</w:t>
      </w:r>
    </w:p>
    <w:p w14:paraId="366A40AA">
      <w:pPr>
        <w:pStyle w:val="8"/>
        <w:shd w:val="clear"/>
        <w:snapToGrid w:val="0"/>
        <w:spacing w:line="400" w:lineRule="exact"/>
        <w:ind w:firstLine="480" w:firstLineChars="200"/>
        <w:rPr>
          <w:rFonts w:hAnsi="宋体"/>
          <w:color w:val="auto"/>
          <w:sz w:val="24"/>
          <w:szCs w:val="24"/>
          <w:highlight w:val="none"/>
        </w:rPr>
      </w:pPr>
      <w:r>
        <w:rPr>
          <w:rFonts w:hint="eastAsia" w:hAnsi="宋体"/>
          <w:color w:val="auto"/>
          <w:sz w:val="24"/>
          <w:szCs w:val="24"/>
          <w:highlight w:val="none"/>
          <w:lang w:eastAsia="zh-CN"/>
        </w:rPr>
        <w:t>1.</w:t>
      </w:r>
      <w:r>
        <w:rPr>
          <w:rFonts w:hAnsi="宋体"/>
          <w:color w:val="auto"/>
          <w:sz w:val="24"/>
          <w:szCs w:val="24"/>
          <w:highlight w:val="none"/>
        </w:rPr>
        <w:t>供应商必须认真填写磋商文件规定的所有表格，并对其真实性负责，采购人有权对其进行调查核实和要求澄清。</w:t>
      </w:r>
    </w:p>
    <w:p w14:paraId="79545ECC">
      <w:pPr>
        <w:pStyle w:val="8"/>
        <w:shd w:val="clear"/>
        <w:snapToGrid w:val="0"/>
        <w:spacing w:line="400" w:lineRule="exact"/>
        <w:ind w:firstLine="480" w:firstLineChars="200"/>
        <w:rPr>
          <w:rFonts w:hAnsi="宋体"/>
          <w:color w:val="auto"/>
          <w:sz w:val="24"/>
          <w:szCs w:val="24"/>
          <w:highlight w:val="none"/>
        </w:rPr>
      </w:pPr>
      <w:r>
        <w:rPr>
          <w:rFonts w:hint="eastAsia" w:hAnsi="宋体"/>
          <w:color w:val="auto"/>
          <w:sz w:val="24"/>
          <w:szCs w:val="24"/>
          <w:highlight w:val="none"/>
          <w:lang w:eastAsia="zh-CN"/>
        </w:rPr>
        <w:t>2.</w:t>
      </w:r>
      <w:r>
        <w:rPr>
          <w:rFonts w:hAnsi="宋体"/>
          <w:color w:val="auto"/>
          <w:sz w:val="24"/>
          <w:szCs w:val="24"/>
          <w:highlight w:val="none"/>
        </w:rPr>
        <w:t>资格后审按通过和不通过两种方式进行评定，供应商的资格等方面的要求作为资格后审通过的强制性资格条件，经核实有一项不符合要求，则供应商的资格为不通过，不通过的供应商对其磋商响应文件不进行后续评审。</w:t>
      </w:r>
    </w:p>
    <w:p w14:paraId="74118675">
      <w:pPr>
        <w:pStyle w:val="8"/>
        <w:shd w:val="clear"/>
        <w:snapToGrid w:val="0"/>
        <w:spacing w:line="400" w:lineRule="exact"/>
        <w:ind w:firstLine="480" w:firstLineChars="200"/>
        <w:rPr>
          <w:rFonts w:hAnsi="宋体"/>
          <w:color w:val="auto"/>
          <w:sz w:val="24"/>
          <w:szCs w:val="24"/>
          <w:highlight w:val="none"/>
        </w:rPr>
      </w:pPr>
      <w:r>
        <w:rPr>
          <w:rFonts w:hAnsi="宋体"/>
          <w:color w:val="auto"/>
          <w:sz w:val="24"/>
          <w:szCs w:val="24"/>
          <w:highlight w:val="none"/>
        </w:rPr>
        <w:t>（二）资格后审材料格式</w:t>
      </w:r>
    </w:p>
    <w:bookmarkEnd w:id="231"/>
    <w:p w14:paraId="32EA5707">
      <w:pPr>
        <w:pStyle w:val="8"/>
        <w:shd w:val="clear"/>
        <w:snapToGrid w:val="0"/>
        <w:spacing w:line="400" w:lineRule="exact"/>
        <w:ind w:firstLine="420" w:firstLineChars="200"/>
        <w:rPr>
          <w:rFonts w:hint="eastAsia" w:ascii="CIDFont+F2" w:hAnsi="CIDFont+F2" w:eastAsia="CIDFont+F4"/>
          <w:color w:val="auto"/>
          <w:highlight w:val="none"/>
          <w:lang w:eastAsia="zh-CN"/>
        </w:rPr>
      </w:pPr>
      <w:r>
        <w:rPr>
          <w:rFonts w:ascii="CIDFont+F2" w:hAnsi="CIDFont+F2" w:eastAsia="CIDFont+F2"/>
          <w:color w:val="auto"/>
          <w:highlight w:val="none"/>
        </w:rPr>
        <w:t>表</w:t>
      </w:r>
      <w:r>
        <w:rPr>
          <w:rFonts w:ascii="CIDFont+F4" w:hAnsi="CIDFont+F4" w:eastAsia="CIDFont+F4"/>
          <w:color w:val="auto"/>
          <w:highlight w:val="none"/>
        </w:rPr>
        <w:t xml:space="preserve">1 </w:t>
      </w:r>
      <w:r>
        <w:rPr>
          <w:rFonts w:hint="eastAsia" w:ascii="CIDFont+F2" w:hAnsi="CIDFont+F2" w:eastAsia="CIDFont+F2"/>
          <w:color w:val="auto"/>
          <w:highlight w:val="none"/>
          <w:lang w:eastAsia="zh-CN"/>
        </w:rPr>
        <w:t>资格后审材料表</w:t>
      </w:r>
    </w:p>
    <w:p w14:paraId="0B14439C">
      <w:pPr>
        <w:pStyle w:val="8"/>
        <w:shd w:val="clear"/>
        <w:snapToGrid w:val="0"/>
        <w:spacing w:line="400" w:lineRule="exact"/>
        <w:ind w:firstLine="480" w:firstLineChars="200"/>
        <w:rPr>
          <w:rFonts w:hAnsi="宋体"/>
          <w:color w:val="auto"/>
          <w:sz w:val="24"/>
          <w:szCs w:val="24"/>
          <w:highlight w:val="none"/>
        </w:rPr>
      </w:pPr>
    </w:p>
    <w:p w14:paraId="221FA2ED">
      <w:pPr>
        <w:shd w:val="clear"/>
        <w:spacing w:line="500" w:lineRule="exact"/>
        <w:rPr>
          <w:rFonts w:ascii="宋体" w:hAnsi="宋体" w:cs="宋体"/>
          <w:b/>
          <w:color w:val="auto"/>
          <w:sz w:val="30"/>
          <w:szCs w:val="30"/>
          <w:highlight w:val="none"/>
        </w:rPr>
      </w:pPr>
    </w:p>
    <w:bookmarkEnd w:id="232"/>
    <w:p w14:paraId="0B7DBF54">
      <w:pPr>
        <w:shd w:val="clear"/>
        <w:adjustRightInd w:val="0"/>
        <w:snapToGrid w:val="0"/>
        <w:spacing w:line="360" w:lineRule="auto"/>
        <w:ind w:firstLine="480" w:firstLineChars="200"/>
        <w:rPr>
          <w:rFonts w:ascii="宋体" w:hAnsi="宋体"/>
          <w:color w:val="auto"/>
          <w:sz w:val="24"/>
          <w:highlight w:val="none"/>
        </w:rPr>
      </w:pPr>
    </w:p>
    <w:p w14:paraId="5DAA444A">
      <w:pPr>
        <w:shd w:val="clear"/>
        <w:adjustRightInd w:val="0"/>
        <w:snapToGrid w:val="0"/>
        <w:spacing w:line="360" w:lineRule="auto"/>
        <w:ind w:left="420" w:leftChars="200"/>
        <w:rPr>
          <w:rFonts w:ascii="宋体" w:hAnsi="宋体" w:cs="宋体"/>
          <w:color w:val="auto"/>
          <w:kern w:val="0"/>
          <w:sz w:val="24"/>
          <w:highlight w:val="none"/>
          <w:lang w:val="zh-CN"/>
        </w:rPr>
      </w:pPr>
    </w:p>
    <w:p w14:paraId="6474EAA7">
      <w:pPr>
        <w:shd w:val="clear"/>
        <w:adjustRightInd w:val="0"/>
        <w:snapToGrid w:val="0"/>
        <w:spacing w:line="360" w:lineRule="auto"/>
        <w:rPr>
          <w:rFonts w:ascii="宋体" w:hAnsi="宋体"/>
          <w:b/>
          <w:color w:val="auto"/>
          <w:kern w:val="0"/>
          <w:sz w:val="24"/>
          <w:highlight w:val="none"/>
          <w:lang w:val="zh-CN"/>
        </w:rPr>
      </w:pPr>
    </w:p>
    <w:p w14:paraId="5EB6BFF8">
      <w:pPr>
        <w:pStyle w:val="22"/>
        <w:shd w:val="clear"/>
        <w:adjustRightInd w:val="0"/>
        <w:snapToGrid w:val="0"/>
        <w:spacing w:line="360" w:lineRule="auto"/>
        <w:outlineLvl w:val="1"/>
        <w:rPr>
          <w:rFonts w:hAnsi="宋体"/>
          <w:color w:val="auto"/>
          <w:kern w:val="0"/>
          <w:sz w:val="28"/>
          <w:szCs w:val="28"/>
          <w:highlight w:val="none"/>
          <w:lang w:val="zh-CN"/>
        </w:rPr>
      </w:pPr>
      <w:bookmarkStart w:id="237" w:name="_Toc21326"/>
      <w:bookmarkStart w:id="238" w:name="_Toc6494390"/>
    </w:p>
    <w:p w14:paraId="09CA2846">
      <w:pPr>
        <w:pStyle w:val="22"/>
        <w:shd w:val="clear"/>
        <w:adjustRightInd w:val="0"/>
        <w:snapToGrid w:val="0"/>
        <w:spacing w:line="360" w:lineRule="auto"/>
        <w:outlineLvl w:val="1"/>
        <w:rPr>
          <w:rFonts w:hAnsi="宋体"/>
          <w:color w:val="auto"/>
          <w:kern w:val="0"/>
          <w:sz w:val="28"/>
          <w:szCs w:val="28"/>
          <w:highlight w:val="none"/>
          <w:lang w:val="zh-CN"/>
        </w:rPr>
      </w:pPr>
    </w:p>
    <w:p w14:paraId="6C6EAE28">
      <w:pPr>
        <w:pStyle w:val="22"/>
        <w:shd w:val="clear"/>
        <w:adjustRightInd w:val="0"/>
        <w:snapToGrid w:val="0"/>
        <w:spacing w:line="360" w:lineRule="auto"/>
        <w:outlineLvl w:val="1"/>
        <w:rPr>
          <w:rFonts w:hAnsi="宋体"/>
          <w:color w:val="auto"/>
          <w:kern w:val="0"/>
          <w:sz w:val="28"/>
          <w:szCs w:val="28"/>
          <w:highlight w:val="none"/>
          <w:lang w:val="zh-CN"/>
        </w:rPr>
      </w:pPr>
    </w:p>
    <w:p w14:paraId="59F3A090">
      <w:pPr>
        <w:pStyle w:val="22"/>
        <w:shd w:val="clear"/>
        <w:adjustRightInd w:val="0"/>
        <w:snapToGrid w:val="0"/>
        <w:spacing w:line="360" w:lineRule="auto"/>
        <w:outlineLvl w:val="1"/>
        <w:rPr>
          <w:rFonts w:hAnsi="宋体"/>
          <w:color w:val="auto"/>
          <w:kern w:val="0"/>
          <w:sz w:val="28"/>
          <w:szCs w:val="28"/>
          <w:highlight w:val="none"/>
          <w:lang w:val="zh-CN"/>
        </w:rPr>
      </w:pPr>
    </w:p>
    <w:p w14:paraId="0B2C19DF">
      <w:pPr>
        <w:pStyle w:val="22"/>
        <w:shd w:val="clear"/>
        <w:adjustRightInd w:val="0"/>
        <w:snapToGrid w:val="0"/>
        <w:spacing w:line="360" w:lineRule="auto"/>
        <w:outlineLvl w:val="1"/>
        <w:rPr>
          <w:rFonts w:hAnsi="宋体"/>
          <w:color w:val="auto"/>
          <w:kern w:val="0"/>
          <w:sz w:val="28"/>
          <w:szCs w:val="28"/>
          <w:highlight w:val="none"/>
          <w:lang w:val="zh-CN"/>
        </w:rPr>
      </w:pPr>
    </w:p>
    <w:p w14:paraId="5C6C5D43">
      <w:pPr>
        <w:pStyle w:val="22"/>
        <w:shd w:val="clear"/>
        <w:adjustRightInd w:val="0"/>
        <w:snapToGrid w:val="0"/>
        <w:spacing w:line="360" w:lineRule="auto"/>
        <w:outlineLvl w:val="1"/>
        <w:rPr>
          <w:rFonts w:hAnsi="宋体"/>
          <w:color w:val="auto"/>
          <w:kern w:val="0"/>
          <w:sz w:val="28"/>
          <w:szCs w:val="28"/>
          <w:highlight w:val="none"/>
          <w:lang w:val="zh-CN"/>
        </w:rPr>
      </w:pPr>
    </w:p>
    <w:p w14:paraId="43EE0F83">
      <w:pPr>
        <w:pStyle w:val="22"/>
        <w:shd w:val="clear"/>
        <w:adjustRightInd w:val="0"/>
        <w:snapToGrid w:val="0"/>
        <w:spacing w:line="360" w:lineRule="auto"/>
        <w:outlineLvl w:val="1"/>
        <w:rPr>
          <w:rFonts w:hAnsi="宋体"/>
          <w:color w:val="auto"/>
          <w:kern w:val="0"/>
          <w:sz w:val="28"/>
          <w:szCs w:val="28"/>
          <w:highlight w:val="none"/>
          <w:lang w:val="zh-CN"/>
        </w:rPr>
      </w:pPr>
    </w:p>
    <w:p w14:paraId="672054C8">
      <w:pPr>
        <w:pStyle w:val="22"/>
        <w:shd w:val="clear"/>
        <w:adjustRightInd w:val="0"/>
        <w:snapToGrid w:val="0"/>
        <w:spacing w:line="360" w:lineRule="auto"/>
        <w:outlineLvl w:val="1"/>
        <w:rPr>
          <w:rFonts w:hAnsi="宋体"/>
          <w:color w:val="auto"/>
          <w:kern w:val="0"/>
          <w:sz w:val="28"/>
          <w:szCs w:val="28"/>
          <w:highlight w:val="none"/>
          <w:lang w:val="zh-CN"/>
        </w:rPr>
      </w:pPr>
    </w:p>
    <w:p w14:paraId="6F5F08AB">
      <w:pPr>
        <w:pStyle w:val="22"/>
        <w:shd w:val="clear"/>
        <w:adjustRightInd w:val="0"/>
        <w:snapToGrid w:val="0"/>
        <w:spacing w:line="360" w:lineRule="auto"/>
        <w:outlineLvl w:val="1"/>
        <w:rPr>
          <w:rFonts w:hAnsi="宋体"/>
          <w:color w:val="auto"/>
          <w:kern w:val="0"/>
          <w:sz w:val="28"/>
          <w:szCs w:val="28"/>
          <w:highlight w:val="none"/>
          <w:lang w:val="zh-CN"/>
        </w:rPr>
      </w:pPr>
    </w:p>
    <w:p w14:paraId="3422A98A">
      <w:pPr>
        <w:pStyle w:val="22"/>
        <w:shd w:val="clear"/>
        <w:adjustRightInd w:val="0"/>
        <w:snapToGrid w:val="0"/>
        <w:spacing w:line="360" w:lineRule="auto"/>
        <w:outlineLvl w:val="1"/>
        <w:rPr>
          <w:rFonts w:hAnsi="宋体"/>
          <w:color w:val="auto"/>
          <w:kern w:val="0"/>
          <w:sz w:val="28"/>
          <w:szCs w:val="28"/>
          <w:highlight w:val="none"/>
          <w:lang w:val="zh-CN"/>
        </w:rPr>
      </w:pPr>
    </w:p>
    <w:p w14:paraId="093863B2">
      <w:pPr>
        <w:pStyle w:val="22"/>
        <w:shd w:val="clear"/>
        <w:adjustRightInd w:val="0"/>
        <w:snapToGrid w:val="0"/>
        <w:spacing w:line="360" w:lineRule="auto"/>
        <w:outlineLvl w:val="1"/>
        <w:rPr>
          <w:rFonts w:hAnsi="宋体"/>
          <w:color w:val="auto"/>
          <w:kern w:val="0"/>
          <w:sz w:val="28"/>
          <w:szCs w:val="28"/>
          <w:highlight w:val="none"/>
          <w:lang w:val="zh-CN"/>
        </w:rPr>
      </w:pPr>
    </w:p>
    <w:p w14:paraId="4BD10B31">
      <w:pPr>
        <w:pStyle w:val="22"/>
        <w:shd w:val="clear"/>
        <w:adjustRightInd w:val="0"/>
        <w:snapToGrid w:val="0"/>
        <w:spacing w:line="360" w:lineRule="auto"/>
        <w:outlineLvl w:val="1"/>
        <w:rPr>
          <w:rFonts w:hAnsi="宋体"/>
          <w:color w:val="auto"/>
          <w:kern w:val="0"/>
          <w:sz w:val="28"/>
          <w:szCs w:val="28"/>
          <w:highlight w:val="none"/>
          <w:lang w:val="zh-CN"/>
        </w:rPr>
      </w:pPr>
    </w:p>
    <w:p w14:paraId="3A25D030">
      <w:pPr>
        <w:pStyle w:val="22"/>
        <w:shd w:val="clear"/>
        <w:adjustRightInd w:val="0"/>
        <w:snapToGrid w:val="0"/>
        <w:spacing w:line="360" w:lineRule="auto"/>
        <w:outlineLvl w:val="1"/>
        <w:rPr>
          <w:rFonts w:hAnsi="宋体"/>
          <w:color w:val="auto"/>
          <w:kern w:val="0"/>
          <w:sz w:val="28"/>
          <w:szCs w:val="28"/>
          <w:highlight w:val="none"/>
          <w:lang w:val="zh-CN"/>
        </w:rPr>
      </w:pPr>
    </w:p>
    <w:bookmarkEnd w:id="237"/>
    <w:bookmarkEnd w:id="238"/>
    <w:p w14:paraId="7720DA5C">
      <w:pPr>
        <w:shd w:val="clear"/>
        <w:spacing w:line="320" w:lineRule="exact"/>
        <w:rPr>
          <w:rFonts w:ascii="宋体" w:hAnsi="宋体" w:cs="宋体"/>
          <w:b/>
          <w:color w:val="auto"/>
          <w:sz w:val="30"/>
          <w:szCs w:val="30"/>
          <w:highlight w:val="none"/>
        </w:rPr>
      </w:pPr>
      <w:r>
        <w:rPr>
          <w:rFonts w:ascii="宋体" w:hAnsi="宋体" w:cs="宋体"/>
          <w:b/>
          <w:color w:val="auto"/>
          <w:sz w:val="30"/>
          <w:szCs w:val="30"/>
          <w:highlight w:val="none"/>
        </w:rPr>
        <w:t>表1：资格后审材料</w:t>
      </w:r>
    </w:p>
    <w:p w14:paraId="24692678">
      <w:pPr>
        <w:shd w:val="clear"/>
        <w:spacing w:line="320" w:lineRule="exact"/>
        <w:rPr>
          <w:rFonts w:ascii="宋体" w:hAnsi="宋体" w:cs="宋体"/>
          <w:b/>
          <w:color w:val="auto"/>
          <w:sz w:val="30"/>
          <w:szCs w:val="30"/>
          <w:highlight w:val="none"/>
        </w:rPr>
      </w:pPr>
      <w:r>
        <w:rPr>
          <w:rFonts w:ascii="宋体" w:hAnsi="宋体" w:cs="宋体"/>
          <w:b/>
          <w:color w:val="auto"/>
          <w:sz w:val="30"/>
          <w:szCs w:val="30"/>
          <w:highlight w:val="none"/>
        </w:rPr>
        <w:t xml:space="preserve">                      资格后审材料表</w:t>
      </w:r>
    </w:p>
    <w:tbl>
      <w:tblPr>
        <w:tblStyle w:val="19"/>
        <w:tblW w:w="9322" w:type="dxa"/>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534"/>
        <w:gridCol w:w="4702"/>
        <w:gridCol w:w="4086"/>
      </w:tblGrid>
      <w:tr w14:paraId="58B62F70">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247" w:hRule="atLeast"/>
        </w:trPr>
        <w:tc>
          <w:tcPr>
            <w:tcW w:w="534" w:type="dxa"/>
            <w:noWrap w:val="0"/>
            <w:vAlign w:val="center"/>
          </w:tcPr>
          <w:p w14:paraId="3F22D4BF">
            <w:pPr>
              <w:shd w:val="clear"/>
              <w:jc w:val="center"/>
              <w:rPr>
                <w:rFonts w:ascii="宋体" w:hAnsi="宋体"/>
                <w:b/>
                <w:color w:val="auto"/>
                <w:szCs w:val="21"/>
                <w:highlight w:val="none"/>
              </w:rPr>
            </w:pPr>
            <w:r>
              <w:rPr>
                <w:rFonts w:ascii="宋体" w:hAnsi="宋体"/>
                <w:b/>
                <w:color w:val="auto"/>
                <w:szCs w:val="21"/>
                <w:highlight w:val="none"/>
              </w:rPr>
              <w:t>序号</w:t>
            </w:r>
          </w:p>
        </w:tc>
        <w:tc>
          <w:tcPr>
            <w:tcW w:w="4702" w:type="dxa"/>
            <w:noWrap w:val="0"/>
            <w:vAlign w:val="center"/>
          </w:tcPr>
          <w:p w14:paraId="6A218B8E">
            <w:pPr>
              <w:shd w:val="clear"/>
              <w:jc w:val="center"/>
              <w:rPr>
                <w:rFonts w:ascii="宋体" w:hAnsi="宋体"/>
                <w:b/>
                <w:color w:val="auto"/>
                <w:szCs w:val="21"/>
                <w:highlight w:val="none"/>
              </w:rPr>
            </w:pPr>
            <w:r>
              <w:rPr>
                <w:rFonts w:ascii="宋体" w:hAnsi="宋体"/>
                <w:b/>
                <w:color w:val="auto"/>
                <w:szCs w:val="21"/>
                <w:highlight w:val="none"/>
              </w:rPr>
              <w:t>资格条件要求</w:t>
            </w:r>
          </w:p>
        </w:tc>
        <w:tc>
          <w:tcPr>
            <w:tcW w:w="4086" w:type="dxa"/>
            <w:noWrap w:val="0"/>
            <w:vAlign w:val="center"/>
          </w:tcPr>
          <w:p w14:paraId="592C0AC2">
            <w:pPr>
              <w:shd w:val="clear"/>
              <w:jc w:val="center"/>
              <w:rPr>
                <w:rFonts w:ascii="宋体" w:hAnsi="宋体"/>
                <w:b/>
                <w:color w:val="auto"/>
                <w:szCs w:val="21"/>
                <w:highlight w:val="none"/>
              </w:rPr>
            </w:pPr>
            <w:r>
              <w:rPr>
                <w:rFonts w:ascii="宋体" w:hAnsi="宋体"/>
                <w:b/>
                <w:color w:val="auto"/>
                <w:szCs w:val="21"/>
                <w:highlight w:val="none"/>
              </w:rPr>
              <w:t>以下证明材料附后（除承诺函、说明、 声明外的其他证件也须在提供的复印件上加盖公章）</w:t>
            </w:r>
          </w:p>
        </w:tc>
      </w:tr>
      <w:tr w14:paraId="05C44712">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09" w:hRule="atLeast"/>
        </w:trPr>
        <w:tc>
          <w:tcPr>
            <w:tcW w:w="534" w:type="dxa"/>
            <w:noWrap w:val="0"/>
            <w:vAlign w:val="center"/>
          </w:tcPr>
          <w:p w14:paraId="4936378E">
            <w:pPr>
              <w:shd w:val="clear"/>
              <w:jc w:val="center"/>
              <w:rPr>
                <w:rFonts w:ascii="宋体" w:hAnsi="宋体"/>
                <w:color w:val="auto"/>
                <w:szCs w:val="21"/>
                <w:highlight w:val="none"/>
              </w:rPr>
            </w:pPr>
            <w:r>
              <w:rPr>
                <w:rFonts w:ascii="宋体" w:hAnsi="宋体"/>
                <w:color w:val="auto"/>
                <w:szCs w:val="21"/>
                <w:highlight w:val="none"/>
              </w:rPr>
              <w:t>1</w:t>
            </w:r>
          </w:p>
        </w:tc>
        <w:tc>
          <w:tcPr>
            <w:tcW w:w="4702" w:type="dxa"/>
            <w:noWrap w:val="0"/>
            <w:vAlign w:val="center"/>
          </w:tcPr>
          <w:p w14:paraId="54470772">
            <w:pPr>
              <w:shd w:val="clear"/>
              <w:rPr>
                <w:rFonts w:ascii="宋体" w:hAnsi="宋体"/>
                <w:b/>
                <w:color w:val="auto"/>
                <w:szCs w:val="21"/>
                <w:highlight w:val="none"/>
                <w:lang w:val="zh-CN"/>
              </w:rPr>
            </w:pPr>
            <w:r>
              <w:rPr>
                <w:rFonts w:ascii="宋体" w:hAnsi="宋体"/>
                <w:b/>
                <w:color w:val="auto"/>
                <w:szCs w:val="21"/>
                <w:highlight w:val="none"/>
                <w:lang w:val="zh-CN"/>
              </w:rPr>
              <w:t>基本资格要求</w:t>
            </w:r>
          </w:p>
        </w:tc>
        <w:tc>
          <w:tcPr>
            <w:tcW w:w="4086" w:type="dxa"/>
            <w:noWrap w:val="0"/>
            <w:vAlign w:val="center"/>
          </w:tcPr>
          <w:p w14:paraId="558B7DD0">
            <w:pPr>
              <w:shd w:val="clear"/>
              <w:rPr>
                <w:rFonts w:ascii="宋体" w:hAnsi="宋体"/>
                <w:color w:val="auto"/>
                <w:szCs w:val="21"/>
                <w:highlight w:val="none"/>
              </w:rPr>
            </w:pPr>
            <w:r>
              <w:rPr>
                <w:rFonts w:ascii="宋体" w:hAnsi="宋体"/>
                <w:color w:val="auto"/>
                <w:szCs w:val="21"/>
                <w:highlight w:val="none"/>
              </w:rPr>
              <w:t>/</w:t>
            </w:r>
          </w:p>
        </w:tc>
      </w:tr>
      <w:tr w14:paraId="234949F7">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534" w:type="dxa"/>
            <w:noWrap w:val="0"/>
            <w:vAlign w:val="center"/>
          </w:tcPr>
          <w:p w14:paraId="0D368154">
            <w:pPr>
              <w:shd w:val="clear"/>
              <w:rPr>
                <w:rFonts w:ascii="宋体" w:hAnsi="宋体" w:cs="宋体"/>
                <w:color w:val="auto"/>
                <w:sz w:val="20"/>
                <w:highlight w:val="none"/>
              </w:rPr>
            </w:pPr>
            <w:r>
              <w:rPr>
                <w:rFonts w:ascii="宋体" w:hAnsi="宋体" w:cs="宋体"/>
                <w:color w:val="auto"/>
                <w:sz w:val="20"/>
                <w:highlight w:val="none"/>
              </w:rPr>
              <w:t>1.1</w:t>
            </w:r>
          </w:p>
        </w:tc>
        <w:tc>
          <w:tcPr>
            <w:tcW w:w="4702" w:type="dxa"/>
            <w:noWrap w:val="0"/>
            <w:vAlign w:val="center"/>
          </w:tcPr>
          <w:p w14:paraId="4E85DFF6">
            <w:pPr>
              <w:shd w:val="clear"/>
              <w:rPr>
                <w:rFonts w:ascii="宋体" w:hAnsi="宋体" w:cs="宋体"/>
                <w:color w:val="auto"/>
                <w:sz w:val="20"/>
                <w:highlight w:val="none"/>
              </w:rPr>
            </w:pPr>
            <w:r>
              <w:rPr>
                <w:rFonts w:ascii="宋体" w:hAnsi="宋体" w:cs="宋体"/>
                <w:color w:val="auto"/>
                <w:sz w:val="20"/>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c>
          <w:tcPr>
            <w:tcW w:w="4086" w:type="dxa"/>
            <w:noWrap w:val="0"/>
            <w:vAlign w:val="center"/>
          </w:tcPr>
          <w:p w14:paraId="5A2152CD">
            <w:pPr>
              <w:shd w:val="clear"/>
              <w:rPr>
                <w:rFonts w:ascii="宋体" w:hAnsi="宋体" w:cs="宋体"/>
                <w:color w:val="auto"/>
                <w:sz w:val="20"/>
                <w:highlight w:val="none"/>
                <w:lang w:val="zh-CN"/>
              </w:rPr>
            </w:pPr>
            <w:r>
              <w:rPr>
                <w:rFonts w:ascii="宋体" w:hAnsi="宋体" w:cs="宋体"/>
                <w:color w:val="auto"/>
                <w:sz w:val="20"/>
                <w:highlight w:val="none"/>
                <w:lang w:val="zh-CN"/>
              </w:rPr>
              <w:t>（1）</w:t>
            </w:r>
            <w:r>
              <w:rPr>
                <w:rFonts w:ascii="宋体" w:hAnsi="宋体" w:cs="宋体"/>
                <w:b/>
                <w:bCs/>
                <w:color w:val="auto"/>
                <w:sz w:val="20"/>
                <w:highlight w:val="none"/>
                <w:lang w:val="zh-CN"/>
              </w:rPr>
              <w:t>营业执照</w:t>
            </w:r>
            <w:r>
              <w:rPr>
                <w:rFonts w:ascii="宋体" w:hAnsi="宋体" w:cs="宋体"/>
                <w:color w:val="auto"/>
                <w:sz w:val="20"/>
                <w:highlight w:val="none"/>
                <w:lang w:val="zh-CN"/>
              </w:rPr>
              <w:t>（或事业法人登记证或其</w:t>
            </w:r>
          </w:p>
          <w:p w14:paraId="42A0418D">
            <w:pPr>
              <w:shd w:val="clear"/>
              <w:rPr>
                <w:rFonts w:ascii="宋体" w:hAnsi="宋体" w:cs="宋体"/>
                <w:color w:val="auto"/>
                <w:sz w:val="20"/>
                <w:highlight w:val="none"/>
                <w:lang w:val="zh-CN"/>
              </w:rPr>
            </w:pPr>
            <w:r>
              <w:rPr>
                <w:rFonts w:ascii="宋体" w:hAnsi="宋体" w:cs="宋体"/>
                <w:color w:val="auto"/>
                <w:sz w:val="20"/>
                <w:highlight w:val="none"/>
                <w:lang w:val="zh-CN"/>
              </w:rPr>
              <w:t>他工商等登记证明材料）复印件（供应商</w:t>
            </w:r>
          </w:p>
          <w:p w14:paraId="21240B99">
            <w:pPr>
              <w:shd w:val="clear"/>
              <w:rPr>
                <w:rFonts w:ascii="宋体" w:hAnsi="宋体" w:cs="宋体"/>
                <w:color w:val="auto"/>
                <w:sz w:val="20"/>
                <w:highlight w:val="none"/>
                <w:lang w:val="zh-CN"/>
              </w:rPr>
            </w:pPr>
            <w:r>
              <w:rPr>
                <w:rFonts w:ascii="宋体" w:hAnsi="宋体" w:cs="宋体"/>
                <w:color w:val="auto"/>
                <w:sz w:val="20"/>
                <w:highlight w:val="none"/>
                <w:lang w:val="zh-CN"/>
              </w:rPr>
              <w:t>为自然人的，提供自然人的身份证明）。</w:t>
            </w:r>
          </w:p>
          <w:p w14:paraId="30BFE970">
            <w:pPr>
              <w:shd w:val="clear"/>
              <w:rPr>
                <w:rFonts w:ascii="宋体" w:hAnsi="宋体" w:cs="宋体"/>
                <w:color w:val="auto"/>
                <w:sz w:val="20"/>
                <w:highlight w:val="none"/>
                <w:lang w:val="zh-CN"/>
              </w:rPr>
            </w:pPr>
            <w:r>
              <w:rPr>
                <w:rFonts w:ascii="宋体" w:hAnsi="宋体" w:cs="宋体"/>
                <w:color w:val="auto"/>
                <w:sz w:val="20"/>
                <w:highlight w:val="none"/>
                <w:lang w:val="zh-CN"/>
              </w:rPr>
              <w:t>（2）</w:t>
            </w:r>
            <w:r>
              <w:rPr>
                <w:rFonts w:ascii="宋体" w:hAnsi="宋体" w:cs="宋体"/>
                <w:b/>
                <w:bCs/>
                <w:color w:val="auto"/>
                <w:sz w:val="20"/>
                <w:highlight w:val="none"/>
                <w:lang w:val="zh-CN"/>
              </w:rPr>
              <w:t>符合资格条件的声明函。</w:t>
            </w:r>
            <w:r>
              <w:rPr>
                <w:rFonts w:ascii="宋体" w:hAnsi="宋体" w:cs="宋体"/>
                <w:color w:val="auto"/>
                <w:sz w:val="20"/>
                <w:highlight w:val="none"/>
                <w:lang w:val="zh-CN"/>
              </w:rPr>
              <w:t>【声明函1】</w:t>
            </w:r>
          </w:p>
        </w:tc>
      </w:tr>
      <w:tr w14:paraId="53FC0079">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34" w:type="dxa"/>
            <w:noWrap w:val="0"/>
            <w:vAlign w:val="center"/>
          </w:tcPr>
          <w:p w14:paraId="224C176D">
            <w:pPr>
              <w:shd w:val="clear"/>
              <w:jc w:val="center"/>
              <w:rPr>
                <w:rFonts w:ascii="宋体" w:hAnsi="宋体" w:cs="宋体"/>
                <w:color w:val="auto"/>
                <w:sz w:val="20"/>
                <w:highlight w:val="none"/>
              </w:rPr>
            </w:pPr>
            <w:r>
              <w:rPr>
                <w:rFonts w:ascii="宋体" w:hAnsi="宋体" w:cs="宋体"/>
                <w:color w:val="auto"/>
                <w:sz w:val="20"/>
                <w:highlight w:val="none"/>
              </w:rPr>
              <w:t>2</w:t>
            </w:r>
          </w:p>
        </w:tc>
        <w:tc>
          <w:tcPr>
            <w:tcW w:w="4702" w:type="dxa"/>
            <w:noWrap w:val="0"/>
            <w:vAlign w:val="center"/>
          </w:tcPr>
          <w:p w14:paraId="4141DC8F">
            <w:pPr>
              <w:shd w:val="clear"/>
              <w:rPr>
                <w:rFonts w:ascii="宋体" w:hAnsi="宋体" w:cs="宋体"/>
                <w:color w:val="auto"/>
                <w:sz w:val="20"/>
                <w:highlight w:val="none"/>
              </w:rPr>
            </w:pPr>
            <w:r>
              <w:rPr>
                <w:rFonts w:ascii="宋体" w:hAnsi="宋体" w:cs="宋体"/>
                <w:color w:val="auto"/>
                <w:sz w:val="20"/>
                <w:highlight w:val="none"/>
              </w:rPr>
              <w:t>落实政府采购政策需满足的资格要求：</w:t>
            </w:r>
          </w:p>
        </w:tc>
        <w:tc>
          <w:tcPr>
            <w:tcW w:w="4086" w:type="dxa"/>
            <w:noWrap w:val="0"/>
            <w:vAlign w:val="center"/>
          </w:tcPr>
          <w:p w14:paraId="3FCAD83D">
            <w:pPr>
              <w:shd w:val="clear"/>
              <w:rPr>
                <w:rFonts w:ascii="宋体" w:hAnsi="宋体" w:cs="宋体"/>
                <w:color w:val="auto"/>
                <w:sz w:val="20"/>
                <w:highlight w:val="none"/>
              </w:rPr>
            </w:pPr>
            <w:r>
              <w:rPr>
                <w:rFonts w:ascii="宋体" w:hAnsi="宋体" w:cs="宋体"/>
                <w:color w:val="auto"/>
                <w:sz w:val="20"/>
                <w:highlight w:val="none"/>
              </w:rPr>
              <w:t>/</w:t>
            </w:r>
          </w:p>
        </w:tc>
      </w:tr>
      <w:tr w14:paraId="4DAC881E">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34" w:type="dxa"/>
            <w:noWrap w:val="0"/>
            <w:vAlign w:val="center"/>
          </w:tcPr>
          <w:p w14:paraId="7528BD92">
            <w:pPr>
              <w:shd w:val="clear"/>
              <w:jc w:val="center"/>
              <w:rPr>
                <w:rFonts w:ascii="宋体" w:hAnsi="宋体" w:cs="宋体"/>
                <w:color w:val="auto"/>
                <w:sz w:val="20"/>
                <w:highlight w:val="none"/>
              </w:rPr>
            </w:pPr>
            <w:r>
              <w:rPr>
                <w:rFonts w:ascii="宋体" w:hAnsi="宋体" w:cs="宋体"/>
                <w:color w:val="auto"/>
                <w:sz w:val="20"/>
                <w:highlight w:val="none"/>
              </w:rPr>
              <w:t>2.1</w:t>
            </w:r>
          </w:p>
        </w:tc>
        <w:tc>
          <w:tcPr>
            <w:tcW w:w="4702" w:type="dxa"/>
            <w:noWrap w:val="0"/>
            <w:vAlign w:val="center"/>
          </w:tcPr>
          <w:p w14:paraId="1E898100">
            <w:pPr>
              <w:shd w:val="clear"/>
              <w:jc w:val="left"/>
              <w:rPr>
                <w:rFonts w:ascii="宋体" w:hAnsi="宋体" w:cs="宋体"/>
                <w:color w:val="auto"/>
                <w:sz w:val="20"/>
                <w:highlight w:val="none"/>
              </w:rPr>
            </w:pPr>
            <w:r>
              <w:rPr>
                <w:rFonts w:ascii="宋体" w:hAnsi="宋体" w:cs="宋体"/>
                <w:color w:val="auto"/>
                <w:sz w:val="20"/>
                <w:highlight w:val="none"/>
              </w:rPr>
              <w:t>本项目属于【</w:t>
            </w:r>
            <w:r>
              <w:rPr>
                <w:rFonts w:hint="eastAsia" w:ascii="宋体" w:hAnsi="宋体" w:cs="宋体"/>
                <w:color w:val="auto"/>
                <w:sz w:val="20"/>
                <w:highlight w:val="none"/>
                <w:lang w:eastAsia="zh-CN"/>
              </w:rPr>
              <w:t>其他未列明行业</w:t>
            </w:r>
            <w:r>
              <w:rPr>
                <w:rFonts w:ascii="宋体" w:hAnsi="宋体" w:cs="宋体"/>
                <w:color w:val="auto"/>
                <w:sz w:val="20"/>
                <w:highlight w:val="none"/>
              </w:rPr>
              <w:t>】行业，要求供应商为中小企业。中小企业是指满足《政府采购促进中小企业发展管理办法》（财库〔2020〕46号）第二条规定的企业，监狱企业、残疾人福利性单位视为中小企业；</w:t>
            </w:r>
          </w:p>
        </w:tc>
        <w:tc>
          <w:tcPr>
            <w:tcW w:w="4086" w:type="dxa"/>
            <w:noWrap w:val="0"/>
            <w:vAlign w:val="center"/>
          </w:tcPr>
          <w:p w14:paraId="262F29B6">
            <w:pPr>
              <w:shd w:val="clear"/>
              <w:jc w:val="left"/>
              <w:rPr>
                <w:rFonts w:ascii="宋体" w:hAnsi="宋体" w:cs="宋体"/>
                <w:color w:val="auto"/>
                <w:sz w:val="20"/>
                <w:highlight w:val="none"/>
              </w:rPr>
            </w:pPr>
            <w:r>
              <w:rPr>
                <w:rFonts w:ascii="宋体" w:hAnsi="宋体" w:cs="宋体"/>
                <w:color w:val="auto"/>
                <w:sz w:val="20"/>
                <w:highlight w:val="none"/>
              </w:rPr>
              <w:t>中小企业声明函/监狱企业声明函及其相关的充分的证明材料/残疾人福利性单位声明函。【</w:t>
            </w:r>
            <w:r>
              <w:rPr>
                <w:rFonts w:ascii="宋体" w:hAnsi="宋体" w:cs="宋体"/>
                <w:color w:val="auto"/>
                <w:sz w:val="20"/>
                <w:highlight w:val="none"/>
                <w:lang w:val="zh-CN"/>
              </w:rPr>
              <w:t>声明函</w:t>
            </w:r>
            <w:r>
              <w:rPr>
                <w:rFonts w:ascii="宋体" w:hAnsi="宋体" w:cs="宋体"/>
                <w:color w:val="auto"/>
                <w:sz w:val="20"/>
                <w:highlight w:val="none"/>
              </w:rPr>
              <w:t>2】</w:t>
            </w:r>
          </w:p>
        </w:tc>
      </w:tr>
      <w:tr w14:paraId="28D46882">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534" w:type="dxa"/>
            <w:noWrap w:val="0"/>
            <w:vAlign w:val="center"/>
          </w:tcPr>
          <w:p w14:paraId="0F71886D">
            <w:pPr>
              <w:shd w:val="clear"/>
              <w:jc w:val="center"/>
              <w:rPr>
                <w:rFonts w:ascii="宋体" w:hAnsi="宋体" w:cs="宋体"/>
                <w:color w:val="auto"/>
                <w:sz w:val="20"/>
                <w:highlight w:val="none"/>
              </w:rPr>
            </w:pPr>
            <w:r>
              <w:rPr>
                <w:rFonts w:ascii="宋体" w:hAnsi="宋体" w:cs="宋体"/>
                <w:color w:val="auto"/>
                <w:sz w:val="20"/>
                <w:highlight w:val="none"/>
              </w:rPr>
              <w:t>3</w:t>
            </w:r>
          </w:p>
        </w:tc>
        <w:tc>
          <w:tcPr>
            <w:tcW w:w="4702" w:type="dxa"/>
            <w:noWrap w:val="0"/>
            <w:vAlign w:val="center"/>
          </w:tcPr>
          <w:p w14:paraId="0D2127F2">
            <w:pPr>
              <w:shd w:val="clear"/>
              <w:rPr>
                <w:rFonts w:ascii="宋体" w:hAnsi="宋体" w:cs="宋体"/>
                <w:color w:val="auto"/>
                <w:sz w:val="20"/>
                <w:highlight w:val="none"/>
              </w:rPr>
            </w:pPr>
            <w:r>
              <w:rPr>
                <w:rFonts w:ascii="宋体" w:hAnsi="宋体" w:cs="宋体"/>
                <w:color w:val="auto"/>
                <w:sz w:val="20"/>
                <w:highlight w:val="none"/>
              </w:rPr>
              <w:t>特定资格要求</w:t>
            </w:r>
          </w:p>
        </w:tc>
        <w:tc>
          <w:tcPr>
            <w:tcW w:w="4086" w:type="dxa"/>
            <w:noWrap w:val="0"/>
            <w:vAlign w:val="center"/>
          </w:tcPr>
          <w:p w14:paraId="09187E10">
            <w:pPr>
              <w:shd w:val="clear"/>
              <w:rPr>
                <w:rFonts w:ascii="宋体" w:hAnsi="宋体" w:cs="宋体"/>
                <w:color w:val="auto"/>
                <w:sz w:val="20"/>
                <w:highlight w:val="none"/>
              </w:rPr>
            </w:pPr>
            <w:r>
              <w:rPr>
                <w:rFonts w:ascii="宋体" w:hAnsi="宋体" w:cs="宋体"/>
                <w:color w:val="auto"/>
                <w:sz w:val="20"/>
                <w:highlight w:val="none"/>
              </w:rPr>
              <w:t>/</w:t>
            </w:r>
          </w:p>
        </w:tc>
      </w:tr>
      <w:tr w14:paraId="4DCBF39D">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534" w:type="dxa"/>
            <w:noWrap w:val="0"/>
            <w:vAlign w:val="center"/>
          </w:tcPr>
          <w:p w14:paraId="6A745A9C">
            <w:pPr>
              <w:shd w:val="clear"/>
              <w:jc w:val="center"/>
              <w:rPr>
                <w:rFonts w:ascii="宋体" w:hAnsi="宋体" w:cs="宋体"/>
                <w:color w:val="auto"/>
                <w:sz w:val="20"/>
                <w:highlight w:val="none"/>
              </w:rPr>
            </w:pPr>
            <w:r>
              <w:rPr>
                <w:rFonts w:ascii="宋体" w:hAnsi="宋体" w:cs="宋体"/>
                <w:color w:val="auto"/>
                <w:sz w:val="20"/>
                <w:highlight w:val="none"/>
              </w:rPr>
              <w:t>3.1</w:t>
            </w:r>
          </w:p>
        </w:tc>
        <w:tc>
          <w:tcPr>
            <w:tcW w:w="4702" w:type="dxa"/>
            <w:noWrap w:val="0"/>
            <w:vAlign w:val="center"/>
          </w:tcPr>
          <w:p w14:paraId="6D27726C">
            <w:pPr>
              <w:shd w:val="clear"/>
              <w:rPr>
                <w:rFonts w:ascii="宋体" w:hAnsi="宋体" w:cs="宋体"/>
                <w:color w:val="auto"/>
                <w:sz w:val="20"/>
                <w:highlight w:val="none"/>
              </w:rPr>
            </w:pPr>
            <w:r>
              <w:rPr>
                <w:rFonts w:ascii="宋体" w:hAnsi="宋体" w:cs="宋体"/>
                <w:color w:val="auto"/>
                <w:sz w:val="20"/>
                <w:highlight w:val="none"/>
              </w:rPr>
              <w:t>单位负责人为同一人或者存在直接控股、管理关系的不同供应商，不得参加同一合同项下的政府采购活动；</w:t>
            </w:r>
          </w:p>
        </w:tc>
        <w:tc>
          <w:tcPr>
            <w:tcW w:w="4086" w:type="dxa"/>
            <w:noWrap w:val="0"/>
            <w:vAlign w:val="center"/>
          </w:tcPr>
          <w:p w14:paraId="75E50518">
            <w:pPr>
              <w:shd w:val="clear"/>
              <w:rPr>
                <w:rFonts w:ascii="宋体" w:hAnsi="宋体" w:cs="宋体"/>
                <w:color w:val="auto"/>
                <w:sz w:val="20"/>
                <w:highlight w:val="none"/>
              </w:rPr>
            </w:pPr>
            <w:r>
              <w:rPr>
                <w:rFonts w:ascii="宋体" w:hAnsi="宋体" w:cs="宋体"/>
                <w:color w:val="auto"/>
                <w:sz w:val="20"/>
                <w:highlight w:val="none"/>
              </w:rPr>
              <w:t>与其他供应商无利害关系的声明函</w:t>
            </w:r>
            <w:r>
              <w:rPr>
                <w:rFonts w:hint="eastAsia" w:ascii="宋体" w:hAnsi="宋体" w:cs="宋体"/>
                <w:color w:val="auto"/>
                <w:sz w:val="20"/>
                <w:highlight w:val="none"/>
                <w:lang w:eastAsia="zh-CN"/>
              </w:rPr>
              <w:t>。</w:t>
            </w:r>
            <w:r>
              <w:rPr>
                <w:rFonts w:ascii="宋体" w:hAnsi="宋体" w:cs="宋体"/>
                <w:color w:val="auto"/>
                <w:sz w:val="20"/>
                <w:highlight w:val="none"/>
              </w:rPr>
              <w:t>【</w:t>
            </w:r>
            <w:r>
              <w:rPr>
                <w:rFonts w:ascii="宋体" w:hAnsi="宋体" w:cs="宋体"/>
                <w:color w:val="auto"/>
                <w:sz w:val="20"/>
                <w:highlight w:val="none"/>
                <w:lang w:val="zh-CN"/>
              </w:rPr>
              <w:t>声明函</w:t>
            </w:r>
            <w:r>
              <w:rPr>
                <w:rFonts w:ascii="宋体" w:hAnsi="宋体" w:cs="宋体"/>
                <w:color w:val="auto"/>
                <w:sz w:val="20"/>
                <w:highlight w:val="none"/>
              </w:rPr>
              <w:t>3】</w:t>
            </w:r>
          </w:p>
        </w:tc>
      </w:tr>
      <w:tr w14:paraId="7DC09973">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534" w:type="dxa"/>
            <w:noWrap w:val="0"/>
            <w:vAlign w:val="center"/>
          </w:tcPr>
          <w:p w14:paraId="7A4C8199">
            <w:pPr>
              <w:widowControl/>
              <w:shd w:val="clear"/>
              <w:jc w:val="center"/>
              <w:rPr>
                <w:rFonts w:hint="eastAsia" w:ascii="宋体" w:hAnsi="宋体" w:eastAsia="宋体" w:cs="宋体"/>
                <w:color w:val="auto"/>
                <w:kern w:val="0"/>
                <w:sz w:val="20"/>
                <w:highlight w:val="none"/>
                <w:lang w:eastAsia="zh-CN"/>
              </w:rPr>
            </w:pPr>
            <w:r>
              <w:rPr>
                <w:rFonts w:hint="eastAsia" w:ascii="宋体" w:hAnsi="宋体" w:cs="宋体"/>
                <w:color w:val="auto"/>
                <w:kern w:val="0"/>
                <w:sz w:val="20"/>
                <w:highlight w:val="none"/>
                <w:lang w:val="en-US" w:eastAsia="zh-CN"/>
              </w:rPr>
              <w:t>4</w:t>
            </w:r>
          </w:p>
        </w:tc>
        <w:tc>
          <w:tcPr>
            <w:tcW w:w="4702" w:type="dxa"/>
            <w:noWrap w:val="0"/>
            <w:vAlign w:val="center"/>
          </w:tcPr>
          <w:p w14:paraId="735333A0">
            <w:pPr>
              <w:shd w:val="clear"/>
              <w:jc w:val="left"/>
              <w:rPr>
                <w:rFonts w:ascii="宋体" w:hAnsi="宋体" w:cs="宋体"/>
                <w:color w:val="auto"/>
                <w:kern w:val="0"/>
                <w:sz w:val="20"/>
                <w:highlight w:val="none"/>
              </w:rPr>
            </w:pPr>
            <w:r>
              <w:rPr>
                <w:rFonts w:hint="eastAsia" w:ascii="宋体" w:hAnsi="宋体" w:cs="宋体"/>
                <w:color w:val="auto"/>
                <w:kern w:val="0"/>
                <w:sz w:val="20"/>
                <w:highlight w:val="none"/>
                <w:lang w:val="en-US" w:eastAsia="zh-CN"/>
              </w:rPr>
              <w:t>本项目不</w:t>
            </w:r>
            <w:r>
              <w:rPr>
                <w:rFonts w:ascii="宋体" w:hAnsi="宋体" w:cs="宋体"/>
                <w:color w:val="auto"/>
                <w:kern w:val="0"/>
                <w:sz w:val="20"/>
                <w:highlight w:val="none"/>
              </w:rPr>
              <w:t>接受联合体</w:t>
            </w:r>
            <w:r>
              <w:rPr>
                <w:rFonts w:hint="eastAsia" w:ascii="宋体" w:hAnsi="宋体" w:cs="宋体"/>
                <w:color w:val="auto"/>
                <w:kern w:val="0"/>
                <w:sz w:val="20"/>
                <w:highlight w:val="none"/>
                <w:lang w:val="en-US" w:eastAsia="zh-CN"/>
              </w:rPr>
              <w:t>磋商</w:t>
            </w:r>
            <w:r>
              <w:rPr>
                <w:rFonts w:ascii="宋体" w:hAnsi="宋体" w:cs="宋体"/>
                <w:color w:val="auto"/>
                <w:kern w:val="0"/>
                <w:sz w:val="20"/>
                <w:highlight w:val="none"/>
              </w:rPr>
              <w:t>。</w:t>
            </w:r>
          </w:p>
        </w:tc>
        <w:tc>
          <w:tcPr>
            <w:tcW w:w="4086" w:type="dxa"/>
            <w:noWrap w:val="0"/>
            <w:vAlign w:val="center"/>
          </w:tcPr>
          <w:p w14:paraId="2667B36C">
            <w:pPr>
              <w:shd w:val="clear"/>
              <w:jc w:val="left"/>
              <w:rPr>
                <w:rFonts w:ascii="宋体" w:hAnsi="宋体" w:cs="宋体"/>
                <w:color w:val="auto"/>
                <w:kern w:val="0"/>
                <w:sz w:val="20"/>
                <w:highlight w:val="none"/>
              </w:rPr>
            </w:pPr>
            <w:r>
              <w:rPr>
                <w:rFonts w:ascii="宋体" w:hAnsi="宋体" w:cs="宋体"/>
                <w:color w:val="auto"/>
                <w:sz w:val="20"/>
                <w:highlight w:val="none"/>
              </w:rPr>
              <w:t>非联合体的声明函【</w:t>
            </w:r>
            <w:r>
              <w:rPr>
                <w:rFonts w:ascii="宋体" w:hAnsi="宋体" w:cs="宋体"/>
                <w:color w:val="auto"/>
                <w:sz w:val="20"/>
                <w:highlight w:val="none"/>
                <w:lang w:val="zh-CN"/>
              </w:rPr>
              <w:t>声明函</w:t>
            </w:r>
            <w:r>
              <w:rPr>
                <w:rFonts w:hint="eastAsia" w:ascii="宋体" w:hAnsi="宋体" w:cs="宋体"/>
                <w:color w:val="auto"/>
                <w:sz w:val="20"/>
                <w:highlight w:val="none"/>
                <w:lang w:val="en-US" w:eastAsia="zh-CN"/>
              </w:rPr>
              <w:t>4</w:t>
            </w:r>
            <w:r>
              <w:rPr>
                <w:rFonts w:ascii="宋体" w:hAnsi="宋体" w:cs="宋体"/>
                <w:color w:val="auto"/>
                <w:sz w:val="20"/>
                <w:highlight w:val="none"/>
              </w:rPr>
              <w:t>】。</w:t>
            </w:r>
          </w:p>
        </w:tc>
      </w:tr>
    </w:tbl>
    <w:p w14:paraId="514C61EE">
      <w:pPr>
        <w:shd w:val="clear"/>
        <w:snapToGrid w:val="0"/>
        <w:spacing w:line="300" w:lineRule="auto"/>
        <w:jc w:val="left"/>
        <w:rPr>
          <w:color w:val="auto"/>
          <w:highlight w:val="none"/>
        </w:rPr>
      </w:pPr>
      <w:r>
        <w:rPr>
          <w:rFonts w:ascii="宋体" w:hAnsi="宋体" w:cs="宋体"/>
          <w:b/>
          <w:bCs/>
          <w:color w:val="auto"/>
          <w:sz w:val="20"/>
          <w:highlight w:val="none"/>
          <w:u w:val="single"/>
        </w:rPr>
        <w:t>【证明材料需加盖供应商单位公章。】【各声明函格式附后】</w:t>
      </w:r>
    </w:p>
    <w:p w14:paraId="281C454E">
      <w:pPr>
        <w:shd w:val="clear"/>
        <w:rPr>
          <w:rFonts w:ascii="CIDFont+F2" w:hAnsi="CIDFont+F2" w:eastAsia="CIDFont+F2"/>
          <w:color w:val="auto"/>
          <w:highlight w:val="none"/>
        </w:rPr>
      </w:pPr>
    </w:p>
    <w:p w14:paraId="757711E2">
      <w:pPr>
        <w:shd w:val="clear"/>
        <w:rPr>
          <w:rFonts w:ascii="CIDFont+F2" w:hAnsi="CIDFont+F2" w:eastAsia="CIDFont+F2"/>
          <w:color w:val="auto"/>
          <w:highlight w:val="none"/>
        </w:rPr>
      </w:pPr>
    </w:p>
    <w:p w14:paraId="425E3DDB">
      <w:pPr>
        <w:shd w:val="clear"/>
        <w:rPr>
          <w:rFonts w:ascii="CIDFont+F2" w:hAnsi="CIDFont+F2" w:eastAsia="CIDFont+F2"/>
          <w:color w:val="auto"/>
          <w:highlight w:val="none"/>
        </w:rPr>
      </w:pPr>
    </w:p>
    <w:p w14:paraId="16D633D2">
      <w:pPr>
        <w:shd w:val="clear"/>
        <w:rPr>
          <w:rFonts w:ascii="CIDFont+F2" w:hAnsi="CIDFont+F2" w:eastAsia="CIDFont+F2"/>
          <w:color w:val="auto"/>
          <w:highlight w:val="none"/>
        </w:rPr>
      </w:pPr>
    </w:p>
    <w:p w14:paraId="57A59D90">
      <w:pPr>
        <w:shd w:val="clear"/>
        <w:rPr>
          <w:rFonts w:ascii="CIDFont+F2" w:hAnsi="CIDFont+F2" w:eastAsia="CIDFont+F2"/>
          <w:color w:val="auto"/>
          <w:highlight w:val="none"/>
        </w:rPr>
      </w:pPr>
    </w:p>
    <w:p w14:paraId="47094EB7">
      <w:pPr>
        <w:shd w:val="clear"/>
        <w:rPr>
          <w:rFonts w:ascii="CIDFont+F2" w:hAnsi="CIDFont+F2" w:eastAsia="CIDFont+F2"/>
          <w:color w:val="auto"/>
          <w:highlight w:val="none"/>
        </w:rPr>
      </w:pPr>
    </w:p>
    <w:p w14:paraId="6002B3B1">
      <w:pPr>
        <w:shd w:val="clear"/>
        <w:rPr>
          <w:rFonts w:ascii="CIDFont+F2" w:hAnsi="CIDFont+F2" w:eastAsia="CIDFont+F2"/>
          <w:color w:val="auto"/>
          <w:highlight w:val="none"/>
        </w:rPr>
      </w:pPr>
    </w:p>
    <w:p w14:paraId="56C4CD78">
      <w:pPr>
        <w:shd w:val="clear"/>
        <w:rPr>
          <w:rFonts w:ascii="CIDFont+F2" w:hAnsi="CIDFont+F2" w:eastAsia="CIDFont+F2"/>
          <w:color w:val="auto"/>
          <w:highlight w:val="none"/>
        </w:rPr>
      </w:pPr>
    </w:p>
    <w:p w14:paraId="1668524A">
      <w:pPr>
        <w:shd w:val="clear"/>
        <w:rPr>
          <w:rFonts w:ascii="CIDFont+F2" w:hAnsi="CIDFont+F2" w:eastAsia="CIDFont+F2"/>
          <w:color w:val="auto"/>
          <w:highlight w:val="none"/>
        </w:rPr>
      </w:pPr>
    </w:p>
    <w:p w14:paraId="2E0F2437">
      <w:pPr>
        <w:shd w:val="clear"/>
        <w:rPr>
          <w:rFonts w:ascii="CIDFont+F2" w:hAnsi="CIDFont+F2" w:eastAsia="CIDFont+F2"/>
          <w:color w:val="auto"/>
          <w:highlight w:val="none"/>
        </w:rPr>
      </w:pPr>
    </w:p>
    <w:p w14:paraId="46351144">
      <w:pPr>
        <w:shd w:val="clear"/>
        <w:rPr>
          <w:rFonts w:ascii="CIDFont+F2" w:hAnsi="CIDFont+F2" w:eastAsia="CIDFont+F2"/>
          <w:color w:val="auto"/>
          <w:highlight w:val="none"/>
        </w:rPr>
      </w:pPr>
    </w:p>
    <w:p w14:paraId="18C33B87">
      <w:pPr>
        <w:shd w:val="clear"/>
        <w:rPr>
          <w:rFonts w:ascii="CIDFont+F2" w:hAnsi="CIDFont+F2" w:eastAsia="CIDFont+F2"/>
          <w:color w:val="auto"/>
          <w:highlight w:val="none"/>
        </w:rPr>
      </w:pPr>
    </w:p>
    <w:p w14:paraId="6630EABC">
      <w:pPr>
        <w:shd w:val="clear"/>
        <w:rPr>
          <w:rFonts w:ascii="CIDFont+F2" w:hAnsi="CIDFont+F2" w:eastAsia="CIDFont+F2"/>
          <w:color w:val="auto"/>
          <w:highlight w:val="none"/>
        </w:rPr>
      </w:pPr>
    </w:p>
    <w:p w14:paraId="6E037E47">
      <w:pPr>
        <w:shd w:val="clear"/>
        <w:rPr>
          <w:rFonts w:ascii="CIDFont+F2" w:hAnsi="CIDFont+F2" w:eastAsia="CIDFont+F2"/>
          <w:color w:val="auto"/>
          <w:highlight w:val="none"/>
        </w:rPr>
      </w:pPr>
    </w:p>
    <w:p w14:paraId="0AD17C9E">
      <w:pPr>
        <w:shd w:val="clear"/>
        <w:rPr>
          <w:rFonts w:ascii="CIDFont+F2" w:hAnsi="CIDFont+F2" w:eastAsia="CIDFont+F2"/>
          <w:color w:val="auto"/>
          <w:highlight w:val="none"/>
        </w:rPr>
      </w:pPr>
    </w:p>
    <w:p w14:paraId="332EBE5B">
      <w:pPr>
        <w:shd w:val="clear"/>
        <w:rPr>
          <w:rFonts w:ascii="CIDFont+F2" w:hAnsi="CIDFont+F2" w:eastAsia="CIDFont+F2"/>
          <w:color w:val="auto"/>
          <w:highlight w:val="none"/>
        </w:rPr>
      </w:pPr>
    </w:p>
    <w:p w14:paraId="41915528">
      <w:pPr>
        <w:shd w:val="clear"/>
        <w:rPr>
          <w:rFonts w:ascii="CIDFont+F2" w:hAnsi="CIDFont+F2" w:eastAsia="CIDFont+F2"/>
          <w:color w:val="auto"/>
          <w:highlight w:val="none"/>
        </w:rPr>
      </w:pPr>
    </w:p>
    <w:p w14:paraId="13B1E667">
      <w:pPr>
        <w:shd w:val="clear"/>
        <w:rPr>
          <w:rFonts w:ascii="CIDFont+F2" w:hAnsi="CIDFont+F2" w:eastAsia="CIDFont+F2"/>
          <w:color w:val="auto"/>
          <w:highlight w:val="none"/>
        </w:rPr>
      </w:pPr>
    </w:p>
    <w:p w14:paraId="4FFB0C01">
      <w:pPr>
        <w:shd w:val="clear"/>
        <w:rPr>
          <w:rFonts w:ascii="CIDFont+F2" w:hAnsi="CIDFont+F2" w:eastAsia="CIDFont+F2"/>
          <w:color w:val="auto"/>
          <w:highlight w:val="none"/>
        </w:rPr>
      </w:pPr>
    </w:p>
    <w:p w14:paraId="7B5CFC18">
      <w:pPr>
        <w:shd w:val="clear"/>
        <w:rPr>
          <w:rFonts w:ascii="CIDFont+F2" w:hAnsi="CIDFont+F2" w:eastAsia="CIDFont+F2"/>
          <w:color w:val="auto"/>
          <w:highlight w:val="none"/>
        </w:rPr>
      </w:pPr>
    </w:p>
    <w:p w14:paraId="7BAE1321">
      <w:pPr>
        <w:shd w:val="clear"/>
        <w:rPr>
          <w:rFonts w:ascii="CIDFont+F2" w:hAnsi="CIDFont+F2" w:eastAsia="CIDFont+F2"/>
          <w:color w:val="auto"/>
          <w:highlight w:val="none"/>
        </w:rPr>
      </w:pPr>
    </w:p>
    <w:p w14:paraId="46CB8102">
      <w:pPr>
        <w:shd w:val="clear"/>
        <w:rPr>
          <w:rFonts w:ascii="CIDFont+F2" w:hAnsi="CIDFont+F2" w:eastAsia="CIDFont+F2"/>
          <w:color w:val="auto"/>
          <w:highlight w:val="none"/>
        </w:rPr>
      </w:pPr>
    </w:p>
    <w:p w14:paraId="318858BF">
      <w:pPr>
        <w:shd w:val="clear"/>
        <w:rPr>
          <w:rFonts w:ascii="CIDFont+F2" w:hAnsi="CIDFont+F2" w:eastAsia="CIDFont+F2"/>
          <w:color w:val="auto"/>
          <w:highlight w:val="none"/>
        </w:rPr>
      </w:pPr>
    </w:p>
    <w:p w14:paraId="1EEA7620">
      <w:pPr>
        <w:shd w:val="clear"/>
        <w:rPr>
          <w:rFonts w:ascii="CIDFont+F2" w:hAnsi="CIDFont+F2" w:eastAsia="CIDFont+F2"/>
          <w:color w:val="auto"/>
          <w:highlight w:val="none"/>
        </w:rPr>
      </w:pPr>
    </w:p>
    <w:p w14:paraId="26DED45B">
      <w:pPr>
        <w:shd w:val="clear"/>
        <w:rPr>
          <w:rFonts w:ascii="CIDFont+F2" w:hAnsi="CIDFont+F2" w:eastAsia="CIDFont+F2"/>
          <w:color w:val="auto"/>
          <w:highlight w:val="none"/>
        </w:rPr>
      </w:pPr>
    </w:p>
    <w:p w14:paraId="3B130441">
      <w:pPr>
        <w:shd w:val="clear"/>
        <w:rPr>
          <w:rFonts w:ascii="CIDFont+F2" w:hAnsi="CIDFont+F2" w:eastAsia="CIDFont+F2"/>
          <w:color w:val="auto"/>
          <w:highlight w:val="none"/>
        </w:rPr>
      </w:pPr>
    </w:p>
    <w:p w14:paraId="06AB1040">
      <w:pPr>
        <w:shd w:val="clear"/>
        <w:rPr>
          <w:rFonts w:ascii="宋体" w:hAnsi="宋体"/>
          <w:color w:val="auto"/>
          <w:sz w:val="24"/>
          <w:highlight w:val="none"/>
        </w:rPr>
      </w:pPr>
      <w:r>
        <w:rPr>
          <w:rFonts w:ascii="CIDFont+F2" w:hAnsi="CIDFont+F2" w:eastAsia="CIDFont+F2"/>
          <w:color w:val="auto"/>
          <w:highlight w:val="none"/>
        </w:rPr>
        <w:t>【声明函</w:t>
      </w:r>
      <w:r>
        <w:rPr>
          <w:rFonts w:ascii="CIDFont+F1" w:hAnsi="CIDFont+F1" w:eastAsia="CIDFont+F1"/>
          <w:color w:val="auto"/>
          <w:highlight w:val="none"/>
        </w:rPr>
        <w:t>1</w:t>
      </w:r>
      <w:r>
        <w:rPr>
          <w:rFonts w:ascii="CIDFont+F2" w:hAnsi="CIDFont+F2" w:eastAsia="CIDFont+F2"/>
          <w:color w:val="auto"/>
          <w:highlight w:val="none"/>
        </w:rPr>
        <w:t>】</w:t>
      </w:r>
      <w:r>
        <w:rPr>
          <w:rFonts w:ascii="宋体" w:hAnsi="宋体"/>
          <w:color w:val="auto"/>
          <w:sz w:val="24"/>
          <w:highlight w:val="none"/>
          <w:lang w:val="zh-CN"/>
        </w:rPr>
        <w:t>符合资格条件的声明函</w:t>
      </w:r>
    </w:p>
    <w:p w14:paraId="773F4142">
      <w:pPr>
        <w:shd w:val="clear"/>
        <w:spacing w:line="288" w:lineRule="auto"/>
        <w:jc w:val="center"/>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符合资格条件的声明函</w:t>
      </w:r>
    </w:p>
    <w:p w14:paraId="36906364">
      <w:pPr>
        <w:shd w:val="clear"/>
        <w:spacing w:line="288" w:lineRule="auto"/>
        <w:rPr>
          <w:rFonts w:ascii="宋体" w:hAnsi="宋体"/>
          <w:color w:val="auto"/>
          <w:kern w:val="0"/>
          <w:sz w:val="24"/>
          <w:highlight w:val="none"/>
        </w:rPr>
      </w:pPr>
      <w:r>
        <w:rPr>
          <w:rFonts w:hint="eastAsia" w:ascii="宋体" w:hAnsi="宋体"/>
          <w:color w:val="auto"/>
          <w:sz w:val="24"/>
          <w:highlight w:val="none"/>
          <w:lang w:eastAsia="zh-CN"/>
        </w:rPr>
        <w:t>衢州市科学技术局</w:t>
      </w:r>
      <w:r>
        <w:rPr>
          <w:rFonts w:ascii="宋体" w:hAnsi="宋体"/>
          <w:color w:val="auto"/>
          <w:kern w:val="0"/>
          <w:sz w:val="24"/>
          <w:highlight w:val="none"/>
        </w:rPr>
        <w:t>：</w:t>
      </w:r>
    </w:p>
    <w:p w14:paraId="049D8135">
      <w:pPr>
        <w:shd w:val="clear"/>
        <w:adjustRightInd w:val="0"/>
        <w:snapToGrid w:val="0"/>
        <w:spacing w:line="288" w:lineRule="auto"/>
        <w:rPr>
          <w:rFonts w:ascii="宋体" w:hAnsi="宋体"/>
          <w:color w:val="auto"/>
          <w:sz w:val="24"/>
          <w:highlight w:val="none"/>
        </w:rPr>
      </w:pPr>
      <w:r>
        <w:rPr>
          <w:rFonts w:hint="eastAsia" w:ascii="宋体" w:hAnsi="宋体"/>
          <w:color w:val="auto"/>
          <w:kern w:val="0"/>
          <w:sz w:val="24"/>
          <w:highlight w:val="none"/>
          <w:lang w:val="zh-CN"/>
        </w:rPr>
        <w:t>浙江中正工程项目管理有限公司</w:t>
      </w:r>
      <w:r>
        <w:rPr>
          <w:rFonts w:ascii="宋体" w:hAnsi="宋体"/>
          <w:color w:val="auto"/>
          <w:kern w:val="0"/>
          <w:sz w:val="24"/>
          <w:highlight w:val="none"/>
          <w:lang w:val="zh-CN"/>
        </w:rPr>
        <w:t>：</w:t>
      </w:r>
    </w:p>
    <w:p w14:paraId="163CFCAB">
      <w:pPr>
        <w:shd w:val="clear"/>
        <w:spacing w:line="288" w:lineRule="auto"/>
        <w:ind w:firstLine="480" w:firstLineChars="200"/>
        <w:rPr>
          <w:rFonts w:ascii="宋体" w:hAnsi="宋体" w:cs="宋体"/>
          <w:color w:val="auto"/>
          <w:kern w:val="0"/>
          <w:sz w:val="24"/>
          <w:szCs w:val="22"/>
          <w:highlight w:val="none"/>
        </w:rPr>
      </w:pPr>
      <w:r>
        <w:rPr>
          <w:rFonts w:ascii="宋体" w:hAnsi="宋体" w:cs="宋体"/>
          <w:color w:val="auto"/>
          <w:sz w:val="24"/>
          <w:szCs w:val="24"/>
          <w:highlight w:val="none"/>
        </w:rPr>
        <w:t>截至</w:t>
      </w:r>
      <w:r>
        <w:rPr>
          <w:rFonts w:hint="eastAsia" w:ascii="宋体" w:hAnsi="宋体" w:cs="宋体"/>
          <w:color w:val="auto"/>
          <w:kern w:val="0"/>
          <w:sz w:val="24"/>
          <w:szCs w:val="22"/>
          <w:highlight w:val="none"/>
          <w:u w:val="single"/>
          <w:lang w:eastAsia="zh-CN"/>
        </w:rPr>
        <w:t>衢州市科学技术局</w:t>
      </w:r>
      <w:r>
        <w:rPr>
          <w:rFonts w:ascii="宋体" w:hAnsi="宋体" w:cs="宋体"/>
          <w:color w:val="auto"/>
          <w:kern w:val="0"/>
          <w:sz w:val="24"/>
          <w:szCs w:val="22"/>
          <w:highlight w:val="none"/>
        </w:rPr>
        <w:t>（采购人）</w:t>
      </w:r>
      <w:r>
        <w:rPr>
          <w:rFonts w:hint="eastAsia" w:ascii="宋体" w:hAnsi="宋体" w:cs="宋体"/>
          <w:color w:val="auto"/>
          <w:kern w:val="0"/>
          <w:sz w:val="24"/>
          <w:szCs w:val="22"/>
          <w:highlight w:val="none"/>
          <w:u w:val="single"/>
          <w:lang w:val="en" w:eastAsia="zh-CN"/>
        </w:rPr>
        <w:t>衢州科技大市场运营服务</w:t>
      </w:r>
      <w:r>
        <w:rPr>
          <w:rFonts w:ascii="宋体" w:hAnsi="宋体" w:cs="宋体"/>
          <w:color w:val="auto"/>
          <w:kern w:val="0"/>
          <w:sz w:val="24"/>
          <w:szCs w:val="22"/>
          <w:highlight w:val="none"/>
        </w:rPr>
        <w:t>（项目编号</w:t>
      </w:r>
      <w:r>
        <w:rPr>
          <w:rFonts w:hint="eastAsia" w:ascii="宋体" w:hAnsi="宋体" w:cs="宋体"/>
          <w:color w:val="auto"/>
          <w:kern w:val="0"/>
          <w:sz w:val="24"/>
          <w:szCs w:val="22"/>
          <w:highlight w:val="none"/>
          <w:lang w:eastAsia="zh-CN"/>
        </w:rPr>
        <w:t>：</w:t>
      </w:r>
      <w:r>
        <w:rPr>
          <w:rFonts w:hint="eastAsia" w:ascii="宋体" w:hAnsi="宋体" w:cs="宋体"/>
          <w:i w:val="0"/>
          <w:iCs w:val="0"/>
          <w:color w:val="auto"/>
          <w:kern w:val="0"/>
          <w:sz w:val="24"/>
          <w:szCs w:val="22"/>
          <w:highlight w:val="none"/>
          <w:u w:val="single"/>
          <w:lang w:eastAsia="zh-CN"/>
        </w:rPr>
        <w:t>ZZCG2026012</w:t>
      </w:r>
      <w:r>
        <w:rPr>
          <w:rFonts w:ascii="宋体" w:hAnsi="宋体" w:cs="宋体"/>
          <w:color w:val="auto"/>
          <w:kern w:val="0"/>
          <w:sz w:val="24"/>
          <w:szCs w:val="22"/>
          <w:highlight w:val="none"/>
        </w:rPr>
        <w:t>）</w:t>
      </w:r>
      <w:r>
        <w:rPr>
          <w:rFonts w:ascii="宋体" w:hAnsi="宋体" w:cs="宋体"/>
          <w:color w:val="auto"/>
          <w:sz w:val="24"/>
          <w:szCs w:val="24"/>
          <w:highlight w:val="none"/>
        </w:rPr>
        <w:t>的磋商响应截止时间</w:t>
      </w:r>
      <w:r>
        <w:rPr>
          <w:rFonts w:ascii="宋体" w:hAnsi="宋体" w:cs="宋体"/>
          <w:color w:val="auto"/>
          <w:kern w:val="0"/>
          <w:sz w:val="24"/>
          <w:szCs w:val="22"/>
          <w:highlight w:val="none"/>
        </w:rPr>
        <w:t>，我方具有良好的商业信誉</w:t>
      </w:r>
      <w:r>
        <w:rPr>
          <w:rFonts w:ascii="宋体" w:hAnsi="宋体" w:cs="宋体"/>
          <w:color w:val="auto"/>
          <w:sz w:val="24"/>
          <w:szCs w:val="24"/>
          <w:highlight w:val="none"/>
          <w:lang w:val="zh-CN"/>
        </w:rPr>
        <w:t>和健全的财务会计制度</w:t>
      </w:r>
      <w:r>
        <w:rPr>
          <w:rFonts w:ascii="宋体" w:hAnsi="宋体" w:cs="宋体"/>
          <w:color w:val="auto"/>
          <w:kern w:val="0"/>
          <w:sz w:val="24"/>
          <w:szCs w:val="22"/>
          <w:highlight w:val="none"/>
        </w:rPr>
        <w:t>，具有履行合同所必需的设备和专业技术能力</w:t>
      </w:r>
      <w:r>
        <w:rPr>
          <w:rFonts w:hint="eastAsia" w:ascii="宋体" w:hAnsi="宋体" w:cs="宋体"/>
          <w:color w:val="auto"/>
          <w:kern w:val="0"/>
          <w:sz w:val="24"/>
          <w:szCs w:val="22"/>
          <w:highlight w:val="none"/>
          <w:lang w:eastAsia="zh-CN"/>
        </w:rPr>
        <w:t>，具</w:t>
      </w:r>
      <w:r>
        <w:rPr>
          <w:rFonts w:ascii="宋体" w:hAnsi="宋体" w:cs="宋体"/>
          <w:color w:val="auto"/>
          <w:kern w:val="0"/>
          <w:sz w:val="24"/>
          <w:szCs w:val="22"/>
          <w:highlight w:val="none"/>
        </w:rPr>
        <w:t>有依法缴纳税收和社会保障资金的良好记录，未被列入失信被执行人名单、重大税收违法案件当事人名单、政府采购严重违法失信行为记录名单，在参加政府采购活动前三年内没有重大违法记录（重大违法记录是指因违法经营受到刑事处罚、没有被责令停产停业、被吊销许可证或者执照、被处以较大数额罚款等行政处罚），没有因违法经营被禁止参加政府采购活动的期限未满情形。</w:t>
      </w:r>
    </w:p>
    <w:p w14:paraId="04CD1772">
      <w:pPr>
        <w:shd w:val="clear"/>
        <w:spacing w:line="288" w:lineRule="auto"/>
        <w:ind w:firstLine="480" w:firstLineChars="200"/>
        <w:rPr>
          <w:rFonts w:ascii="宋体" w:hAnsi="宋体" w:cs="宋体"/>
          <w:color w:val="auto"/>
          <w:sz w:val="24"/>
          <w:szCs w:val="24"/>
          <w:highlight w:val="none"/>
        </w:rPr>
      </w:pPr>
      <w:r>
        <w:rPr>
          <w:rFonts w:ascii="宋体" w:hAnsi="宋体" w:cs="宋体"/>
          <w:color w:val="auto"/>
          <w:kern w:val="0"/>
          <w:sz w:val="24"/>
          <w:szCs w:val="22"/>
          <w:highlight w:val="none"/>
        </w:rPr>
        <w:t>我方对上述声明的真实性负责。如有虚假，愿意承担相应责任，对此无任何异议。</w:t>
      </w:r>
    </w:p>
    <w:p w14:paraId="68AF7894">
      <w:pPr>
        <w:widowControl/>
        <w:shd w:val="clear"/>
        <w:adjustRightInd w:val="0"/>
        <w:snapToGrid w:val="0"/>
        <w:spacing w:line="288" w:lineRule="auto"/>
        <w:ind w:firstLine="480" w:firstLineChars="200"/>
        <w:jc w:val="left"/>
        <w:rPr>
          <w:rFonts w:ascii="宋体" w:hAnsi="宋体" w:cs="宋体"/>
          <w:color w:val="auto"/>
          <w:sz w:val="24"/>
          <w:szCs w:val="24"/>
          <w:highlight w:val="none"/>
        </w:rPr>
      </w:pPr>
      <w:r>
        <w:rPr>
          <w:rFonts w:ascii="宋体" w:hAnsi="宋体"/>
          <w:color w:val="auto"/>
          <w:sz w:val="24"/>
          <w:szCs w:val="24"/>
          <w:highlight w:val="none"/>
        </w:rPr>
        <w:t>特此声明！</w:t>
      </w:r>
    </w:p>
    <w:p w14:paraId="32A8C590">
      <w:pPr>
        <w:widowControl/>
        <w:shd w:val="clear"/>
        <w:adjustRightInd w:val="0"/>
        <w:snapToGrid w:val="0"/>
        <w:spacing w:line="288" w:lineRule="auto"/>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 xml:space="preserve"> 供应商全称：</w:t>
      </w:r>
      <w:r>
        <w:rPr>
          <w:rFonts w:ascii="宋体" w:hAnsi="宋体" w:cs="宋体"/>
          <w:color w:val="auto"/>
          <w:kern w:val="0"/>
          <w:sz w:val="24"/>
          <w:szCs w:val="22"/>
          <w:highlight w:val="none"/>
          <w:u w:val="single"/>
        </w:rPr>
        <w:t xml:space="preserve">                </w:t>
      </w:r>
      <w:r>
        <w:rPr>
          <w:rFonts w:ascii="宋体" w:hAnsi="宋体" w:cs="宋体"/>
          <w:color w:val="auto"/>
          <w:kern w:val="0"/>
          <w:sz w:val="24"/>
          <w:szCs w:val="22"/>
          <w:highlight w:val="none"/>
        </w:rPr>
        <w:t>（盖单位公章）</w:t>
      </w:r>
    </w:p>
    <w:p w14:paraId="469D5D20">
      <w:pPr>
        <w:widowControl/>
        <w:shd w:val="clear"/>
        <w:adjustRightInd w:val="0"/>
        <w:snapToGrid w:val="0"/>
        <w:spacing w:line="288" w:lineRule="auto"/>
        <w:ind w:firstLine="480" w:firstLineChars="200"/>
        <w:jc w:val="left"/>
        <w:rPr>
          <w:rFonts w:ascii="宋体" w:hAnsi="宋体" w:cs="宋体"/>
          <w:color w:val="auto"/>
          <w:kern w:val="0"/>
          <w:sz w:val="24"/>
          <w:szCs w:val="22"/>
          <w:highlight w:val="none"/>
        </w:rPr>
      </w:pPr>
      <w:r>
        <w:rPr>
          <w:rFonts w:ascii="宋体" w:hAnsi="宋体" w:cs="宋体"/>
          <w:color w:val="auto"/>
          <w:kern w:val="0"/>
          <w:sz w:val="24"/>
          <w:szCs w:val="22"/>
          <w:highlight w:val="none"/>
        </w:rPr>
        <w:t xml:space="preserve"> 日期：</w:t>
      </w:r>
      <w:r>
        <w:rPr>
          <w:rFonts w:hint="eastAsia" w:ascii="宋体" w:hAnsi="宋体" w:cs="宋体"/>
          <w:color w:val="auto"/>
          <w:kern w:val="0"/>
          <w:sz w:val="24"/>
          <w:szCs w:val="22"/>
          <w:highlight w:val="none"/>
          <w:lang w:eastAsia="zh-CN"/>
        </w:rPr>
        <w:t>2026年 月 日</w:t>
      </w:r>
    </w:p>
    <w:p w14:paraId="09DAB28B">
      <w:pPr>
        <w:widowControl/>
        <w:shd w:val="clear"/>
        <w:spacing w:line="288" w:lineRule="auto"/>
        <w:jc w:val="left"/>
        <w:rPr>
          <w:rFonts w:ascii="CIDFont+F2" w:hAnsi="CIDFont+F2" w:eastAsia="CIDFont+F2"/>
          <w:color w:val="auto"/>
          <w:highlight w:val="none"/>
        </w:rPr>
      </w:pPr>
    </w:p>
    <w:p w14:paraId="6FA4FA86">
      <w:pPr>
        <w:widowControl/>
        <w:shd w:val="clear"/>
        <w:spacing w:line="288" w:lineRule="auto"/>
        <w:jc w:val="left"/>
        <w:rPr>
          <w:rFonts w:ascii="CIDFont+F2" w:hAnsi="CIDFont+F2" w:eastAsia="CIDFont+F2"/>
          <w:color w:val="auto"/>
          <w:highlight w:val="none"/>
        </w:rPr>
      </w:pPr>
    </w:p>
    <w:p w14:paraId="0556F4FB">
      <w:pPr>
        <w:widowControl/>
        <w:shd w:val="clear"/>
        <w:spacing w:line="288" w:lineRule="auto"/>
        <w:jc w:val="left"/>
        <w:rPr>
          <w:rFonts w:ascii="CIDFont+F2" w:hAnsi="CIDFont+F2" w:eastAsia="CIDFont+F2"/>
          <w:color w:val="auto"/>
          <w:highlight w:val="none"/>
        </w:rPr>
      </w:pPr>
    </w:p>
    <w:p w14:paraId="17896580">
      <w:pPr>
        <w:widowControl/>
        <w:shd w:val="clear"/>
        <w:spacing w:line="288" w:lineRule="auto"/>
        <w:jc w:val="left"/>
        <w:rPr>
          <w:rFonts w:ascii="CIDFont+F2" w:hAnsi="CIDFont+F2" w:eastAsia="CIDFont+F2"/>
          <w:color w:val="auto"/>
          <w:highlight w:val="none"/>
        </w:rPr>
      </w:pPr>
    </w:p>
    <w:p w14:paraId="290EE5AD">
      <w:pPr>
        <w:widowControl/>
        <w:shd w:val="clear"/>
        <w:spacing w:line="288" w:lineRule="auto"/>
        <w:jc w:val="left"/>
        <w:rPr>
          <w:rFonts w:ascii="CIDFont+F2" w:hAnsi="CIDFont+F2" w:eastAsia="CIDFont+F2"/>
          <w:color w:val="auto"/>
          <w:highlight w:val="none"/>
        </w:rPr>
      </w:pPr>
    </w:p>
    <w:p w14:paraId="1CCBDE2A">
      <w:pPr>
        <w:widowControl/>
        <w:shd w:val="clear"/>
        <w:spacing w:line="288" w:lineRule="auto"/>
        <w:jc w:val="left"/>
        <w:rPr>
          <w:rFonts w:ascii="CIDFont+F2" w:hAnsi="CIDFont+F2" w:eastAsia="CIDFont+F2"/>
          <w:color w:val="auto"/>
          <w:highlight w:val="none"/>
        </w:rPr>
      </w:pPr>
    </w:p>
    <w:p w14:paraId="357967EF">
      <w:pPr>
        <w:widowControl/>
        <w:shd w:val="clear"/>
        <w:spacing w:line="288" w:lineRule="auto"/>
        <w:jc w:val="left"/>
        <w:rPr>
          <w:rFonts w:ascii="CIDFont+F2" w:hAnsi="CIDFont+F2" w:eastAsia="CIDFont+F2"/>
          <w:color w:val="auto"/>
          <w:highlight w:val="none"/>
        </w:rPr>
      </w:pPr>
    </w:p>
    <w:p w14:paraId="6F97AE2B">
      <w:pPr>
        <w:widowControl/>
        <w:shd w:val="clear"/>
        <w:spacing w:line="288" w:lineRule="auto"/>
        <w:jc w:val="left"/>
        <w:rPr>
          <w:rFonts w:ascii="CIDFont+F2" w:hAnsi="CIDFont+F2" w:eastAsia="CIDFont+F2"/>
          <w:color w:val="auto"/>
          <w:highlight w:val="none"/>
        </w:rPr>
      </w:pPr>
    </w:p>
    <w:p w14:paraId="2E7011F0">
      <w:pPr>
        <w:widowControl/>
        <w:shd w:val="clear"/>
        <w:spacing w:line="288" w:lineRule="auto"/>
        <w:jc w:val="left"/>
        <w:rPr>
          <w:rFonts w:ascii="CIDFont+F2" w:hAnsi="CIDFont+F2" w:eastAsia="CIDFont+F2"/>
          <w:color w:val="auto"/>
          <w:highlight w:val="none"/>
        </w:rPr>
      </w:pPr>
    </w:p>
    <w:p w14:paraId="6350BE69">
      <w:pPr>
        <w:widowControl/>
        <w:shd w:val="clear"/>
        <w:spacing w:line="288" w:lineRule="auto"/>
        <w:jc w:val="left"/>
        <w:rPr>
          <w:rFonts w:ascii="CIDFont+F2" w:hAnsi="CIDFont+F2" w:eastAsia="CIDFont+F2"/>
          <w:color w:val="auto"/>
          <w:highlight w:val="none"/>
        </w:rPr>
      </w:pPr>
    </w:p>
    <w:p w14:paraId="5789FCE0">
      <w:pPr>
        <w:widowControl/>
        <w:shd w:val="clear"/>
        <w:spacing w:line="288" w:lineRule="auto"/>
        <w:jc w:val="left"/>
        <w:rPr>
          <w:rFonts w:ascii="CIDFont+F2" w:hAnsi="CIDFont+F2" w:eastAsia="CIDFont+F2"/>
          <w:color w:val="auto"/>
          <w:highlight w:val="none"/>
        </w:rPr>
      </w:pPr>
    </w:p>
    <w:p w14:paraId="71575E4F">
      <w:pPr>
        <w:widowControl/>
        <w:shd w:val="clear"/>
        <w:spacing w:line="288" w:lineRule="auto"/>
        <w:jc w:val="left"/>
        <w:rPr>
          <w:rFonts w:ascii="CIDFont+F2" w:hAnsi="CIDFont+F2" w:eastAsia="CIDFont+F2"/>
          <w:color w:val="auto"/>
          <w:highlight w:val="none"/>
        </w:rPr>
      </w:pPr>
    </w:p>
    <w:p w14:paraId="76507E66">
      <w:pPr>
        <w:widowControl/>
        <w:shd w:val="clear"/>
        <w:spacing w:line="288" w:lineRule="auto"/>
        <w:jc w:val="left"/>
        <w:rPr>
          <w:rFonts w:ascii="CIDFont+F2" w:hAnsi="CIDFont+F2" w:eastAsia="CIDFont+F2"/>
          <w:color w:val="auto"/>
          <w:highlight w:val="none"/>
        </w:rPr>
      </w:pPr>
    </w:p>
    <w:p w14:paraId="249DB026">
      <w:pPr>
        <w:pStyle w:val="32"/>
        <w:shd w:val="clear"/>
        <w:rPr>
          <w:rFonts w:ascii="CIDFont+F2" w:hAnsi="CIDFont+F2" w:eastAsia="CIDFont+F2"/>
          <w:color w:val="auto"/>
          <w:highlight w:val="none"/>
        </w:rPr>
      </w:pPr>
    </w:p>
    <w:p w14:paraId="218CD6BA">
      <w:pPr>
        <w:pStyle w:val="32"/>
        <w:shd w:val="clear"/>
        <w:rPr>
          <w:rFonts w:ascii="CIDFont+F2" w:hAnsi="CIDFont+F2" w:eastAsia="CIDFont+F2"/>
          <w:color w:val="auto"/>
          <w:highlight w:val="none"/>
        </w:rPr>
      </w:pPr>
    </w:p>
    <w:p w14:paraId="02DE2033">
      <w:pPr>
        <w:pStyle w:val="32"/>
        <w:shd w:val="clear"/>
        <w:rPr>
          <w:rFonts w:ascii="CIDFont+F2" w:hAnsi="CIDFont+F2" w:eastAsia="CIDFont+F2"/>
          <w:color w:val="auto"/>
          <w:highlight w:val="none"/>
        </w:rPr>
      </w:pPr>
    </w:p>
    <w:p w14:paraId="11551B8C">
      <w:pPr>
        <w:pStyle w:val="32"/>
        <w:shd w:val="clear"/>
        <w:rPr>
          <w:rFonts w:ascii="CIDFont+F2" w:hAnsi="CIDFont+F2" w:eastAsia="CIDFont+F2"/>
          <w:color w:val="auto"/>
          <w:highlight w:val="none"/>
        </w:rPr>
      </w:pPr>
    </w:p>
    <w:p w14:paraId="7CD17B3E">
      <w:pPr>
        <w:pStyle w:val="32"/>
        <w:shd w:val="clear"/>
        <w:rPr>
          <w:rFonts w:ascii="CIDFont+F2" w:hAnsi="CIDFont+F2" w:eastAsia="CIDFont+F2"/>
          <w:color w:val="auto"/>
          <w:highlight w:val="none"/>
        </w:rPr>
      </w:pPr>
    </w:p>
    <w:p w14:paraId="33E6385E">
      <w:pPr>
        <w:pStyle w:val="32"/>
        <w:shd w:val="clear"/>
        <w:rPr>
          <w:rFonts w:ascii="CIDFont+F2" w:hAnsi="CIDFont+F2" w:eastAsia="CIDFont+F2"/>
          <w:color w:val="auto"/>
          <w:highlight w:val="none"/>
        </w:rPr>
      </w:pPr>
    </w:p>
    <w:p w14:paraId="24E2D56E">
      <w:pPr>
        <w:pStyle w:val="32"/>
        <w:shd w:val="clear"/>
        <w:rPr>
          <w:rFonts w:ascii="CIDFont+F2" w:hAnsi="CIDFont+F2" w:eastAsia="CIDFont+F2"/>
          <w:color w:val="auto"/>
          <w:highlight w:val="none"/>
        </w:rPr>
      </w:pPr>
    </w:p>
    <w:p w14:paraId="1262488F">
      <w:pPr>
        <w:pStyle w:val="32"/>
        <w:shd w:val="clear"/>
        <w:rPr>
          <w:rFonts w:ascii="CIDFont+F2" w:hAnsi="CIDFont+F2" w:eastAsia="CIDFont+F2"/>
          <w:color w:val="auto"/>
          <w:highlight w:val="none"/>
        </w:rPr>
      </w:pPr>
    </w:p>
    <w:p w14:paraId="5F7D631B">
      <w:pPr>
        <w:pStyle w:val="32"/>
        <w:shd w:val="clear"/>
        <w:rPr>
          <w:rFonts w:ascii="CIDFont+F2" w:hAnsi="CIDFont+F2" w:eastAsia="CIDFont+F2"/>
          <w:color w:val="auto"/>
          <w:highlight w:val="none"/>
        </w:rPr>
      </w:pPr>
    </w:p>
    <w:p w14:paraId="5E74444F">
      <w:pPr>
        <w:pStyle w:val="32"/>
        <w:shd w:val="clear"/>
        <w:rPr>
          <w:rFonts w:ascii="CIDFont+F2" w:hAnsi="CIDFont+F2" w:eastAsia="CIDFont+F2"/>
          <w:color w:val="auto"/>
          <w:highlight w:val="none"/>
        </w:rPr>
      </w:pPr>
    </w:p>
    <w:p w14:paraId="20E0384A">
      <w:pPr>
        <w:widowControl/>
        <w:shd w:val="clear"/>
        <w:spacing w:line="288" w:lineRule="auto"/>
        <w:jc w:val="left"/>
        <w:rPr>
          <w:rFonts w:ascii="宋体" w:hAnsi="宋体" w:cs="宋体"/>
          <w:color w:val="auto"/>
          <w:sz w:val="24"/>
          <w:szCs w:val="24"/>
          <w:highlight w:val="none"/>
        </w:rPr>
      </w:pPr>
      <w:r>
        <w:rPr>
          <w:rFonts w:ascii="CIDFont+F2" w:hAnsi="CIDFont+F2" w:eastAsia="CIDFont+F2"/>
          <w:color w:val="auto"/>
          <w:highlight w:val="none"/>
        </w:rPr>
        <w:t>【声明函</w:t>
      </w:r>
      <w:r>
        <w:rPr>
          <w:rFonts w:ascii="CIDFont+F1" w:hAnsi="CIDFont+F1" w:eastAsia="CIDFont+F1"/>
          <w:color w:val="auto"/>
          <w:highlight w:val="none"/>
        </w:rPr>
        <w:t>2</w:t>
      </w:r>
      <w:r>
        <w:rPr>
          <w:rFonts w:ascii="CIDFont+F2" w:hAnsi="CIDFont+F2" w:eastAsia="CIDFont+F2"/>
          <w:color w:val="auto"/>
          <w:highlight w:val="none"/>
        </w:rPr>
        <w:t>】</w:t>
      </w:r>
      <w:r>
        <w:rPr>
          <w:rFonts w:ascii="宋体" w:hAnsi="宋体"/>
          <w:color w:val="auto"/>
          <w:sz w:val="24"/>
          <w:szCs w:val="22"/>
          <w:highlight w:val="none"/>
        </w:rPr>
        <w:t>：中小企业/监狱企业/残疾人福利性单位声明函</w:t>
      </w:r>
    </w:p>
    <w:p w14:paraId="75BB3BE4">
      <w:pPr>
        <w:widowControl/>
        <w:shd w:val="clear"/>
        <w:spacing w:line="312" w:lineRule="auto"/>
        <w:jc w:val="center"/>
        <w:rPr>
          <w:rFonts w:ascii="宋体" w:hAnsi="宋体"/>
          <w:color w:val="auto"/>
          <w:sz w:val="24"/>
          <w:szCs w:val="22"/>
          <w:highlight w:val="none"/>
        </w:rPr>
      </w:pPr>
      <w:r>
        <w:rPr>
          <w:rFonts w:hAnsi="宋体" w:cs="宋体"/>
          <w:b/>
          <w:bCs/>
          <w:color w:val="auto"/>
          <w:sz w:val="28"/>
          <w:szCs w:val="28"/>
          <w:highlight w:val="none"/>
        </w:rPr>
        <w:t>中小企业/监狱企业/残疾人福利性单位声明函</w:t>
      </w:r>
    </w:p>
    <w:p w14:paraId="35444514">
      <w:pPr>
        <w:shd w:val="clear"/>
        <w:adjustRightInd w:val="0"/>
        <w:snapToGrid w:val="0"/>
        <w:spacing w:line="360" w:lineRule="auto"/>
        <w:jc w:val="center"/>
        <w:rPr>
          <w:rFonts w:ascii="宋体" w:hAnsi="宋体"/>
          <w:b/>
          <w:color w:val="auto"/>
          <w:sz w:val="24"/>
          <w:highlight w:val="none"/>
        </w:rPr>
      </w:pPr>
      <w:r>
        <w:rPr>
          <w:rFonts w:ascii="宋体" w:hAnsi="宋体"/>
          <w:b/>
          <w:color w:val="auto"/>
          <w:sz w:val="24"/>
          <w:highlight w:val="none"/>
        </w:rPr>
        <w:t>（一）中小企业声明函</w:t>
      </w:r>
    </w:p>
    <w:p w14:paraId="09198EB6">
      <w:pPr>
        <w:shd w:val="clear"/>
        <w:adjustRightInd w:val="0"/>
        <w:snapToGrid w:val="0"/>
        <w:spacing w:line="312" w:lineRule="auto"/>
        <w:rPr>
          <w:rFonts w:ascii="宋体" w:hAnsi="宋体"/>
          <w:color w:val="auto"/>
          <w:sz w:val="24"/>
          <w:highlight w:val="none"/>
        </w:rPr>
      </w:pPr>
      <w:r>
        <w:rPr>
          <w:rFonts w:hint="eastAsia" w:ascii="宋体" w:hAnsi="宋体"/>
          <w:color w:val="auto"/>
          <w:sz w:val="24"/>
          <w:szCs w:val="22"/>
          <w:highlight w:val="none"/>
          <w:lang w:eastAsia="zh-CN"/>
        </w:rPr>
        <w:t>衢州市科学技术局</w:t>
      </w:r>
      <w:r>
        <w:rPr>
          <w:rFonts w:ascii="宋体" w:hAnsi="宋体"/>
          <w:color w:val="auto"/>
          <w:sz w:val="24"/>
          <w:highlight w:val="none"/>
        </w:rPr>
        <w:t>：</w:t>
      </w:r>
    </w:p>
    <w:p w14:paraId="36C52D60">
      <w:pPr>
        <w:shd w:val="clear"/>
        <w:adjustRightInd w:val="0"/>
        <w:snapToGrid w:val="0"/>
        <w:spacing w:line="312" w:lineRule="auto"/>
        <w:rPr>
          <w:rFonts w:ascii="宋体" w:hAnsi="宋体"/>
          <w:color w:val="auto"/>
          <w:sz w:val="24"/>
          <w:highlight w:val="none"/>
        </w:rPr>
      </w:pPr>
      <w:r>
        <w:rPr>
          <w:rFonts w:hint="eastAsia" w:ascii="宋体" w:hAnsi="宋体"/>
          <w:color w:val="auto"/>
          <w:sz w:val="24"/>
          <w:highlight w:val="none"/>
          <w:lang w:eastAsia="zh-CN"/>
        </w:rPr>
        <w:t>浙江中正工程项目管理有限公司</w:t>
      </w:r>
      <w:r>
        <w:rPr>
          <w:rFonts w:ascii="宋体" w:hAnsi="宋体"/>
          <w:color w:val="auto"/>
          <w:sz w:val="24"/>
          <w:highlight w:val="none"/>
        </w:rPr>
        <w:t>：</w:t>
      </w:r>
    </w:p>
    <w:p w14:paraId="0D4FAC9C">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本公司（联合体）郑重声明，根据《政府采购促进中小企业发展管理办法》（财库﹝2020﹞46 号）的规定，本公司（联合体）参加</w:t>
      </w:r>
      <w:r>
        <w:rPr>
          <w:rFonts w:hint="eastAsia" w:ascii="Arial" w:hAnsi="Arial" w:cs="Arial"/>
          <w:color w:val="auto"/>
          <w:sz w:val="24"/>
          <w:szCs w:val="24"/>
          <w:highlight w:val="none"/>
          <w:lang w:eastAsia="zh-CN"/>
        </w:rPr>
        <w:t>衢州市科学技术局</w:t>
      </w:r>
      <w:r>
        <w:rPr>
          <w:rFonts w:ascii="Arial" w:hAnsi="Arial" w:cs="Arial"/>
          <w:color w:val="auto"/>
          <w:sz w:val="24"/>
          <w:szCs w:val="24"/>
          <w:highlight w:val="none"/>
        </w:rPr>
        <w:t>的</w:t>
      </w:r>
      <w:r>
        <w:rPr>
          <w:rFonts w:hint="eastAsia" w:ascii="Arial" w:hAnsi="Arial" w:cs="Arial"/>
          <w:color w:val="auto"/>
          <w:sz w:val="24"/>
          <w:szCs w:val="24"/>
          <w:highlight w:val="none"/>
          <w:lang w:val="en" w:eastAsia="zh-CN"/>
        </w:rPr>
        <w:t>衢州科技大市场运营服务</w:t>
      </w:r>
      <w:r>
        <w:rPr>
          <w:rFonts w:ascii="Arial" w:hAnsi="Arial" w:cs="Arial"/>
          <w:color w:val="auto"/>
          <w:sz w:val="24"/>
          <w:szCs w:val="24"/>
          <w:highlight w:val="none"/>
        </w:rPr>
        <w:t>采购活动，服务全部由符合政策要求的中小企业承接。相关企业（含联合体中的中小企业、签订分包意向协议的中小企业）的具体情 况如下：</w:t>
      </w:r>
    </w:p>
    <w:p w14:paraId="24ED74D7">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1.</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 w:eastAsia="zh-CN"/>
        </w:rPr>
        <w:t>衢州科技大市场运营服务</w:t>
      </w:r>
      <w:r>
        <w:rPr>
          <w:rFonts w:ascii="Arial" w:hAnsi="Arial" w:cs="Arial"/>
          <w:color w:val="auto"/>
          <w:sz w:val="24"/>
          <w:szCs w:val="24"/>
          <w:highlight w:val="none"/>
        </w:rPr>
        <w:t>，属于</w:t>
      </w:r>
      <w:r>
        <w:rPr>
          <w:rFonts w:hint="eastAsia" w:ascii="宋体" w:hAnsi="宋体"/>
          <w:color w:val="auto"/>
          <w:sz w:val="24"/>
          <w:szCs w:val="22"/>
          <w:highlight w:val="none"/>
          <w:u w:val="single"/>
          <w:lang w:eastAsia="zh-CN"/>
        </w:rPr>
        <w:t>其他未列明行业</w:t>
      </w:r>
      <w:r>
        <w:rPr>
          <w:rFonts w:ascii="Arial" w:hAnsi="Arial" w:cs="Arial"/>
          <w:color w:val="auto"/>
          <w:sz w:val="24"/>
          <w:szCs w:val="24"/>
          <w:highlight w:val="none"/>
        </w:rPr>
        <w:t>；承接企业为</w:t>
      </w:r>
      <w:r>
        <w:rPr>
          <w:rFonts w:hint="eastAsia" w:ascii="Arial" w:hAnsi="Arial" w:cs="Arial"/>
          <w:color w:val="auto"/>
          <w:sz w:val="24"/>
          <w:szCs w:val="24"/>
          <w:highlight w:val="none"/>
          <w:u w:val="single"/>
          <w:lang w:val="en-US" w:eastAsia="zh-CN"/>
        </w:rPr>
        <w:t xml:space="preserve">    （企业名称），</w:t>
      </w:r>
      <w:r>
        <w:rPr>
          <w:rFonts w:ascii="Arial" w:hAnsi="Arial" w:cs="Arial"/>
          <w:color w:val="auto"/>
          <w:sz w:val="24"/>
          <w:szCs w:val="24"/>
          <w:highlight w:val="none"/>
        </w:rPr>
        <w:t>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w:t>
      </w:r>
      <w:r>
        <w:rPr>
          <w:rFonts w:ascii="宋体" w:hAnsi="宋体"/>
          <w:color w:val="auto"/>
          <w:sz w:val="24"/>
          <w:szCs w:val="24"/>
          <w:highlight w:val="none"/>
        </w:rPr>
        <w:t>______</w:t>
      </w:r>
      <w:r>
        <w:rPr>
          <w:rFonts w:ascii="Arial" w:hAnsi="Arial" w:cs="Arial"/>
          <w:color w:val="auto"/>
          <w:sz w:val="24"/>
          <w:szCs w:val="24"/>
          <w:highlight w:val="none"/>
        </w:rPr>
        <w:t xml:space="preserve">（请填写：中型、小型、微型）企业； </w:t>
      </w:r>
    </w:p>
    <w:p w14:paraId="6C907B37">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2.</w:t>
      </w:r>
      <w:r>
        <w:rPr>
          <w:rFonts w:ascii="Arial" w:hAnsi="Arial" w:cs="Arial"/>
          <w:color w:val="auto"/>
          <w:sz w:val="24"/>
          <w:szCs w:val="24"/>
          <w:highlight w:val="none"/>
          <w:u w:val="single"/>
        </w:rPr>
        <w:t>（标的名称）</w:t>
      </w:r>
      <w:r>
        <w:rPr>
          <w:rFonts w:ascii="Arial" w:hAnsi="Arial" w:cs="Arial"/>
          <w:color w:val="auto"/>
          <w:sz w:val="24"/>
          <w:szCs w:val="24"/>
          <w:highlight w:val="none"/>
        </w:rPr>
        <w:t>，属于</w:t>
      </w:r>
      <w:r>
        <w:rPr>
          <w:rFonts w:hint="eastAsia" w:ascii="宋体" w:hAnsi="宋体"/>
          <w:color w:val="auto"/>
          <w:sz w:val="24"/>
          <w:szCs w:val="22"/>
          <w:highlight w:val="none"/>
          <w:u w:val="single"/>
          <w:lang w:eastAsia="zh-CN"/>
        </w:rPr>
        <w:t>其他未列明行业</w:t>
      </w:r>
      <w:r>
        <w:rPr>
          <w:rFonts w:ascii="Arial" w:hAnsi="Arial" w:cs="Arial"/>
          <w:color w:val="auto"/>
          <w:sz w:val="24"/>
          <w:szCs w:val="24"/>
          <w:highlight w:val="none"/>
        </w:rPr>
        <w:t>；承接企业为</w:t>
      </w:r>
      <w:r>
        <w:rPr>
          <w:rFonts w:ascii="Arial" w:hAnsi="Arial" w:cs="Arial"/>
          <w:color w:val="auto"/>
          <w:sz w:val="24"/>
          <w:szCs w:val="24"/>
          <w:highlight w:val="none"/>
          <w:u w:val="single"/>
        </w:rPr>
        <w:t>（企业名称）</w:t>
      </w:r>
      <w:r>
        <w:rPr>
          <w:rFonts w:ascii="Arial" w:hAnsi="Arial" w:cs="Arial"/>
          <w:color w:val="auto"/>
          <w:sz w:val="24"/>
          <w:szCs w:val="24"/>
          <w:highlight w:val="none"/>
        </w:rPr>
        <w:t>，从业人员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w:t>
      </w:r>
      <w:r>
        <w:rPr>
          <w:rFonts w:ascii="宋体" w:hAnsi="宋体"/>
          <w:color w:val="auto"/>
          <w:sz w:val="24"/>
          <w:szCs w:val="24"/>
          <w:highlight w:val="none"/>
        </w:rPr>
        <w:t>______</w:t>
      </w:r>
      <w:r>
        <w:rPr>
          <w:rFonts w:ascii="Arial" w:hAnsi="Arial" w:cs="Arial"/>
          <w:color w:val="auto"/>
          <w:sz w:val="24"/>
          <w:szCs w:val="24"/>
          <w:highlight w:val="none"/>
        </w:rPr>
        <w:t>（请填写：中型、小型、微型）企业；</w:t>
      </w:r>
    </w:p>
    <w:p w14:paraId="4D50219E">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w:t>
      </w:r>
    </w:p>
    <w:p w14:paraId="4C23CF9D">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以上企业，不属于大企业的分支机构，不存在控股股东为大企业的情形，也不存在与大企业的负责人为同一人的情形。</w:t>
      </w:r>
    </w:p>
    <w:p w14:paraId="04EF353F">
      <w:pPr>
        <w:shd w:val="clear"/>
        <w:snapToGrid w:val="0"/>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 xml:space="preserve">本企业对上述声明内容的真实性负责。如有虚假，将依法承担相应责任。 </w:t>
      </w:r>
    </w:p>
    <w:p w14:paraId="36686701">
      <w:pPr>
        <w:shd w:val="clear"/>
        <w:snapToGrid w:val="0"/>
        <w:spacing w:line="360" w:lineRule="auto"/>
        <w:jc w:val="right"/>
        <w:rPr>
          <w:rFonts w:ascii="Arial" w:hAnsi="Arial" w:cs="Arial"/>
          <w:color w:val="auto"/>
          <w:sz w:val="24"/>
          <w:szCs w:val="24"/>
          <w:highlight w:val="none"/>
        </w:rPr>
      </w:pPr>
    </w:p>
    <w:p w14:paraId="2DE509CA">
      <w:pPr>
        <w:shd w:val="clear"/>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 xml:space="preserve">                              企业名称（盖章）： </w:t>
      </w:r>
    </w:p>
    <w:p w14:paraId="40F09B16">
      <w:pPr>
        <w:shd w:val="clear"/>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 xml:space="preserve">                    日 期： </w:t>
      </w:r>
    </w:p>
    <w:p w14:paraId="08AE6ABA">
      <w:pPr>
        <w:widowControl/>
        <w:shd w:val="clear"/>
        <w:jc w:val="left"/>
        <w:rPr>
          <w:rFonts w:ascii="Arial" w:hAnsi="Arial" w:cs="Arial"/>
          <w:b/>
          <w:color w:val="auto"/>
          <w:sz w:val="24"/>
          <w:szCs w:val="24"/>
          <w:highlight w:val="none"/>
        </w:rPr>
      </w:pPr>
      <w:r>
        <w:rPr>
          <w:rFonts w:ascii="Arial" w:hAnsi="Arial" w:cs="Arial"/>
          <w:b/>
          <w:color w:val="auto"/>
          <w:sz w:val="24"/>
          <w:szCs w:val="24"/>
          <w:highlight w:val="none"/>
        </w:rPr>
        <w:t xml:space="preserve">  </w:t>
      </w:r>
    </w:p>
    <w:p w14:paraId="6142A227">
      <w:pPr>
        <w:widowControl/>
        <w:shd w:val="clear"/>
        <w:jc w:val="left"/>
        <w:rPr>
          <w:rFonts w:ascii="Arial" w:hAnsi="Arial" w:cs="Arial"/>
          <w:b/>
          <w:color w:val="auto"/>
          <w:highlight w:val="none"/>
        </w:rPr>
      </w:pPr>
    </w:p>
    <w:p w14:paraId="613EF0CD">
      <w:pPr>
        <w:widowControl/>
        <w:shd w:val="clear"/>
        <w:jc w:val="left"/>
        <w:rPr>
          <w:rFonts w:ascii="Arial" w:hAnsi="Arial" w:cs="Arial"/>
          <w:b/>
          <w:color w:val="auto"/>
          <w:highlight w:val="none"/>
        </w:rPr>
      </w:pPr>
    </w:p>
    <w:p w14:paraId="24DD39E9">
      <w:pPr>
        <w:widowControl/>
        <w:shd w:val="clear"/>
        <w:jc w:val="left"/>
        <w:rPr>
          <w:rFonts w:ascii="Arial" w:hAnsi="Arial" w:cs="Arial"/>
          <w:b/>
          <w:color w:val="auto"/>
          <w:highlight w:val="none"/>
        </w:rPr>
      </w:pPr>
    </w:p>
    <w:p w14:paraId="70C55F5A">
      <w:pPr>
        <w:widowControl/>
        <w:shd w:val="clear"/>
        <w:jc w:val="left"/>
        <w:rPr>
          <w:rFonts w:ascii="Arial" w:hAnsi="Arial" w:cs="Arial"/>
          <w:b/>
          <w:color w:val="auto"/>
          <w:highlight w:val="none"/>
        </w:rPr>
      </w:pPr>
    </w:p>
    <w:p w14:paraId="7633DE62">
      <w:pPr>
        <w:widowControl/>
        <w:shd w:val="clear"/>
        <w:jc w:val="left"/>
        <w:rPr>
          <w:rFonts w:ascii="Arial" w:hAnsi="Arial" w:cs="Arial"/>
          <w:b/>
          <w:color w:val="auto"/>
          <w:highlight w:val="none"/>
        </w:rPr>
      </w:pPr>
    </w:p>
    <w:p w14:paraId="0D30590D">
      <w:pPr>
        <w:widowControl/>
        <w:shd w:val="clear"/>
        <w:jc w:val="left"/>
        <w:rPr>
          <w:rFonts w:ascii="Arial" w:hAnsi="Arial" w:cs="Arial"/>
          <w:b/>
          <w:color w:val="auto"/>
          <w:highlight w:val="none"/>
        </w:rPr>
      </w:pPr>
    </w:p>
    <w:p w14:paraId="2DDA6F31">
      <w:pPr>
        <w:widowControl/>
        <w:shd w:val="clear"/>
        <w:jc w:val="left"/>
        <w:rPr>
          <w:rFonts w:ascii="Arial" w:hAnsi="Arial" w:cs="Arial"/>
          <w:b/>
          <w:color w:val="auto"/>
          <w:highlight w:val="none"/>
        </w:rPr>
      </w:pPr>
    </w:p>
    <w:p w14:paraId="39213AF1">
      <w:pPr>
        <w:widowControl/>
        <w:shd w:val="clear"/>
        <w:jc w:val="left"/>
        <w:rPr>
          <w:rFonts w:ascii="宋体" w:hAnsi="宋体" w:cs="宋体"/>
          <w:color w:val="auto"/>
          <w:sz w:val="18"/>
          <w:szCs w:val="18"/>
          <w:highlight w:val="none"/>
        </w:rPr>
      </w:pPr>
      <w:r>
        <w:rPr>
          <w:rFonts w:ascii="宋体" w:hAnsi="宋体" w:cs="宋体"/>
          <w:b/>
          <w:color w:val="auto"/>
          <w:sz w:val="18"/>
          <w:szCs w:val="18"/>
          <w:highlight w:val="none"/>
        </w:rPr>
        <w:t>注：</w:t>
      </w:r>
      <w:r>
        <w:rPr>
          <w:rFonts w:ascii="宋体" w:hAnsi="宋体" w:cs="宋体"/>
          <w:color w:val="auto"/>
          <w:sz w:val="18"/>
          <w:szCs w:val="18"/>
          <w:highlight w:val="none"/>
        </w:rPr>
        <w:t>（1）从业人员</w:t>
      </w:r>
      <w:r>
        <w:rPr>
          <w:rFonts w:ascii="宋体" w:hAnsi="宋体" w:cs="宋体"/>
          <w:color w:val="auto"/>
          <w:kern w:val="0"/>
          <w:sz w:val="18"/>
          <w:szCs w:val="18"/>
          <w:highlight w:val="none"/>
          <w:lang w:bidi="ar"/>
        </w:rPr>
        <w:t>、营业收入、资产总额填报上一年度数据，无上一年度数据的新成立企业可不填报。</w:t>
      </w:r>
    </w:p>
    <w:p w14:paraId="696D64A7">
      <w:pPr>
        <w:shd w:val="clear"/>
        <w:jc w:val="left"/>
        <w:rPr>
          <w:rFonts w:ascii="宋体" w:hAnsi="宋体" w:cs="宋体"/>
          <w:color w:val="auto"/>
          <w:sz w:val="18"/>
          <w:szCs w:val="18"/>
          <w:highlight w:val="none"/>
        </w:rPr>
      </w:pPr>
      <w:r>
        <w:rPr>
          <w:rFonts w:ascii="宋体" w:hAnsi="宋体" w:cs="宋体"/>
          <w:color w:val="auto"/>
          <w:sz w:val="18"/>
          <w:szCs w:val="18"/>
          <w:highlight w:val="none"/>
        </w:rPr>
        <w:t>（2）空格部分由供应商填写，企业类型按实际情况填写。</w:t>
      </w:r>
    </w:p>
    <w:p w14:paraId="5B746129">
      <w:pPr>
        <w:shd w:val="clear"/>
        <w:jc w:val="left"/>
        <w:rPr>
          <w:color w:val="auto"/>
          <w:highlight w:val="none"/>
        </w:rPr>
      </w:pPr>
      <w:r>
        <w:rPr>
          <w:rFonts w:ascii="宋体" w:hAnsi="宋体" w:cs="宋体"/>
          <w:color w:val="auto"/>
          <w:sz w:val="18"/>
          <w:szCs w:val="18"/>
          <w:highlight w:val="none"/>
        </w:rPr>
        <w:t>（</w:t>
      </w:r>
      <w:r>
        <w:rPr>
          <w:rFonts w:hint="eastAsia" w:ascii="宋体" w:hAnsi="宋体" w:cs="宋体"/>
          <w:color w:val="auto"/>
          <w:sz w:val="18"/>
          <w:szCs w:val="18"/>
          <w:highlight w:val="none"/>
          <w:lang w:val="en-US" w:eastAsia="zh-CN"/>
        </w:rPr>
        <w:t>3</w:t>
      </w:r>
      <w:r>
        <w:rPr>
          <w:rFonts w:ascii="宋体" w:hAnsi="宋体" w:cs="宋体"/>
          <w:color w:val="auto"/>
          <w:sz w:val="18"/>
          <w:szCs w:val="18"/>
          <w:highlight w:val="none"/>
        </w:rPr>
        <w:t>）如为分包，分包意向协议书附后。</w:t>
      </w:r>
    </w:p>
    <w:p w14:paraId="50DA0F5F">
      <w:pPr>
        <w:shd w:val="clear"/>
        <w:adjustRightInd w:val="0"/>
        <w:snapToGrid w:val="0"/>
        <w:spacing w:line="360" w:lineRule="auto"/>
        <w:jc w:val="center"/>
        <w:rPr>
          <w:rFonts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（二）监狱企业声明函</w:t>
      </w:r>
    </w:p>
    <w:p w14:paraId="5177521A">
      <w:pPr>
        <w:shd w:val="clea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衢州市科学技术局</w:t>
      </w:r>
      <w:r>
        <w:rPr>
          <w:rFonts w:ascii="宋体" w:hAnsi="宋体"/>
          <w:color w:val="auto"/>
          <w:sz w:val="24"/>
          <w:highlight w:val="none"/>
        </w:rPr>
        <w:t>：</w:t>
      </w:r>
    </w:p>
    <w:p w14:paraId="0BBEA37A">
      <w:pPr>
        <w:shd w:val="clea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浙江中正工程项目管理有限公司</w:t>
      </w:r>
      <w:r>
        <w:rPr>
          <w:rFonts w:ascii="宋体" w:hAnsi="宋体"/>
          <w:color w:val="auto"/>
          <w:sz w:val="24"/>
          <w:highlight w:val="none"/>
        </w:rPr>
        <w:t>：</w:t>
      </w:r>
    </w:p>
    <w:p w14:paraId="225660D9">
      <w:pPr>
        <w:shd w:val="clea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本公司郑重声明，根据《关于政府采购支持监狱企业发展有关问题的通知》（财库</w:t>
      </w:r>
      <w:r>
        <w:rPr>
          <w:rFonts w:hint="eastAsia" w:ascii="宋体" w:hAnsi="宋体"/>
          <w:color w:val="auto"/>
          <w:sz w:val="24"/>
          <w:highlight w:val="none"/>
          <w:lang w:eastAsia="zh-CN"/>
        </w:rPr>
        <w:t>〔2014〕</w:t>
      </w:r>
      <w:r>
        <w:rPr>
          <w:rFonts w:ascii="宋体" w:hAnsi="宋体"/>
          <w:color w:val="auto"/>
          <w:sz w:val="24"/>
          <w:highlight w:val="none"/>
        </w:rPr>
        <w:t>68 号）的规定，本企业为监狱企业。</w:t>
      </w:r>
    </w:p>
    <w:p w14:paraId="077D16AC">
      <w:pPr>
        <w:shd w:val="clea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sz w:val="24"/>
          <w:highlight w:val="none"/>
        </w:rPr>
        <w:t>根据上述标准，我企业属于监狱企业的理由为：【</w:t>
      </w:r>
      <w:r>
        <w:rPr>
          <w:rFonts w:ascii="CIDFont+F2" w:hAnsi="CIDFont+F2" w:eastAsia="CIDFont+F2"/>
          <w:color w:val="auto"/>
          <w:highlight w:val="none"/>
          <w:u w:val="single"/>
        </w:rPr>
        <w:t xml:space="preserve">               </w:t>
      </w:r>
      <w:r>
        <w:rPr>
          <w:rFonts w:ascii="CIDFont+F2" w:hAnsi="CIDFont+F2" w:eastAsia="CIDFont+F2"/>
          <w:color w:val="auto"/>
          <w:highlight w:val="none"/>
        </w:rPr>
        <w:t>】。</w:t>
      </w:r>
    </w:p>
    <w:p w14:paraId="31EEA71E">
      <w:pPr>
        <w:shd w:val="clea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本公司对上述声明的真实性负责。如有虚假，将依法承担相应责任。</w:t>
      </w:r>
    </w:p>
    <w:p w14:paraId="18D11F3E">
      <w:pPr>
        <w:shd w:val="clear"/>
        <w:adjustRightInd w:val="0"/>
        <w:snapToGrid w:val="0"/>
        <w:spacing w:line="360" w:lineRule="auto"/>
        <w:rPr>
          <w:rFonts w:ascii="宋体" w:hAnsi="宋体"/>
          <w:color w:val="auto"/>
          <w:kern w:val="0"/>
          <w:sz w:val="24"/>
          <w:highlight w:val="none"/>
          <w:u w:val="single"/>
          <w:lang w:val="zh-CN"/>
        </w:rPr>
      </w:pPr>
    </w:p>
    <w:p w14:paraId="6DAF57AD">
      <w:pPr>
        <w:shd w:val="clear"/>
        <w:adjustRightInd w:val="0"/>
        <w:snapToGrid w:val="0"/>
        <w:spacing w:line="360" w:lineRule="auto"/>
        <w:rPr>
          <w:rFonts w:ascii="宋体" w:hAnsi="宋体"/>
          <w:color w:val="auto"/>
          <w:kern w:val="0"/>
          <w:sz w:val="24"/>
          <w:highlight w:val="none"/>
          <w:u w:val="single"/>
          <w:lang w:val="zh-CN"/>
        </w:rPr>
      </w:pPr>
      <w:r>
        <w:rPr>
          <w:rFonts w:ascii="宋体" w:hAnsi="宋体"/>
          <w:color w:val="auto"/>
          <w:kern w:val="0"/>
          <w:sz w:val="24"/>
          <w:highlight w:val="none"/>
          <w:lang w:val="zh-CN"/>
        </w:rPr>
        <w:t>供应商：</w:t>
      </w:r>
      <w:r>
        <w:rPr>
          <w:rFonts w:ascii="宋体" w:hAnsi="宋体"/>
          <w:color w:val="auto"/>
          <w:kern w:val="0"/>
          <w:sz w:val="24"/>
          <w:highlight w:val="none"/>
          <w:u w:val="single"/>
          <w:lang w:val="zh-CN"/>
        </w:rPr>
        <w:t xml:space="preserve">（全称加盖公章）         </w:t>
      </w:r>
    </w:p>
    <w:p w14:paraId="02D7414F">
      <w:pPr>
        <w:shd w:val="clear"/>
        <w:adjustRightInd w:val="0"/>
        <w:snapToGrid w:val="0"/>
        <w:spacing w:line="360" w:lineRule="auto"/>
        <w:rPr>
          <w:rFonts w:ascii="宋体" w:hAnsi="宋体"/>
          <w:color w:val="auto"/>
          <w:kern w:val="0"/>
          <w:sz w:val="24"/>
          <w:highlight w:val="none"/>
          <w:lang w:val="zh-CN"/>
        </w:rPr>
      </w:pPr>
      <w:r>
        <w:rPr>
          <w:rFonts w:ascii="宋体" w:hAnsi="宋体"/>
          <w:color w:val="auto"/>
          <w:kern w:val="0"/>
          <w:sz w:val="24"/>
          <w:highlight w:val="none"/>
          <w:lang w:val="zh-CN"/>
        </w:rPr>
        <w:t>日</w:t>
      </w:r>
      <w:r>
        <w:rPr>
          <w:rFonts w:ascii="宋体" w:hAnsi="宋体"/>
          <w:color w:val="auto"/>
          <w:kern w:val="0"/>
          <w:sz w:val="24"/>
          <w:highlight w:val="none"/>
        </w:rPr>
        <w:t xml:space="preserve">    </w:t>
      </w:r>
      <w:r>
        <w:rPr>
          <w:rFonts w:ascii="宋体" w:hAnsi="宋体"/>
          <w:color w:val="auto"/>
          <w:kern w:val="0"/>
          <w:sz w:val="24"/>
          <w:highlight w:val="none"/>
          <w:lang w:val="zh-CN"/>
        </w:rPr>
        <w:t>期</w:t>
      </w:r>
      <w:r>
        <w:rPr>
          <w:rFonts w:ascii="宋体" w:hAnsi="宋体"/>
          <w:color w:val="auto"/>
          <w:kern w:val="0"/>
          <w:sz w:val="24"/>
          <w:highlight w:val="none"/>
        </w:rPr>
        <w:t xml:space="preserve">： </w:t>
      </w:r>
      <w:r>
        <w:rPr>
          <w:rFonts w:ascii="宋体" w:hAnsi="宋体"/>
          <w:color w:val="auto"/>
          <w:kern w:val="0"/>
          <w:sz w:val="24"/>
          <w:highlight w:val="none"/>
          <w:u w:val="single"/>
        </w:rPr>
        <w:t xml:space="preserve">       </w:t>
      </w:r>
      <w:r>
        <w:rPr>
          <w:rFonts w:ascii="宋体" w:hAnsi="宋体"/>
          <w:color w:val="auto"/>
          <w:kern w:val="0"/>
          <w:sz w:val="24"/>
          <w:highlight w:val="none"/>
          <w:lang w:val="zh-CN"/>
        </w:rPr>
        <w:t>年</w:t>
      </w:r>
      <w:r>
        <w:rPr>
          <w:rFonts w:ascii="宋体" w:hAnsi="宋体"/>
          <w:color w:val="auto"/>
          <w:kern w:val="0"/>
          <w:sz w:val="24"/>
          <w:highlight w:val="none"/>
          <w:u w:val="single"/>
        </w:rPr>
        <w:t xml:space="preserve">  </w:t>
      </w:r>
      <w:r>
        <w:rPr>
          <w:rFonts w:ascii="宋体" w:hAnsi="宋体"/>
          <w:color w:val="auto"/>
          <w:kern w:val="0"/>
          <w:sz w:val="24"/>
          <w:highlight w:val="none"/>
          <w:u w:val="single"/>
        </w:rPr>
        <w:tab/>
      </w:r>
      <w:r>
        <w:rPr>
          <w:rFonts w:ascii="宋体" w:hAnsi="宋体"/>
          <w:color w:val="auto"/>
          <w:kern w:val="0"/>
          <w:sz w:val="24"/>
          <w:highlight w:val="none"/>
          <w:u w:val="single"/>
        </w:rPr>
        <w:t xml:space="preserve"> </w:t>
      </w:r>
      <w:r>
        <w:rPr>
          <w:rFonts w:ascii="宋体" w:hAnsi="宋体"/>
          <w:color w:val="auto"/>
          <w:kern w:val="0"/>
          <w:sz w:val="24"/>
          <w:highlight w:val="none"/>
          <w:lang w:val="zh-CN"/>
        </w:rPr>
        <w:t>月</w:t>
      </w:r>
      <w:r>
        <w:rPr>
          <w:rFonts w:ascii="宋体" w:hAnsi="宋体"/>
          <w:color w:val="auto"/>
          <w:kern w:val="0"/>
          <w:sz w:val="24"/>
          <w:highlight w:val="none"/>
          <w:u w:val="single"/>
          <w:lang w:val="zh-CN"/>
        </w:rPr>
        <w:t xml:space="preserve">    </w:t>
      </w:r>
      <w:r>
        <w:rPr>
          <w:rFonts w:ascii="宋体" w:hAnsi="宋体"/>
          <w:color w:val="auto"/>
          <w:kern w:val="0"/>
          <w:sz w:val="24"/>
          <w:highlight w:val="none"/>
          <w:lang w:val="zh-CN"/>
        </w:rPr>
        <w:t>日</w:t>
      </w:r>
    </w:p>
    <w:p w14:paraId="0E3B94D0">
      <w:pPr>
        <w:shd w:val="clear"/>
        <w:spacing w:line="312" w:lineRule="auto"/>
        <w:rPr>
          <w:rFonts w:ascii="宋体" w:hAnsi="宋体"/>
          <w:b/>
          <w:color w:val="auto"/>
          <w:kern w:val="0"/>
          <w:sz w:val="24"/>
          <w:highlight w:val="none"/>
          <w:lang w:val="zh-CN"/>
        </w:rPr>
      </w:pPr>
      <w:r>
        <w:rPr>
          <w:color w:val="auto"/>
          <w:sz w:val="24"/>
          <w:highlight w:val="none"/>
        </w:rPr>
        <w:t>说明：</w:t>
      </w:r>
      <w:r>
        <w:rPr>
          <w:rFonts w:ascii="宋体" w:hAnsi="宋体"/>
          <w:b/>
          <w:color w:val="auto"/>
          <w:kern w:val="0"/>
          <w:sz w:val="24"/>
          <w:highlight w:val="none"/>
          <w:lang w:val="zh-CN"/>
        </w:rPr>
        <w:t>本声明函为监狱企业填写。</w:t>
      </w:r>
    </w:p>
    <w:p w14:paraId="4D718DBB">
      <w:pPr>
        <w:shd w:val="clear"/>
        <w:spacing w:line="312" w:lineRule="auto"/>
        <w:ind w:firstLine="480" w:firstLineChars="200"/>
        <w:rPr>
          <w:color w:val="auto"/>
          <w:sz w:val="24"/>
          <w:highlight w:val="none"/>
        </w:rPr>
      </w:pPr>
      <w:r>
        <w:rPr>
          <w:color w:val="auto"/>
          <w:sz w:val="24"/>
          <w:highlight w:val="none"/>
        </w:rPr>
        <w:t>（1）监狱企业参加政府采购活动时，应当提供由省级以上监狱管理局、戒毒管理局（含新疆生产建设兵团）出具的属于监狱企业的证明文件。</w:t>
      </w:r>
    </w:p>
    <w:p w14:paraId="4ED74CFB">
      <w:pPr>
        <w:shd w:val="clear"/>
        <w:spacing w:line="312" w:lineRule="auto"/>
        <w:ind w:firstLine="480" w:firstLineChars="200"/>
        <w:rPr>
          <w:color w:val="auto"/>
          <w:sz w:val="24"/>
          <w:highlight w:val="none"/>
        </w:rPr>
      </w:pPr>
      <w:r>
        <w:rPr>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E67191">
      <w:pPr>
        <w:shd w:val="clear"/>
        <w:adjustRightInd w:val="0"/>
        <w:snapToGrid w:val="0"/>
        <w:spacing w:line="360" w:lineRule="auto"/>
        <w:jc w:val="center"/>
        <w:rPr>
          <w:rFonts w:ascii="宋体" w:hAnsi="宋体"/>
          <w:b/>
          <w:color w:val="auto"/>
          <w:sz w:val="24"/>
          <w:highlight w:val="none"/>
        </w:rPr>
      </w:pPr>
      <w:r>
        <w:rPr>
          <w:rFonts w:ascii="宋体" w:hAnsi="宋体"/>
          <w:b/>
          <w:color w:val="auto"/>
          <w:sz w:val="24"/>
          <w:highlight w:val="none"/>
        </w:rPr>
        <w:t>（三）残疾人福利性单位声明函</w:t>
      </w:r>
    </w:p>
    <w:p w14:paraId="4F9D3D5C">
      <w:pPr>
        <w:shd w:val="clear"/>
        <w:adjustRightInd w:val="0"/>
        <w:snapToGrid w:val="0"/>
        <w:spacing w:line="312" w:lineRule="auto"/>
        <w:rPr>
          <w:rFonts w:ascii="宋体" w:hAnsi="宋体"/>
          <w:color w:val="auto"/>
          <w:sz w:val="24"/>
          <w:highlight w:val="none"/>
        </w:rPr>
      </w:pPr>
      <w:r>
        <w:rPr>
          <w:rFonts w:hint="eastAsia" w:ascii="宋体" w:hAnsi="宋体"/>
          <w:color w:val="auto"/>
          <w:sz w:val="24"/>
          <w:highlight w:val="none"/>
          <w:lang w:eastAsia="zh-CN"/>
        </w:rPr>
        <w:t>衢州市科学技术局</w:t>
      </w:r>
      <w:r>
        <w:rPr>
          <w:rFonts w:ascii="宋体" w:hAnsi="宋体"/>
          <w:color w:val="auto"/>
          <w:sz w:val="24"/>
          <w:highlight w:val="none"/>
        </w:rPr>
        <w:t>：</w:t>
      </w:r>
    </w:p>
    <w:p w14:paraId="70FB114F">
      <w:pPr>
        <w:shd w:val="clear"/>
        <w:adjustRightInd w:val="0"/>
        <w:snapToGrid w:val="0"/>
        <w:spacing w:line="312" w:lineRule="auto"/>
        <w:rPr>
          <w:rFonts w:ascii="宋体" w:hAnsi="宋体"/>
          <w:color w:val="auto"/>
          <w:sz w:val="24"/>
          <w:highlight w:val="none"/>
        </w:rPr>
      </w:pPr>
      <w:r>
        <w:rPr>
          <w:rFonts w:hint="eastAsia" w:ascii="宋体" w:hAnsi="宋体"/>
          <w:color w:val="auto"/>
          <w:sz w:val="24"/>
          <w:highlight w:val="none"/>
          <w:lang w:eastAsia="zh-CN"/>
        </w:rPr>
        <w:t>浙江中正工程项目管理有限公司</w:t>
      </w:r>
      <w:r>
        <w:rPr>
          <w:rFonts w:ascii="宋体" w:hAnsi="宋体"/>
          <w:color w:val="auto"/>
          <w:sz w:val="24"/>
          <w:highlight w:val="none"/>
        </w:rPr>
        <w:t>：</w:t>
      </w:r>
    </w:p>
    <w:p w14:paraId="016ECB91">
      <w:pPr>
        <w:shd w:val="clear"/>
        <w:spacing w:line="312" w:lineRule="auto"/>
        <w:ind w:firstLine="480" w:firstLineChars="200"/>
        <w:rPr>
          <w:color w:val="auto"/>
          <w:sz w:val="24"/>
          <w:highlight w:val="none"/>
        </w:rPr>
      </w:pPr>
      <w:r>
        <w:rPr>
          <w:color w:val="auto"/>
          <w:sz w:val="24"/>
          <w:highlight w:val="none"/>
        </w:rPr>
        <w:t>本单位郑重声明，根据《财政部、民政部、中国残疾人联合会关于促进残疾人就业政府采购政策的通知》（财库〔2017〕141 号）的规定，本单位为符合条件的残疾人福利性单位，且本单位参加</w:t>
      </w:r>
      <w:r>
        <w:rPr>
          <w:color w:val="auto"/>
          <w:sz w:val="24"/>
          <w:highlight w:val="none"/>
          <w:u w:val="single"/>
        </w:rPr>
        <w:t xml:space="preserve">（采购人名称）      </w:t>
      </w:r>
      <w:r>
        <w:rPr>
          <w:color w:val="auto"/>
          <w:sz w:val="24"/>
          <w:highlight w:val="none"/>
        </w:rPr>
        <w:t>单位的</w:t>
      </w:r>
      <w:r>
        <w:rPr>
          <w:color w:val="auto"/>
          <w:sz w:val="24"/>
          <w:highlight w:val="none"/>
          <w:u w:val="single"/>
        </w:rPr>
        <w:t xml:space="preserve"> （项目名称）       </w:t>
      </w:r>
      <w:r>
        <w:rPr>
          <w:color w:val="auto"/>
          <w:sz w:val="24"/>
          <w:highlight w:val="none"/>
        </w:rPr>
        <w:t xml:space="preserve">项目采购活动提供本单位制造的货物（由本单位承担工程/提供服务），或者提供其他残疾人福利性单位制造的货物（不包括使用非残疾人福利性单位注册商标的货物）。 </w:t>
      </w:r>
    </w:p>
    <w:p w14:paraId="1651EC91">
      <w:pPr>
        <w:shd w:val="clear"/>
        <w:spacing w:line="312" w:lineRule="auto"/>
        <w:ind w:firstLine="480" w:firstLineChars="200"/>
        <w:rPr>
          <w:color w:val="auto"/>
          <w:sz w:val="24"/>
          <w:highlight w:val="none"/>
        </w:rPr>
      </w:pPr>
      <w:r>
        <w:rPr>
          <w:color w:val="auto"/>
          <w:sz w:val="24"/>
          <w:highlight w:val="none"/>
        </w:rPr>
        <w:t xml:space="preserve">本单位对上述声明的真实性负责。如有虚假，将依法承担相应责任。 </w:t>
      </w:r>
    </w:p>
    <w:p w14:paraId="49E0FD2F">
      <w:pPr>
        <w:shd w:val="clear"/>
        <w:spacing w:line="312" w:lineRule="auto"/>
        <w:ind w:firstLine="480" w:firstLineChars="200"/>
        <w:rPr>
          <w:color w:val="auto"/>
          <w:sz w:val="24"/>
          <w:highlight w:val="none"/>
        </w:rPr>
      </w:pPr>
    </w:p>
    <w:p w14:paraId="5FA65EFB">
      <w:pPr>
        <w:shd w:val="clear"/>
        <w:spacing w:line="312" w:lineRule="auto"/>
        <w:ind w:firstLine="480" w:firstLineChars="200"/>
        <w:rPr>
          <w:color w:val="auto"/>
          <w:sz w:val="24"/>
          <w:highlight w:val="none"/>
        </w:rPr>
      </w:pPr>
      <w:r>
        <w:rPr>
          <w:color w:val="auto"/>
          <w:sz w:val="24"/>
          <w:highlight w:val="none"/>
        </w:rPr>
        <w:t xml:space="preserve">供应商名称（盖章）： </w:t>
      </w:r>
    </w:p>
    <w:p w14:paraId="3F76378D">
      <w:pPr>
        <w:shd w:val="clear"/>
        <w:spacing w:line="312" w:lineRule="auto"/>
        <w:ind w:firstLine="480" w:firstLineChars="200"/>
        <w:rPr>
          <w:color w:val="auto"/>
          <w:sz w:val="24"/>
          <w:highlight w:val="none"/>
        </w:rPr>
      </w:pPr>
    </w:p>
    <w:p w14:paraId="2FF8222E">
      <w:pPr>
        <w:shd w:val="clear"/>
        <w:spacing w:line="312" w:lineRule="auto"/>
        <w:ind w:firstLine="480" w:firstLineChars="200"/>
        <w:rPr>
          <w:color w:val="auto"/>
          <w:sz w:val="24"/>
          <w:highlight w:val="none"/>
        </w:rPr>
      </w:pPr>
      <w:r>
        <w:rPr>
          <w:color w:val="auto"/>
          <w:sz w:val="24"/>
          <w:highlight w:val="none"/>
        </w:rPr>
        <w:t xml:space="preserve">日期： 年 月 日 </w:t>
      </w:r>
    </w:p>
    <w:p w14:paraId="49B49A9B">
      <w:pPr>
        <w:shd w:val="clear"/>
        <w:spacing w:line="312" w:lineRule="auto"/>
        <w:ind w:firstLine="480" w:firstLineChars="200"/>
        <w:rPr>
          <w:color w:val="auto"/>
          <w:sz w:val="24"/>
          <w:highlight w:val="none"/>
        </w:rPr>
      </w:pPr>
    </w:p>
    <w:p w14:paraId="13823FD3">
      <w:pPr>
        <w:shd w:val="clear"/>
        <w:spacing w:line="312" w:lineRule="auto"/>
        <w:ind w:firstLine="480" w:firstLineChars="200"/>
        <w:rPr>
          <w:color w:val="auto"/>
          <w:sz w:val="24"/>
          <w:highlight w:val="none"/>
        </w:rPr>
      </w:pPr>
    </w:p>
    <w:p w14:paraId="1B2DBAFD">
      <w:pPr>
        <w:shd w:val="clear"/>
        <w:spacing w:line="312" w:lineRule="auto"/>
        <w:ind w:firstLine="480" w:firstLineChars="200"/>
        <w:rPr>
          <w:color w:val="auto"/>
          <w:sz w:val="24"/>
          <w:highlight w:val="none"/>
        </w:rPr>
      </w:pPr>
    </w:p>
    <w:p w14:paraId="097DF1A8">
      <w:pPr>
        <w:widowControl/>
        <w:shd w:val="clear"/>
        <w:spacing w:line="288" w:lineRule="auto"/>
        <w:jc w:val="left"/>
        <w:rPr>
          <w:rFonts w:ascii="宋体" w:hAnsi="宋体" w:cs="宋体"/>
          <w:color w:val="auto"/>
          <w:sz w:val="24"/>
          <w:szCs w:val="24"/>
          <w:highlight w:val="none"/>
        </w:rPr>
      </w:pPr>
      <w:r>
        <w:rPr>
          <w:rFonts w:ascii="CIDFont+F2" w:hAnsi="CIDFont+F2" w:eastAsia="CIDFont+F2"/>
          <w:color w:val="auto"/>
          <w:highlight w:val="none"/>
        </w:rPr>
        <w:t>【声明函</w:t>
      </w:r>
      <w:r>
        <w:rPr>
          <w:rFonts w:ascii="CIDFont+F1" w:hAnsi="CIDFont+F1" w:eastAsia="CIDFont+F1"/>
          <w:color w:val="auto"/>
          <w:highlight w:val="none"/>
        </w:rPr>
        <w:t>3</w:t>
      </w:r>
      <w:r>
        <w:rPr>
          <w:rFonts w:ascii="CIDFont+F2" w:hAnsi="CIDFont+F2" w:eastAsia="CIDFont+F2"/>
          <w:color w:val="auto"/>
          <w:highlight w:val="none"/>
        </w:rPr>
        <w:t>】：</w:t>
      </w:r>
      <w:r>
        <w:rPr>
          <w:rFonts w:ascii="宋体" w:hAnsi="宋体" w:cs="宋体"/>
          <w:color w:val="auto"/>
          <w:sz w:val="24"/>
          <w:szCs w:val="24"/>
          <w:highlight w:val="none"/>
        </w:rPr>
        <w:t>与其他供应商无利害关系的声明函</w:t>
      </w:r>
    </w:p>
    <w:p w14:paraId="7EBADD6C">
      <w:pPr>
        <w:shd w:val="clear"/>
        <w:spacing w:line="288" w:lineRule="auto"/>
        <w:jc w:val="center"/>
        <w:rPr>
          <w:rFonts w:ascii="宋体" w:hAnsi="宋体"/>
          <w:b/>
          <w:color w:val="auto"/>
          <w:sz w:val="32"/>
          <w:szCs w:val="22"/>
          <w:highlight w:val="none"/>
        </w:rPr>
      </w:pPr>
    </w:p>
    <w:p w14:paraId="4F067489">
      <w:pPr>
        <w:shd w:val="clear"/>
        <w:spacing w:line="288" w:lineRule="auto"/>
        <w:jc w:val="center"/>
        <w:rPr>
          <w:rFonts w:ascii="宋体" w:hAnsi="宋体" w:cs="宋体"/>
          <w:color w:val="auto"/>
          <w:sz w:val="24"/>
          <w:szCs w:val="24"/>
          <w:highlight w:val="none"/>
        </w:rPr>
      </w:pPr>
      <w:r>
        <w:rPr>
          <w:rFonts w:ascii="宋体" w:hAnsi="宋体"/>
          <w:b/>
          <w:color w:val="auto"/>
          <w:sz w:val="32"/>
          <w:szCs w:val="22"/>
          <w:highlight w:val="none"/>
        </w:rPr>
        <w:t>与其他供应商无利害关系的声明函</w:t>
      </w:r>
    </w:p>
    <w:p w14:paraId="06109FBA">
      <w:pPr>
        <w:widowControl/>
        <w:shd w:val="clear"/>
        <w:spacing w:line="288" w:lineRule="auto"/>
        <w:jc w:val="left"/>
        <w:rPr>
          <w:rFonts w:ascii="宋体" w:hAnsi="宋体" w:cs="宋体"/>
          <w:color w:val="auto"/>
          <w:sz w:val="24"/>
          <w:szCs w:val="24"/>
          <w:highlight w:val="none"/>
        </w:rPr>
      </w:pPr>
    </w:p>
    <w:p w14:paraId="5A6D94C1">
      <w:pPr>
        <w:shd w:val="clear"/>
        <w:spacing w:line="288" w:lineRule="auto"/>
        <w:rPr>
          <w:rFonts w:ascii="宋体" w:hAnsi="宋体"/>
          <w:color w:val="auto"/>
          <w:kern w:val="0"/>
          <w:sz w:val="24"/>
          <w:highlight w:val="none"/>
        </w:rPr>
      </w:pPr>
      <w:r>
        <w:rPr>
          <w:rFonts w:hint="eastAsia" w:ascii="宋体" w:hAnsi="宋体"/>
          <w:color w:val="auto"/>
          <w:sz w:val="24"/>
          <w:highlight w:val="none"/>
          <w:lang w:eastAsia="zh-CN"/>
        </w:rPr>
        <w:t>衢州市科学技术局</w:t>
      </w:r>
      <w:r>
        <w:rPr>
          <w:rFonts w:ascii="宋体" w:hAnsi="宋体"/>
          <w:color w:val="auto"/>
          <w:kern w:val="0"/>
          <w:sz w:val="24"/>
          <w:highlight w:val="none"/>
        </w:rPr>
        <w:t>：</w:t>
      </w:r>
    </w:p>
    <w:p w14:paraId="3FDBAD15">
      <w:pPr>
        <w:shd w:val="clear"/>
        <w:adjustRightInd w:val="0"/>
        <w:snapToGrid w:val="0"/>
        <w:spacing w:line="288" w:lineRule="auto"/>
        <w:rPr>
          <w:rFonts w:ascii="宋体" w:hAnsi="宋体"/>
          <w:color w:val="auto"/>
          <w:sz w:val="24"/>
          <w:highlight w:val="none"/>
        </w:rPr>
      </w:pPr>
      <w:r>
        <w:rPr>
          <w:rFonts w:hint="eastAsia" w:ascii="宋体" w:hAnsi="宋体"/>
          <w:color w:val="auto"/>
          <w:kern w:val="0"/>
          <w:sz w:val="24"/>
          <w:highlight w:val="none"/>
          <w:lang w:val="zh-CN"/>
        </w:rPr>
        <w:t>浙江中正工程项目管理有限公司</w:t>
      </w:r>
      <w:r>
        <w:rPr>
          <w:rFonts w:ascii="宋体" w:hAnsi="宋体"/>
          <w:color w:val="auto"/>
          <w:kern w:val="0"/>
          <w:sz w:val="24"/>
          <w:highlight w:val="none"/>
          <w:lang w:val="zh-CN"/>
        </w:rPr>
        <w:t>：</w:t>
      </w:r>
    </w:p>
    <w:p w14:paraId="70A742CE">
      <w:pPr>
        <w:widowControl/>
        <w:shd w:val="clear"/>
        <w:adjustRightInd w:val="0"/>
        <w:snapToGrid w:val="0"/>
        <w:spacing w:line="288"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highlight w:val="none"/>
        </w:rPr>
        <w:t>我方参加</w:t>
      </w:r>
      <w:r>
        <w:rPr>
          <w:rFonts w:hint="eastAsia" w:ascii="宋体" w:hAnsi="宋体" w:cs="宋体"/>
          <w:color w:val="auto"/>
          <w:kern w:val="0"/>
          <w:sz w:val="24"/>
          <w:szCs w:val="22"/>
          <w:highlight w:val="none"/>
          <w:u w:val="single"/>
          <w:lang w:eastAsia="zh-CN"/>
        </w:rPr>
        <w:t>衢州市科学技术局</w:t>
      </w:r>
      <w:r>
        <w:rPr>
          <w:rFonts w:ascii="宋体" w:hAnsi="宋体" w:cs="宋体"/>
          <w:color w:val="auto"/>
          <w:kern w:val="0"/>
          <w:sz w:val="24"/>
          <w:szCs w:val="22"/>
          <w:highlight w:val="none"/>
        </w:rPr>
        <w:t>（采购人）</w:t>
      </w:r>
      <w:r>
        <w:rPr>
          <w:rFonts w:hint="eastAsia" w:ascii="宋体" w:hAnsi="宋体" w:cs="宋体"/>
          <w:color w:val="auto"/>
          <w:kern w:val="0"/>
          <w:sz w:val="24"/>
          <w:szCs w:val="22"/>
          <w:highlight w:val="none"/>
          <w:u w:val="single"/>
          <w:lang w:val="en" w:eastAsia="zh-CN"/>
        </w:rPr>
        <w:t>衢州科技大市场运营服务</w:t>
      </w:r>
      <w:r>
        <w:rPr>
          <w:rFonts w:ascii="宋体" w:hAnsi="宋体" w:cs="宋体"/>
          <w:color w:val="auto"/>
          <w:kern w:val="0"/>
          <w:sz w:val="24"/>
          <w:szCs w:val="22"/>
          <w:highlight w:val="none"/>
        </w:rPr>
        <w:t>（</w:t>
      </w:r>
      <w:r>
        <w:rPr>
          <w:rFonts w:ascii="宋体" w:hAnsi="宋体" w:cs="宋体"/>
          <w:color w:val="auto"/>
          <w:kern w:val="0"/>
          <w:sz w:val="24"/>
          <w:szCs w:val="24"/>
          <w:highlight w:val="none"/>
        </w:rPr>
        <w:t>项目编号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eastAsia="zh-CN"/>
        </w:rPr>
        <w:t>ZZCG2026012</w:t>
      </w:r>
      <w:r>
        <w:rPr>
          <w:rFonts w:ascii="宋体" w:hAnsi="宋体" w:cs="宋体"/>
          <w:color w:val="auto"/>
          <w:kern w:val="0"/>
          <w:sz w:val="24"/>
          <w:szCs w:val="24"/>
          <w:highlight w:val="none"/>
        </w:rPr>
        <w:t>）政府采购活动，与同一标项的其他供应商不存在单位负责人为同一人或存在直接控股、管理关系。</w:t>
      </w:r>
    </w:p>
    <w:p w14:paraId="336A1473">
      <w:pPr>
        <w:shd w:val="clear"/>
        <w:spacing w:line="288" w:lineRule="auto"/>
        <w:ind w:firstLine="480" w:firstLineChars="200"/>
        <w:rPr>
          <w:rFonts w:ascii="宋体" w:hAnsi="宋体"/>
          <w:color w:val="auto"/>
          <w:sz w:val="24"/>
          <w:szCs w:val="24"/>
          <w:highlight w:val="none"/>
        </w:rPr>
      </w:pPr>
      <w:r>
        <w:rPr>
          <w:rFonts w:ascii="CIDFont+F2" w:hAnsi="CIDFont+F2" w:eastAsia="CIDFont+F2"/>
          <w:color w:val="auto"/>
          <w:sz w:val="24"/>
          <w:szCs w:val="24"/>
          <w:highlight w:val="none"/>
        </w:rPr>
        <w:t>我方对上述声明的真实性负责。如有虚假，愿意承担相应责任，对此无任何异议。</w:t>
      </w:r>
      <w:r>
        <w:rPr>
          <w:rFonts w:ascii="宋体" w:hAnsi="宋体"/>
          <w:color w:val="auto"/>
          <w:sz w:val="24"/>
          <w:szCs w:val="24"/>
          <w:highlight w:val="none"/>
        </w:rPr>
        <w:t xml:space="preserve"> </w:t>
      </w:r>
    </w:p>
    <w:p w14:paraId="60204910">
      <w:pPr>
        <w:widowControl/>
        <w:shd w:val="clear"/>
        <w:adjustRightInd w:val="0"/>
        <w:snapToGrid w:val="0"/>
        <w:spacing w:line="288"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特此声明！</w:t>
      </w:r>
    </w:p>
    <w:p w14:paraId="11F9758D">
      <w:pPr>
        <w:widowControl/>
        <w:shd w:val="clear"/>
        <w:adjustRightInd w:val="0"/>
        <w:snapToGrid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供应商全称：</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（盖单位公章）</w:t>
      </w:r>
    </w:p>
    <w:p w14:paraId="2EB412EA">
      <w:pPr>
        <w:widowControl/>
        <w:shd w:val="clear"/>
        <w:adjustRightInd w:val="0"/>
        <w:snapToGrid w:val="0"/>
        <w:spacing w:line="360" w:lineRule="auto"/>
        <w:jc w:val="left"/>
        <w:rPr>
          <w:color w:val="auto"/>
          <w:sz w:val="24"/>
          <w:szCs w:val="24"/>
          <w:highlight w:val="none"/>
        </w:rPr>
      </w:pPr>
      <w:r>
        <w:rPr>
          <w:rFonts w:ascii="宋体" w:hAnsi="宋体" w:cs="宋体"/>
          <w:color w:val="auto"/>
          <w:kern w:val="0"/>
          <w:sz w:val="24"/>
          <w:szCs w:val="24"/>
          <w:highlight w:val="none"/>
        </w:rPr>
        <w:t>日期：</w:t>
      </w:r>
      <w:r>
        <w:rPr>
          <w:rFonts w:hint="eastAsia" w:ascii="宋体" w:hAnsi="宋体" w:cs="宋体"/>
          <w:color w:val="auto"/>
          <w:kern w:val="0"/>
          <w:sz w:val="24"/>
          <w:szCs w:val="24"/>
          <w:highlight w:val="none"/>
          <w:lang w:eastAsia="zh-CN"/>
        </w:rPr>
        <w:t>2026年 月 日</w:t>
      </w:r>
    </w:p>
    <w:p w14:paraId="1CAAE2D1">
      <w:pPr>
        <w:widowControl/>
        <w:shd w:val="clear"/>
        <w:spacing w:line="312" w:lineRule="auto"/>
        <w:jc w:val="left"/>
        <w:rPr>
          <w:rFonts w:ascii="CIDFont+F2" w:hAnsi="CIDFont+F2" w:eastAsia="CIDFont+F2"/>
          <w:color w:val="auto"/>
          <w:highlight w:val="none"/>
        </w:rPr>
      </w:pPr>
    </w:p>
    <w:p w14:paraId="5036BAD7">
      <w:pPr>
        <w:widowControl/>
        <w:shd w:val="clear"/>
        <w:spacing w:line="312" w:lineRule="auto"/>
        <w:jc w:val="left"/>
        <w:rPr>
          <w:rFonts w:ascii="CIDFont+F2" w:hAnsi="CIDFont+F2" w:eastAsia="CIDFont+F2"/>
          <w:color w:val="auto"/>
          <w:highlight w:val="none"/>
        </w:rPr>
      </w:pPr>
    </w:p>
    <w:p w14:paraId="68199ADF">
      <w:pPr>
        <w:widowControl/>
        <w:shd w:val="clear"/>
        <w:spacing w:line="312" w:lineRule="auto"/>
        <w:jc w:val="left"/>
        <w:rPr>
          <w:rFonts w:ascii="CIDFont+F2" w:hAnsi="CIDFont+F2" w:eastAsia="CIDFont+F2"/>
          <w:color w:val="auto"/>
          <w:highlight w:val="none"/>
        </w:rPr>
      </w:pPr>
    </w:p>
    <w:p w14:paraId="4E1C9063">
      <w:pPr>
        <w:pStyle w:val="2"/>
        <w:shd w:val="clear"/>
        <w:rPr>
          <w:rFonts w:ascii="CIDFont+F2" w:hAnsi="CIDFont+F2" w:eastAsia="CIDFont+F2"/>
          <w:color w:val="auto"/>
          <w:highlight w:val="none"/>
        </w:rPr>
      </w:pPr>
    </w:p>
    <w:p w14:paraId="6B02E247">
      <w:pPr>
        <w:shd w:val="clear"/>
        <w:rPr>
          <w:rFonts w:ascii="CIDFont+F2" w:hAnsi="CIDFont+F2" w:eastAsia="CIDFont+F2"/>
          <w:color w:val="auto"/>
          <w:highlight w:val="none"/>
        </w:rPr>
      </w:pPr>
    </w:p>
    <w:p w14:paraId="430761EC">
      <w:pPr>
        <w:pStyle w:val="2"/>
        <w:shd w:val="clear"/>
        <w:rPr>
          <w:rFonts w:ascii="CIDFont+F2" w:hAnsi="CIDFont+F2" w:eastAsia="CIDFont+F2"/>
          <w:color w:val="auto"/>
          <w:highlight w:val="none"/>
        </w:rPr>
      </w:pPr>
    </w:p>
    <w:p w14:paraId="43F45F6C">
      <w:pPr>
        <w:shd w:val="clear"/>
        <w:rPr>
          <w:rFonts w:ascii="CIDFont+F2" w:hAnsi="CIDFont+F2" w:eastAsia="CIDFont+F2"/>
          <w:color w:val="auto"/>
          <w:highlight w:val="none"/>
        </w:rPr>
      </w:pPr>
    </w:p>
    <w:p w14:paraId="2B3F2FA1">
      <w:pPr>
        <w:pStyle w:val="2"/>
        <w:shd w:val="clear"/>
        <w:rPr>
          <w:rFonts w:ascii="CIDFont+F2" w:hAnsi="CIDFont+F2" w:eastAsia="CIDFont+F2"/>
          <w:color w:val="auto"/>
          <w:highlight w:val="none"/>
        </w:rPr>
      </w:pPr>
    </w:p>
    <w:p w14:paraId="0C81397D">
      <w:pPr>
        <w:shd w:val="clear"/>
        <w:rPr>
          <w:rFonts w:ascii="CIDFont+F2" w:hAnsi="CIDFont+F2" w:eastAsia="CIDFont+F2"/>
          <w:color w:val="auto"/>
          <w:highlight w:val="none"/>
        </w:rPr>
      </w:pPr>
    </w:p>
    <w:p w14:paraId="0C7949B4">
      <w:pPr>
        <w:pStyle w:val="2"/>
        <w:shd w:val="clear"/>
        <w:rPr>
          <w:rFonts w:ascii="CIDFont+F2" w:hAnsi="CIDFont+F2" w:eastAsia="CIDFont+F2"/>
          <w:color w:val="auto"/>
          <w:highlight w:val="none"/>
        </w:rPr>
      </w:pPr>
    </w:p>
    <w:p w14:paraId="2EEC6BF2">
      <w:pPr>
        <w:shd w:val="clear"/>
        <w:rPr>
          <w:rFonts w:ascii="CIDFont+F2" w:hAnsi="CIDFont+F2" w:eastAsia="CIDFont+F2"/>
          <w:color w:val="auto"/>
          <w:highlight w:val="none"/>
        </w:rPr>
      </w:pPr>
    </w:p>
    <w:p w14:paraId="78711521">
      <w:pPr>
        <w:pStyle w:val="2"/>
        <w:shd w:val="clear"/>
        <w:rPr>
          <w:rFonts w:ascii="CIDFont+F2" w:hAnsi="CIDFont+F2" w:eastAsia="CIDFont+F2"/>
          <w:color w:val="auto"/>
          <w:highlight w:val="none"/>
        </w:rPr>
      </w:pPr>
    </w:p>
    <w:p w14:paraId="2713EE75">
      <w:pPr>
        <w:shd w:val="clear"/>
        <w:rPr>
          <w:rFonts w:ascii="CIDFont+F2" w:hAnsi="CIDFont+F2" w:eastAsia="CIDFont+F2"/>
          <w:color w:val="auto"/>
          <w:highlight w:val="none"/>
        </w:rPr>
      </w:pPr>
    </w:p>
    <w:p w14:paraId="0102DD7D">
      <w:pPr>
        <w:shd w:val="clear"/>
        <w:rPr>
          <w:rFonts w:ascii="CIDFont+F2" w:hAnsi="CIDFont+F2" w:eastAsia="CIDFont+F2"/>
          <w:color w:val="auto"/>
          <w:highlight w:val="none"/>
        </w:rPr>
      </w:pPr>
    </w:p>
    <w:p w14:paraId="5A3A0CE0">
      <w:pPr>
        <w:shd w:val="clear"/>
        <w:rPr>
          <w:rFonts w:ascii="CIDFont+F2" w:hAnsi="CIDFont+F2" w:eastAsia="CIDFont+F2"/>
          <w:color w:val="auto"/>
          <w:highlight w:val="none"/>
        </w:rPr>
      </w:pPr>
    </w:p>
    <w:p w14:paraId="4A15B382">
      <w:pPr>
        <w:shd w:val="clear"/>
        <w:rPr>
          <w:rFonts w:ascii="CIDFont+F2" w:hAnsi="CIDFont+F2" w:eastAsia="CIDFont+F2"/>
          <w:color w:val="auto"/>
          <w:highlight w:val="none"/>
        </w:rPr>
      </w:pPr>
    </w:p>
    <w:p w14:paraId="1FFC848D">
      <w:pPr>
        <w:shd w:val="clear"/>
        <w:rPr>
          <w:rFonts w:ascii="CIDFont+F2" w:hAnsi="CIDFont+F2" w:eastAsia="CIDFont+F2"/>
          <w:color w:val="auto"/>
          <w:highlight w:val="none"/>
        </w:rPr>
      </w:pPr>
    </w:p>
    <w:p w14:paraId="2858F253">
      <w:pPr>
        <w:shd w:val="clear"/>
        <w:rPr>
          <w:rFonts w:ascii="CIDFont+F2" w:hAnsi="CIDFont+F2" w:eastAsia="CIDFont+F2"/>
          <w:color w:val="auto"/>
          <w:highlight w:val="none"/>
        </w:rPr>
      </w:pPr>
    </w:p>
    <w:p w14:paraId="17860000">
      <w:pPr>
        <w:shd w:val="clear"/>
        <w:rPr>
          <w:rFonts w:ascii="CIDFont+F2" w:hAnsi="CIDFont+F2" w:eastAsia="CIDFont+F2"/>
          <w:color w:val="auto"/>
          <w:highlight w:val="none"/>
        </w:rPr>
      </w:pPr>
    </w:p>
    <w:p w14:paraId="78F76E97">
      <w:pPr>
        <w:shd w:val="clear"/>
        <w:rPr>
          <w:rFonts w:ascii="CIDFont+F2" w:hAnsi="CIDFont+F2" w:eastAsia="CIDFont+F2"/>
          <w:color w:val="auto"/>
          <w:highlight w:val="none"/>
        </w:rPr>
      </w:pPr>
    </w:p>
    <w:p w14:paraId="551516E0">
      <w:pPr>
        <w:shd w:val="clear"/>
        <w:rPr>
          <w:rFonts w:ascii="CIDFont+F2" w:hAnsi="CIDFont+F2" w:eastAsia="CIDFont+F2"/>
          <w:color w:val="auto"/>
          <w:highlight w:val="none"/>
        </w:rPr>
      </w:pPr>
    </w:p>
    <w:p w14:paraId="2440C66C">
      <w:pPr>
        <w:shd w:val="clear"/>
        <w:rPr>
          <w:rFonts w:ascii="CIDFont+F2" w:hAnsi="CIDFont+F2" w:eastAsia="CIDFont+F2"/>
          <w:color w:val="auto"/>
          <w:highlight w:val="none"/>
        </w:rPr>
      </w:pPr>
    </w:p>
    <w:p w14:paraId="115B9C5E">
      <w:pPr>
        <w:shd w:val="clear"/>
        <w:rPr>
          <w:rFonts w:ascii="CIDFont+F2" w:hAnsi="CIDFont+F2" w:eastAsia="CIDFont+F2"/>
          <w:color w:val="auto"/>
          <w:highlight w:val="none"/>
        </w:rPr>
      </w:pPr>
    </w:p>
    <w:p w14:paraId="02D814D7">
      <w:pPr>
        <w:shd w:val="clear"/>
        <w:rPr>
          <w:rFonts w:ascii="CIDFont+F2" w:hAnsi="CIDFont+F2" w:eastAsia="CIDFont+F2"/>
          <w:color w:val="auto"/>
          <w:highlight w:val="none"/>
        </w:rPr>
      </w:pPr>
    </w:p>
    <w:p w14:paraId="3B6C0C74">
      <w:pPr>
        <w:widowControl/>
        <w:shd w:val="clear"/>
        <w:spacing w:line="312" w:lineRule="auto"/>
        <w:jc w:val="left"/>
        <w:rPr>
          <w:rFonts w:ascii="宋体" w:hAnsi="宋体"/>
          <w:color w:val="auto"/>
          <w:sz w:val="24"/>
          <w:szCs w:val="22"/>
          <w:highlight w:val="none"/>
        </w:rPr>
      </w:pPr>
      <w:r>
        <w:rPr>
          <w:rFonts w:ascii="CIDFont+F2" w:hAnsi="CIDFont+F2" w:eastAsia="CIDFont+F2"/>
          <w:color w:val="auto"/>
          <w:highlight w:val="none"/>
        </w:rPr>
        <w:t>【声明函</w:t>
      </w:r>
      <w:r>
        <w:rPr>
          <w:rFonts w:ascii="CIDFont+F1" w:hAnsi="CIDFont+F1" w:eastAsia="CIDFont+F1"/>
          <w:color w:val="auto"/>
          <w:highlight w:val="none"/>
        </w:rPr>
        <w:t>4</w:t>
      </w:r>
      <w:r>
        <w:rPr>
          <w:rFonts w:ascii="CIDFont+F2" w:hAnsi="CIDFont+F2" w:eastAsia="CIDFont+F2"/>
          <w:color w:val="auto"/>
          <w:highlight w:val="none"/>
        </w:rPr>
        <w:t>】</w:t>
      </w:r>
      <w:r>
        <w:rPr>
          <w:rFonts w:ascii="宋体" w:hAnsi="宋体"/>
          <w:color w:val="auto"/>
          <w:sz w:val="24"/>
          <w:highlight w:val="none"/>
        </w:rPr>
        <w:t>：非联合体的声明函</w:t>
      </w:r>
    </w:p>
    <w:p w14:paraId="2D0DB316">
      <w:pPr>
        <w:shd w:val="clear"/>
        <w:spacing w:line="312" w:lineRule="auto"/>
        <w:jc w:val="center"/>
        <w:rPr>
          <w:rFonts w:ascii="宋体" w:hAnsi="宋体"/>
          <w:b/>
          <w:color w:val="auto"/>
          <w:sz w:val="32"/>
          <w:szCs w:val="22"/>
          <w:highlight w:val="none"/>
        </w:rPr>
      </w:pPr>
    </w:p>
    <w:p w14:paraId="23C70AFE">
      <w:pPr>
        <w:shd w:val="clear"/>
        <w:spacing w:line="312" w:lineRule="auto"/>
        <w:jc w:val="center"/>
        <w:rPr>
          <w:rFonts w:ascii="宋体" w:hAnsi="宋体"/>
          <w:b/>
          <w:color w:val="auto"/>
          <w:sz w:val="32"/>
          <w:szCs w:val="22"/>
          <w:highlight w:val="none"/>
        </w:rPr>
      </w:pPr>
      <w:r>
        <w:rPr>
          <w:rFonts w:ascii="宋体" w:hAnsi="宋体"/>
          <w:b/>
          <w:color w:val="auto"/>
          <w:sz w:val="32"/>
          <w:szCs w:val="22"/>
          <w:highlight w:val="none"/>
        </w:rPr>
        <w:t xml:space="preserve">非联合体的声明函 </w:t>
      </w:r>
    </w:p>
    <w:p w14:paraId="3E739E0B">
      <w:pPr>
        <w:shd w:val="clear"/>
        <w:spacing w:line="324" w:lineRule="auto"/>
        <w:rPr>
          <w:rFonts w:ascii="宋体" w:hAnsi="宋体"/>
          <w:color w:val="auto"/>
          <w:sz w:val="24"/>
          <w:highlight w:val="none"/>
        </w:rPr>
      </w:pPr>
    </w:p>
    <w:p w14:paraId="2E31AFDE">
      <w:pPr>
        <w:shd w:val="clear"/>
        <w:spacing w:line="324" w:lineRule="auto"/>
        <w:rPr>
          <w:rFonts w:ascii="宋体" w:hAnsi="宋体"/>
          <w:color w:val="auto"/>
          <w:kern w:val="0"/>
          <w:sz w:val="24"/>
          <w:highlight w:val="none"/>
        </w:rPr>
      </w:pPr>
      <w:r>
        <w:rPr>
          <w:rFonts w:hint="eastAsia" w:ascii="宋体" w:hAnsi="宋体"/>
          <w:color w:val="auto"/>
          <w:sz w:val="24"/>
          <w:highlight w:val="none"/>
          <w:lang w:eastAsia="zh-CN"/>
        </w:rPr>
        <w:t>衢州市科学技术局</w:t>
      </w:r>
      <w:r>
        <w:rPr>
          <w:rFonts w:ascii="宋体" w:hAnsi="宋体"/>
          <w:color w:val="auto"/>
          <w:kern w:val="0"/>
          <w:sz w:val="24"/>
          <w:highlight w:val="none"/>
        </w:rPr>
        <w:t>：</w:t>
      </w:r>
    </w:p>
    <w:p w14:paraId="0C1AB6CA">
      <w:pPr>
        <w:shd w:val="clear"/>
        <w:adjustRightInd w:val="0"/>
        <w:snapToGrid w:val="0"/>
        <w:spacing w:line="324" w:lineRule="auto"/>
        <w:rPr>
          <w:rFonts w:ascii="宋体" w:hAnsi="宋体"/>
          <w:color w:val="auto"/>
          <w:sz w:val="24"/>
          <w:szCs w:val="24"/>
          <w:highlight w:val="none"/>
          <w:u w:val="single"/>
        </w:rPr>
      </w:pPr>
      <w:r>
        <w:rPr>
          <w:rFonts w:hint="eastAsia" w:ascii="宋体" w:hAnsi="宋体"/>
          <w:color w:val="auto"/>
          <w:kern w:val="0"/>
          <w:sz w:val="24"/>
          <w:highlight w:val="none"/>
          <w:lang w:val="zh-CN"/>
        </w:rPr>
        <w:t>浙江中正工程项目管理有限公司</w:t>
      </w:r>
      <w:r>
        <w:rPr>
          <w:rFonts w:ascii="宋体" w:hAnsi="宋体"/>
          <w:color w:val="auto"/>
          <w:kern w:val="0"/>
          <w:sz w:val="24"/>
          <w:highlight w:val="none"/>
          <w:lang w:val="zh-CN"/>
        </w:rPr>
        <w:t>：</w:t>
      </w:r>
    </w:p>
    <w:p w14:paraId="6DC5B11D">
      <w:pPr>
        <w:shd w:val="clea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我方</w:t>
      </w:r>
      <w:r>
        <w:rPr>
          <w:rFonts w:ascii="宋体" w:hAnsi="宋体"/>
          <w:color w:val="auto"/>
          <w:sz w:val="24"/>
          <w:szCs w:val="24"/>
          <w:highlight w:val="none"/>
          <w:u w:val="single"/>
        </w:rPr>
        <w:t xml:space="preserve">   （供应商） </w:t>
      </w:r>
      <w:r>
        <w:rPr>
          <w:rFonts w:ascii="宋体" w:hAnsi="宋体"/>
          <w:color w:val="auto"/>
          <w:sz w:val="24"/>
          <w:szCs w:val="24"/>
          <w:highlight w:val="none"/>
        </w:rPr>
        <w:t>独立参加</w:t>
      </w:r>
      <w:r>
        <w:rPr>
          <w:rFonts w:hint="eastAsia" w:ascii="宋体" w:hAnsi="宋体"/>
          <w:color w:val="auto"/>
          <w:sz w:val="24"/>
          <w:szCs w:val="24"/>
          <w:highlight w:val="none"/>
          <w:u w:val="single"/>
          <w:lang w:val="en" w:eastAsia="zh-CN"/>
        </w:rPr>
        <w:t>衢州科技大市场运营服务</w:t>
      </w:r>
      <w:r>
        <w:rPr>
          <w:rFonts w:ascii="宋体" w:hAnsi="宋体"/>
          <w:color w:val="auto"/>
          <w:sz w:val="24"/>
          <w:szCs w:val="24"/>
          <w:highlight w:val="none"/>
        </w:rPr>
        <w:t>（项目编号</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eastAsia="zh-CN"/>
        </w:rPr>
        <w:t>ZZCG2026012</w:t>
      </w:r>
      <w:r>
        <w:rPr>
          <w:rFonts w:ascii="宋体" w:hAnsi="宋体"/>
          <w:color w:val="auto"/>
          <w:sz w:val="24"/>
          <w:szCs w:val="24"/>
          <w:highlight w:val="none"/>
        </w:rPr>
        <w:t xml:space="preserve">）政府采购活动，未与其他单位组成联合体。 </w:t>
      </w:r>
    </w:p>
    <w:p w14:paraId="6AE0F6F9">
      <w:pPr>
        <w:shd w:val="clea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我方对上述声明的真实性负责。如有虚假，愿意承担相应责任，对此无任何异议。 </w:t>
      </w:r>
    </w:p>
    <w:p w14:paraId="45589016">
      <w:pPr>
        <w:shd w:val="clear"/>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特此声明！ </w:t>
      </w:r>
    </w:p>
    <w:p w14:paraId="14A79F80">
      <w:pPr>
        <w:widowControl/>
        <w:shd w:val="clear"/>
        <w:adjustRightInd w:val="0"/>
        <w:snapToGrid w:val="0"/>
        <w:spacing w:line="360" w:lineRule="auto"/>
        <w:jc w:val="left"/>
        <w:rPr>
          <w:rFonts w:ascii="宋体" w:hAnsi="宋体" w:cs="宋体"/>
          <w:color w:val="auto"/>
          <w:kern w:val="0"/>
          <w:sz w:val="24"/>
          <w:szCs w:val="22"/>
          <w:highlight w:val="none"/>
        </w:rPr>
      </w:pPr>
      <w:r>
        <w:rPr>
          <w:rFonts w:ascii="宋体" w:hAnsi="宋体" w:cs="宋体"/>
          <w:color w:val="auto"/>
          <w:kern w:val="0"/>
          <w:sz w:val="24"/>
          <w:szCs w:val="22"/>
          <w:highlight w:val="none"/>
        </w:rPr>
        <w:t>供应商全称：</w:t>
      </w:r>
      <w:r>
        <w:rPr>
          <w:rFonts w:ascii="宋体" w:hAnsi="宋体" w:cs="宋体"/>
          <w:color w:val="auto"/>
          <w:kern w:val="0"/>
          <w:sz w:val="24"/>
          <w:szCs w:val="22"/>
          <w:highlight w:val="none"/>
          <w:u w:val="single"/>
        </w:rPr>
        <w:t xml:space="preserve">                </w:t>
      </w:r>
      <w:r>
        <w:rPr>
          <w:rFonts w:ascii="宋体" w:hAnsi="宋体" w:cs="宋体"/>
          <w:color w:val="auto"/>
          <w:kern w:val="0"/>
          <w:sz w:val="24"/>
          <w:szCs w:val="22"/>
          <w:highlight w:val="none"/>
        </w:rPr>
        <w:t>（盖单位公章）</w:t>
      </w:r>
    </w:p>
    <w:p w14:paraId="61E31FE0">
      <w:pPr>
        <w:widowControl/>
        <w:shd w:val="clear"/>
        <w:adjustRightInd w:val="0"/>
        <w:snapToGrid w:val="0"/>
        <w:spacing w:line="360" w:lineRule="auto"/>
        <w:jc w:val="left"/>
        <w:rPr>
          <w:rFonts w:ascii="宋体" w:hAnsi="宋体"/>
          <w:color w:val="auto"/>
          <w:sz w:val="24"/>
          <w:highlight w:val="none"/>
        </w:rPr>
      </w:pPr>
      <w:r>
        <w:rPr>
          <w:rFonts w:ascii="宋体" w:hAnsi="宋体" w:cs="宋体"/>
          <w:color w:val="auto"/>
          <w:kern w:val="0"/>
          <w:sz w:val="24"/>
          <w:szCs w:val="22"/>
          <w:highlight w:val="none"/>
        </w:rPr>
        <w:t>日期：</w:t>
      </w:r>
      <w:r>
        <w:rPr>
          <w:rFonts w:hint="eastAsia" w:ascii="宋体" w:hAnsi="宋体" w:cs="宋体"/>
          <w:color w:val="auto"/>
          <w:kern w:val="0"/>
          <w:sz w:val="24"/>
          <w:szCs w:val="22"/>
          <w:highlight w:val="none"/>
          <w:lang w:eastAsia="zh-CN"/>
        </w:rPr>
        <w:t>2026年 月 日</w:t>
      </w:r>
    </w:p>
    <w:p w14:paraId="7AA2D0B8">
      <w:pPr>
        <w:pStyle w:val="3"/>
        <w:numPr>
          <w:ilvl w:val="0"/>
          <w:numId w:val="0"/>
        </w:numPr>
        <w:shd w:val="clear"/>
        <w:jc w:val="center"/>
        <w:rPr>
          <w:rFonts w:ascii="宋体" w:hAnsi="宋体" w:eastAsia="宋体" w:cs="宋体"/>
          <w:b/>
          <w:bCs w:val="0"/>
          <w:color w:val="auto"/>
          <w:sz w:val="28"/>
          <w:szCs w:val="28"/>
          <w:highlight w:val="none"/>
        </w:rPr>
      </w:pPr>
    </w:p>
    <w:p w14:paraId="343F42FC">
      <w:pPr>
        <w:shd w:val="clear"/>
        <w:rPr>
          <w:rFonts w:ascii="宋体" w:hAnsi="宋体" w:cs="宋体"/>
          <w:b/>
          <w:bCs/>
          <w:color w:val="auto"/>
          <w:sz w:val="28"/>
          <w:szCs w:val="28"/>
          <w:highlight w:val="none"/>
        </w:rPr>
      </w:pPr>
    </w:p>
    <w:p w14:paraId="2E8ADF74">
      <w:pPr>
        <w:pStyle w:val="2"/>
        <w:shd w:val="clear"/>
        <w:rPr>
          <w:rFonts w:ascii="宋体" w:hAnsi="宋体" w:cs="宋体"/>
          <w:b w:val="0"/>
          <w:bCs/>
          <w:color w:val="auto"/>
          <w:sz w:val="28"/>
          <w:szCs w:val="28"/>
          <w:highlight w:val="none"/>
        </w:rPr>
      </w:pPr>
    </w:p>
    <w:p w14:paraId="6A60207C">
      <w:pPr>
        <w:shd w:val="clear"/>
        <w:rPr>
          <w:rFonts w:ascii="宋体" w:hAnsi="宋体" w:cs="宋体"/>
          <w:b/>
          <w:bCs/>
          <w:color w:val="auto"/>
          <w:sz w:val="28"/>
          <w:szCs w:val="28"/>
          <w:highlight w:val="none"/>
        </w:rPr>
      </w:pPr>
    </w:p>
    <w:p w14:paraId="4C4DC2AD">
      <w:pPr>
        <w:pStyle w:val="2"/>
        <w:shd w:val="clear"/>
        <w:rPr>
          <w:rFonts w:ascii="宋体" w:hAnsi="宋体" w:cs="宋体"/>
          <w:b w:val="0"/>
          <w:bCs/>
          <w:color w:val="auto"/>
          <w:sz w:val="28"/>
          <w:szCs w:val="28"/>
          <w:highlight w:val="none"/>
        </w:rPr>
      </w:pPr>
    </w:p>
    <w:p w14:paraId="06B684DB">
      <w:pPr>
        <w:shd w:val="clear"/>
        <w:rPr>
          <w:rFonts w:ascii="宋体" w:hAnsi="宋体" w:cs="宋体"/>
          <w:b/>
          <w:bCs/>
          <w:color w:val="auto"/>
          <w:sz w:val="28"/>
          <w:szCs w:val="28"/>
          <w:highlight w:val="none"/>
        </w:rPr>
      </w:pPr>
    </w:p>
    <w:p w14:paraId="19E68BF0">
      <w:pPr>
        <w:pStyle w:val="2"/>
        <w:shd w:val="clear"/>
        <w:rPr>
          <w:rFonts w:ascii="宋体" w:hAnsi="宋体" w:cs="宋体"/>
          <w:b w:val="0"/>
          <w:bCs/>
          <w:color w:val="auto"/>
          <w:sz w:val="28"/>
          <w:szCs w:val="28"/>
          <w:highlight w:val="none"/>
        </w:rPr>
      </w:pPr>
    </w:p>
    <w:p w14:paraId="1A55392C">
      <w:pPr>
        <w:shd w:val="clear"/>
        <w:rPr>
          <w:rFonts w:ascii="宋体" w:hAnsi="宋体" w:cs="宋体"/>
          <w:b/>
          <w:bCs/>
          <w:color w:val="auto"/>
          <w:sz w:val="28"/>
          <w:szCs w:val="28"/>
          <w:highlight w:val="none"/>
        </w:rPr>
      </w:pPr>
    </w:p>
    <w:p w14:paraId="76E77526">
      <w:pPr>
        <w:pStyle w:val="2"/>
        <w:shd w:val="clear"/>
        <w:rPr>
          <w:rFonts w:ascii="宋体" w:hAnsi="宋体" w:cs="宋体"/>
          <w:b w:val="0"/>
          <w:bCs/>
          <w:color w:val="auto"/>
          <w:sz w:val="28"/>
          <w:szCs w:val="28"/>
          <w:highlight w:val="none"/>
        </w:rPr>
      </w:pPr>
    </w:p>
    <w:p w14:paraId="58EAD765">
      <w:pPr>
        <w:shd w:val="clear"/>
        <w:rPr>
          <w:rFonts w:ascii="宋体" w:hAnsi="宋体" w:cs="宋体"/>
          <w:b/>
          <w:bCs/>
          <w:color w:val="auto"/>
          <w:sz w:val="28"/>
          <w:szCs w:val="28"/>
          <w:highlight w:val="none"/>
        </w:rPr>
      </w:pPr>
    </w:p>
    <w:p w14:paraId="6137BCB1">
      <w:pPr>
        <w:shd w:val="clear"/>
        <w:rPr>
          <w:rFonts w:ascii="宋体" w:hAnsi="宋体" w:cs="宋体"/>
          <w:b/>
          <w:bCs/>
          <w:color w:val="auto"/>
          <w:sz w:val="28"/>
          <w:szCs w:val="28"/>
          <w:highlight w:val="none"/>
        </w:rPr>
      </w:pPr>
    </w:p>
    <w:p w14:paraId="04F6D22A">
      <w:pPr>
        <w:shd w:val="clear"/>
        <w:rPr>
          <w:rFonts w:ascii="宋体" w:hAnsi="宋体" w:cs="宋体"/>
          <w:b/>
          <w:bCs/>
          <w:color w:val="auto"/>
          <w:sz w:val="28"/>
          <w:szCs w:val="28"/>
          <w:highlight w:val="none"/>
        </w:rPr>
      </w:pPr>
    </w:p>
    <w:p w14:paraId="310B1B5D">
      <w:pPr>
        <w:shd w:val="clear"/>
        <w:rPr>
          <w:rFonts w:ascii="宋体" w:hAnsi="宋体" w:cs="宋体"/>
          <w:b/>
          <w:bCs/>
          <w:color w:val="auto"/>
          <w:sz w:val="28"/>
          <w:szCs w:val="28"/>
          <w:highlight w:val="none"/>
        </w:rPr>
      </w:pPr>
    </w:p>
    <w:p w14:paraId="2DECF5FC">
      <w:pPr>
        <w:shd w:val="clear"/>
        <w:rPr>
          <w:rFonts w:ascii="宋体" w:hAnsi="宋体" w:cs="宋体"/>
          <w:b/>
          <w:bCs/>
          <w:color w:val="auto"/>
          <w:sz w:val="28"/>
          <w:szCs w:val="28"/>
          <w:highlight w:val="none"/>
        </w:rPr>
      </w:pPr>
    </w:p>
    <w:p w14:paraId="54DB2A1D">
      <w:pPr>
        <w:pStyle w:val="2"/>
        <w:shd w:val="clear"/>
        <w:rPr>
          <w:rFonts w:ascii="宋体" w:hAnsi="宋体" w:cs="宋体"/>
          <w:b w:val="0"/>
          <w:bCs/>
          <w:color w:val="auto"/>
          <w:sz w:val="28"/>
          <w:szCs w:val="28"/>
          <w:highlight w:val="none"/>
        </w:rPr>
      </w:pPr>
    </w:p>
    <w:p w14:paraId="7C30EF94">
      <w:pPr>
        <w:shd w:val="clear"/>
        <w:rPr>
          <w:rFonts w:ascii="宋体" w:hAnsi="宋体" w:cs="宋体"/>
          <w:b/>
          <w:bCs/>
          <w:color w:val="auto"/>
          <w:sz w:val="28"/>
          <w:szCs w:val="28"/>
          <w:highlight w:val="none"/>
        </w:rPr>
      </w:pPr>
    </w:p>
    <w:p w14:paraId="302FB86B">
      <w:pPr>
        <w:pStyle w:val="3"/>
        <w:numPr>
          <w:ilvl w:val="0"/>
          <w:numId w:val="0"/>
        </w:numPr>
        <w:shd w:val="clear"/>
        <w:tabs>
          <w:tab w:val="clear" w:pos="1110"/>
        </w:tabs>
        <w:ind w:left="560" w:leftChars="0"/>
        <w:rPr>
          <w:rFonts w:hint="eastAsia" w:eastAsia="黑体"/>
          <w:color w:val="auto"/>
          <w:highlight w:val="none"/>
          <w:lang w:eastAsia="zh-CN"/>
        </w:rPr>
      </w:pPr>
    </w:p>
    <w:p w14:paraId="0FA10882">
      <w:pPr>
        <w:shd w:val="clear"/>
        <w:rPr>
          <w:color w:val="auto"/>
          <w:highlight w:val="none"/>
        </w:rPr>
      </w:pPr>
    </w:p>
    <w:p w14:paraId="19732047">
      <w:pPr>
        <w:shd w:val="clear"/>
        <w:rPr>
          <w:rFonts w:ascii="宋体" w:hAnsi="宋体" w:cs="宋体"/>
          <w:b/>
          <w:bCs/>
          <w:color w:val="auto"/>
          <w:sz w:val="28"/>
          <w:szCs w:val="28"/>
          <w:highlight w:val="none"/>
        </w:rPr>
      </w:pPr>
    </w:p>
    <w:p w14:paraId="45F7340D">
      <w:pPr>
        <w:pStyle w:val="2"/>
        <w:shd w:val="clear"/>
        <w:rPr>
          <w:rFonts w:ascii="宋体" w:hAnsi="宋体" w:cs="宋体"/>
          <w:b w:val="0"/>
          <w:bCs/>
          <w:color w:val="auto"/>
          <w:sz w:val="28"/>
          <w:szCs w:val="28"/>
          <w:highlight w:val="none"/>
        </w:rPr>
      </w:pPr>
    </w:p>
    <w:p w14:paraId="6D682F25">
      <w:pPr>
        <w:shd w:val="clear"/>
        <w:rPr>
          <w:rFonts w:ascii="宋体" w:hAnsi="宋体" w:cs="宋体"/>
          <w:b/>
          <w:bCs/>
          <w:color w:val="auto"/>
          <w:sz w:val="28"/>
          <w:szCs w:val="28"/>
          <w:highlight w:val="none"/>
        </w:rPr>
      </w:pPr>
    </w:p>
    <w:p w14:paraId="7C619311">
      <w:pPr>
        <w:shd w:val="clear"/>
        <w:snapToGrid w:val="0"/>
        <w:spacing w:before="156" w:beforeLines="50" w:after="50"/>
        <w:ind w:firstLine="2530" w:firstLineChars="900"/>
        <w:rPr>
          <w:rFonts w:hint="eastAsia" w:ascii="宋体" w:hAnsi="宋体" w:eastAsia="宋体" w:cs="宋体"/>
          <w:b/>
          <w:bCs/>
          <w:color w:val="auto"/>
          <w:sz w:val="28"/>
          <w:szCs w:val="28"/>
          <w:highlight w:val="none"/>
          <w:lang w:val="zh-CN"/>
        </w:rPr>
      </w:pPr>
      <w:bookmarkStart w:id="239" w:name="_Toc16142"/>
      <w:bookmarkStart w:id="240" w:name="_Toc26039"/>
      <w:bookmarkStart w:id="241" w:name="_Toc22077"/>
      <w:bookmarkStart w:id="242" w:name="_Toc16607"/>
      <w:r>
        <w:rPr>
          <w:rFonts w:ascii="宋体" w:hAnsi="宋体" w:eastAsia="宋体" w:cs="宋体"/>
          <w:b/>
          <w:bCs/>
          <w:color w:val="auto"/>
          <w:sz w:val="28"/>
          <w:szCs w:val="28"/>
          <w:highlight w:val="none"/>
        </w:rPr>
        <w:t>格式二：</w:t>
      </w:r>
      <w:r>
        <w:rPr>
          <w:rFonts w:hint="eastAsia" w:ascii="宋体" w:hAnsi="宋体" w:eastAsia="宋体" w:cs="宋体"/>
          <w:b/>
          <w:bCs/>
          <w:color w:val="auto"/>
          <w:sz w:val="28"/>
          <w:szCs w:val="28"/>
          <w:highlight w:val="none"/>
          <w:lang w:val="zh-CN"/>
        </w:rPr>
        <w:t>项目自评分一览表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58"/>
        <w:gridCol w:w="2652"/>
        <w:gridCol w:w="1008"/>
        <w:gridCol w:w="1044"/>
        <w:gridCol w:w="1156"/>
      </w:tblGrid>
      <w:tr w14:paraId="4033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9" w:type="dxa"/>
            <w:noWrap w:val="0"/>
            <w:vAlign w:val="center"/>
          </w:tcPr>
          <w:p w14:paraId="21E35F1B">
            <w:pPr>
              <w:shd w:val="clear"/>
              <w:autoSpaceDE w:val="0"/>
              <w:autoSpaceDN w:val="0"/>
              <w:adjustRightInd w:val="0"/>
              <w:jc w:val="center"/>
              <w:rPr>
                <w:rFonts w:hint="eastAsia" w:ascii="宋体" w:hAnsi="宋体" w:cs="宋体"/>
                <w:b/>
                <w:bCs w:val="0"/>
                <w:color w:val="auto"/>
                <w:spacing w:val="4"/>
                <w:szCs w:val="21"/>
                <w:highlight w:val="none"/>
              </w:rPr>
            </w:pPr>
            <w:r>
              <w:rPr>
                <w:rFonts w:hint="eastAsia" w:ascii="宋体" w:hAnsi="宋体" w:cs="宋体"/>
                <w:b/>
                <w:bCs w:val="0"/>
                <w:color w:val="auto"/>
                <w:szCs w:val="21"/>
                <w:highlight w:val="none"/>
              </w:rPr>
              <w:t>序号</w:t>
            </w:r>
          </w:p>
        </w:tc>
        <w:tc>
          <w:tcPr>
            <w:tcW w:w="2858" w:type="dxa"/>
            <w:noWrap w:val="0"/>
            <w:vAlign w:val="center"/>
          </w:tcPr>
          <w:p w14:paraId="45419684">
            <w:pPr>
              <w:shd w:val="clear"/>
              <w:autoSpaceDE w:val="0"/>
              <w:autoSpaceDN w:val="0"/>
              <w:adjustRightInd w:val="0"/>
              <w:jc w:val="center"/>
              <w:rPr>
                <w:rFonts w:hint="eastAsia" w:ascii="宋体" w:hAnsi="宋体" w:eastAsia="宋体" w:cs="宋体"/>
                <w:b/>
                <w:bCs w:val="0"/>
                <w:color w:val="auto"/>
                <w:spacing w:val="4"/>
                <w:szCs w:val="21"/>
                <w:highlight w:val="none"/>
                <w:lang w:val="en-US" w:eastAsia="zh-CN"/>
              </w:rPr>
            </w:pPr>
            <w:r>
              <w:rPr>
                <w:rFonts w:hint="eastAsia" w:ascii="宋体" w:hAnsi="宋体" w:eastAsia="宋体" w:cs="宋体"/>
                <w:b/>
                <w:bCs w:val="0"/>
                <w:color w:val="auto"/>
                <w:sz w:val="24"/>
                <w:szCs w:val="24"/>
                <w:highlight w:val="none"/>
              </w:rPr>
              <w:t>评分项目</w:t>
            </w:r>
            <w:r>
              <w:rPr>
                <w:rFonts w:hint="eastAsia" w:ascii="宋体" w:hAnsi="宋体" w:eastAsia="宋体" w:cs="宋体"/>
                <w:b/>
                <w:bCs w:val="0"/>
                <w:color w:val="auto"/>
                <w:sz w:val="24"/>
                <w:szCs w:val="24"/>
                <w:highlight w:val="none"/>
                <w:lang w:val="en-US" w:eastAsia="zh-CN"/>
              </w:rPr>
              <w:t>内容</w:t>
            </w:r>
          </w:p>
        </w:tc>
        <w:tc>
          <w:tcPr>
            <w:tcW w:w="2652" w:type="dxa"/>
            <w:noWrap w:val="0"/>
            <w:vAlign w:val="center"/>
          </w:tcPr>
          <w:p w14:paraId="31C49571">
            <w:pPr>
              <w:shd w:val="clear"/>
              <w:autoSpaceDE w:val="0"/>
              <w:autoSpaceDN w:val="0"/>
              <w:adjustRightIn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评分细则</w:t>
            </w:r>
          </w:p>
        </w:tc>
        <w:tc>
          <w:tcPr>
            <w:tcW w:w="1008" w:type="dxa"/>
            <w:noWrap w:val="0"/>
            <w:vAlign w:val="center"/>
          </w:tcPr>
          <w:p w14:paraId="5652619B">
            <w:pPr>
              <w:shd w:val="clear"/>
              <w:autoSpaceDE w:val="0"/>
              <w:autoSpaceDN w:val="0"/>
              <w:adjustRightIn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分数</w:t>
            </w:r>
          </w:p>
        </w:tc>
        <w:tc>
          <w:tcPr>
            <w:tcW w:w="1044" w:type="dxa"/>
            <w:noWrap w:val="0"/>
            <w:vAlign w:val="center"/>
          </w:tcPr>
          <w:p w14:paraId="6FF29E0A">
            <w:pPr>
              <w:shd w:val="clear"/>
              <w:autoSpaceDE w:val="0"/>
              <w:autoSpaceDN w:val="0"/>
              <w:adjustRightIn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自评分</w:t>
            </w:r>
          </w:p>
        </w:tc>
        <w:tc>
          <w:tcPr>
            <w:tcW w:w="1156" w:type="dxa"/>
            <w:noWrap w:val="0"/>
            <w:vAlign w:val="center"/>
          </w:tcPr>
          <w:p w14:paraId="2CE7C2C9">
            <w:pPr>
              <w:shd w:val="clear"/>
              <w:autoSpaceDE w:val="0"/>
              <w:autoSpaceDN w:val="0"/>
              <w:adjustRightIn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对应页码</w:t>
            </w:r>
          </w:p>
        </w:tc>
      </w:tr>
      <w:tr w14:paraId="15FE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9" w:type="dxa"/>
            <w:noWrap w:val="0"/>
            <w:vAlign w:val="center"/>
          </w:tcPr>
          <w:p w14:paraId="3219D522">
            <w:pPr>
              <w:shd w:val="clear"/>
              <w:autoSpaceDE w:val="0"/>
              <w:autoSpaceDN w:val="0"/>
              <w:adjustRightInd w:val="0"/>
              <w:jc w:val="center"/>
              <w:rPr>
                <w:rFonts w:hint="eastAsia" w:ascii="宋体" w:hAnsi="宋体" w:cs="宋体"/>
                <w:b/>
                <w:color w:val="auto"/>
                <w:szCs w:val="21"/>
                <w:highlight w:val="none"/>
              </w:rPr>
            </w:pPr>
          </w:p>
        </w:tc>
        <w:tc>
          <w:tcPr>
            <w:tcW w:w="2858" w:type="dxa"/>
            <w:noWrap w:val="0"/>
            <w:vAlign w:val="center"/>
          </w:tcPr>
          <w:p w14:paraId="54653DB1">
            <w:pPr>
              <w:shd w:val="clear"/>
              <w:autoSpaceDE w:val="0"/>
              <w:autoSpaceDN w:val="0"/>
              <w:adjustRightInd w:val="0"/>
              <w:jc w:val="center"/>
              <w:rPr>
                <w:rFonts w:hint="eastAsia" w:ascii="宋体" w:hAnsi="宋体" w:cs="宋体"/>
                <w:b/>
                <w:color w:val="auto"/>
                <w:szCs w:val="21"/>
                <w:highlight w:val="none"/>
              </w:rPr>
            </w:pPr>
          </w:p>
        </w:tc>
        <w:tc>
          <w:tcPr>
            <w:tcW w:w="2652" w:type="dxa"/>
            <w:noWrap w:val="0"/>
            <w:vAlign w:val="center"/>
          </w:tcPr>
          <w:p w14:paraId="6EC77B8D">
            <w:pPr>
              <w:shd w:val="clear"/>
              <w:autoSpaceDE w:val="0"/>
              <w:autoSpaceDN w:val="0"/>
              <w:adjustRightInd w:val="0"/>
              <w:jc w:val="center"/>
              <w:rPr>
                <w:rFonts w:hint="eastAsia" w:ascii="宋体" w:hAnsi="宋体" w:cs="宋体"/>
                <w:b/>
                <w:color w:val="auto"/>
                <w:szCs w:val="21"/>
                <w:highlight w:val="none"/>
              </w:rPr>
            </w:pPr>
          </w:p>
        </w:tc>
        <w:tc>
          <w:tcPr>
            <w:tcW w:w="1008" w:type="dxa"/>
            <w:noWrap w:val="0"/>
            <w:vAlign w:val="center"/>
          </w:tcPr>
          <w:p w14:paraId="761E108A">
            <w:pPr>
              <w:shd w:val="clear"/>
              <w:autoSpaceDE w:val="0"/>
              <w:autoSpaceDN w:val="0"/>
              <w:adjustRightInd w:val="0"/>
              <w:jc w:val="center"/>
              <w:rPr>
                <w:rFonts w:hint="eastAsia" w:ascii="宋体" w:hAnsi="宋体" w:cs="宋体"/>
                <w:b/>
                <w:color w:val="auto"/>
                <w:szCs w:val="21"/>
                <w:highlight w:val="none"/>
              </w:rPr>
            </w:pPr>
          </w:p>
        </w:tc>
        <w:tc>
          <w:tcPr>
            <w:tcW w:w="1044" w:type="dxa"/>
            <w:noWrap w:val="0"/>
            <w:vAlign w:val="top"/>
          </w:tcPr>
          <w:p w14:paraId="211E464D">
            <w:pPr>
              <w:shd w:val="clear"/>
              <w:spacing w:line="380" w:lineRule="exact"/>
              <w:jc w:val="center"/>
              <w:rPr>
                <w:rFonts w:hint="eastAsia"/>
                <w:color w:val="auto"/>
                <w:sz w:val="24"/>
                <w:highlight w:val="none"/>
              </w:rPr>
            </w:pPr>
          </w:p>
        </w:tc>
        <w:tc>
          <w:tcPr>
            <w:tcW w:w="1156" w:type="dxa"/>
            <w:noWrap w:val="0"/>
            <w:vAlign w:val="top"/>
          </w:tcPr>
          <w:p w14:paraId="438A5E9F">
            <w:pPr>
              <w:shd w:val="clear"/>
              <w:spacing w:line="380" w:lineRule="exact"/>
              <w:jc w:val="center"/>
              <w:rPr>
                <w:rFonts w:hint="eastAsia"/>
                <w:color w:val="auto"/>
                <w:sz w:val="24"/>
                <w:highlight w:val="none"/>
              </w:rPr>
            </w:pPr>
          </w:p>
        </w:tc>
      </w:tr>
      <w:tr w14:paraId="3325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9" w:type="dxa"/>
            <w:noWrap w:val="0"/>
            <w:vAlign w:val="center"/>
          </w:tcPr>
          <w:p w14:paraId="2F57A730">
            <w:pPr>
              <w:shd w:val="clear"/>
              <w:autoSpaceDE w:val="0"/>
              <w:autoSpaceDN w:val="0"/>
              <w:adjustRightInd w:val="0"/>
              <w:jc w:val="center"/>
              <w:rPr>
                <w:rFonts w:hint="eastAsia" w:ascii="宋体" w:hAnsi="宋体" w:cs="宋体"/>
                <w:b/>
                <w:color w:val="auto"/>
                <w:szCs w:val="21"/>
                <w:highlight w:val="none"/>
              </w:rPr>
            </w:pPr>
          </w:p>
        </w:tc>
        <w:tc>
          <w:tcPr>
            <w:tcW w:w="2858" w:type="dxa"/>
            <w:noWrap w:val="0"/>
            <w:vAlign w:val="center"/>
          </w:tcPr>
          <w:p w14:paraId="5472242F">
            <w:pPr>
              <w:shd w:val="clear"/>
              <w:autoSpaceDE w:val="0"/>
              <w:autoSpaceDN w:val="0"/>
              <w:adjustRightInd w:val="0"/>
              <w:jc w:val="center"/>
              <w:rPr>
                <w:rFonts w:hint="eastAsia" w:ascii="宋体" w:hAnsi="宋体" w:cs="宋体"/>
                <w:b/>
                <w:color w:val="auto"/>
                <w:szCs w:val="21"/>
                <w:highlight w:val="none"/>
              </w:rPr>
            </w:pPr>
          </w:p>
        </w:tc>
        <w:tc>
          <w:tcPr>
            <w:tcW w:w="2652" w:type="dxa"/>
            <w:noWrap w:val="0"/>
            <w:vAlign w:val="center"/>
          </w:tcPr>
          <w:p w14:paraId="1F495BBB">
            <w:pPr>
              <w:shd w:val="clear"/>
              <w:autoSpaceDE w:val="0"/>
              <w:autoSpaceDN w:val="0"/>
              <w:adjustRightInd w:val="0"/>
              <w:jc w:val="center"/>
              <w:rPr>
                <w:rFonts w:hint="eastAsia" w:ascii="宋体" w:hAnsi="宋体" w:cs="宋体"/>
                <w:b/>
                <w:color w:val="auto"/>
                <w:szCs w:val="21"/>
                <w:highlight w:val="none"/>
              </w:rPr>
            </w:pPr>
          </w:p>
        </w:tc>
        <w:tc>
          <w:tcPr>
            <w:tcW w:w="1008" w:type="dxa"/>
            <w:noWrap w:val="0"/>
            <w:vAlign w:val="center"/>
          </w:tcPr>
          <w:p w14:paraId="1E3CC86A">
            <w:pPr>
              <w:shd w:val="clear"/>
              <w:autoSpaceDE w:val="0"/>
              <w:autoSpaceDN w:val="0"/>
              <w:adjustRightInd w:val="0"/>
              <w:jc w:val="center"/>
              <w:rPr>
                <w:rFonts w:hint="eastAsia" w:ascii="宋体" w:hAnsi="宋体" w:cs="宋体"/>
                <w:b/>
                <w:color w:val="auto"/>
                <w:szCs w:val="21"/>
                <w:highlight w:val="none"/>
              </w:rPr>
            </w:pPr>
          </w:p>
        </w:tc>
        <w:tc>
          <w:tcPr>
            <w:tcW w:w="1044" w:type="dxa"/>
            <w:noWrap w:val="0"/>
            <w:vAlign w:val="top"/>
          </w:tcPr>
          <w:p w14:paraId="77E60203">
            <w:pPr>
              <w:shd w:val="clear"/>
              <w:spacing w:line="380" w:lineRule="exact"/>
              <w:jc w:val="center"/>
              <w:rPr>
                <w:rFonts w:hint="eastAsia"/>
                <w:color w:val="auto"/>
                <w:sz w:val="24"/>
                <w:highlight w:val="none"/>
              </w:rPr>
            </w:pPr>
          </w:p>
        </w:tc>
        <w:tc>
          <w:tcPr>
            <w:tcW w:w="1156" w:type="dxa"/>
            <w:noWrap w:val="0"/>
            <w:vAlign w:val="top"/>
          </w:tcPr>
          <w:p w14:paraId="6339C40A">
            <w:pPr>
              <w:shd w:val="clear"/>
              <w:spacing w:line="380" w:lineRule="exact"/>
              <w:jc w:val="center"/>
              <w:rPr>
                <w:rFonts w:hint="eastAsia"/>
                <w:color w:val="auto"/>
                <w:sz w:val="24"/>
                <w:highlight w:val="none"/>
              </w:rPr>
            </w:pPr>
          </w:p>
        </w:tc>
      </w:tr>
      <w:tr w14:paraId="3D6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9" w:type="dxa"/>
            <w:noWrap w:val="0"/>
            <w:vAlign w:val="center"/>
          </w:tcPr>
          <w:p w14:paraId="1DF15EDB">
            <w:pPr>
              <w:shd w:val="clear"/>
              <w:autoSpaceDE w:val="0"/>
              <w:autoSpaceDN w:val="0"/>
              <w:adjustRightInd w:val="0"/>
              <w:jc w:val="center"/>
              <w:rPr>
                <w:rFonts w:hint="eastAsia" w:ascii="宋体" w:hAnsi="宋体" w:cs="宋体"/>
                <w:b/>
                <w:color w:val="auto"/>
                <w:szCs w:val="21"/>
                <w:highlight w:val="none"/>
              </w:rPr>
            </w:pPr>
          </w:p>
        </w:tc>
        <w:tc>
          <w:tcPr>
            <w:tcW w:w="2858" w:type="dxa"/>
            <w:noWrap w:val="0"/>
            <w:vAlign w:val="center"/>
          </w:tcPr>
          <w:p w14:paraId="1CFB3B86">
            <w:pPr>
              <w:shd w:val="clear"/>
              <w:autoSpaceDE w:val="0"/>
              <w:autoSpaceDN w:val="0"/>
              <w:adjustRightInd w:val="0"/>
              <w:jc w:val="center"/>
              <w:rPr>
                <w:rFonts w:hint="eastAsia" w:ascii="宋体" w:hAnsi="宋体" w:cs="宋体"/>
                <w:b/>
                <w:color w:val="auto"/>
                <w:szCs w:val="21"/>
                <w:highlight w:val="none"/>
              </w:rPr>
            </w:pPr>
          </w:p>
        </w:tc>
        <w:tc>
          <w:tcPr>
            <w:tcW w:w="2652" w:type="dxa"/>
            <w:noWrap w:val="0"/>
            <w:vAlign w:val="center"/>
          </w:tcPr>
          <w:p w14:paraId="462B6E2C">
            <w:pPr>
              <w:shd w:val="clear"/>
              <w:autoSpaceDE w:val="0"/>
              <w:autoSpaceDN w:val="0"/>
              <w:adjustRightInd w:val="0"/>
              <w:jc w:val="center"/>
              <w:rPr>
                <w:rFonts w:hint="eastAsia" w:ascii="宋体" w:hAnsi="宋体" w:cs="宋体"/>
                <w:b/>
                <w:color w:val="auto"/>
                <w:szCs w:val="21"/>
                <w:highlight w:val="none"/>
              </w:rPr>
            </w:pPr>
          </w:p>
        </w:tc>
        <w:tc>
          <w:tcPr>
            <w:tcW w:w="1008" w:type="dxa"/>
            <w:noWrap w:val="0"/>
            <w:vAlign w:val="center"/>
          </w:tcPr>
          <w:p w14:paraId="58F228FE">
            <w:pPr>
              <w:shd w:val="clear"/>
              <w:autoSpaceDE w:val="0"/>
              <w:autoSpaceDN w:val="0"/>
              <w:adjustRightInd w:val="0"/>
              <w:jc w:val="center"/>
              <w:rPr>
                <w:rFonts w:hint="eastAsia" w:ascii="宋体" w:hAnsi="宋体" w:cs="宋体"/>
                <w:b/>
                <w:color w:val="auto"/>
                <w:szCs w:val="21"/>
                <w:highlight w:val="none"/>
              </w:rPr>
            </w:pPr>
          </w:p>
        </w:tc>
        <w:tc>
          <w:tcPr>
            <w:tcW w:w="1044" w:type="dxa"/>
            <w:noWrap w:val="0"/>
            <w:vAlign w:val="top"/>
          </w:tcPr>
          <w:p w14:paraId="178181E0">
            <w:pPr>
              <w:shd w:val="clear"/>
              <w:spacing w:line="380" w:lineRule="exact"/>
              <w:jc w:val="center"/>
              <w:rPr>
                <w:rFonts w:hint="eastAsia"/>
                <w:color w:val="auto"/>
                <w:sz w:val="24"/>
                <w:highlight w:val="none"/>
              </w:rPr>
            </w:pPr>
          </w:p>
        </w:tc>
        <w:tc>
          <w:tcPr>
            <w:tcW w:w="1156" w:type="dxa"/>
            <w:noWrap w:val="0"/>
            <w:vAlign w:val="top"/>
          </w:tcPr>
          <w:p w14:paraId="2B31B6CD">
            <w:pPr>
              <w:shd w:val="clear"/>
              <w:spacing w:line="380" w:lineRule="exact"/>
              <w:jc w:val="center"/>
              <w:rPr>
                <w:rFonts w:hint="eastAsia"/>
                <w:color w:val="auto"/>
                <w:sz w:val="24"/>
                <w:highlight w:val="none"/>
              </w:rPr>
            </w:pPr>
          </w:p>
        </w:tc>
      </w:tr>
      <w:tr w14:paraId="1ED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9" w:type="dxa"/>
            <w:noWrap w:val="0"/>
            <w:vAlign w:val="center"/>
          </w:tcPr>
          <w:p w14:paraId="308E1364">
            <w:pPr>
              <w:shd w:val="clear"/>
              <w:autoSpaceDE w:val="0"/>
              <w:autoSpaceDN w:val="0"/>
              <w:adjustRightInd w:val="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w:t>
            </w:r>
          </w:p>
        </w:tc>
        <w:tc>
          <w:tcPr>
            <w:tcW w:w="2858" w:type="dxa"/>
            <w:noWrap w:val="0"/>
            <w:vAlign w:val="center"/>
          </w:tcPr>
          <w:p w14:paraId="5FC06DF5">
            <w:pPr>
              <w:shd w:val="clear"/>
              <w:autoSpaceDE w:val="0"/>
              <w:autoSpaceDN w:val="0"/>
              <w:adjustRightInd w:val="0"/>
              <w:jc w:val="center"/>
              <w:rPr>
                <w:rFonts w:hint="eastAsia" w:ascii="宋体" w:hAnsi="宋体" w:cs="宋体"/>
                <w:b/>
                <w:color w:val="auto"/>
                <w:szCs w:val="21"/>
                <w:highlight w:val="none"/>
              </w:rPr>
            </w:pPr>
          </w:p>
        </w:tc>
        <w:tc>
          <w:tcPr>
            <w:tcW w:w="2652" w:type="dxa"/>
            <w:noWrap w:val="0"/>
            <w:vAlign w:val="center"/>
          </w:tcPr>
          <w:p w14:paraId="0091D155">
            <w:pPr>
              <w:shd w:val="clear"/>
              <w:autoSpaceDE w:val="0"/>
              <w:autoSpaceDN w:val="0"/>
              <w:adjustRightInd w:val="0"/>
              <w:jc w:val="center"/>
              <w:rPr>
                <w:rFonts w:hint="eastAsia" w:ascii="宋体" w:hAnsi="宋体" w:cs="宋体"/>
                <w:b/>
                <w:color w:val="auto"/>
                <w:szCs w:val="21"/>
                <w:highlight w:val="none"/>
              </w:rPr>
            </w:pPr>
          </w:p>
        </w:tc>
        <w:tc>
          <w:tcPr>
            <w:tcW w:w="1008" w:type="dxa"/>
            <w:noWrap w:val="0"/>
            <w:vAlign w:val="center"/>
          </w:tcPr>
          <w:p w14:paraId="645DB95A">
            <w:pPr>
              <w:shd w:val="clear"/>
              <w:autoSpaceDE w:val="0"/>
              <w:autoSpaceDN w:val="0"/>
              <w:adjustRightInd w:val="0"/>
              <w:jc w:val="center"/>
              <w:rPr>
                <w:rFonts w:hint="eastAsia" w:ascii="宋体" w:hAnsi="宋体" w:cs="宋体"/>
                <w:b/>
                <w:color w:val="auto"/>
                <w:szCs w:val="21"/>
                <w:highlight w:val="none"/>
              </w:rPr>
            </w:pPr>
          </w:p>
        </w:tc>
        <w:tc>
          <w:tcPr>
            <w:tcW w:w="1044" w:type="dxa"/>
            <w:noWrap w:val="0"/>
            <w:vAlign w:val="top"/>
          </w:tcPr>
          <w:p w14:paraId="406926EB">
            <w:pPr>
              <w:shd w:val="clear"/>
              <w:spacing w:line="380" w:lineRule="exact"/>
              <w:jc w:val="center"/>
              <w:rPr>
                <w:rFonts w:hint="eastAsia"/>
                <w:color w:val="auto"/>
                <w:sz w:val="24"/>
                <w:highlight w:val="none"/>
              </w:rPr>
            </w:pPr>
          </w:p>
        </w:tc>
        <w:tc>
          <w:tcPr>
            <w:tcW w:w="1156" w:type="dxa"/>
            <w:noWrap w:val="0"/>
            <w:vAlign w:val="top"/>
          </w:tcPr>
          <w:p w14:paraId="38706BA9">
            <w:pPr>
              <w:shd w:val="clear"/>
              <w:spacing w:line="380" w:lineRule="exact"/>
              <w:jc w:val="center"/>
              <w:rPr>
                <w:rFonts w:hint="eastAsia"/>
                <w:color w:val="auto"/>
                <w:sz w:val="24"/>
                <w:highlight w:val="none"/>
              </w:rPr>
            </w:pPr>
          </w:p>
        </w:tc>
      </w:tr>
    </w:tbl>
    <w:p w14:paraId="27680C8A">
      <w:pPr>
        <w:shd w:val="clear"/>
        <w:adjustRightInd w:val="0"/>
        <w:snapToGrid w:val="0"/>
        <w:spacing w:line="360" w:lineRule="auto"/>
        <w:rPr>
          <w:rFonts w:hint="eastAsia" w:ascii="仿宋" w:hAnsi="仿宋" w:eastAsia="仿宋" w:cs="仿宋"/>
          <w:color w:val="auto"/>
          <w:kern w:val="0"/>
          <w:sz w:val="24"/>
          <w:szCs w:val="22"/>
          <w:highlight w:val="none"/>
          <w:lang w:eastAsia="zh-CN"/>
        </w:rPr>
      </w:pPr>
    </w:p>
    <w:p w14:paraId="2577559B">
      <w:pPr>
        <w:shd w:val="clear"/>
        <w:adjustRightInd w:val="0"/>
        <w:snapToGrid w:val="0"/>
        <w:spacing w:line="360" w:lineRule="auto"/>
        <w:rPr>
          <w:rFonts w:hint="eastAsia" w:ascii="仿宋" w:hAnsi="仿宋" w:eastAsia="仿宋" w:cs="仿宋"/>
          <w:color w:val="auto"/>
          <w:kern w:val="0"/>
          <w:sz w:val="24"/>
          <w:highlight w:val="none"/>
          <w:u w:val="single"/>
          <w:lang w:val="zh-CN"/>
        </w:rPr>
      </w:pPr>
      <w:r>
        <w:rPr>
          <w:rFonts w:hint="eastAsia" w:ascii="仿宋" w:hAnsi="仿宋" w:eastAsia="仿宋" w:cs="仿宋"/>
          <w:color w:val="auto"/>
          <w:kern w:val="0"/>
          <w:sz w:val="24"/>
          <w:szCs w:val="22"/>
          <w:highlight w:val="none"/>
        </w:rPr>
        <w:t xml:space="preserve">磋商响应供应商：（全称加盖公章） </w:t>
      </w:r>
    </w:p>
    <w:p w14:paraId="3CEE0236">
      <w:pPr>
        <w:shd w:val="clear"/>
        <w:adjustRightInd w:val="0"/>
        <w:snapToGrid w:val="0"/>
        <w:spacing w:line="360" w:lineRule="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日</w:t>
      </w:r>
    </w:p>
    <w:p w14:paraId="19969A55">
      <w:pPr>
        <w:pStyle w:val="3"/>
        <w:numPr>
          <w:ilvl w:val="0"/>
          <w:numId w:val="0"/>
        </w:numPr>
        <w:shd w:val="clear"/>
        <w:jc w:val="center"/>
        <w:rPr>
          <w:rFonts w:ascii="宋体" w:hAnsi="宋体" w:eastAsia="宋体" w:cs="宋体"/>
          <w:b/>
          <w:bCs w:val="0"/>
          <w:color w:val="auto"/>
          <w:sz w:val="28"/>
          <w:szCs w:val="28"/>
          <w:highlight w:val="none"/>
        </w:rPr>
      </w:pPr>
    </w:p>
    <w:p w14:paraId="03A10AB7">
      <w:pPr>
        <w:pStyle w:val="3"/>
        <w:numPr>
          <w:ilvl w:val="0"/>
          <w:numId w:val="0"/>
        </w:numPr>
        <w:shd w:val="clear"/>
        <w:jc w:val="center"/>
        <w:rPr>
          <w:rFonts w:ascii="宋体" w:hAnsi="宋体" w:eastAsia="宋体" w:cs="宋体"/>
          <w:b/>
          <w:bCs w:val="0"/>
          <w:color w:val="auto"/>
          <w:sz w:val="28"/>
          <w:szCs w:val="28"/>
          <w:highlight w:val="none"/>
        </w:rPr>
      </w:pPr>
    </w:p>
    <w:p w14:paraId="12C10DD5">
      <w:pPr>
        <w:pStyle w:val="3"/>
        <w:numPr>
          <w:ilvl w:val="0"/>
          <w:numId w:val="0"/>
        </w:numPr>
        <w:shd w:val="clear"/>
        <w:jc w:val="center"/>
        <w:rPr>
          <w:rFonts w:ascii="宋体" w:hAnsi="宋体" w:eastAsia="宋体" w:cs="宋体"/>
          <w:b/>
          <w:bCs w:val="0"/>
          <w:color w:val="auto"/>
          <w:sz w:val="28"/>
          <w:szCs w:val="28"/>
          <w:highlight w:val="none"/>
        </w:rPr>
      </w:pPr>
    </w:p>
    <w:p w14:paraId="69115B27">
      <w:pPr>
        <w:pStyle w:val="3"/>
        <w:numPr>
          <w:ilvl w:val="0"/>
          <w:numId w:val="0"/>
        </w:numPr>
        <w:shd w:val="clear"/>
        <w:jc w:val="center"/>
        <w:rPr>
          <w:rFonts w:ascii="宋体" w:hAnsi="宋体" w:eastAsia="宋体" w:cs="宋体"/>
          <w:b/>
          <w:bCs w:val="0"/>
          <w:color w:val="auto"/>
          <w:sz w:val="28"/>
          <w:szCs w:val="28"/>
          <w:highlight w:val="none"/>
        </w:rPr>
      </w:pPr>
    </w:p>
    <w:p w14:paraId="2AB32404">
      <w:pPr>
        <w:pStyle w:val="3"/>
        <w:numPr>
          <w:ilvl w:val="0"/>
          <w:numId w:val="0"/>
        </w:numPr>
        <w:shd w:val="clear"/>
        <w:jc w:val="center"/>
        <w:rPr>
          <w:rFonts w:ascii="宋体" w:hAnsi="宋体" w:eastAsia="宋体" w:cs="宋体"/>
          <w:b/>
          <w:bCs w:val="0"/>
          <w:color w:val="auto"/>
          <w:sz w:val="28"/>
          <w:szCs w:val="28"/>
          <w:highlight w:val="none"/>
        </w:rPr>
      </w:pPr>
    </w:p>
    <w:p w14:paraId="707E9333">
      <w:pPr>
        <w:pStyle w:val="3"/>
        <w:numPr>
          <w:ilvl w:val="0"/>
          <w:numId w:val="0"/>
        </w:numPr>
        <w:shd w:val="clear"/>
        <w:jc w:val="center"/>
        <w:rPr>
          <w:rFonts w:ascii="宋体" w:hAnsi="宋体" w:eastAsia="宋体" w:cs="宋体"/>
          <w:b/>
          <w:bCs w:val="0"/>
          <w:color w:val="auto"/>
          <w:sz w:val="28"/>
          <w:szCs w:val="28"/>
          <w:highlight w:val="none"/>
        </w:rPr>
      </w:pPr>
    </w:p>
    <w:p w14:paraId="2251BD3A">
      <w:pPr>
        <w:pStyle w:val="3"/>
        <w:numPr>
          <w:ilvl w:val="0"/>
          <w:numId w:val="0"/>
        </w:numPr>
        <w:shd w:val="clear"/>
        <w:jc w:val="center"/>
        <w:rPr>
          <w:rFonts w:ascii="宋体" w:hAnsi="宋体" w:eastAsia="宋体" w:cs="宋体"/>
          <w:b/>
          <w:bCs/>
          <w:color w:val="auto"/>
          <w:sz w:val="28"/>
          <w:szCs w:val="28"/>
          <w:highlight w:val="none"/>
        </w:rPr>
      </w:pPr>
    </w:p>
    <w:p w14:paraId="420974D4">
      <w:pPr>
        <w:pStyle w:val="3"/>
        <w:numPr>
          <w:ilvl w:val="0"/>
          <w:numId w:val="0"/>
        </w:numPr>
        <w:shd w:val="clear"/>
        <w:jc w:val="center"/>
        <w:rPr>
          <w:rFonts w:ascii="宋体" w:hAnsi="宋体" w:eastAsia="宋体" w:cs="宋体"/>
          <w:b/>
          <w:bCs/>
          <w:color w:val="auto"/>
          <w:sz w:val="28"/>
          <w:szCs w:val="28"/>
          <w:highlight w:val="none"/>
        </w:rPr>
      </w:pPr>
    </w:p>
    <w:p w14:paraId="22B488A8">
      <w:pPr>
        <w:pStyle w:val="3"/>
        <w:numPr>
          <w:ilvl w:val="0"/>
          <w:numId w:val="0"/>
        </w:numPr>
        <w:shd w:val="clear"/>
        <w:jc w:val="center"/>
        <w:rPr>
          <w:rFonts w:ascii="宋体" w:hAnsi="宋体" w:eastAsia="宋体" w:cs="宋体"/>
          <w:b/>
          <w:bCs/>
          <w:color w:val="auto"/>
          <w:sz w:val="28"/>
          <w:szCs w:val="28"/>
          <w:highlight w:val="none"/>
        </w:rPr>
      </w:pPr>
    </w:p>
    <w:p w14:paraId="68373BF6">
      <w:pPr>
        <w:pStyle w:val="3"/>
        <w:numPr>
          <w:ilvl w:val="0"/>
          <w:numId w:val="0"/>
        </w:numPr>
        <w:shd w:val="clear"/>
        <w:jc w:val="center"/>
        <w:rPr>
          <w:rFonts w:ascii="宋体" w:hAnsi="宋体" w:eastAsia="宋体" w:cs="宋体"/>
          <w:b/>
          <w:bCs/>
          <w:color w:val="auto"/>
          <w:sz w:val="28"/>
          <w:szCs w:val="28"/>
          <w:highlight w:val="none"/>
        </w:rPr>
      </w:pPr>
    </w:p>
    <w:p w14:paraId="15090B57">
      <w:pPr>
        <w:pStyle w:val="3"/>
        <w:numPr>
          <w:ilvl w:val="0"/>
          <w:numId w:val="0"/>
        </w:numPr>
        <w:shd w:val="clear"/>
        <w:jc w:val="center"/>
        <w:rPr>
          <w:rFonts w:ascii="宋体" w:hAnsi="宋体" w:eastAsia="宋体" w:cs="宋体"/>
          <w:b/>
          <w:bCs/>
          <w:color w:val="auto"/>
          <w:sz w:val="28"/>
          <w:szCs w:val="28"/>
          <w:highlight w:val="none"/>
        </w:rPr>
      </w:pPr>
    </w:p>
    <w:p w14:paraId="0F44149E">
      <w:pPr>
        <w:pStyle w:val="3"/>
        <w:numPr>
          <w:ilvl w:val="0"/>
          <w:numId w:val="0"/>
        </w:numPr>
        <w:shd w:val="clear"/>
        <w:jc w:val="center"/>
        <w:rPr>
          <w:rFonts w:ascii="宋体" w:hAnsi="宋体" w:eastAsia="宋体" w:cs="宋体"/>
          <w:b/>
          <w:bCs/>
          <w:color w:val="auto"/>
          <w:sz w:val="28"/>
          <w:szCs w:val="28"/>
          <w:highlight w:val="none"/>
        </w:rPr>
      </w:pPr>
    </w:p>
    <w:p w14:paraId="7182270C">
      <w:pPr>
        <w:pStyle w:val="3"/>
        <w:numPr>
          <w:ilvl w:val="0"/>
          <w:numId w:val="0"/>
        </w:numPr>
        <w:shd w:val="clear"/>
        <w:jc w:val="center"/>
        <w:rPr>
          <w:rFonts w:ascii="宋体" w:hAnsi="宋体" w:eastAsia="宋体" w:cs="宋体"/>
          <w:b/>
          <w:bCs/>
          <w:color w:val="auto"/>
          <w:sz w:val="28"/>
          <w:szCs w:val="28"/>
          <w:highlight w:val="none"/>
        </w:rPr>
      </w:pPr>
    </w:p>
    <w:p w14:paraId="35E94E18">
      <w:pPr>
        <w:pStyle w:val="3"/>
        <w:numPr>
          <w:ilvl w:val="0"/>
          <w:numId w:val="0"/>
        </w:numPr>
        <w:shd w:val="clear"/>
        <w:jc w:val="center"/>
        <w:rPr>
          <w:rFonts w:ascii="宋体" w:hAnsi="宋体" w:eastAsia="宋体" w:cs="宋体"/>
          <w:b/>
          <w:bCs/>
          <w:color w:val="auto"/>
          <w:sz w:val="28"/>
          <w:szCs w:val="28"/>
          <w:highlight w:val="none"/>
        </w:rPr>
      </w:pPr>
    </w:p>
    <w:p w14:paraId="6791C642">
      <w:pPr>
        <w:pStyle w:val="3"/>
        <w:numPr>
          <w:ilvl w:val="0"/>
          <w:numId w:val="0"/>
        </w:numPr>
        <w:shd w:val="clear"/>
        <w:jc w:val="center"/>
        <w:rPr>
          <w:rFonts w:ascii="宋体" w:hAnsi="宋体" w:eastAsia="宋体" w:cs="宋体"/>
          <w:b/>
          <w:bCs/>
          <w:color w:val="auto"/>
          <w:sz w:val="28"/>
          <w:szCs w:val="28"/>
          <w:highlight w:val="none"/>
        </w:rPr>
      </w:pPr>
    </w:p>
    <w:p w14:paraId="31BCC776">
      <w:pPr>
        <w:pStyle w:val="3"/>
        <w:numPr>
          <w:ilvl w:val="0"/>
          <w:numId w:val="0"/>
        </w:numPr>
        <w:shd w:val="clear"/>
        <w:jc w:val="center"/>
        <w:rPr>
          <w:rFonts w:ascii="宋体" w:hAnsi="宋体" w:eastAsia="宋体" w:cs="宋体"/>
          <w:b/>
          <w:bCs/>
          <w:color w:val="auto"/>
          <w:sz w:val="28"/>
          <w:szCs w:val="28"/>
          <w:highlight w:val="none"/>
        </w:rPr>
      </w:pPr>
    </w:p>
    <w:p w14:paraId="453530D2">
      <w:pPr>
        <w:pStyle w:val="3"/>
        <w:numPr>
          <w:ilvl w:val="0"/>
          <w:numId w:val="0"/>
        </w:numPr>
        <w:shd w:val="clear"/>
        <w:jc w:val="center"/>
        <w:rPr>
          <w:rFonts w:ascii="宋体" w:hAnsi="宋体" w:eastAsia="宋体" w:cs="宋体"/>
          <w:b/>
          <w:bCs/>
          <w:color w:val="auto"/>
          <w:sz w:val="28"/>
          <w:szCs w:val="28"/>
          <w:highlight w:val="none"/>
        </w:rPr>
      </w:pPr>
    </w:p>
    <w:p w14:paraId="349810EB">
      <w:pPr>
        <w:shd w:val="clear"/>
        <w:rPr>
          <w:rFonts w:ascii="宋体" w:hAnsi="宋体" w:eastAsia="宋体" w:cs="宋体"/>
          <w:b/>
          <w:bCs/>
          <w:color w:val="auto"/>
          <w:sz w:val="28"/>
          <w:szCs w:val="28"/>
          <w:highlight w:val="none"/>
        </w:rPr>
      </w:pPr>
    </w:p>
    <w:p w14:paraId="7DDF5451">
      <w:pPr>
        <w:shd w:val="clear"/>
        <w:rPr>
          <w:rFonts w:ascii="宋体" w:hAnsi="宋体" w:eastAsia="宋体" w:cs="宋体"/>
          <w:b/>
          <w:bCs/>
          <w:color w:val="auto"/>
          <w:sz w:val="28"/>
          <w:szCs w:val="28"/>
          <w:highlight w:val="none"/>
        </w:rPr>
      </w:pPr>
    </w:p>
    <w:p w14:paraId="11A9FAD2">
      <w:pPr>
        <w:shd w:val="clear"/>
        <w:rPr>
          <w:rFonts w:ascii="宋体" w:hAnsi="宋体" w:eastAsia="宋体" w:cs="宋体"/>
          <w:b/>
          <w:bCs/>
          <w:color w:val="auto"/>
          <w:sz w:val="28"/>
          <w:szCs w:val="28"/>
          <w:highlight w:val="none"/>
        </w:rPr>
      </w:pPr>
    </w:p>
    <w:p w14:paraId="58F2506D">
      <w:pPr>
        <w:pStyle w:val="3"/>
        <w:numPr>
          <w:ilvl w:val="0"/>
          <w:numId w:val="0"/>
        </w:numPr>
        <w:shd w:val="clear"/>
        <w:jc w:val="center"/>
        <w:rPr>
          <w:rFonts w:ascii="宋体" w:hAnsi="宋体" w:eastAsia="宋体" w:cs="宋体"/>
          <w:b/>
          <w:bCs/>
          <w:color w:val="auto"/>
          <w:sz w:val="28"/>
          <w:szCs w:val="28"/>
          <w:highlight w:val="none"/>
        </w:rPr>
      </w:pPr>
    </w:p>
    <w:p w14:paraId="62B99708">
      <w:pPr>
        <w:pStyle w:val="3"/>
        <w:numPr>
          <w:ilvl w:val="0"/>
          <w:numId w:val="0"/>
        </w:numPr>
        <w:shd w:val="clear"/>
        <w:jc w:val="center"/>
        <w:rPr>
          <w:rFonts w:ascii="宋体" w:hAnsi="宋体" w:eastAsia="宋体" w:cs="宋体"/>
          <w:b/>
          <w:bCs/>
          <w:color w:val="auto"/>
          <w:sz w:val="28"/>
          <w:szCs w:val="28"/>
          <w:highlight w:val="none"/>
        </w:rPr>
      </w:pPr>
    </w:p>
    <w:p w14:paraId="248E6BDE">
      <w:pPr>
        <w:pStyle w:val="3"/>
        <w:numPr>
          <w:ilvl w:val="0"/>
          <w:numId w:val="0"/>
        </w:numPr>
        <w:shd w:val="clear"/>
        <w:jc w:val="center"/>
        <w:rPr>
          <w:rFonts w:ascii="宋体" w:hAnsi="宋体" w:eastAsia="宋体" w:cs="宋体"/>
          <w:b/>
          <w:bCs/>
          <w:color w:val="auto"/>
          <w:sz w:val="28"/>
          <w:szCs w:val="28"/>
          <w:highlight w:val="none"/>
        </w:rPr>
      </w:pPr>
    </w:p>
    <w:p w14:paraId="08048E99">
      <w:pPr>
        <w:pStyle w:val="3"/>
        <w:numPr>
          <w:ilvl w:val="0"/>
          <w:numId w:val="0"/>
        </w:numPr>
        <w:shd w:val="clear"/>
        <w:jc w:val="center"/>
        <w:rPr>
          <w:rFonts w:ascii="宋体" w:hAnsi="宋体" w:eastAsia="宋体" w:cs="宋体"/>
          <w:b/>
          <w:bCs/>
          <w:color w:val="auto"/>
          <w:sz w:val="28"/>
          <w:szCs w:val="28"/>
          <w:highlight w:val="none"/>
        </w:rPr>
      </w:pPr>
    </w:p>
    <w:p w14:paraId="1DF731F1">
      <w:pPr>
        <w:pStyle w:val="3"/>
        <w:numPr>
          <w:ilvl w:val="0"/>
          <w:numId w:val="0"/>
        </w:numPr>
        <w:shd w:val="clear"/>
        <w:jc w:val="cente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三</w:t>
      </w:r>
      <w:r>
        <w:rPr>
          <w:rFonts w:ascii="宋体" w:hAnsi="宋体" w:eastAsia="宋体" w:cs="宋体"/>
          <w:b/>
          <w:bCs/>
          <w:color w:val="auto"/>
          <w:sz w:val="28"/>
          <w:szCs w:val="28"/>
          <w:highlight w:val="none"/>
        </w:rPr>
        <w:t>：</w:t>
      </w:r>
      <w:r>
        <w:rPr>
          <w:rFonts w:ascii="宋体" w:hAnsi="宋体" w:eastAsia="宋体" w:cs="宋体"/>
          <w:b/>
          <w:bCs w:val="0"/>
          <w:color w:val="auto"/>
          <w:sz w:val="28"/>
          <w:szCs w:val="28"/>
          <w:highlight w:val="none"/>
        </w:rPr>
        <w:t>磋商声明函</w:t>
      </w:r>
      <w:bookmarkEnd w:id="233"/>
      <w:bookmarkEnd w:id="234"/>
      <w:bookmarkEnd w:id="239"/>
      <w:bookmarkEnd w:id="240"/>
      <w:bookmarkEnd w:id="241"/>
      <w:bookmarkEnd w:id="242"/>
    </w:p>
    <w:p w14:paraId="189E8FA2">
      <w:pPr>
        <w:shd w:val="clear"/>
        <w:adjustRightInd w:val="0"/>
        <w:snapToGrid w:val="0"/>
        <w:spacing w:line="336" w:lineRule="auto"/>
        <w:rPr>
          <w:rFonts w:ascii="宋体" w:hAnsi="宋体" w:cs="宋体"/>
          <w:color w:val="auto"/>
          <w:sz w:val="24"/>
          <w:highlight w:val="none"/>
        </w:rPr>
      </w:pPr>
      <w:r>
        <w:rPr>
          <w:rFonts w:hint="eastAsia" w:ascii="宋体" w:hAnsi="宋体" w:cs="宋体"/>
          <w:color w:val="auto"/>
          <w:sz w:val="24"/>
          <w:highlight w:val="none"/>
          <w:lang w:eastAsia="zh-CN"/>
        </w:rPr>
        <w:t>衢州市科学技术局</w:t>
      </w:r>
      <w:r>
        <w:rPr>
          <w:rFonts w:ascii="宋体" w:hAnsi="宋体" w:cs="宋体"/>
          <w:color w:val="auto"/>
          <w:sz w:val="24"/>
          <w:highlight w:val="none"/>
        </w:rPr>
        <w:t>：</w:t>
      </w:r>
    </w:p>
    <w:p w14:paraId="6EA65DB8">
      <w:pPr>
        <w:shd w:val="clear"/>
        <w:adjustRightInd w:val="0"/>
        <w:snapToGrid w:val="0"/>
        <w:spacing w:line="336" w:lineRule="auto"/>
        <w:rPr>
          <w:rFonts w:ascii="宋体" w:hAnsi="宋体" w:cs="宋体"/>
          <w:b/>
          <w:bCs/>
          <w:color w:val="auto"/>
          <w:sz w:val="30"/>
          <w:szCs w:val="30"/>
          <w:highlight w:val="none"/>
        </w:rPr>
      </w:pPr>
      <w:r>
        <w:rPr>
          <w:rFonts w:hint="eastAsia" w:ascii="宋体" w:hAnsi="宋体" w:cs="宋体"/>
          <w:color w:val="auto"/>
          <w:sz w:val="24"/>
          <w:highlight w:val="none"/>
          <w:lang w:eastAsia="zh-CN"/>
        </w:rPr>
        <w:t>浙江中正工程项目管理有限公司</w:t>
      </w:r>
      <w:r>
        <w:rPr>
          <w:rFonts w:ascii="宋体" w:hAnsi="宋体" w:cs="宋体"/>
          <w:color w:val="auto"/>
          <w:sz w:val="24"/>
          <w:highlight w:val="none"/>
        </w:rPr>
        <w:t>：</w:t>
      </w:r>
    </w:p>
    <w:p w14:paraId="402828A5">
      <w:pPr>
        <w:pStyle w:val="22"/>
        <w:shd w:val="clear"/>
        <w:adjustRightInd w:val="0"/>
        <w:snapToGrid w:val="0"/>
        <w:spacing w:line="336" w:lineRule="auto"/>
        <w:ind w:firstLine="480" w:firstLineChars="200"/>
        <w:rPr>
          <w:rFonts w:hAnsi="宋体" w:cs="宋体"/>
          <w:color w:val="auto"/>
          <w:sz w:val="24"/>
          <w:szCs w:val="20"/>
          <w:highlight w:val="none"/>
        </w:rPr>
      </w:pPr>
      <w:r>
        <w:rPr>
          <w:rFonts w:hAnsi="宋体" w:cs="宋体"/>
          <w:color w:val="auto"/>
          <w:sz w:val="24"/>
          <w:szCs w:val="20"/>
          <w:highlight w:val="none"/>
        </w:rPr>
        <w:t>本单位自愿参加</w:t>
      </w:r>
      <w:r>
        <w:rPr>
          <w:rFonts w:hint="eastAsia" w:hAnsi="宋体" w:cs="宋体"/>
          <w:color w:val="auto"/>
          <w:sz w:val="24"/>
          <w:szCs w:val="20"/>
          <w:highlight w:val="none"/>
          <w:u w:val="single"/>
          <w:lang w:val="en" w:eastAsia="zh-CN"/>
        </w:rPr>
        <w:t>衢州科技大市场运营服务（</w:t>
      </w:r>
      <w:r>
        <w:rPr>
          <w:rFonts w:hAnsi="宋体" w:cs="宋体"/>
          <w:color w:val="auto"/>
          <w:sz w:val="24"/>
          <w:szCs w:val="20"/>
          <w:highlight w:val="none"/>
          <w:u w:val="single"/>
        </w:rPr>
        <w:t xml:space="preserve">项目编号： </w:t>
      </w:r>
      <w:r>
        <w:rPr>
          <w:rFonts w:hint="eastAsia" w:hAnsi="宋体" w:cs="宋体"/>
          <w:color w:val="auto"/>
          <w:sz w:val="24"/>
          <w:szCs w:val="20"/>
          <w:highlight w:val="none"/>
          <w:u w:val="single"/>
          <w:lang w:eastAsia="zh-CN"/>
        </w:rPr>
        <w:t>ZZCG2026012）</w:t>
      </w:r>
      <w:r>
        <w:rPr>
          <w:rFonts w:hAnsi="宋体" w:cs="宋体"/>
          <w:color w:val="auto"/>
          <w:sz w:val="24"/>
          <w:szCs w:val="20"/>
          <w:highlight w:val="none"/>
        </w:rPr>
        <w:t>的磋商，并保证磋商响应文件中所列举的</w:t>
      </w:r>
      <w:r>
        <w:rPr>
          <w:rFonts w:hint="eastAsia" w:hAnsi="宋体" w:cs="宋体"/>
          <w:color w:val="auto"/>
          <w:sz w:val="24"/>
          <w:szCs w:val="20"/>
          <w:highlight w:val="none"/>
          <w:lang w:val="en-US" w:eastAsia="zh-CN"/>
        </w:rPr>
        <w:t>投标</w:t>
      </w:r>
      <w:r>
        <w:rPr>
          <w:rFonts w:hAnsi="宋体" w:cs="宋体"/>
          <w:color w:val="auto"/>
          <w:sz w:val="24"/>
          <w:szCs w:val="20"/>
          <w:highlight w:val="none"/>
        </w:rPr>
        <w:t>文件及相关资料和公司基本情况资料是真实的、合法的，我方：</w:t>
      </w:r>
    </w:p>
    <w:p w14:paraId="49EC91B1">
      <w:pPr>
        <w:shd w:val="clear"/>
        <w:adjustRightInd w:val="0"/>
        <w:snapToGrid w:val="0"/>
        <w:spacing w:line="336"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ascii="宋体" w:hAnsi="宋体" w:cs="宋体"/>
          <w:color w:val="auto"/>
          <w:sz w:val="24"/>
          <w:highlight w:val="none"/>
        </w:rPr>
        <w:t>已详细阅读全部磋商文件，包括磋商文件补充文件（如果有，包括相关的补充、更正、澄清公告和文件）、参考资料及有关附件，确认无误。我方完全理解并接受磋商文件的各项规定和要求。</w:t>
      </w:r>
    </w:p>
    <w:p w14:paraId="679B07E9">
      <w:pPr>
        <w:shd w:val="clear"/>
        <w:adjustRightInd w:val="0"/>
        <w:snapToGrid w:val="0"/>
        <w:spacing w:line="336"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ascii="宋体" w:hAnsi="宋体" w:cs="宋体"/>
          <w:color w:val="auto"/>
          <w:kern w:val="0"/>
          <w:sz w:val="24"/>
          <w:highlight w:val="none"/>
          <w:lang w:val="zh-CN"/>
        </w:rPr>
        <w:t>同意提供按照贵方可能要求的与磋商有关的一切数据或资料等。</w:t>
      </w:r>
      <w:r>
        <w:rPr>
          <w:rFonts w:ascii="宋体" w:hAnsi="宋体" w:cs="宋体"/>
          <w:color w:val="auto"/>
          <w:sz w:val="24"/>
          <w:highlight w:val="none"/>
        </w:rPr>
        <w:t>若贵方需要，我方愿意提供我方作出的一切承诺的证明材料。</w:t>
      </w:r>
    </w:p>
    <w:p w14:paraId="642C25CE">
      <w:pPr>
        <w:shd w:val="clear"/>
        <w:adjustRightInd w:val="0"/>
        <w:snapToGrid w:val="0"/>
        <w:spacing w:line="336" w:lineRule="auto"/>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eastAsia="zh-CN"/>
        </w:rPr>
        <w:t>3.</w:t>
      </w:r>
      <w:r>
        <w:rPr>
          <w:rFonts w:ascii="宋体" w:hAnsi="宋体" w:cs="宋体"/>
          <w:color w:val="auto"/>
          <w:kern w:val="0"/>
          <w:sz w:val="24"/>
          <w:highlight w:val="none"/>
          <w:lang w:val="zh-CN"/>
        </w:rPr>
        <w:t>如成交，保证按照磋商文件要求及磋商响应文件的承诺与采购人签订合同，保证履行合同条款并交纳履约保证金（如需要）。</w:t>
      </w:r>
    </w:p>
    <w:p w14:paraId="4D880752">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同意在磋商文件中磋商响应供应商须知规定的磋商日期起遵守本磋商书中的承诺且在磋商有效期满之前均具有约束力。</w:t>
      </w:r>
    </w:p>
    <w:p w14:paraId="216CE974">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rPr>
        <w:t>响应有效期内不撤销响应文件；强行撤销的，承诺按采购预算金额的2%赔偿对采购组织机构造成损失。</w:t>
      </w:r>
    </w:p>
    <w:p w14:paraId="2ACEDC65">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ascii="宋体" w:hAnsi="宋体" w:cs="宋体"/>
          <w:color w:val="auto"/>
          <w:sz w:val="24"/>
          <w:highlight w:val="none"/>
        </w:rPr>
        <w:t>成交后，按采购文件规定的采购代理服务费标准，承诺在签订合同前向采购代理机构支付采购代理服务费。</w:t>
      </w:r>
      <w:bookmarkStart w:id="306" w:name="_GoBack"/>
      <w:bookmarkEnd w:id="306"/>
    </w:p>
    <w:p w14:paraId="09080437">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ascii="宋体" w:hAnsi="宋体" w:cs="宋体"/>
          <w:color w:val="auto"/>
          <w:sz w:val="24"/>
          <w:highlight w:val="none"/>
        </w:rPr>
        <w:t>完全理解贵方不一定要接受最低价的磋商。</w:t>
      </w:r>
    </w:p>
    <w:p w14:paraId="03AC34CB">
      <w:pPr>
        <w:shd w:val="clear"/>
        <w:adjustRightInd w:val="0"/>
        <w:snapToGrid w:val="0"/>
        <w:spacing w:line="336"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highlight w:val="none"/>
          <w:lang w:eastAsia="zh-CN"/>
        </w:rPr>
        <w:t>8.</w:t>
      </w:r>
      <w:r>
        <w:rPr>
          <w:rFonts w:ascii="宋体" w:hAnsi="宋体" w:cs="宋体"/>
          <w:color w:val="auto"/>
          <w:sz w:val="24"/>
          <w:highlight w:val="none"/>
        </w:rPr>
        <w:t>在参加本项目</w:t>
      </w:r>
      <w:r>
        <w:rPr>
          <w:rFonts w:ascii="宋体" w:hAnsi="宋体" w:cs="宋体"/>
          <w:color w:val="auto"/>
          <w:sz w:val="24"/>
          <w:szCs w:val="24"/>
          <w:highlight w:val="none"/>
          <w:lang w:val="zh-CN"/>
        </w:rPr>
        <w:t>前三年内</w:t>
      </w:r>
      <w:r>
        <w:rPr>
          <w:rFonts w:ascii="宋体" w:hAnsi="宋体" w:cs="宋体"/>
          <w:color w:val="auto"/>
          <w:sz w:val="24"/>
          <w:szCs w:val="24"/>
          <w:highlight w:val="none"/>
          <w:u w:val="single"/>
          <w:lang w:val="zh-CN"/>
        </w:rPr>
        <w:t>没有</w:t>
      </w:r>
      <w:r>
        <w:rPr>
          <w:rFonts w:ascii="宋体" w:hAnsi="宋体" w:cs="宋体"/>
          <w:color w:val="auto"/>
          <w:sz w:val="24"/>
          <w:szCs w:val="24"/>
          <w:highlight w:val="none"/>
          <w:u w:val="single"/>
        </w:rPr>
        <w:t>因违法经营受到刑事处罚或者责令停产停业、吊销许可证或者执照、较大数额罚款等行政处罚或处罚。</w:t>
      </w:r>
      <w:r>
        <w:rPr>
          <w:rFonts w:ascii="宋体" w:hAnsi="宋体" w:cs="宋体"/>
          <w:b/>
          <w:color w:val="auto"/>
          <w:sz w:val="24"/>
          <w:szCs w:val="24"/>
          <w:highlight w:val="none"/>
          <w:u w:val="single"/>
        </w:rPr>
        <w:t>（如有，请如实填写，否则删除括弧内容）</w:t>
      </w:r>
    </w:p>
    <w:p w14:paraId="21F6757D">
      <w:pPr>
        <w:shd w:val="clear"/>
        <w:adjustRightInd w:val="0"/>
        <w:snapToGrid w:val="0"/>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9.</w:t>
      </w:r>
      <w:r>
        <w:rPr>
          <w:rFonts w:ascii="宋体" w:hAnsi="宋体" w:cs="宋体"/>
          <w:color w:val="auto"/>
          <w:sz w:val="24"/>
          <w:szCs w:val="24"/>
          <w:highlight w:val="none"/>
        </w:rPr>
        <w:t>在</w:t>
      </w:r>
      <w:r>
        <w:rPr>
          <w:rFonts w:ascii="宋体" w:hAnsi="宋体" w:cs="宋体"/>
          <w:color w:val="auto"/>
          <w:sz w:val="24"/>
          <w:szCs w:val="24"/>
          <w:highlight w:val="none"/>
          <w:lang w:val="zh-CN"/>
        </w:rPr>
        <w:t>磋商截止前</w:t>
      </w:r>
      <w:r>
        <w:rPr>
          <w:rFonts w:ascii="宋体" w:hAnsi="宋体" w:cs="宋体"/>
          <w:color w:val="auto"/>
          <w:sz w:val="24"/>
          <w:szCs w:val="24"/>
          <w:highlight w:val="none"/>
          <w:u w:val="single"/>
          <w:lang w:val="zh-CN"/>
        </w:rPr>
        <w:t>未被</w:t>
      </w:r>
      <w:r>
        <w:rPr>
          <w:rFonts w:ascii="宋体" w:hAnsi="宋体" w:cs="宋体"/>
          <w:color w:val="auto"/>
          <w:sz w:val="24"/>
          <w:szCs w:val="24"/>
          <w:highlight w:val="none"/>
          <w:u w:val="single"/>
        </w:rPr>
        <w:t>“</w:t>
      </w:r>
      <w:r>
        <w:rPr>
          <w:rFonts w:ascii="宋体" w:hAnsi="宋体" w:cs="宋体"/>
          <w:color w:val="auto"/>
          <w:sz w:val="24"/>
          <w:szCs w:val="24"/>
          <w:highlight w:val="none"/>
          <w:u w:val="single"/>
          <w:lang w:val="zh-CN"/>
        </w:rPr>
        <w:t>信用中国</w:t>
      </w:r>
      <w:r>
        <w:rPr>
          <w:rFonts w:ascii="宋体" w:hAnsi="宋体" w:cs="宋体"/>
          <w:color w:val="auto"/>
          <w:sz w:val="24"/>
          <w:szCs w:val="24"/>
          <w:highlight w:val="none"/>
          <w:u w:val="single"/>
        </w:rPr>
        <w:t>”</w:t>
      </w:r>
      <w:r>
        <w:rPr>
          <w:rFonts w:ascii="宋体" w:hAnsi="宋体" w:cs="宋体"/>
          <w:color w:val="auto"/>
          <w:sz w:val="24"/>
          <w:szCs w:val="24"/>
          <w:highlight w:val="none"/>
          <w:u w:val="single"/>
          <w:lang w:val="zh-CN"/>
        </w:rPr>
        <w:t>网站</w:t>
      </w:r>
      <w:r>
        <w:rPr>
          <w:rFonts w:hint="eastAsia" w:ascii="宋体" w:hAnsi="宋体" w:cs="宋体"/>
          <w:color w:val="auto"/>
          <w:sz w:val="24"/>
          <w:szCs w:val="24"/>
          <w:highlight w:val="none"/>
          <w:u w:val="single"/>
          <w:lang w:val="zh-CN"/>
        </w:rPr>
        <w:t>（</w:t>
      </w:r>
      <w:r>
        <w:rPr>
          <w:rFonts w:ascii="宋体" w:hAnsi="宋体" w:cs="宋体"/>
          <w:color w:val="auto"/>
          <w:sz w:val="24"/>
          <w:szCs w:val="24"/>
          <w:highlight w:val="none"/>
          <w:u w:val="single"/>
        </w:rPr>
        <w:t>www.creditchina.gov.cn</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lang w:val="zh-CN"/>
        </w:rPr>
        <w:t>列入失信被执行人、重大税收违法案件当事人名单</w:t>
      </w:r>
      <w:r>
        <w:rPr>
          <w:rFonts w:ascii="宋体" w:hAnsi="宋体" w:cs="宋体"/>
          <w:color w:val="auto"/>
          <w:sz w:val="24"/>
          <w:szCs w:val="24"/>
          <w:highlight w:val="none"/>
          <w:u w:val="single"/>
        </w:rPr>
        <w:t>；</w:t>
      </w:r>
      <w:r>
        <w:rPr>
          <w:rFonts w:ascii="宋体" w:hAnsi="宋体" w:cs="宋体"/>
          <w:color w:val="auto"/>
          <w:sz w:val="24"/>
          <w:szCs w:val="24"/>
          <w:highlight w:val="none"/>
          <w:u w:val="single"/>
          <w:lang w:val="zh-CN"/>
        </w:rPr>
        <w:t>未被“中国政府采购网”</w:t>
      </w:r>
      <w:r>
        <w:rPr>
          <w:rFonts w:hint="eastAsia" w:ascii="宋体" w:hAnsi="宋体" w:cs="宋体"/>
          <w:color w:val="auto"/>
          <w:sz w:val="24"/>
          <w:szCs w:val="24"/>
          <w:highlight w:val="none"/>
          <w:u w:val="single"/>
          <w:lang w:val="zh-CN"/>
        </w:rPr>
        <w:t>（</w:t>
      </w:r>
      <w:r>
        <w:rPr>
          <w:rFonts w:ascii="宋体" w:hAnsi="宋体" w:cs="宋体"/>
          <w:color w:val="auto"/>
          <w:sz w:val="24"/>
          <w:szCs w:val="24"/>
          <w:highlight w:val="none"/>
          <w:u w:val="single"/>
        </w:rPr>
        <w:t>www.ccgp.gov.cn</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lang w:val="zh-CN"/>
        </w:rPr>
        <w:t>列入政府采购严重违法失信行为记录名单。</w:t>
      </w:r>
      <w:r>
        <w:rPr>
          <w:rFonts w:ascii="宋体" w:hAnsi="宋体" w:cs="宋体"/>
          <w:b/>
          <w:color w:val="auto"/>
          <w:sz w:val="24"/>
          <w:szCs w:val="24"/>
          <w:highlight w:val="none"/>
          <w:u w:val="single"/>
        </w:rPr>
        <w:t>（如被列入，请如实填写，否则删除括弧内容）</w:t>
      </w:r>
    </w:p>
    <w:p w14:paraId="3C138FD0">
      <w:pPr>
        <w:shd w:val="clear"/>
        <w:adjustRightInd w:val="0"/>
        <w:snapToGrid w:val="0"/>
        <w:spacing w:line="33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10.</w:t>
      </w:r>
      <w:r>
        <w:rPr>
          <w:rFonts w:ascii="宋体" w:hAnsi="宋体" w:cs="宋体"/>
          <w:color w:val="auto"/>
          <w:sz w:val="24"/>
          <w:szCs w:val="24"/>
          <w:highlight w:val="none"/>
          <w:lang w:val="zh-CN"/>
        </w:rPr>
        <w:t>单位、法定代表人、本项目授权代表及本项目负责人在参加本项目前三年内（以法院判决书生效日期为准）均无行贿犯罪记录。</w:t>
      </w:r>
    </w:p>
    <w:p w14:paraId="284CFF48">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11.</w:t>
      </w:r>
      <w:r>
        <w:rPr>
          <w:rFonts w:ascii="宋体" w:hAnsi="宋体" w:cs="宋体"/>
          <w:color w:val="auto"/>
          <w:sz w:val="24"/>
          <w:highlight w:val="none"/>
        </w:rPr>
        <w:t>如</w:t>
      </w:r>
      <w:r>
        <w:rPr>
          <w:rFonts w:hint="eastAsia" w:ascii="宋体" w:hAnsi="宋体" w:cs="宋体"/>
          <w:color w:val="auto"/>
          <w:sz w:val="24"/>
          <w:highlight w:val="none"/>
          <w:lang w:eastAsia="zh-CN"/>
        </w:rPr>
        <w:t>有下</w:t>
      </w:r>
      <w:r>
        <w:rPr>
          <w:rFonts w:ascii="宋体" w:hAnsi="宋体" w:cs="宋体"/>
          <w:color w:val="auto"/>
          <w:sz w:val="24"/>
          <w:highlight w:val="none"/>
        </w:rPr>
        <w:t>列情形之一的，我方愿意被取消成交资格（如成交），同时继续承担其他一切法律后果，并不再寻求任何旨在减轻或免除法律责任的解释：</w:t>
      </w:r>
    </w:p>
    <w:p w14:paraId="0B517518">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提供虚假材料（承诺）谋取成交的；</w:t>
      </w:r>
    </w:p>
    <w:p w14:paraId="18EFF75C">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采取不正当手段诋毁、排挤其他供应商的；</w:t>
      </w:r>
    </w:p>
    <w:p w14:paraId="42F86320">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ascii="宋体" w:hAnsi="宋体" w:cs="宋体"/>
          <w:color w:val="auto"/>
          <w:sz w:val="24"/>
          <w:highlight w:val="none"/>
        </w:rPr>
        <w:t>与采购人、</w:t>
      </w:r>
      <w:r>
        <w:rPr>
          <w:rFonts w:hint="eastAsia" w:ascii="宋体" w:hAnsi="宋体" w:cs="宋体"/>
          <w:color w:val="auto"/>
          <w:sz w:val="24"/>
          <w:highlight w:val="none"/>
          <w:lang w:eastAsia="zh-CN"/>
        </w:rPr>
        <w:t>其他</w:t>
      </w:r>
      <w:r>
        <w:rPr>
          <w:rFonts w:ascii="宋体" w:hAnsi="宋体" w:cs="宋体"/>
          <w:color w:val="auto"/>
          <w:sz w:val="24"/>
          <w:highlight w:val="none"/>
        </w:rPr>
        <w:t>供应商或者招标代理机构恶意串通的；</w:t>
      </w:r>
    </w:p>
    <w:p w14:paraId="10D92916">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ascii="宋体" w:hAnsi="宋体" w:cs="宋体"/>
          <w:color w:val="auto"/>
          <w:sz w:val="24"/>
          <w:highlight w:val="none"/>
        </w:rPr>
        <w:t>向采购人、招标代理机构行贿或者提供其他不正当利益的；</w:t>
      </w:r>
    </w:p>
    <w:p w14:paraId="3F7CA4DC">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ascii="宋体" w:hAnsi="宋体" w:cs="宋体"/>
          <w:color w:val="auto"/>
          <w:sz w:val="24"/>
          <w:highlight w:val="none"/>
        </w:rPr>
        <w:t>在磋商采购过程中与采购人进行协商谈判的；</w:t>
      </w:r>
    </w:p>
    <w:p w14:paraId="5741CC46">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ascii="宋体" w:hAnsi="宋体" w:cs="宋体"/>
          <w:color w:val="auto"/>
          <w:sz w:val="24"/>
          <w:highlight w:val="none"/>
        </w:rPr>
        <w:t>拒绝有关部门监督检查或提供虚假情况的。</w:t>
      </w:r>
    </w:p>
    <w:p w14:paraId="23460BCA">
      <w:pPr>
        <w:shd w:val="clear"/>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12.</w:t>
      </w:r>
      <w:r>
        <w:rPr>
          <w:rFonts w:ascii="宋体" w:hAnsi="宋体" w:cs="宋体"/>
          <w:color w:val="auto"/>
          <w:sz w:val="24"/>
          <w:highlight w:val="none"/>
        </w:rPr>
        <w:t>成交后，按采购文件规定与采购人签订合同。拒绝签订合同的，承诺按采购预算金额的 2%对采购人进行赔偿；赔偿金额不足以弥补采购人损失的，承诺继续承担超过部分的损失。</w:t>
      </w:r>
    </w:p>
    <w:p w14:paraId="499B81F4">
      <w:pPr>
        <w:shd w:val="clear"/>
        <w:adjustRightInd w:val="0"/>
        <w:snapToGrid w:val="0"/>
        <w:spacing w:line="336" w:lineRule="auto"/>
        <w:rPr>
          <w:rFonts w:ascii="宋体" w:hAnsi="宋体" w:cs="宋体"/>
          <w:color w:val="auto"/>
          <w:kern w:val="0"/>
          <w:sz w:val="24"/>
          <w:highlight w:val="none"/>
        </w:rPr>
      </w:pPr>
      <w:r>
        <w:rPr>
          <w:rFonts w:ascii="宋体" w:hAnsi="宋体" w:cs="宋体"/>
          <w:color w:val="auto"/>
          <w:kern w:val="0"/>
          <w:sz w:val="24"/>
          <w:highlight w:val="none"/>
          <w:lang w:val="zh-CN"/>
        </w:rPr>
        <w:t xml:space="preserve">     </w:t>
      </w:r>
      <w:r>
        <w:rPr>
          <w:rFonts w:ascii="宋体" w:hAnsi="宋体" w:cs="宋体"/>
          <w:color w:val="auto"/>
          <w:kern w:val="0"/>
          <w:sz w:val="24"/>
          <w:highlight w:val="none"/>
        </w:rPr>
        <w:tab/>
      </w:r>
    </w:p>
    <w:p w14:paraId="79F46F88">
      <w:pPr>
        <w:shd w:val="clear"/>
        <w:adjustRightInd w:val="0"/>
        <w:snapToGrid w:val="0"/>
        <w:spacing w:line="336" w:lineRule="auto"/>
        <w:ind w:left="420" w:leftChars="200"/>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磋商响应供应商：（全称加盖公章）                         </w:t>
      </w:r>
    </w:p>
    <w:p w14:paraId="13B0CBBE">
      <w:pPr>
        <w:shd w:val="clear"/>
        <w:adjustRightInd w:val="0"/>
        <w:snapToGrid w:val="0"/>
        <w:spacing w:line="336" w:lineRule="auto"/>
        <w:ind w:left="420" w:leftChars="200"/>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联系电话（手机及座机）：           </w:t>
      </w:r>
    </w:p>
    <w:p w14:paraId="3709BA94">
      <w:pPr>
        <w:shd w:val="clear"/>
        <w:adjustRightInd w:val="0"/>
        <w:snapToGrid w:val="0"/>
        <w:spacing w:line="336" w:lineRule="auto"/>
        <w:ind w:left="420" w:leftChars="200"/>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传真：              </w:t>
      </w:r>
    </w:p>
    <w:p w14:paraId="7563C59E">
      <w:pPr>
        <w:shd w:val="clear"/>
        <w:adjustRightInd w:val="0"/>
        <w:snapToGrid w:val="0"/>
        <w:spacing w:line="336" w:lineRule="auto"/>
        <w:ind w:left="420" w:leftChars="200"/>
        <w:rPr>
          <w:rFonts w:ascii="宋体" w:hAnsi="宋体" w:cs="宋体"/>
          <w:color w:val="auto"/>
          <w:kern w:val="0"/>
          <w:sz w:val="24"/>
          <w:highlight w:val="none"/>
        </w:rPr>
      </w:pPr>
      <w:r>
        <w:rPr>
          <w:rFonts w:ascii="宋体" w:hAnsi="宋体" w:cs="宋体"/>
          <w:color w:val="auto"/>
          <w:kern w:val="0"/>
          <w:sz w:val="24"/>
          <w:highlight w:val="none"/>
          <w:lang w:val="zh-CN"/>
        </w:rPr>
        <w:t xml:space="preserve">电子邮件：              </w:t>
      </w:r>
    </w:p>
    <w:p w14:paraId="154B046B">
      <w:pPr>
        <w:shd w:val="clear"/>
        <w:adjustRightInd w:val="0"/>
        <w:snapToGrid w:val="0"/>
        <w:spacing w:line="336" w:lineRule="auto"/>
        <w:ind w:left="420" w:leftChars="200"/>
        <w:rPr>
          <w:rFonts w:ascii="宋体" w:hAnsi="宋体" w:cs="宋体"/>
          <w:color w:val="auto"/>
          <w:kern w:val="0"/>
          <w:sz w:val="24"/>
          <w:highlight w:val="none"/>
        </w:rPr>
      </w:pPr>
      <w:r>
        <w:rPr>
          <w:rFonts w:ascii="宋体" w:hAnsi="宋体" w:cs="宋体"/>
          <w:color w:val="auto"/>
          <w:kern w:val="0"/>
          <w:sz w:val="24"/>
          <w:highlight w:val="none"/>
          <w:lang w:val="zh-CN"/>
        </w:rPr>
        <w:t xml:space="preserve">联系地址：                                                    </w:t>
      </w:r>
    </w:p>
    <w:p w14:paraId="62D96547">
      <w:pPr>
        <w:shd w:val="clear"/>
        <w:adjustRightInd w:val="0"/>
        <w:snapToGrid w:val="0"/>
        <w:spacing w:line="336" w:lineRule="auto"/>
        <w:ind w:left="420" w:leftChars="200"/>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邮政编码：                    </w:t>
      </w:r>
    </w:p>
    <w:p w14:paraId="2636EF0D">
      <w:pPr>
        <w:shd w:val="clear"/>
        <w:adjustRightInd w:val="0"/>
        <w:snapToGrid w:val="0"/>
        <w:spacing w:line="336" w:lineRule="auto"/>
        <w:ind w:left="420" w:leftChars="200"/>
        <w:rPr>
          <w:rFonts w:ascii="宋体" w:hAnsi="宋体" w:cs="宋体"/>
          <w:color w:val="auto"/>
          <w:kern w:val="0"/>
          <w:sz w:val="24"/>
          <w:highlight w:val="none"/>
          <w:lang w:val="zh-CN"/>
        </w:rPr>
      </w:pPr>
    </w:p>
    <w:p w14:paraId="3AB60BBC">
      <w:pPr>
        <w:shd w:val="clear"/>
        <w:adjustRightInd w:val="0"/>
        <w:snapToGrid w:val="0"/>
        <w:spacing w:line="336" w:lineRule="auto"/>
        <w:ind w:firstLine="540" w:firstLineChars="225"/>
        <w:rPr>
          <w:rFonts w:ascii="宋体" w:hAnsi="宋体" w:cs="宋体"/>
          <w:b/>
          <w:color w:val="auto"/>
          <w:kern w:val="0"/>
          <w:sz w:val="24"/>
          <w:highlight w:val="none"/>
          <w:lang w:val="zh-CN"/>
        </w:rPr>
      </w:pPr>
      <w:r>
        <w:rPr>
          <w:rFonts w:ascii="宋体" w:hAnsi="宋体" w:cs="宋体"/>
          <w:color w:val="auto"/>
          <w:kern w:val="0"/>
          <w:sz w:val="24"/>
          <w:highlight w:val="none"/>
          <w:lang w:val="zh-CN"/>
        </w:rPr>
        <w:t>日期</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 xml:space="preserve">年  </w:t>
      </w:r>
      <w:r>
        <w:rPr>
          <w:rFonts w:ascii="宋体" w:hAnsi="宋体" w:cs="宋体"/>
          <w:color w:val="auto"/>
          <w:kern w:val="0"/>
          <w:sz w:val="24"/>
          <w:highlight w:val="none"/>
        </w:rPr>
        <w:tab/>
      </w:r>
      <w:r>
        <w:rPr>
          <w:rFonts w:ascii="宋体" w:hAnsi="宋体" w:cs="宋体"/>
          <w:color w:val="auto"/>
          <w:kern w:val="0"/>
          <w:sz w:val="24"/>
          <w:highlight w:val="none"/>
          <w:lang w:val="zh-CN"/>
        </w:rPr>
        <w:t>月   日</w:t>
      </w:r>
    </w:p>
    <w:p w14:paraId="5AA4CE16">
      <w:pPr>
        <w:shd w:val="clear"/>
        <w:adjustRightInd w:val="0"/>
        <w:snapToGrid w:val="0"/>
        <w:spacing w:line="336" w:lineRule="auto"/>
        <w:jc w:val="left"/>
        <w:rPr>
          <w:rFonts w:ascii="宋体" w:hAnsi="宋体" w:cs="宋体"/>
          <w:color w:val="auto"/>
          <w:highlight w:val="none"/>
        </w:rPr>
        <w:sectPr>
          <w:endnotePr>
            <w:numFmt w:val="decimal"/>
          </w:endnotePr>
          <w:pgSz w:w="11906" w:h="16838"/>
          <w:pgMar w:top="1440" w:right="1440" w:bottom="1440" w:left="1440" w:header="851" w:footer="851" w:gutter="0"/>
          <w:pgNumType w:fmt="decimal"/>
          <w:cols w:space="720" w:num="1"/>
          <w:titlePg/>
          <w:docGrid w:linePitch="381" w:charSpace="0"/>
        </w:sectPr>
      </w:pPr>
      <w:r>
        <w:rPr>
          <w:rFonts w:ascii="宋体" w:hAnsi="宋体" w:cs="宋体"/>
          <w:b/>
          <w:color w:val="auto"/>
          <w:kern w:val="0"/>
          <w:sz w:val="24"/>
          <w:highlight w:val="none"/>
          <w:lang w:val="zh-CN"/>
        </w:rPr>
        <w:t>注：未按照本磋商声明函要求填报的将被视为非实质性响应，从而可能导致该磋商响应文件被拒绝。</w:t>
      </w:r>
    </w:p>
    <w:p w14:paraId="61DF023D">
      <w:pPr>
        <w:pStyle w:val="22"/>
        <w:shd w:val="clear"/>
        <w:adjustRightInd w:val="0"/>
        <w:snapToGrid w:val="0"/>
        <w:spacing w:line="360" w:lineRule="auto"/>
        <w:jc w:val="center"/>
        <w:outlineLvl w:val="1"/>
        <w:rPr>
          <w:rFonts w:hAnsi="宋体" w:cs="宋体"/>
          <w:b/>
          <w:color w:val="auto"/>
          <w:sz w:val="28"/>
          <w:szCs w:val="28"/>
          <w:highlight w:val="none"/>
        </w:rPr>
      </w:pPr>
      <w:r>
        <w:rPr>
          <w:rFonts w:hAnsi="宋体" w:cs="宋体"/>
          <w:b/>
          <w:color w:val="auto"/>
          <w:kern w:val="0"/>
          <w:sz w:val="30"/>
          <w:szCs w:val="30"/>
          <w:highlight w:val="none"/>
        </w:rPr>
        <w:br w:type="page"/>
      </w:r>
      <w:bookmarkStart w:id="243" w:name="_Toc2229"/>
      <w:bookmarkStart w:id="244" w:name="_Toc30934"/>
      <w:bookmarkStart w:id="245" w:name="_Toc21968"/>
      <w:bookmarkStart w:id="246" w:name="_Toc27758"/>
      <w:bookmarkStart w:id="247" w:name="_Toc13104"/>
      <w:bookmarkStart w:id="248" w:name="_Toc6494389"/>
      <w:r>
        <w:rPr>
          <w:rFonts w:hAnsi="宋体" w:cs="宋体"/>
          <w:b/>
          <w:color w:val="auto"/>
          <w:kern w:val="0"/>
          <w:sz w:val="30"/>
          <w:szCs w:val="30"/>
          <w:highlight w:val="none"/>
          <w:lang w:val="zh-CN"/>
        </w:rPr>
        <w:t>格式</w:t>
      </w:r>
      <w:r>
        <w:rPr>
          <w:rFonts w:hint="eastAsia" w:hAnsi="宋体" w:cs="宋体"/>
          <w:b/>
          <w:color w:val="auto"/>
          <w:kern w:val="0"/>
          <w:sz w:val="30"/>
          <w:szCs w:val="30"/>
          <w:highlight w:val="none"/>
          <w:lang w:val="en-US" w:eastAsia="zh-CN"/>
        </w:rPr>
        <w:t>四</w:t>
      </w:r>
      <w:r>
        <w:rPr>
          <w:rFonts w:hAnsi="宋体" w:cs="宋体"/>
          <w:b/>
          <w:color w:val="auto"/>
          <w:kern w:val="0"/>
          <w:sz w:val="30"/>
          <w:szCs w:val="30"/>
          <w:highlight w:val="none"/>
          <w:lang w:val="zh-CN"/>
        </w:rPr>
        <w:t>：</w:t>
      </w:r>
      <w:r>
        <w:rPr>
          <w:rFonts w:hAnsi="宋体" w:cs="宋体"/>
          <w:b/>
          <w:color w:val="auto"/>
          <w:sz w:val="28"/>
          <w:szCs w:val="28"/>
          <w:highlight w:val="none"/>
        </w:rPr>
        <w:t>法定代表人身份证明或附有法定代表人身份证明的授权委托书</w:t>
      </w:r>
      <w:bookmarkEnd w:id="243"/>
      <w:bookmarkEnd w:id="244"/>
      <w:bookmarkEnd w:id="245"/>
      <w:bookmarkEnd w:id="246"/>
      <w:bookmarkEnd w:id="247"/>
      <w:bookmarkEnd w:id="248"/>
    </w:p>
    <w:p w14:paraId="473D576E">
      <w:pPr>
        <w:pStyle w:val="22"/>
        <w:shd w:val="clear"/>
        <w:adjustRightInd w:val="0"/>
        <w:snapToGrid w:val="0"/>
        <w:spacing w:line="360" w:lineRule="auto"/>
        <w:jc w:val="center"/>
        <w:rPr>
          <w:rFonts w:hAnsi="宋体" w:cs="宋体"/>
          <w:b/>
          <w:color w:val="auto"/>
          <w:kern w:val="0"/>
          <w:sz w:val="30"/>
          <w:szCs w:val="30"/>
          <w:highlight w:val="none"/>
          <w:lang w:val="zh-CN"/>
        </w:rPr>
      </w:pPr>
      <w:r>
        <w:rPr>
          <w:rFonts w:hint="eastAsia" w:hAnsi="宋体" w:cs="宋体"/>
          <w:b/>
          <w:color w:val="auto"/>
          <w:sz w:val="28"/>
          <w:szCs w:val="28"/>
          <w:highlight w:val="none"/>
          <w:lang w:val="en-US" w:eastAsia="zh-CN"/>
        </w:rPr>
        <w:t>4</w:t>
      </w:r>
      <w:r>
        <w:rPr>
          <w:rFonts w:hAnsi="宋体" w:cs="宋体"/>
          <w:b/>
          <w:color w:val="auto"/>
          <w:sz w:val="28"/>
          <w:szCs w:val="28"/>
          <w:highlight w:val="none"/>
        </w:rPr>
        <w:t>-1法定代表人身份证明</w:t>
      </w:r>
    </w:p>
    <w:p w14:paraId="783502E1">
      <w:pPr>
        <w:shd w:val="clear"/>
        <w:adjustRightInd w:val="0"/>
        <w:snapToGrid w:val="0"/>
        <w:spacing w:line="360" w:lineRule="auto"/>
        <w:rPr>
          <w:rFonts w:ascii="宋体" w:hAnsi="宋体" w:cs="宋体"/>
          <w:color w:val="auto"/>
          <w:sz w:val="24"/>
          <w:highlight w:val="none"/>
        </w:rPr>
      </w:pPr>
    </w:p>
    <w:p w14:paraId="6C796162">
      <w:pPr>
        <w:shd w:val="clea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姓名：  性别：  年龄：  职务：</w:t>
      </w:r>
    </w:p>
    <w:p w14:paraId="68940655">
      <w:pPr>
        <w:shd w:val="clea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身份证号码：</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系（磋商响应供应商名称）的法定代表人。</w:t>
      </w:r>
    </w:p>
    <w:p w14:paraId="07A00561">
      <w:pPr>
        <w:shd w:val="clear"/>
        <w:adjustRightInd w:val="0"/>
        <w:snapToGrid w:val="0"/>
        <w:spacing w:line="360" w:lineRule="auto"/>
        <w:ind w:firstLine="560"/>
        <w:rPr>
          <w:rFonts w:ascii="宋体" w:hAnsi="宋体" w:cs="宋体"/>
          <w:color w:val="auto"/>
          <w:sz w:val="24"/>
          <w:highlight w:val="none"/>
        </w:rPr>
      </w:pPr>
    </w:p>
    <w:p w14:paraId="6E006367">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特此证明。</w:t>
      </w:r>
    </w:p>
    <w:p w14:paraId="2F441D6B">
      <w:pPr>
        <w:shd w:val="clea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附：法定代表人身份证复印件</w:t>
      </w:r>
    </w:p>
    <w:p w14:paraId="0A21F53F">
      <w:pPr>
        <w:shd w:val="clear"/>
        <w:adjustRightInd w:val="0"/>
        <w:snapToGrid w:val="0"/>
        <w:spacing w:line="360" w:lineRule="auto"/>
        <w:rPr>
          <w:rFonts w:ascii="CIDFont+F2" w:hAnsi="CIDFont+F2" w:eastAsia="CIDFont+F2"/>
          <w:color w:val="auto"/>
          <w:highlight w:val="none"/>
        </w:rPr>
      </w:pPr>
    </w:p>
    <w:p w14:paraId="10BC324E">
      <w:pPr>
        <w:shd w:val="clear"/>
        <w:wordWrap w:val="0"/>
        <w:adjustRightInd w:val="0"/>
        <w:snapToGrid w:val="0"/>
        <w:spacing w:line="360" w:lineRule="auto"/>
        <w:ind w:right="1200"/>
        <w:rPr>
          <w:rFonts w:ascii="宋体" w:hAnsi="宋体" w:eastAsia="宋体" w:cs="宋体"/>
          <w:color w:val="auto"/>
          <w:sz w:val="24"/>
          <w:highlight w:val="none"/>
        </w:rPr>
      </w:pPr>
      <w:r>
        <w:rPr>
          <w:rFonts w:ascii="宋体" w:hAnsi="宋体" w:eastAsia="宋体" w:cs="宋体"/>
          <w:color w:val="auto"/>
          <w:sz w:val="24"/>
          <w:highlight w:val="none"/>
        </w:rPr>
        <w:t>法定代表人联系方式（手机）：【       】</w:t>
      </w:r>
    </w:p>
    <w:p w14:paraId="5FF9DC12">
      <w:pPr>
        <w:shd w:val="clear"/>
        <w:wordWrap w:val="0"/>
        <w:adjustRightInd w:val="0"/>
        <w:snapToGrid w:val="0"/>
        <w:spacing w:line="360" w:lineRule="auto"/>
        <w:ind w:right="1200"/>
        <w:rPr>
          <w:rFonts w:ascii="宋体" w:hAnsi="宋体" w:cs="宋体"/>
          <w:color w:val="auto"/>
          <w:sz w:val="24"/>
          <w:highlight w:val="none"/>
        </w:rPr>
      </w:pPr>
      <w:r>
        <w:rPr>
          <w:rFonts w:ascii="宋体" w:hAnsi="宋体" w:cs="宋体"/>
          <w:color w:val="auto"/>
          <w:sz w:val="24"/>
          <w:highlight w:val="none"/>
        </w:rPr>
        <w:t xml:space="preserve">磋商响应供应商：（全称加盖公章） </w:t>
      </w:r>
    </w:p>
    <w:p w14:paraId="373025DF">
      <w:pPr>
        <w:shd w:val="clear"/>
        <w:adjustRightInd w:val="0"/>
        <w:snapToGrid w:val="0"/>
        <w:spacing w:line="360" w:lineRule="auto"/>
        <w:ind w:right="1200"/>
        <w:rPr>
          <w:rFonts w:ascii="宋体" w:hAnsi="宋体" w:cs="宋体"/>
          <w:b/>
          <w:color w:val="auto"/>
          <w:sz w:val="24"/>
          <w:highlight w:val="none"/>
        </w:rPr>
      </w:pPr>
      <w:r>
        <w:rPr>
          <w:rFonts w:ascii="宋体" w:hAnsi="宋体" w:cs="宋体"/>
          <w:color w:val="auto"/>
          <w:sz w:val="24"/>
          <w:highlight w:val="none"/>
        </w:rPr>
        <w:t>日期：   年    月    日</w:t>
      </w:r>
    </w:p>
    <w:p w14:paraId="4916EED3">
      <w:pPr>
        <w:shd w:val="clear"/>
        <w:adjustRightInd w:val="0"/>
        <w:snapToGrid w:val="0"/>
        <w:spacing w:line="360" w:lineRule="auto"/>
        <w:jc w:val="center"/>
        <w:rPr>
          <w:rFonts w:ascii="宋体" w:hAnsi="宋体" w:cs="宋体"/>
          <w:color w:val="auto"/>
          <w:szCs w:val="21"/>
          <w:highlight w:val="none"/>
        </w:rPr>
      </w:pPr>
    </w:p>
    <w:p w14:paraId="771FFAE5">
      <w:pPr>
        <w:shd w:val="clear"/>
        <w:adjustRightInd w:val="0"/>
        <w:snapToGrid w:val="0"/>
        <w:spacing w:line="360" w:lineRule="auto"/>
        <w:jc w:val="center"/>
        <w:rPr>
          <w:rFonts w:ascii="宋体" w:hAnsi="宋体" w:cs="宋体"/>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2B3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9242" w:type="dxa"/>
            <w:tcBorders>
              <w:top w:val="single" w:color="auto" w:sz="4" w:space="0"/>
              <w:left w:val="single" w:color="auto" w:sz="4" w:space="0"/>
              <w:bottom w:val="single" w:color="auto" w:sz="4" w:space="0"/>
              <w:right w:val="single" w:color="auto" w:sz="4" w:space="0"/>
            </w:tcBorders>
            <w:noWrap w:val="0"/>
            <w:vAlign w:val="center"/>
          </w:tcPr>
          <w:p w14:paraId="02335E40">
            <w:pPr>
              <w:shd w:val="clear"/>
              <w:adjustRightInd w:val="0"/>
              <w:snapToGrid w:val="0"/>
              <w:spacing w:line="360" w:lineRule="auto"/>
              <w:jc w:val="center"/>
              <w:rPr>
                <w:rFonts w:ascii="宋体" w:hAnsi="宋体" w:cs="宋体"/>
                <w:color w:val="auto"/>
                <w:szCs w:val="21"/>
                <w:highlight w:val="none"/>
              </w:rPr>
            </w:pPr>
            <w:r>
              <w:rPr>
                <w:rFonts w:ascii="宋体" w:hAnsi="宋体" w:cs="宋体"/>
                <w:color w:val="auto"/>
                <w:szCs w:val="21"/>
                <w:highlight w:val="none"/>
              </w:rPr>
              <w:t>法定代表人身份证复印件粘贴处（正、反面）</w:t>
            </w:r>
          </w:p>
        </w:tc>
      </w:tr>
    </w:tbl>
    <w:p w14:paraId="5AD1AEC6">
      <w:pPr>
        <w:shd w:val="clear"/>
        <w:adjustRightInd w:val="0"/>
        <w:snapToGrid w:val="0"/>
        <w:spacing w:line="360" w:lineRule="auto"/>
        <w:jc w:val="center"/>
        <w:rPr>
          <w:rFonts w:ascii="宋体" w:hAnsi="宋体" w:cs="宋体"/>
          <w:color w:val="auto"/>
          <w:szCs w:val="21"/>
          <w:highlight w:val="none"/>
        </w:rPr>
      </w:pPr>
    </w:p>
    <w:p w14:paraId="499668B2">
      <w:pPr>
        <w:shd w:val="clear"/>
        <w:spacing w:before="120" w:beforeLines="50" w:line="360" w:lineRule="auto"/>
        <w:jc w:val="center"/>
        <w:rPr>
          <w:rFonts w:hint="eastAsia" w:ascii="宋体" w:hAnsi="宋体" w:cs="宋体"/>
          <w:b/>
          <w:color w:val="auto"/>
          <w:sz w:val="28"/>
          <w:szCs w:val="28"/>
          <w:highlight w:val="none"/>
          <w:lang w:val="en-US" w:eastAsia="zh-CN"/>
        </w:rPr>
      </w:pPr>
    </w:p>
    <w:p w14:paraId="6ED425FA">
      <w:pPr>
        <w:shd w:val="clear"/>
        <w:spacing w:before="120" w:before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ascii="宋体" w:hAnsi="宋体" w:cs="宋体"/>
          <w:b/>
          <w:color w:val="auto"/>
          <w:sz w:val="28"/>
          <w:szCs w:val="28"/>
          <w:highlight w:val="none"/>
        </w:rPr>
        <w:t>-2法定代表人授权委托书</w:t>
      </w:r>
    </w:p>
    <w:p w14:paraId="4AA08396">
      <w:pPr>
        <w:shd w:val="clear"/>
        <w:spacing w:line="360" w:lineRule="auto"/>
        <w:rPr>
          <w:rFonts w:ascii="宋体" w:hAnsi="宋体" w:cs="宋体"/>
          <w:color w:val="auto"/>
          <w:kern w:val="0"/>
          <w:sz w:val="24"/>
          <w:szCs w:val="24"/>
          <w:highlight w:val="none"/>
          <w:lang w:val="zh-CN"/>
        </w:rPr>
      </w:pPr>
      <w:r>
        <w:rPr>
          <w:rFonts w:hint="eastAsia" w:ascii="宋体" w:hAnsi="宋体" w:cs="宋体"/>
          <w:color w:val="auto"/>
          <w:sz w:val="24"/>
          <w:szCs w:val="24"/>
          <w:highlight w:val="none"/>
          <w:lang w:eastAsia="zh-CN"/>
        </w:rPr>
        <w:t>衢州市科学技术局</w:t>
      </w:r>
      <w:r>
        <w:rPr>
          <w:rFonts w:ascii="宋体" w:hAnsi="宋体" w:cs="宋体"/>
          <w:color w:val="auto"/>
          <w:kern w:val="0"/>
          <w:sz w:val="24"/>
          <w:szCs w:val="24"/>
          <w:highlight w:val="none"/>
          <w:lang w:val="zh-CN"/>
        </w:rPr>
        <w:t>：</w:t>
      </w:r>
    </w:p>
    <w:p w14:paraId="271AEC7F">
      <w:pPr>
        <w:shd w:val="clear"/>
        <w:adjustRightInd w:val="0"/>
        <w:snapToGrid w:val="0"/>
        <w:spacing w:line="360" w:lineRule="auto"/>
        <w:rPr>
          <w:rFonts w:ascii="宋体" w:hAnsi="宋体" w:cs="宋体"/>
          <w:color w:val="auto"/>
          <w:sz w:val="24"/>
          <w:highlight w:val="none"/>
        </w:rPr>
      </w:pPr>
      <w:r>
        <w:rPr>
          <w:rFonts w:hint="eastAsia" w:ascii="宋体" w:hAnsi="宋体" w:cs="宋体"/>
          <w:color w:val="auto"/>
          <w:kern w:val="0"/>
          <w:sz w:val="24"/>
          <w:szCs w:val="24"/>
          <w:highlight w:val="none"/>
          <w:lang w:val="zh-CN"/>
        </w:rPr>
        <w:t>浙江中正工程项目管理有限公司</w:t>
      </w:r>
      <w:r>
        <w:rPr>
          <w:rFonts w:ascii="宋体" w:hAnsi="宋体" w:cs="宋体"/>
          <w:color w:val="auto"/>
          <w:kern w:val="0"/>
          <w:sz w:val="24"/>
          <w:szCs w:val="24"/>
          <w:highlight w:val="none"/>
          <w:lang w:val="zh-CN"/>
        </w:rPr>
        <w:t>：</w:t>
      </w:r>
    </w:p>
    <w:p w14:paraId="6CA7C21A">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本人</w:t>
      </w:r>
      <w:r>
        <w:rPr>
          <w:rFonts w:ascii="宋体" w:hAnsi="宋体" w:cs="宋体"/>
          <w:color w:val="auto"/>
          <w:sz w:val="24"/>
          <w:highlight w:val="none"/>
          <w:u w:val="single"/>
        </w:rPr>
        <w:t xml:space="preserve">      （姓名）</w:t>
      </w:r>
      <w:r>
        <w:rPr>
          <w:rFonts w:ascii="宋体" w:hAnsi="宋体" w:cs="宋体"/>
          <w:color w:val="auto"/>
          <w:sz w:val="24"/>
          <w:highlight w:val="none"/>
        </w:rPr>
        <w:t>系</w:t>
      </w:r>
      <w:r>
        <w:rPr>
          <w:rFonts w:ascii="宋体" w:hAnsi="宋体" w:cs="宋体"/>
          <w:color w:val="auto"/>
          <w:sz w:val="24"/>
          <w:highlight w:val="none"/>
          <w:u w:val="single"/>
        </w:rPr>
        <w:t xml:space="preserve">     （磋商响应供应商名称）</w:t>
      </w:r>
      <w:r>
        <w:rPr>
          <w:rFonts w:ascii="宋体" w:hAnsi="宋体" w:cs="宋体"/>
          <w:color w:val="auto"/>
          <w:sz w:val="24"/>
          <w:highlight w:val="none"/>
        </w:rPr>
        <w:t>的法定代表人，现委托</w:t>
      </w:r>
      <w:r>
        <w:rPr>
          <w:rFonts w:ascii="宋体" w:hAnsi="宋体" w:cs="宋体"/>
          <w:color w:val="auto"/>
          <w:sz w:val="24"/>
          <w:highlight w:val="none"/>
          <w:u w:val="single"/>
        </w:rPr>
        <w:t xml:space="preserve">      （姓名）  </w:t>
      </w:r>
      <w:r>
        <w:rPr>
          <w:rFonts w:ascii="宋体" w:hAnsi="宋体" w:eastAsia="宋体" w:cs="宋体"/>
          <w:color w:val="auto"/>
          <w:sz w:val="24"/>
          <w:highlight w:val="none"/>
          <w:u w:val="single"/>
        </w:rPr>
        <w:t>（职务）（身份证号 ）</w:t>
      </w:r>
      <w:r>
        <w:rPr>
          <w:rFonts w:ascii="宋体" w:hAnsi="宋体" w:cs="宋体"/>
          <w:color w:val="auto"/>
          <w:sz w:val="24"/>
          <w:highlight w:val="none"/>
        </w:rPr>
        <w:t>为我方授权代表，以我方名义签署、澄清、说明、补正、递交、撤回、修改</w:t>
      </w:r>
      <w:r>
        <w:rPr>
          <w:rFonts w:hint="eastAsia" w:ascii="宋体" w:hAnsi="宋体" w:cs="宋体"/>
          <w:color w:val="auto"/>
          <w:sz w:val="24"/>
          <w:szCs w:val="24"/>
          <w:highlight w:val="none"/>
          <w:u w:val="single"/>
          <w:lang w:val="en" w:eastAsia="zh-CN"/>
        </w:rPr>
        <w:t>衢州科技大市场运营服务</w:t>
      </w:r>
      <w:r>
        <w:rPr>
          <w:rFonts w:ascii="宋体" w:hAnsi="宋体" w:cs="宋体"/>
          <w:color w:val="auto"/>
          <w:sz w:val="24"/>
          <w:highlight w:val="none"/>
        </w:rPr>
        <w:t>磋商响应文件、签订合同和处理有关事宜，其法律后果由我方承担。</w:t>
      </w:r>
    </w:p>
    <w:p w14:paraId="6C8ACA91">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在撤销授权的书面通知以前，本授权书一直有效。被授权人在授权书有效期内签署的所有文件不因授权的撤销而失效。</w:t>
      </w:r>
    </w:p>
    <w:p w14:paraId="7063C47F">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该授权代表无转委托权，特此委托</w:t>
      </w:r>
    </w:p>
    <w:p w14:paraId="2CE6B06C">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附：</w:t>
      </w:r>
    </w:p>
    <w:p w14:paraId="2503F78F">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ascii="宋体" w:hAnsi="宋体" w:cs="宋体"/>
          <w:color w:val="auto"/>
          <w:sz w:val="24"/>
          <w:highlight w:val="none"/>
        </w:rPr>
        <w:t>委托代理人身份证复印件</w:t>
      </w:r>
    </w:p>
    <w:p w14:paraId="2304AF60">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ascii="宋体" w:hAnsi="宋体" w:cs="宋体"/>
          <w:color w:val="auto"/>
          <w:sz w:val="24"/>
          <w:highlight w:val="none"/>
        </w:rPr>
        <w:t>授权代表为磋商响应供应商在职员工的证明文件（磋商响应供应商为其缴纳的社保记录或劳务合同等）。</w:t>
      </w:r>
    </w:p>
    <w:p w14:paraId="682D8B71">
      <w:pPr>
        <w:shd w:val="clear"/>
        <w:adjustRightInd w:val="0"/>
        <w:snapToGrid w:val="0"/>
        <w:spacing w:line="360" w:lineRule="auto"/>
        <w:rPr>
          <w:rFonts w:ascii="宋体" w:hAnsi="宋体" w:cs="宋体"/>
          <w:color w:val="auto"/>
          <w:sz w:val="24"/>
          <w:highlight w:val="none"/>
        </w:rPr>
      </w:pPr>
    </w:p>
    <w:p w14:paraId="11EE25F4">
      <w:pPr>
        <w:shd w:val="clea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磋商响应供应商：（全称加盖公章）</w:t>
      </w:r>
    </w:p>
    <w:p w14:paraId="5B0146A4">
      <w:pPr>
        <w:shd w:val="clea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授权代表联系方式（手机）：【</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196D0504">
      <w:pPr>
        <w:shd w:val="clear"/>
        <w:adjustRightInd w:val="0"/>
        <w:snapToGrid w:val="0"/>
        <w:spacing w:line="360" w:lineRule="auto"/>
        <w:ind w:firstLine="5160" w:firstLineChars="2150"/>
        <w:rPr>
          <w:rFonts w:ascii="宋体" w:hAnsi="宋体" w:cs="宋体"/>
          <w:color w:val="auto"/>
          <w:sz w:val="24"/>
          <w:highlight w:val="none"/>
        </w:rPr>
      </w:pPr>
      <w:r>
        <w:rPr>
          <w:rFonts w:ascii="宋体" w:hAnsi="宋体" w:cs="宋体"/>
          <w:color w:val="auto"/>
          <w:sz w:val="24"/>
          <w:highlight w:val="none"/>
        </w:rPr>
        <w:t>日期：</w:t>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ascii="宋体" w:hAnsi="宋体" w:cs="宋体"/>
          <w:color w:val="auto"/>
          <w:kern w:val="0"/>
          <w:sz w:val="24"/>
          <w:highlight w:val="none"/>
          <w:lang w:val="zh-CN"/>
        </w:rPr>
        <w:t>月日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10B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9242" w:type="dxa"/>
            <w:tcBorders>
              <w:top w:val="single" w:color="auto" w:sz="4" w:space="0"/>
              <w:left w:val="single" w:color="auto" w:sz="4" w:space="0"/>
              <w:bottom w:val="single" w:color="auto" w:sz="4" w:space="0"/>
              <w:right w:val="single" w:color="auto" w:sz="4" w:space="0"/>
            </w:tcBorders>
            <w:noWrap w:val="0"/>
            <w:vAlign w:val="center"/>
          </w:tcPr>
          <w:p w14:paraId="771274AA">
            <w:pPr>
              <w:shd w:val="clear"/>
              <w:adjustRightInd w:val="0"/>
              <w:snapToGrid w:val="0"/>
              <w:spacing w:line="360" w:lineRule="auto"/>
              <w:jc w:val="center"/>
              <w:rPr>
                <w:rFonts w:ascii="宋体" w:hAnsi="宋体" w:cs="宋体"/>
                <w:color w:val="auto"/>
                <w:szCs w:val="21"/>
                <w:highlight w:val="none"/>
              </w:rPr>
            </w:pPr>
            <w:r>
              <w:rPr>
                <w:rFonts w:ascii="宋体" w:hAnsi="宋体" w:cs="宋体"/>
                <w:color w:val="auto"/>
                <w:szCs w:val="21"/>
                <w:highlight w:val="none"/>
              </w:rPr>
              <w:t>授权代表身份证复印件粘贴处（正、反面）</w:t>
            </w:r>
          </w:p>
        </w:tc>
      </w:tr>
    </w:tbl>
    <w:p w14:paraId="021F4BBE">
      <w:pPr>
        <w:shd w:val="clear"/>
        <w:adjustRightInd w:val="0"/>
        <w:snapToGrid w:val="0"/>
        <w:spacing w:line="360" w:lineRule="auto"/>
        <w:rPr>
          <w:rFonts w:ascii="宋体" w:hAnsi="宋体" w:cs="宋体"/>
          <w:b/>
          <w:bCs/>
          <w:color w:val="auto"/>
          <w:sz w:val="24"/>
          <w:szCs w:val="24"/>
          <w:highlight w:val="none"/>
        </w:rPr>
      </w:pPr>
      <w:r>
        <w:rPr>
          <w:rFonts w:ascii="宋体" w:hAnsi="宋体" w:cs="宋体"/>
          <w:b/>
          <w:bCs/>
          <w:color w:val="auto"/>
          <w:sz w:val="24"/>
          <w:szCs w:val="24"/>
          <w:highlight w:val="none"/>
        </w:rPr>
        <w:t>注：如磋商响应文件由授权代表签字或盖章的，磋商响应文件必须附此授权委托书，否则视为无效磋商响应文件。</w:t>
      </w:r>
      <w:bookmarkEnd w:id="235"/>
      <w:bookmarkStart w:id="249" w:name="_Toc354859632"/>
      <w:bookmarkStart w:id="250" w:name="_Toc391277571"/>
      <w:bookmarkStart w:id="251" w:name="_Toc354859475"/>
      <w:bookmarkStart w:id="252" w:name="_Toc354859551"/>
      <w:bookmarkStart w:id="253" w:name="_Toc233618991"/>
    </w:p>
    <w:p w14:paraId="5C32E69A">
      <w:pPr>
        <w:shd w:val="clear"/>
        <w:adjustRightInd w:val="0"/>
        <w:snapToGrid w:val="0"/>
        <w:spacing w:line="360" w:lineRule="auto"/>
        <w:rPr>
          <w:rFonts w:ascii="宋体" w:hAnsi="宋体" w:cs="宋体"/>
          <w:b/>
          <w:bCs/>
          <w:color w:val="auto"/>
          <w:sz w:val="24"/>
          <w:szCs w:val="24"/>
          <w:highlight w:val="none"/>
        </w:rPr>
      </w:pPr>
    </w:p>
    <w:p w14:paraId="3C15BA68">
      <w:pPr>
        <w:shd w:val="clear"/>
        <w:adjustRightInd w:val="0"/>
        <w:snapToGrid w:val="0"/>
        <w:spacing w:line="360" w:lineRule="auto"/>
        <w:rPr>
          <w:rFonts w:ascii="宋体" w:hAnsi="宋体" w:cs="宋体"/>
          <w:b/>
          <w:bCs/>
          <w:color w:val="auto"/>
          <w:sz w:val="24"/>
          <w:szCs w:val="24"/>
          <w:highlight w:val="none"/>
        </w:rPr>
      </w:pPr>
    </w:p>
    <w:p w14:paraId="570920FE">
      <w:pPr>
        <w:shd w:val="clear"/>
        <w:rPr>
          <w:color w:val="auto"/>
          <w:highlight w:val="none"/>
        </w:rPr>
      </w:pPr>
      <w:bookmarkStart w:id="254" w:name="_Toc6494391"/>
    </w:p>
    <w:p w14:paraId="5DE4DD58">
      <w:pPr>
        <w:pStyle w:val="22"/>
        <w:shd w:val="clear"/>
        <w:adjustRightInd w:val="0"/>
        <w:snapToGrid w:val="0"/>
        <w:spacing w:line="360" w:lineRule="auto"/>
        <w:jc w:val="center"/>
        <w:outlineLvl w:val="1"/>
        <w:rPr>
          <w:rFonts w:hAnsi="宋体" w:cs="宋体"/>
          <w:b/>
          <w:color w:val="auto"/>
          <w:sz w:val="28"/>
          <w:szCs w:val="28"/>
          <w:highlight w:val="none"/>
        </w:rPr>
      </w:pPr>
      <w:bookmarkStart w:id="255" w:name="_Toc27156"/>
      <w:bookmarkStart w:id="256" w:name="_Toc16714"/>
      <w:bookmarkStart w:id="257" w:name="_Toc3039"/>
      <w:bookmarkStart w:id="258" w:name="_Toc28335"/>
      <w:bookmarkStart w:id="259" w:name="_Toc9164"/>
      <w:r>
        <w:rPr>
          <w:rFonts w:hAnsi="宋体" w:cs="宋体"/>
          <w:b/>
          <w:color w:val="auto"/>
          <w:sz w:val="28"/>
          <w:szCs w:val="28"/>
          <w:highlight w:val="none"/>
        </w:rPr>
        <w:t>格式</w:t>
      </w:r>
      <w:r>
        <w:rPr>
          <w:rFonts w:hint="eastAsia" w:hAnsi="宋体" w:cs="宋体"/>
          <w:b/>
          <w:color w:val="auto"/>
          <w:sz w:val="28"/>
          <w:szCs w:val="28"/>
          <w:highlight w:val="none"/>
          <w:lang w:val="en-US" w:eastAsia="zh-CN"/>
        </w:rPr>
        <w:t>五</w:t>
      </w:r>
      <w:r>
        <w:rPr>
          <w:rFonts w:hAnsi="宋体" w:cs="宋体"/>
          <w:b/>
          <w:color w:val="auto"/>
          <w:sz w:val="28"/>
          <w:szCs w:val="28"/>
          <w:highlight w:val="none"/>
        </w:rPr>
        <w:t>：以往业绩情况表</w:t>
      </w:r>
      <w:bookmarkEnd w:id="254"/>
      <w:bookmarkEnd w:id="255"/>
      <w:bookmarkEnd w:id="256"/>
      <w:bookmarkEnd w:id="257"/>
      <w:bookmarkEnd w:id="258"/>
      <w:bookmarkEnd w:id="259"/>
    </w:p>
    <w:p w14:paraId="362648D6">
      <w:pPr>
        <w:shd w:val="clear"/>
        <w:adjustRightInd w:val="0"/>
        <w:snapToGrid w:val="0"/>
        <w:spacing w:line="360" w:lineRule="auto"/>
        <w:jc w:val="center"/>
        <w:rPr>
          <w:rFonts w:ascii="宋体" w:hAnsi="宋体" w:cs="宋体"/>
          <w:b/>
          <w:color w:val="auto"/>
          <w:sz w:val="24"/>
          <w:highlight w:val="none"/>
        </w:rPr>
      </w:pPr>
      <w:r>
        <w:rPr>
          <w:rFonts w:ascii="宋体" w:hAnsi="宋体" w:cs="宋体"/>
          <w:b/>
          <w:color w:val="auto"/>
          <w:sz w:val="24"/>
          <w:highlight w:val="none"/>
        </w:rPr>
        <w:t>（一）20</w:t>
      </w:r>
      <w:r>
        <w:rPr>
          <w:rFonts w:hint="eastAsia" w:ascii="宋体" w:hAnsi="宋体" w:cs="宋体"/>
          <w:b/>
          <w:color w:val="auto"/>
          <w:sz w:val="24"/>
          <w:highlight w:val="none"/>
          <w:u w:val="none"/>
          <w:lang w:val="en-US" w:eastAsia="zh-CN"/>
        </w:rPr>
        <w:t>23</w:t>
      </w:r>
      <w:r>
        <w:rPr>
          <w:rFonts w:ascii="宋体" w:hAnsi="宋体" w:cs="宋体"/>
          <w:b/>
          <w:color w:val="auto"/>
          <w:sz w:val="24"/>
          <w:highlight w:val="none"/>
        </w:rPr>
        <w:t>年</w:t>
      </w:r>
      <w:r>
        <w:rPr>
          <w:rFonts w:hint="eastAsia" w:ascii="宋体" w:hAnsi="宋体" w:cs="宋体"/>
          <w:b/>
          <w:color w:val="auto"/>
          <w:sz w:val="24"/>
          <w:highlight w:val="none"/>
          <w:lang w:val="en-US" w:eastAsia="zh-CN"/>
        </w:rPr>
        <w:t>1</w:t>
      </w:r>
      <w:r>
        <w:rPr>
          <w:rFonts w:ascii="宋体" w:hAnsi="宋体" w:cs="宋体"/>
          <w:b/>
          <w:color w:val="auto"/>
          <w:sz w:val="24"/>
          <w:highlight w:val="none"/>
        </w:rPr>
        <w:t>月</w:t>
      </w:r>
      <w:r>
        <w:rPr>
          <w:rFonts w:hint="eastAsia" w:ascii="宋体" w:hAnsi="宋体" w:cs="宋体"/>
          <w:b/>
          <w:color w:val="auto"/>
          <w:sz w:val="24"/>
          <w:highlight w:val="none"/>
          <w:lang w:val="en-US" w:eastAsia="zh-CN"/>
        </w:rPr>
        <w:t>1</w:t>
      </w:r>
      <w:r>
        <w:rPr>
          <w:rFonts w:ascii="宋体" w:hAnsi="宋体" w:cs="宋体"/>
          <w:b/>
          <w:color w:val="auto"/>
          <w:sz w:val="24"/>
          <w:highlight w:val="none"/>
        </w:rPr>
        <w:t>以来业绩情况汇总表</w:t>
      </w:r>
    </w:p>
    <w:tbl>
      <w:tblPr>
        <w:tblStyle w:val="19"/>
        <w:tblW w:w="0" w:type="auto"/>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065"/>
        <w:gridCol w:w="2042"/>
        <w:gridCol w:w="1109"/>
        <w:gridCol w:w="1442"/>
        <w:gridCol w:w="1030"/>
      </w:tblGrid>
      <w:tr w14:paraId="3F02E7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18" w:space="0"/>
              <w:left w:val="single" w:color="auto" w:sz="18" w:space="0"/>
              <w:bottom w:val="single" w:color="auto" w:sz="4" w:space="0"/>
              <w:right w:val="single" w:color="auto" w:sz="4" w:space="0"/>
            </w:tcBorders>
            <w:noWrap w:val="0"/>
            <w:vAlign w:val="center"/>
          </w:tcPr>
          <w:p w14:paraId="6E84FD25">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序号</w:t>
            </w:r>
          </w:p>
        </w:tc>
        <w:tc>
          <w:tcPr>
            <w:tcW w:w="3065" w:type="dxa"/>
            <w:tcBorders>
              <w:top w:val="single" w:color="auto" w:sz="18" w:space="0"/>
              <w:left w:val="single" w:color="auto" w:sz="4" w:space="0"/>
              <w:bottom w:val="single" w:color="auto" w:sz="4" w:space="0"/>
              <w:right w:val="single" w:color="auto" w:sz="4" w:space="0"/>
            </w:tcBorders>
            <w:noWrap w:val="0"/>
            <w:vAlign w:val="center"/>
          </w:tcPr>
          <w:p w14:paraId="0AA88E8B">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项目名称</w:t>
            </w:r>
          </w:p>
        </w:tc>
        <w:tc>
          <w:tcPr>
            <w:tcW w:w="2042" w:type="dxa"/>
            <w:tcBorders>
              <w:top w:val="single" w:color="auto" w:sz="18" w:space="0"/>
              <w:left w:val="single" w:color="auto" w:sz="4" w:space="0"/>
              <w:bottom w:val="single" w:color="auto" w:sz="4" w:space="0"/>
              <w:right w:val="single" w:color="auto" w:sz="4" w:space="0"/>
            </w:tcBorders>
            <w:noWrap w:val="0"/>
            <w:vAlign w:val="center"/>
          </w:tcPr>
          <w:p w14:paraId="1554DB62">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sz w:val="24"/>
                <w:szCs w:val="24"/>
                <w:highlight w:val="none"/>
              </w:rPr>
              <w:t>合同内容</w:t>
            </w:r>
          </w:p>
        </w:tc>
        <w:tc>
          <w:tcPr>
            <w:tcW w:w="1109" w:type="dxa"/>
            <w:tcBorders>
              <w:top w:val="single" w:color="auto" w:sz="18" w:space="0"/>
              <w:left w:val="single" w:color="auto" w:sz="4" w:space="0"/>
              <w:bottom w:val="single" w:color="auto" w:sz="4" w:space="0"/>
              <w:right w:val="single" w:color="auto" w:sz="4" w:space="0"/>
            </w:tcBorders>
            <w:noWrap w:val="0"/>
            <w:vAlign w:val="center"/>
          </w:tcPr>
          <w:p w14:paraId="19E41946">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合同价</w:t>
            </w:r>
          </w:p>
        </w:tc>
        <w:tc>
          <w:tcPr>
            <w:tcW w:w="1442" w:type="dxa"/>
            <w:tcBorders>
              <w:top w:val="single" w:color="auto" w:sz="18" w:space="0"/>
              <w:left w:val="single" w:color="auto" w:sz="4" w:space="0"/>
              <w:bottom w:val="single" w:color="auto" w:sz="4" w:space="0"/>
              <w:right w:val="single" w:color="auto" w:sz="4" w:space="0"/>
            </w:tcBorders>
            <w:noWrap w:val="0"/>
            <w:vAlign w:val="center"/>
          </w:tcPr>
          <w:p w14:paraId="189082E7">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签订日期</w:t>
            </w:r>
          </w:p>
        </w:tc>
        <w:tc>
          <w:tcPr>
            <w:tcW w:w="1030" w:type="dxa"/>
            <w:tcBorders>
              <w:top w:val="single" w:color="auto" w:sz="18" w:space="0"/>
              <w:left w:val="single" w:color="auto" w:sz="4" w:space="0"/>
              <w:bottom w:val="single" w:color="auto" w:sz="4" w:space="0"/>
              <w:right w:val="single" w:color="auto" w:sz="18" w:space="0"/>
            </w:tcBorders>
            <w:noWrap w:val="0"/>
            <w:vAlign w:val="center"/>
          </w:tcPr>
          <w:p w14:paraId="7A4D6F06">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备注</w:t>
            </w:r>
          </w:p>
        </w:tc>
      </w:tr>
      <w:tr w14:paraId="2A714E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245230DD">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0F385FDD">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4D191164">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00AA57">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4E9C5F7">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56B121B8">
            <w:pPr>
              <w:shd w:val="clear"/>
              <w:autoSpaceDE w:val="0"/>
              <w:autoSpaceDN w:val="0"/>
              <w:adjustRightInd w:val="0"/>
              <w:rPr>
                <w:rFonts w:ascii="宋体" w:hAnsi="宋体" w:cs="宋体"/>
                <w:color w:val="auto"/>
                <w:kern w:val="0"/>
                <w:sz w:val="24"/>
                <w:szCs w:val="24"/>
                <w:highlight w:val="none"/>
              </w:rPr>
            </w:pPr>
          </w:p>
        </w:tc>
      </w:tr>
      <w:tr w14:paraId="4CFDA24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2D8811D0">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28FE779C">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8F94F09">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62D6DB2">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E0AB4BF">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6601D4CF">
            <w:pPr>
              <w:shd w:val="clear"/>
              <w:autoSpaceDE w:val="0"/>
              <w:autoSpaceDN w:val="0"/>
              <w:adjustRightInd w:val="0"/>
              <w:rPr>
                <w:rFonts w:ascii="宋体" w:hAnsi="宋体" w:cs="宋体"/>
                <w:color w:val="auto"/>
                <w:kern w:val="0"/>
                <w:sz w:val="24"/>
                <w:szCs w:val="24"/>
                <w:highlight w:val="none"/>
              </w:rPr>
            </w:pPr>
          </w:p>
        </w:tc>
      </w:tr>
      <w:tr w14:paraId="3C3497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7F13A42F">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7D8723C0">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52887F0">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F506346">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1D29D1C">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02CD07E7">
            <w:pPr>
              <w:shd w:val="clear"/>
              <w:autoSpaceDE w:val="0"/>
              <w:autoSpaceDN w:val="0"/>
              <w:adjustRightInd w:val="0"/>
              <w:rPr>
                <w:rFonts w:ascii="宋体" w:hAnsi="宋体" w:cs="宋体"/>
                <w:color w:val="auto"/>
                <w:kern w:val="0"/>
                <w:sz w:val="24"/>
                <w:szCs w:val="24"/>
                <w:highlight w:val="none"/>
              </w:rPr>
            </w:pPr>
          </w:p>
        </w:tc>
      </w:tr>
      <w:tr w14:paraId="670F72C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2FAE87DF">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7CF799BF">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4004DD23">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4F6A0BE">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94A9721">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316F3D0B">
            <w:pPr>
              <w:shd w:val="clear"/>
              <w:autoSpaceDE w:val="0"/>
              <w:autoSpaceDN w:val="0"/>
              <w:adjustRightInd w:val="0"/>
              <w:rPr>
                <w:rFonts w:ascii="宋体" w:hAnsi="宋体" w:cs="宋体"/>
                <w:color w:val="auto"/>
                <w:kern w:val="0"/>
                <w:sz w:val="24"/>
                <w:szCs w:val="24"/>
                <w:highlight w:val="none"/>
              </w:rPr>
            </w:pPr>
          </w:p>
        </w:tc>
      </w:tr>
      <w:tr w14:paraId="70E874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1B25BF06">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BB72766">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5D9ABE1">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92776C">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F3AFC96">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5130489D">
            <w:pPr>
              <w:shd w:val="clear"/>
              <w:autoSpaceDE w:val="0"/>
              <w:autoSpaceDN w:val="0"/>
              <w:adjustRightInd w:val="0"/>
              <w:rPr>
                <w:rFonts w:ascii="宋体" w:hAnsi="宋体" w:cs="宋体"/>
                <w:color w:val="auto"/>
                <w:kern w:val="0"/>
                <w:sz w:val="24"/>
                <w:szCs w:val="24"/>
                <w:highlight w:val="none"/>
              </w:rPr>
            </w:pPr>
          </w:p>
        </w:tc>
      </w:tr>
      <w:tr w14:paraId="5EAB5E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0DBEFAAE">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5CAF3654">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8B51562">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3E24A81">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E4A14AB">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2F014EBC">
            <w:pPr>
              <w:shd w:val="clear"/>
              <w:autoSpaceDE w:val="0"/>
              <w:autoSpaceDN w:val="0"/>
              <w:adjustRightInd w:val="0"/>
              <w:rPr>
                <w:rFonts w:ascii="宋体" w:hAnsi="宋体" w:cs="宋体"/>
                <w:color w:val="auto"/>
                <w:kern w:val="0"/>
                <w:sz w:val="24"/>
                <w:szCs w:val="24"/>
                <w:highlight w:val="none"/>
              </w:rPr>
            </w:pPr>
          </w:p>
        </w:tc>
      </w:tr>
      <w:tr w14:paraId="2C87402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1CA0C629">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79C83842">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5C5A0AE">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DC4ED14">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638C6CF">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4AD46F67">
            <w:pPr>
              <w:shd w:val="clear"/>
              <w:autoSpaceDE w:val="0"/>
              <w:autoSpaceDN w:val="0"/>
              <w:adjustRightInd w:val="0"/>
              <w:rPr>
                <w:rFonts w:ascii="宋体" w:hAnsi="宋体" w:cs="宋体"/>
                <w:color w:val="auto"/>
                <w:kern w:val="0"/>
                <w:sz w:val="24"/>
                <w:szCs w:val="24"/>
                <w:highlight w:val="none"/>
              </w:rPr>
            </w:pPr>
          </w:p>
        </w:tc>
      </w:tr>
      <w:tr w14:paraId="64CC360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noWrap w:val="0"/>
            <w:vAlign w:val="center"/>
          </w:tcPr>
          <w:p w14:paraId="628C8193">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35CA8286">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8182331">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E1A2478">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D1A3FA4">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4" w:space="0"/>
              <w:right w:val="single" w:color="auto" w:sz="18" w:space="0"/>
            </w:tcBorders>
            <w:noWrap w:val="0"/>
            <w:vAlign w:val="center"/>
          </w:tcPr>
          <w:p w14:paraId="58DEAE64">
            <w:pPr>
              <w:shd w:val="clear"/>
              <w:autoSpaceDE w:val="0"/>
              <w:autoSpaceDN w:val="0"/>
              <w:adjustRightInd w:val="0"/>
              <w:rPr>
                <w:rFonts w:ascii="宋体" w:hAnsi="宋体" w:cs="宋体"/>
                <w:color w:val="auto"/>
                <w:kern w:val="0"/>
                <w:sz w:val="24"/>
                <w:szCs w:val="24"/>
                <w:highlight w:val="none"/>
              </w:rPr>
            </w:pPr>
          </w:p>
        </w:tc>
      </w:tr>
      <w:tr w14:paraId="19BECF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18" w:space="0"/>
              <w:right w:val="single" w:color="auto" w:sz="4" w:space="0"/>
            </w:tcBorders>
            <w:noWrap w:val="0"/>
            <w:vAlign w:val="center"/>
          </w:tcPr>
          <w:p w14:paraId="74B8FE4A">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3065" w:type="dxa"/>
            <w:tcBorders>
              <w:top w:val="single" w:color="auto" w:sz="4" w:space="0"/>
              <w:left w:val="single" w:color="auto" w:sz="4" w:space="0"/>
              <w:bottom w:val="single" w:color="auto" w:sz="18" w:space="0"/>
              <w:right w:val="single" w:color="auto" w:sz="4" w:space="0"/>
            </w:tcBorders>
            <w:noWrap w:val="0"/>
            <w:vAlign w:val="center"/>
          </w:tcPr>
          <w:p w14:paraId="298E4AF3">
            <w:pPr>
              <w:shd w:val="clear"/>
              <w:autoSpaceDE w:val="0"/>
              <w:autoSpaceDN w:val="0"/>
              <w:adjustRightInd w:val="0"/>
              <w:rPr>
                <w:rFonts w:ascii="宋体" w:hAnsi="宋体" w:cs="宋体"/>
                <w:color w:val="auto"/>
                <w:kern w:val="0"/>
                <w:sz w:val="24"/>
                <w:szCs w:val="24"/>
                <w:highlight w:val="none"/>
              </w:rPr>
            </w:pPr>
          </w:p>
        </w:tc>
        <w:tc>
          <w:tcPr>
            <w:tcW w:w="2042" w:type="dxa"/>
            <w:tcBorders>
              <w:top w:val="single" w:color="auto" w:sz="4" w:space="0"/>
              <w:left w:val="single" w:color="auto" w:sz="4" w:space="0"/>
              <w:bottom w:val="single" w:color="auto" w:sz="18" w:space="0"/>
              <w:right w:val="single" w:color="auto" w:sz="4" w:space="0"/>
            </w:tcBorders>
            <w:noWrap w:val="0"/>
            <w:vAlign w:val="center"/>
          </w:tcPr>
          <w:p w14:paraId="099EB470">
            <w:pPr>
              <w:shd w:val="clear"/>
              <w:autoSpaceDE w:val="0"/>
              <w:autoSpaceDN w:val="0"/>
              <w:adjustRightInd w:val="0"/>
              <w:rPr>
                <w:rFonts w:ascii="宋体" w:hAnsi="宋体" w:cs="宋体"/>
                <w:color w:val="auto"/>
                <w:kern w:val="0"/>
                <w:sz w:val="24"/>
                <w:szCs w:val="24"/>
                <w:highlight w:val="none"/>
              </w:rPr>
            </w:pPr>
          </w:p>
        </w:tc>
        <w:tc>
          <w:tcPr>
            <w:tcW w:w="1109" w:type="dxa"/>
            <w:tcBorders>
              <w:top w:val="single" w:color="auto" w:sz="4" w:space="0"/>
              <w:left w:val="single" w:color="auto" w:sz="4" w:space="0"/>
              <w:bottom w:val="single" w:color="auto" w:sz="18" w:space="0"/>
              <w:right w:val="single" w:color="auto" w:sz="4" w:space="0"/>
            </w:tcBorders>
            <w:noWrap w:val="0"/>
            <w:vAlign w:val="center"/>
          </w:tcPr>
          <w:p w14:paraId="433D864D">
            <w:pPr>
              <w:shd w:val="clear"/>
              <w:autoSpaceDE w:val="0"/>
              <w:autoSpaceDN w:val="0"/>
              <w:adjustRightInd w:val="0"/>
              <w:rPr>
                <w:rFonts w:ascii="宋体" w:hAnsi="宋体" w:cs="宋体"/>
                <w:color w:val="auto"/>
                <w:kern w:val="0"/>
                <w:sz w:val="24"/>
                <w:szCs w:val="24"/>
                <w:highlight w:val="none"/>
              </w:rPr>
            </w:pPr>
          </w:p>
        </w:tc>
        <w:tc>
          <w:tcPr>
            <w:tcW w:w="1442" w:type="dxa"/>
            <w:tcBorders>
              <w:top w:val="single" w:color="auto" w:sz="4" w:space="0"/>
              <w:left w:val="single" w:color="auto" w:sz="4" w:space="0"/>
              <w:bottom w:val="single" w:color="auto" w:sz="18" w:space="0"/>
              <w:right w:val="single" w:color="auto" w:sz="4" w:space="0"/>
            </w:tcBorders>
            <w:noWrap w:val="0"/>
            <w:vAlign w:val="center"/>
          </w:tcPr>
          <w:p w14:paraId="3979453D">
            <w:pPr>
              <w:shd w:val="clear"/>
              <w:autoSpaceDE w:val="0"/>
              <w:autoSpaceDN w:val="0"/>
              <w:adjustRightInd w:val="0"/>
              <w:rPr>
                <w:rFonts w:ascii="宋体" w:hAnsi="宋体" w:cs="宋体"/>
                <w:color w:val="auto"/>
                <w:kern w:val="0"/>
                <w:sz w:val="24"/>
                <w:szCs w:val="24"/>
                <w:highlight w:val="none"/>
              </w:rPr>
            </w:pPr>
          </w:p>
        </w:tc>
        <w:tc>
          <w:tcPr>
            <w:tcW w:w="1030" w:type="dxa"/>
            <w:tcBorders>
              <w:top w:val="single" w:color="auto" w:sz="4" w:space="0"/>
              <w:left w:val="single" w:color="auto" w:sz="4" w:space="0"/>
              <w:bottom w:val="single" w:color="auto" w:sz="18" w:space="0"/>
              <w:right w:val="single" w:color="auto" w:sz="18" w:space="0"/>
            </w:tcBorders>
            <w:noWrap w:val="0"/>
            <w:vAlign w:val="center"/>
          </w:tcPr>
          <w:p w14:paraId="300834D2">
            <w:pPr>
              <w:shd w:val="clear"/>
              <w:autoSpaceDE w:val="0"/>
              <w:autoSpaceDN w:val="0"/>
              <w:adjustRightInd w:val="0"/>
              <w:rPr>
                <w:rFonts w:ascii="宋体" w:hAnsi="宋体" w:cs="宋体"/>
                <w:color w:val="auto"/>
                <w:kern w:val="0"/>
                <w:sz w:val="24"/>
                <w:szCs w:val="24"/>
                <w:highlight w:val="none"/>
              </w:rPr>
            </w:pPr>
          </w:p>
        </w:tc>
      </w:tr>
    </w:tbl>
    <w:p w14:paraId="4D4877F8">
      <w:pPr>
        <w:shd w:val="clear"/>
        <w:adjustRightInd w:val="0"/>
        <w:snapToGrid w:val="0"/>
        <w:spacing w:line="360" w:lineRule="auto"/>
        <w:rPr>
          <w:rFonts w:ascii="宋体" w:hAnsi="宋体" w:cs="宋体"/>
          <w:color w:val="auto"/>
          <w:sz w:val="24"/>
          <w:highlight w:val="none"/>
        </w:rPr>
      </w:pPr>
      <w:r>
        <w:rPr>
          <w:rFonts w:ascii="宋体" w:hAnsi="宋体" w:cs="宋体"/>
          <w:b/>
          <w:color w:val="auto"/>
          <w:kern w:val="0"/>
          <w:sz w:val="24"/>
          <w:szCs w:val="24"/>
          <w:highlight w:val="none"/>
        </w:rPr>
        <w:t>注：本表后附评分办法中要求的证明材料。</w:t>
      </w:r>
    </w:p>
    <w:p w14:paraId="113A22F9">
      <w:pPr>
        <w:shd w:val="clear"/>
        <w:adjustRightInd w:val="0"/>
        <w:snapToGrid w:val="0"/>
        <w:spacing w:line="360" w:lineRule="auto"/>
        <w:jc w:val="center"/>
        <w:rPr>
          <w:rFonts w:ascii="宋体" w:hAnsi="宋体" w:cs="宋体"/>
          <w:b/>
          <w:color w:val="auto"/>
          <w:sz w:val="24"/>
          <w:highlight w:val="none"/>
        </w:rPr>
      </w:pPr>
    </w:p>
    <w:p w14:paraId="0605F589">
      <w:pPr>
        <w:pStyle w:val="2"/>
        <w:shd w:val="clear"/>
        <w:rPr>
          <w:color w:val="auto"/>
          <w:highlight w:val="none"/>
        </w:rPr>
      </w:pPr>
    </w:p>
    <w:p w14:paraId="6AC89807">
      <w:pPr>
        <w:shd w:val="clear"/>
        <w:adjustRightInd w:val="0"/>
        <w:snapToGrid w:val="0"/>
        <w:spacing w:line="360" w:lineRule="auto"/>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磋商响应供应商：</w:t>
      </w:r>
      <w:r>
        <w:rPr>
          <w:rFonts w:ascii="宋体" w:hAnsi="宋体" w:cs="宋体"/>
          <w:color w:val="auto"/>
          <w:kern w:val="0"/>
          <w:sz w:val="24"/>
          <w:highlight w:val="none"/>
          <w:u w:val="single"/>
          <w:lang w:val="zh-CN"/>
        </w:rPr>
        <w:t xml:space="preserve">（全称加盖公章）       </w:t>
      </w:r>
    </w:p>
    <w:p w14:paraId="62E48DD1">
      <w:pPr>
        <w:shd w:val="clear"/>
        <w:adjustRightInd w:val="0"/>
        <w:snapToGrid w:val="0"/>
        <w:spacing w:line="360" w:lineRule="auto"/>
        <w:rPr>
          <w:rFonts w:ascii="宋体" w:hAnsi="宋体" w:cs="宋体"/>
          <w:color w:val="auto"/>
          <w:kern w:val="0"/>
          <w:sz w:val="24"/>
          <w:highlight w:val="none"/>
          <w:u w:val="single"/>
        </w:r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ascii="宋体" w:hAnsi="宋体" w:cs="宋体"/>
          <w:color w:val="auto"/>
          <w:kern w:val="0"/>
          <w:sz w:val="24"/>
          <w:highlight w:val="none"/>
          <w:lang w:val="zh-CN"/>
        </w:rPr>
        <w:t>月日</w:t>
      </w:r>
    </w:p>
    <w:p w14:paraId="7AD2FF38">
      <w:pPr>
        <w:pStyle w:val="22"/>
        <w:shd w:val="clear"/>
        <w:adjustRightInd w:val="0"/>
        <w:snapToGrid w:val="0"/>
        <w:spacing w:line="360" w:lineRule="auto"/>
        <w:jc w:val="center"/>
        <w:outlineLvl w:val="1"/>
        <w:rPr>
          <w:rFonts w:hAnsi="宋体" w:cs="宋体"/>
          <w:b/>
          <w:bCs/>
          <w:color w:val="auto"/>
          <w:sz w:val="28"/>
          <w:szCs w:val="28"/>
          <w:highlight w:val="none"/>
        </w:rPr>
      </w:pPr>
      <w:r>
        <w:rPr>
          <w:rFonts w:hAnsi="宋体" w:cs="宋体"/>
          <w:b/>
          <w:color w:val="auto"/>
          <w:kern w:val="0"/>
          <w:sz w:val="30"/>
          <w:szCs w:val="30"/>
          <w:highlight w:val="none"/>
        </w:rPr>
        <w:br w:type="page"/>
      </w:r>
      <w:bookmarkStart w:id="260" w:name="_Toc4706"/>
      <w:bookmarkStart w:id="261" w:name="_Toc12989"/>
      <w:bookmarkStart w:id="262" w:name="_Toc22267"/>
      <w:bookmarkStart w:id="263" w:name="_Toc6494392"/>
      <w:bookmarkStart w:id="264" w:name="_Toc6047"/>
      <w:bookmarkStart w:id="265" w:name="_Toc17199"/>
      <w:r>
        <w:rPr>
          <w:rFonts w:hAnsi="宋体" w:cs="宋体"/>
          <w:b/>
          <w:bCs/>
          <w:color w:val="auto"/>
          <w:sz w:val="28"/>
          <w:szCs w:val="28"/>
          <w:highlight w:val="none"/>
        </w:rPr>
        <w:t>格式</w:t>
      </w:r>
      <w:r>
        <w:rPr>
          <w:rFonts w:hint="eastAsia" w:hAnsi="宋体" w:cs="宋体"/>
          <w:b/>
          <w:bCs/>
          <w:color w:val="auto"/>
          <w:sz w:val="28"/>
          <w:szCs w:val="28"/>
          <w:highlight w:val="none"/>
          <w:lang w:val="en-US" w:eastAsia="zh-CN"/>
        </w:rPr>
        <w:t>六</w:t>
      </w:r>
      <w:r>
        <w:rPr>
          <w:rFonts w:hAnsi="宋体" w:cs="宋体"/>
          <w:b/>
          <w:bCs/>
          <w:color w:val="auto"/>
          <w:sz w:val="28"/>
          <w:szCs w:val="28"/>
          <w:highlight w:val="none"/>
        </w:rPr>
        <w:t>：商务/技术偏离表</w:t>
      </w:r>
      <w:bookmarkEnd w:id="260"/>
      <w:bookmarkEnd w:id="261"/>
      <w:bookmarkEnd w:id="262"/>
      <w:bookmarkEnd w:id="263"/>
      <w:bookmarkEnd w:id="264"/>
      <w:bookmarkEnd w:id="265"/>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3"/>
        <w:gridCol w:w="2593"/>
        <w:gridCol w:w="1431"/>
        <w:gridCol w:w="1848"/>
      </w:tblGrid>
      <w:tr w14:paraId="1DADCC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18" w:space="0"/>
              <w:left w:val="single" w:color="auto" w:sz="18" w:space="0"/>
              <w:bottom w:val="single" w:color="auto" w:sz="4" w:space="0"/>
              <w:right w:val="single" w:color="auto" w:sz="4" w:space="0"/>
            </w:tcBorders>
            <w:noWrap w:val="0"/>
            <w:vAlign w:val="center"/>
          </w:tcPr>
          <w:p w14:paraId="35E8F4DC">
            <w:pPr>
              <w:shd w:val="clear"/>
              <w:adjustRightInd w:val="0"/>
              <w:snapToGrid w:val="0"/>
              <w:jc w:val="center"/>
              <w:rPr>
                <w:rFonts w:ascii="宋体" w:hAnsi="宋体" w:cs="宋体"/>
                <w:b/>
                <w:color w:val="auto"/>
                <w:sz w:val="24"/>
                <w:highlight w:val="none"/>
              </w:rPr>
            </w:pPr>
            <w:r>
              <w:rPr>
                <w:rFonts w:ascii="宋体" w:hAnsi="宋体" w:cs="宋体"/>
                <w:b/>
                <w:color w:val="auto"/>
                <w:sz w:val="24"/>
                <w:highlight w:val="none"/>
              </w:rPr>
              <w:t>序号</w:t>
            </w:r>
          </w:p>
        </w:tc>
        <w:tc>
          <w:tcPr>
            <w:tcW w:w="2693" w:type="dxa"/>
            <w:tcBorders>
              <w:top w:val="single" w:color="auto" w:sz="18" w:space="0"/>
              <w:left w:val="single" w:color="auto" w:sz="4" w:space="0"/>
              <w:bottom w:val="single" w:color="auto" w:sz="4" w:space="0"/>
              <w:right w:val="single" w:color="auto" w:sz="4" w:space="0"/>
            </w:tcBorders>
            <w:noWrap w:val="0"/>
            <w:vAlign w:val="center"/>
          </w:tcPr>
          <w:p w14:paraId="12B13C8E">
            <w:pPr>
              <w:shd w:val="clear"/>
              <w:adjustRightInd w:val="0"/>
              <w:snapToGrid w:val="0"/>
              <w:jc w:val="center"/>
              <w:rPr>
                <w:rFonts w:ascii="宋体" w:hAnsi="宋体" w:cs="宋体"/>
                <w:b/>
                <w:color w:val="auto"/>
                <w:sz w:val="24"/>
                <w:highlight w:val="none"/>
              </w:rPr>
            </w:pPr>
            <w:r>
              <w:rPr>
                <w:rFonts w:ascii="宋体" w:hAnsi="宋体" w:cs="宋体"/>
                <w:b/>
                <w:color w:val="auto"/>
                <w:sz w:val="24"/>
                <w:highlight w:val="none"/>
              </w:rPr>
              <w:t>磋商文件要求</w:t>
            </w:r>
          </w:p>
        </w:tc>
        <w:tc>
          <w:tcPr>
            <w:tcW w:w="2593" w:type="dxa"/>
            <w:tcBorders>
              <w:top w:val="single" w:color="auto" w:sz="18" w:space="0"/>
              <w:left w:val="single" w:color="auto" w:sz="4" w:space="0"/>
              <w:bottom w:val="single" w:color="auto" w:sz="4" w:space="0"/>
              <w:right w:val="single" w:color="auto" w:sz="4" w:space="0"/>
            </w:tcBorders>
            <w:noWrap w:val="0"/>
            <w:vAlign w:val="center"/>
          </w:tcPr>
          <w:p w14:paraId="73884A26">
            <w:pPr>
              <w:shd w:val="clear"/>
              <w:adjustRightInd w:val="0"/>
              <w:snapToGrid w:val="0"/>
              <w:jc w:val="center"/>
              <w:rPr>
                <w:rFonts w:ascii="宋体" w:hAnsi="宋体" w:cs="宋体"/>
                <w:b/>
                <w:color w:val="auto"/>
                <w:sz w:val="24"/>
                <w:highlight w:val="none"/>
              </w:rPr>
            </w:pPr>
            <w:r>
              <w:rPr>
                <w:rFonts w:ascii="宋体" w:hAnsi="宋体" w:cs="宋体"/>
                <w:b/>
                <w:color w:val="auto"/>
                <w:sz w:val="24"/>
                <w:highlight w:val="none"/>
              </w:rPr>
              <w:t>磋商响应文件响应</w:t>
            </w:r>
          </w:p>
        </w:tc>
        <w:tc>
          <w:tcPr>
            <w:tcW w:w="1431" w:type="dxa"/>
            <w:tcBorders>
              <w:top w:val="single" w:color="auto" w:sz="18" w:space="0"/>
              <w:left w:val="single" w:color="auto" w:sz="4" w:space="0"/>
              <w:bottom w:val="single" w:color="auto" w:sz="4" w:space="0"/>
              <w:right w:val="single" w:color="auto" w:sz="4" w:space="0"/>
            </w:tcBorders>
            <w:noWrap w:val="0"/>
            <w:vAlign w:val="center"/>
          </w:tcPr>
          <w:p w14:paraId="6A8C57C2">
            <w:pPr>
              <w:shd w:val="clear"/>
              <w:adjustRightInd w:val="0"/>
              <w:snapToGrid w:val="0"/>
              <w:jc w:val="center"/>
              <w:rPr>
                <w:rFonts w:ascii="宋体" w:hAnsi="宋体" w:cs="宋体"/>
                <w:b/>
                <w:color w:val="auto"/>
                <w:sz w:val="24"/>
                <w:highlight w:val="none"/>
              </w:rPr>
            </w:pPr>
            <w:r>
              <w:rPr>
                <w:rFonts w:ascii="宋体" w:hAnsi="宋体" w:cs="宋体"/>
                <w:b/>
                <w:color w:val="auto"/>
                <w:sz w:val="24"/>
                <w:highlight w:val="none"/>
              </w:rPr>
              <w:t>正/负偏离</w:t>
            </w:r>
          </w:p>
        </w:tc>
        <w:tc>
          <w:tcPr>
            <w:tcW w:w="1848" w:type="dxa"/>
            <w:tcBorders>
              <w:top w:val="single" w:color="auto" w:sz="18" w:space="0"/>
              <w:left w:val="single" w:color="auto" w:sz="4" w:space="0"/>
              <w:bottom w:val="single" w:color="auto" w:sz="4" w:space="0"/>
              <w:right w:val="single" w:color="auto" w:sz="18" w:space="0"/>
            </w:tcBorders>
            <w:noWrap w:val="0"/>
            <w:vAlign w:val="center"/>
          </w:tcPr>
          <w:p w14:paraId="4D6A52C7">
            <w:pPr>
              <w:shd w:val="clear"/>
              <w:adjustRightInd w:val="0"/>
              <w:snapToGrid w:val="0"/>
              <w:jc w:val="center"/>
              <w:rPr>
                <w:rFonts w:ascii="宋体" w:hAnsi="宋体" w:cs="宋体"/>
                <w:b/>
                <w:color w:val="auto"/>
                <w:sz w:val="24"/>
                <w:highlight w:val="none"/>
              </w:rPr>
            </w:pPr>
            <w:r>
              <w:rPr>
                <w:rFonts w:ascii="宋体" w:hAnsi="宋体" w:cs="宋体"/>
                <w:b/>
                <w:color w:val="auto"/>
                <w:sz w:val="24"/>
                <w:highlight w:val="none"/>
              </w:rPr>
              <w:t>理由</w:t>
            </w:r>
          </w:p>
        </w:tc>
      </w:tr>
      <w:tr w14:paraId="35A20C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6304B0B4">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0CBEF3E">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5CFBAFAA">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6C28B05">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08177D3F">
            <w:pPr>
              <w:shd w:val="clear"/>
              <w:adjustRightInd w:val="0"/>
              <w:snapToGrid w:val="0"/>
              <w:jc w:val="center"/>
              <w:rPr>
                <w:rFonts w:ascii="宋体" w:hAnsi="宋体" w:cs="宋体"/>
                <w:color w:val="auto"/>
                <w:sz w:val="24"/>
                <w:highlight w:val="none"/>
              </w:rPr>
            </w:pPr>
          </w:p>
        </w:tc>
      </w:tr>
      <w:tr w14:paraId="4DB248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1CA591E8">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13656E2">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2B29A8E0">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D52F887">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303B3C2A">
            <w:pPr>
              <w:shd w:val="clear"/>
              <w:adjustRightInd w:val="0"/>
              <w:snapToGrid w:val="0"/>
              <w:jc w:val="center"/>
              <w:rPr>
                <w:rFonts w:ascii="宋体" w:hAnsi="宋体" w:cs="宋体"/>
                <w:color w:val="auto"/>
                <w:sz w:val="24"/>
                <w:highlight w:val="none"/>
              </w:rPr>
            </w:pPr>
          </w:p>
        </w:tc>
      </w:tr>
      <w:tr w14:paraId="33568E5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37192E3F">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204FD62">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0118BF04">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FEB31C9">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159493C4">
            <w:pPr>
              <w:shd w:val="clear"/>
              <w:adjustRightInd w:val="0"/>
              <w:snapToGrid w:val="0"/>
              <w:jc w:val="center"/>
              <w:rPr>
                <w:rFonts w:ascii="宋体" w:hAnsi="宋体" w:cs="宋体"/>
                <w:color w:val="auto"/>
                <w:sz w:val="24"/>
                <w:highlight w:val="none"/>
              </w:rPr>
            </w:pPr>
          </w:p>
        </w:tc>
      </w:tr>
      <w:tr w14:paraId="7C57A3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22929156">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930A3FE">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2441C185">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2A661A6">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44D24D3B">
            <w:pPr>
              <w:shd w:val="clear"/>
              <w:adjustRightInd w:val="0"/>
              <w:snapToGrid w:val="0"/>
              <w:jc w:val="center"/>
              <w:rPr>
                <w:rFonts w:ascii="宋体" w:hAnsi="宋体" w:cs="宋体"/>
                <w:color w:val="auto"/>
                <w:sz w:val="24"/>
                <w:highlight w:val="none"/>
              </w:rPr>
            </w:pPr>
          </w:p>
        </w:tc>
      </w:tr>
      <w:tr w14:paraId="611408C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7417CAD9">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03EBB3E">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6483C6F2">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2C41171">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46E3D3F0">
            <w:pPr>
              <w:shd w:val="clear"/>
              <w:adjustRightInd w:val="0"/>
              <w:snapToGrid w:val="0"/>
              <w:jc w:val="center"/>
              <w:rPr>
                <w:rFonts w:ascii="宋体" w:hAnsi="宋体" w:cs="宋体"/>
                <w:color w:val="auto"/>
                <w:sz w:val="24"/>
                <w:highlight w:val="none"/>
              </w:rPr>
            </w:pPr>
          </w:p>
        </w:tc>
      </w:tr>
      <w:tr w14:paraId="0F6FBD1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0D43049B">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FDBBB1B">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2A514572">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7E35817">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7D802DB0">
            <w:pPr>
              <w:shd w:val="clear"/>
              <w:adjustRightInd w:val="0"/>
              <w:snapToGrid w:val="0"/>
              <w:jc w:val="center"/>
              <w:rPr>
                <w:rFonts w:ascii="宋体" w:hAnsi="宋体" w:cs="宋体"/>
                <w:color w:val="auto"/>
                <w:sz w:val="24"/>
                <w:highlight w:val="none"/>
              </w:rPr>
            </w:pPr>
          </w:p>
        </w:tc>
      </w:tr>
      <w:tr w14:paraId="48FAF6D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2D4C8876">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68F3FA2">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677E4A94">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AECB82D">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2495D338">
            <w:pPr>
              <w:shd w:val="clear"/>
              <w:adjustRightInd w:val="0"/>
              <w:snapToGrid w:val="0"/>
              <w:jc w:val="center"/>
              <w:rPr>
                <w:rFonts w:ascii="宋体" w:hAnsi="宋体" w:cs="宋体"/>
                <w:color w:val="auto"/>
                <w:sz w:val="24"/>
                <w:highlight w:val="none"/>
              </w:rPr>
            </w:pPr>
          </w:p>
        </w:tc>
      </w:tr>
      <w:tr w14:paraId="250C0C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2412E9DF">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952BCF4">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615086C6">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AD97947">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7DBD1EBC">
            <w:pPr>
              <w:shd w:val="clear"/>
              <w:adjustRightInd w:val="0"/>
              <w:snapToGrid w:val="0"/>
              <w:jc w:val="center"/>
              <w:rPr>
                <w:rFonts w:ascii="宋体" w:hAnsi="宋体" w:cs="宋体"/>
                <w:color w:val="auto"/>
                <w:sz w:val="24"/>
                <w:highlight w:val="none"/>
              </w:rPr>
            </w:pPr>
          </w:p>
        </w:tc>
      </w:tr>
      <w:tr w14:paraId="43C5E0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4" w:space="0"/>
              <w:right w:val="single" w:color="auto" w:sz="4" w:space="0"/>
            </w:tcBorders>
            <w:noWrap w:val="0"/>
            <w:vAlign w:val="center"/>
          </w:tcPr>
          <w:p w14:paraId="76A4C6E0">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BFA36FE">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14:paraId="5D382B20">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A542D92">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4" w:space="0"/>
              <w:right w:val="single" w:color="auto" w:sz="18" w:space="0"/>
            </w:tcBorders>
            <w:noWrap w:val="0"/>
            <w:vAlign w:val="center"/>
          </w:tcPr>
          <w:p w14:paraId="5B8E0D56">
            <w:pPr>
              <w:shd w:val="clear"/>
              <w:adjustRightInd w:val="0"/>
              <w:snapToGrid w:val="0"/>
              <w:jc w:val="center"/>
              <w:rPr>
                <w:rFonts w:ascii="宋体" w:hAnsi="宋体" w:cs="宋体"/>
                <w:color w:val="auto"/>
                <w:sz w:val="24"/>
                <w:highlight w:val="none"/>
              </w:rPr>
            </w:pPr>
          </w:p>
        </w:tc>
      </w:tr>
      <w:tr w14:paraId="79ADDA7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tcBorders>
              <w:top w:val="single" w:color="auto" w:sz="4" w:space="0"/>
              <w:left w:val="single" w:color="auto" w:sz="18" w:space="0"/>
              <w:bottom w:val="single" w:color="auto" w:sz="18" w:space="0"/>
              <w:right w:val="single" w:color="auto" w:sz="4" w:space="0"/>
            </w:tcBorders>
            <w:noWrap w:val="0"/>
            <w:vAlign w:val="center"/>
          </w:tcPr>
          <w:p w14:paraId="47B0C6D8">
            <w:pPr>
              <w:shd w:val="clear"/>
              <w:adjustRightInd w:val="0"/>
              <w:snapToGrid w:val="0"/>
              <w:jc w:val="center"/>
              <w:rPr>
                <w:rFonts w:ascii="宋体" w:hAnsi="宋体" w:cs="宋体"/>
                <w:color w:val="auto"/>
                <w:sz w:val="24"/>
                <w:highlight w:val="none"/>
              </w:rPr>
            </w:pPr>
            <w:r>
              <w:rPr>
                <w:rFonts w:ascii="宋体" w:hAnsi="宋体" w:cs="宋体"/>
                <w:color w:val="auto"/>
                <w:kern w:val="0"/>
                <w:sz w:val="24"/>
                <w:szCs w:val="24"/>
                <w:highlight w:val="none"/>
              </w:rPr>
              <w:t>…</w:t>
            </w:r>
          </w:p>
        </w:tc>
        <w:tc>
          <w:tcPr>
            <w:tcW w:w="2693" w:type="dxa"/>
            <w:tcBorders>
              <w:top w:val="single" w:color="auto" w:sz="4" w:space="0"/>
              <w:left w:val="single" w:color="auto" w:sz="4" w:space="0"/>
              <w:bottom w:val="single" w:color="auto" w:sz="18" w:space="0"/>
              <w:right w:val="single" w:color="auto" w:sz="4" w:space="0"/>
            </w:tcBorders>
            <w:noWrap w:val="0"/>
            <w:vAlign w:val="center"/>
          </w:tcPr>
          <w:p w14:paraId="7AE2FF5D">
            <w:pPr>
              <w:shd w:val="clear"/>
              <w:adjustRightInd w:val="0"/>
              <w:snapToGrid w:val="0"/>
              <w:jc w:val="center"/>
              <w:rPr>
                <w:rFonts w:ascii="宋体" w:hAnsi="宋体" w:cs="宋体"/>
                <w:color w:val="auto"/>
                <w:sz w:val="24"/>
                <w:highlight w:val="none"/>
              </w:rPr>
            </w:pPr>
          </w:p>
        </w:tc>
        <w:tc>
          <w:tcPr>
            <w:tcW w:w="2593" w:type="dxa"/>
            <w:tcBorders>
              <w:top w:val="single" w:color="auto" w:sz="4" w:space="0"/>
              <w:left w:val="single" w:color="auto" w:sz="4" w:space="0"/>
              <w:bottom w:val="single" w:color="auto" w:sz="18" w:space="0"/>
              <w:right w:val="single" w:color="auto" w:sz="4" w:space="0"/>
            </w:tcBorders>
            <w:noWrap w:val="0"/>
            <w:vAlign w:val="center"/>
          </w:tcPr>
          <w:p w14:paraId="1DC42715">
            <w:pPr>
              <w:shd w:val="clear"/>
              <w:adjustRightInd w:val="0"/>
              <w:snapToGrid w:val="0"/>
              <w:jc w:val="center"/>
              <w:rPr>
                <w:rFonts w:ascii="宋体" w:hAnsi="宋体" w:cs="宋体"/>
                <w:color w:val="auto"/>
                <w:sz w:val="24"/>
                <w:highlight w:val="none"/>
              </w:rPr>
            </w:pPr>
          </w:p>
        </w:tc>
        <w:tc>
          <w:tcPr>
            <w:tcW w:w="1431" w:type="dxa"/>
            <w:tcBorders>
              <w:top w:val="single" w:color="auto" w:sz="4" w:space="0"/>
              <w:left w:val="single" w:color="auto" w:sz="4" w:space="0"/>
              <w:bottom w:val="single" w:color="auto" w:sz="18" w:space="0"/>
              <w:right w:val="single" w:color="auto" w:sz="4" w:space="0"/>
            </w:tcBorders>
            <w:noWrap w:val="0"/>
            <w:vAlign w:val="center"/>
          </w:tcPr>
          <w:p w14:paraId="0CFBD169">
            <w:pPr>
              <w:shd w:val="clear"/>
              <w:adjustRightInd w:val="0"/>
              <w:snapToGrid w:val="0"/>
              <w:jc w:val="center"/>
              <w:rPr>
                <w:rFonts w:ascii="宋体" w:hAnsi="宋体" w:cs="宋体"/>
                <w:color w:val="auto"/>
                <w:sz w:val="24"/>
                <w:highlight w:val="none"/>
              </w:rPr>
            </w:pPr>
          </w:p>
        </w:tc>
        <w:tc>
          <w:tcPr>
            <w:tcW w:w="1848" w:type="dxa"/>
            <w:tcBorders>
              <w:top w:val="single" w:color="auto" w:sz="4" w:space="0"/>
              <w:left w:val="single" w:color="auto" w:sz="4" w:space="0"/>
              <w:bottom w:val="single" w:color="auto" w:sz="18" w:space="0"/>
              <w:right w:val="single" w:color="auto" w:sz="18" w:space="0"/>
            </w:tcBorders>
            <w:noWrap w:val="0"/>
            <w:vAlign w:val="center"/>
          </w:tcPr>
          <w:p w14:paraId="6B7D3BD2">
            <w:pPr>
              <w:shd w:val="clear"/>
              <w:adjustRightInd w:val="0"/>
              <w:snapToGrid w:val="0"/>
              <w:jc w:val="center"/>
              <w:rPr>
                <w:rFonts w:ascii="宋体" w:hAnsi="宋体" w:cs="宋体"/>
                <w:color w:val="auto"/>
                <w:sz w:val="24"/>
                <w:highlight w:val="none"/>
              </w:rPr>
            </w:pPr>
          </w:p>
        </w:tc>
      </w:tr>
    </w:tbl>
    <w:p w14:paraId="4741C71C">
      <w:pPr>
        <w:shd w:val="clear"/>
        <w:autoSpaceDE w:val="0"/>
        <w:autoSpaceDN w:val="0"/>
        <w:adjustRightInd w:val="0"/>
        <w:spacing w:line="360" w:lineRule="auto"/>
        <w:ind w:firstLine="5160" w:firstLineChars="2150"/>
        <w:rPr>
          <w:rFonts w:ascii="宋体" w:hAnsi="宋体" w:cs="宋体"/>
          <w:color w:val="auto"/>
          <w:kern w:val="0"/>
          <w:sz w:val="24"/>
          <w:highlight w:val="none"/>
          <w:lang w:val="zh-CN"/>
        </w:rPr>
      </w:pPr>
    </w:p>
    <w:p w14:paraId="75CF0DC9">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填表说明：</w:t>
      </w:r>
    </w:p>
    <w:p w14:paraId="5E0692C7">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（1）对采购文件有任何偏离（包括正偏离及负偏离）均应汇总并填写在此表中。</w:t>
      </w:r>
    </w:p>
    <w:p w14:paraId="2C8E3F98">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（2）完全满足采购文件要求的供应商只需填写</w:t>
      </w:r>
      <w:r>
        <w:rPr>
          <w:rFonts w:ascii="宋体" w:hAnsi="宋体" w:cs="宋体"/>
          <w:color w:val="auto"/>
          <w:kern w:val="0"/>
          <w:sz w:val="24"/>
          <w:highlight w:val="none"/>
          <w:u w:val="single"/>
          <w:lang w:val="zh-CN"/>
        </w:rPr>
        <w:t>【完全满足采购文件的全部要求】</w:t>
      </w:r>
      <w:r>
        <w:rPr>
          <w:rFonts w:ascii="宋体" w:hAnsi="宋体" w:cs="宋体"/>
          <w:color w:val="auto"/>
          <w:kern w:val="0"/>
          <w:sz w:val="24"/>
          <w:highlight w:val="none"/>
          <w:lang w:val="zh-CN"/>
        </w:rPr>
        <w:t>。</w:t>
      </w:r>
    </w:p>
    <w:p w14:paraId="7CA0D13B">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（3）若供应商以未在偏离表中列出的负偏离为由，不按采购文件要求签约，采购人有权取消该供应商的成交资格，并按有关规定重新确定成交供应商或另行采购。</w:t>
      </w:r>
    </w:p>
    <w:p w14:paraId="1B8C973A">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（4）供应商可调整、修改上述表格。</w:t>
      </w:r>
    </w:p>
    <w:p w14:paraId="7CE8638F">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（5）磋商响应文件响应内容对采购文件要求如有偏离均应填写偏离表，如不填写，采购人有权视作磋商响应文件完全响应采购文件要求。</w:t>
      </w:r>
    </w:p>
    <w:p w14:paraId="570BA32C">
      <w:pPr>
        <w:shd w:val="clear"/>
        <w:adjustRightInd w:val="0"/>
        <w:snapToGrid w:val="0"/>
        <w:spacing w:line="360" w:lineRule="auto"/>
        <w:rPr>
          <w:rFonts w:ascii="宋体" w:hAnsi="宋体" w:cs="宋体"/>
          <w:color w:val="auto"/>
          <w:kern w:val="0"/>
          <w:sz w:val="24"/>
          <w:highlight w:val="none"/>
          <w:lang w:val="zh-CN"/>
        </w:rPr>
      </w:pPr>
    </w:p>
    <w:p w14:paraId="6CCBD9EA">
      <w:pPr>
        <w:shd w:val="clear"/>
        <w:adjustRightInd w:val="0"/>
        <w:snapToGrid w:val="0"/>
        <w:spacing w:line="360" w:lineRule="auto"/>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磋商响应供应商：</w:t>
      </w:r>
      <w:r>
        <w:rPr>
          <w:rFonts w:ascii="宋体" w:hAnsi="宋体" w:cs="宋体"/>
          <w:color w:val="auto"/>
          <w:kern w:val="0"/>
          <w:sz w:val="24"/>
          <w:highlight w:val="none"/>
          <w:u w:val="single"/>
          <w:lang w:val="zh-CN"/>
        </w:rPr>
        <w:t xml:space="preserve">（全称加盖公章）       </w:t>
      </w:r>
    </w:p>
    <w:p w14:paraId="5A486F68">
      <w:pPr>
        <w:shd w:val="clear"/>
        <w:adjustRightInd w:val="0"/>
        <w:snapToGrid w:val="0"/>
        <w:spacing w:line="360"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lang w:val="zh-CN"/>
        </w:rPr>
        <w:t>月</w:t>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lang w:val="zh-CN"/>
        </w:rPr>
        <w:t>日</w:t>
      </w:r>
    </w:p>
    <w:p w14:paraId="140C440F">
      <w:pPr>
        <w:shd w:val="clear"/>
        <w:adjustRightInd w:val="0"/>
        <w:snapToGrid w:val="0"/>
        <w:spacing w:line="360" w:lineRule="auto"/>
        <w:rPr>
          <w:rFonts w:ascii="宋体" w:hAnsi="宋体" w:cs="宋体"/>
          <w:color w:val="auto"/>
          <w:kern w:val="0"/>
          <w:sz w:val="24"/>
          <w:highlight w:val="none"/>
          <w:lang w:val="zh-CN"/>
        </w:rPr>
      </w:pPr>
    </w:p>
    <w:p w14:paraId="002B688A">
      <w:pPr>
        <w:pStyle w:val="22"/>
        <w:shd w:val="clear"/>
        <w:tabs>
          <w:tab w:val="center" w:pos="4814"/>
          <w:tab w:val="left" w:pos="7125"/>
        </w:tabs>
        <w:adjustRightInd w:val="0"/>
        <w:snapToGrid w:val="0"/>
        <w:spacing w:line="360" w:lineRule="auto"/>
        <w:jc w:val="center"/>
        <w:outlineLvl w:val="1"/>
        <w:rPr>
          <w:rFonts w:hAnsi="宋体" w:cs="宋体"/>
          <w:b/>
          <w:color w:val="auto"/>
          <w:kern w:val="0"/>
          <w:sz w:val="28"/>
          <w:szCs w:val="28"/>
          <w:highlight w:val="none"/>
        </w:rPr>
      </w:pPr>
      <w:bookmarkStart w:id="266" w:name="_Toc13062"/>
      <w:bookmarkStart w:id="267" w:name="_Toc9507"/>
      <w:bookmarkStart w:id="268" w:name="_Toc28420"/>
      <w:bookmarkStart w:id="269" w:name="_Toc28054"/>
      <w:bookmarkStart w:id="270" w:name="_Toc6494393"/>
      <w:bookmarkStart w:id="271" w:name="_Toc2557"/>
      <w:bookmarkStart w:id="272" w:name="_Toc6494394"/>
      <w:r>
        <w:rPr>
          <w:rFonts w:hAnsi="宋体" w:cs="宋体"/>
          <w:b/>
          <w:color w:val="auto"/>
          <w:kern w:val="0"/>
          <w:sz w:val="28"/>
          <w:szCs w:val="28"/>
          <w:highlight w:val="none"/>
        </w:rPr>
        <w:t>格式</w:t>
      </w:r>
      <w:r>
        <w:rPr>
          <w:rFonts w:hint="eastAsia" w:hAnsi="宋体" w:cs="宋体"/>
          <w:b/>
          <w:color w:val="auto"/>
          <w:kern w:val="0"/>
          <w:sz w:val="28"/>
          <w:szCs w:val="28"/>
          <w:highlight w:val="none"/>
          <w:lang w:val="en-US" w:eastAsia="zh-CN"/>
        </w:rPr>
        <w:t>七</w:t>
      </w:r>
      <w:r>
        <w:rPr>
          <w:rFonts w:hAnsi="宋体" w:cs="宋体"/>
          <w:b/>
          <w:color w:val="auto"/>
          <w:kern w:val="0"/>
          <w:sz w:val="28"/>
          <w:szCs w:val="28"/>
          <w:highlight w:val="none"/>
        </w:rPr>
        <w:t>：拟投入本项目的服务团队情况表</w:t>
      </w:r>
      <w:bookmarkEnd w:id="266"/>
      <w:bookmarkEnd w:id="267"/>
      <w:bookmarkEnd w:id="268"/>
      <w:bookmarkEnd w:id="269"/>
      <w:bookmarkEnd w:id="270"/>
      <w:bookmarkEnd w:id="271"/>
    </w:p>
    <w:p w14:paraId="2FEAB25A">
      <w:pPr>
        <w:shd w:val="clea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拟投入本项目的服务团队情况表</w:t>
      </w:r>
    </w:p>
    <w:tbl>
      <w:tblPr>
        <w:tblStyle w:val="19"/>
        <w:tblW w:w="0" w:type="auto"/>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255"/>
        <w:gridCol w:w="3399"/>
        <w:gridCol w:w="1420"/>
        <w:gridCol w:w="1558"/>
        <w:gridCol w:w="1054"/>
      </w:tblGrid>
      <w:tr w14:paraId="57F440A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67C8DFDA">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序号</w:t>
            </w:r>
          </w:p>
        </w:tc>
        <w:tc>
          <w:tcPr>
            <w:tcW w:w="1255" w:type="dxa"/>
            <w:noWrap w:val="0"/>
            <w:vAlign w:val="center"/>
          </w:tcPr>
          <w:p w14:paraId="430AD4DD">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姓名</w:t>
            </w:r>
          </w:p>
        </w:tc>
        <w:tc>
          <w:tcPr>
            <w:tcW w:w="3399" w:type="dxa"/>
            <w:noWrap w:val="0"/>
            <w:vAlign w:val="center"/>
          </w:tcPr>
          <w:p w14:paraId="52A43BBD">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职称及相关专业认证（或执业资格）情况（如评分需要）</w:t>
            </w:r>
          </w:p>
        </w:tc>
        <w:tc>
          <w:tcPr>
            <w:tcW w:w="1420" w:type="dxa"/>
            <w:noWrap w:val="0"/>
            <w:vAlign w:val="center"/>
          </w:tcPr>
          <w:p w14:paraId="61725845">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在本单位工作年限</w:t>
            </w:r>
          </w:p>
        </w:tc>
        <w:tc>
          <w:tcPr>
            <w:tcW w:w="1558" w:type="dxa"/>
            <w:noWrap w:val="0"/>
            <w:vAlign w:val="center"/>
          </w:tcPr>
          <w:p w14:paraId="686185BE">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在本项目中拟担任职务</w:t>
            </w:r>
          </w:p>
        </w:tc>
        <w:tc>
          <w:tcPr>
            <w:tcW w:w="1054" w:type="dxa"/>
            <w:noWrap w:val="0"/>
            <w:vAlign w:val="center"/>
          </w:tcPr>
          <w:p w14:paraId="55854274">
            <w:pPr>
              <w:shd w:val="clear"/>
              <w:autoSpaceDE w:val="0"/>
              <w:autoSpaceDN w:val="0"/>
              <w:adjustRightInd w:val="0"/>
              <w:jc w:val="center"/>
              <w:rPr>
                <w:rFonts w:ascii="宋体" w:hAnsi="宋体" w:cs="宋体"/>
                <w:b/>
                <w:color w:val="auto"/>
                <w:kern w:val="0"/>
                <w:sz w:val="24"/>
                <w:szCs w:val="24"/>
                <w:highlight w:val="none"/>
              </w:rPr>
            </w:pPr>
            <w:r>
              <w:rPr>
                <w:rFonts w:ascii="宋体" w:hAnsi="宋体" w:cs="宋体"/>
                <w:b/>
                <w:color w:val="auto"/>
                <w:kern w:val="0"/>
                <w:sz w:val="24"/>
                <w:szCs w:val="24"/>
                <w:highlight w:val="none"/>
              </w:rPr>
              <w:t>备注</w:t>
            </w:r>
          </w:p>
        </w:tc>
      </w:tr>
      <w:tr w14:paraId="624134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6" w:type="dxa"/>
            <w:noWrap w:val="0"/>
            <w:vAlign w:val="center"/>
          </w:tcPr>
          <w:p w14:paraId="34552C7A">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1255" w:type="dxa"/>
            <w:noWrap w:val="0"/>
            <w:vAlign w:val="center"/>
          </w:tcPr>
          <w:p w14:paraId="200B1613">
            <w:pPr>
              <w:shd w:val="clear"/>
              <w:autoSpaceDE w:val="0"/>
              <w:autoSpaceDN w:val="0"/>
              <w:adjustRightInd w:val="0"/>
              <w:rPr>
                <w:rFonts w:ascii="宋体" w:hAnsi="宋体" w:cs="宋体"/>
                <w:color w:val="auto"/>
                <w:kern w:val="0"/>
                <w:sz w:val="24"/>
                <w:szCs w:val="24"/>
                <w:highlight w:val="none"/>
              </w:rPr>
            </w:pPr>
          </w:p>
        </w:tc>
        <w:tc>
          <w:tcPr>
            <w:tcW w:w="3399" w:type="dxa"/>
            <w:noWrap w:val="0"/>
            <w:vAlign w:val="center"/>
          </w:tcPr>
          <w:p w14:paraId="007F73D0">
            <w:pPr>
              <w:shd w:val="clear"/>
              <w:autoSpaceDE w:val="0"/>
              <w:autoSpaceDN w:val="0"/>
              <w:adjustRightInd w:val="0"/>
              <w:rPr>
                <w:rFonts w:ascii="宋体" w:hAnsi="宋体" w:cs="宋体"/>
                <w:color w:val="auto"/>
                <w:kern w:val="0"/>
                <w:sz w:val="24"/>
                <w:szCs w:val="24"/>
                <w:highlight w:val="none"/>
              </w:rPr>
            </w:pPr>
          </w:p>
        </w:tc>
        <w:tc>
          <w:tcPr>
            <w:tcW w:w="1420" w:type="dxa"/>
            <w:noWrap w:val="0"/>
            <w:vAlign w:val="center"/>
          </w:tcPr>
          <w:p w14:paraId="392DCF30">
            <w:pPr>
              <w:shd w:val="clear"/>
              <w:autoSpaceDE w:val="0"/>
              <w:autoSpaceDN w:val="0"/>
              <w:adjustRightInd w:val="0"/>
              <w:rPr>
                <w:rFonts w:ascii="宋体" w:hAnsi="宋体" w:cs="宋体"/>
                <w:color w:val="auto"/>
                <w:kern w:val="0"/>
                <w:sz w:val="24"/>
                <w:szCs w:val="24"/>
                <w:highlight w:val="none"/>
              </w:rPr>
            </w:pPr>
          </w:p>
        </w:tc>
        <w:tc>
          <w:tcPr>
            <w:tcW w:w="1558" w:type="dxa"/>
            <w:noWrap w:val="0"/>
            <w:vAlign w:val="center"/>
          </w:tcPr>
          <w:p w14:paraId="7DEBA30C">
            <w:pPr>
              <w:shd w:val="clear"/>
              <w:autoSpaceDE w:val="0"/>
              <w:autoSpaceDN w:val="0"/>
              <w:adjustRightInd w:val="0"/>
              <w:rPr>
                <w:rFonts w:ascii="宋体" w:hAnsi="宋体" w:cs="宋体"/>
                <w:color w:val="auto"/>
                <w:kern w:val="0"/>
                <w:sz w:val="24"/>
                <w:szCs w:val="24"/>
                <w:highlight w:val="none"/>
              </w:rPr>
            </w:pPr>
            <w:r>
              <w:rPr>
                <w:rFonts w:ascii="宋体" w:hAnsi="宋体" w:cs="宋体"/>
                <w:color w:val="auto"/>
                <w:kern w:val="0"/>
                <w:sz w:val="24"/>
                <w:szCs w:val="24"/>
                <w:highlight w:val="none"/>
              </w:rPr>
              <w:t>项目负责人</w:t>
            </w:r>
          </w:p>
        </w:tc>
        <w:tc>
          <w:tcPr>
            <w:tcW w:w="1054" w:type="dxa"/>
            <w:noWrap w:val="0"/>
            <w:vAlign w:val="center"/>
          </w:tcPr>
          <w:p w14:paraId="01363B5A">
            <w:pPr>
              <w:shd w:val="clear"/>
              <w:autoSpaceDE w:val="0"/>
              <w:autoSpaceDN w:val="0"/>
              <w:adjustRightInd w:val="0"/>
              <w:rPr>
                <w:rFonts w:ascii="宋体" w:hAnsi="宋体" w:cs="宋体"/>
                <w:color w:val="auto"/>
                <w:kern w:val="0"/>
                <w:sz w:val="24"/>
                <w:szCs w:val="24"/>
                <w:highlight w:val="none"/>
              </w:rPr>
            </w:pPr>
          </w:p>
        </w:tc>
      </w:tr>
      <w:tr w14:paraId="5D6F82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6" w:type="dxa"/>
            <w:noWrap w:val="0"/>
            <w:vAlign w:val="center"/>
          </w:tcPr>
          <w:p w14:paraId="2865A9FE">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1255" w:type="dxa"/>
            <w:noWrap w:val="0"/>
            <w:vAlign w:val="center"/>
          </w:tcPr>
          <w:p w14:paraId="682A70F2">
            <w:pPr>
              <w:shd w:val="clear"/>
              <w:autoSpaceDE w:val="0"/>
              <w:autoSpaceDN w:val="0"/>
              <w:adjustRightInd w:val="0"/>
              <w:rPr>
                <w:rFonts w:ascii="宋体" w:hAnsi="宋体" w:cs="宋体"/>
                <w:color w:val="auto"/>
                <w:kern w:val="0"/>
                <w:sz w:val="24"/>
                <w:szCs w:val="24"/>
                <w:highlight w:val="none"/>
              </w:rPr>
            </w:pPr>
          </w:p>
        </w:tc>
        <w:tc>
          <w:tcPr>
            <w:tcW w:w="3399" w:type="dxa"/>
            <w:noWrap w:val="0"/>
            <w:vAlign w:val="center"/>
          </w:tcPr>
          <w:p w14:paraId="47B05C6A">
            <w:pPr>
              <w:shd w:val="clear"/>
              <w:autoSpaceDE w:val="0"/>
              <w:autoSpaceDN w:val="0"/>
              <w:adjustRightInd w:val="0"/>
              <w:rPr>
                <w:rFonts w:ascii="宋体" w:hAnsi="宋体" w:cs="宋体"/>
                <w:color w:val="auto"/>
                <w:kern w:val="0"/>
                <w:sz w:val="24"/>
                <w:szCs w:val="24"/>
                <w:highlight w:val="none"/>
              </w:rPr>
            </w:pPr>
          </w:p>
        </w:tc>
        <w:tc>
          <w:tcPr>
            <w:tcW w:w="1420" w:type="dxa"/>
            <w:noWrap w:val="0"/>
            <w:vAlign w:val="center"/>
          </w:tcPr>
          <w:p w14:paraId="46DAFD19">
            <w:pPr>
              <w:shd w:val="clear"/>
              <w:autoSpaceDE w:val="0"/>
              <w:autoSpaceDN w:val="0"/>
              <w:adjustRightInd w:val="0"/>
              <w:rPr>
                <w:rFonts w:ascii="宋体" w:hAnsi="宋体" w:cs="宋体"/>
                <w:color w:val="auto"/>
                <w:kern w:val="0"/>
                <w:sz w:val="24"/>
                <w:szCs w:val="24"/>
                <w:highlight w:val="none"/>
              </w:rPr>
            </w:pPr>
          </w:p>
        </w:tc>
        <w:tc>
          <w:tcPr>
            <w:tcW w:w="1558" w:type="dxa"/>
            <w:noWrap w:val="0"/>
            <w:vAlign w:val="center"/>
          </w:tcPr>
          <w:p w14:paraId="3AA54B70">
            <w:pPr>
              <w:shd w:val="clear"/>
              <w:autoSpaceDE w:val="0"/>
              <w:autoSpaceDN w:val="0"/>
              <w:adjustRightInd w:val="0"/>
              <w:rPr>
                <w:rFonts w:ascii="宋体" w:hAnsi="宋体" w:cs="宋体"/>
                <w:color w:val="auto"/>
                <w:kern w:val="0"/>
                <w:sz w:val="24"/>
                <w:szCs w:val="24"/>
                <w:highlight w:val="none"/>
              </w:rPr>
            </w:pPr>
          </w:p>
        </w:tc>
        <w:tc>
          <w:tcPr>
            <w:tcW w:w="1054" w:type="dxa"/>
            <w:noWrap w:val="0"/>
            <w:vAlign w:val="center"/>
          </w:tcPr>
          <w:p w14:paraId="2305B466">
            <w:pPr>
              <w:shd w:val="clear"/>
              <w:autoSpaceDE w:val="0"/>
              <w:autoSpaceDN w:val="0"/>
              <w:adjustRightInd w:val="0"/>
              <w:rPr>
                <w:rFonts w:ascii="宋体" w:hAnsi="宋体" w:cs="宋体"/>
                <w:color w:val="auto"/>
                <w:kern w:val="0"/>
                <w:sz w:val="24"/>
                <w:szCs w:val="24"/>
                <w:highlight w:val="none"/>
              </w:rPr>
            </w:pPr>
          </w:p>
        </w:tc>
      </w:tr>
      <w:tr w14:paraId="3309B1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6" w:type="dxa"/>
            <w:noWrap w:val="0"/>
            <w:vAlign w:val="center"/>
          </w:tcPr>
          <w:p w14:paraId="38CDE92F">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1255" w:type="dxa"/>
            <w:noWrap w:val="0"/>
            <w:vAlign w:val="center"/>
          </w:tcPr>
          <w:p w14:paraId="72945F42">
            <w:pPr>
              <w:shd w:val="clear"/>
              <w:autoSpaceDE w:val="0"/>
              <w:autoSpaceDN w:val="0"/>
              <w:adjustRightInd w:val="0"/>
              <w:rPr>
                <w:rFonts w:ascii="宋体" w:hAnsi="宋体" w:cs="宋体"/>
                <w:color w:val="auto"/>
                <w:kern w:val="0"/>
                <w:sz w:val="24"/>
                <w:szCs w:val="24"/>
                <w:highlight w:val="none"/>
              </w:rPr>
            </w:pPr>
          </w:p>
        </w:tc>
        <w:tc>
          <w:tcPr>
            <w:tcW w:w="3399" w:type="dxa"/>
            <w:noWrap w:val="0"/>
            <w:vAlign w:val="center"/>
          </w:tcPr>
          <w:p w14:paraId="61349D23">
            <w:pPr>
              <w:shd w:val="clear"/>
              <w:autoSpaceDE w:val="0"/>
              <w:autoSpaceDN w:val="0"/>
              <w:adjustRightInd w:val="0"/>
              <w:rPr>
                <w:rFonts w:ascii="宋体" w:hAnsi="宋体" w:cs="宋体"/>
                <w:color w:val="auto"/>
                <w:kern w:val="0"/>
                <w:sz w:val="24"/>
                <w:szCs w:val="24"/>
                <w:highlight w:val="none"/>
              </w:rPr>
            </w:pPr>
          </w:p>
        </w:tc>
        <w:tc>
          <w:tcPr>
            <w:tcW w:w="1420" w:type="dxa"/>
            <w:noWrap w:val="0"/>
            <w:vAlign w:val="center"/>
          </w:tcPr>
          <w:p w14:paraId="57AA598A">
            <w:pPr>
              <w:shd w:val="clear"/>
              <w:autoSpaceDE w:val="0"/>
              <w:autoSpaceDN w:val="0"/>
              <w:adjustRightInd w:val="0"/>
              <w:rPr>
                <w:rFonts w:ascii="宋体" w:hAnsi="宋体" w:cs="宋体"/>
                <w:color w:val="auto"/>
                <w:kern w:val="0"/>
                <w:sz w:val="24"/>
                <w:szCs w:val="24"/>
                <w:highlight w:val="none"/>
              </w:rPr>
            </w:pPr>
          </w:p>
        </w:tc>
        <w:tc>
          <w:tcPr>
            <w:tcW w:w="1558" w:type="dxa"/>
            <w:noWrap w:val="0"/>
            <w:vAlign w:val="center"/>
          </w:tcPr>
          <w:p w14:paraId="25F52266">
            <w:pPr>
              <w:shd w:val="clear"/>
              <w:autoSpaceDE w:val="0"/>
              <w:autoSpaceDN w:val="0"/>
              <w:adjustRightInd w:val="0"/>
              <w:rPr>
                <w:rFonts w:ascii="宋体" w:hAnsi="宋体" w:cs="宋体"/>
                <w:color w:val="auto"/>
                <w:kern w:val="0"/>
                <w:sz w:val="24"/>
                <w:szCs w:val="24"/>
                <w:highlight w:val="none"/>
              </w:rPr>
            </w:pPr>
          </w:p>
        </w:tc>
        <w:tc>
          <w:tcPr>
            <w:tcW w:w="1054" w:type="dxa"/>
            <w:noWrap w:val="0"/>
            <w:vAlign w:val="center"/>
          </w:tcPr>
          <w:p w14:paraId="010BA866">
            <w:pPr>
              <w:shd w:val="clear"/>
              <w:autoSpaceDE w:val="0"/>
              <w:autoSpaceDN w:val="0"/>
              <w:adjustRightInd w:val="0"/>
              <w:rPr>
                <w:rFonts w:ascii="宋体" w:hAnsi="宋体" w:cs="宋体"/>
                <w:color w:val="auto"/>
                <w:kern w:val="0"/>
                <w:sz w:val="24"/>
                <w:szCs w:val="24"/>
                <w:highlight w:val="none"/>
              </w:rPr>
            </w:pPr>
          </w:p>
        </w:tc>
      </w:tr>
      <w:tr w14:paraId="6E8E80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6" w:type="dxa"/>
            <w:noWrap w:val="0"/>
            <w:vAlign w:val="center"/>
          </w:tcPr>
          <w:p w14:paraId="275AABCB">
            <w:pPr>
              <w:shd w:val="clear"/>
              <w:autoSpaceDE w:val="0"/>
              <w:autoSpaceDN w:val="0"/>
              <w:adjustRightInd w:val="0"/>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1255" w:type="dxa"/>
            <w:noWrap w:val="0"/>
            <w:vAlign w:val="center"/>
          </w:tcPr>
          <w:p w14:paraId="7E7737F1">
            <w:pPr>
              <w:shd w:val="clear"/>
              <w:autoSpaceDE w:val="0"/>
              <w:autoSpaceDN w:val="0"/>
              <w:adjustRightInd w:val="0"/>
              <w:rPr>
                <w:rFonts w:ascii="宋体" w:hAnsi="宋体" w:cs="宋体"/>
                <w:color w:val="auto"/>
                <w:kern w:val="0"/>
                <w:sz w:val="24"/>
                <w:szCs w:val="24"/>
                <w:highlight w:val="none"/>
              </w:rPr>
            </w:pPr>
          </w:p>
        </w:tc>
        <w:tc>
          <w:tcPr>
            <w:tcW w:w="3399" w:type="dxa"/>
            <w:noWrap w:val="0"/>
            <w:vAlign w:val="center"/>
          </w:tcPr>
          <w:p w14:paraId="0FCE1D4F">
            <w:pPr>
              <w:shd w:val="clear"/>
              <w:autoSpaceDE w:val="0"/>
              <w:autoSpaceDN w:val="0"/>
              <w:adjustRightInd w:val="0"/>
              <w:rPr>
                <w:rFonts w:ascii="宋体" w:hAnsi="宋体" w:cs="宋体"/>
                <w:color w:val="auto"/>
                <w:kern w:val="0"/>
                <w:sz w:val="24"/>
                <w:szCs w:val="24"/>
                <w:highlight w:val="none"/>
              </w:rPr>
            </w:pPr>
          </w:p>
        </w:tc>
        <w:tc>
          <w:tcPr>
            <w:tcW w:w="1420" w:type="dxa"/>
            <w:noWrap w:val="0"/>
            <w:vAlign w:val="center"/>
          </w:tcPr>
          <w:p w14:paraId="193D2BD6">
            <w:pPr>
              <w:shd w:val="clear"/>
              <w:autoSpaceDE w:val="0"/>
              <w:autoSpaceDN w:val="0"/>
              <w:adjustRightInd w:val="0"/>
              <w:rPr>
                <w:rFonts w:ascii="宋体" w:hAnsi="宋体" w:cs="宋体"/>
                <w:color w:val="auto"/>
                <w:kern w:val="0"/>
                <w:sz w:val="24"/>
                <w:szCs w:val="24"/>
                <w:highlight w:val="none"/>
              </w:rPr>
            </w:pPr>
          </w:p>
        </w:tc>
        <w:tc>
          <w:tcPr>
            <w:tcW w:w="1558" w:type="dxa"/>
            <w:noWrap w:val="0"/>
            <w:vAlign w:val="center"/>
          </w:tcPr>
          <w:p w14:paraId="0AFDF7E5">
            <w:pPr>
              <w:shd w:val="clear"/>
              <w:autoSpaceDE w:val="0"/>
              <w:autoSpaceDN w:val="0"/>
              <w:adjustRightInd w:val="0"/>
              <w:rPr>
                <w:rFonts w:ascii="宋体" w:hAnsi="宋体" w:cs="宋体"/>
                <w:color w:val="auto"/>
                <w:kern w:val="0"/>
                <w:sz w:val="24"/>
                <w:szCs w:val="24"/>
                <w:highlight w:val="none"/>
              </w:rPr>
            </w:pPr>
          </w:p>
        </w:tc>
        <w:tc>
          <w:tcPr>
            <w:tcW w:w="1054" w:type="dxa"/>
            <w:noWrap w:val="0"/>
            <w:vAlign w:val="center"/>
          </w:tcPr>
          <w:p w14:paraId="3335513F">
            <w:pPr>
              <w:shd w:val="clear"/>
              <w:autoSpaceDE w:val="0"/>
              <w:autoSpaceDN w:val="0"/>
              <w:adjustRightInd w:val="0"/>
              <w:rPr>
                <w:rFonts w:ascii="宋体" w:hAnsi="宋体" w:cs="宋体"/>
                <w:color w:val="auto"/>
                <w:kern w:val="0"/>
                <w:sz w:val="24"/>
                <w:szCs w:val="24"/>
                <w:highlight w:val="none"/>
              </w:rPr>
            </w:pPr>
          </w:p>
        </w:tc>
      </w:tr>
      <w:tr w14:paraId="46B824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242" w:type="dxa"/>
            <w:gridSpan w:val="6"/>
            <w:noWrap w:val="0"/>
            <w:vAlign w:val="center"/>
          </w:tcPr>
          <w:p w14:paraId="7C07ACB2">
            <w:pPr>
              <w:shd w:val="clear"/>
              <w:autoSpaceDE w:val="0"/>
              <w:autoSpaceDN w:val="0"/>
              <w:adjustRightInd w:val="0"/>
              <w:rPr>
                <w:rFonts w:ascii="宋体" w:hAnsi="宋体" w:cs="宋体"/>
                <w:b/>
                <w:color w:val="auto"/>
                <w:kern w:val="0"/>
                <w:sz w:val="24"/>
                <w:szCs w:val="24"/>
                <w:highlight w:val="none"/>
              </w:rPr>
            </w:pPr>
            <w:r>
              <w:rPr>
                <w:rFonts w:ascii="宋体" w:hAnsi="宋体" w:cs="宋体"/>
                <w:b/>
                <w:color w:val="auto"/>
                <w:kern w:val="0"/>
                <w:sz w:val="24"/>
                <w:szCs w:val="24"/>
                <w:highlight w:val="none"/>
              </w:rPr>
              <w:t>其他说明：（如有）</w:t>
            </w:r>
          </w:p>
        </w:tc>
      </w:tr>
    </w:tbl>
    <w:p w14:paraId="4D3AE710">
      <w:pPr>
        <w:shd w:val="clear"/>
        <w:adjustRightInd w:val="0"/>
        <w:snapToGrid w:val="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注：本表后附评分办法中要求的证明材料。</w:t>
      </w:r>
    </w:p>
    <w:p w14:paraId="391CB151">
      <w:pPr>
        <w:shd w:val="clear"/>
        <w:adjustRightInd w:val="0"/>
        <w:snapToGrid w:val="0"/>
        <w:spacing w:line="360" w:lineRule="auto"/>
        <w:rPr>
          <w:rFonts w:ascii="宋体" w:hAnsi="宋体" w:cs="宋体"/>
          <w:color w:val="auto"/>
          <w:kern w:val="0"/>
          <w:sz w:val="24"/>
          <w:highlight w:val="none"/>
          <w:lang w:val="zh-CN"/>
        </w:rPr>
      </w:pPr>
    </w:p>
    <w:p w14:paraId="78B92BF2">
      <w:pPr>
        <w:shd w:val="clear"/>
        <w:adjustRightInd w:val="0"/>
        <w:snapToGrid w:val="0"/>
        <w:spacing w:line="360" w:lineRule="auto"/>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磋商响应供应商：</w:t>
      </w:r>
      <w:r>
        <w:rPr>
          <w:rFonts w:ascii="宋体" w:hAnsi="宋体" w:cs="宋体"/>
          <w:color w:val="auto"/>
          <w:kern w:val="0"/>
          <w:sz w:val="24"/>
          <w:highlight w:val="none"/>
          <w:u w:val="single"/>
          <w:lang w:val="zh-CN"/>
        </w:rPr>
        <w:t xml:space="preserve">（全称加盖公章）       </w:t>
      </w:r>
    </w:p>
    <w:p w14:paraId="2E0B377D">
      <w:pPr>
        <w:shd w:val="clear"/>
        <w:adjustRightInd w:val="0"/>
        <w:snapToGrid w:val="0"/>
        <w:spacing w:line="360" w:lineRule="auto"/>
        <w:rPr>
          <w:rFonts w:ascii="宋体" w:hAnsi="宋体" w:cs="宋体"/>
          <w:color w:val="auto"/>
          <w:kern w:val="0"/>
          <w:sz w:val="24"/>
          <w:highlight w:val="none"/>
          <w:u w:val="single"/>
        </w:r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ascii="宋体" w:hAnsi="宋体" w:cs="宋体"/>
          <w:color w:val="auto"/>
          <w:kern w:val="0"/>
          <w:sz w:val="24"/>
          <w:highlight w:val="none"/>
          <w:lang w:val="zh-CN"/>
        </w:rPr>
        <w:t>月日</w:t>
      </w:r>
    </w:p>
    <w:p w14:paraId="21F6B3F2">
      <w:pPr>
        <w:shd w:val="clear"/>
        <w:adjustRightInd w:val="0"/>
        <w:snapToGrid w:val="0"/>
        <w:spacing w:line="360" w:lineRule="auto"/>
        <w:jc w:val="center"/>
        <w:rPr>
          <w:rFonts w:ascii="宋体" w:hAnsi="宋体" w:cs="宋体"/>
          <w:b/>
          <w:color w:val="auto"/>
          <w:sz w:val="24"/>
          <w:highlight w:val="none"/>
        </w:rPr>
      </w:pPr>
    </w:p>
    <w:p w14:paraId="44EDBABA">
      <w:pPr>
        <w:pStyle w:val="14"/>
        <w:shd w:val="clear"/>
        <w:ind w:left="0"/>
        <w:rPr>
          <w:rFonts w:ascii="宋体" w:hAnsi="宋体" w:cs="宋体"/>
          <w:b/>
          <w:color w:val="auto"/>
          <w:sz w:val="24"/>
          <w:szCs w:val="24"/>
          <w:highlight w:val="none"/>
        </w:rPr>
      </w:pPr>
    </w:p>
    <w:p w14:paraId="3DD7759A">
      <w:pPr>
        <w:shd w:val="clear"/>
        <w:rPr>
          <w:rFonts w:ascii="宋体" w:hAnsi="宋体" w:cs="宋体"/>
          <w:b/>
          <w:color w:val="auto"/>
          <w:sz w:val="24"/>
          <w:szCs w:val="24"/>
          <w:highlight w:val="none"/>
        </w:rPr>
      </w:pPr>
    </w:p>
    <w:p w14:paraId="6AE15872">
      <w:pPr>
        <w:pStyle w:val="2"/>
        <w:shd w:val="clear"/>
        <w:rPr>
          <w:rFonts w:ascii="宋体" w:hAnsi="宋体" w:cs="宋体"/>
          <w:b w:val="0"/>
          <w:color w:val="auto"/>
          <w:sz w:val="24"/>
          <w:szCs w:val="24"/>
          <w:highlight w:val="none"/>
        </w:rPr>
      </w:pPr>
    </w:p>
    <w:p w14:paraId="6BD8E15C">
      <w:pPr>
        <w:shd w:val="clear"/>
        <w:rPr>
          <w:rFonts w:ascii="宋体" w:hAnsi="宋体" w:cs="宋体"/>
          <w:b/>
          <w:color w:val="auto"/>
          <w:sz w:val="24"/>
          <w:szCs w:val="24"/>
          <w:highlight w:val="none"/>
        </w:rPr>
      </w:pPr>
    </w:p>
    <w:p w14:paraId="5633DD97">
      <w:pPr>
        <w:pStyle w:val="2"/>
        <w:shd w:val="clear"/>
        <w:rPr>
          <w:rFonts w:ascii="宋体" w:hAnsi="宋体" w:cs="宋体"/>
          <w:b w:val="0"/>
          <w:color w:val="auto"/>
          <w:sz w:val="24"/>
          <w:szCs w:val="24"/>
          <w:highlight w:val="none"/>
        </w:rPr>
      </w:pPr>
    </w:p>
    <w:p w14:paraId="371DD53C">
      <w:pPr>
        <w:shd w:val="clear"/>
        <w:rPr>
          <w:rFonts w:ascii="宋体" w:hAnsi="宋体" w:cs="宋体"/>
          <w:b/>
          <w:color w:val="auto"/>
          <w:sz w:val="24"/>
          <w:szCs w:val="24"/>
          <w:highlight w:val="none"/>
        </w:rPr>
      </w:pPr>
    </w:p>
    <w:p w14:paraId="2CB336D1">
      <w:pPr>
        <w:pStyle w:val="2"/>
        <w:shd w:val="clear"/>
        <w:rPr>
          <w:rFonts w:ascii="宋体" w:hAnsi="宋体" w:cs="宋体"/>
          <w:b w:val="0"/>
          <w:color w:val="auto"/>
          <w:sz w:val="24"/>
          <w:szCs w:val="24"/>
          <w:highlight w:val="none"/>
        </w:rPr>
      </w:pPr>
    </w:p>
    <w:p w14:paraId="1D972CA8">
      <w:pPr>
        <w:shd w:val="clear"/>
        <w:rPr>
          <w:rFonts w:ascii="宋体" w:hAnsi="宋体" w:cs="宋体"/>
          <w:b/>
          <w:color w:val="auto"/>
          <w:sz w:val="24"/>
          <w:szCs w:val="24"/>
          <w:highlight w:val="none"/>
        </w:rPr>
      </w:pPr>
    </w:p>
    <w:p w14:paraId="7C143946">
      <w:pPr>
        <w:pStyle w:val="2"/>
        <w:shd w:val="clear"/>
        <w:rPr>
          <w:rFonts w:ascii="宋体" w:hAnsi="宋体" w:cs="宋体"/>
          <w:b w:val="0"/>
          <w:color w:val="auto"/>
          <w:sz w:val="24"/>
          <w:szCs w:val="24"/>
          <w:highlight w:val="none"/>
        </w:rPr>
      </w:pPr>
    </w:p>
    <w:p w14:paraId="6ED7B5CD">
      <w:pPr>
        <w:shd w:val="clear"/>
        <w:rPr>
          <w:rFonts w:ascii="宋体" w:hAnsi="宋体" w:cs="宋体"/>
          <w:b/>
          <w:color w:val="auto"/>
          <w:sz w:val="24"/>
          <w:szCs w:val="24"/>
          <w:highlight w:val="none"/>
        </w:rPr>
      </w:pPr>
    </w:p>
    <w:p w14:paraId="344B1C72">
      <w:pPr>
        <w:pStyle w:val="2"/>
        <w:shd w:val="clear"/>
        <w:rPr>
          <w:rFonts w:ascii="宋体" w:hAnsi="宋体" w:cs="宋体"/>
          <w:b w:val="0"/>
          <w:color w:val="auto"/>
          <w:sz w:val="24"/>
          <w:szCs w:val="24"/>
          <w:highlight w:val="none"/>
        </w:rPr>
      </w:pPr>
    </w:p>
    <w:p w14:paraId="18A988AD">
      <w:pPr>
        <w:shd w:val="clear"/>
        <w:rPr>
          <w:rFonts w:ascii="宋体" w:hAnsi="宋体" w:cs="宋体"/>
          <w:b/>
          <w:color w:val="auto"/>
          <w:sz w:val="24"/>
          <w:szCs w:val="24"/>
          <w:highlight w:val="none"/>
        </w:rPr>
      </w:pPr>
    </w:p>
    <w:p w14:paraId="4DF8382D">
      <w:pPr>
        <w:shd w:val="clear"/>
        <w:rPr>
          <w:rFonts w:ascii="宋体" w:hAnsi="宋体" w:cs="宋体"/>
          <w:b/>
          <w:color w:val="auto"/>
          <w:sz w:val="24"/>
          <w:szCs w:val="24"/>
          <w:highlight w:val="none"/>
        </w:rPr>
      </w:pPr>
    </w:p>
    <w:p w14:paraId="51AE22E1">
      <w:pPr>
        <w:shd w:val="clear"/>
        <w:rPr>
          <w:rFonts w:ascii="宋体" w:hAnsi="宋体" w:cs="宋体"/>
          <w:b/>
          <w:color w:val="auto"/>
          <w:sz w:val="24"/>
          <w:szCs w:val="24"/>
          <w:highlight w:val="none"/>
        </w:rPr>
      </w:pPr>
    </w:p>
    <w:p w14:paraId="22FF25D3">
      <w:pPr>
        <w:shd w:val="clear"/>
        <w:rPr>
          <w:rFonts w:ascii="宋体" w:hAnsi="宋体" w:cs="宋体"/>
          <w:b/>
          <w:color w:val="auto"/>
          <w:sz w:val="24"/>
          <w:szCs w:val="24"/>
          <w:highlight w:val="none"/>
        </w:rPr>
      </w:pPr>
    </w:p>
    <w:p w14:paraId="4AC8D6E4">
      <w:pPr>
        <w:shd w:val="clear"/>
        <w:rPr>
          <w:rFonts w:ascii="宋体" w:hAnsi="宋体" w:cs="宋体"/>
          <w:b/>
          <w:color w:val="auto"/>
          <w:sz w:val="24"/>
          <w:szCs w:val="24"/>
          <w:highlight w:val="none"/>
        </w:rPr>
      </w:pPr>
    </w:p>
    <w:p w14:paraId="2BA36A1F">
      <w:pPr>
        <w:pStyle w:val="2"/>
        <w:shd w:val="clear"/>
        <w:rPr>
          <w:rFonts w:ascii="宋体" w:hAnsi="宋体" w:cs="宋体"/>
          <w:b w:val="0"/>
          <w:color w:val="auto"/>
          <w:sz w:val="24"/>
          <w:szCs w:val="24"/>
          <w:highlight w:val="none"/>
        </w:rPr>
      </w:pPr>
    </w:p>
    <w:p w14:paraId="7038F642">
      <w:pPr>
        <w:shd w:val="clear"/>
        <w:rPr>
          <w:rFonts w:ascii="宋体" w:hAnsi="宋体" w:cs="宋体"/>
          <w:b/>
          <w:color w:val="auto"/>
          <w:sz w:val="24"/>
          <w:szCs w:val="24"/>
          <w:highlight w:val="none"/>
        </w:rPr>
      </w:pPr>
    </w:p>
    <w:p w14:paraId="309C5F39">
      <w:pPr>
        <w:pStyle w:val="22"/>
        <w:shd w:val="clear"/>
        <w:adjustRightInd w:val="0"/>
        <w:snapToGrid w:val="0"/>
        <w:spacing w:line="360" w:lineRule="auto"/>
        <w:ind w:firstLine="562" w:firstLineChars="200"/>
        <w:jc w:val="center"/>
        <w:outlineLvl w:val="1"/>
        <w:rPr>
          <w:rFonts w:hAnsi="宋体" w:cs="宋体"/>
          <w:b/>
          <w:bCs/>
          <w:color w:val="auto"/>
          <w:sz w:val="28"/>
          <w:szCs w:val="28"/>
          <w:highlight w:val="none"/>
        </w:rPr>
      </w:pPr>
      <w:bookmarkStart w:id="273" w:name="_Toc18436"/>
      <w:bookmarkStart w:id="274" w:name="_Toc29972"/>
      <w:bookmarkStart w:id="275" w:name="_Toc24427"/>
      <w:bookmarkStart w:id="276" w:name="_Toc21452"/>
      <w:bookmarkStart w:id="277" w:name="_Toc2458"/>
      <w:r>
        <w:rPr>
          <w:rFonts w:hAnsi="宋体" w:cs="宋体"/>
          <w:b/>
          <w:bCs/>
          <w:color w:val="auto"/>
          <w:sz w:val="28"/>
          <w:szCs w:val="28"/>
          <w:highlight w:val="none"/>
        </w:rPr>
        <w:t>格式</w:t>
      </w:r>
      <w:r>
        <w:rPr>
          <w:rFonts w:hint="eastAsia" w:hAnsi="宋体" w:cs="宋体"/>
          <w:b/>
          <w:bCs/>
          <w:color w:val="auto"/>
          <w:sz w:val="28"/>
          <w:szCs w:val="28"/>
          <w:highlight w:val="none"/>
          <w:lang w:val="en-US" w:eastAsia="zh-CN"/>
        </w:rPr>
        <w:t>八</w:t>
      </w:r>
      <w:r>
        <w:rPr>
          <w:rFonts w:hAnsi="宋体" w:cs="宋体"/>
          <w:b/>
          <w:bCs/>
          <w:color w:val="auto"/>
          <w:sz w:val="28"/>
          <w:szCs w:val="28"/>
          <w:highlight w:val="none"/>
        </w:rPr>
        <w:t>：</w:t>
      </w:r>
      <w:bookmarkEnd w:id="249"/>
      <w:bookmarkEnd w:id="250"/>
      <w:bookmarkEnd w:id="251"/>
      <w:bookmarkEnd w:id="252"/>
      <w:bookmarkEnd w:id="253"/>
      <w:bookmarkEnd w:id="272"/>
      <w:bookmarkEnd w:id="273"/>
      <w:r>
        <w:rPr>
          <w:rFonts w:hAnsi="宋体" w:cs="宋体"/>
          <w:b/>
          <w:bCs/>
          <w:color w:val="auto"/>
          <w:sz w:val="28"/>
          <w:szCs w:val="28"/>
          <w:highlight w:val="none"/>
        </w:rPr>
        <w:t>初次报价一览表</w:t>
      </w:r>
      <w:bookmarkEnd w:id="274"/>
      <w:bookmarkEnd w:id="275"/>
      <w:bookmarkEnd w:id="276"/>
      <w:bookmarkEnd w:id="277"/>
    </w:p>
    <w:p w14:paraId="3AEACE98">
      <w:pPr>
        <w:shd w:val="clea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衢州市科学技术局</w:t>
      </w:r>
      <w:r>
        <w:rPr>
          <w:rFonts w:ascii="宋体" w:hAnsi="宋体" w:cs="宋体"/>
          <w:color w:val="auto"/>
          <w:sz w:val="24"/>
          <w:highlight w:val="none"/>
        </w:rPr>
        <w:t>：</w:t>
      </w:r>
    </w:p>
    <w:p w14:paraId="00EF9B93">
      <w:pPr>
        <w:shd w:val="clear"/>
        <w:adjustRightInd w:val="0"/>
        <w:snapToGrid w:val="0"/>
        <w:spacing w:line="360" w:lineRule="auto"/>
        <w:rPr>
          <w:rFonts w:ascii="宋体" w:hAnsi="宋体" w:cs="宋体"/>
          <w:b/>
          <w:bCs/>
          <w:color w:val="auto"/>
          <w:sz w:val="30"/>
          <w:szCs w:val="30"/>
          <w:highlight w:val="none"/>
        </w:rPr>
      </w:pPr>
      <w:r>
        <w:rPr>
          <w:rFonts w:hint="eastAsia" w:ascii="宋体" w:hAnsi="宋体" w:cs="宋体"/>
          <w:color w:val="auto"/>
          <w:sz w:val="24"/>
          <w:highlight w:val="none"/>
          <w:lang w:eastAsia="zh-CN"/>
        </w:rPr>
        <w:t>浙江中正工程项目管理有限公司</w:t>
      </w:r>
      <w:r>
        <w:rPr>
          <w:rFonts w:ascii="宋体" w:hAnsi="宋体" w:cs="宋体"/>
          <w:color w:val="auto"/>
          <w:sz w:val="24"/>
          <w:highlight w:val="none"/>
        </w:rPr>
        <w:t>：</w:t>
      </w:r>
    </w:p>
    <w:p w14:paraId="0E6ACEC4">
      <w:pPr>
        <w:shd w:val="clear"/>
        <w:spacing w:before="24" w:beforeLines="10" w:line="360" w:lineRule="auto"/>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按贵方磋商文件要求，如你方接受本磋商响应文件，我方承诺按照如下报价一览表的价格完成</w:t>
      </w:r>
      <w:r>
        <w:rPr>
          <w:rFonts w:hint="eastAsia" w:ascii="宋体" w:hAnsi="宋体" w:cs="宋体"/>
          <w:color w:val="auto"/>
          <w:sz w:val="24"/>
          <w:highlight w:val="none"/>
          <w:u w:val="single"/>
          <w:lang w:val="en" w:eastAsia="zh-CN"/>
        </w:rPr>
        <w:t>衢州科技大市场运营服务（</w:t>
      </w:r>
      <w:r>
        <w:rPr>
          <w:rFonts w:ascii="宋体" w:hAnsi="宋体" w:cs="宋体"/>
          <w:color w:val="auto"/>
          <w:kern w:val="0"/>
          <w:sz w:val="24"/>
          <w:highlight w:val="none"/>
          <w:lang w:val="zh-CN"/>
        </w:rPr>
        <w:t>项目编号</w:t>
      </w:r>
      <w:r>
        <w:rPr>
          <w:rFonts w:hint="eastAsia" w:ascii="宋体" w:hAnsi="宋体" w:cs="宋体"/>
          <w:color w:val="auto"/>
          <w:kern w:val="0"/>
          <w:sz w:val="24"/>
          <w:highlight w:val="none"/>
          <w:lang w:val="zh-CN"/>
        </w:rPr>
        <w:t>：</w:t>
      </w:r>
      <w:r>
        <w:rPr>
          <w:rFonts w:hint="eastAsia" w:ascii="宋体" w:hAnsi="宋体" w:cs="宋体"/>
          <w:color w:val="auto"/>
          <w:sz w:val="24"/>
          <w:highlight w:val="none"/>
          <w:u w:val="single"/>
          <w:lang w:eastAsia="zh-CN"/>
        </w:rPr>
        <w:t>ZZCG2026012）</w:t>
      </w:r>
      <w:r>
        <w:rPr>
          <w:rFonts w:ascii="宋体" w:hAnsi="宋体" w:cs="宋体"/>
          <w:color w:val="auto"/>
          <w:kern w:val="0"/>
          <w:sz w:val="24"/>
          <w:highlight w:val="none"/>
          <w:lang w:val="zh-CN"/>
        </w:rPr>
        <w:t>的实施。</w:t>
      </w:r>
    </w:p>
    <w:p w14:paraId="614C636D">
      <w:pPr>
        <w:shd w:val="clear"/>
        <w:adjustRightInd w:val="0"/>
        <w:snapToGrid w:val="0"/>
        <w:spacing w:line="360" w:lineRule="auto"/>
        <w:ind w:right="480"/>
        <w:jc w:val="center"/>
        <w:rPr>
          <w:rFonts w:ascii="宋体" w:hAnsi="宋体" w:cs="宋体"/>
          <w:b/>
          <w:color w:val="auto"/>
          <w:kern w:val="0"/>
          <w:sz w:val="24"/>
          <w:highlight w:val="none"/>
          <w:lang w:val="zh-CN"/>
        </w:rPr>
      </w:pPr>
      <w:r>
        <w:rPr>
          <w:rFonts w:ascii="宋体" w:hAnsi="宋体" w:cs="宋体"/>
          <w:b/>
          <w:color w:val="auto"/>
          <w:kern w:val="0"/>
          <w:sz w:val="24"/>
          <w:highlight w:val="none"/>
          <w:lang w:val="zh-CN"/>
        </w:rPr>
        <w:t xml:space="preserve">                                              货币单位：人民币元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70"/>
        <w:gridCol w:w="2017"/>
        <w:gridCol w:w="3455"/>
      </w:tblGrid>
      <w:tr w14:paraId="6865C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9" w:hRule="atLeast"/>
          <w:tblHeader/>
          <w:jc w:val="center"/>
        </w:trPr>
        <w:tc>
          <w:tcPr>
            <w:tcW w:w="3770" w:type="dxa"/>
            <w:tcBorders>
              <w:top w:val="single" w:color="auto" w:sz="4" w:space="0"/>
              <w:left w:val="single" w:color="auto" w:sz="4" w:space="0"/>
              <w:bottom w:val="single" w:color="auto" w:sz="6" w:space="0"/>
              <w:right w:val="single" w:color="auto" w:sz="4" w:space="0"/>
            </w:tcBorders>
            <w:noWrap w:val="0"/>
            <w:vAlign w:val="center"/>
          </w:tcPr>
          <w:p w14:paraId="61A28816">
            <w:pPr>
              <w:shd w:val="clear"/>
              <w:spacing w:line="360" w:lineRule="auto"/>
              <w:jc w:val="center"/>
              <w:rPr>
                <w:rFonts w:ascii="宋体"/>
                <w:b/>
                <w:color w:val="auto"/>
                <w:sz w:val="24"/>
                <w:highlight w:val="none"/>
              </w:rPr>
            </w:pPr>
            <w:r>
              <w:rPr>
                <w:rFonts w:ascii="宋体" w:hAnsi="宋体"/>
                <w:b/>
                <w:color w:val="auto"/>
                <w:sz w:val="24"/>
                <w:highlight w:val="none"/>
              </w:rPr>
              <w:t>项目名称</w:t>
            </w:r>
          </w:p>
        </w:tc>
        <w:tc>
          <w:tcPr>
            <w:tcW w:w="2017" w:type="dxa"/>
            <w:tcBorders>
              <w:top w:val="single" w:color="auto" w:sz="4" w:space="0"/>
              <w:left w:val="single" w:color="auto" w:sz="4" w:space="0"/>
              <w:bottom w:val="single" w:color="auto" w:sz="6" w:space="0"/>
              <w:right w:val="single" w:color="auto" w:sz="6" w:space="0"/>
            </w:tcBorders>
            <w:noWrap w:val="0"/>
            <w:vAlign w:val="center"/>
          </w:tcPr>
          <w:p w14:paraId="04D087D7">
            <w:pPr>
              <w:shd w:val="clear"/>
              <w:spacing w:line="360" w:lineRule="auto"/>
              <w:jc w:val="center"/>
              <w:rPr>
                <w:rFonts w:ascii="宋体"/>
                <w:b/>
                <w:color w:val="auto"/>
                <w:sz w:val="24"/>
                <w:highlight w:val="none"/>
              </w:rPr>
            </w:pPr>
            <w:r>
              <w:rPr>
                <w:rFonts w:ascii="宋体" w:hAnsi="宋体"/>
                <w:b/>
                <w:color w:val="auto"/>
                <w:sz w:val="24"/>
                <w:highlight w:val="none"/>
              </w:rPr>
              <w:t>项目编号</w:t>
            </w:r>
          </w:p>
        </w:tc>
        <w:tc>
          <w:tcPr>
            <w:tcW w:w="3455" w:type="dxa"/>
            <w:tcBorders>
              <w:top w:val="single" w:color="auto" w:sz="4" w:space="0"/>
              <w:left w:val="single" w:color="auto" w:sz="6" w:space="0"/>
              <w:bottom w:val="single" w:color="auto" w:sz="6" w:space="0"/>
              <w:right w:val="single" w:color="auto" w:sz="4" w:space="0"/>
            </w:tcBorders>
            <w:noWrap w:val="0"/>
            <w:vAlign w:val="center"/>
          </w:tcPr>
          <w:p w14:paraId="0AC32FEB">
            <w:pPr>
              <w:shd w:val="clear"/>
              <w:spacing w:line="360" w:lineRule="auto"/>
              <w:jc w:val="center"/>
              <w:rPr>
                <w:rFonts w:ascii="宋体"/>
                <w:b/>
                <w:color w:val="auto"/>
                <w:sz w:val="24"/>
                <w:highlight w:val="none"/>
              </w:rPr>
            </w:pPr>
            <w:r>
              <w:rPr>
                <w:rFonts w:ascii="宋体" w:hAnsi="宋体"/>
                <w:b/>
                <w:color w:val="auto"/>
                <w:sz w:val="24"/>
                <w:highlight w:val="none"/>
              </w:rPr>
              <w:t>磋商报价</w:t>
            </w:r>
          </w:p>
        </w:tc>
      </w:tr>
      <w:tr w14:paraId="109C0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70" w:type="dxa"/>
            <w:vMerge w:val="restart"/>
            <w:tcBorders>
              <w:top w:val="single" w:color="auto" w:sz="6" w:space="0"/>
              <w:left w:val="single" w:color="auto" w:sz="4" w:space="0"/>
              <w:bottom w:val="single" w:color="auto" w:sz="6" w:space="0"/>
              <w:right w:val="single" w:color="auto" w:sz="4" w:space="0"/>
            </w:tcBorders>
            <w:noWrap w:val="0"/>
            <w:vAlign w:val="center"/>
          </w:tcPr>
          <w:p w14:paraId="362DA501">
            <w:pPr>
              <w:shd w:val="clear"/>
              <w:spacing w:line="360" w:lineRule="auto"/>
              <w:jc w:val="center"/>
              <w:rPr>
                <w:rFonts w:hint="eastAsia" w:ascii="宋体" w:eastAsia="宋体"/>
                <w:color w:val="auto"/>
                <w:sz w:val="24"/>
                <w:highlight w:val="none"/>
                <w:lang w:val="en" w:eastAsia="zh-CN"/>
              </w:rPr>
            </w:pPr>
            <w:r>
              <w:rPr>
                <w:rFonts w:hint="eastAsia" w:ascii="宋体" w:hAnsi="宋体" w:cs="宋体"/>
                <w:color w:val="auto"/>
                <w:sz w:val="24"/>
                <w:highlight w:val="none"/>
                <w:lang w:val="en" w:eastAsia="zh-CN"/>
              </w:rPr>
              <w:t>衢州科技大市场运营服务</w:t>
            </w:r>
          </w:p>
        </w:tc>
        <w:tc>
          <w:tcPr>
            <w:tcW w:w="2017" w:type="dxa"/>
            <w:vMerge w:val="restart"/>
            <w:tcBorders>
              <w:top w:val="single" w:color="auto" w:sz="6" w:space="0"/>
              <w:left w:val="single" w:color="auto" w:sz="4" w:space="0"/>
              <w:bottom w:val="single" w:color="auto" w:sz="6" w:space="0"/>
              <w:right w:val="single" w:color="auto" w:sz="6" w:space="0"/>
            </w:tcBorders>
            <w:noWrap w:val="0"/>
            <w:vAlign w:val="center"/>
          </w:tcPr>
          <w:p w14:paraId="5EE97D01">
            <w:pPr>
              <w:shd w:val="clear"/>
              <w:spacing w:line="360" w:lineRule="auto"/>
              <w:jc w:val="center"/>
              <w:rPr>
                <w:rFonts w:hint="eastAsia" w:ascii="宋体" w:eastAsia="宋体"/>
                <w:color w:val="auto"/>
                <w:sz w:val="24"/>
                <w:highlight w:val="none"/>
                <w:lang w:eastAsia="zh-CN"/>
              </w:rPr>
            </w:pPr>
            <w:r>
              <w:rPr>
                <w:rFonts w:hint="eastAsia" w:ascii="宋体" w:hAnsi="宋体" w:cs="宋体"/>
                <w:color w:val="auto"/>
                <w:sz w:val="24"/>
                <w:highlight w:val="none"/>
                <w:lang w:eastAsia="zh-CN"/>
              </w:rPr>
              <w:t>ZZCG2026012</w:t>
            </w:r>
          </w:p>
        </w:tc>
        <w:tc>
          <w:tcPr>
            <w:tcW w:w="3455" w:type="dxa"/>
            <w:tcBorders>
              <w:top w:val="single" w:color="auto" w:sz="6" w:space="0"/>
              <w:left w:val="single" w:color="auto" w:sz="6" w:space="0"/>
              <w:bottom w:val="single" w:color="auto" w:sz="6" w:space="0"/>
              <w:right w:val="single" w:color="auto" w:sz="4" w:space="0"/>
            </w:tcBorders>
            <w:noWrap w:val="0"/>
            <w:vAlign w:val="center"/>
          </w:tcPr>
          <w:p w14:paraId="263F1BDF">
            <w:pPr>
              <w:shd w:val="clear"/>
              <w:spacing w:line="360" w:lineRule="auto"/>
              <w:rPr>
                <w:rFonts w:ascii="宋体"/>
                <w:color w:val="auto"/>
                <w:sz w:val="24"/>
                <w:highlight w:val="none"/>
              </w:rPr>
            </w:pPr>
            <w:r>
              <w:rPr>
                <w:rFonts w:ascii="宋体" w:hAnsi="宋体"/>
                <w:color w:val="auto"/>
                <w:sz w:val="24"/>
                <w:highlight w:val="none"/>
              </w:rPr>
              <w:t>（小写）</w:t>
            </w:r>
          </w:p>
        </w:tc>
      </w:tr>
      <w:tr w14:paraId="63889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70" w:type="dxa"/>
            <w:vMerge w:val="continue"/>
            <w:tcBorders>
              <w:top w:val="single" w:color="auto" w:sz="6" w:space="0"/>
              <w:left w:val="single" w:color="auto" w:sz="4" w:space="0"/>
              <w:bottom w:val="single" w:color="auto" w:sz="6" w:space="0"/>
              <w:right w:val="single" w:color="auto" w:sz="4" w:space="0"/>
            </w:tcBorders>
            <w:noWrap w:val="0"/>
            <w:vAlign w:val="center"/>
          </w:tcPr>
          <w:p w14:paraId="6739A81C">
            <w:pPr>
              <w:shd w:val="clear"/>
              <w:spacing w:line="360" w:lineRule="auto"/>
              <w:jc w:val="center"/>
              <w:rPr>
                <w:rFonts w:ascii="宋体"/>
                <w:color w:val="auto"/>
                <w:sz w:val="24"/>
                <w:highlight w:val="none"/>
              </w:rPr>
            </w:pPr>
          </w:p>
        </w:tc>
        <w:tc>
          <w:tcPr>
            <w:tcW w:w="2017" w:type="dxa"/>
            <w:vMerge w:val="continue"/>
            <w:tcBorders>
              <w:top w:val="single" w:color="auto" w:sz="6" w:space="0"/>
              <w:left w:val="single" w:color="auto" w:sz="4" w:space="0"/>
              <w:bottom w:val="single" w:color="auto" w:sz="6" w:space="0"/>
              <w:right w:val="single" w:color="auto" w:sz="6" w:space="0"/>
            </w:tcBorders>
            <w:noWrap w:val="0"/>
            <w:vAlign w:val="center"/>
          </w:tcPr>
          <w:p w14:paraId="5BD3E485">
            <w:pPr>
              <w:shd w:val="clear"/>
              <w:spacing w:line="360" w:lineRule="auto"/>
              <w:jc w:val="center"/>
              <w:rPr>
                <w:rFonts w:ascii="宋体"/>
                <w:color w:val="auto"/>
                <w:sz w:val="24"/>
                <w:highlight w:val="none"/>
              </w:rPr>
            </w:pPr>
          </w:p>
        </w:tc>
        <w:tc>
          <w:tcPr>
            <w:tcW w:w="3455" w:type="dxa"/>
            <w:tcBorders>
              <w:top w:val="single" w:color="auto" w:sz="6" w:space="0"/>
              <w:left w:val="single" w:color="auto" w:sz="6" w:space="0"/>
              <w:bottom w:val="single" w:color="auto" w:sz="6" w:space="0"/>
              <w:right w:val="single" w:color="auto" w:sz="4" w:space="0"/>
            </w:tcBorders>
            <w:noWrap w:val="0"/>
            <w:vAlign w:val="center"/>
          </w:tcPr>
          <w:p w14:paraId="4D09DFCB">
            <w:pPr>
              <w:shd w:val="clear"/>
              <w:spacing w:line="360" w:lineRule="auto"/>
              <w:rPr>
                <w:rFonts w:ascii="宋体"/>
                <w:color w:val="auto"/>
                <w:sz w:val="24"/>
                <w:highlight w:val="none"/>
              </w:rPr>
            </w:pPr>
            <w:r>
              <w:rPr>
                <w:rFonts w:ascii="宋体" w:hAnsi="宋体"/>
                <w:color w:val="auto"/>
                <w:sz w:val="24"/>
                <w:highlight w:val="none"/>
              </w:rPr>
              <w:t>（大写）</w:t>
            </w:r>
          </w:p>
        </w:tc>
      </w:tr>
      <w:tr w14:paraId="0D3D4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9242" w:type="dxa"/>
            <w:gridSpan w:val="3"/>
            <w:tcBorders>
              <w:top w:val="single" w:color="auto" w:sz="6" w:space="0"/>
              <w:left w:val="single" w:color="auto" w:sz="4" w:space="0"/>
              <w:bottom w:val="single" w:color="auto" w:sz="4" w:space="0"/>
              <w:right w:val="single" w:color="auto" w:sz="4" w:space="0"/>
            </w:tcBorders>
            <w:noWrap w:val="0"/>
            <w:vAlign w:val="center"/>
          </w:tcPr>
          <w:p w14:paraId="478734DB">
            <w:pPr>
              <w:shd w:val="clear"/>
              <w:spacing w:line="360" w:lineRule="auto"/>
              <w:rPr>
                <w:rFonts w:ascii="宋体"/>
                <w:color w:val="auto"/>
                <w:sz w:val="24"/>
                <w:highlight w:val="none"/>
              </w:rPr>
            </w:pPr>
            <w:r>
              <w:rPr>
                <w:rFonts w:ascii="宋体" w:hAnsi="宋体"/>
                <w:color w:val="auto"/>
                <w:sz w:val="24"/>
                <w:highlight w:val="none"/>
              </w:rPr>
              <w:t>本报价已包含采购文件“第二部分 磋商响应供应商须知 \三、磋商响应文件</w:t>
            </w:r>
            <w:r>
              <w:rPr>
                <w:rFonts w:ascii="宋体"/>
                <w:color w:val="auto"/>
                <w:sz w:val="24"/>
                <w:highlight w:val="none"/>
              </w:rPr>
              <w:t>\</w:t>
            </w:r>
            <w:r>
              <w:rPr>
                <w:rFonts w:ascii="宋体" w:hAnsi="宋体"/>
                <w:color w:val="auto"/>
                <w:sz w:val="24"/>
                <w:highlight w:val="none"/>
              </w:rPr>
              <w:t>（三）磋商响应报价”要求的全部内容。</w:t>
            </w:r>
          </w:p>
        </w:tc>
      </w:tr>
    </w:tbl>
    <w:p w14:paraId="0EF8EE81">
      <w:pPr>
        <w:shd w:val="clear"/>
        <w:spacing w:line="360" w:lineRule="auto"/>
        <w:rPr>
          <w:rFonts w:ascii="宋体" w:hAnsi="宋体" w:cs="宋体"/>
          <w:color w:val="auto"/>
          <w:sz w:val="24"/>
          <w:highlight w:val="none"/>
        </w:rPr>
      </w:pPr>
      <w:r>
        <w:rPr>
          <w:rFonts w:ascii="宋体" w:hAnsi="宋体" w:cs="宋体"/>
          <w:color w:val="auto"/>
          <w:sz w:val="24"/>
          <w:highlight w:val="none"/>
        </w:rPr>
        <w:t>注：1、供应商需按本表格式填写，不得自行更改。</w:t>
      </w:r>
    </w:p>
    <w:p w14:paraId="60987479">
      <w:pPr>
        <w:shd w:val="clear"/>
        <w:adjustRightInd w:val="0"/>
        <w:snapToGrid w:val="0"/>
        <w:spacing w:line="360" w:lineRule="auto"/>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w:t>
      </w:r>
      <w:r>
        <w:rPr>
          <w:rFonts w:ascii="宋体" w:hAnsi="宋体" w:cs="宋体"/>
          <w:color w:val="auto"/>
          <w:kern w:val="0"/>
          <w:sz w:val="24"/>
          <w:highlight w:val="none"/>
          <w:lang w:val="zh-CN"/>
        </w:rPr>
        <w:t>本响应文件及其所附文件涵盖了我方要约的全部内容。</w:t>
      </w:r>
    </w:p>
    <w:p w14:paraId="440F466D">
      <w:pPr>
        <w:shd w:val="clear"/>
        <w:adjustRightInd w:val="0"/>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zh-CN"/>
        </w:rPr>
        <w:t>（1）</w:t>
      </w:r>
      <w:r>
        <w:rPr>
          <w:rFonts w:ascii="宋体" w:hAnsi="宋体" w:cs="宋体"/>
          <w:color w:val="auto"/>
          <w:kern w:val="0"/>
          <w:sz w:val="24"/>
          <w:highlight w:val="none"/>
          <w:lang w:val="zh-CN"/>
        </w:rPr>
        <w:t>我方要约有效期为自磋商响应截止日起90天；</w:t>
      </w:r>
    </w:p>
    <w:p w14:paraId="0523E492">
      <w:pPr>
        <w:shd w:val="clear"/>
        <w:adjustRightInd w:val="0"/>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zh-CN"/>
        </w:rPr>
        <w:t>（2）</w:t>
      </w:r>
      <w:r>
        <w:rPr>
          <w:rFonts w:ascii="宋体" w:hAnsi="宋体" w:cs="宋体"/>
          <w:color w:val="auto"/>
          <w:kern w:val="0"/>
          <w:sz w:val="24"/>
          <w:highlight w:val="none"/>
          <w:lang w:val="zh-CN"/>
        </w:rPr>
        <w:t>在磋商有效标期内，我方受响应文件之价目表上我方要约金额的约束。</w:t>
      </w:r>
    </w:p>
    <w:p w14:paraId="468DBF9E">
      <w:pPr>
        <w:shd w:val="clear"/>
        <w:adjustRightInd w:val="0"/>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zh-CN"/>
        </w:rPr>
        <w:t>3.</w:t>
      </w:r>
      <w:r>
        <w:rPr>
          <w:rFonts w:ascii="宋体" w:hAnsi="宋体" w:cs="宋体"/>
          <w:color w:val="auto"/>
          <w:kern w:val="0"/>
          <w:sz w:val="24"/>
          <w:highlight w:val="none"/>
          <w:lang w:val="zh-CN"/>
        </w:rPr>
        <w:t>本响应文件，你方之接受函，对我们双方均具约束力。</w:t>
      </w:r>
    </w:p>
    <w:p w14:paraId="19F7A88F">
      <w:pPr>
        <w:shd w:val="clear"/>
        <w:adjustRightInd w:val="0"/>
        <w:snapToGrid w:val="0"/>
        <w:spacing w:line="360" w:lineRule="auto"/>
        <w:ind w:left="719" w:hanging="24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w:t>
      </w:r>
      <w:r>
        <w:rPr>
          <w:rFonts w:ascii="宋体" w:hAnsi="宋体" w:cs="宋体"/>
          <w:color w:val="auto"/>
          <w:kern w:val="0"/>
          <w:sz w:val="24"/>
          <w:highlight w:val="none"/>
          <w:lang w:val="zh-CN"/>
        </w:rPr>
        <w:t>另外，我方承诺还将就你方所要求的进一步信息提供给你方。</w:t>
      </w:r>
    </w:p>
    <w:p w14:paraId="42270DAB">
      <w:pPr>
        <w:shd w:val="clear"/>
        <w:adjustRightInd w:val="0"/>
        <w:snapToGrid w:val="0"/>
        <w:spacing w:line="360" w:lineRule="auto"/>
        <w:ind w:firstLine="480" w:firstLineChars="200"/>
        <w:rPr>
          <w:rFonts w:ascii="宋体" w:hAnsi="宋体" w:cs="宋体"/>
          <w:color w:val="auto"/>
          <w:kern w:val="0"/>
          <w:sz w:val="24"/>
          <w:highlight w:val="none"/>
          <w:lang w:val="zh-CN"/>
        </w:rPr>
      </w:pPr>
    </w:p>
    <w:p w14:paraId="7413042A">
      <w:pPr>
        <w:shd w:val="clear"/>
        <w:adjustRightInd w:val="0"/>
        <w:snapToGrid w:val="0"/>
        <w:spacing w:line="360" w:lineRule="auto"/>
        <w:rPr>
          <w:rFonts w:ascii="宋体" w:hAnsi="宋体" w:cs="宋体"/>
          <w:color w:val="auto"/>
          <w:kern w:val="0"/>
          <w:sz w:val="24"/>
          <w:highlight w:val="none"/>
          <w:lang w:val="zh-CN"/>
        </w:rPr>
      </w:pPr>
    </w:p>
    <w:p w14:paraId="1643FDA6">
      <w:pPr>
        <w:shd w:val="clear"/>
        <w:adjustRightInd w:val="0"/>
        <w:snapToGrid w:val="0"/>
        <w:spacing w:line="360" w:lineRule="auto"/>
        <w:ind w:firstLine="480" w:firstLineChars="200"/>
        <w:rPr>
          <w:rFonts w:ascii="宋体" w:hAnsi="宋体" w:cs="宋体"/>
          <w:color w:val="auto"/>
          <w:kern w:val="0"/>
          <w:sz w:val="24"/>
          <w:highlight w:val="none"/>
          <w:lang w:val="zh-CN"/>
        </w:rPr>
      </w:pPr>
    </w:p>
    <w:p w14:paraId="54DFF704">
      <w:pPr>
        <w:shd w:val="clear"/>
        <w:adjustRightInd w:val="0"/>
        <w:snapToGrid w:val="0"/>
        <w:spacing w:line="360" w:lineRule="auto"/>
        <w:ind w:firstLine="480" w:firstLineChars="200"/>
        <w:rPr>
          <w:rFonts w:ascii="宋体" w:hAnsi="宋体" w:cs="宋体"/>
          <w:color w:val="auto"/>
          <w:kern w:val="0"/>
          <w:sz w:val="24"/>
          <w:highlight w:val="none"/>
          <w:lang w:val="zh-CN"/>
        </w:rPr>
      </w:pPr>
    </w:p>
    <w:p w14:paraId="59062A7A">
      <w:pPr>
        <w:shd w:val="clear"/>
        <w:adjustRightInd w:val="0"/>
        <w:snapToGrid w:val="0"/>
        <w:spacing w:line="360" w:lineRule="auto"/>
        <w:ind w:firstLine="480" w:firstLineChars="200"/>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磋商响应供应商：</w:t>
      </w:r>
      <w:r>
        <w:rPr>
          <w:rFonts w:ascii="宋体" w:hAnsi="宋体" w:cs="宋体"/>
          <w:color w:val="auto"/>
          <w:kern w:val="0"/>
          <w:sz w:val="24"/>
          <w:highlight w:val="none"/>
          <w:u w:val="single"/>
          <w:lang w:val="zh-CN"/>
        </w:rPr>
        <w:t>（全称加盖公章）</w:t>
      </w:r>
    </w:p>
    <w:p w14:paraId="13933C71">
      <w:pPr>
        <w:shd w:val="clear"/>
        <w:adjustRightInd w:val="0"/>
        <w:snapToGrid w:val="0"/>
        <w:spacing w:line="360" w:lineRule="auto"/>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u w:val="single"/>
        </w:rPr>
        <w:tab/>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ascii="宋体" w:hAnsi="宋体" w:cs="宋体"/>
          <w:color w:val="auto"/>
          <w:kern w:val="0"/>
          <w:sz w:val="24"/>
          <w:highlight w:val="none"/>
          <w:lang w:val="zh-CN"/>
        </w:rPr>
        <w:t>月</w:t>
      </w:r>
      <w:r>
        <w:rPr>
          <w:rFonts w:ascii="宋体" w:hAnsi="宋体" w:cs="宋体"/>
          <w:color w:val="auto"/>
          <w:kern w:val="0"/>
          <w:sz w:val="24"/>
          <w:highlight w:val="none"/>
          <w:u w:val="single"/>
        </w:rPr>
        <w:tab/>
      </w:r>
      <w:r>
        <w:rPr>
          <w:rFonts w:ascii="宋体" w:hAnsi="宋体" w:cs="宋体"/>
          <w:color w:val="auto"/>
          <w:kern w:val="0"/>
          <w:sz w:val="24"/>
          <w:highlight w:val="none"/>
          <w:lang w:val="zh-CN"/>
        </w:rPr>
        <w:t>日</w:t>
      </w:r>
    </w:p>
    <w:p w14:paraId="16985747">
      <w:pPr>
        <w:shd w:val="clear"/>
        <w:adjustRightInd w:val="0"/>
        <w:snapToGrid w:val="0"/>
        <w:spacing w:line="360" w:lineRule="auto"/>
        <w:ind w:firstLine="480" w:firstLineChars="200"/>
        <w:rPr>
          <w:rFonts w:ascii="宋体" w:hAnsi="宋体" w:cs="宋体"/>
          <w:color w:val="auto"/>
          <w:kern w:val="0"/>
          <w:sz w:val="24"/>
          <w:highlight w:val="none"/>
          <w:lang w:val="zh-CN"/>
        </w:rPr>
      </w:pPr>
    </w:p>
    <w:p w14:paraId="2F25FF2D">
      <w:pPr>
        <w:shd w:val="clear"/>
        <w:adjustRightInd w:val="0"/>
        <w:snapToGrid w:val="0"/>
        <w:spacing w:line="360" w:lineRule="auto"/>
        <w:ind w:firstLine="480" w:firstLineChars="200"/>
        <w:rPr>
          <w:rFonts w:ascii="宋体" w:hAnsi="宋体" w:cs="宋体"/>
          <w:color w:val="auto"/>
          <w:kern w:val="0"/>
          <w:sz w:val="24"/>
          <w:highlight w:val="none"/>
          <w:lang w:val="zh-CN"/>
        </w:rPr>
      </w:pPr>
    </w:p>
    <w:p w14:paraId="05B79D15">
      <w:pPr>
        <w:pStyle w:val="22"/>
        <w:shd w:val="clear"/>
        <w:adjustRightInd w:val="0"/>
        <w:snapToGrid w:val="0"/>
        <w:spacing w:line="360" w:lineRule="auto"/>
        <w:jc w:val="center"/>
        <w:outlineLvl w:val="1"/>
        <w:rPr>
          <w:rFonts w:hAnsi="宋体" w:cs="宋体"/>
          <w:b/>
          <w:bCs/>
          <w:color w:val="auto"/>
          <w:sz w:val="28"/>
          <w:szCs w:val="28"/>
          <w:highlight w:val="none"/>
        </w:rPr>
      </w:pPr>
      <w:bookmarkStart w:id="278" w:name="_Toc496011213"/>
      <w:bookmarkStart w:id="279" w:name="_Toc19518"/>
      <w:bookmarkStart w:id="280" w:name="_Toc6494395"/>
    </w:p>
    <w:p w14:paraId="31AF9140">
      <w:pPr>
        <w:pStyle w:val="22"/>
        <w:shd w:val="clear"/>
        <w:adjustRightInd w:val="0"/>
        <w:snapToGrid w:val="0"/>
        <w:spacing w:line="360" w:lineRule="auto"/>
        <w:jc w:val="center"/>
        <w:outlineLvl w:val="1"/>
        <w:rPr>
          <w:rFonts w:hAnsi="宋体" w:cs="宋体"/>
          <w:b/>
          <w:bCs/>
          <w:color w:val="auto"/>
          <w:sz w:val="28"/>
          <w:szCs w:val="28"/>
          <w:highlight w:val="none"/>
        </w:rPr>
      </w:pPr>
    </w:p>
    <w:p w14:paraId="3955B790">
      <w:pPr>
        <w:pStyle w:val="22"/>
        <w:shd w:val="clear"/>
        <w:adjustRightInd w:val="0"/>
        <w:snapToGrid w:val="0"/>
        <w:spacing w:line="360" w:lineRule="auto"/>
        <w:jc w:val="center"/>
        <w:outlineLvl w:val="1"/>
        <w:rPr>
          <w:rFonts w:hAnsi="宋体" w:cs="宋体"/>
          <w:b/>
          <w:color w:val="auto"/>
          <w:sz w:val="28"/>
          <w:szCs w:val="28"/>
          <w:highlight w:val="none"/>
        </w:rPr>
      </w:pPr>
      <w:bookmarkStart w:id="281" w:name="_Toc19367"/>
      <w:bookmarkStart w:id="282" w:name="_Toc31014"/>
      <w:bookmarkStart w:id="283" w:name="_Toc20853"/>
      <w:bookmarkStart w:id="284" w:name="_Toc27412"/>
      <w:r>
        <w:rPr>
          <w:rFonts w:hAnsi="宋体" w:cs="宋体"/>
          <w:b/>
          <w:bCs/>
          <w:color w:val="auto"/>
          <w:sz w:val="28"/>
          <w:szCs w:val="28"/>
          <w:highlight w:val="none"/>
        </w:rPr>
        <w:t>格式</w:t>
      </w:r>
      <w:r>
        <w:rPr>
          <w:rFonts w:hint="eastAsia" w:hAnsi="宋体" w:cs="宋体"/>
          <w:b/>
          <w:bCs/>
          <w:color w:val="auto"/>
          <w:sz w:val="28"/>
          <w:szCs w:val="28"/>
          <w:highlight w:val="none"/>
          <w:lang w:val="en-US" w:eastAsia="zh-CN"/>
        </w:rPr>
        <w:t>九</w:t>
      </w:r>
      <w:r>
        <w:rPr>
          <w:rFonts w:hAnsi="宋体" w:cs="宋体"/>
          <w:b/>
          <w:bCs/>
          <w:color w:val="auto"/>
          <w:sz w:val="28"/>
          <w:szCs w:val="28"/>
          <w:highlight w:val="none"/>
        </w:rPr>
        <w:t>：</w:t>
      </w:r>
      <w:bookmarkEnd w:id="278"/>
      <w:bookmarkEnd w:id="279"/>
      <w:bookmarkEnd w:id="280"/>
      <w:r>
        <w:rPr>
          <w:rFonts w:hAnsi="宋体"/>
          <w:b/>
          <w:bCs/>
          <w:color w:val="auto"/>
          <w:kern w:val="0"/>
          <w:sz w:val="28"/>
          <w:szCs w:val="28"/>
          <w:highlight w:val="none"/>
        </w:rPr>
        <w:t>初次报价明细表</w:t>
      </w:r>
      <w:bookmarkEnd w:id="281"/>
      <w:bookmarkEnd w:id="282"/>
      <w:bookmarkEnd w:id="283"/>
      <w:bookmarkEnd w:id="284"/>
    </w:p>
    <w:p w14:paraId="5D53BB77">
      <w:pPr>
        <w:shd w:val="clear"/>
        <w:adjustRightInd w:val="0"/>
        <w:snapToGrid w:val="0"/>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项目名称：                                  项目编号：</w:t>
      </w:r>
    </w:p>
    <w:p w14:paraId="668B77E6">
      <w:pPr>
        <w:shd w:val="clear"/>
        <w:adjustRightInd w:val="0"/>
        <w:snapToGrid w:val="0"/>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                                            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602"/>
        <w:gridCol w:w="1418"/>
        <w:gridCol w:w="1134"/>
        <w:gridCol w:w="992"/>
        <w:gridCol w:w="119"/>
        <w:gridCol w:w="873"/>
        <w:gridCol w:w="992"/>
        <w:gridCol w:w="980"/>
      </w:tblGrid>
      <w:tr w14:paraId="1E820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tblHeader/>
          <w:jc w:val="center"/>
        </w:trPr>
        <w:tc>
          <w:tcPr>
            <w:tcW w:w="701" w:type="dxa"/>
            <w:tcBorders>
              <w:top w:val="single" w:color="auto" w:sz="4" w:space="0"/>
              <w:left w:val="single" w:color="auto" w:sz="4" w:space="0"/>
              <w:bottom w:val="single" w:color="auto" w:sz="6" w:space="0"/>
              <w:right w:val="single" w:color="auto" w:sz="6" w:space="0"/>
            </w:tcBorders>
            <w:noWrap w:val="0"/>
            <w:vAlign w:val="center"/>
          </w:tcPr>
          <w:p w14:paraId="2A47CB4F">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序号</w:t>
            </w:r>
          </w:p>
        </w:tc>
        <w:tc>
          <w:tcPr>
            <w:tcW w:w="1602" w:type="dxa"/>
            <w:tcBorders>
              <w:top w:val="single" w:color="auto" w:sz="4" w:space="0"/>
              <w:left w:val="single" w:color="auto" w:sz="6" w:space="0"/>
              <w:bottom w:val="single" w:color="auto" w:sz="6" w:space="0"/>
              <w:right w:val="single" w:color="auto" w:sz="6" w:space="0"/>
            </w:tcBorders>
            <w:noWrap w:val="0"/>
            <w:vAlign w:val="center"/>
          </w:tcPr>
          <w:p w14:paraId="456AB808">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服务名称</w:t>
            </w:r>
          </w:p>
        </w:tc>
        <w:tc>
          <w:tcPr>
            <w:tcW w:w="1418" w:type="dxa"/>
            <w:tcBorders>
              <w:top w:val="single" w:color="auto" w:sz="4" w:space="0"/>
              <w:left w:val="single" w:color="auto" w:sz="6" w:space="0"/>
              <w:bottom w:val="single" w:color="auto" w:sz="6" w:space="0"/>
              <w:right w:val="single" w:color="auto" w:sz="6" w:space="0"/>
            </w:tcBorders>
            <w:noWrap w:val="0"/>
            <w:vAlign w:val="center"/>
          </w:tcPr>
          <w:p w14:paraId="558DBDE9">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内容描述</w:t>
            </w:r>
          </w:p>
        </w:tc>
        <w:tc>
          <w:tcPr>
            <w:tcW w:w="1134" w:type="dxa"/>
            <w:tcBorders>
              <w:top w:val="single" w:color="auto" w:sz="4" w:space="0"/>
              <w:left w:val="single" w:color="auto" w:sz="6" w:space="0"/>
              <w:bottom w:val="single" w:color="auto" w:sz="6" w:space="0"/>
              <w:right w:val="single" w:color="auto" w:sz="4" w:space="0"/>
            </w:tcBorders>
            <w:noWrap w:val="0"/>
            <w:vAlign w:val="center"/>
          </w:tcPr>
          <w:p w14:paraId="733E9189">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数量</w:t>
            </w:r>
          </w:p>
        </w:tc>
        <w:tc>
          <w:tcPr>
            <w:tcW w:w="992" w:type="dxa"/>
            <w:tcBorders>
              <w:top w:val="single" w:color="auto" w:sz="4" w:space="0"/>
              <w:left w:val="single" w:color="auto" w:sz="4" w:space="0"/>
              <w:bottom w:val="single" w:color="auto" w:sz="6" w:space="0"/>
              <w:right w:val="single" w:color="auto" w:sz="4" w:space="0"/>
            </w:tcBorders>
            <w:noWrap w:val="0"/>
            <w:vAlign w:val="center"/>
          </w:tcPr>
          <w:p w14:paraId="1E9D6529">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单位</w:t>
            </w:r>
          </w:p>
        </w:tc>
        <w:tc>
          <w:tcPr>
            <w:tcW w:w="992" w:type="dxa"/>
            <w:gridSpan w:val="2"/>
            <w:tcBorders>
              <w:top w:val="single" w:color="auto" w:sz="4" w:space="0"/>
              <w:left w:val="single" w:color="auto" w:sz="4" w:space="0"/>
              <w:bottom w:val="single" w:color="auto" w:sz="6" w:space="0"/>
              <w:right w:val="single" w:color="auto" w:sz="4" w:space="0"/>
            </w:tcBorders>
            <w:noWrap w:val="0"/>
            <w:vAlign w:val="center"/>
          </w:tcPr>
          <w:p w14:paraId="39A02354">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单价</w:t>
            </w:r>
          </w:p>
        </w:tc>
        <w:tc>
          <w:tcPr>
            <w:tcW w:w="992" w:type="dxa"/>
            <w:tcBorders>
              <w:top w:val="single" w:color="auto" w:sz="4" w:space="0"/>
              <w:left w:val="single" w:color="auto" w:sz="4" w:space="0"/>
              <w:bottom w:val="single" w:color="auto" w:sz="6" w:space="0"/>
              <w:right w:val="single" w:color="auto" w:sz="6" w:space="0"/>
            </w:tcBorders>
            <w:noWrap w:val="0"/>
            <w:vAlign w:val="center"/>
          </w:tcPr>
          <w:p w14:paraId="0FE079D6">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小计</w:t>
            </w:r>
          </w:p>
        </w:tc>
        <w:tc>
          <w:tcPr>
            <w:tcW w:w="980" w:type="dxa"/>
            <w:tcBorders>
              <w:top w:val="single" w:color="auto" w:sz="4" w:space="0"/>
              <w:left w:val="single" w:color="auto" w:sz="6" w:space="0"/>
              <w:bottom w:val="single" w:color="auto" w:sz="6" w:space="0"/>
              <w:right w:val="single" w:color="auto" w:sz="4" w:space="0"/>
            </w:tcBorders>
            <w:noWrap w:val="0"/>
            <w:vAlign w:val="center"/>
          </w:tcPr>
          <w:p w14:paraId="186A69BF">
            <w:pPr>
              <w:shd w:val="clear"/>
              <w:spacing w:line="360" w:lineRule="auto"/>
              <w:jc w:val="center"/>
              <w:rPr>
                <w:rFonts w:ascii="宋体" w:hAnsi="宋体" w:cs="宋体"/>
                <w:b/>
                <w:color w:val="auto"/>
                <w:sz w:val="24"/>
                <w:szCs w:val="24"/>
                <w:highlight w:val="none"/>
              </w:rPr>
            </w:pPr>
            <w:r>
              <w:rPr>
                <w:rFonts w:ascii="宋体" w:hAnsi="宋体" w:cs="宋体"/>
                <w:b/>
                <w:color w:val="auto"/>
                <w:sz w:val="24"/>
                <w:szCs w:val="24"/>
                <w:highlight w:val="none"/>
              </w:rPr>
              <w:t>备注</w:t>
            </w:r>
          </w:p>
        </w:tc>
      </w:tr>
      <w:tr w14:paraId="49EA9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6" w:space="0"/>
              <w:right w:val="single" w:color="auto" w:sz="6" w:space="0"/>
            </w:tcBorders>
            <w:noWrap w:val="0"/>
            <w:vAlign w:val="center"/>
          </w:tcPr>
          <w:p w14:paraId="7904A306">
            <w:pPr>
              <w:shd w:val="clear"/>
              <w:spacing w:line="360" w:lineRule="auto"/>
              <w:jc w:val="center"/>
              <w:rPr>
                <w:rFonts w:ascii="宋体" w:hAnsi="宋体" w:cs="宋体"/>
                <w:color w:val="auto"/>
                <w:sz w:val="24"/>
                <w:szCs w:val="24"/>
                <w:highlight w:val="none"/>
              </w:rPr>
            </w:pPr>
          </w:p>
        </w:tc>
        <w:tc>
          <w:tcPr>
            <w:tcW w:w="1602" w:type="dxa"/>
            <w:tcBorders>
              <w:top w:val="single" w:color="auto" w:sz="4" w:space="0"/>
              <w:left w:val="single" w:color="auto" w:sz="6" w:space="0"/>
              <w:bottom w:val="single" w:color="auto" w:sz="6" w:space="0"/>
              <w:right w:val="single" w:color="auto" w:sz="6" w:space="0"/>
            </w:tcBorders>
            <w:noWrap w:val="0"/>
            <w:vAlign w:val="center"/>
          </w:tcPr>
          <w:p w14:paraId="18DA2E7E">
            <w:pPr>
              <w:shd w:val="clear"/>
              <w:spacing w:line="360" w:lineRule="auto"/>
              <w:rPr>
                <w:rFonts w:ascii="宋体" w:hAnsi="宋体" w:cs="宋体"/>
                <w:color w:val="auto"/>
                <w:sz w:val="24"/>
                <w:szCs w:val="24"/>
                <w:highlight w:val="none"/>
              </w:rPr>
            </w:pPr>
          </w:p>
        </w:tc>
        <w:tc>
          <w:tcPr>
            <w:tcW w:w="1418" w:type="dxa"/>
            <w:tcBorders>
              <w:top w:val="single" w:color="auto" w:sz="4" w:space="0"/>
              <w:left w:val="single" w:color="auto" w:sz="6" w:space="0"/>
              <w:bottom w:val="single" w:color="auto" w:sz="4" w:space="0"/>
              <w:right w:val="single" w:color="auto" w:sz="4" w:space="0"/>
            </w:tcBorders>
            <w:noWrap w:val="0"/>
            <w:vAlign w:val="center"/>
          </w:tcPr>
          <w:p w14:paraId="5C8A3078">
            <w:pPr>
              <w:shd w:val="clear"/>
              <w:spacing w:line="360" w:lineRule="auto"/>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684E6F">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102EF0">
            <w:pPr>
              <w:shd w:val="clear"/>
              <w:spacing w:line="360" w:lineRule="auto"/>
              <w:jc w:val="center"/>
              <w:rPr>
                <w:rFonts w:ascii="宋体" w:hAnsi="宋体" w:cs="宋体"/>
                <w:color w:val="auto"/>
                <w:sz w:val="24"/>
                <w:szCs w:val="24"/>
                <w:highlight w:val="none"/>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320194D">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6" w:space="0"/>
            </w:tcBorders>
            <w:noWrap w:val="0"/>
            <w:vAlign w:val="center"/>
          </w:tcPr>
          <w:p w14:paraId="2058994C">
            <w:pPr>
              <w:shd w:val="clear"/>
              <w:spacing w:line="360" w:lineRule="auto"/>
              <w:jc w:val="center"/>
              <w:rPr>
                <w:rFonts w:ascii="宋体" w:hAnsi="宋体" w:cs="宋体"/>
                <w:color w:val="auto"/>
                <w:sz w:val="24"/>
                <w:szCs w:val="24"/>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43F04ADB">
            <w:pPr>
              <w:shd w:val="clear"/>
              <w:spacing w:line="360" w:lineRule="auto"/>
              <w:jc w:val="center"/>
              <w:rPr>
                <w:rFonts w:ascii="宋体" w:hAnsi="宋体" w:cs="宋体"/>
                <w:color w:val="auto"/>
                <w:sz w:val="24"/>
                <w:szCs w:val="24"/>
                <w:highlight w:val="none"/>
              </w:rPr>
            </w:pPr>
          </w:p>
        </w:tc>
      </w:tr>
      <w:tr w14:paraId="2BFCA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6" w:space="0"/>
              <w:right w:val="single" w:color="auto" w:sz="6" w:space="0"/>
            </w:tcBorders>
            <w:noWrap w:val="0"/>
            <w:vAlign w:val="center"/>
          </w:tcPr>
          <w:p w14:paraId="1280C1F2">
            <w:pPr>
              <w:shd w:val="clear"/>
              <w:spacing w:line="360" w:lineRule="auto"/>
              <w:jc w:val="center"/>
              <w:rPr>
                <w:rFonts w:ascii="宋体" w:hAnsi="宋体" w:cs="宋体"/>
                <w:color w:val="auto"/>
                <w:sz w:val="24"/>
                <w:szCs w:val="24"/>
                <w:highlight w:val="none"/>
              </w:rPr>
            </w:pPr>
          </w:p>
        </w:tc>
        <w:tc>
          <w:tcPr>
            <w:tcW w:w="1602" w:type="dxa"/>
            <w:tcBorders>
              <w:top w:val="single" w:color="auto" w:sz="4" w:space="0"/>
              <w:left w:val="single" w:color="auto" w:sz="6" w:space="0"/>
              <w:bottom w:val="single" w:color="auto" w:sz="6" w:space="0"/>
              <w:right w:val="single" w:color="auto" w:sz="6" w:space="0"/>
            </w:tcBorders>
            <w:noWrap w:val="0"/>
            <w:vAlign w:val="center"/>
          </w:tcPr>
          <w:p w14:paraId="44C59211">
            <w:pPr>
              <w:shd w:val="clear"/>
              <w:spacing w:line="360" w:lineRule="auto"/>
              <w:rPr>
                <w:rFonts w:ascii="宋体" w:hAnsi="宋体" w:cs="宋体"/>
                <w:color w:val="auto"/>
                <w:sz w:val="24"/>
                <w:szCs w:val="24"/>
                <w:highlight w:val="none"/>
              </w:rPr>
            </w:pPr>
          </w:p>
        </w:tc>
        <w:tc>
          <w:tcPr>
            <w:tcW w:w="1418" w:type="dxa"/>
            <w:tcBorders>
              <w:top w:val="single" w:color="auto" w:sz="4" w:space="0"/>
              <w:left w:val="single" w:color="auto" w:sz="6" w:space="0"/>
              <w:bottom w:val="single" w:color="auto" w:sz="4" w:space="0"/>
              <w:right w:val="single" w:color="auto" w:sz="4" w:space="0"/>
            </w:tcBorders>
            <w:noWrap w:val="0"/>
            <w:vAlign w:val="center"/>
          </w:tcPr>
          <w:p w14:paraId="23B7EB5D">
            <w:pPr>
              <w:shd w:val="clear"/>
              <w:spacing w:line="360" w:lineRule="auto"/>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EA933C">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5DFE353">
            <w:pPr>
              <w:shd w:val="clear"/>
              <w:spacing w:line="360" w:lineRule="auto"/>
              <w:jc w:val="center"/>
              <w:rPr>
                <w:rFonts w:ascii="宋体" w:hAnsi="宋体" w:cs="宋体"/>
                <w:color w:val="auto"/>
                <w:sz w:val="24"/>
                <w:szCs w:val="24"/>
                <w:highlight w:val="none"/>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BEC1B8F">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6" w:space="0"/>
            </w:tcBorders>
            <w:noWrap w:val="0"/>
            <w:vAlign w:val="center"/>
          </w:tcPr>
          <w:p w14:paraId="010C99C3">
            <w:pPr>
              <w:shd w:val="clear"/>
              <w:spacing w:line="360" w:lineRule="auto"/>
              <w:jc w:val="center"/>
              <w:rPr>
                <w:rFonts w:ascii="宋体" w:hAnsi="宋体" w:cs="宋体"/>
                <w:color w:val="auto"/>
                <w:sz w:val="24"/>
                <w:szCs w:val="24"/>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247C6CFD">
            <w:pPr>
              <w:shd w:val="clear"/>
              <w:spacing w:line="360" w:lineRule="auto"/>
              <w:jc w:val="center"/>
              <w:rPr>
                <w:rFonts w:ascii="宋体" w:hAnsi="宋体" w:cs="宋体"/>
                <w:color w:val="auto"/>
                <w:sz w:val="24"/>
                <w:szCs w:val="24"/>
                <w:highlight w:val="none"/>
              </w:rPr>
            </w:pPr>
          </w:p>
        </w:tc>
      </w:tr>
      <w:tr w14:paraId="0F48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6" w:space="0"/>
              <w:right w:val="single" w:color="auto" w:sz="6" w:space="0"/>
            </w:tcBorders>
            <w:noWrap w:val="0"/>
            <w:vAlign w:val="center"/>
          </w:tcPr>
          <w:p w14:paraId="0C4F2210">
            <w:pPr>
              <w:shd w:val="clear"/>
              <w:spacing w:line="360" w:lineRule="auto"/>
              <w:jc w:val="center"/>
              <w:rPr>
                <w:rFonts w:ascii="宋体" w:hAnsi="宋体" w:cs="宋体"/>
                <w:color w:val="auto"/>
                <w:sz w:val="24"/>
                <w:szCs w:val="24"/>
                <w:highlight w:val="none"/>
              </w:rPr>
            </w:pPr>
          </w:p>
        </w:tc>
        <w:tc>
          <w:tcPr>
            <w:tcW w:w="1602" w:type="dxa"/>
            <w:tcBorders>
              <w:top w:val="single" w:color="auto" w:sz="4" w:space="0"/>
              <w:left w:val="single" w:color="auto" w:sz="6" w:space="0"/>
              <w:bottom w:val="single" w:color="auto" w:sz="6" w:space="0"/>
              <w:right w:val="single" w:color="auto" w:sz="6" w:space="0"/>
            </w:tcBorders>
            <w:noWrap w:val="0"/>
            <w:vAlign w:val="center"/>
          </w:tcPr>
          <w:p w14:paraId="1F1AFD38">
            <w:pPr>
              <w:shd w:val="clear"/>
              <w:spacing w:line="360" w:lineRule="auto"/>
              <w:rPr>
                <w:rFonts w:ascii="宋体" w:hAnsi="宋体" w:cs="宋体"/>
                <w:color w:val="auto"/>
                <w:sz w:val="24"/>
                <w:szCs w:val="24"/>
                <w:highlight w:val="none"/>
              </w:rPr>
            </w:pPr>
          </w:p>
        </w:tc>
        <w:tc>
          <w:tcPr>
            <w:tcW w:w="1418" w:type="dxa"/>
            <w:tcBorders>
              <w:top w:val="single" w:color="auto" w:sz="4" w:space="0"/>
              <w:left w:val="single" w:color="auto" w:sz="6" w:space="0"/>
              <w:bottom w:val="single" w:color="auto" w:sz="4" w:space="0"/>
              <w:right w:val="single" w:color="auto" w:sz="4" w:space="0"/>
            </w:tcBorders>
            <w:noWrap w:val="0"/>
            <w:vAlign w:val="center"/>
          </w:tcPr>
          <w:p w14:paraId="53031294">
            <w:pPr>
              <w:shd w:val="clear"/>
              <w:spacing w:line="360" w:lineRule="auto"/>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AEF9A8">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F27B20">
            <w:pPr>
              <w:shd w:val="clear"/>
              <w:spacing w:line="360" w:lineRule="auto"/>
              <w:jc w:val="center"/>
              <w:rPr>
                <w:rFonts w:ascii="宋体" w:hAnsi="宋体" w:cs="宋体"/>
                <w:color w:val="auto"/>
                <w:sz w:val="24"/>
                <w:szCs w:val="24"/>
                <w:highlight w:val="none"/>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E85A0B">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6" w:space="0"/>
            </w:tcBorders>
            <w:noWrap w:val="0"/>
            <w:vAlign w:val="center"/>
          </w:tcPr>
          <w:p w14:paraId="1656F742">
            <w:pPr>
              <w:shd w:val="clear"/>
              <w:spacing w:line="360" w:lineRule="auto"/>
              <w:jc w:val="center"/>
              <w:rPr>
                <w:rFonts w:ascii="宋体" w:hAnsi="宋体" w:cs="宋体"/>
                <w:color w:val="auto"/>
                <w:sz w:val="24"/>
                <w:szCs w:val="24"/>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694113E2">
            <w:pPr>
              <w:shd w:val="clear"/>
              <w:spacing w:line="360" w:lineRule="auto"/>
              <w:jc w:val="center"/>
              <w:rPr>
                <w:rFonts w:ascii="宋体" w:hAnsi="宋体" w:cs="宋体"/>
                <w:color w:val="auto"/>
                <w:sz w:val="24"/>
                <w:szCs w:val="24"/>
                <w:highlight w:val="none"/>
              </w:rPr>
            </w:pPr>
          </w:p>
        </w:tc>
      </w:tr>
      <w:tr w14:paraId="4FB3D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6" w:space="0"/>
              <w:right w:val="single" w:color="auto" w:sz="6" w:space="0"/>
            </w:tcBorders>
            <w:noWrap w:val="0"/>
            <w:vAlign w:val="center"/>
          </w:tcPr>
          <w:p w14:paraId="39581319">
            <w:pPr>
              <w:shd w:val="clear"/>
              <w:spacing w:line="360" w:lineRule="auto"/>
              <w:jc w:val="center"/>
              <w:rPr>
                <w:rFonts w:ascii="宋体" w:hAnsi="宋体" w:cs="宋体"/>
                <w:color w:val="auto"/>
                <w:sz w:val="24"/>
                <w:szCs w:val="24"/>
                <w:highlight w:val="none"/>
              </w:rPr>
            </w:pPr>
          </w:p>
        </w:tc>
        <w:tc>
          <w:tcPr>
            <w:tcW w:w="1602" w:type="dxa"/>
            <w:tcBorders>
              <w:top w:val="single" w:color="auto" w:sz="4" w:space="0"/>
              <w:left w:val="single" w:color="auto" w:sz="6" w:space="0"/>
              <w:bottom w:val="single" w:color="auto" w:sz="6" w:space="0"/>
              <w:right w:val="single" w:color="auto" w:sz="6" w:space="0"/>
            </w:tcBorders>
            <w:noWrap w:val="0"/>
            <w:vAlign w:val="center"/>
          </w:tcPr>
          <w:p w14:paraId="6262E30B">
            <w:pPr>
              <w:shd w:val="clea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税费</w:t>
            </w:r>
          </w:p>
        </w:tc>
        <w:tc>
          <w:tcPr>
            <w:tcW w:w="1418" w:type="dxa"/>
            <w:tcBorders>
              <w:top w:val="single" w:color="auto" w:sz="4" w:space="0"/>
              <w:left w:val="single" w:color="auto" w:sz="6" w:space="0"/>
              <w:bottom w:val="single" w:color="auto" w:sz="4" w:space="0"/>
              <w:right w:val="single" w:color="auto" w:sz="4" w:space="0"/>
            </w:tcBorders>
            <w:noWrap w:val="0"/>
            <w:vAlign w:val="center"/>
          </w:tcPr>
          <w:p w14:paraId="497F53C4">
            <w:pPr>
              <w:shd w:val="clear"/>
              <w:spacing w:line="360" w:lineRule="auto"/>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D6BB88">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E51EBAE">
            <w:pPr>
              <w:shd w:val="clear"/>
              <w:spacing w:line="360" w:lineRule="auto"/>
              <w:jc w:val="center"/>
              <w:rPr>
                <w:rFonts w:ascii="宋体" w:hAnsi="宋体" w:cs="宋体"/>
                <w:color w:val="auto"/>
                <w:sz w:val="24"/>
                <w:szCs w:val="24"/>
                <w:highlight w:val="none"/>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9199FAD">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6" w:space="0"/>
            </w:tcBorders>
            <w:noWrap w:val="0"/>
            <w:vAlign w:val="center"/>
          </w:tcPr>
          <w:p w14:paraId="136A50D4">
            <w:pPr>
              <w:shd w:val="clear"/>
              <w:spacing w:line="360" w:lineRule="auto"/>
              <w:jc w:val="center"/>
              <w:rPr>
                <w:rFonts w:ascii="宋体" w:hAnsi="宋体" w:cs="宋体"/>
                <w:color w:val="auto"/>
                <w:sz w:val="24"/>
                <w:szCs w:val="24"/>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676CDD19">
            <w:pPr>
              <w:shd w:val="clear"/>
              <w:spacing w:line="360" w:lineRule="auto"/>
              <w:jc w:val="center"/>
              <w:rPr>
                <w:rFonts w:ascii="宋体" w:hAnsi="宋体" w:cs="宋体"/>
                <w:color w:val="auto"/>
                <w:sz w:val="24"/>
                <w:szCs w:val="24"/>
                <w:highlight w:val="none"/>
              </w:rPr>
            </w:pPr>
          </w:p>
        </w:tc>
      </w:tr>
      <w:tr w14:paraId="431FB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01" w:type="dxa"/>
            <w:tcBorders>
              <w:top w:val="single" w:color="auto" w:sz="6" w:space="0"/>
              <w:left w:val="single" w:color="auto" w:sz="4" w:space="0"/>
              <w:bottom w:val="single" w:color="auto" w:sz="6" w:space="0"/>
              <w:right w:val="single" w:color="auto" w:sz="6" w:space="0"/>
            </w:tcBorders>
            <w:noWrap w:val="0"/>
            <w:vAlign w:val="center"/>
          </w:tcPr>
          <w:p w14:paraId="5ADF55D3">
            <w:pPr>
              <w:shd w:val="clea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w:t>
            </w:r>
          </w:p>
        </w:tc>
        <w:tc>
          <w:tcPr>
            <w:tcW w:w="1602" w:type="dxa"/>
            <w:tcBorders>
              <w:top w:val="single" w:color="auto" w:sz="6" w:space="0"/>
              <w:left w:val="single" w:color="auto" w:sz="6" w:space="0"/>
              <w:bottom w:val="single" w:color="auto" w:sz="6" w:space="0"/>
              <w:right w:val="single" w:color="auto" w:sz="6" w:space="0"/>
            </w:tcBorders>
            <w:noWrap w:val="0"/>
            <w:vAlign w:val="center"/>
          </w:tcPr>
          <w:p w14:paraId="118A5C68">
            <w:pPr>
              <w:shd w:val="clea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w:t>
            </w:r>
          </w:p>
        </w:tc>
        <w:tc>
          <w:tcPr>
            <w:tcW w:w="1418" w:type="dxa"/>
            <w:tcBorders>
              <w:top w:val="single" w:color="auto" w:sz="4" w:space="0"/>
              <w:left w:val="single" w:color="auto" w:sz="6" w:space="0"/>
              <w:bottom w:val="single" w:color="auto" w:sz="4" w:space="0"/>
              <w:right w:val="single" w:color="auto" w:sz="4" w:space="0"/>
            </w:tcBorders>
            <w:noWrap w:val="0"/>
            <w:vAlign w:val="center"/>
          </w:tcPr>
          <w:p w14:paraId="649ED3B2">
            <w:pPr>
              <w:shd w:val="clear"/>
              <w:spacing w:line="360" w:lineRule="auto"/>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A07263">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B6FA05">
            <w:pPr>
              <w:shd w:val="clear"/>
              <w:spacing w:line="360" w:lineRule="auto"/>
              <w:jc w:val="center"/>
              <w:rPr>
                <w:rFonts w:ascii="宋体" w:hAnsi="宋体" w:cs="宋体"/>
                <w:color w:val="auto"/>
                <w:sz w:val="24"/>
                <w:szCs w:val="24"/>
                <w:highlight w:val="none"/>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C96360">
            <w:pPr>
              <w:shd w:val="clear"/>
              <w:spacing w:line="360" w:lineRule="auto"/>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6" w:space="0"/>
            </w:tcBorders>
            <w:noWrap w:val="0"/>
            <w:vAlign w:val="center"/>
          </w:tcPr>
          <w:p w14:paraId="2513D7FA">
            <w:pPr>
              <w:shd w:val="clear"/>
              <w:spacing w:line="360" w:lineRule="auto"/>
              <w:jc w:val="center"/>
              <w:rPr>
                <w:rFonts w:ascii="宋体" w:hAnsi="宋体" w:cs="宋体"/>
                <w:color w:val="auto"/>
                <w:sz w:val="24"/>
                <w:szCs w:val="24"/>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09B38A46">
            <w:pPr>
              <w:shd w:val="clear"/>
              <w:spacing w:line="360" w:lineRule="auto"/>
              <w:jc w:val="center"/>
              <w:rPr>
                <w:rFonts w:ascii="宋体" w:hAnsi="宋体" w:cs="宋体"/>
                <w:color w:val="auto"/>
                <w:sz w:val="24"/>
                <w:szCs w:val="24"/>
                <w:highlight w:val="none"/>
              </w:rPr>
            </w:pPr>
          </w:p>
        </w:tc>
      </w:tr>
      <w:tr w14:paraId="58D5C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01" w:type="dxa"/>
            <w:vMerge w:val="restart"/>
            <w:tcBorders>
              <w:top w:val="single" w:color="auto" w:sz="6" w:space="0"/>
              <w:left w:val="single" w:color="auto" w:sz="4" w:space="0"/>
              <w:bottom w:val="single" w:color="auto" w:sz="6" w:space="0"/>
              <w:right w:val="single" w:color="auto" w:sz="6" w:space="0"/>
            </w:tcBorders>
            <w:noWrap w:val="0"/>
            <w:vAlign w:val="center"/>
          </w:tcPr>
          <w:p w14:paraId="2F147EDA">
            <w:pPr>
              <w:shd w:val="clear"/>
              <w:spacing w:line="360" w:lineRule="auto"/>
              <w:jc w:val="center"/>
              <w:rPr>
                <w:rFonts w:ascii="宋体" w:hAnsi="宋体" w:cs="宋体"/>
                <w:color w:val="auto"/>
                <w:sz w:val="24"/>
                <w:szCs w:val="24"/>
                <w:highlight w:val="none"/>
              </w:rPr>
            </w:pPr>
          </w:p>
        </w:tc>
        <w:tc>
          <w:tcPr>
            <w:tcW w:w="1602" w:type="dxa"/>
            <w:vMerge w:val="restart"/>
            <w:tcBorders>
              <w:top w:val="single" w:color="auto" w:sz="6" w:space="0"/>
              <w:left w:val="single" w:color="auto" w:sz="6" w:space="0"/>
              <w:bottom w:val="single" w:color="auto" w:sz="6" w:space="0"/>
              <w:right w:val="single" w:color="auto" w:sz="6" w:space="0"/>
            </w:tcBorders>
            <w:noWrap w:val="0"/>
            <w:vAlign w:val="center"/>
          </w:tcPr>
          <w:p w14:paraId="35A7F430">
            <w:pPr>
              <w:shd w:val="clea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磋商总价</w:t>
            </w:r>
          </w:p>
        </w:tc>
        <w:tc>
          <w:tcPr>
            <w:tcW w:w="5528" w:type="dxa"/>
            <w:gridSpan w:val="6"/>
            <w:tcBorders>
              <w:top w:val="single" w:color="auto" w:sz="4" w:space="0"/>
              <w:left w:val="single" w:color="auto" w:sz="6" w:space="0"/>
              <w:bottom w:val="single" w:color="auto" w:sz="4" w:space="0"/>
              <w:right w:val="single" w:color="auto" w:sz="6" w:space="0"/>
            </w:tcBorders>
            <w:noWrap w:val="0"/>
            <w:vAlign w:val="center"/>
          </w:tcPr>
          <w:p w14:paraId="2562DE1D">
            <w:pPr>
              <w:shd w:val="clear"/>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小写：</w:t>
            </w:r>
          </w:p>
        </w:tc>
        <w:tc>
          <w:tcPr>
            <w:tcW w:w="980" w:type="dxa"/>
            <w:tcBorders>
              <w:top w:val="single" w:color="auto" w:sz="4" w:space="0"/>
              <w:left w:val="single" w:color="auto" w:sz="6" w:space="0"/>
              <w:bottom w:val="single" w:color="auto" w:sz="4" w:space="0"/>
              <w:right w:val="single" w:color="auto" w:sz="4" w:space="0"/>
            </w:tcBorders>
            <w:noWrap w:val="0"/>
            <w:vAlign w:val="center"/>
          </w:tcPr>
          <w:p w14:paraId="582C72CD">
            <w:pPr>
              <w:shd w:val="clear"/>
              <w:spacing w:line="360" w:lineRule="auto"/>
              <w:jc w:val="center"/>
              <w:rPr>
                <w:rFonts w:ascii="宋体" w:hAnsi="宋体" w:cs="宋体"/>
                <w:color w:val="auto"/>
                <w:sz w:val="24"/>
                <w:szCs w:val="24"/>
                <w:highlight w:val="none"/>
              </w:rPr>
            </w:pPr>
          </w:p>
        </w:tc>
      </w:tr>
      <w:tr w14:paraId="2B8796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701" w:type="dxa"/>
            <w:vMerge w:val="continue"/>
            <w:tcBorders>
              <w:top w:val="single" w:color="auto" w:sz="6" w:space="0"/>
              <w:left w:val="single" w:color="auto" w:sz="4" w:space="0"/>
              <w:bottom w:val="single" w:color="auto" w:sz="6" w:space="0"/>
              <w:right w:val="single" w:color="auto" w:sz="6" w:space="0"/>
            </w:tcBorders>
            <w:noWrap w:val="0"/>
            <w:vAlign w:val="center"/>
          </w:tcPr>
          <w:p w14:paraId="1EB53E68">
            <w:pPr>
              <w:shd w:val="clear"/>
              <w:spacing w:line="360" w:lineRule="auto"/>
              <w:jc w:val="center"/>
              <w:rPr>
                <w:rFonts w:ascii="宋体" w:hAnsi="宋体" w:cs="宋体"/>
                <w:color w:val="auto"/>
                <w:sz w:val="24"/>
                <w:szCs w:val="24"/>
                <w:highlight w:val="none"/>
              </w:rPr>
            </w:pPr>
          </w:p>
        </w:tc>
        <w:tc>
          <w:tcPr>
            <w:tcW w:w="1602" w:type="dxa"/>
            <w:vMerge w:val="continue"/>
            <w:tcBorders>
              <w:top w:val="single" w:color="auto" w:sz="6" w:space="0"/>
              <w:left w:val="single" w:color="auto" w:sz="6" w:space="0"/>
              <w:bottom w:val="single" w:color="auto" w:sz="6" w:space="0"/>
              <w:right w:val="single" w:color="auto" w:sz="6" w:space="0"/>
            </w:tcBorders>
            <w:noWrap w:val="0"/>
            <w:vAlign w:val="center"/>
          </w:tcPr>
          <w:p w14:paraId="1DBE63BA">
            <w:pPr>
              <w:shd w:val="clear"/>
              <w:spacing w:line="360" w:lineRule="auto"/>
              <w:jc w:val="center"/>
              <w:rPr>
                <w:rFonts w:ascii="宋体" w:hAnsi="宋体" w:cs="宋体"/>
                <w:color w:val="auto"/>
                <w:sz w:val="24"/>
                <w:szCs w:val="24"/>
                <w:highlight w:val="none"/>
              </w:rPr>
            </w:pPr>
          </w:p>
        </w:tc>
        <w:tc>
          <w:tcPr>
            <w:tcW w:w="5528" w:type="dxa"/>
            <w:gridSpan w:val="6"/>
            <w:tcBorders>
              <w:top w:val="single" w:color="auto" w:sz="4" w:space="0"/>
              <w:left w:val="single" w:color="auto" w:sz="6" w:space="0"/>
              <w:bottom w:val="single" w:color="auto" w:sz="4" w:space="0"/>
              <w:right w:val="single" w:color="auto" w:sz="6" w:space="0"/>
            </w:tcBorders>
            <w:noWrap w:val="0"/>
            <w:vAlign w:val="center"/>
          </w:tcPr>
          <w:p w14:paraId="651E7D74">
            <w:pPr>
              <w:shd w:val="clear"/>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大写：</w:t>
            </w:r>
          </w:p>
        </w:tc>
        <w:tc>
          <w:tcPr>
            <w:tcW w:w="980" w:type="dxa"/>
            <w:tcBorders>
              <w:top w:val="single" w:color="auto" w:sz="4" w:space="0"/>
              <w:left w:val="single" w:color="auto" w:sz="6" w:space="0"/>
              <w:bottom w:val="single" w:color="auto" w:sz="4" w:space="0"/>
              <w:right w:val="single" w:color="auto" w:sz="4" w:space="0"/>
            </w:tcBorders>
            <w:noWrap w:val="0"/>
            <w:vAlign w:val="center"/>
          </w:tcPr>
          <w:p w14:paraId="18F1872F">
            <w:pPr>
              <w:shd w:val="clear"/>
              <w:spacing w:line="360" w:lineRule="auto"/>
              <w:jc w:val="center"/>
              <w:rPr>
                <w:rFonts w:ascii="宋体" w:hAnsi="宋体" w:cs="宋体"/>
                <w:color w:val="auto"/>
                <w:sz w:val="24"/>
                <w:szCs w:val="24"/>
                <w:highlight w:val="none"/>
              </w:rPr>
            </w:pPr>
          </w:p>
        </w:tc>
      </w:tr>
      <w:tr w14:paraId="67AB0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701" w:type="dxa"/>
            <w:tcBorders>
              <w:top w:val="single" w:color="auto" w:sz="6" w:space="0"/>
              <w:left w:val="single" w:color="auto" w:sz="4" w:space="0"/>
              <w:bottom w:val="single" w:color="auto" w:sz="4" w:space="0"/>
              <w:right w:val="single" w:color="auto" w:sz="6" w:space="0"/>
            </w:tcBorders>
            <w:noWrap w:val="0"/>
            <w:vAlign w:val="center"/>
          </w:tcPr>
          <w:p w14:paraId="0D22CB96">
            <w:pPr>
              <w:shd w:val="clea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其中</w:t>
            </w:r>
          </w:p>
        </w:tc>
        <w:tc>
          <w:tcPr>
            <w:tcW w:w="5265" w:type="dxa"/>
            <w:gridSpan w:val="5"/>
            <w:tcBorders>
              <w:top w:val="single" w:color="auto" w:sz="6" w:space="0"/>
              <w:left w:val="single" w:color="auto" w:sz="6" w:space="0"/>
              <w:bottom w:val="single" w:color="auto" w:sz="4" w:space="0"/>
              <w:right w:val="single" w:color="auto" w:sz="6" w:space="0"/>
            </w:tcBorders>
            <w:noWrap w:val="0"/>
            <w:vAlign w:val="center"/>
          </w:tcPr>
          <w:p w14:paraId="7C46E797">
            <w:pPr>
              <w:shd w:val="clear"/>
              <w:spacing w:line="360" w:lineRule="auto"/>
              <w:jc w:val="left"/>
              <w:rPr>
                <w:rFonts w:ascii="宋体" w:hAnsi="宋体" w:cs="宋体"/>
                <w:color w:val="auto"/>
                <w:sz w:val="24"/>
                <w:szCs w:val="24"/>
                <w:highlight w:val="none"/>
              </w:rPr>
            </w:pPr>
            <w:r>
              <w:rPr>
                <w:rFonts w:ascii="CIDFont+F2" w:hAnsi="CIDFont+F2" w:eastAsia="CIDFont+F2"/>
                <w:color w:val="auto"/>
                <w:highlight w:val="none"/>
              </w:rPr>
              <w:t>小型、微型企业承接的金额为：</w:t>
            </w:r>
          </w:p>
        </w:tc>
        <w:tc>
          <w:tcPr>
            <w:tcW w:w="1865" w:type="dxa"/>
            <w:gridSpan w:val="2"/>
            <w:tcBorders>
              <w:top w:val="single" w:color="auto" w:sz="6" w:space="0"/>
              <w:left w:val="single" w:color="auto" w:sz="6" w:space="0"/>
              <w:bottom w:val="single" w:color="auto" w:sz="4" w:space="0"/>
              <w:right w:val="single" w:color="auto" w:sz="6" w:space="0"/>
            </w:tcBorders>
            <w:noWrap w:val="0"/>
            <w:vAlign w:val="center"/>
          </w:tcPr>
          <w:p w14:paraId="7CFF3887">
            <w:pPr>
              <w:shd w:val="clear"/>
              <w:spacing w:line="360" w:lineRule="auto"/>
              <w:jc w:val="left"/>
              <w:rPr>
                <w:rFonts w:ascii="CIDFont+F2" w:hAnsi="CIDFont+F2" w:eastAsia="CIDFont+F2"/>
                <w:color w:val="auto"/>
                <w:highlight w:val="none"/>
              </w:rPr>
            </w:pPr>
          </w:p>
        </w:tc>
        <w:tc>
          <w:tcPr>
            <w:tcW w:w="980" w:type="dxa"/>
            <w:tcBorders>
              <w:top w:val="single" w:color="auto" w:sz="4" w:space="0"/>
              <w:left w:val="single" w:color="auto" w:sz="6" w:space="0"/>
              <w:bottom w:val="single" w:color="auto" w:sz="4" w:space="0"/>
              <w:right w:val="single" w:color="auto" w:sz="4" w:space="0"/>
            </w:tcBorders>
            <w:noWrap w:val="0"/>
            <w:vAlign w:val="center"/>
          </w:tcPr>
          <w:p w14:paraId="350C0D6A">
            <w:pPr>
              <w:shd w:val="clear"/>
              <w:spacing w:line="360" w:lineRule="auto"/>
              <w:jc w:val="center"/>
              <w:rPr>
                <w:rFonts w:ascii="宋体" w:hAnsi="宋体" w:cs="宋体"/>
                <w:color w:val="auto"/>
                <w:sz w:val="24"/>
                <w:szCs w:val="24"/>
                <w:highlight w:val="none"/>
              </w:rPr>
            </w:pPr>
          </w:p>
        </w:tc>
      </w:tr>
    </w:tbl>
    <w:p w14:paraId="12719EDB">
      <w:pPr>
        <w:pStyle w:val="23"/>
        <w:shd w:val="clear"/>
        <w:adjustRightInd w:val="0"/>
        <w:snapToGrid w:val="0"/>
        <w:spacing w:before="0" w:line="240" w:lineRule="auto"/>
        <w:ind w:firstLine="482"/>
        <w:rPr>
          <w:rFonts w:ascii="宋体" w:hAnsi="宋体" w:cs="宋体"/>
          <w:b/>
          <w:bCs/>
          <w:color w:val="auto"/>
          <w:szCs w:val="22"/>
          <w:highlight w:val="none"/>
        </w:rPr>
      </w:pPr>
      <w:r>
        <w:rPr>
          <w:rFonts w:ascii="宋体" w:hAnsi="宋体" w:cs="宋体"/>
          <w:b/>
          <w:bCs/>
          <w:color w:val="auto"/>
          <w:highlight w:val="none"/>
        </w:rPr>
        <w:t>注：</w:t>
      </w:r>
      <w:r>
        <w:rPr>
          <w:rFonts w:ascii="宋体" w:hAnsi="宋体" w:cs="宋体"/>
          <w:bCs/>
          <w:color w:val="auto"/>
          <w:highlight w:val="none"/>
        </w:rPr>
        <w:t>1、</w:t>
      </w:r>
      <w:r>
        <w:rPr>
          <w:rFonts w:ascii="宋体" w:hAnsi="宋体" w:cs="宋体"/>
          <w:color w:val="auto"/>
          <w:kern w:val="0"/>
          <w:highlight w:val="none"/>
          <w:lang w:val="zh-CN"/>
        </w:rPr>
        <w:t>有关本项目所需的设备费、人工费、税费等</w:t>
      </w:r>
      <w:r>
        <w:rPr>
          <w:rFonts w:ascii="宋体" w:hAnsi="宋体" w:cs="宋体"/>
          <w:bCs/>
          <w:color w:val="auto"/>
          <w:highlight w:val="none"/>
        </w:rPr>
        <w:t>一切相关费用</w:t>
      </w:r>
      <w:r>
        <w:rPr>
          <w:rFonts w:ascii="宋体" w:hAnsi="宋体" w:cs="宋体"/>
          <w:color w:val="auto"/>
          <w:kern w:val="0"/>
          <w:highlight w:val="none"/>
          <w:lang w:val="zh-CN"/>
        </w:rPr>
        <w:t>均计入报价，采购人</w:t>
      </w:r>
      <w:r>
        <w:rPr>
          <w:rFonts w:hint="eastAsia" w:ascii="宋体" w:hAnsi="宋体" w:cs="宋体"/>
          <w:color w:val="auto"/>
          <w:kern w:val="0"/>
          <w:highlight w:val="none"/>
          <w:lang w:val="zh-CN"/>
        </w:rPr>
        <w:t>不再</w:t>
      </w:r>
      <w:r>
        <w:rPr>
          <w:rFonts w:ascii="宋体" w:hAnsi="宋体" w:cs="宋体"/>
          <w:color w:val="auto"/>
          <w:kern w:val="0"/>
          <w:highlight w:val="none"/>
          <w:lang w:val="zh-CN"/>
        </w:rPr>
        <w:t>支付额外费用。</w:t>
      </w:r>
    </w:p>
    <w:p w14:paraId="33A4120F">
      <w:pPr>
        <w:pStyle w:val="23"/>
        <w:shd w:val="clear"/>
        <w:adjustRightInd w:val="0"/>
        <w:snapToGrid w:val="0"/>
        <w:spacing w:before="0" w:line="240" w:lineRule="auto"/>
        <w:ind w:firstLine="480"/>
        <w:rPr>
          <w:rFonts w:ascii="宋体" w:hAnsi="宋体" w:cs="宋体"/>
          <w:color w:val="auto"/>
          <w:szCs w:val="22"/>
          <w:highlight w:val="none"/>
        </w:rPr>
      </w:pPr>
      <w:r>
        <w:rPr>
          <w:rFonts w:hint="eastAsia" w:ascii="宋体" w:hAnsi="宋体" w:cs="宋体"/>
          <w:color w:val="auto"/>
          <w:szCs w:val="22"/>
          <w:highlight w:val="none"/>
          <w:lang w:eastAsia="zh-CN"/>
        </w:rPr>
        <w:t>2.</w:t>
      </w:r>
      <w:r>
        <w:rPr>
          <w:rFonts w:ascii="宋体" w:hAnsi="宋体" w:cs="宋体"/>
          <w:color w:val="auto"/>
          <w:szCs w:val="22"/>
          <w:highlight w:val="none"/>
        </w:rPr>
        <w:t>报价一经涂改，应在涂改处加盖单位公章或者由法定代表人或授权委托人签字或盖章，否则其磋商响应作无效标处理。</w:t>
      </w:r>
    </w:p>
    <w:p w14:paraId="35007D5D">
      <w:pPr>
        <w:pStyle w:val="23"/>
        <w:shd w:val="clear"/>
        <w:adjustRightInd w:val="0"/>
        <w:snapToGrid w:val="0"/>
        <w:spacing w:before="0" w:line="240" w:lineRule="auto"/>
        <w:ind w:firstLine="480"/>
        <w:rPr>
          <w:rFonts w:ascii="宋体" w:hAnsi="宋体" w:cs="宋体"/>
          <w:color w:val="auto"/>
          <w:szCs w:val="22"/>
          <w:highlight w:val="none"/>
          <w:lang w:val="zh-CN"/>
        </w:rPr>
      </w:pPr>
      <w:r>
        <w:rPr>
          <w:rFonts w:hint="eastAsia" w:ascii="宋体" w:hAnsi="宋体" w:cs="宋体"/>
          <w:color w:val="auto"/>
          <w:szCs w:val="22"/>
          <w:highlight w:val="none"/>
          <w:lang w:val="zh-CN"/>
        </w:rPr>
        <w:t>3.</w:t>
      </w:r>
      <w:r>
        <w:rPr>
          <w:rFonts w:ascii="宋体" w:hAnsi="宋体" w:cs="宋体"/>
          <w:color w:val="auto"/>
          <w:szCs w:val="22"/>
          <w:highlight w:val="none"/>
          <w:lang w:val="zh-CN"/>
        </w:rPr>
        <w:t>以上表格中各项可进一步细分，栏数不够可自加，要求按服务等相关内容细分项目及报价。</w:t>
      </w:r>
    </w:p>
    <w:p w14:paraId="2639032E">
      <w:pPr>
        <w:pStyle w:val="23"/>
        <w:shd w:val="clear"/>
        <w:adjustRightInd w:val="0"/>
        <w:snapToGrid w:val="0"/>
        <w:spacing w:before="0" w:line="240" w:lineRule="auto"/>
        <w:ind w:firstLine="480"/>
        <w:rPr>
          <w:rFonts w:ascii="宋体" w:hAnsi="宋体" w:cs="宋体"/>
          <w:color w:val="auto"/>
          <w:szCs w:val="22"/>
          <w:highlight w:val="none"/>
        </w:rPr>
      </w:pPr>
      <w:r>
        <w:rPr>
          <w:rFonts w:hint="eastAsia" w:ascii="宋体" w:hAnsi="宋体" w:cs="宋体"/>
          <w:color w:val="auto"/>
          <w:szCs w:val="22"/>
          <w:highlight w:val="none"/>
          <w:lang w:eastAsia="zh-CN"/>
        </w:rPr>
        <w:t>4.</w:t>
      </w:r>
      <w:r>
        <w:rPr>
          <w:rFonts w:ascii="宋体" w:hAnsi="宋体" w:cs="宋体"/>
          <w:color w:val="auto"/>
          <w:szCs w:val="22"/>
          <w:highlight w:val="none"/>
        </w:rPr>
        <w:t>以上报价应与“初次报价一览表”中的“磋商报价”相一致。</w:t>
      </w:r>
    </w:p>
    <w:p w14:paraId="6E88BD8B">
      <w:pPr>
        <w:pStyle w:val="23"/>
        <w:shd w:val="clear"/>
        <w:adjustRightInd w:val="0"/>
        <w:snapToGrid w:val="0"/>
        <w:spacing w:before="0" w:line="240" w:lineRule="auto"/>
        <w:ind w:firstLine="480"/>
        <w:rPr>
          <w:rFonts w:ascii="宋体" w:hAnsi="宋体" w:cs="宋体"/>
          <w:color w:val="auto"/>
          <w:szCs w:val="22"/>
          <w:highlight w:val="none"/>
        </w:rPr>
      </w:pPr>
      <w:r>
        <w:rPr>
          <w:rFonts w:hint="eastAsia" w:ascii="宋体" w:hAnsi="宋体" w:cs="宋体"/>
          <w:color w:val="auto"/>
          <w:szCs w:val="22"/>
          <w:highlight w:val="none"/>
          <w:lang w:eastAsia="zh-CN"/>
        </w:rPr>
        <w:t>5.</w:t>
      </w:r>
      <w:r>
        <w:rPr>
          <w:rFonts w:ascii="宋体" w:hAnsi="宋体" w:cs="宋体"/>
          <w:color w:val="auto"/>
          <w:szCs w:val="22"/>
          <w:highlight w:val="none"/>
        </w:rPr>
        <w:t>特别提示：根据财政部财库</w:t>
      </w:r>
      <w:r>
        <w:rPr>
          <w:rFonts w:hint="eastAsia" w:ascii="宋体" w:hAnsi="宋体" w:cs="宋体"/>
          <w:color w:val="auto"/>
          <w:szCs w:val="22"/>
          <w:highlight w:val="none"/>
          <w:lang w:eastAsia="zh-CN"/>
        </w:rPr>
        <w:t>〔2015〕</w:t>
      </w:r>
      <w:r>
        <w:rPr>
          <w:rFonts w:ascii="宋体" w:hAnsi="宋体" w:cs="宋体"/>
          <w:color w:val="auto"/>
          <w:szCs w:val="22"/>
          <w:highlight w:val="none"/>
        </w:rPr>
        <w:t>135号《关于做好政府采购信息公开工作的通知》要求，采购机构将对项目名称和项目编号；中标或者成交供应商名称、地址和中标或者成交金额；主要中标或者成交标的的名称、规格型号、数量、单价、服务要求或者标的的基本概况等予以公示。</w:t>
      </w:r>
    </w:p>
    <w:p w14:paraId="696F8EAF">
      <w:pPr>
        <w:shd w:val="clear"/>
        <w:adjustRightInd w:val="0"/>
        <w:snapToGrid w:val="0"/>
        <w:spacing w:line="312"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ascii="宋体" w:hAnsi="宋体" w:cs="宋体"/>
          <w:color w:val="auto"/>
          <w:kern w:val="0"/>
          <w:sz w:val="24"/>
          <w:highlight w:val="none"/>
        </w:rPr>
        <w:t>成交单位需提供最终报价的报价明细表。</w:t>
      </w:r>
    </w:p>
    <w:p w14:paraId="0EC9906C">
      <w:pPr>
        <w:shd w:val="clear"/>
        <w:adjustRightInd w:val="0"/>
        <w:snapToGrid w:val="0"/>
        <w:spacing w:line="312"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7.</w:t>
      </w:r>
      <w:r>
        <w:rPr>
          <w:rFonts w:ascii="宋体" w:hAnsi="宋体" w:cs="宋体"/>
          <w:color w:val="auto"/>
          <w:kern w:val="0"/>
          <w:sz w:val="24"/>
          <w:highlight w:val="none"/>
        </w:rPr>
        <w:t>表中不得有给予采购人的赠品、回扣或者与本项目采购无关的其他商品、服务。</w:t>
      </w:r>
    </w:p>
    <w:p w14:paraId="570AA385">
      <w:pPr>
        <w:shd w:val="clear"/>
        <w:adjustRightInd w:val="0"/>
        <w:snapToGrid w:val="0"/>
        <w:spacing w:line="312" w:lineRule="auto"/>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rPr>
        <w:t>8</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备注栏中明确承接单位名称。</w:t>
      </w:r>
    </w:p>
    <w:p w14:paraId="41FD8984">
      <w:pPr>
        <w:shd w:val="clear"/>
        <w:rPr>
          <w:color w:val="auto"/>
          <w:highlight w:val="none"/>
          <w:lang w:val="zh-CN"/>
        </w:rPr>
      </w:pPr>
    </w:p>
    <w:p w14:paraId="40DD3AEA">
      <w:pPr>
        <w:shd w:val="clear"/>
        <w:adjustRightInd w:val="0"/>
        <w:snapToGrid w:val="0"/>
        <w:spacing w:line="312" w:lineRule="auto"/>
        <w:rPr>
          <w:rFonts w:ascii="宋体" w:hAnsi="宋体" w:cs="宋体"/>
          <w:color w:val="auto"/>
          <w:kern w:val="0"/>
          <w:sz w:val="24"/>
          <w:highlight w:val="none"/>
          <w:lang w:val="zh-CN"/>
        </w:rPr>
      </w:pPr>
    </w:p>
    <w:p w14:paraId="0538DB56">
      <w:pPr>
        <w:shd w:val="clear"/>
        <w:adjustRightInd w:val="0"/>
        <w:snapToGrid w:val="0"/>
        <w:spacing w:line="312" w:lineRule="auto"/>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磋商响应供应商：</w:t>
      </w:r>
      <w:r>
        <w:rPr>
          <w:rFonts w:ascii="宋体" w:hAnsi="宋体" w:cs="宋体"/>
          <w:color w:val="auto"/>
          <w:kern w:val="0"/>
          <w:sz w:val="24"/>
          <w:highlight w:val="none"/>
          <w:u w:val="single"/>
          <w:lang w:val="zh-CN"/>
        </w:rPr>
        <w:t xml:space="preserve">（全称加盖公章）       </w:t>
      </w:r>
    </w:p>
    <w:p w14:paraId="357D0515">
      <w:pPr>
        <w:shd w:val="clear"/>
        <w:adjustRightInd w:val="0"/>
        <w:snapToGrid w:val="0"/>
        <w:spacing w:line="312" w:lineRule="auto"/>
        <w:rPr>
          <w:rFonts w:ascii="宋体" w:hAnsi="宋体" w:cs="宋体"/>
          <w:color w:val="auto"/>
          <w:kern w:val="0"/>
          <w:sz w:val="24"/>
          <w:highlight w:val="none"/>
          <w:lang w:val="zh-CN"/>
        </w:r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u w:val="single"/>
        </w:rPr>
        <w:tab/>
      </w:r>
      <w:r>
        <w:rPr>
          <w:rFonts w:ascii="宋体" w:hAnsi="宋体" w:cs="宋体"/>
          <w:color w:val="auto"/>
          <w:kern w:val="0"/>
          <w:sz w:val="24"/>
          <w:highlight w:val="none"/>
          <w:lang w:val="zh-CN"/>
        </w:rPr>
        <w:t>月</w:t>
      </w:r>
      <w:r>
        <w:rPr>
          <w:rFonts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ascii="宋体" w:hAnsi="宋体" w:cs="宋体"/>
          <w:color w:val="auto"/>
          <w:kern w:val="0"/>
          <w:sz w:val="24"/>
          <w:highlight w:val="none"/>
          <w:lang w:val="zh-CN"/>
        </w:rPr>
        <w:t>日</w:t>
      </w:r>
      <w:bookmarkStart w:id="285" w:name="_Toc6494396"/>
    </w:p>
    <w:p w14:paraId="5983E1B6">
      <w:pPr>
        <w:pStyle w:val="7"/>
        <w:shd w:val="clear"/>
        <w:rPr>
          <w:rFonts w:ascii="宋体" w:hAnsi="宋体" w:cs="宋体"/>
          <w:color w:val="auto"/>
          <w:highlight w:val="none"/>
          <w:lang w:val="zh-CN"/>
        </w:rPr>
      </w:pPr>
    </w:p>
    <w:p w14:paraId="3E6A65DA">
      <w:pPr>
        <w:pStyle w:val="7"/>
        <w:shd w:val="clear"/>
        <w:rPr>
          <w:rFonts w:ascii="宋体" w:hAnsi="宋体" w:cs="宋体"/>
          <w:color w:val="auto"/>
          <w:highlight w:val="none"/>
          <w:lang w:val="zh-CN"/>
        </w:rPr>
      </w:pPr>
    </w:p>
    <w:p w14:paraId="61131B0F">
      <w:pPr>
        <w:pStyle w:val="7"/>
        <w:shd w:val="clear"/>
        <w:rPr>
          <w:rFonts w:ascii="宋体" w:hAnsi="宋体" w:cs="宋体"/>
          <w:color w:val="auto"/>
          <w:highlight w:val="none"/>
          <w:lang w:val="zh-CN"/>
        </w:rPr>
      </w:pPr>
    </w:p>
    <w:p w14:paraId="6EA1C9A1">
      <w:pPr>
        <w:pStyle w:val="7"/>
        <w:shd w:val="clear"/>
        <w:rPr>
          <w:rFonts w:ascii="宋体" w:hAnsi="宋体" w:cs="宋体"/>
          <w:color w:val="auto"/>
          <w:highlight w:val="none"/>
          <w:lang w:val="zh-CN"/>
        </w:rPr>
      </w:pPr>
    </w:p>
    <w:bookmarkEnd w:id="285"/>
    <w:p w14:paraId="78665FE9">
      <w:pPr>
        <w:pStyle w:val="22"/>
        <w:shd w:val="clear"/>
        <w:adjustRightInd w:val="0"/>
        <w:snapToGrid w:val="0"/>
        <w:spacing w:line="360" w:lineRule="auto"/>
        <w:jc w:val="center"/>
        <w:outlineLvl w:val="1"/>
        <w:rPr>
          <w:rFonts w:ascii="宋体" w:hAnsi="宋体" w:eastAsia="宋体" w:cs="宋体"/>
          <w:b/>
          <w:bCs/>
          <w:color w:val="auto"/>
          <w:sz w:val="28"/>
          <w:szCs w:val="28"/>
          <w:highlight w:val="none"/>
        </w:rPr>
      </w:pPr>
      <w:bookmarkStart w:id="286" w:name="_Toc6494397"/>
      <w:bookmarkStart w:id="287" w:name="_Toc21553"/>
      <w:r>
        <w:rPr>
          <w:rFonts w:ascii="宋体" w:hAnsi="宋体" w:eastAsia="宋体" w:cs="宋体"/>
          <w:b/>
          <w:bCs/>
          <w:color w:val="auto"/>
          <w:sz w:val="28"/>
          <w:szCs w:val="28"/>
          <w:highlight w:val="none"/>
        </w:rPr>
        <w:t>政府采购活动现场确认声明书</w:t>
      </w:r>
    </w:p>
    <w:p w14:paraId="05D02689">
      <w:pPr>
        <w:pStyle w:val="33"/>
        <w:widowControl w:val="0"/>
        <w:shd w:val="clear"/>
        <w:snapToGrid w:val="0"/>
        <w:spacing w:line="460" w:lineRule="exact"/>
        <w:jc w:val="both"/>
        <w:rPr>
          <w:rFonts w:hint="default" w:hAnsi="宋体"/>
          <w:b/>
          <w:color w:val="auto"/>
          <w:sz w:val="24"/>
          <w:szCs w:val="24"/>
          <w:highlight w:val="none"/>
        </w:rPr>
      </w:pPr>
      <w:r>
        <w:rPr>
          <w:rFonts w:hint="eastAsia" w:hAnsi="宋体"/>
          <w:color w:val="auto"/>
          <w:kern w:val="0"/>
          <w:sz w:val="24"/>
          <w:szCs w:val="24"/>
          <w:highlight w:val="none"/>
          <w:lang w:eastAsia="zh-CN"/>
        </w:rPr>
        <w:t>浙江中正工程项目管理有限公司</w:t>
      </w:r>
      <w:r>
        <w:rPr>
          <w:rFonts w:hAnsi="宋体"/>
          <w:color w:val="auto"/>
          <w:kern w:val="0"/>
          <w:sz w:val="24"/>
          <w:szCs w:val="24"/>
          <w:highlight w:val="none"/>
        </w:rPr>
        <w:t>：</w:t>
      </w:r>
    </w:p>
    <w:p w14:paraId="581417E8">
      <w:pPr>
        <w:pStyle w:val="33"/>
        <w:widowControl w:val="0"/>
        <w:shd w:val="clear"/>
        <w:snapToGrid w:val="0"/>
        <w:spacing w:line="460" w:lineRule="exact"/>
        <w:ind w:firstLine="504" w:firstLineChars="200"/>
        <w:jc w:val="both"/>
        <w:rPr>
          <w:rFonts w:hAnsi="宋体"/>
          <w:color w:val="auto"/>
          <w:spacing w:val="6"/>
          <w:sz w:val="24"/>
          <w:szCs w:val="24"/>
          <w:highlight w:val="none"/>
        </w:rPr>
      </w:pPr>
      <w:r>
        <w:rPr>
          <w:rFonts w:hAnsi="宋体"/>
          <w:color w:val="auto"/>
          <w:spacing w:val="6"/>
          <w:sz w:val="24"/>
          <w:szCs w:val="24"/>
          <w:highlight w:val="none"/>
        </w:rPr>
        <w:t>本人</w:t>
      </w:r>
      <w:r>
        <w:rPr>
          <w:rFonts w:hAnsi="宋体"/>
          <w:color w:val="auto"/>
          <w:spacing w:val="6"/>
          <w:sz w:val="24"/>
          <w:szCs w:val="24"/>
          <w:highlight w:val="none"/>
          <w:u w:val="single"/>
        </w:rPr>
        <w:t xml:space="preserve">     </w:t>
      </w:r>
      <w:r>
        <w:rPr>
          <w:rFonts w:hAnsi="宋体" w:cs="宋体"/>
          <w:color w:val="auto"/>
          <w:sz w:val="24"/>
          <w:szCs w:val="24"/>
          <w:highlight w:val="none"/>
        </w:rPr>
        <w:t>（授权代表姓名）</w:t>
      </w:r>
      <w:r>
        <w:rPr>
          <w:rFonts w:hAnsi="宋体"/>
          <w:color w:val="auto"/>
          <w:spacing w:val="6"/>
          <w:sz w:val="24"/>
          <w:szCs w:val="24"/>
          <w:highlight w:val="none"/>
        </w:rPr>
        <w:t>经由</w:t>
      </w:r>
      <w:r>
        <w:rPr>
          <w:rFonts w:hAnsi="宋体"/>
          <w:color w:val="auto"/>
          <w:spacing w:val="6"/>
          <w:sz w:val="24"/>
          <w:szCs w:val="24"/>
          <w:highlight w:val="none"/>
          <w:u w:val="single"/>
        </w:rPr>
        <w:t xml:space="preserve">            </w:t>
      </w:r>
      <w:r>
        <w:rPr>
          <w:rFonts w:hAnsi="宋体" w:cs="宋体"/>
          <w:color w:val="auto"/>
          <w:sz w:val="24"/>
          <w:szCs w:val="24"/>
          <w:highlight w:val="none"/>
        </w:rPr>
        <w:t>（单位）</w:t>
      </w:r>
      <w:r>
        <w:rPr>
          <w:rFonts w:hAnsi="宋体"/>
          <w:color w:val="auto"/>
          <w:spacing w:val="6"/>
          <w:sz w:val="24"/>
          <w:szCs w:val="24"/>
          <w:highlight w:val="none"/>
        </w:rPr>
        <w:t>法定代表人</w:t>
      </w:r>
      <w:r>
        <w:rPr>
          <w:rFonts w:hAnsi="宋体"/>
          <w:color w:val="auto"/>
          <w:spacing w:val="6"/>
          <w:sz w:val="24"/>
          <w:szCs w:val="24"/>
          <w:highlight w:val="none"/>
          <w:u w:val="single"/>
        </w:rPr>
        <w:t xml:space="preserve">      </w:t>
      </w:r>
      <w:r>
        <w:rPr>
          <w:rFonts w:hAnsi="宋体"/>
          <w:color w:val="auto"/>
          <w:spacing w:val="6"/>
          <w:sz w:val="24"/>
          <w:szCs w:val="24"/>
          <w:highlight w:val="none"/>
        </w:rPr>
        <w:t>合法授权参加</w:t>
      </w:r>
      <w:r>
        <w:rPr>
          <w:rFonts w:hint="eastAsia" w:hAnsi="宋体"/>
          <w:color w:val="auto"/>
          <w:spacing w:val="6"/>
          <w:sz w:val="24"/>
          <w:szCs w:val="24"/>
          <w:highlight w:val="none"/>
          <w:u w:val="single"/>
          <w:lang w:val="en" w:eastAsia="zh-CN"/>
        </w:rPr>
        <w:t>衢州科技大市场运营服务</w:t>
      </w:r>
      <w:r>
        <w:rPr>
          <w:rFonts w:hAnsi="宋体"/>
          <w:color w:val="auto"/>
          <w:spacing w:val="6"/>
          <w:sz w:val="24"/>
          <w:szCs w:val="24"/>
          <w:highlight w:val="none"/>
          <w:u w:val="single"/>
        </w:rPr>
        <w:t xml:space="preserve"> </w:t>
      </w:r>
      <w:r>
        <w:rPr>
          <w:rFonts w:hAnsi="宋体"/>
          <w:color w:val="auto"/>
          <w:spacing w:val="6"/>
          <w:sz w:val="24"/>
          <w:szCs w:val="24"/>
          <w:highlight w:val="none"/>
        </w:rPr>
        <w:t>（项目编号：</w:t>
      </w:r>
      <w:r>
        <w:rPr>
          <w:rFonts w:hint="eastAsia" w:hAnsi="宋体"/>
          <w:color w:val="auto"/>
          <w:sz w:val="24"/>
          <w:highlight w:val="none"/>
          <w:u w:val="single"/>
          <w:lang w:eastAsia="zh-CN"/>
        </w:rPr>
        <w:t>ZZCG2026012</w:t>
      </w:r>
      <w:r>
        <w:rPr>
          <w:rFonts w:hAnsi="宋体"/>
          <w:color w:val="auto"/>
          <w:spacing w:val="6"/>
          <w:sz w:val="24"/>
          <w:szCs w:val="24"/>
          <w:highlight w:val="none"/>
        </w:rPr>
        <w:t xml:space="preserve">）政府采购活动，经与本单位法人代表（负责人）联系确认，现就有关公平竞争事项郑重声明如下： </w:t>
      </w:r>
    </w:p>
    <w:p w14:paraId="1803DA37">
      <w:pPr>
        <w:pStyle w:val="34"/>
        <w:widowControl/>
        <w:numPr>
          <w:ilvl w:val="0"/>
          <w:numId w:val="7"/>
        </w:numPr>
        <w:shd w:val="clear"/>
        <w:snapToGrid w:val="0"/>
        <w:spacing w:line="460" w:lineRule="exact"/>
        <w:ind w:firstLine="453" w:firstLineChars="189"/>
        <w:rPr>
          <w:rFonts w:ascii="宋体" w:hAnsi="宋体"/>
          <w:color w:val="auto"/>
          <w:kern w:val="0"/>
          <w:sz w:val="24"/>
          <w:szCs w:val="24"/>
          <w:highlight w:val="none"/>
        </w:rPr>
      </w:pPr>
      <w:r>
        <w:rPr>
          <w:rFonts w:ascii="宋体" w:hAnsi="宋体"/>
          <w:color w:val="auto"/>
          <w:kern w:val="0"/>
          <w:sz w:val="24"/>
          <w:szCs w:val="24"/>
          <w:highlight w:val="none"/>
        </w:rPr>
        <w:t xml:space="preserve">本单位与甲方之间 </w:t>
      </w:r>
      <w:r>
        <w:rPr>
          <w:rFonts w:ascii="宋体" w:hAnsi="宋体" w:cs="宋体"/>
          <w:color w:val="auto"/>
          <w:kern w:val="0"/>
          <w:sz w:val="24"/>
          <w:szCs w:val="24"/>
          <w:highlight w:val="none"/>
        </w:rPr>
        <w:t>□</w:t>
      </w:r>
      <w:r>
        <w:rPr>
          <w:rFonts w:ascii="宋体" w:hAnsi="宋体"/>
          <w:color w:val="auto"/>
          <w:kern w:val="0"/>
          <w:sz w:val="24"/>
          <w:szCs w:val="24"/>
          <w:highlight w:val="none"/>
        </w:rPr>
        <w:t xml:space="preserve">不存在利害关系 </w:t>
      </w:r>
      <w:r>
        <w:rPr>
          <w:rFonts w:ascii="宋体" w:hAnsi="宋体" w:cs="宋体"/>
          <w:color w:val="auto"/>
          <w:kern w:val="0"/>
          <w:sz w:val="24"/>
          <w:szCs w:val="24"/>
          <w:highlight w:val="none"/>
        </w:rPr>
        <w:t>□</w:t>
      </w:r>
      <w:r>
        <w:rPr>
          <w:rFonts w:ascii="宋体" w:hAnsi="宋体"/>
          <w:color w:val="auto"/>
          <w:kern w:val="0"/>
          <w:sz w:val="24"/>
          <w:szCs w:val="24"/>
          <w:highlight w:val="none"/>
        </w:rPr>
        <w:t>存在下列利害关系</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：A.投资关系    B.行政隶属关系    C.业务指导关系</w:t>
      </w:r>
    </w:p>
    <w:p w14:paraId="2EA99929">
      <w:pPr>
        <w:pStyle w:val="34"/>
        <w:widowControl/>
        <w:shd w:val="clear"/>
        <w:snapToGrid w:val="0"/>
        <w:spacing w:line="460" w:lineRule="exact"/>
        <w:rPr>
          <w:rFonts w:hint="default" w:ascii="宋体" w:hAnsi="宋体"/>
          <w:color w:val="auto"/>
          <w:kern w:val="0"/>
          <w:sz w:val="24"/>
          <w:szCs w:val="24"/>
          <w:highlight w:val="none"/>
        </w:rPr>
      </w:pPr>
      <w:r>
        <w:rPr>
          <w:rFonts w:ascii="宋体" w:hAnsi="宋体"/>
          <w:color w:val="auto"/>
          <w:kern w:val="0"/>
          <w:sz w:val="24"/>
          <w:szCs w:val="24"/>
          <w:highlight w:val="none"/>
        </w:rPr>
        <w:t xml:space="preserve">  D.其他可能</w:t>
      </w:r>
      <w:r>
        <w:rPr>
          <w:rFonts w:ascii="宋体" w:hAnsi="宋体"/>
          <w:color w:val="auto"/>
          <w:sz w:val="24"/>
          <w:szCs w:val="24"/>
          <w:highlight w:val="none"/>
        </w:rPr>
        <w:t>影响采购公正的</w:t>
      </w:r>
      <w:r>
        <w:rPr>
          <w:rFonts w:ascii="宋体" w:hAnsi="宋体"/>
          <w:color w:val="auto"/>
          <w:kern w:val="0"/>
          <w:sz w:val="24"/>
          <w:szCs w:val="24"/>
          <w:highlight w:val="none"/>
        </w:rPr>
        <w:t>利害关系</w:t>
      </w:r>
      <w:r>
        <w:rPr>
          <w:rFonts w:ascii="宋体" w:hAnsi="宋体"/>
          <w:color w:val="auto"/>
          <w:kern w:val="0"/>
          <w:sz w:val="24"/>
          <w:szCs w:val="24"/>
          <w:highlight w:val="none"/>
          <w:u w:val="single"/>
        </w:rPr>
        <w:t xml:space="preserve">（如有，请如实说明）                 </w:t>
      </w:r>
      <w:r>
        <w:rPr>
          <w:rFonts w:ascii="宋体" w:hAnsi="宋体"/>
          <w:color w:val="auto"/>
          <w:kern w:val="0"/>
          <w:sz w:val="24"/>
          <w:szCs w:val="24"/>
          <w:highlight w:val="none"/>
        </w:rPr>
        <w:t>。</w:t>
      </w:r>
    </w:p>
    <w:p w14:paraId="03009689">
      <w:pPr>
        <w:pStyle w:val="34"/>
        <w:widowControl/>
        <w:shd w:val="clear"/>
        <w:snapToGrid w:val="0"/>
        <w:spacing w:line="460" w:lineRule="exact"/>
        <w:rPr>
          <w:rFonts w:ascii="宋体" w:hAnsi="宋体"/>
          <w:color w:val="auto"/>
          <w:kern w:val="0"/>
          <w:sz w:val="24"/>
          <w:szCs w:val="24"/>
          <w:highlight w:val="none"/>
        </w:rPr>
      </w:pPr>
      <w:r>
        <w:rPr>
          <w:rFonts w:ascii="宋体" w:hAnsi="宋体"/>
          <w:color w:val="auto"/>
          <w:spacing w:val="6"/>
          <w:sz w:val="24"/>
          <w:szCs w:val="24"/>
          <w:highlight w:val="none"/>
        </w:rPr>
        <w:t xml:space="preserve">  二、</w:t>
      </w:r>
      <w:r>
        <w:rPr>
          <w:rFonts w:ascii="宋体" w:hAnsi="宋体"/>
          <w:color w:val="auto"/>
          <w:kern w:val="0"/>
          <w:sz w:val="24"/>
          <w:szCs w:val="24"/>
          <w:highlight w:val="none"/>
        </w:rPr>
        <w:t xml:space="preserve">现已清楚知道参加本项目采购活动的其他所有供应商名称，本单位 </w:t>
      </w:r>
      <w:r>
        <w:rPr>
          <w:rFonts w:ascii="宋体" w:hAnsi="宋体" w:cs="宋体"/>
          <w:color w:val="auto"/>
          <w:kern w:val="0"/>
          <w:sz w:val="24"/>
          <w:szCs w:val="24"/>
          <w:highlight w:val="none"/>
        </w:rPr>
        <w:t>□与其他所有供应商之间均</w:t>
      </w:r>
      <w:r>
        <w:rPr>
          <w:rFonts w:ascii="宋体" w:hAnsi="宋体"/>
          <w:color w:val="auto"/>
          <w:kern w:val="0"/>
          <w:sz w:val="24"/>
          <w:szCs w:val="24"/>
          <w:highlight w:val="none"/>
        </w:rPr>
        <w:t xml:space="preserve">不存在利害关系 </w:t>
      </w:r>
      <w:r>
        <w:rPr>
          <w:rFonts w:ascii="宋体" w:hAnsi="宋体" w:cs="宋体"/>
          <w:color w:val="auto"/>
          <w:kern w:val="0"/>
          <w:sz w:val="24"/>
          <w:szCs w:val="24"/>
          <w:highlight w:val="none"/>
        </w:rPr>
        <w:t>□与</w:t>
      </w:r>
      <w:r>
        <w:rPr>
          <w:rFonts w:ascii="宋体" w:hAnsi="宋体" w:cs="宋体"/>
          <w:color w:val="auto"/>
          <w:kern w:val="0"/>
          <w:sz w:val="24"/>
          <w:szCs w:val="24"/>
          <w:highlight w:val="none"/>
          <w:u w:val="single"/>
        </w:rPr>
        <w:t xml:space="preserve">           （供应商名称）</w:t>
      </w:r>
      <w:r>
        <w:rPr>
          <w:rFonts w:ascii="宋体" w:hAnsi="宋体" w:cs="宋体"/>
          <w:color w:val="auto"/>
          <w:kern w:val="0"/>
          <w:sz w:val="24"/>
          <w:szCs w:val="24"/>
          <w:highlight w:val="none"/>
        </w:rPr>
        <w:t>之间</w:t>
      </w:r>
      <w:r>
        <w:rPr>
          <w:rFonts w:ascii="宋体" w:hAnsi="宋体"/>
          <w:color w:val="auto"/>
          <w:kern w:val="0"/>
          <w:sz w:val="24"/>
          <w:szCs w:val="24"/>
          <w:highlight w:val="none"/>
        </w:rPr>
        <w:t>存在下列利害关系</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w:t>
      </w:r>
    </w:p>
    <w:p w14:paraId="187EE363">
      <w:pPr>
        <w:pStyle w:val="33"/>
        <w:widowControl w:val="0"/>
        <w:shd w:val="clear"/>
        <w:snapToGrid w:val="0"/>
        <w:spacing w:line="460" w:lineRule="exact"/>
        <w:jc w:val="both"/>
        <w:rPr>
          <w:rFonts w:hAnsi="宋体"/>
          <w:color w:val="auto"/>
          <w:kern w:val="0"/>
          <w:sz w:val="24"/>
          <w:szCs w:val="24"/>
          <w:highlight w:val="none"/>
        </w:rPr>
      </w:pPr>
      <w:r>
        <w:rPr>
          <w:rFonts w:hAnsi="宋体"/>
          <w:color w:val="auto"/>
          <w:kern w:val="0"/>
          <w:sz w:val="24"/>
          <w:szCs w:val="24"/>
          <w:highlight w:val="none"/>
        </w:rPr>
        <w:t xml:space="preserve">  A.法定代表人或负责人或实际控制人是同一人</w:t>
      </w:r>
    </w:p>
    <w:p w14:paraId="31F147E3">
      <w:pPr>
        <w:pStyle w:val="33"/>
        <w:widowControl w:val="0"/>
        <w:shd w:val="clear"/>
        <w:snapToGrid w:val="0"/>
        <w:spacing w:line="460" w:lineRule="exact"/>
        <w:jc w:val="both"/>
        <w:rPr>
          <w:rFonts w:hint="default" w:hAnsi="宋体"/>
          <w:color w:val="auto"/>
          <w:spacing w:val="6"/>
          <w:sz w:val="24"/>
          <w:szCs w:val="24"/>
          <w:highlight w:val="none"/>
        </w:rPr>
      </w:pPr>
      <w:r>
        <w:rPr>
          <w:rFonts w:hAnsi="宋体"/>
          <w:color w:val="auto"/>
          <w:kern w:val="0"/>
          <w:sz w:val="24"/>
          <w:szCs w:val="24"/>
          <w:highlight w:val="none"/>
        </w:rPr>
        <w:t xml:space="preserve">  B.法定代表人或负责人或实际控制人是夫妻关系</w:t>
      </w:r>
    </w:p>
    <w:p w14:paraId="144D3F18">
      <w:pPr>
        <w:pStyle w:val="33"/>
        <w:widowControl w:val="0"/>
        <w:shd w:val="clear"/>
        <w:snapToGrid w:val="0"/>
        <w:spacing w:line="460" w:lineRule="exact"/>
        <w:jc w:val="both"/>
        <w:rPr>
          <w:rFonts w:hint="default" w:hAnsi="宋体"/>
          <w:color w:val="auto"/>
          <w:spacing w:val="6"/>
          <w:sz w:val="24"/>
          <w:szCs w:val="24"/>
          <w:highlight w:val="none"/>
        </w:rPr>
      </w:pPr>
      <w:r>
        <w:rPr>
          <w:rFonts w:hAnsi="宋体"/>
          <w:color w:val="auto"/>
          <w:kern w:val="0"/>
          <w:sz w:val="24"/>
          <w:szCs w:val="24"/>
          <w:highlight w:val="none"/>
        </w:rPr>
        <w:t xml:space="preserve">  C.法定代表人或负责人或实际控制人是直系血亲关系</w:t>
      </w:r>
    </w:p>
    <w:p w14:paraId="216B3F27">
      <w:pPr>
        <w:pStyle w:val="33"/>
        <w:widowControl w:val="0"/>
        <w:shd w:val="clear"/>
        <w:snapToGrid w:val="0"/>
        <w:spacing w:line="460" w:lineRule="exact"/>
        <w:jc w:val="both"/>
        <w:rPr>
          <w:rFonts w:hint="default" w:hAnsi="宋体"/>
          <w:color w:val="auto"/>
          <w:spacing w:val="6"/>
          <w:sz w:val="24"/>
          <w:szCs w:val="24"/>
          <w:highlight w:val="none"/>
        </w:rPr>
      </w:pPr>
      <w:r>
        <w:rPr>
          <w:rFonts w:hAnsi="宋体"/>
          <w:color w:val="auto"/>
          <w:kern w:val="0"/>
          <w:sz w:val="24"/>
          <w:szCs w:val="24"/>
          <w:highlight w:val="none"/>
        </w:rPr>
        <w:t xml:space="preserve">  D.法定代表人或负责人或实际控制人存在三代以内旁系血亲关系</w:t>
      </w:r>
    </w:p>
    <w:p w14:paraId="46261FF3">
      <w:pPr>
        <w:pStyle w:val="33"/>
        <w:widowControl w:val="0"/>
        <w:shd w:val="clear"/>
        <w:snapToGrid w:val="0"/>
        <w:spacing w:line="460" w:lineRule="exact"/>
        <w:jc w:val="both"/>
        <w:rPr>
          <w:rFonts w:hAnsi="宋体"/>
          <w:color w:val="auto"/>
          <w:kern w:val="0"/>
          <w:sz w:val="24"/>
          <w:szCs w:val="24"/>
          <w:highlight w:val="none"/>
        </w:rPr>
      </w:pPr>
      <w:r>
        <w:rPr>
          <w:rFonts w:hAnsi="宋体"/>
          <w:color w:val="auto"/>
          <w:kern w:val="0"/>
          <w:sz w:val="24"/>
          <w:szCs w:val="24"/>
          <w:highlight w:val="none"/>
        </w:rPr>
        <w:t xml:space="preserve">  E.法定代表人或负责人或实际控制人存在近姻亲关系</w:t>
      </w:r>
    </w:p>
    <w:p w14:paraId="3ADC29A3">
      <w:pPr>
        <w:pStyle w:val="33"/>
        <w:widowControl w:val="0"/>
        <w:shd w:val="clear"/>
        <w:snapToGrid w:val="0"/>
        <w:spacing w:line="460" w:lineRule="exact"/>
        <w:jc w:val="both"/>
        <w:rPr>
          <w:rFonts w:hAnsi="宋体"/>
          <w:color w:val="auto"/>
          <w:kern w:val="0"/>
          <w:sz w:val="24"/>
          <w:szCs w:val="24"/>
          <w:highlight w:val="none"/>
        </w:rPr>
      </w:pPr>
      <w:r>
        <w:rPr>
          <w:rFonts w:hAnsi="宋体"/>
          <w:color w:val="auto"/>
          <w:kern w:val="0"/>
          <w:sz w:val="24"/>
          <w:szCs w:val="24"/>
          <w:highlight w:val="none"/>
        </w:rPr>
        <w:t xml:space="preserve">  F.法定代表人或负责人或实际控制人存在股份控制或实际控制关系</w:t>
      </w:r>
    </w:p>
    <w:p w14:paraId="3E0CCC3C">
      <w:pPr>
        <w:pStyle w:val="33"/>
        <w:widowControl w:val="0"/>
        <w:shd w:val="clear"/>
        <w:snapToGrid w:val="0"/>
        <w:spacing w:line="460" w:lineRule="exact"/>
        <w:jc w:val="both"/>
        <w:rPr>
          <w:rFonts w:hAnsi="宋体"/>
          <w:color w:val="auto"/>
          <w:kern w:val="0"/>
          <w:sz w:val="24"/>
          <w:szCs w:val="24"/>
          <w:highlight w:val="none"/>
        </w:rPr>
      </w:pPr>
      <w:r>
        <w:rPr>
          <w:rFonts w:hAnsi="宋体"/>
          <w:color w:val="auto"/>
          <w:kern w:val="0"/>
          <w:sz w:val="24"/>
          <w:szCs w:val="24"/>
          <w:highlight w:val="none"/>
        </w:rPr>
        <w:t xml:space="preserve">  G.存在共同直接或间接投资设立子公司、联营企业和合营企业情况</w:t>
      </w:r>
    </w:p>
    <w:p w14:paraId="46EE1DD0">
      <w:pPr>
        <w:pStyle w:val="33"/>
        <w:widowControl w:val="0"/>
        <w:shd w:val="clear"/>
        <w:snapToGrid w:val="0"/>
        <w:spacing w:line="460" w:lineRule="exact"/>
        <w:jc w:val="both"/>
        <w:rPr>
          <w:rFonts w:hAnsi="宋体"/>
          <w:color w:val="auto"/>
          <w:sz w:val="24"/>
          <w:szCs w:val="24"/>
          <w:highlight w:val="none"/>
        </w:rPr>
      </w:pPr>
      <w:r>
        <w:rPr>
          <w:rFonts w:hAnsi="宋体"/>
          <w:color w:val="auto"/>
          <w:kern w:val="0"/>
          <w:sz w:val="24"/>
          <w:szCs w:val="24"/>
          <w:highlight w:val="none"/>
        </w:rPr>
        <w:t xml:space="preserve">  H.存在分级代理或代销关系、同一生产制造商关系、管理关系、重要业务（占</w:t>
      </w:r>
      <w:r>
        <w:rPr>
          <w:rFonts w:hAnsi="宋体"/>
          <w:color w:val="auto"/>
          <w:sz w:val="24"/>
          <w:szCs w:val="24"/>
          <w:highlight w:val="none"/>
        </w:rPr>
        <w:t>主营业务收入50%以上）或重要财务往来关系（如融资）等其他实质性控制关系</w:t>
      </w:r>
    </w:p>
    <w:p w14:paraId="64C0AA6E">
      <w:pPr>
        <w:pStyle w:val="33"/>
        <w:widowControl w:val="0"/>
        <w:shd w:val="clear"/>
        <w:snapToGrid w:val="0"/>
        <w:spacing w:line="460" w:lineRule="exact"/>
        <w:jc w:val="both"/>
        <w:rPr>
          <w:rFonts w:hint="default" w:hAnsi="宋体"/>
          <w:color w:val="auto"/>
          <w:spacing w:val="6"/>
          <w:sz w:val="24"/>
          <w:szCs w:val="24"/>
          <w:highlight w:val="none"/>
        </w:rPr>
      </w:pPr>
      <w:r>
        <w:rPr>
          <w:rFonts w:hAnsi="宋体"/>
          <w:color w:val="auto"/>
          <w:sz w:val="24"/>
          <w:szCs w:val="24"/>
          <w:highlight w:val="none"/>
        </w:rPr>
        <w:t xml:space="preserve">    I</w:t>
      </w:r>
      <w:r>
        <w:rPr>
          <w:rFonts w:hAnsi="宋体"/>
          <w:color w:val="auto"/>
          <w:kern w:val="0"/>
          <w:sz w:val="24"/>
          <w:szCs w:val="24"/>
          <w:highlight w:val="none"/>
        </w:rPr>
        <w:t>.</w:t>
      </w:r>
      <w:r>
        <w:rPr>
          <w:rFonts w:hAnsi="宋体"/>
          <w:color w:val="auto"/>
          <w:sz w:val="24"/>
          <w:szCs w:val="24"/>
          <w:highlight w:val="none"/>
        </w:rPr>
        <w:t>其他利害关系情况</w:t>
      </w:r>
      <w:r>
        <w:rPr>
          <w:rFonts w:hAnsi="宋体"/>
          <w:color w:val="auto"/>
          <w:sz w:val="24"/>
          <w:szCs w:val="24"/>
          <w:highlight w:val="none"/>
          <w:u w:val="single"/>
        </w:rPr>
        <w:t xml:space="preserve">                              </w:t>
      </w:r>
      <w:r>
        <w:rPr>
          <w:rFonts w:hAnsi="宋体"/>
          <w:color w:val="auto"/>
          <w:kern w:val="0"/>
          <w:sz w:val="24"/>
          <w:szCs w:val="24"/>
          <w:highlight w:val="none"/>
        </w:rPr>
        <w:t>。</w:t>
      </w:r>
    </w:p>
    <w:p w14:paraId="348E348D">
      <w:pPr>
        <w:pStyle w:val="34"/>
        <w:widowControl/>
        <w:numPr>
          <w:ilvl w:val="0"/>
          <w:numId w:val="8"/>
        </w:numPr>
        <w:shd w:val="clear"/>
        <w:snapToGrid w:val="0"/>
        <w:spacing w:line="460" w:lineRule="exact"/>
        <w:ind w:firstLine="453" w:firstLineChars="189"/>
        <w:rPr>
          <w:rFonts w:ascii="宋体" w:hAnsi="宋体"/>
          <w:color w:val="auto"/>
          <w:kern w:val="0"/>
          <w:sz w:val="24"/>
          <w:szCs w:val="24"/>
          <w:highlight w:val="none"/>
        </w:rPr>
      </w:pPr>
      <w:r>
        <w:rPr>
          <w:rFonts w:ascii="宋体" w:hAnsi="宋体"/>
          <w:color w:val="auto"/>
          <w:sz w:val="24"/>
          <w:szCs w:val="24"/>
          <w:highlight w:val="none"/>
        </w:rPr>
        <w:t>现已清楚知道并</w:t>
      </w:r>
      <w:r>
        <w:rPr>
          <w:rFonts w:ascii="宋体" w:hAnsi="宋体"/>
          <w:color w:val="auto"/>
          <w:kern w:val="0"/>
          <w:sz w:val="24"/>
          <w:szCs w:val="24"/>
          <w:highlight w:val="none"/>
        </w:rPr>
        <w:t>严格遵守政府采购法律法规和现场纪律。</w:t>
      </w:r>
    </w:p>
    <w:p w14:paraId="30C823DD">
      <w:pPr>
        <w:pStyle w:val="34"/>
        <w:widowControl/>
        <w:numPr>
          <w:ilvl w:val="0"/>
          <w:numId w:val="8"/>
        </w:numPr>
        <w:shd w:val="clear"/>
        <w:snapToGrid w:val="0"/>
        <w:spacing w:line="460" w:lineRule="exact"/>
        <w:ind w:firstLine="453" w:firstLineChars="189"/>
        <w:rPr>
          <w:rFonts w:hint="default" w:ascii="宋体" w:hAnsi="宋体"/>
          <w:color w:val="auto"/>
          <w:kern w:val="0"/>
          <w:sz w:val="24"/>
          <w:szCs w:val="24"/>
          <w:highlight w:val="none"/>
        </w:rPr>
      </w:pPr>
      <w:r>
        <w:rPr>
          <w:rFonts w:ascii="宋体" w:hAnsi="宋体"/>
          <w:color w:val="auto"/>
          <w:kern w:val="0"/>
          <w:sz w:val="24"/>
          <w:szCs w:val="24"/>
          <w:highlight w:val="none"/>
        </w:rPr>
        <w:t>我发现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供应商之间存在或可能存在上述第二条第</w:t>
      </w:r>
      <w:r>
        <w:rPr>
          <w:rFonts w:ascii="宋体" w:hAnsi="宋体"/>
          <w:color w:val="auto"/>
          <w:kern w:val="0"/>
          <w:sz w:val="24"/>
          <w:szCs w:val="24"/>
          <w:highlight w:val="none"/>
          <w:u w:val="single"/>
        </w:rPr>
        <w:t xml:space="preserve">      </w:t>
      </w:r>
      <w:r>
        <w:rPr>
          <w:rFonts w:hint="default" w:ascii="宋体" w:hAnsi="宋体"/>
          <w:color w:val="auto"/>
          <w:kern w:val="0"/>
          <w:sz w:val="24"/>
          <w:szCs w:val="24"/>
          <w:highlight w:val="none"/>
          <w:u w:val="single"/>
        </w:rPr>
        <w:t xml:space="preserve">  </w:t>
      </w:r>
      <w:r>
        <w:rPr>
          <w:rFonts w:ascii="宋体" w:hAnsi="宋体"/>
          <w:color w:val="auto"/>
          <w:kern w:val="0"/>
          <w:sz w:val="24"/>
          <w:szCs w:val="24"/>
          <w:highlight w:val="none"/>
        </w:rPr>
        <w:t>项利害关系。</w:t>
      </w:r>
    </w:p>
    <w:p w14:paraId="17AB0A44">
      <w:pPr>
        <w:pStyle w:val="33"/>
        <w:widowControl w:val="0"/>
        <w:shd w:val="clear"/>
        <w:snapToGrid w:val="0"/>
        <w:spacing w:line="460" w:lineRule="exact"/>
        <w:ind w:firstLine="480" w:firstLineChars="200"/>
        <w:jc w:val="right"/>
        <w:rPr>
          <w:rFonts w:hAnsi="宋体"/>
          <w:color w:val="auto"/>
          <w:sz w:val="24"/>
          <w:szCs w:val="24"/>
          <w:highlight w:val="none"/>
        </w:rPr>
      </w:pPr>
      <w:r>
        <w:rPr>
          <w:rFonts w:hAnsi="宋体"/>
          <w:color w:val="auto"/>
          <w:sz w:val="24"/>
          <w:szCs w:val="24"/>
          <w:highlight w:val="none"/>
        </w:rPr>
        <w:t xml:space="preserve">         供应商代表签名：</w:t>
      </w:r>
    </w:p>
    <w:p w14:paraId="1FE7B490">
      <w:pPr>
        <w:pStyle w:val="8"/>
        <w:shd w:val="clear"/>
        <w:adjustRightInd w:val="0"/>
        <w:snapToGrid w:val="0"/>
        <w:spacing w:line="360" w:lineRule="auto"/>
        <w:jc w:val="right"/>
        <w:rPr>
          <w:rFonts w:hAnsi="宋体"/>
          <w:color w:val="auto"/>
          <w:sz w:val="24"/>
          <w:szCs w:val="24"/>
          <w:highlight w:val="none"/>
        </w:rPr>
      </w:pPr>
      <w:r>
        <w:rPr>
          <w:rFonts w:hAnsi="宋体"/>
          <w:color w:val="auto"/>
          <w:sz w:val="24"/>
          <w:szCs w:val="24"/>
          <w:highlight w:val="none"/>
        </w:rPr>
        <w:t xml:space="preserve">                  </w:t>
      </w:r>
      <w:r>
        <w:rPr>
          <w:rFonts w:hint="eastAsia" w:hAnsi="宋体"/>
          <w:color w:val="auto"/>
          <w:sz w:val="24"/>
          <w:szCs w:val="24"/>
          <w:highlight w:val="none"/>
          <w:lang w:eastAsia="zh-CN"/>
        </w:rPr>
        <w:t>2026年 月 日</w:t>
      </w:r>
    </w:p>
    <w:p w14:paraId="1D8EED48">
      <w:pPr>
        <w:pStyle w:val="8"/>
        <w:shd w:val="clear"/>
        <w:adjustRightInd w:val="0"/>
        <w:snapToGrid w:val="0"/>
        <w:spacing w:line="360" w:lineRule="auto"/>
        <w:jc w:val="left"/>
        <w:rPr>
          <w:color w:val="auto"/>
          <w:highlight w:val="none"/>
        </w:rPr>
      </w:pPr>
      <w:r>
        <w:rPr>
          <w:rFonts w:hAnsi="宋体" w:cs="宋体"/>
          <w:b/>
          <w:bCs/>
          <w:color w:val="auto"/>
          <w:sz w:val="24"/>
          <w:szCs w:val="24"/>
          <w:highlight w:val="none"/>
        </w:rPr>
        <w:t>（供应商解密投标文件并获知其他供应商信息后进行如实声明并签字，以扫描件形式提交给招标代理机构。邮箱：</w:t>
      </w:r>
      <w:r>
        <w:rPr>
          <w:rFonts w:hint="eastAsia" w:hAnsi="宋体" w:cs="宋体"/>
          <w:b/>
          <w:bCs/>
          <w:color w:val="auto"/>
          <w:sz w:val="24"/>
          <w:szCs w:val="24"/>
          <w:highlight w:val="none"/>
          <w:lang w:val="en-US" w:eastAsia="zh-CN"/>
        </w:rPr>
        <w:t>986883092</w:t>
      </w:r>
      <w:r>
        <w:rPr>
          <w:rFonts w:hAnsi="宋体" w:cs="宋体"/>
          <w:b/>
          <w:bCs/>
          <w:color w:val="auto"/>
          <w:sz w:val="24"/>
          <w:szCs w:val="24"/>
          <w:highlight w:val="none"/>
        </w:rPr>
        <w:t>@qq.com，此声明书不用编入磋商响应文件中。）</w:t>
      </w:r>
    </w:p>
    <w:p w14:paraId="4139A170">
      <w:pPr>
        <w:pStyle w:val="3"/>
        <w:numPr>
          <w:ilvl w:val="0"/>
          <w:numId w:val="0"/>
        </w:numPr>
        <w:shd w:val="clear"/>
        <w:rPr>
          <w:rFonts w:ascii="宋体" w:hAnsi="宋体" w:eastAsia="宋体" w:cs="宋体"/>
          <w:color w:val="auto"/>
          <w:sz w:val="28"/>
          <w:szCs w:val="28"/>
          <w:highlight w:val="none"/>
        </w:rPr>
      </w:pPr>
      <w:bookmarkStart w:id="288" w:name="_Toc5469"/>
      <w:bookmarkStart w:id="289" w:name="_Toc11079"/>
      <w:bookmarkStart w:id="290" w:name="_Toc31814"/>
      <w:bookmarkStart w:id="291" w:name="_Toc20607"/>
    </w:p>
    <w:p w14:paraId="419E3D3E">
      <w:pPr>
        <w:pStyle w:val="3"/>
        <w:numPr>
          <w:ilvl w:val="0"/>
          <w:numId w:val="0"/>
        </w:numPr>
        <w:shd w:val="clear"/>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r>
        <w:rPr>
          <w:rFonts w:ascii="宋体" w:hAnsi="宋体" w:eastAsia="宋体" w:cs="宋体"/>
          <w:color w:val="auto"/>
          <w:sz w:val="28"/>
          <w:szCs w:val="28"/>
          <w:highlight w:val="none"/>
        </w:rPr>
        <w:t>磋商响应文件封面</w:t>
      </w:r>
      <w:bookmarkEnd w:id="286"/>
      <w:bookmarkEnd w:id="287"/>
      <w:bookmarkEnd w:id="288"/>
      <w:bookmarkEnd w:id="289"/>
      <w:bookmarkEnd w:id="290"/>
      <w:bookmarkEnd w:id="291"/>
    </w:p>
    <w:p w14:paraId="7906F009">
      <w:pPr>
        <w:shd w:val="clear"/>
        <w:tabs>
          <w:tab w:val="left" w:pos="4500"/>
        </w:tabs>
        <w:autoSpaceDE w:val="0"/>
        <w:autoSpaceDN w:val="0"/>
        <w:adjustRightInd w:val="0"/>
        <w:snapToGrid w:val="0"/>
        <w:spacing w:line="336" w:lineRule="auto"/>
        <w:jc w:val="center"/>
        <w:textAlignment w:val="bottom"/>
        <w:rPr>
          <w:rFonts w:hint="eastAsia" w:ascii="宋体" w:hAnsi="宋体" w:cs="宋体"/>
          <w:b/>
          <w:color w:val="auto"/>
          <w:sz w:val="44"/>
          <w:szCs w:val="44"/>
          <w:highlight w:val="none"/>
          <w:lang w:val="en" w:eastAsia="zh-CN"/>
        </w:rPr>
      </w:pPr>
    </w:p>
    <w:p w14:paraId="17A52570">
      <w:pPr>
        <w:shd w:val="clear"/>
        <w:tabs>
          <w:tab w:val="left" w:pos="4500"/>
        </w:tabs>
        <w:autoSpaceDE w:val="0"/>
        <w:autoSpaceDN w:val="0"/>
        <w:adjustRightInd w:val="0"/>
        <w:snapToGrid w:val="0"/>
        <w:spacing w:line="336" w:lineRule="auto"/>
        <w:jc w:val="center"/>
        <w:textAlignment w:val="bottom"/>
        <w:rPr>
          <w:rFonts w:hint="eastAsia" w:ascii="宋体" w:hAnsi="宋体" w:eastAsia="宋体" w:cs="宋体"/>
          <w:b/>
          <w:color w:val="auto"/>
          <w:sz w:val="44"/>
          <w:szCs w:val="44"/>
          <w:highlight w:val="none"/>
          <w:lang w:val="en" w:eastAsia="zh-CN"/>
        </w:rPr>
      </w:pPr>
      <w:r>
        <w:rPr>
          <w:rFonts w:hint="eastAsia" w:ascii="宋体" w:hAnsi="宋体" w:cs="宋体"/>
          <w:b/>
          <w:color w:val="auto"/>
          <w:sz w:val="44"/>
          <w:szCs w:val="44"/>
          <w:highlight w:val="none"/>
          <w:lang w:val="en" w:eastAsia="zh-CN"/>
        </w:rPr>
        <w:t>衢州科技大市场运营服务</w:t>
      </w:r>
    </w:p>
    <w:p w14:paraId="2D0171C6">
      <w:pPr>
        <w:shd w:val="clear"/>
        <w:spacing w:before="24" w:beforeLines="10" w:line="360" w:lineRule="auto"/>
        <w:jc w:val="center"/>
        <w:rPr>
          <w:rFonts w:ascii="宋体" w:hAnsi="宋体" w:cs="宋体"/>
          <w:b/>
          <w:color w:val="auto"/>
          <w:sz w:val="32"/>
          <w:szCs w:val="32"/>
          <w:highlight w:val="none"/>
        </w:rPr>
      </w:pPr>
      <w:r>
        <w:rPr>
          <w:rFonts w:ascii="宋体" w:hAnsi="宋体" w:cs="宋体"/>
          <w:b/>
          <w:color w:val="auto"/>
          <w:sz w:val="32"/>
          <w:szCs w:val="32"/>
          <w:highlight w:val="none"/>
        </w:rPr>
        <w:t xml:space="preserve">项目编号： </w:t>
      </w:r>
      <w:r>
        <w:rPr>
          <w:rFonts w:hint="eastAsia" w:ascii="宋体" w:hAnsi="宋体" w:cs="宋体"/>
          <w:b/>
          <w:color w:val="auto"/>
          <w:sz w:val="32"/>
          <w:szCs w:val="32"/>
          <w:highlight w:val="none"/>
          <w:lang w:eastAsia="zh-CN"/>
        </w:rPr>
        <w:t>ZZCG2026012</w:t>
      </w:r>
    </w:p>
    <w:p w14:paraId="248BC39A">
      <w:pPr>
        <w:shd w:val="clear"/>
        <w:adjustRightInd w:val="0"/>
        <w:snapToGrid w:val="0"/>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磋</w:t>
      </w:r>
    </w:p>
    <w:p w14:paraId="3D32836F">
      <w:pPr>
        <w:shd w:val="clear"/>
        <w:adjustRightInd w:val="0"/>
        <w:snapToGrid w:val="0"/>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商</w:t>
      </w:r>
    </w:p>
    <w:p w14:paraId="535C2498">
      <w:pPr>
        <w:shd w:val="clear"/>
        <w:adjustRightInd w:val="0"/>
        <w:snapToGrid w:val="0"/>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响</w:t>
      </w:r>
    </w:p>
    <w:p w14:paraId="79D069DA">
      <w:pPr>
        <w:shd w:val="clear"/>
        <w:adjustRightInd w:val="0"/>
        <w:snapToGrid w:val="0"/>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应</w:t>
      </w:r>
    </w:p>
    <w:p w14:paraId="54E2D177">
      <w:pPr>
        <w:shd w:val="clear"/>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文</w:t>
      </w:r>
    </w:p>
    <w:p w14:paraId="051CF4B9">
      <w:pPr>
        <w:shd w:val="clear"/>
        <w:spacing w:line="360" w:lineRule="auto"/>
        <w:jc w:val="center"/>
        <w:rPr>
          <w:rFonts w:ascii="宋体" w:hAnsi="宋体" w:cs="宋体"/>
          <w:color w:val="auto"/>
          <w:sz w:val="72"/>
          <w:szCs w:val="72"/>
          <w:highlight w:val="none"/>
        </w:rPr>
      </w:pPr>
      <w:r>
        <w:rPr>
          <w:rFonts w:ascii="宋体" w:hAnsi="宋体" w:cs="宋体"/>
          <w:color w:val="auto"/>
          <w:sz w:val="72"/>
          <w:szCs w:val="72"/>
          <w:highlight w:val="none"/>
        </w:rPr>
        <w:t>件</w:t>
      </w:r>
    </w:p>
    <w:p w14:paraId="6EC59D13">
      <w:pPr>
        <w:shd w:val="clear"/>
        <w:spacing w:line="360" w:lineRule="auto"/>
        <w:jc w:val="center"/>
        <w:rPr>
          <w:rFonts w:ascii="宋体" w:hAnsi="宋体" w:cs="宋体"/>
          <w:color w:val="auto"/>
          <w:sz w:val="32"/>
          <w:highlight w:val="none"/>
        </w:rPr>
      </w:pPr>
      <w:r>
        <w:rPr>
          <w:rFonts w:ascii="宋体" w:hAnsi="宋体" w:cs="宋体"/>
          <w:color w:val="auto"/>
          <w:sz w:val="32"/>
          <w:highlight w:val="none"/>
        </w:rPr>
        <w:t>磋商响应供应商全称：（加盖单位公章）</w:t>
      </w:r>
    </w:p>
    <w:p w14:paraId="1D2FE5CD">
      <w:pPr>
        <w:shd w:val="clear"/>
        <w:spacing w:line="360" w:lineRule="auto"/>
        <w:jc w:val="center"/>
        <w:rPr>
          <w:rFonts w:ascii="宋体" w:hAnsi="宋体" w:cs="宋体"/>
          <w:color w:val="auto"/>
          <w:sz w:val="32"/>
          <w:highlight w:val="none"/>
        </w:rPr>
        <w:sectPr>
          <w:footerReference r:id="rId12" w:type="first"/>
          <w:footerReference r:id="rId10" w:type="default"/>
          <w:footerReference r:id="rId11" w:type="even"/>
          <w:endnotePr>
            <w:numFmt w:val="decimal"/>
          </w:endnotePr>
          <w:type w:val="continuous"/>
          <w:pgSz w:w="11906" w:h="16838"/>
          <w:pgMar w:top="1440" w:right="1440" w:bottom="1440" w:left="1440" w:header="851" w:footer="851" w:gutter="0"/>
          <w:pgNumType w:fmt="decimal"/>
          <w:cols w:space="720" w:num="1"/>
          <w:titlePg/>
          <w:docGrid w:linePitch="381" w:charSpace="0"/>
        </w:sectPr>
      </w:pPr>
      <w:r>
        <w:rPr>
          <w:rFonts w:ascii="宋体" w:hAnsi="宋体" w:cs="宋体"/>
          <w:color w:val="auto"/>
          <w:sz w:val="32"/>
          <w:highlight w:val="none"/>
        </w:rPr>
        <w:t>年   月   日</w:t>
      </w:r>
      <w:bookmarkEnd w:id="38"/>
      <w:bookmarkEnd w:id="39"/>
      <w:bookmarkEnd w:id="40"/>
      <w:bookmarkEnd w:id="41"/>
      <w:bookmarkEnd w:id="236"/>
    </w:p>
    <w:p w14:paraId="5FD5CB1A">
      <w:pPr>
        <w:pStyle w:val="2"/>
        <w:shd w:val="clear"/>
        <w:rPr>
          <w:rFonts w:ascii="宋体" w:hAnsi="宋体" w:cs="宋体"/>
          <w:color w:val="auto"/>
          <w:highlight w:val="none"/>
        </w:rPr>
      </w:pPr>
      <w:bookmarkStart w:id="292" w:name="_Toc30406"/>
      <w:r>
        <w:rPr>
          <w:rFonts w:ascii="宋体" w:hAnsi="宋体" w:cs="宋体"/>
          <w:color w:val="auto"/>
          <w:highlight w:val="none"/>
        </w:rPr>
        <w:t>第六部分  评分办法</w:t>
      </w:r>
      <w:bookmarkEnd w:id="292"/>
    </w:p>
    <w:p w14:paraId="6C31FEF2">
      <w:pPr>
        <w:pStyle w:val="35"/>
        <w:keepNext/>
        <w:keepLines/>
        <w:widowControl w:val="0"/>
        <w:shd w:val="clear"/>
        <w:tabs>
          <w:tab w:val="left" w:pos="706"/>
          <w:tab w:val="left" w:pos="111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jc w:val="center"/>
        <w:outlineLvl w:val="1"/>
        <w:rPr>
          <w:rFonts w:hint="eastAsia" w:ascii="宋体" w:hAnsi="宋体" w:eastAsia="宋体" w:cs="宋体"/>
          <w:b/>
          <w:bCs/>
          <w:color w:val="auto"/>
          <w:kern w:val="2"/>
          <w:sz w:val="24"/>
          <w:szCs w:val="24"/>
          <w:highlight w:val="none"/>
          <w:lang w:eastAsia="zh-CN"/>
        </w:rPr>
      </w:pPr>
      <w:bookmarkStart w:id="293" w:name="_Toc9051"/>
      <w:bookmarkStart w:id="294" w:name="_Toc6852"/>
      <w:bookmarkStart w:id="295" w:name="_Toc27013"/>
      <w:bookmarkStart w:id="296" w:name="_Toc32558"/>
      <w:bookmarkStart w:id="297" w:name="_Toc6494399"/>
      <w:bookmarkStart w:id="298" w:name="_Toc31700"/>
      <w:r>
        <w:rPr>
          <w:rFonts w:hint="eastAsia" w:ascii="宋体" w:hAnsi="宋体" w:eastAsia="宋体" w:cs="宋体"/>
          <w:b/>
          <w:bCs/>
          <w:color w:val="auto"/>
          <w:kern w:val="2"/>
          <w:sz w:val="24"/>
          <w:szCs w:val="24"/>
          <w:highlight w:val="none"/>
          <w:lang w:eastAsia="zh-CN"/>
        </w:rPr>
        <w:t>一、评分办法</w:t>
      </w:r>
      <w:bookmarkEnd w:id="293"/>
      <w:bookmarkEnd w:id="294"/>
      <w:bookmarkEnd w:id="295"/>
      <w:bookmarkEnd w:id="296"/>
      <w:bookmarkEnd w:id="297"/>
      <w:bookmarkEnd w:id="298"/>
    </w:p>
    <w:p w14:paraId="494CE436">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lang w:eastAsia="zh-CN"/>
        </w:rPr>
        <w:t>本项目评分采用：</w:t>
      </w:r>
      <w:r>
        <w:rPr>
          <w:rFonts w:hint="eastAsia" w:ascii="宋体" w:hAnsi="宋体" w:eastAsia="宋体" w:cs="宋体"/>
          <w:color w:val="auto"/>
          <w:kern w:val="2"/>
          <w:sz w:val="24"/>
          <w:szCs w:val="24"/>
          <w:highlight w:val="none"/>
          <w:u w:val="single"/>
          <w:lang w:eastAsia="zh-CN"/>
        </w:rPr>
        <w:t>综合评分法。即在磋商响应文件满足磋商文件全部实质性要求的前提下，按照评审因素的量化指标评审得分从高到低的顺序推荐供应商为第一、第二、</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lang w:eastAsia="zh-CN"/>
        </w:rPr>
        <w:t>成交候选人的磋商办法。</w:t>
      </w:r>
    </w:p>
    <w:p w14:paraId="0205C9B8">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磋商响应供应商的评审得分</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商务技术分</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价格分。</w:t>
      </w:r>
    </w:p>
    <w:p w14:paraId="0637369F">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lang w:eastAsia="zh-CN"/>
        </w:rPr>
        <w:t>评分过程中采用四舍五入法，并保留小数</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位。</w:t>
      </w:r>
    </w:p>
    <w:p w14:paraId="223DB418">
      <w:pPr>
        <w:pStyle w:val="35"/>
        <w:keepNext/>
        <w:keepLines/>
        <w:widowControl w:val="0"/>
        <w:shd w:val="clear"/>
        <w:tabs>
          <w:tab w:val="left" w:pos="706"/>
          <w:tab w:val="left" w:pos="111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jc w:val="center"/>
        <w:outlineLvl w:val="1"/>
        <w:rPr>
          <w:rFonts w:hint="eastAsia" w:ascii="宋体" w:hAnsi="宋体" w:eastAsia="宋体" w:cs="宋体"/>
          <w:b/>
          <w:bCs/>
          <w:color w:val="auto"/>
          <w:kern w:val="2"/>
          <w:sz w:val="24"/>
          <w:szCs w:val="24"/>
          <w:highlight w:val="none"/>
          <w:lang w:eastAsia="zh-CN"/>
        </w:rPr>
      </w:pPr>
      <w:bookmarkStart w:id="299" w:name="_Toc29574"/>
      <w:bookmarkStart w:id="300" w:name="_Toc15723"/>
      <w:bookmarkStart w:id="301" w:name="_Toc21649"/>
      <w:bookmarkStart w:id="302" w:name="_Toc17872"/>
      <w:bookmarkStart w:id="303" w:name="_Toc6494400"/>
      <w:bookmarkStart w:id="304" w:name="_Toc20723"/>
      <w:r>
        <w:rPr>
          <w:rFonts w:hint="eastAsia" w:ascii="宋体" w:hAnsi="宋体" w:eastAsia="宋体" w:cs="宋体"/>
          <w:b/>
          <w:bCs/>
          <w:color w:val="auto"/>
          <w:kern w:val="2"/>
          <w:sz w:val="24"/>
          <w:szCs w:val="24"/>
          <w:highlight w:val="none"/>
          <w:lang w:eastAsia="zh-CN"/>
        </w:rPr>
        <w:t>二、评分细则</w:t>
      </w:r>
      <w:bookmarkEnd w:id="299"/>
      <w:bookmarkEnd w:id="300"/>
      <w:bookmarkEnd w:id="301"/>
      <w:bookmarkEnd w:id="302"/>
      <w:bookmarkEnd w:id="303"/>
      <w:bookmarkEnd w:id="304"/>
    </w:p>
    <w:p w14:paraId="0882EF2B">
      <w:pPr>
        <w:shd w:val="clear"/>
        <w:spacing w:line="360" w:lineRule="auto"/>
        <w:rPr>
          <w:color w:val="auto"/>
          <w:szCs w:val="24"/>
          <w:highlight w:val="none"/>
        </w:rPr>
      </w:pPr>
      <w:r>
        <w:rPr>
          <w:rFonts w:hint="eastAsia" w:ascii="宋体" w:hAnsi="宋体" w:eastAsia="宋体" w:cs="宋体"/>
          <w:b/>
          <w:bCs/>
          <w:color w:val="auto"/>
          <w:kern w:val="2"/>
          <w:sz w:val="24"/>
          <w:szCs w:val="24"/>
          <w:highlight w:val="none"/>
          <w:lang w:eastAsia="zh-CN"/>
        </w:rPr>
        <w:t>（一）商务技术评分表：</w:t>
      </w:r>
      <w:r>
        <w:rPr>
          <w:rFonts w:hint="eastAsia" w:ascii="宋体" w:hAnsi="宋体" w:cs="宋体"/>
          <w:bCs/>
          <w:color w:val="auto"/>
          <w:sz w:val="24"/>
          <w:szCs w:val="24"/>
          <w:highlight w:val="none"/>
          <w:lang w:val="en-US" w:eastAsia="zh-CN"/>
        </w:rPr>
        <w:t>90</w:t>
      </w:r>
      <w:r>
        <w:rPr>
          <w:rFonts w:hint="eastAsia" w:ascii="宋体" w:hAnsi="宋体" w:cs="宋体"/>
          <w:bCs/>
          <w:color w:val="auto"/>
          <w:sz w:val="24"/>
          <w:szCs w:val="24"/>
          <w:highlight w:val="none"/>
          <w:lang w:eastAsia="zh-CN"/>
        </w:rPr>
        <w:t>分</w:t>
      </w:r>
      <w:bookmarkStart w:id="305" w:name="_Toc22149"/>
    </w:p>
    <w:tbl>
      <w:tblPr>
        <w:tblStyle w:val="19"/>
        <w:tblW w:w="105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4"/>
        <w:gridCol w:w="1445"/>
        <w:gridCol w:w="6543"/>
        <w:gridCol w:w="750"/>
        <w:gridCol w:w="1175"/>
      </w:tblGrid>
      <w:tr w14:paraId="43BDD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5DF8497E">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7F57322">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53CFFB7F">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评分标准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75145E9">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9F91F53">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59261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A49BDFE">
            <w:pPr>
              <w:keepNext w:val="0"/>
              <w:keepLines w:val="0"/>
              <w:pageBreakBefore w:val="0"/>
              <w:widowControl/>
              <w:shd w:val="clear"/>
              <w:kinsoku/>
              <w:wordWrap/>
              <w:overflowPunct/>
              <w:topLinePunct w:val="0"/>
              <w:autoSpaceDE/>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0572BD">
            <w:pPr>
              <w:keepNext w:val="0"/>
              <w:keepLines w:val="0"/>
              <w:pageBreakBefore w:val="0"/>
              <w:shd w:val="clea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类似项目业绩</w:t>
            </w:r>
          </w:p>
          <w:p w14:paraId="5380611E">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val="0"/>
                <w:bCs w:val="0"/>
                <w:color w:val="auto"/>
                <w:sz w:val="24"/>
                <w:szCs w:val="24"/>
                <w:highlight w:val="none"/>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5E8224CF">
            <w:pPr>
              <w:keepNext w:val="0"/>
              <w:keepLines w:val="0"/>
              <w:pageBreakBefore w:val="0"/>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月1日起至磋商响应截止时间止（以合同签订时间为准）承接过类似项目业绩的每个得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分，最多得1分。</w:t>
            </w:r>
          </w:p>
          <w:p w14:paraId="3002ACD3">
            <w:pPr>
              <w:keepNext w:val="0"/>
              <w:keepLines w:val="0"/>
              <w:pageBreakBefore w:val="0"/>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val="0"/>
                <w:bCs w:val="0"/>
                <w:color w:val="auto"/>
                <w:sz w:val="24"/>
                <w:szCs w:val="24"/>
                <w:highlight w:val="none"/>
                <w:lang w:eastAsia="zh-CN"/>
              </w:rPr>
              <w:t>须提供项目合同原件扫描件并加盖电子签章，否则不得分。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E7B219">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AB2BE00">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16D8E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48EF37C1">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p>
        </w:tc>
        <w:tc>
          <w:tcPr>
            <w:tcW w:w="1445" w:type="dxa"/>
            <w:vMerge w:val="restart"/>
            <w:tcBorders>
              <w:left w:val="single" w:color="auto" w:sz="4" w:space="0"/>
              <w:right w:val="single" w:color="auto" w:sz="4" w:space="0"/>
            </w:tcBorders>
            <w:noWrap w:val="0"/>
            <w:vAlign w:val="center"/>
          </w:tcPr>
          <w:p w14:paraId="51AEA70F">
            <w:pPr>
              <w:keepNext w:val="0"/>
              <w:keepLines w:val="0"/>
              <w:pageBreakBefore w:val="0"/>
              <w:widowControl/>
              <w:numPr>
                <w:ilvl w:val="0"/>
                <w:numId w:val="0"/>
              </w:numPr>
              <w:shd w:val="clear"/>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项目团队人员配备情况</w:t>
            </w:r>
          </w:p>
          <w:p w14:paraId="51E46D90">
            <w:pPr>
              <w:keepNext w:val="0"/>
              <w:keepLines w:val="0"/>
              <w:pageBreakBefore w:val="0"/>
              <w:widowControl/>
              <w:numPr>
                <w:ilvl w:val="0"/>
                <w:numId w:val="0"/>
              </w:numPr>
              <w:shd w:val="clear"/>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4"/>
                <w:szCs w:val="24"/>
                <w:highlight w:val="none"/>
                <w:lang w:val="en-US" w:eastAsia="zh-CN"/>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2E280BA7">
            <w:pPr>
              <w:keepNext w:val="0"/>
              <w:keepLines w:val="0"/>
              <w:pageBreakBefore w:val="0"/>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根据拟派项目负责人的综合实力、专业素质、技术能力、经验等情况</w:t>
            </w:r>
            <w:r>
              <w:rPr>
                <w:rFonts w:hint="eastAsia" w:ascii="宋体" w:hAnsi="宋体" w:eastAsia="宋体" w:cs="宋体"/>
                <w:color w:val="auto"/>
                <w:sz w:val="24"/>
                <w:szCs w:val="24"/>
                <w:highlight w:val="none"/>
                <w:shd w:val="clear" w:color="auto" w:fill="auto"/>
                <w:lang w:val="en-US" w:eastAsia="zh-CN" w:bidi="ar"/>
              </w:rPr>
              <w:t>由评审小组进行综合评审，分值（4,3,2,1,0）。</w:t>
            </w:r>
          </w:p>
          <w:p w14:paraId="7F2487D4">
            <w:pPr>
              <w:keepNext w:val="0"/>
              <w:keepLines w:val="0"/>
              <w:pageBreakBefore w:val="0"/>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提供项目负责人近半年内任意一个月在投标单位的社保证明或者由市场监督管理局出具的股东证明（退休人员须提供退休证和返聘合同，人员为劳务派遣性质的， 还须提供相对应的劳务派遣合同）。</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E3E3DB">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D889148">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38C25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79A4D9AF">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445" w:type="dxa"/>
            <w:vMerge w:val="continue"/>
            <w:tcBorders>
              <w:left w:val="single" w:color="auto" w:sz="4" w:space="0"/>
              <w:right w:val="single" w:color="auto" w:sz="4" w:space="0"/>
            </w:tcBorders>
            <w:noWrap w:val="0"/>
            <w:vAlign w:val="center"/>
          </w:tcPr>
          <w:p w14:paraId="537A130A">
            <w:pPr>
              <w:keepNext w:val="0"/>
              <w:keepLines w:val="0"/>
              <w:pageBreakBefore w:val="0"/>
              <w:widowControl/>
              <w:shd w:val="clear"/>
              <w:kinsoku/>
              <w:wordWrap/>
              <w:overflowPunct/>
              <w:topLinePunct w:val="0"/>
              <w:autoSpaceDE/>
              <w:autoSpaceDN/>
              <w:bidi w:val="0"/>
              <w:spacing w:line="360" w:lineRule="exact"/>
              <w:jc w:val="center"/>
              <w:textAlignment w:val="auto"/>
              <w:rPr>
                <w:rFonts w:hint="eastAsia" w:ascii="宋体" w:hAnsi="宋体" w:eastAsia="宋体" w:cs="宋体"/>
                <w:color w:val="auto"/>
                <w:sz w:val="24"/>
                <w:szCs w:val="24"/>
                <w:highlight w:val="none"/>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14B64509">
            <w:pPr>
              <w:keepNext w:val="0"/>
              <w:keepLines w:val="0"/>
              <w:pageBreakBefore w:val="0"/>
              <w:widowControl/>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根据项目团队（不含项目负责人）人员学历专业、工作经验、执业资格等情况</w:t>
            </w:r>
            <w:r>
              <w:rPr>
                <w:rFonts w:hint="eastAsia" w:ascii="宋体" w:hAnsi="宋体" w:eastAsia="宋体" w:cs="宋体"/>
                <w:color w:val="auto"/>
                <w:sz w:val="24"/>
                <w:szCs w:val="24"/>
                <w:highlight w:val="none"/>
                <w:shd w:val="clear" w:color="auto" w:fill="auto"/>
                <w:lang w:val="en-US" w:eastAsia="zh-CN" w:bidi="ar"/>
              </w:rPr>
              <w:t>由评审小组进行综合评审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shd w:val="clear" w:color="auto" w:fill="auto"/>
                <w:lang w:val="en-US" w:eastAsia="zh-CN" w:bidi="ar"/>
              </w:rPr>
              <w:t>分值（6,5,4,3,2,1,0）。</w:t>
            </w:r>
          </w:p>
          <w:p w14:paraId="67CE31F3">
            <w:pPr>
              <w:keepNext w:val="0"/>
              <w:keepLines w:val="0"/>
              <w:pageBreakBefore w:val="0"/>
              <w:widowControl/>
              <w:shd w:val="clear"/>
              <w:kinsoku/>
              <w:wordWrap/>
              <w:overflowPunct/>
              <w:topLinePunct w:val="0"/>
              <w:autoSpaceDE/>
              <w:autoSpaceDN/>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提供人员名单、相关学历资格证书扫描件及近半年内任意一个月在投标单位的社保证明或者由市场监督管理局出具的股东证明（退休人员须提供退休证和返聘合同，人员为劳务派遣性质的， 还须提供相对应的劳务派遣合同）。</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6725C2E">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D23795C">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1B13E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C0CCA59">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445" w:type="dxa"/>
            <w:vMerge w:val="continue"/>
            <w:tcBorders>
              <w:left w:val="single" w:color="auto" w:sz="4" w:space="0"/>
              <w:bottom w:val="single" w:color="auto" w:sz="4" w:space="0"/>
              <w:right w:val="single" w:color="auto" w:sz="4" w:space="0"/>
            </w:tcBorders>
            <w:noWrap w:val="0"/>
            <w:vAlign w:val="center"/>
          </w:tcPr>
          <w:p w14:paraId="0FF3581B">
            <w:pPr>
              <w:keepNext w:val="0"/>
              <w:keepLines w:val="0"/>
              <w:pageBreakBefore w:val="0"/>
              <w:widowControl/>
              <w:shd w:val="clear"/>
              <w:kinsoku/>
              <w:wordWrap/>
              <w:overflowPunct/>
              <w:topLinePunct w:val="0"/>
              <w:autoSpaceDE/>
              <w:autoSpaceDN/>
              <w:bidi w:val="0"/>
              <w:spacing w:line="360" w:lineRule="exact"/>
              <w:jc w:val="center"/>
              <w:textAlignment w:val="auto"/>
              <w:rPr>
                <w:rFonts w:hint="eastAsia" w:ascii="宋体" w:hAnsi="宋体" w:eastAsia="宋体" w:cs="宋体"/>
                <w:color w:val="auto"/>
                <w:sz w:val="24"/>
                <w:szCs w:val="24"/>
                <w:highlight w:val="none"/>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45ED3720">
            <w:pPr>
              <w:shd w:val="clear"/>
              <w:spacing w:line="0" w:lineRule="atLeast"/>
              <w:ind w:left="0" w:firstLine="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拟派本项目</w:t>
            </w:r>
            <w:r>
              <w:rPr>
                <w:rFonts w:hint="eastAsia" w:ascii="宋体" w:hAnsi="宋体"/>
                <w:color w:val="auto"/>
                <w:sz w:val="24"/>
                <w:szCs w:val="24"/>
                <w:highlight w:val="none"/>
                <w:lang w:val="en-US" w:eastAsia="zh-CN"/>
              </w:rPr>
              <w:t>团队人员</w:t>
            </w:r>
            <w:r>
              <w:rPr>
                <w:rFonts w:hint="eastAsia" w:ascii="宋体" w:hAnsi="宋体"/>
                <w:color w:val="auto"/>
                <w:sz w:val="24"/>
                <w:szCs w:val="24"/>
                <w:highlight w:val="none"/>
                <w:lang w:eastAsia="zh-CN"/>
              </w:rPr>
              <w:t>（含项目负责人）</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人不得分，每增加1人得1分。最高得2分。</w:t>
            </w:r>
          </w:p>
          <w:p w14:paraId="6A6D7D4F">
            <w:pPr>
              <w:keepNext w:val="0"/>
              <w:keepLines w:val="0"/>
              <w:pageBreakBefore w:val="0"/>
              <w:widowControl/>
              <w:shd w:val="clear"/>
              <w:kinsoku/>
              <w:wordWrap/>
              <w:overflowPunct/>
              <w:topLinePunct w:val="0"/>
              <w:autoSpaceDE/>
              <w:autoSpaceDN/>
              <w:bidi w:val="0"/>
              <w:spacing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olor w:val="auto"/>
                <w:sz w:val="24"/>
                <w:szCs w:val="24"/>
                <w:highlight w:val="none"/>
                <w:lang w:eastAsia="zh-CN"/>
              </w:rPr>
              <w:t>注：提供人员名单</w:t>
            </w:r>
            <w:r>
              <w:rPr>
                <w:rFonts w:hint="eastAsia" w:ascii="宋体" w:hAnsi="宋体" w:eastAsia="宋体" w:cs="宋体"/>
                <w:color w:val="auto"/>
                <w:sz w:val="24"/>
                <w:szCs w:val="24"/>
                <w:highlight w:val="none"/>
                <w:lang w:val="en-US" w:eastAsia="zh-CN"/>
              </w:rPr>
              <w:t>及近半年内任意一个月在投标单位的社保证明或者由市场监督管理局出具的股东证明（退休人员须提供退休证和返聘合同，人员为劳务派遣性质的，还须提供相对应的劳务派遣合同）。</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223B20">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A7D14B3">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657E5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7D71A3E4">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445" w:type="dxa"/>
            <w:vMerge w:val="restart"/>
            <w:tcBorders>
              <w:left w:val="single" w:color="auto" w:sz="4" w:space="0"/>
              <w:right w:val="single" w:color="auto" w:sz="4" w:space="0"/>
            </w:tcBorders>
            <w:noWrap w:val="0"/>
            <w:vAlign w:val="center"/>
          </w:tcPr>
          <w:p w14:paraId="1493E0C7">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w:t>
            </w:r>
          </w:p>
          <w:p w14:paraId="777E444B">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程度</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32CBE8B1">
            <w:pPr>
              <w:keepNext w:val="0"/>
              <w:keepLines w:val="0"/>
              <w:pageBreakBefore w:val="0"/>
              <w:shd w:val="clear"/>
              <w:tabs>
                <w:tab w:val="left" w:pos="6060"/>
              </w:tabs>
              <w:kinsoku/>
              <w:wordWrap/>
              <w:overflowPunct/>
              <w:topLinePunct w:val="0"/>
              <w:autoSpaceDE/>
              <w:autoSpaceDN/>
              <w:bidi w:val="0"/>
              <w:snapToGrid w:val="0"/>
              <w:spacing w:before="163" w:beforeLines="50" w:after="163" w:afterLines="50"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bidi="ar"/>
              </w:rPr>
              <w:t>根据供应商对衢州市企业技术需求的了解分析（包括了解是否详尽全面、分析阐述是否具体合理、是否贴合衢州市企业技术需求现状），由评审小组进行综合评审，分值（6,5,4,3,2,1,0）。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E27FBD">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8A9234">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091B1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7B274B8A">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445" w:type="dxa"/>
            <w:vMerge w:val="continue"/>
            <w:tcBorders>
              <w:left w:val="single" w:color="auto" w:sz="4" w:space="0"/>
              <w:bottom w:val="single" w:color="auto" w:sz="4" w:space="0"/>
              <w:right w:val="single" w:color="auto" w:sz="4" w:space="0"/>
            </w:tcBorders>
            <w:noWrap w:val="0"/>
            <w:vAlign w:val="center"/>
          </w:tcPr>
          <w:p w14:paraId="7700DEA5">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eastAsia="zh-CN"/>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7D8C779A">
            <w:pPr>
              <w:keepNext w:val="0"/>
              <w:keepLines w:val="0"/>
              <w:pageBreakBefore w:val="0"/>
              <w:shd w:val="clear"/>
              <w:tabs>
                <w:tab w:val="left" w:pos="6060"/>
              </w:tabs>
              <w:kinsoku/>
              <w:wordWrap/>
              <w:overflowPunct/>
              <w:topLinePunct w:val="0"/>
              <w:autoSpaceDE/>
              <w:autoSpaceDN/>
              <w:bidi w:val="0"/>
              <w:snapToGrid w:val="0"/>
              <w:spacing w:before="163" w:beforeLines="50" w:after="163" w:afterLines="50" w:line="360" w:lineRule="exact"/>
              <w:textAlignment w:val="auto"/>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根据供应商对</w:t>
            </w:r>
            <w:r>
              <w:rPr>
                <w:rFonts w:hint="eastAsia" w:ascii="宋体" w:hAnsi="宋体" w:eastAsia="宋体"/>
                <w:color w:val="auto"/>
                <w:sz w:val="24"/>
                <w:szCs w:val="24"/>
                <w:highlight w:val="none"/>
                <w:lang w:eastAsia="zh-CN"/>
              </w:rPr>
              <w:t>推进衢州市科技成果转移转化工作的了解分析（包括了解是否详尽全面、分析阐述是否具体合理、是否贴合衢州市科技成果转移转化工作现状）</w:t>
            </w:r>
            <w:r>
              <w:rPr>
                <w:rFonts w:hint="eastAsia" w:ascii="宋体" w:hAnsi="宋体" w:eastAsia="宋体" w:cs="宋体"/>
                <w:color w:val="auto"/>
                <w:sz w:val="24"/>
                <w:szCs w:val="24"/>
                <w:highlight w:val="none"/>
                <w:shd w:val="clear" w:color="auto" w:fill="auto"/>
                <w:lang w:val="en-US" w:eastAsia="zh-CN" w:bidi="ar"/>
              </w:rPr>
              <w:t>，由评审小组进行综合评审，分值（6,5,4,3,2,1,0）。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895EF9">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1385B16">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3B6DA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604" w:type="dxa"/>
            <w:tcBorders>
              <w:left w:val="single" w:color="auto" w:sz="4" w:space="0"/>
              <w:bottom w:val="single" w:color="auto" w:sz="4" w:space="0"/>
              <w:right w:val="single" w:color="auto" w:sz="4" w:space="0"/>
            </w:tcBorders>
            <w:noWrap w:val="0"/>
            <w:vAlign w:val="center"/>
          </w:tcPr>
          <w:p w14:paraId="5F8ABAB7">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445" w:type="dxa"/>
            <w:vMerge w:val="restart"/>
            <w:tcBorders>
              <w:left w:val="single" w:color="auto" w:sz="4" w:space="0"/>
              <w:right w:val="single" w:color="auto" w:sz="4" w:space="0"/>
            </w:tcBorders>
            <w:noWrap w:val="0"/>
            <w:vAlign w:val="center"/>
          </w:tcPr>
          <w:p w14:paraId="1527A5B6">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运营服务</w:t>
            </w:r>
          </w:p>
          <w:p w14:paraId="79329802">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75AE9872">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bidi="ar"/>
              </w:rPr>
              <w:t>根据供应商</w:t>
            </w:r>
            <w:r>
              <w:rPr>
                <w:rFonts w:hint="eastAsia" w:ascii="宋体" w:hAnsi="宋体"/>
                <w:color w:val="auto"/>
                <w:sz w:val="24"/>
                <w:szCs w:val="24"/>
                <w:highlight w:val="none"/>
              </w:rPr>
              <w:t>提供的对全市技术市场分析方案</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针对我市情况推进全市科技服务业高质量发展服务方案的完整性、合理性、可行性等，由评标委员会</w:t>
            </w:r>
            <w:r>
              <w:rPr>
                <w:rFonts w:hint="eastAsia" w:ascii="宋体" w:hAnsi="宋体"/>
                <w:color w:val="auto"/>
                <w:sz w:val="24"/>
                <w:szCs w:val="24"/>
                <w:highlight w:val="none"/>
                <w:lang w:eastAsia="zh-CN"/>
              </w:rPr>
              <w:t>进行综合评审，</w:t>
            </w:r>
            <w:r>
              <w:rPr>
                <w:rFonts w:hint="eastAsia" w:ascii="宋体" w:hAnsi="宋体" w:eastAsia="宋体" w:cs="宋体"/>
                <w:color w:val="auto"/>
                <w:sz w:val="24"/>
                <w:szCs w:val="24"/>
                <w:highlight w:val="none"/>
                <w:shd w:val="clear" w:color="auto" w:fill="auto"/>
                <w:lang w:val="en-US" w:eastAsia="zh-CN" w:bidi="ar"/>
              </w:rPr>
              <w:t>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A2ACF">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206D5BA">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5733A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vAlign w:val="center"/>
          </w:tcPr>
          <w:p w14:paraId="2B142ABA">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445" w:type="dxa"/>
            <w:vMerge w:val="continue"/>
            <w:tcBorders>
              <w:left w:val="single" w:color="auto" w:sz="4" w:space="0"/>
              <w:right w:val="single" w:color="auto" w:sz="4" w:space="0"/>
            </w:tcBorders>
            <w:noWrap w:val="0"/>
            <w:vAlign w:val="center"/>
          </w:tcPr>
          <w:p w14:paraId="00508838">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1646775C">
            <w:pPr>
              <w:shd w:val="clear"/>
              <w:spacing w:line="0" w:lineRule="atLeas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bidi="ar"/>
              </w:rPr>
              <w:t>根据供应商</w:t>
            </w:r>
            <w:r>
              <w:rPr>
                <w:rFonts w:hint="eastAsia" w:ascii="宋体" w:hAnsi="宋体"/>
                <w:color w:val="auto"/>
                <w:sz w:val="24"/>
                <w:szCs w:val="24"/>
                <w:highlight w:val="none"/>
              </w:rPr>
              <w:t>关于技术合作对接会</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创新创业大赛</w:t>
            </w:r>
            <w:r>
              <w:rPr>
                <w:rFonts w:hint="eastAsia" w:ascii="宋体" w:hAnsi="宋体"/>
                <w:color w:val="auto"/>
                <w:sz w:val="24"/>
                <w:szCs w:val="24"/>
                <w:highlight w:val="none"/>
                <w:lang w:eastAsia="zh-CN"/>
              </w:rPr>
              <w:t>等产学研活动和赛事</w:t>
            </w:r>
            <w:r>
              <w:rPr>
                <w:rFonts w:hint="eastAsia" w:ascii="宋体" w:hAnsi="宋体"/>
                <w:color w:val="auto"/>
                <w:sz w:val="24"/>
                <w:szCs w:val="24"/>
                <w:highlight w:val="none"/>
              </w:rPr>
              <w:t>的实施方案</w:t>
            </w:r>
            <w:r>
              <w:rPr>
                <w:rFonts w:hint="eastAsia" w:ascii="宋体" w:hAnsi="宋体" w:cs="Arial"/>
                <w:color w:val="auto"/>
                <w:sz w:val="24"/>
                <w:szCs w:val="24"/>
                <w:highlight w:val="none"/>
                <w:lang w:eastAsia="zh-CN"/>
              </w:rPr>
              <w:t>的全面性、合理性等</w:t>
            </w:r>
            <w:r>
              <w:rPr>
                <w:rFonts w:hint="eastAsia" w:ascii="宋体" w:hAnsi="宋体" w:eastAsia="宋体" w:cs="宋体"/>
                <w:color w:val="auto"/>
                <w:sz w:val="24"/>
                <w:szCs w:val="24"/>
                <w:highlight w:val="none"/>
                <w:shd w:val="clear" w:color="auto" w:fill="auto"/>
                <w:lang w:val="en-US" w:eastAsia="zh-CN" w:bidi="ar"/>
              </w:rPr>
              <w:t>，由评审小组进行综合评审，分值（6,5,4,3,2,1,0）。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88C607">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9FD0FAF">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78D14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14:paraId="2959F384">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p>
        </w:tc>
        <w:tc>
          <w:tcPr>
            <w:tcW w:w="1445" w:type="dxa"/>
            <w:vMerge w:val="continue"/>
            <w:tcBorders>
              <w:left w:val="single" w:color="auto" w:sz="4" w:space="0"/>
              <w:right w:val="single" w:color="auto" w:sz="4" w:space="0"/>
            </w:tcBorders>
            <w:noWrap w:val="0"/>
            <w:vAlign w:val="center"/>
          </w:tcPr>
          <w:p w14:paraId="5236E7A8">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p>
        </w:tc>
        <w:tc>
          <w:tcPr>
            <w:tcW w:w="6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7C9D05">
            <w:p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根据供应商关于各企业技术需求挖掘的实施方案的全面性、合理性等，由评审小组进行综合评审，分值（6,5,4,3,2,1,0）。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8A81D">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E8F3116">
            <w:pPr>
              <w:keepNext w:val="0"/>
              <w:keepLines w:val="0"/>
              <w:pageBreakBefore w:val="0"/>
              <w:shd w:val="clear"/>
              <w:kinsoku/>
              <w:wordWrap/>
              <w:overflowPunct/>
              <w:topLinePunct w:val="0"/>
              <w:autoSpaceDE/>
              <w:autoSpaceDN/>
              <w:bidi w:val="0"/>
              <w:snapToGrid w:val="0"/>
              <w:spacing w:before="163" w:beforeLines="50" w:after="163" w:afterLines="50"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38185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713ED3A">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45" w:type="dxa"/>
            <w:vMerge w:val="continue"/>
            <w:tcBorders>
              <w:left w:val="single" w:color="auto" w:sz="4" w:space="0"/>
              <w:right w:val="single" w:color="auto" w:sz="4" w:space="0"/>
            </w:tcBorders>
            <w:noWrap w:val="0"/>
            <w:vAlign w:val="center"/>
          </w:tcPr>
          <w:p w14:paraId="2B0C5B3E">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kern w:val="2"/>
                <w:sz w:val="24"/>
                <w:szCs w:val="24"/>
                <w:highlight w:val="none"/>
                <w:lang w:val="en-US" w:eastAsia="zh-CN" w:bidi="ar-SA"/>
              </w:rPr>
            </w:pPr>
          </w:p>
        </w:tc>
        <w:tc>
          <w:tcPr>
            <w:tcW w:w="6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90B09">
            <w:p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根据供应商关于衢州市高能级科创平台、衢州市南孔精英创新创业人才项目的服务实施方案的全面性、合理性等，由评审小组进行综合评审，分值（6,5,4,3,2,1,0）。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4535F">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A2A17FB">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63F02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1"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CE20823">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445" w:type="dxa"/>
            <w:vMerge w:val="continue"/>
            <w:tcBorders>
              <w:left w:val="single" w:color="auto" w:sz="4" w:space="0"/>
              <w:right w:val="single" w:color="auto" w:sz="4" w:space="0"/>
            </w:tcBorders>
            <w:noWrap w:val="0"/>
            <w:vAlign w:val="center"/>
          </w:tcPr>
          <w:p w14:paraId="7155B06B">
            <w:pPr>
              <w:keepNext w:val="0"/>
              <w:keepLines w:val="0"/>
              <w:pageBreakBefore w:val="0"/>
              <w:widowControl/>
              <w:shd w:val="clear"/>
              <w:kinsoku/>
              <w:wordWrap/>
              <w:overflowPunct/>
              <w:topLinePunct w:val="0"/>
              <w:autoSpaceDE/>
              <w:autoSpaceDN/>
              <w:bidi w:val="0"/>
              <w:spacing w:line="360" w:lineRule="exact"/>
              <w:jc w:val="both"/>
              <w:textAlignment w:val="auto"/>
              <w:rPr>
                <w:rFonts w:hint="eastAsia" w:ascii="宋体" w:hAnsi="宋体" w:eastAsia="宋体" w:cs="宋体"/>
                <w:color w:val="auto"/>
                <w:sz w:val="24"/>
                <w:szCs w:val="24"/>
                <w:highlight w:val="none"/>
                <w:shd w:val="clear" w:color="auto" w:fill="auto"/>
                <w:lang w:val="en-US" w:eastAsia="zh-CN" w:bidi="ar"/>
              </w:rPr>
            </w:pPr>
          </w:p>
        </w:tc>
        <w:tc>
          <w:tcPr>
            <w:tcW w:w="65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69458">
            <w:p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根据供应商关于提升企业创新能力（包括对企业研发投入、高企申报辅导、科技型中小企业辅导等）的实施方案的全面性、合理性等，由评审小组进行综合评审，分值（6,5,4,3,2,1,0）。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EDFC9">
            <w:pPr>
              <w:keepNext w:val="0"/>
              <w:keepLines w:val="0"/>
              <w:pageBreakBefore w:val="0"/>
              <w:widowControl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218DD38">
            <w:pPr>
              <w:keepNext w:val="0"/>
              <w:keepLines w:val="0"/>
              <w:pageBreakBefore w:val="0"/>
              <w:widowControl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77BB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1761905C">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445" w:type="dxa"/>
            <w:vMerge w:val="continue"/>
            <w:tcBorders>
              <w:left w:val="single" w:color="auto" w:sz="4" w:space="0"/>
              <w:bottom w:val="single" w:color="auto" w:sz="4" w:space="0"/>
              <w:right w:val="single" w:color="auto" w:sz="4" w:space="0"/>
            </w:tcBorders>
            <w:noWrap w:val="0"/>
            <w:vAlign w:val="center"/>
          </w:tcPr>
          <w:p w14:paraId="37F1FA57">
            <w:pPr>
              <w:keepNext w:val="0"/>
              <w:keepLines w:val="0"/>
              <w:pageBreakBefore w:val="0"/>
              <w:widowControl/>
              <w:shd w:val="clear"/>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sz w:val="24"/>
                <w:szCs w:val="24"/>
                <w:highlight w:val="none"/>
                <w:lang w:val="en-US" w:eastAsia="zh-CN"/>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084AFE2F">
            <w:pPr>
              <w:shd w:val="clear"/>
              <w:spacing w:line="0" w:lineRule="atLeas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bidi="ar"/>
              </w:rPr>
              <w:t>根据供应商对</w:t>
            </w:r>
            <w:r>
              <w:rPr>
                <w:rFonts w:hint="eastAsia" w:ascii="宋体" w:hAnsi="宋体" w:eastAsia="宋体" w:cs="Arial"/>
                <w:color w:val="auto"/>
                <w:sz w:val="24"/>
                <w:szCs w:val="24"/>
                <w:highlight w:val="none"/>
                <w:lang w:eastAsia="zh-CN"/>
              </w:rPr>
              <w:t>衢州科技大市场宣传推广方案的完整性、合理性、可行性等</w:t>
            </w:r>
            <w:r>
              <w:rPr>
                <w:rFonts w:hint="eastAsia" w:ascii="宋体" w:hAnsi="宋体" w:eastAsia="宋体" w:cs="宋体"/>
                <w:color w:val="auto"/>
                <w:sz w:val="24"/>
                <w:szCs w:val="24"/>
                <w:highlight w:val="none"/>
                <w:shd w:val="clear" w:color="auto" w:fill="auto"/>
                <w:lang w:val="en-US" w:eastAsia="zh-CN" w:bidi="ar"/>
              </w:rPr>
              <w:t>，由评审小组进行综合评审，分值（6,5,4,3,2,1,0）。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4FDE5D">
            <w:pPr>
              <w:keepNext w:val="0"/>
              <w:keepLines w:val="0"/>
              <w:pageBreakBefore w:val="0"/>
              <w:widowControl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09D5B31">
            <w:pPr>
              <w:keepNext w:val="0"/>
              <w:keepLines w:val="0"/>
              <w:pageBreakBefore w:val="0"/>
              <w:widowControl w:val="0"/>
              <w:shd w:val="clea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r>
      <w:tr w14:paraId="0A1EE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46A4F5DA">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900675">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平台展示</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35D16D7F">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供应商需持有科技服务线上平台，根据所提供的线上平台的功能性、操作性、贴近采购需求程度等进行综合评审，分值（6,5,4,3,2,1,0）。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59AC2AC">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6分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00D6BE3">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主观分</w:t>
            </w:r>
          </w:p>
        </w:tc>
      </w:tr>
      <w:tr w14:paraId="1CC19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17CC44B0">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69FB6F4">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服务质量及保证措施</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1C1EBF89">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根据供应商提供针对本项目服务质量保障措施的内容合理性、可实施性等，由评审小组进行综合评审，分值（5,4,3,2,1,0）。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5E20C9">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5分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FD201B9">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主观分</w:t>
            </w:r>
          </w:p>
        </w:tc>
      </w:tr>
      <w:tr w14:paraId="45045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EF190F7">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1E0BDB">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科技人才落地服务方案</w:t>
            </w:r>
          </w:p>
        </w:tc>
        <w:tc>
          <w:tcPr>
            <w:tcW w:w="6543" w:type="dxa"/>
            <w:tcBorders>
              <w:top w:val="single" w:color="auto" w:sz="4" w:space="0"/>
              <w:left w:val="single" w:color="auto" w:sz="4" w:space="0"/>
              <w:bottom w:val="single" w:color="auto" w:sz="4" w:space="0"/>
              <w:right w:val="single" w:color="auto" w:sz="4" w:space="0"/>
            </w:tcBorders>
            <w:noWrap w:val="0"/>
            <w:vAlign w:val="top"/>
          </w:tcPr>
          <w:p w14:paraId="401E4D5D">
            <w:pPr>
              <w:widowControl/>
              <w:numPr>
                <w:ilvl w:val="0"/>
                <w:numId w:val="0"/>
              </w:numPr>
              <w:shd w:val="clear"/>
              <w:spacing w:line="0" w:lineRule="atLeast"/>
              <w:ind w:left="0" w:leftChars="0" w:firstLine="0" w:firstLineChars="0"/>
              <w:jc w:val="left"/>
              <w:rPr>
                <w:rFonts w:hint="default"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供应商提供科技人才落地服务方案（包括但不限于服务目标、服务内容等），根据服务能力、服务内容完整性、可行性、服务成效等，由评审小组进行综合评审，分值（5,4,3,2,1,0）。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872D4C">
            <w:pPr>
              <w:widowControl/>
              <w:numPr>
                <w:ilvl w:val="0"/>
                <w:numId w:val="0"/>
              </w:numPr>
              <w:shd w:val="clear"/>
              <w:spacing w:line="0" w:lineRule="atLeast"/>
              <w:ind w:left="0" w:leftChars="0" w:firstLine="0" w:firstLineChars="0"/>
              <w:jc w:val="center"/>
              <w:rPr>
                <w:rFonts w:hint="default"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5分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43385A2">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主观分</w:t>
            </w:r>
          </w:p>
        </w:tc>
      </w:tr>
      <w:tr w14:paraId="62751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57EB18DC">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97C2B90">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人才申报承诺</w:t>
            </w:r>
          </w:p>
        </w:tc>
        <w:tc>
          <w:tcPr>
            <w:tcW w:w="6543" w:type="dxa"/>
            <w:tcBorders>
              <w:top w:val="single" w:color="auto" w:sz="4" w:space="0"/>
              <w:left w:val="single" w:color="auto" w:sz="4" w:space="0"/>
              <w:bottom w:val="single" w:color="auto" w:sz="4" w:space="0"/>
              <w:right w:val="single" w:color="auto" w:sz="4" w:space="0"/>
            </w:tcBorders>
            <w:noWrap w:val="0"/>
            <w:vAlign w:val="top"/>
          </w:tcPr>
          <w:p w14:paraId="58A90679">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供应商承诺提供3个国家级人才计划申报服务，并有效申报的得2分，承诺提供5个国家级人才计划申报服务，并有效申报的得3分。</w:t>
            </w:r>
          </w:p>
          <w:p w14:paraId="599C62CB">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注：承诺函格式自拟，如最终成交人承诺了此项，但未达到承诺要求的，少一个考核经费扣10万元。</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4927B3">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3分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09243E5">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客观分</w:t>
            </w:r>
          </w:p>
        </w:tc>
      </w:tr>
      <w:tr w14:paraId="6983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274298C0">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865C17">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合理化建议</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469A574C">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根据供应商对本项目有效的改进措施和合理化建议等是否合理进行综合评审，分值（5,4,3,2,1,0）。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3698D3">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5分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D129E25">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主观分</w:t>
            </w:r>
          </w:p>
        </w:tc>
      </w:tr>
      <w:tr w14:paraId="33AFC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06A706DD">
            <w:pPr>
              <w:keepNext w:val="0"/>
              <w:keepLines w:val="0"/>
              <w:pageBreakBefore w:val="0"/>
              <w:widowControl/>
              <w:shd w:val="clear"/>
              <w:kinsoku/>
              <w:wordWrap/>
              <w:overflowPunct/>
              <w:topLinePunct w:val="0"/>
              <w:autoSpaceDE/>
              <w:autoSpaceDN/>
              <w:bidi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8072276">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售后服务</w:t>
            </w:r>
          </w:p>
        </w:tc>
        <w:tc>
          <w:tcPr>
            <w:tcW w:w="6543" w:type="dxa"/>
            <w:tcBorders>
              <w:top w:val="single" w:color="auto" w:sz="4" w:space="0"/>
              <w:left w:val="single" w:color="auto" w:sz="4" w:space="0"/>
              <w:bottom w:val="single" w:color="auto" w:sz="4" w:space="0"/>
              <w:right w:val="single" w:color="auto" w:sz="4" w:space="0"/>
            </w:tcBorders>
            <w:noWrap w:val="0"/>
            <w:vAlign w:val="center"/>
          </w:tcPr>
          <w:p w14:paraId="4DB438D0">
            <w:pPr>
              <w:widowControl/>
              <w:numPr>
                <w:ilvl w:val="0"/>
                <w:numId w:val="0"/>
              </w:numPr>
              <w:shd w:val="clear"/>
              <w:spacing w:line="0" w:lineRule="atLeast"/>
              <w:ind w:left="0" w:leftChars="0" w:firstLine="0" w:firstLineChars="0"/>
              <w:jc w:val="left"/>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根据供应商提供售后服务方案的可行性、完整性包括响应时效、服务能力、服务经验以及提供服务的便捷性等，由评审小组进行综合评审，分值（5,4,3,2,1,0）。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3D1D37">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5分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75B1C46">
            <w:pPr>
              <w:widowControl/>
              <w:numPr>
                <w:ilvl w:val="0"/>
                <w:numId w:val="0"/>
              </w:numPr>
              <w:shd w:val="clear"/>
              <w:spacing w:line="0" w:lineRule="atLeast"/>
              <w:ind w:left="0" w:leftChars="0" w:firstLine="0" w:firstLineChars="0"/>
              <w:jc w:val="center"/>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主观分</w:t>
            </w:r>
          </w:p>
        </w:tc>
      </w:tr>
      <w:bookmarkEnd w:id="305"/>
    </w:tbl>
    <w:p w14:paraId="045DE30E">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firstLineChars="200"/>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（1）</w:t>
      </w:r>
      <w:r>
        <w:rPr>
          <w:rFonts w:hint="eastAsia" w:ascii="宋体" w:hAnsi="宋体" w:eastAsia="宋体" w:cs="宋体"/>
          <w:b w:val="0"/>
          <w:bCs w:val="0"/>
          <w:color w:val="auto"/>
          <w:kern w:val="2"/>
          <w:sz w:val="24"/>
          <w:szCs w:val="24"/>
          <w:highlight w:val="none"/>
          <w:lang w:val="en-US" w:eastAsia="zh-CN"/>
        </w:rPr>
        <w:t>磋商小组</w:t>
      </w:r>
      <w:r>
        <w:rPr>
          <w:rFonts w:hint="eastAsia" w:ascii="宋体" w:hAnsi="宋体" w:eastAsia="宋体" w:cs="宋体"/>
          <w:b w:val="0"/>
          <w:bCs w:val="0"/>
          <w:color w:val="auto"/>
          <w:kern w:val="2"/>
          <w:sz w:val="24"/>
          <w:szCs w:val="24"/>
          <w:highlight w:val="none"/>
          <w:lang w:eastAsia="zh-CN"/>
        </w:rPr>
        <w:t>根据商务技术评分</w:t>
      </w:r>
      <w:r>
        <w:rPr>
          <w:rFonts w:hint="eastAsia" w:ascii="宋体" w:hAnsi="宋体" w:eastAsia="宋体" w:cs="宋体"/>
          <w:b w:val="0"/>
          <w:bCs w:val="0"/>
          <w:color w:val="auto"/>
          <w:kern w:val="2"/>
          <w:sz w:val="24"/>
          <w:szCs w:val="24"/>
          <w:highlight w:val="none"/>
          <w:lang w:val="en-US" w:eastAsia="zh-CN"/>
        </w:rPr>
        <w:t>标准</w:t>
      </w:r>
      <w:r>
        <w:rPr>
          <w:rFonts w:hint="eastAsia" w:ascii="宋体" w:hAnsi="宋体" w:eastAsia="宋体" w:cs="宋体"/>
          <w:b w:val="0"/>
          <w:bCs w:val="0"/>
          <w:color w:val="auto"/>
          <w:kern w:val="2"/>
          <w:sz w:val="24"/>
          <w:szCs w:val="24"/>
          <w:highlight w:val="none"/>
          <w:lang w:eastAsia="zh-CN"/>
        </w:rPr>
        <w:t>，对各</w:t>
      </w:r>
      <w:r>
        <w:rPr>
          <w:rFonts w:hint="eastAsia" w:ascii="宋体" w:hAnsi="宋体" w:eastAsia="宋体" w:cs="宋体"/>
          <w:b w:val="0"/>
          <w:bCs w:val="0"/>
          <w:color w:val="auto"/>
          <w:kern w:val="2"/>
          <w:sz w:val="24"/>
          <w:szCs w:val="24"/>
          <w:highlight w:val="none"/>
          <w:lang w:val="en-US" w:eastAsia="zh-CN"/>
        </w:rPr>
        <w:t>供应商</w:t>
      </w:r>
      <w:r>
        <w:rPr>
          <w:rFonts w:hint="eastAsia" w:ascii="宋体" w:hAnsi="宋体" w:eastAsia="宋体" w:cs="宋体"/>
          <w:b w:val="0"/>
          <w:bCs w:val="0"/>
          <w:color w:val="auto"/>
          <w:kern w:val="2"/>
          <w:sz w:val="24"/>
          <w:szCs w:val="24"/>
          <w:highlight w:val="none"/>
          <w:lang w:eastAsia="zh-CN"/>
        </w:rPr>
        <w:t>的商务技术</w:t>
      </w:r>
      <w:r>
        <w:rPr>
          <w:rFonts w:hint="eastAsia" w:ascii="宋体" w:hAnsi="宋体" w:eastAsia="宋体" w:cs="宋体"/>
          <w:b w:val="0"/>
          <w:bCs w:val="0"/>
          <w:color w:val="auto"/>
          <w:kern w:val="2"/>
          <w:sz w:val="24"/>
          <w:szCs w:val="24"/>
          <w:highlight w:val="none"/>
          <w:lang w:val="en-US" w:eastAsia="zh-CN"/>
        </w:rPr>
        <w:t>文件</w:t>
      </w:r>
      <w:r>
        <w:rPr>
          <w:rFonts w:hint="eastAsia" w:ascii="宋体" w:hAnsi="宋体" w:eastAsia="宋体" w:cs="宋体"/>
          <w:b w:val="0"/>
          <w:bCs w:val="0"/>
          <w:color w:val="auto"/>
          <w:kern w:val="2"/>
          <w:sz w:val="24"/>
          <w:szCs w:val="24"/>
          <w:highlight w:val="none"/>
          <w:lang w:eastAsia="zh-CN"/>
        </w:rPr>
        <w:t>进行书面审核和评论后，由各专家独立评分，每人一份评分表，并签名。在统计得分时，如果发现某一单项评分超过评分细则规定的分值范围，则该张评分表无效。</w:t>
      </w:r>
      <w:r>
        <w:rPr>
          <w:rFonts w:hint="eastAsia" w:ascii="宋体" w:hAnsi="宋体" w:eastAsia="宋体" w:cs="宋体"/>
          <w:b w:val="0"/>
          <w:bCs w:val="0"/>
          <w:color w:val="auto"/>
          <w:kern w:val="2"/>
          <w:sz w:val="24"/>
          <w:szCs w:val="24"/>
          <w:highlight w:val="none"/>
          <w:lang w:val="en-US" w:eastAsia="zh-CN"/>
        </w:rPr>
        <w:t>供应商</w:t>
      </w:r>
      <w:r>
        <w:rPr>
          <w:rFonts w:hint="eastAsia" w:ascii="宋体" w:hAnsi="宋体" w:eastAsia="宋体" w:cs="宋体"/>
          <w:b w:val="0"/>
          <w:bCs w:val="0"/>
          <w:color w:val="auto"/>
          <w:kern w:val="2"/>
          <w:sz w:val="24"/>
          <w:szCs w:val="24"/>
          <w:highlight w:val="none"/>
          <w:lang w:eastAsia="zh-CN"/>
        </w:rPr>
        <w:t>技术商务的最终得分为</w:t>
      </w:r>
      <w:r>
        <w:rPr>
          <w:rFonts w:hint="eastAsia" w:ascii="宋体" w:hAnsi="宋体" w:eastAsia="宋体" w:cs="宋体"/>
          <w:b w:val="0"/>
          <w:bCs w:val="0"/>
          <w:color w:val="auto"/>
          <w:kern w:val="2"/>
          <w:sz w:val="24"/>
          <w:szCs w:val="24"/>
          <w:highlight w:val="none"/>
          <w:lang w:val="en-US" w:eastAsia="zh-CN"/>
        </w:rPr>
        <w:t>磋商小组</w:t>
      </w:r>
      <w:r>
        <w:rPr>
          <w:rFonts w:hint="eastAsia" w:ascii="宋体" w:hAnsi="宋体" w:eastAsia="宋体" w:cs="宋体"/>
          <w:b w:val="0"/>
          <w:bCs w:val="0"/>
          <w:color w:val="auto"/>
          <w:kern w:val="2"/>
          <w:sz w:val="24"/>
          <w:szCs w:val="24"/>
          <w:highlight w:val="none"/>
          <w:lang w:eastAsia="zh-CN"/>
        </w:rPr>
        <w:t>成员的有效评分的算术平均值。计算时保留小数2位。</w:t>
      </w:r>
    </w:p>
    <w:p w14:paraId="482EE95B">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firstLineChars="200"/>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（二）价格评分</w:t>
      </w:r>
    </w:p>
    <w:p w14:paraId="1D4943B7">
      <w:pPr>
        <w:shd w:val="clea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lang w:eastAsia="zh-CN"/>
        </w:rPr>
        <w:t>1.</w:t>
      </w:r>
      <w:r>
        <w:rPr>
          <w:rFonts w:ascii="宋体" w:hAnsi="宋体" w:cs="宋体"/>
          <w:b/>
          <w:color w:val="auto"/>
          <w:sz w:val="24"/>
          <w:highlight w:val="none"/>
        </w:rPr>
        <w:t>价格评分</w:t>
      </w:r>
    </w:p>
    <w:p w14:paraId="6BB8136F">
      <w:pPr>
        <w:shd w:val="clea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价格分满分分值：</w:t>
      </w:r>
      <w:r>
        <w:rPr>
          <w:rFonts w:hint="eastAsia" w:ascii="宋体" w:hAnsi="宋体" w:cs="宋体"/>
          <w:color w:val="auto"/>
          <w:sz w:val="24"/>
          <w:highlight w:val="none"/>
          <w:lang w:val="en-US" w:eastAsia="zh-CN"/>
        </w:rPr>
        <w:t>10</w:t>
      </w:r>
      <w:r>
        <w:rPr>
          <w:rFonts w:ascii="宋体" w:hAnsi="宋体" w:cs="宋体"/>
          <w:color w:val="auto"/>
          <w:sz w:val="24"/>
          <w:highlight w:val="none"/>
        </w:rPr>
        <w:t>分</w:t>
      </w:r>
    </w:p>
    <w:p w14:paraId="59E2975D">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rPr>
          <w:rFonts w:ascii="宋体" w:hAnsi="宋体" w:eastAsia="宋体" w:cs="Times New Roman"/>
          <w:color w:val="auto"/>
          <w:kern w:val="2"/>
          <w:sz w:val="24"/>
          <w:szCs w:val="20"/>
          <w:highlight w:val="none"/>
          <w:lang w:val="en-US" w:eastAsia="zh-CN"/>
        </w:rPr>
      </w:pPr>
      <w:r>
        <w:rPr>
          <w:rFonts w:hint="eastAsia" w:ascii="宋体" w:hAnsi="宋体" w:eastAsia="宋体" w:cs="Times New Roman"/>
          <w:color w:val="auto"/>
          <w:kern w:val="2"/>
          <w:sz w:val="24"/>
          <w:szCs w:val="20"/>
          <w:highlight w:val="none"/>
          <w:lang w:val="en-US" w:eastAsia="zh-CN"/>
        </w:rPr>
        <w:t>所有合格磋商响应供应商中最低磋商报价为基准价，各磋商响应供应商的价格得分</w:t>
      </w:r>
      <w:r>
        <w:rPr>
          <w:rFonts w:ascii="宋体" w:hAnsi="宋体" w:eastAsia="宋体" w:cs="Times New Roman"/>
          <w:color w:val="auto"/>
          <w:kern w:val="2"/>
          <w:sz w:val="24"/>
          <w:szCs w:val="20"/>
          <w:highlight w:val="none"/>
          <w:lang w:val="en-US" w:eastAsia="zh-CN"/>
        </w:rPr>
        <w:t>=</w:t>
      </w:r>
      <w:r>
        <w:rPr>
          <w:rFonts w:hint="eastAsia" w:ascii="宋体" w:hAnsi="宋体" w:eastAsia="宋体" w:cs="Times New Roman"/>
          <w:color w:val="auto"/>
          <w:kern w:val="2"/>
          <w:sz w:val="24"/>
          <w:szCs w:val="20"/>
          <w:highlight w:val="none"/>
          <w:lang w:val="en-US" w:eastAsia="zh-CN"/>
        </w:rPr>
        <w:t>基准价</w:t>
      </w:r>
      <w:r>
        <w:rPr>
          <w:rFonts w:ascii="宋体" w:hAnsi="宋体" w:eastAsia="宋体" w:cs="Times New Roman"/>
          <w:color w:val="auto"/>
          <w:kern w:val="2"/>
          <w:sz w:val="24"/>
          <w:szCs w:val="20"/>
          <w:highlight w:val="none"/>
          <w:lang w:val="en-US" w:eastAsia="zh-CN"/>
        </w:rPr>
        <w:t>/</w:t>
      </w:r>
      <w:r>
        <w:rPr>
          <w:rFonts w:hint="eastAsia" w:ascii="宋体" w:hAnsi="宋体" w:eastAsia="宋体" w:cs="Times New Roman"/>
          <w:color w:val="auto"/>
          <w:kern w:val="2"/>
          <w:sz w:val="24"/>
          <w:szCs w:val="20"/>
          <w:highlight w:val="none"/>
          <w:lang w:val="en-US" w:eastAsia="zh-CN"/>
        </w:rPr>
        <w:t>各磋商响应供应商的磋商报价×价格满分分值。</w:t>
      </w:r>
    </w:p>
    <w:p w14:paraId="161744E3">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2"/>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lang w:eastAsia="zh-CN"/>
        </w:rPr>
        <w:t xml:space="preserve">修改评审结果 </w:t>
      </w:r>
    </w:p>
    <w:p w14:paraId="77299B1F">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评审结果汇总完成后，除下列情形外，任何人不得修改评审结果：</w:t>
      </w:r>
    </w:p>
    <w:p w14:paraId="32B2299E">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）分值汇总计算错误的；</w:t>
      </w:r>
    </w:p>
    <w:p w14:paraId="242BA1BA">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）分项评分超出评分标准范围的；</w:t>
      </w:r>
    </w:p>
    <w:p w14:paraId="100F0A65">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）磋商小组对客观评审因素评分不一致的；</w:t>
      </w:r>
    </w:p>
    <w:p w14:paraId="387287A6">
      <w:pPr>
        <w:pStyle w:val="35"/>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80"/>
        <w:jc w:val="both"/>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）经磋商小组认定评分畸高、畸低的。</w:t>
      </w:r>
    </w:p>
    <w:p w14:paraId="01C846FB">
      <w:pPr>
        <w:pStyle w:val="23"/>
        <w:shd w:val="clear"/>
        <w:adjustRightInd w:val="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eastAsia="zh-CN"/>
        </w:rPr>
        <w:t>3.</w:t>
      </w:r>
      <w:r>
        <w:rPr>
          <w:rFonts w:ascii="宋体" w:hAnsi="宋体" w:cs="宋体"/>
          <w:color w:val="auto"/>
          <w:szCs w:val="24"/>
          <w:highlight w:val="none"/>
        </w:rPr>
        <w:t>磋商小组</w:t>
      </w:r>
      <w:r>
        <w:rPr>
          <w:rFonts w:ascii="宋体" w:hAnsi="宋体" w:cs="宋体"/>
          <w:color w:val="auto"/>
          <w:kern w:val="0"/>
          <w:highlight w:val="none"/>
        </w:rPr>
        <w:t>认为供应商报价明显低于其他合格供应商的报价，有可能影响产品质量或者不能诚信履约的，应当要求其在收到平台通知后30分钟内提供书面说明，必要时提供相关证明材料；供应商不能证明其报价合理性的，</w:t>
      </w:r>
      <w:r>
        <w:rPr>
          <w:rFonts w:ascii="宋体" w:hAnsi="宋体" w:cs="宋体"/>
          <w:color w:val="auto"/>
          <w:szCs w:val="24"/>
          <w:highlight w:val="none"/>
        </w:rPr>
        <w:t>磋商小组（少数服从多数原则）</w:t>
      </w:r>
      <w:r>
        <w:rPr>
          <w:rFonts w:ascii="宋体" w:hAnsi="宋体" w:cs="宋体"/>
          <w:color w:val="auto"/>
          <w:kern w:val="0"/>
          <w:highlight w:val="none"/>
        </w:rPr>
        <w:t>应当将其作为无效响应处理。</w:t>
      </w:r>
    </w:p>
    <w:p w14:paraId="34034B5D">
      <w:pPr>
        <w:shd w:val="clear"/>
        <w:rPr>
          <w:color w:val="auto"/>
          <w:highlight w:val="none"/>
        </w:rPr>
      </w:pPr>
    </w:p>
    <w:sectPr>
      <w:headerReference r:id="rId13" w:type="default"/>
      <w:footerReference r:id="rId14" w:type="default"/>
      <w:endnotePr>
        <w:numFmt w:val="decimal"/>
      </w:endnotePr>
      <w:type w:val="continuous"/>
      <w:pgSz w:w="11900" w:h="16840"/>
      <w:pgMar w:top="1134" w:right="1134" w:bottom="1134" w:left="1134" w:header="709"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CIDFont+F2">
    <w:altName w:val="宋体"/>
    <w:panose1 w:val="00000000000000000000"/>
    <w:charset w:val="86"/>
    <w:family w:val="auto"/>
    <w:pitch w:val="default"/>
    <w:sig w:usb0="00000000" w:usb1="00000000" w:usb2="00000000" w:usb3="00000000" w:csb0="00040000" w:csb1="00000000"/>
  </w:font>
  <w:font w:name="CIDFont+F4">
    <w:altName w:val="宋体"/>
    <w:panose1 w:val="00000000000000000000"/>
    <w:charset w:val="86"/>
    <w:family w:val="auto"/>
    <w:pitch w:val="default"/>
    <w:sig w:usb0="00000000" w:usb1="00000000" w:usb2="00000000" w:usb3="00000000" w:csb0="00040000" w:csb1="00000000"/>
  </w:font>
  <w:font w:name="CIDFont+F1">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7D4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0B464">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B40B46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66C0">
    <w:pPr>
      <w:pStyle w:val="11"/>
      <w:framePr w:wrap="around" w:vAnchor="text" w:hAnchor="margin" w:xAlign="center" w:y="1"/>
      <w:rPr>
        <w:rStyle w:val="36"/>
      </w:rPr>
    </w:pPr>
    <w:r>
      <w:fldChar w:fldCharType="begin"/>
    </w:r>
    <w:r>
      <w:rPr>
        <w:rStyle w:val="36"/>
      </w:rPr>
      <w:instrText xml:space="preserve">PAGE  </w:instrText>
    </w:r>
    <w:r>
      <w:fldChar w:fldCharType="end"/>
    </w:r>
  </w:p>
  <w:p w14:paraId="6C7B6AE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ED53">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265D0">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E265D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256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568EC">
                          <w:pPr>
                            <w:pStyle w:val="11"/>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A568EC">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FD3E">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FD05A">
                          <w:pPr>
                            <w:pStyle w:val="11"/>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3EFD05A">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A193">
    <w:pPr>
      <w:pStyle w:val="11"/>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14:paraId="2C6B916C">
    <w:pPr>
      <w:pStyle w:val="11"/>
    </w:pPr>
  </w:p>
  <w:p w14:paraId="6722D8F1"/>
  <w:p w14:paraId="62F3F1A0"/>
  <w:p w14:paraId="1EDE5BF2"/>
  <w:p w14:paraId="7E1604C9"/>
  <w:p w14:paraId="5EA895D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EE26">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21D99">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EA21D9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8425">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62B85">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C62B85">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99A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65EC">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CCE5">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4FB9">
    <w:pPr>
      <w:pStyle w:val="37"/>
      <w:rPr>
        <w:rFonts w:ascii="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F3C5"/>
    <w:multiLevelType w:val="singleLevel"/>
    <w:tmpl w:val="D9DDF3C5"/>
    <w:lvl w:ilvl="0" w:tentative="0">
      <w:start w:val="1"/>
      <w:numFmt w:val="decimal"/>
      <w:suff w:val="space"/>
      <w:lvlText w:val="%1."/>
      <w:lvlJc w:val="left"/>
    </w:lvl>
  </w:abstractNum>
  <w:abstractNum w:abstractNumId="1">
    <w:nsid w:val="F674539E"/>
    <w:multiLevelType w:val="singleLevel"/>
    <w:tmpl w:val="F674539E"/>
    <w:lvl w:ilvl="0" w:tentative="0">
      <w:start w:val="1"/>
      <w:numFmt w:val="decimal"/>
      <w:suff w:val="nothing"/>
      <w:lvlText w:val="（%1）"/>
      <w:lvlJc w:val="left"/>
      <w:rPr>
        <w:rFonts w:ascii="Times New Roman" w:hAnsi="Times New Roman" w:cs="Times New Roman"/>
      </w:rPr>
    </w:lvl>
  </w:abstractNum>
  <w:abstractNum w:abstractNumId="2">
    <w:nsid w:val="00000007"/>
    <w:multiLevelType w:val="multilevel"/>
    <w:tmpl w:val="00000007"/>
    <w:lvl w:ilvl="0" w:tentative="0">
      <w:start w:val="1"/>
      <w:numFmt w:val="bullet"/>
      <w:lvlText w:val=""/>
      <w:lvlJc w:val="left"/>
      <w:pPr>
        <w:tabs>
          <w:tab w:val="left" w:pos="900"/>
        </w:tabs>
        <w:ind w:left="900" w:hanging="420"/>
      </w:pPr>
      <w:rPr>
        <w:rFonts w:hint="default" w:ascii="Wingdings" w:hAnsi="Wingdings" w:cs="Times New Roman"/>
      </w:rPr>
    </w:lvl>
    <w:lvl w:ilvl="1" w:tentative="0">
      <w:start w:val="1"/>
      <w:numFmt w:val="bullet"/>
      <w:lvlText w:val=""/>
      <w:lvlJc w:val="left"/>
      <w:pPr>
        <w:tabs>
          <w:tab w:val="left" w:pos="1320"/>
        </w:tabs>
        <w:ind w:left="1320" w:hanging="420"/>
      </w:pPr>
      <w:rPr>
        <w:rFonts w:hint="default" w:ascii="Wingdings" w:hAnsi="Wingdings" w:cs="Times New Roman"/>
      </w:rPr>
    </w:lvl>
    <w:lvl w:ilvl="2" w:tentative="0">
      <w:start w:val="1"/>
      <w:numFmt w:val="bullet"/>
      <w:lvlText w:val=""/>
      <w:lvlJc w:val="left"/>
      <w:pPr>
        <w:tabs>
          <w:tab w:val="left" w:pos="1740"/>
        </w:tabs>
        <w:ind w:left="1740" w:hanging="420"/>
      </w:pPr>
      <w:rPr>
        <w:rFonts w:hint="default" w:ascii="Wingdings" w:hAnsi="Wingdings" w:cs="Times New Roman"/>
      </w:rPr>
    </w:lvl>
    <w:lvl w:ilvl="3" w:tentative="0">
      <w:start w:val="1"/>
      <w:numFmt w:val="bullet"/>
      <w:lvlText w:val=""/>
      <w:lvlJc w:val="left"/>
      <w:pPr>
        <w:tabs>
          <w:tab w:val="left" w:pos="2160"/>
        </w:tabs>
        <w:ind w:left="2160" w:hanging="420"/>
      </w:pPr>
      <w:rPr>
        <w:rFonts w:hint="default" w:ascii="Wingdings" w:hAnsi="Wingdings" w:cs="Times New Roman"/>
      </w:rPr>
    </w:lvl>
    <w:lvl w:ilvl="4" w:tentative="0">
      <w:start w:val="1"/>
      <w:numFmt w:val="bullet"/>
      <w:lvlText w:val=""/>
      <w:lvlJc w:val="left"/>
      <w:pPr>
        <w:tabs>
          <w:tab w:val="left" w:pos="2580"/>
        </w:tabs>
        <w:ind w:left="2580" w:hanging="420"/>
      </w:pPr>
      <w:rPr>
        <w:rFonts w:hint="default" w:ascii="Wingdings" w:hAnsi="Wingdings" w:cs="Times New Roman"/>
      </w:rPr>
    </w:lvl>
    <w:lvl w:ilvl="5" w:tentative="0">
      <w:start w:val="1"/>
      <w:numFmt w:val="bullet"/>
      <w:lvlText w:val=""/>
      <w:lvlJc w:val="left"/>
      <w:pPr>
        <w:tabs>
          <w:tab w:val="left" w:pos="3000"/>
        </w:tabs>
        <w:ind w:left="3000" w:hanging="420"/>
      </w:pPr>
      <w:rPr>
        <w:rFonts w:hint="default" w:ascii="Wingdings" w:hAnsi="Wingdings" w:cs="Times New Roman"/>
      </w:rPr>
    </w:lvl>
    <w:lvl w:ilvl="6" w:tentative="0">
      <w:start w:val="1"/>
      <w:numFmt w:val="bullet"/>
      <w:lvlText w:val=""/>
      <w:lvlJc w:val="left"/>
      <w:pPr>
        <w:tabs>
          <w:tab w:val="left" w:pos="3420"/>
        </w:tabs>
        <w:ind w:left="3420" w:hanging="420"/>
      </w:pPr>
      <w:rPr>
        <w:rFonts w:hint="default" w:ascii="Wingdings" w:hAnsi="Wingdings" w:cs="Times New Roman"/>
      </w:rPr>
    </w:lvl>
    <w:lvl w:ilvl="7" w:tentative="0">
      <w:start w:val="1"/>
      <w:numFmt w:val="bullet"/>
      <w:lvlText w:val=""/>
      <w:lvlJc w:val="left"/>
      <w:pPr>
        <w:tabs>
          <w:tab w:val="left" w:pos="3840"/>
        </w:tabs>
        <w:ind w:left="3840" w:hanging="420"/>
      </w:pPr>
      <w:rPr>
        <w:rFonts w:hint="default" w:ascii="Wingdings" w:hAnsi="Wingdings" w:cs="Times New Roman"/>
      </w:rPr>
    </w:lvl>
    <w:lvl w:ilvl="8" w:tentative="0">
      <w:start w:val="1"/>
      <w:numFmt w:val="bullet"/>
      <w:lvlText w:val=""/>
      <w:lvlJc w:val="left"/>
      <w:pPr>
        <w:tabs>
          <w:tab w:val="left" w:pos="4260"/>
        </w:tabs>
        <w:ind w:left="4260" w:hanging="420"/>
      </w:pPr>
      <w:rPr>
        <w:rFonts w:hint="default" w:ascii="Wingdings" w:hAnsi="Wingdings" w:cs="Times New Roman"/>
      </w:rPr>
    </w:lvl>
  </w:abstractNum>
  <w:abstractNum w:abstractNumId="3">
    <w:nsid w:val="00000008"/>
    <w:multiLevelType w:val="multilevel"/>
    <w:tmpl w:val="00000008"/>
    <w:lvl w:ilvl="0" w:tentative="0">
      <w:start w:val="1"/>
      <w:numFmt w:val="chineseCountingThousand"/>
      <w:pStyle w:val="3"/>
      <w:lvlText w:val="%1、"/>
      <w:lvlJc w:val="left"/>
      <w:pPr>
        <w:tabs>
          <w:tab w:val="left" w:pos="1110"/>
        </w:tabs>
        <w:ind w:left="106" w:firstLine="454"/>
      </w:pPr>
      <w:rPr>
        <w:rFonts w:hint="eastAsia" w:ascii="黑体" w:hAnsi="宋体" w:eastAsia="黑体" w:cs="Times New Roman"/>
        <w:b/>
        <w:i w:val="0"/>
        <w:caps w:val="0"/>
        <w:strike w:val="0"/>
        <w:dstrike w:val="0"/>
        <w:vanish w:val="0"/>
        <w:color w:val="000000"/>
        <w:spacing w:val="0"/>
        <w:position w:val="0"/>
        <w:sz w:val="21"/>
        <w:szCs w:val="21"/>
        <w:u w:val="none"/>
        <w:vertAlign w:val="baseline"/>
      </w:rPr>
    </w:lvl>
    <w:lvl w:ilvl="1" w:tentative="0">
      <w:start w:val="1"/>
      <w:numFmt w:val="lowerLetter"/>
      <w:lvlText w:val="%2)"/>
      <w:lvlJc w:val="left"/>
      <w:pPr>
        <w:tabs>
          <w:tab w:val="left" w:pos="1149"/>
        </w:tabs>
        <w:ind w:left="1149" w:hanging="420"/>
      </w:pPr>
      <w:rPr>
        <w:rFonts w:ascii="Times New Roman" w:hAnsi="Times New Roman" w:cs="Times New Roman"/>
      </w:rPr>
    </w:lvl>
    <w:lvl w:ilvl="2" w:tentative="0">
      <w:start w:val="2"/>
      <w:numFmt w:val="japaneseCounting"/>
      <w:lvlText w:val="(%3)"/>
      <w:lvlJc w:val="left"/>
      <w:pPr>
        <w:tabs>
          <w:tab w:val="left" w:pos="1569"/>
        </w:tabs>
        <w:ind w:left="1569" w:hanging="420"/>
      </w:pPr>
      <w:rPr>
        <w:rFonts w:hint="eastAsia" w:ascii="Times New Roman" w:hAnsi="Times New Roman" w:cs="Times New Roman"/>
      </w:rPr>
    </w:lvl>
    <w:lvl w:ilvl="3" w:tentative="0">
      <w:start w:val="1"/>
      <w:numFmt w:val="japaneseCounting"/>
      <w:lvlText w:val="（%4）"/>
      <w:lvlJc w:val="left"/>
      <w:pPr>
        <w:tabs>
          <w:tab w:val="left" w:pos="2289"/>
        </w:tabs>
        <w:ind w:left="2289" w:hanging="720"/>
      </w:pPr>
      <w:rPr>
        <w:rFonts w:hint="eastAsia" w:ascii="Times New Roman" w:hAnsi="Times New Roman" w:cs="Times New Roman"/>
      </w:rPr>
    </w:lvl>
    <w:lvl w:ilvl="4" w:tentative="0">
      <w:start w:val="3"/>
      <w:numFmt w:val="japaneseCounting"/>
      <w:lvlText w:val="%5、"/>
      <w:lvlJc w:val="left"/>
      <w:pPr>
        <w:tabs>
          <w:tab w:val="left" w:pos="2409"/>
        </w:tabs>
        <w:ind w:left="2409" w:hanging="420"/>
      </w:pPr>
      <w:rPr>
        <w:rFonts w:hint="eastAsia" w:ascii="Times New Roman" w:hAnsi="Times New Roman" w:cs="Times New Roman"/>
      </w:rPr>
    </w:lvl>
    <w:lvl w:ilvl="5" w:tentative="0">
      <w:start w:val="1"/>
      <w:numFmt w:val="decimal"/>
      <w:lvlText w:val="%6、"/>
      <w:lvlJc w:val="left"/>
      <w:pPr>
        <w:tabs>
          <w:tab w:val="left" w:pos="3144"/>
        </w:tabs>
        <w:ind w:left="3144" w:hanging="735"/>
      </w:pPr>
      <w:rPr>
        <w:rFonts w:hint="eastAsia" w:ascii="Times New Roman" w:hAnsi="Times New Roman" w:cs="Times New Roman"/>
      </w:rPr>
    </w:lvl>
    <w:lvl w:ilvl="6" w:tentative="0">
      <w:start w:val="1"/>
      <w:numFmt w:val="decimal"/>
      <w:lvlText w:val="%7."/>
      <w:lvlJc w:val="left"/>
      <w:pPr>
        <w:tabs>
          <w:tab w:val="left" w:pos="3249"/>
        </w:tabs>
        <w:ind w:left="3249" w:hanging="420"/>
      </w:pPr>
      <w:rPr>
        <w:rFonts w:ascii="Times New Roman" w:hAnsi="Times New Roman" w:cs="Times New Roman"/>
      </w:rPr>
    </w:lvl>
    <w:lvl w:ilvl="7" w:tentative="0">
      <w:start w:val="1"/>
      <w:numFmt w:val="lowerLetter"/>
      <w:lvlText w:val="%8)"/>
      <w:lvlJc w:val="left"/>
      <w:pPr>
        <w:tabs>
          <w:tab w:val="left" w:pos="3669"/>
        </w:tabs>
        <w:ind w:left="3669" w:hanging="420"/>
      </w:pPr>
      <w:rPr>
        <w:rFonts w:ascii="Times New Roman" w:hAnsi="Times New Roman" w:cs="Times New Roman"/>
      </w:rPr>
    </w:lvl>
    <w:lvl w:ilvl="8" w:tentative="0">
      <w:start w:val="1"/>
      <w:numFmt w:val="lowerRoman"/>
      <w:lvlText w:val="%9."/>
      <w:lvlJc w:val="right"/>
      <w:pPr>
        <w:tabs>
          <w:tab w:val="left" w:pos="4089"/>
        </w:tabs>
        <w:ind w:left="4089" w:hanging="420"/>
      </w:pPr>
      <w:rPr>
        <w:rFonts w:ascii="Times New Roman" w:hAnsi="Times New Roman" w:cs="Times New Roman"/>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5D90620B"/>
    <w:multiLevelType w:val="singleLevel"/>
    <w:tmpl w:val="5D90620B"/>
    <w:lvl w:ilvl="0" w:tentative="0">
      <w:start w:val="4"/>
      <w:numFmt w:val="decimal"/>
      <w:suff w:val="space"/>
      <w:lvlText w:val="%1."/>
      <w:lvlJc w:val="left"/>
    </w:lvl>
  </w:abstractNum>
  <w:abstractNum w:abstractNumId="7">
    <w:nsid w:val="61442FDD"/>
    <w:multiLevelType w:val="singleLevel"/>
    <w:tmpl w:val="61442FDD"/>
    <w:lvl w:ilvl="0" w:tentative="0">
      <w:start w:val="2"/>
      <w:numFmt w:val="decimal"/>
      <w:suff w:val="nothing"/>
      <w:lvlText w:val="%1、"/>
      <w:lvlJc w:val="left"/>
    </w:lvl>
  </w:abstractNum>
  <w:num w:numId="1">
    <w:abstractNumId w:val="3"/>
  </w:num>
  <w:num w:numId="2">
    <w:abstractNumId w:val="7"/>
  </w:num>
  <w:num w:numId="3">
    <w:abstractNumId w:val="1"/>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90FB4"/>
    <w:rsid w:val="62090FB4"/>
    <w:rsid w:val="7896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2" w:semiHidden="0" w:name="toc 1"/>
    <w:lsdException w:unhideWhenUsed="0" w:uiPriority="2" w:semiHidden="0" w:name="toc 2"/>
    <w:lsdException w:unhideWhenUsed="0" w:uiPriority="0" w:semiHidden="0" w:name="toc 3"/>
    <w:lsdException w:unhideWhenUsed="0" w:uiPriority="0" w:semiHidden="0" w:name="toc 4"/>
    <w:lsdException w:unhideWhenUsed="0" w:uiPriority="0" w:semiHidden="0" w:name="toc 5"/>
    <w:lsdException w:unhideWhenUsed="0" w:uiPriority="2"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2"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2457" w:semiHidden="0" w:name="Body Text First Indent"/>
    <w:lsdException w:unhideWhenUsed="0" w:uiPriority="2457"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1624"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2"/>
    <w:pPr>
      <w:keepNext/>
      <w:widowControl/>
      <w:spacing w:line="360" w:lineRule="auto"/>
      <w:jc w:val="center"/>
      <w:outlineLvl w:val="0"/>
    </w:pPr>
    <w:rPr>
      <w:rFonts w:ascii="黑体"/>
      <w:b/>
      <w:kern w:val="0"/>
      <w:sz w:val="32"/>
    </w:rPr>
  </w:style>
  <w:style w:type="paragraph" w:styleId="3">
    <w:name w:val="heading 2"/>
    <w:basedOn w:val="1"/>
    <w:next w:val="1"/>
    <w:qFormat/>
    <w:uiPriority w:val="2"/>
    <w:pPr>
      <w:keepLines/>
      <w:numPr>
        <w:ilvl w:val="0"/>
        <w:numId w:val="1"/>
      </w:numPr>
      <w:tabs>
        <w:tab w:val="left" w:pos="706"/>
      </w:tabs>
      <w:outlineLvl w:val="1"/>
    </w:pPr>
    <w:rPr>
      <w:rFonts w:ascii="Arial" w:hAnsi="Arial" w:eastAsia="黑体"/>
      <w:bCs/>
      <w:kern w:val="2"/>
      <w:sz w:val="21"/>
      <w:szCs w:val="32"/>
    </w:rPr>
  </w:style>
  <w:style w:type="paragraph" w:styleId="4">
    <w:name w:val="heading 3"/>
    <w:basedOn w:val="1"/>
    <w:next w:val="1"/>
    <w:qFormat/>
    <w:uiPriority w:val="2"/>
    <w:pPr>
      <w:keepNext/>
      <w:keepLines/>
      <w:widowControl/>
      <w:tabs>
        <w:tab w:val="left" w:pos="-839"/>
        <w:tab w:val="left" w:pos="720"/>
      </w:tabs>
      <w:spacing w:before="120" w:after="120" w:line="360" w:lineRule="auto"/>
      <w:ind w:left="720" w:hanging="720"/>
      <w:jc w:val="center"/>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624"/>
    <w:rPr>
      <w:sz w:val="24"/>
    </w:rPr>
  </w:style>
  <w:style w:type="paragraph" w:styleId="6">
    <w:name w:val="Body Text Indent"/>
    <w:basedOn w:val="1"/>
    <w:qFormat/>
    <w:uiPriority w:val="1624"/>
    <w:pPr>
      <w:spacing w:after="120"/>
      <w:ind w:left="420" w:leftChars="200"/>
    </w:pPr>
  </w:style>
  <w:style w:type="paragraph" w:styleId="7">
    <w:name w:val="List 2"/>
    <w:basedOn w:val="1"/>
    <w:qFormat/>
    <w:uiPriority w:val="2"/>
    <w:pPr>
      <w:spacing w:after="120" w:line="400" w:lineRule="exact"/>
    </w:pPr>
    <w:rPr>
      <w:sz w:val="24"/>
    </w:rPr>
  </w:style>
  <w:style w:type="paragraph" w:styleId="8">
    <w:name w:val="Plain Text"/>
    <w:basedOn w:val="1"/>
    <w:next w:val="9"/>
    <w:uiPriority w:val="1624"/>
    <w:rPr>
      <w:rFonts w:ascii="宋体" w:hAnsi="Courier New"/>
      <w:sz w:val="21"/>
      <w:szCs w:val="21"/>
    </w:rPr>
  </w:style>
  <w:style w:type="paragraph" w:styleId="9">
    <w:name w:val="Date"/>
    <w:basedOn w:val="1"/>
    <w:next w:val="1"/>
    <w:uiPriority w:val="0"/>
    <w:pPr>
      <w:ind w:left="100" w:leftChars="2500"/>
    </w:pPr>
    <w:rPr>
      <w:b/>
      <w:bCs/>
      <w:sz w:val="36"/>
      <w:szCs w:val="24"/>
    </w:rPr>
  </w:style>
  <w:style w:type="paragraph" w:styleId="10">
    <w:name w:val="Balloon Text"/>
    <w:basedOn w:val="1"/>
    <w:next w:val="1"/>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uiPriority w:val="2"/>
    <w:pPr>
      <w:tabs>
        <w:tab w:val="right" w:leader="dot" w:pos="8364"/>
      </w:tabs>
      <w:spacing w:before="120" w:after="120" w:line="360" w:lineRule="auto"/>
      <w:jc w:val="left"/>
    </w:pPr>
    <w:rPr>
      <w:rFonts w:ascii="Calibri" w:hAnsi="Calibri"/>
      <w:b/>
      <w:bCs/>
      <w:caps/>
      <w:sz w:val="20"/>
    </w:rPr>
  </w:style>
  <w:style w:type="paragraph" w:styleId="14">
    <w:name w:val="toc 6"/>
    <w:basedOn w:val="1"/>
    <w:next w:val="1"/>
    <w:uiPriority w:val="2"/>
    <w:pPr>
      <w:ind w:left="1400"/>
      <w:jc w:val="left"/>
    </w:pPr>
    <w:rPr>
      <w:rFonts w:ascii="Calibri" w:hAnsi="Calibri"/>
      <w:sz w:val="18"/>
      <w:szCs w:val="18"/>
    </w:rPr>
  </w:style>
  <w:style w:type="paragraph" w:styleId="15">
    <w:name w:val="toc 2"/>
    <w:basedOn w:val="1"/>
    <w:next w:val="1"/>
    <w:uiPriority w:val="2"/>
    <w:pPr>
      <w:tabs>
        <w:tab w:val="right" w:leader="dot" w:pos="8364"/>
      </w:tabs>
      <w:spacing w:line="360" w:lineRule="auto"/>
      <w:ind w:left="280"/>
      <w:jc w:val="left"/>
    </w:pPr>
    <w:rPr>
      <w:rFonts w:ascii="仿宋" w:hAnsi="仿宋" w:eastAsia="仿宋"/>
      <w:b/>
      <w:smallCaps/>
      <w:sz w:val="24"/>
      <w:szCs w:val="24"/>
    </w:rPr>
  </w:style>
  <w:style w:type="paragraph" w:styleId="16">
    <w:name w:val="Normal (Web)"/>
    <w:basedOn w:val="1"/>
    <w:qFormat/>
    <w:uiPriority w:val="2"/>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5"/>
    <w:next w:val="1"/>
    <w:qFormat/>
    <w:uiPriority w:val="2457"/>
    <w:pPr>
      <w:spacing w:after="120" w:line="360" w:lineRule="auto"/>
      <w:ind w:firstLine="420" w:firstLineChars="100"/>
    </w:pPr>
    <w:rPr>
      <w:rFonts w:ascii="楷体_GB2312" w:hAnsi="Calibri"/>
      <w:szCs w:val="22"/>
    </w:rPr>
  </w:style>
  <w:style w:type="paragraph" w:styleId="18">
    <w:name w:val="Body Text First Indent 2"/>
    <w:basedOn w:val="6"/>
    <w:uiPriority w:val="2457"/>
    <w:pPr>
      <w:ind w:firstLine="420" w:firstLineChars="200"/>
    </w:pPr>
    <w:rPr>
      <w:rFonts w:ascii="等线" w:eastAsia="等线"/>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纯文本2"/>
    <w:basedOn w:val="1"/>
    <w:uiPriority w:val="1650"/>
    <w:rPr>
      <w:rFonts w:ascii="宋体" w:hAnsi="Courier New"/>
      <w:sz w:val="21"/>
      <w:szCs w:val="21"/>
    </w:rPr>
  </w:style>
  <w:style w:type="paragraph" w:customStyle="1" w:styleId="23">
    <w:name w:val="正文2"/>
    <w:basedOn w:val="1"/>
    <w:qFormat/>
    <w:uiPriority w:val="0"/>
    <w:pPr>
      <w:spacing w:before="156" w:line="360" w:lineRule="auto"/>
      <w:ind w:firstLine="510" w:firstLineChars="200"/>
    </w:pPr>
    <w:rPr>
      <w:sz w:val="24"/>
    </w:rPr>
  </w:style>
  <w:style w:type="paragraph" w:customStyle="1" w:styleId="24">
    <w:name w:val="正文文本缩进1"/>
    <w:basedOn w:val="1"/>
    <w:uiPriority w:val="1624"/>
    <w:pPr>
      <w:spacing w:line="480" w:lineRule="atLeast"/>
      <w:ind w:firstLine="570"/>
    </w:pPr>
    <w:rPr>
      <w:rFonts w:ascii="黑体" w:eastAsia="黑体"/>
    </w:rPr>
  </w:style>
  <w:style w:type="paragraph" w:customStyle="1" w:styleId="25">
    <w:name w:val="正文首行缩进2字符"/>
    <w:basedOn w:val="1"/>
    <w:qFormat/>
    <w:uiPriority w:val="0"/>
    <w:pPr>
      <w:widowControl/>
      <w:adjustRightInd w:val="0"/>
    </w:pPr>
  </w:style>
  <w:style w:type="paragraph" w:customStyle="1" w:styleId="26">
    <w:name w:val="Normal Indent1"/>
    <w:basedOn w:val="1"/>
    <w:qFormat/>
    <w:uiPriority w:val="0"/>
    <w:pPr>
      <w:ind w:firstLine="420" w:firstLineChars="200"/>
    </w:pPr>
  </w:style>
  <w:style w:type="character" w:customStyle="1" w:styleId="27">
    <w:name w:val="font41"/>
    <w:basedOn w:val="21"/>
    <w:qFormat/>
    <w:uiPriority w:val="0"/>
    <w:rPr>
      <w:rFonts w:hint="eastAsia" w:ascii="宋体" w:hAnsi="宋体" w:eastAsia="宋体" w:cs="宋体"/>
      <w:color w:val="000000"/>
      <w:sz w:val="21"/>
      <w:szCs w:val="21"/>
      <w:u w:val="none"/>
    </w:rPr>
  </w:style>
  <w:style w:type="character" w:customStyle="1" w:styleId="28">
    <w:name w:val="font61"/>
    <w:basedOn w:val="21"/>
    <w:qFormat/>
    <w:uiPriority w:val="0"/>
    <w:rPr>
      <w:rFonts w:hint="eastAsia" w:ascii="宋体" w:hAnsi="宋体" w:eastAsia="宋体" w:cs="宋体"/>
      <w:color w:val="000000"/>
      <w:sz w:val="22"/>
      <w:szCs w:val="22"/>
      <w:u w:val="none"/>
    </w:rPr>
  </w:style>
  <w:style w:type="character" w:customStyle="1" w:styleId="29">
    <w:name w:val="font71"/>
    <w:basedOn w:val="21"/>
    <w:qFormat/>
    <w:uiPriority w:val="0"/>
    <w:rPr>
      <w:rFonts w:hint="eastAsia" w:ascii="宋体" w:hAnsi="宋体" w:eastAsia="宋体" w:cs="宋体"/>
      <w:color w:val="FF0000"/>
      <w:sz w:val="21"/>
      <w:szCs w:val="21"/>
      <w:u w:val="none"/>
    </w:rPr>
  </w:style>
  <w:style w:type="character" w:customStyle="1" w:styleId="30">
    <w:name w:val="font101"/>
    <w:basedOn w:val="21"/>
    <w:uiPriority w:val="0"/>
    <w:rPr>
      <w:rFonts w:hint="default" w:ascii="方正书宋_GBK" w:hAnsi="方正书宋_GBK" w:eastAsia="方正书宋_GBK" w:cs="方正书宋_GBK"/>
      <w:color w:val="FF0000"/>
      <w:sz w:val="21"/>
      <w:szCs w:val="21"/>
      <w:u w:val="none"/>
    </w:rPr>
  </w:style>
  <w:style w:type="character" w:customStyle="1" w:styleId="31">
    <w:name w:val="font51"/>
    <w:basedOn w:val="21"/>
    <w:uiPriority w:val="0"/>
    <w:rPr>
      <w:rFonts w:hint="default" w:ascii="Times New Roman" w:hAnsi="Times New Roman" w:cs="Times New Roman"/>
      <w:color w:val="FF0000"/>
      <w:sz w:val="21"/>
      <w:szCs w:val="21"/>
      <w:u w:val="none"/>
    </w:rPr>
  </w:style>
  <w:style w:type="paragraph" w:customStyle="1" w:styleId="32">
    <w:name w:val="表格文字"/>
    <w:basedOn w:val="1"/>
    <w:qFormat/>
    <w:uiPriority w:val="1624"/>
    <w:pPr>
      <w:adjustRightInd w:val="0"/>
      <w:spacing w:line="420" w:lineRule="atLeast"/>
      <w:textAlignment w:val="baseline"/>
    </w:pPr>
    <w:rPr>
      <w:kern w:val="0"/>
      <w:sz w:val="21"/>
    </w:rPr>
  </w:style>
  <w:style w:type="paragraph" w:customStyle="1" w:styleId="33">
    <w:name w:val="Plain Text"/>
    <w:basedOn w:val="1"/>
    <w:qFormat/>
    <w:uiPriority w:val="6"/>
    <w:pPr>
      <w:widowControl/>
      <w:jc w:val="left"/>
    </w:pPr>
    <w:rPr>
      <w:rFonts w:hint="eastAsia" w:ascii="宋体" w:hAnsi="Courier New"/>
      <w:szCs w:val="20"/>
    </w:rPr>
  </w:style>
  <w:style w:type="paragraph" w:customStyle="1" w:styleId="34">
    <w:name w:val="Normal"/>
    <w:uiPriority w:val="7"/>
    <w:pPr>
      <w:widowControl w:val="0"/>
      <w:jc w:val="both"/>
    </w:pPr>
    <w:rPr>
      <w:rFonts w:hint="eastAsia" w:ascii="Times New Roman" w:hAnsi="Times New Roman" w:eastAsia="宋体" w:cs="Times New Roman"/>
      <w:kern w:val="2"/>
      <w:sz w:val="21"/>
      <w:lang w:val="en-US" w:eastAsia="zh-CN" w:bidi="ar-SA"/>
    </w:rPr>
  </w:style>
  <w:style w:type="paragraph" w:customStyle="1" w:styleId="35">
    <w:name w:val="默认"/>
    <w:qFormat/>
    <w:uiPriority w:val="0"/>
    <w:rPr>
      <w:rFonts w:ascii="Arial Unicode MS" w:hAnsi="Arial Unicode MS" w:eastAsia="Arial Unicode MS" w:cs="Arial Unicode MS"/>
      <w:color w:val="000000"/>
      <w:sz w:val="22"/>
      <w:szCs w:val="22"/>
      <w:lang w:val="zh-TW" w:eastAsia="zh-TW" w:bidi="ar-SA"/>
    </w:rPr>
  </w:style>
  <w:style w:type="character" w:customStyle="1" w:styleId="36">
    <w:name w:val="页码2"/>
    <w:uiPriority w:val="3"/>
    <w:rPr>
      <w:rFonts w:ascii="Times New Roman" w:hAnsi="Times New Roman" w:cs="Times New Roman"/>
    </w:rPr>
  </w:style>
  <w:style w:type="paragraph" w:customStyle="1" w:styleId="37">
    <w:name w:val="页眉与页脚"/>
    <w:uiPriority w:val="1248"/>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30144</Words>
  <Characters>31189</Characters>
  <Lines>0</Lines>
  <Paragraphs>0</Paragraphs>
  <TotalTime>4</TotalTime>
  <ScaleCrop>false</ScaleCrop>
  <LinksUpToDate>false</LinksUpToDate>
  <CharactersWithSpaces>31586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2026-04-29T05:22:00Z</dcterms:created>
  <dc:creator>nbkj</dc:creator>
  <cp:lastModifiedBy>nbkj</cp:lastModifiedBy>
  <dcterms:modified xsi:type="dcterms:W3CDTF">2026-04-29T06:40:29Z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E5E23D0A42104CAAB14E9F0F68082D3D_11</vt:lpwstr>
  </property>
  <property fmtid="{D5CDD505-2E9C-101B-9397-08002B2CF9AE}" pid="4" name="KSOTemplateDocerSaveRecord">
    <vt:lpwstr>eyJoZGlkIjoiMjFiY2U5MmFkMzQxYzE1ZWUwNjFiMDFjOWFjOTZkYzEiLCJ1c2VySWQiOiIzOTY3OTQ2OTcifQ==</vt:lpwstr>
  </property>
</Properties>
</file>