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43C9">
      <w:pPr>
        <w:spacing w:line="480" w:lineRule="auto"/>
        <w:jc w:val="center"/>
        <w:rPr>
          <w:rFonts w:hint="eastAsia"/>
          <w:sz w:val="52"/>
          <w:szCs w:val="60"/>
        </w:rPr>
      </w:pPr>
      <w:r>
        <w:rPr>
          <w:rFonts w:hint="eastAsia"/>
          <w:b/>
          <w:sz w:val="40"/>
          <w:szCs w:val="48"/>
        </w:rPr>
        <w:t>供应商未中标情况说明</w:t>
      </w:r>
    </w:p>
    <w:p w14:paraId="50BB8CD5">
      <w:pPr>
        <w:spacing w:line="480" w:lineRule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</w:p>
    <w:p w14:paraId="259C5775">
      <w:pPr>
        <w:spacing w:line="480" w:lineRule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标段编号：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330122261030100000002</w:t>
      </w:r>
    </w:p>
    <w:p w14:paraId="3C01EBFA">
      <w:pPr>
        <w:spacing w:line="480" w:lineRule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标段名称：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桐庐县2026年山洪灾害防治非工程措施项目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041"/>
        <w:gridCol w:w="2553"/>
      </w:tblGrid>
      <w:tr w14:paraId="0E35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5F8D251E">
            <w:pPr>
              <w:spacing w:line="48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4041" w:type="dxa"/>
          </w:tcPr>
          <w:p w14:paraId="64AACCED">
            <w:pPr>
              <w:spacing w:line="48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单位名称</w:t>
            </w:r>
          </w:p>
        </w:tc>
        <w:tc>
          <w:tcPr>
            <w:tcW w:w="2553" w:type="dxa"/>
          </w:tcPr>
          <w:p w14:paraId="4E7BD0C8">
            <w:pPr>
              <w:spacing w:line="480" w:lineRule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未中标理由</w:t>
            </w:r>
          </w:p>
        </w:tc>
      </w:tr>
      <w:tr w14:paraId="3E1A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20C3B90">
            <w:pPr>
              <w:spacing w:line="48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41" w:type="dxa"/>
          </w:tcPr>
          <w:p w14:paraId="1BF8830F">
            <w:pPr>
              <w:spacing w:line="48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浙江禹贡信息科技有限公司</w:t>
            </w:r>
          </w:p>
        </w:tc>
        <w:tc>
          <w:tcPr>
            <w:tcW w:w="2553" w:type="dxa"/>
          </w:tcPr>
          <w:p w14:paraId="51F7DB54">
            <w:pPr>
              <w:spacing w:line="48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综合排名第二</w:t>
            </w:r>
          </w:p>
        </w:tc>
      </w:tr>
      <w:tr w14:paraId="6085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417E1A5">
            <w:pPr>
              <w:spacing w:line="48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41" w:type="dxa"/>
          </w:tcPr>
          <w:p w14:paraId="1625EF48">
            <w:pPr>
              <w:spacing w:line="48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浙江省水利水电建筑监理有限公司</w:t>
            </w:r>
          </w:p>
        </w:tc>
        <w:tc>
          <w:tcPr>
            <w:tcW w:w="2553" w:type="dxa"/>
          </w:tcPr>
          <w:p w14:paraId="549A443F">
            <w:pPr>
              <w:spacing w:line="480" w:lineRule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综合排名第三</w:t>
            </w:r>
          </w:p>
        </w:tc>
      </w:tr>
    </w:tbl>
    <w:p w14:paraId="34B99AB3">
      <w:pPr>
        <w:spacing w:line="480" w:lineRule="auto"/>
      </w:pPr>
    </w:p>
    <w:p w14:paraId="6CDAC00D">
      <w:pPr>
        <w:spacing w:line="480" w:lineRule="auto"/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A7233F6"/>
    <w:rsid w:val="3B7F1457"/>
    <w:rsid w:val="3FAC63F0"/>
    <w:rsid w:val="4059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138</Characters>
  <Lines>1</Lines>
  <Paragraphs>1</Paragraphs>
  <TotalTime>1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Kyung</cp:lastModifiedBy>
  <dcterms:modified xsi:type="dcterms:W3CDTF">2026-05-19T06:39:29Z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eyJoZGlkIjoiNTZiY2UxY2FlZWNhN2M4MjZjNjU0NzExY2VmYTJjMmQiLCJ1c2VySWQiOiI1MTk0MjY1ODUifQ==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7CB23F51A10F4CFEB16ABEFA8A75FF00_13</vt:lpwstr>
  </property>
</Properties>
</file>