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F5B6D">
      <w:pPr>
        <w:pStyle w:val="17"/>
        <w:keepLines/>
        <w:pageBreakBefore w:val="0"/>
        <w:kinsoku/>
        <w:wordWrap w:val="0"/>
        <w:overflowPunct/>
        <w:topLinePunct w:val="0"/>
        <w:autoSpaceDE/>
        <w:autoSpaceDN/>
        <w:bidi w:val="0"/>
        <w:jc w:val="center"/>
        <w:textAlignment w:val="auto"/>
        <w:rPr>
          <w:rFonts w:hint="eastAsia" w:ascii="宋体" w:hAnsi="宋体" w:eastAsia="宋体" w:cs="宋体"/>
          <w:b w:val="0"/>
          <w:bCs/>
          <w:color w:val="000000" w:themeColor="text1"/>
          <w:spacing w:val="0"/>
          <w:sz w:val="44"/>
          <w:szCs w:val="44"/>
          <w:lang w:val="en-US" w:eastAsia="zh-CN"/>
          <w14:textFill>
            <w14:solidFill>
              <w14:schemeClr w14:val="tx1"/>
            </w14:solidFill>
          </w14:textFill>
        </w:rPr>
      </w:pPr>
    </w:p>
    <w:p w14:paraId="71823CD4">
      <w:pPr>
        <w:pStyle w:val="17"/>
        <w:keepLines/>
        <w:pageBreakBefore w:val="0"/>
        <w:kinsoku/>
        <w:wordWrap w:val="0"/>
        <w:overflowPunct/>
        <w:topLinePunct w:val="0"/>
        <w:autoSpaceDE/>
        <w:autoSpaceDN/>
        <w:bidi w:val="0"/>
        <w:jc w:val="center"/>
        <w:textAlignment w:val="auto"/>
        <w:rPr>
          <w:rFonts w:hint="eastAsia" w:ascii="宋体" w:hAnsi="宋体" w:eastAsia="宋体" w:cs="宋体"/>
          <w:b w:val="0"/>
          <w:bCs/>
          <w:color w:val="000000" w:themeColor="text1"/>
          <w:spacing w:val="0"/>
          <w:sz w:val="44"/>
          <w:szCs w:val="44"/>
          <w:lang w:val="en-US" w:eastAsia="zh-CN"/>
          <w14:textFill>
            <w14:solidFill>
              <w14:schemeClr w14:val="tx1"/>
            </w14:solidFill>
          </w14:textFill>
        </w:rPr>
      </w:pPr>
    </w:p>
    <w:p w14:paraId="4FC379CE">
      <w:pPr>
        <w:pStyle w:val="17"/>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b w:val="0"/>
          <w:bCs/>
          <w:color w:val="000000" w:themeColor="text1"/>
          <w:spacing w:val="6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48"/>
          <w:szCs w:val="48"/>
          <w:lang w:eastAsia="zh-CN"/>
          <w14:textFill>
            <w14:solidFill>
              <w14:schemeClr w14:val="tx1"/>
            </w14:solidFill>
          </w14:textFill>
        </w:rPr>
        <w:t>临汾市特殊教育学校消防水池、室外消火栓及管网工程</w:t>
      </w:r>
    </w:p>
    <w:p w14:paraId="61AD7237">
      <w:pPr>
        <w:keepLines/>
        <w:pageBreakBefore w:val="0"/>
        <w:tabs>
          <w:tab w:val="left" w:pos="3720"/>
        </w:tabs>
        <w:kinsoku/>
        <w:wordWrap w:val="0"/>
        <w:overflowPunct/>
        <w:topLinePunct w:val="0"/>
        <w:autoSpaceDE/>
        <w:autoSpaceDN/>
        <w:bidi w:val="0"/>
        <w:spacing w:line="360" w:lineRule="auto"/>
        <w:jc w:val="center"/>
        <w:textAlignment w:val="auto"/>
        <w:rPr>
          <w:rFonts w:hint="eastAsia" w:ascii="宋体" w:hAnsi="宋体" w:eastAsia="宋体" w:cs="宋体"/>
          <w:b w:val="0"/>
          <w:bCs/>
          <w:color w:val="0000FF"/>
          <w:sz w:val="36"/>
          <w:szCs w:val="36"/>
        </w:rPr>
      </w:pPr>
      <w:bookmarkStart w:id="406" w:name="_GoBack"/>
      <w:bookmarkEnd w:id="406"/>
    </w:p>
    <w:p w14:paraId="51FD4397">
      <w:pPr>
        <w:keepLines/>
        <w:pageBreakBefore w:val="0"/>
        <w:tabs>
          <w:tab w:val="left" w:pos="3720"/>
        </w:tabs>
        <w:kinsoku/>
        <w:wordWrap w:val="0"/>
        <w:overflowPunct/>
        <w:topLinePunct w:val="0"/>
        <w:autoSpaceDE/>
        <w:autoSpaceDN/>
        <w:bidi w:val="0"/>
        <w:spacing w:line="360" w:lineRule="auto"/>
        <w:jc w:val="center"/>
        <w:textAlignment w:val="auto"/>
        <w:rPr>
          <w:rFonts w:hint="eastAsia" w:ascii="宋体" w:hAnsi="宋体" w:eastAsia="宋体" w:cs="宋体"/>
          <w:b w:val="0"/>
          <w:bCs/>
          <w:color w:val="auto"/>
          <w:sz w:val="36"/>
          <w:szCs w:val="36"/>
          <w:lang w:eastAsia="zh-CN"/>
        </w:rPr>
      </w:pPr>
      <w:r>
        <w:rPr>
          <w:rFonts w:hint="eastAsia" w:ascii="宋体" w:hAnsi="宋体" w:eastAsia="宋体" w:cs="宋体"/>
          <w:b w:val="0"/>
          <w:bCs/>
          <w:color w:val="auto"/>
          <w:sz w:val="36"/>
          <w:szCs w:val="36"/>
        </w:rPr>
        <w:t>项目编号</w:t>
      </w:r>
      <w:r>
        <w:rPr>
          <w:rFonts w:hint="eastAsia" w:ascii="宋体" w:hAnsi="宋体" w:eastAsia="宋体" w:cs="宋体"/>
          <w:b w:val="0"/>
          <w:bCs/>
          <w:color w:val="auto"/>
          <w:sz w:val="36"/>
          <w:szCs w:val="36"/>
          <w:lang w:eastAsia="zh-CN"/>
        </w:rPr>
        <w:t>：</w:t>
      </w:r>
      <w:r>
        <w:rPr>
          <w:rFonts w:hint="eastAsia" w:ascii="宋体" w:hAnsi="宋体" w:eastAsia="宋体" w:cs="宋体"/>
          <w:b w:val="0"/>
          <w:bCs/>
          <w:color w:val="auto"/>
          <w:sz w:val="36"/>
          <w:szCs w:val="36"/>
          <w:lang w:val="en-US" w:eastAsia="zh-CN"/>
        </w:rPr>
        <w:t xml:space="preserve">1410992026BCS00093  </w:t>
      </w:r>
    </w:p>
    <w:p w14:paraId="35BB2661">
      <w:pPr>
        <w:keepLines/>
        <w:pageBreakBefore w:val="0"/>
        <w:tabs>
          <w:tab w:val="left" w:pos="3720"/>
        </w:tabs>
        <w:kinsoku/>
        <w:wordWrap w:val="0"/>
        <w:overflowPunct/>
        <w:topLinePunct w:val="0"/>
        <w:autoSpaceDE/>
        <w:autoSpaceDN/>
        <w:bidi w:val="0"/>
        <w:spacing w:line="360" w:lineRule="auto"/>
        <w:jc w:val="center"/>
        <w:textAlignment w:val="auto"/>
        <w:rPr>
          <w:rFonts w:hint="eastAsia" w:ascii="宋体" w:hAnsi="宋体" w:eastAsia="宋体" w:cs="宋体"/>
          <w:b w:val="0"/>
          <w:bCs/>
          <w:color w:val="0000FF"/>
          <w:sz w:val="36"/>
          <w:szCs w:val="36"/>
          <w:lang w:eastAsia="zh-CN"/>
        </w:rPr>
      </w:pPr>
      <w:r>
        <w:rPr>
          <w:rFonts w:hint="eastAsia" w:ascii="宋体" w:hAnsi="宋体" w:eastAsia="宋体" w:cs="宋体"/>
          <w:b w:val="0"/>
          <w:bCs/>
          <w:color w:val="000000" w:themeColor="text1"/>
          <w:sz w:val="36"/>
          <w:szCs w:val="36"/>
          <w:lang w:val="en-US" w:eastAsia="zh-CN"/>
          <w14:textFill>
            <w14:solidFill>
              <w14:schemeClr w14:val="tx1"/>
            </w14:solidFill>
          </w14:textFill>
        </w:rPr>
        <w:t xml:space="preserve">  </w:t>
      </w:r>
      <w:r>
        <w:rPr>
          <w:rFonts w:hint="eastAsia" w:ascii="宋体" w:hAnsi="宋体" w:eastAsia="宋体" w:cs="宋体"/>
          <w:b w:val="0"/>
          <w:bCs/>
          <w:color w:val="0000FF"/>
          <w:sz w:val="36"/>
          <w:szCs w:val="36"/>
          <w:lang w:val="en-US" w:eastAsia="zh-CN"/>
        </w:rPr>
        <w:t xml:space="preserve"> </w:t>
      </w:r>
    </w:p>
    <w:p w14:paraId="46247985">
      <w:pPr>
        <w:keepLines/>
        <w:pageBreakBefore w:val="0"/>
        <w:tabs>
          <w:tab w:val="left" w:pos="3720"/>
        </w:tabs>
        <w:kinsoku/>
        <w:wordWrap w:val="0"/>
        <w:overflowPunct/>
        <w:topLinePunct w:val="0"/>
        <w:autoSpaceDE/>
        <w:autoSpaceDN/>
        <w:bidi w:val="0"/>
        <w:spacing w:line="360" w:lineRule="auto"/>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7741CAEB">
      <w:pPr>
        <w:keepLines/>
        <w:pageBreakBefore w:val="0"/>
        <w:tabs>
          <w:tab w:val="left" w:pos="3720"/>
        </w:tabs>
        <w:kinsoku/>
        <w:wordWrap w:val="0"/>
        <w:overflowPunct/>
        <w:topLinePunct w:val="0"/>
        <w:autoSpaceDE/>
        <w:autoSpaceDN/>
        <w:bidi w:val="0"/>
        <w:spacing w:line="360" w:lineRule="auto"/>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60BFFB5F">
      <w:pPr>
        <w:keepLines/>
        <w:pageBreakBefore w:val="0"/>
        <w:kinsoku/>
        <w:wordWrap w:val="0"/>
        <w:overflowPunct/>
        <w:topLinePunct w:val="0"/>
        <w:autoSpaceDE/>
        <w:autoSpaceDN/>
        <w:bidi w:val="0"/>
        <w:jc w:val="both"/>
        <w:textAlignment w:val="auto"/>
        <w:rPr>
          <w:rFonts w:hint="eastAsia" w:ascii="宋体" w:hAnsi="宋体" w:eastAsia="宋体" w:cs="宋体"/>
          <w:b w:val="0"/>
          <w:bCs/>
          <w:color w:val="000000" w:themeColor="text1"/>
          <w:spacing w:val="0"/>
          <w:sz w:val="72"/>
          <w:szCs w:val="72"/>
          <w14:textFill>
            <w14:solidFill>
              <w14:schemeClr w14:val="tx1"/>
            </w14:solidFill>
          </w14:textFill>
        </w:rPr>
      </w:pPr>
    </w:p>
    <w:p w14:paraId="2E93B550">
      <w:pPr>
        <w:keepLines/>
        <w:pageBreakBefore w:val="0"/>
        <w:kinsoku/>
        <w:wordWrap w:val="0"/>
        <w:overflowPunct/>
        <w:topLinePunct w:val="0"/>
        <w:autoSpaceDE/>
        <w:autoSpaceDN/>
        <w:bidi w:val="0"/>
        <w:jc w:val="center"/>
        <w:textAlignment w:val="auto"/>
        <w:rPr>
          <w:rFonts w:hint="eastAsia" w:ascii="宋体" w:hAnsi="宋体" w:eastAsia="宋体" w:cs="宋体"/>
          <w:b w:val="0"/>
          <w:bCs/>
          <w:color w:val="000000" w:themeColor="text1"/>
          <w:spacing w:val="0"/>
          <w:sz w:val="72"/>
          <w:szCs w:val="72"/>
          <w14:textFill>
            <w14:solidFill>
              <w14:schemeClr w14:val="tx1"/>
            </w14:solidFill>
          </w14:textFill>
        </w:rPr>
      </w:pPr>
      <w:r>
        <w:rPr>
          <w:rFonts w:hint="eastAsia" w:ascii="宋体" w:hAnsi="宋体" w:eastAsia="宋体" w:cs="宋体"/>
          <w:b w:val="0"/>
          <w:bCs/>
          <w:color w:val="000000" w:themeColor="text1"/>
          <w:spacing w:val="0"/>
          <w:sz w:val="72"/>
          <w:szCs w:val="72"/>
          <w:lang w:eastAsia="zh-CN"/>
          <w14:textFill>
            <w14:solidFill>
              <w14:schemeClr w14:val="tx1"/>
            </w14:solidFill>
          </w14:textFill>
        </w:rPr>
        <w:t>竞争性磋商</w:t>
      </w:r>
      <w:r>
        <w:rPr>
          <w:rFonts w:hint="eastAsia" w:ascii="宋体" w:hAnsi="宋体" w:eastAsia="宋体" w:cs="宋体"/>
          <w:b w:val="0"/>
          <w:bCs/>
          <w:color w:val="000000" w:themeColor="text1"/>
          <w:spacing w:val="0"/>
          <w:sz w:val="72"/>
          <w:szCs w:val="72"/>
          <w14:textFill>
            <w14:solidFill>
              <w14:schemeClr w14:val="tx1"/>
            </w14:solidFill>
          </w14:textFill>
        </w:rPr>
        <w:t>文件</w:t>
      </w:r>
    </w:p>
    <w:p w14:paraId="2925F114">
      <w:pPr>
        <w:keepLines/>
        <w:pageBreakBefore w:val="0"/>
        <w:kinsoku/>
        <w:wordWrap w:val="0"/>
        <w:overflowPunct/>
        <w:topLinePunct w:val="0"/>
        <w:autoSpaceDE/>
        <w:autoSpaceDN/>
        <w:bidi w:val="0"/>
        <w:ind w:firstLine="420" w:firstLineChars="150"/>
        <w:textAlignment w:val="auto"/>
        <w:rPr>
          <w:rFonts w:hint="eastAsia" w:ascii="宋体" w:hAnsi="宋体" w:eastAsia="宋体" w:cs="宋体"/>
          <w:b w:val="0"/>
          <w:bCs/>
          <w:color w:val="000000" w:themeColor="text1"/>
          <w:spacing w:val="0"/>
          <w:sz w:val="28"/>
          <w:szCs w:val="28"/>
          <w14:textFill>
            <w14:solidFill>
              <w14:schemeClr w14:val="tx1"/>
            </w14:solidFill>
          </w14:textFill>
        </w:rPr>
      </w:pPr>
    </w:p>
    <w:p w14:paraId="489A443B">
      <w:pPr>
        <w:keepLines/>
        <w:pageBreakBefore w:val="0"/>
        <w:kinsoku/>
        <w:wordWrap w:val="0"/>
        <w:overflowPunct/>
        <w:topLinePunct w:val="0"/>
        <w:autoSpaceDE/>
        <w:autoSpaceDN/>
        <w:bidi w:val="0"/>
        <w:spacing w:line="480" w:lineRule="exact"/>
        <w:ind w:firstLine="1400" w:firstLineChars="500"/>
        <w:textAlignment w:val="auto"/>
        <w:rPr>
          <w:rFonts w:hint="eastAsia" w:ascii="宋体" w:hAnsi="宋体" w:eastAsia="宋体" w:cs="宋体"/>
          <w:b w:val="0"/>
          <w:bCs/>
          <w:color w:val="000000" w:themeColor="text1"/>
          <w:spacing w:val="0"/>
          <w:sz w:val="28"/>
          <w:szCs w:val="28"/>
          <w:u w:val="single"/>
          <w14:textFill>
            <w14:solidFill>
              <w14:schemeClr w14:val="tx1"/>
            </w14:solidFill>
          </w14:textFill>
        </w:rPr>
      </w:pPr>
    </w:p>
    <w:p w14:paraId="2F9E9D6C">
      <w:pPr>
        <w:keepLines/>
        <w:pageBreakBefore w:val="0"/>
        <w:kinsoku/>
        <w:wordWrap w:val="0"/>
        <w:overflowPunct/>
        <w:topLinePunct w:val="0"/>
        <w:autoSpaceDE/>
        <w:autoSpaceDN/>
        <w:bidi w:val="0"/>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p>
    <w:p w14:paraId="4CE122A4">
      <w:pPr>
        <w:pStyle w:val="17"/>
        <w:keepLines/>
        <w:pageBreakBefore w:val="0"/>
        <w:kinsoku/>
        <w:wordWrap w:val="0"/>
        <w:overflowPunct/>
        <w:bidi w:val="0"/>
        <w:textAlignment w:val="auto"/>
        <w:rPr>
          <w:rFonts w:hint="eastAsia" w:ascii="宋体" w:hAnsi="宋体" w:eastAsia="宋体" w:cs="宋体"/>
          <w:b w:val="0"/>
          <w:bCs/>
          <w:color w:val="000000" w:themeColor="text1"/>
          <w:spacing w:val="0"/>
          <w:sz w:val="28"/>
          <w:szCs w:val="28"/>
          <w14:textFill>
            <w14:solidFill>
              <w14:schemeClr w14:val="tx1"/>
            </w14:solidFill>
          </w14:textFill>
        </w:rPr>
      </w:pPr>
    </w:p>
    <w:p w14:paraId="7443149E">
      <w:pPr>
        <w:keepLines/>
        <w:pageBreakBefore w:val="0"/>
        <w:kinsoku/>
        <w:wordWrap w:val="0"/>
        <w:overflowPunct/>
        <w:bidi w:val="0"/>
        <w:textAlignment w:val="auto"/>
        <w:rPr>
          <w:rFonts w:hint="eastAsia" w:ascii="宋体" w:hAnsi="宋体" w:eastAsia="宋体" w:cs="宋体"/>
        </w:rPr>
      </w:pPr>
    </w:p>
    <w:p w14:paraId="513FFF7B">
      <w:pPr>
        <w:pStyle w:val="7"/>
        <w:keepNext w:val="0"/>
        <w:keepLines/>
        <w:pageBreakBefore w:val="0"/>
        <w:widowControl w:val="0"/>
        <w:kinsoku/>
        <w:wordWrap w:val="0"/>
        <w:overflowPunct/>
        <w:topLinePunct w:val="0"/>
        <w:autoSpaceDE/>
        <w:autoSpaceDN/>
        <w:bidi w:val="0"/>
        <w:adjustRightInd/>
        <w:spacing w:line="360" w:lineRule="auto"/>
        <w:ind w:left="0" w:leftChars="0"/>
        <w:textAlignment w:val="auto"/>
        <w:rPr>
          <w:rFonts w:hint="eastAsia" w:ascii="宋体" w:hAnsi="宋体" w:eastAsia="宋体" w:cs="宋体"/>
          <w:color w:val="000000" w:themeColor="text1"/>
          <w:spacing w:val="0"/>
          <w14:textFill>
            <w14:solidFill>
              <w14:schemeClr w14:val="tx1"/>
            </w14:solidFill>
          </w14:textFill>
        </w:rPr>
      </w:pPr>
    </w:p>
    <w:p w14:paraId="3F2F55C3">
      <w:pPr>
        <w:keepLines/>
        <w:pageBreakBefore w:val="0"/>
        <w:kinsoku/>
        <w:wordWrap w:val="0"/>
        <w:overflowPunct/>
        <w:bidi w:val="0"/>
        <w:spacing w:line="480" w:lineRule="auto"/>
        <w:ind w:firstLine="360" w:firstLineChars="100"/>
        <w:textAlignment w:val="auto"/>
        <w:rPr>
          <w:rFonts w:hint="eastAsia" w:ascii="宋体" w:hAnsi="宋体" w:eastAsia="宋体" w:cs="宋体"/>
          <w:sz w:val="36"/>
          <w:szCs w:val="40"/>
          <w:lang w:val="en-US" w:eastAsia="zh-CN"/>
        </w:rPr>
      </w:pPr>
      <w:r>
        <w:rPr>
          <w:rFonts w:hint="eastAsia" w:ascii="宋体" w:hAnsi="宋体" w:eastAsia="宋体" w:cs="宋体"/>
          <w:sz w:val="36"/>
          <w:szCs w:val="40"/>
          <w:lang w:val="en-US" w:eastAsia="zh-CN"/>
        </w:rPr>
        <w:t>采 购 人：临汾市特殊教育学校</w:t>
      </w:r>
    </w:p>
    <w:p w14:paraId="68D55E2B">
      <w:pPr>
        <w:keepLines/>
        <w:pageBreakBefore w:val="0"/>
        <w:kinsoku/>
        <w:wordWrap w:val="0"/>
        <w:overflowPunct/>
        <w:bidi w:val="0"/>
        <w:spacing w:line="480" w:lineRule="auto"/>
        <w:ind w:firstLine="360" w:firstLineChars="100"/>
        <w:textAlignment w:val="auto"/>
        <w:rPr>
          <w:rFonts w:hint="eastAsia" w:ascii="宋体" w:hAnsi="宋体" w:eastAsia="宋体" w:cs="宋体"/>
          <w:sz w:val="36"/>
          <w:szCs w:val="40"/>
          <w:lang w:val="en-US" w:eastAsia="zh-CN"/>
        </w:rPr>
      </w:pPr>
      <w:r>
        <w:rPr>
          <w:rFonts w:hint="eastAsia" w:ascii="宋体" w:hAnsi="宋体" w:eastAsia="宋体" w:cs="宋体"/>
          <w:sz w:val="36"/>
          <w:szCs w:val="40"/>
          <w:lang w:val="en-US" w:eastAsia="zh-CN"/>
        </w:rPr>
        <w:t>代理公司：山西誉信达工程咨询管理服务有限公司</w:t>
      </w:r>
    </w:p>
    <w:p w14:paraId="752EBB2B">
      <w:pPr>
        <w:keepLines/>
        <w:pageBreakBefore w:val="0"/>
        <w:kinsoku/>
        <w:wordWrap w:val="0"/>
        <w:overflowPunct/>
        <w:bidi w:val="0"/>
        <w:spacing w:line="480" w:lineRule="auto"/>
        <w:jc w:val="center"/>
        <w:textAlignment w:val="auto"/>
        <w:rPr>
          <w:rFonts w:hint="eastAsia" w:ascii="宋体" w:hAnsi="宋体" w:eastAsia="宋体" w:cs="宋体"/>
          <w:sz w:val="36"/>
          <w:szCs w:val="40"/>
          <w:lang w:val="en-US" w:eastAsia="zh-CN"/>
        </w:rPr>
      </w:pPr>
      <w:r>
        <w:rPr>
          <w:rFonts w:hint="eastAsia" w:ascii="宋体" w:hAnsi="宋体" w:eastAsia="宋体" w:cs="宋体"/>
          <w:sz w:val="36"/>
          <w:szCs w:val="40"/>
          <w:lang w:val="en-US" w:eastAsia="zh-CN"/>
        </w:rPr>
        <w:t>2026年5月</w:t>
      </w:r>
    </w:p>
    <w:p w14:paraId="1C339E4A">
      <w:pPr>
        <w:keepLines/>
        <w:pageBreakBefore w:val="0"/>
        <w:kinsoku/>
        <w:wordWrap w:val="0"/>
        <w:overflowPunct/>
        <w:bidi w:val="0"/>
        <w:spacing w:line="480" w:lineRule="auto"/>
        <w:textAlignment w:val="auto"/>
        <w:rPr>
          <w:rFonts w:hint="eastAsia" w:ascii="宋体" w:hAnsi="宋体" w:eastAsia="宋体" w:cs="宋体"/>
          <w:sz w:val="36"/>
          <w:szCs w:val="40"/>
          <w:lang w:val="en-US" w:eastAsia="zh-CN"/>
        </w:rPr>
        <w:sectPr>
          <w:headerReference r:id="rId3" w:type="default"/>
          <w:pgSz w:w="11906" w:h="16838"/>
          <w:pgMar w:top="1135" w:right="1361" w:bottom="1021" w:left="1531" w:header="794" w:footer="992" w:gutter="0"/>
          <w:pgNumType w:fmt="decimal" w:start="1"/>
          <w:cols w:space="425" w:num="1"/>
          <w:docGrid w:type="lines" w:linePitch="312" w:charSpace="0"/>
        </w:sectPr>
      </w:pPr>
    </w:p>
    <w:p w14:paraId="0E2E9499">
      <w:pPr>
        <w:pStyle w:val="17"/>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sz w:val="24"/>
          <w:szCs w:val="24"/>
          <w14:textFill>
            <w14:solidFill>
              <w14:schemeClr w14:val="tx1"/>
            </w14:solidFill>
          </w14:textFill>
        </w:rPr>
      </w:pPr>
    </w:p>
    <w:p w14:paraId="323D2938">
      <w:pPr>
        <w:keepLines/>
        <w:pageBreakBefore w:val="0"/>
        <w:kinsoku/>
        <w:wordWrap w:val="0"/>
        <w:overflowPunct/>
        <w:topLinePunct w:val="0"/>
        <w:autoSpaceDE/>
        <w:autoSpaceDN/>
        <w:bidi w:val="0"/>
        <w:jc w:val="center"/>
        <w:textAlignment w:val="auto"/>
        <w:rPr>
          <w:rFonts w:hint="eastAsia" w:ascii="宋体" w:hAnsi="宋体" w:eastAsia="宋体" w:cs="宋体"/>
          <w:b/>
          <w:bCs/>
          <w:color w:val="000000" w:themeColor="text1"/>
          <w:spacing w:val="0"/>
          <w:sz w:val="44"/>
          <w:szCs w:val="44"/>
          <w:lang w:val="zh-CN"/>
          <w14:textFill>
            <w14:solidFill>
              <w14:schemeClr w14:val="tx1"/>
            </w14:solidFill>
          </w14:textFill>
        </w:rPr>
      </w:pPr>
      <w:r>
        <w:rPr>
          <w:rFonts w:hint="eastAsia" w:ascii="宋体" w:hAnsi="宋体" w:eastAsia="宋体" w:cs="宋体"/>
          <w:b/>
          <w:bCs/>
          <w:color w:val="000000" w:themeColor="text1"/>
          <w:spacing w:val="0"/>
          <w:sz w:val="44"/>
          <w:szCs w:val="44"/>
          <w:lang w:val="zh-CN"/>
          <w14:textFill>
            <w14:solidFill>
              <w14:schemeClr w14:val="tx1"/>
            </w14:solidFill>
          </w14:textFill>
        </w:rPr>
        <w:t>目</w:t>
      </w:r>
      <w:r>
        <w:rPr>
          <w:rFonts w:hint="eastAsia" w:ascii="宋体" w:hAnsi="宋体" w:eastAsia="宋体" w:cs="宋体"/>
          <w:b/>
          <w:bCs/>
          <w:color w:val="000000" w:themeColor="text1"/>
          <w:spacing w:val="0"/>
          <w:sz w:val="44"/>
          <w:szCs w:val="44"/>
          <w14:textFill>
            <w14:solidFill>
              <w14:schemeClr w14:val="tx1"/>
            </w14:solidFill>
          </w14:textFill>
        </w:rPr>
        <w:t xml:space="preserve">   </w:t>
      </w:r>
      <w:r>
        <w:rPr>
          <w:rFonts w:hint="eastAsia" w:ascii="宋体" w:hAnsi="宋体" w:eastAsia="宋体" w:cs="宋体"/>
          <w:b/>
          <w:bCs/>
          <w:color w:val="000000" w:themeColor="text1"/>
          <w:spacing w:val="0"/>
          <w:sz w:val="44"/>
          <w:szCs w:val="44"/>
          <w:lang w:val="zh-CN"/>
          <w14:textFill>
            <w14:solidFill>
              <w14:schemeClr w14:val="tx1"/>
            </w14:solidFill>
          </w14:textFill>
        </w:rPr>
        <w:t>录</w:t>
      </w:r>
    </w:p>
    <w:p w14:paraId="327F7C1D">
      <w:pPr>
        <w:pStyle w:val="17"/>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70122ADC">
      <w:pPr>
        <w:pStyle w:val="19"/>
        <w:keepLines/>
        <w:pageBreakBefore w:val="0"/>
        <w:tabs>
          <w:tab w:val="right" w:pos="9014"/>
        </w:tabs>
        <w:kinsoku/>
        <w:wordWrap w:val="0"/>
        <w:overflowPunct/>
        <w:topLinePunct w:val="0"/>
        <w:autoSpaceDE/>
        <w:autoSpaceDN/>
        <w:bidi w:val="0"/>
        <w:textAlignment w:val="auto"/>
        <w:rPr>
          <w:rFonts w:hint="eastAsia" w:ascii="宋体" w:hAnsi="宋体" w:eastAsia="宋体" w:cs="宋体"/>
          <w:color w:val="000000" w:themeColor="text1"/>
          <w:spacing w:val="0"/>
          <w:sz w:val="32"/>
          <w:szCs w:val="32"/>
          <w14:textFill>
            <w14:solidFill>
              <w14:schemeClr w14:val="tx1"/>
            </w14:solidFill>
          </w14:textFill>
        </w:rPr>
      </w:pPr>
    </w:p>
    <w:p w14:paraId="580D5358">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sz w:val="32"/>
          <w:szCs w:val="32"/>
          <w14:textFill>
            <w14:solidFill>
              <w14:schemeClr w14:val="tx1"/>
            </w14:solidFill>
          </w14:textFill>
        </w:rPr>
        <w:fldChar w:fldCharType="begin"/>
      </w:r>
      <w:r>
        <w:rPr>
          <w:rFonts w:hint="eastAsia" w:ascii="宋体" w:hAnsi="宋体" w:eastAsia="宋体" w:cs="宋体"/>
          <w:color w:val="000000" w:themeColor="text1"/>
          <w:spacing w:val="0"/>
          <w:sz w:val="32"/>
          <w:szCs w:val="32"/>
          <w14:textFill>
            <w14:solidFill>
              <w14:schemeClr w14:val="tx1"/>
            </w14:solidFill>
          </w14:textFill>
        </w:rPr>
        <w:instrText xml:space="preserve">TOC \o "1-2" \n  \h \u </w:instrText>
      </w:r>
      <w:r>
        <w:rPr>
          <w:rFonts w:hint="eastAsia" w:ascii="宋体" w:hAnsi="宋体" w:eastAsia="宋体" w:cs="宋体"/>
          <w:color w:val="000000" w:themeColor="text1"/>
          <w:spacing w:val="0"/>
          <w:sz w:val="32"/>
          <w:szCs w:val="32"/>
          <w14:textFill>
            <w14:solidFill>
              <w14:schemeClr w14:val="tx1"/>
            </w14:solidFill>
          </w14:textFill>
        </w:rPr>
        <w:fldChar w:fldCharType="separate"/>
      </w: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"_Toc23105"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第一部分  采购邀请</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0A2F2468">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"_Toc22574"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第二部分  磋商供应商须知前附表</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6388E1EA">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"_Toc25272"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第三部分  磋商供应商须知</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6F3E92E0">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"_Toc32561"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第四部分 采购需求</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53C03244">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"_Toc5726"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第五部分 资格审查内容及标准</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6ED1A23B">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"_Toc10477"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第六部分 评定和成交标准</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0136366A">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"_Toc28657"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 xml:space="preserve">第七部分 </w:t>
      </w:r>
      <w:r>
        <w:rPr>
          <w:rFonts w:hint="eastAsia" w:ascii="宋体" w:hAnsi="宋体" w:eastAsia="宋体" w:cs="宋体"/>
          <w:color w:val="000000" w:themeColor="text1"/>
          <w:spacing w:val="0"/>
          <w:sz w:val="24"/>
          <w:szCs w:val="28"/>
          <w:lang w:val="en-US" w:eastAsia="zh-CN"/>
          <w14:textFill>
            <w14:solidFill>
              <w14:schemeClr w14:val="tx1"/>
            </w14:solidFill>
          </w14:textFill>
        </w:rPr>
        <w:t>工程量清单</w:t>
      </w:r>
    </w:p>
    <w:p w14:paraId="1048CCBD">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sz w:val="24"/>
          <w:szCs w:val="28"/>
          <w:lang w:val="en-US" w:eastAsia="zh-CN"/>
          <w14:textFill>
            <w14:solidFill>
              <w14:schemeClr w14:val="tx1"/>
            </w14:solidFill>
          </w14:textFill>
        </w:rPr>
        <w:t xml:space="preserve">第八部分 </w:t>
      </w:r>
      <w:r>
        <w:rPr>
          <w:rFonts w:hint="eastAsia" w:ascii="宋体" w:hAnsi="宋体" w:eastAsia="宋体" w:cs="宋体"/>
          <w:color w:val="000000" w:themeColor="text1"/>
          <w:spacing w:val="0"/>
          <w:sz w:val="24"/>
          <w:szCs w:val="28"/>
          <w14:textFill>
            <w14:solidFill>
              <w14:schemeClr w14:val="tx1"/>
            </w14:solidFill>
          </w14:textFill>
        </w:rPr>
        <w:t>合同</w:t>
      </w:r>
      <w:r>
        <w:rPr>
          <w:rFonts w:hint="eastAsia" w:ascii="宋体" w:hAnsi="宋体" w:eastAsia="宋体" w:cs="宋体"/>
          <w:color w:val="000000" w:themeColor="text1"/>
          <w:spacing w:val="0"/>
          <w:sz w:val="24"/>
          <w:szCs w:val="28"/>
          <w:lang w:val="en-US" w:eastAsia="zh-CN"/>
          <w14:textFill>
            <w14:solidFill>
              <w14:schemeClr w14:val="tx1"/>
            </w14:solidFill>
          </w14:textFill>
        </w:rPr>
        <w:t>原则</w:t>
      </w:r>
      <w:r>
        <w:rPr>
          <w:rFonts w:hint="eastAsia" w:ascii="宋体" w:hAnsi="宋体" w:eastAsia="宋体" w:cs="宋体"/>
          <w:color w:val="000000" w:themeColor="text1"/>
          <w:spacing w:val="0"/>
          <w:sz w:val="24"/>
          <w:szCs w:val="28"/>
          <w14:textFill>
            <w14:solidFill>
              <w14:schemeClr w14:val="tx1"/>
            </w14:solidFill>
          </w14:textFill>
        </w:rPr>
        <w:t>（可修改）</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75EEEE8F">
      <w:pPr>
        <w:pStyle w:val="19"/>
        <w:keepLines/>
        <w:pageBreakBefore w:val="0"/>
        <w:tabs>
          <w:tab w:val="right" w:pos="9014"/>
        </w:tabs>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8"/>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fldChar w:fldCharType="begin"/>
      </w:r>
      <w:r>
        <w:rPr>
          <w:rFonts w:hint="eastAsia" w:ascii="宋体" w:hAnsi="宋体" w:eastAsia="宋体" w:cs="宋体"/>
          <w:color w:val="000000" w:themeColor="text1"/>
          <w:spacing w:val="0"/>
          <w14:textFill>
            <w14:solidFill>
              <w14:schemeClr w14:val="tx1"/>
            </w14:solidFill>
          </w14:textFill>
        </w:rPr>
        <w:instrText xml:space="preserve"> HYPERLINK \l "_Toc18945" </w:instrText>
      </w:r>
      <w:r>
        <w:rPr>
          <w:rFonts w:hint="eastAsia" w:ascii="宋体" w:hAnsi="宋体" w:eastAsia="宋体" w:cs="宋体"/>
          <w:color w:val="000000" w:themeColor="text1"/>
          <w:spacing w:val="0"/>
          <w14:textFill>
            <w14:solidFill>
              <w14:schemeClr w14:val="tx1"/>
            </w14:solidFill>
          </w14:textFill>
        </w:rPr>
        <w:fldChar w:fldCharType="separate"/>
      </w:r>
      <w:r>
        <w:rPr>
          <w:rFonts w:hint="eastAsia" w:ascii="宋体" w:hAnsi="宋体" w:eastAsia="宋体" w:cs="宋体"/>
          <w:color w:val="000000" w:themeColor="text1"/>
          <w:spacing w:val="0"/>
          <w:sz w:val="24"/>
          <w:szCs w:val="28"/>
          <w14:textFill>
            <w14:solidFill>
              <w14:schemeClr w14:val="tx1"/>
            </w14:solidFill>
          </w14:textFill>
        </w:rPr>
        <w:t>第</w:t>
      </w:r>
      <w:r>
        <w:rPr>
          <w:rFonts w:hint="eastAsia" w:ascii="宋体" w:hAnsi="宋体" w:eastAsia="宋体" w:cs="宋体"/>
          <w:color w:val="000000" w:themeColor="text1"/>
          <w:spacing w:val="0"/>
          <w:sz w:val="24"/>
          <w:szCs w:val="28"/>
          <w:lang w:val="en-US" w:eastAsia="zh-CN"/>
          <w14:textFill>
            <w14:solidFill>
              <w14:schemeClr w14:val="tx1"/>
            </w14:solidFill>
          </w14:textFill>
        </w:rPr>
        <w:t>九</w:t>
      </w:r>
      <w:r>
        <w:rPr>
          <w:rFonts w:hint="eastAsia" w:ascii="宋体" w:hAnsi="宋体" w:eastAsia="宋体" w:cs="宋体"/>
          <w:color w:val="000000" w:themeColor="text1"/>
          <w:spacing w:val="0"/>
          <w:sz w:val="24"/>
          <w:szCs w:val="28"/>
          <w14:textFill>
            <w14:solidFill>
              <w14:schemeClr w14:val="tx1"/>
            </w14:solidFill>
          </w14:textFill>
        </w:rPr>
        <w:t>部分 响应文件内容要求及格式</w:t>
      </w:r>
      <w:r>
        <w:rPr>
          <w:rFonts w:hint="eastAsia" w:ascii="宋体" w:hAnsi="宋体" w:eastAsia="宋体" w:cs="宋体"/>
          <w:color w:val="000000" w:themeColor="text1"/>
          <w:spacing w:val="0"/>
          <w:sz w:val="24"/>
          <w:szCs w:val="28"/>
          <w14:textFill>
            <w14:solidFill>
              <w14:schemeClr w14:val="tx1"/>
            </w14:solidFill>
          </w14:textFill>
        </w:rPr>
        <w:fldChar w:fldCharType="end"/>
      </w:r>
    </w:p>
    <w:p w14:paraId="4C289C39">
      <w:pPr>
        <w:keepLines/>
        <w:pageBreakBefore w:val="0"/>
        <w:kinsoku/>
        <w:wordWrap w:val="0"/>
        <w:overflowPunct/>
        <w:topLinePunct w:val="0"/>
        <w:autoSpaceDE/>
        <w:autoSpaceDN/>
        <w:bidi w:val="0"/>
        <w:spacing w:line="360" w:lineRule="auto"/>
        <w:jc w:val="distribute"/>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32"/>
          <w14:textFill>
            <w14:solidFill>
              <w14:schemeClr w14:val="tx1"/>
            </w14:solidFill>
          </w14:textFill>
        </w:rPr>
        <w:fldChar w:fldCharType="end"/>
      </w:r>
    </w:p>
    <w:p w14:paraId="5800AEA7">
      <w:pPr>
        <w:pStyle w:val="2"/>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sz w:val="36"/>
          <w:szCs w:val="52"/>
          <w14:textFill>
            <w14:solidFill>
              <w14:schemeClr w14:val="tx1"/>
            </w14:solidFill>
          </w14:textFill>
        </w:rPr>
        <w:sectPr>
          <w:footerReference r:id="rId4" w:type="default"/>
          <w:pgSz w:w="11906" w:h="16838"/>
          <w:pgMar w:top="1440" w:right="1418" w:bottom="1440" w:left="1418" w:header="851" w:footer="992" w:gutter="0"/>
          <w:pgBorders>
            <w:top w:val="none" w:sz="0" w:space="0"/>
            <w:left w:val="none" w:sz="0" w:space="0"/>
            <w:bottom w:val="none" w:sz="0" w:space="0"/>
            <w:right w:val="none" w:sz="0" w:space="0"/>
          </w:pgBorders>
          <w:pgNumType w:fmt="decimal" w:start="1"/>
          <w:cols w:space="720" w:num="1"/>
          <w:docGrid w:linePitch="312" w:charSpace="0"/>
        </w:sectPr>
      </w:pPr>
      <w:bookmarkStart w:id="0" w:name="_Toc23105"/>
    </w:p>
    <w:bookmarkEnd w:id="0"/>
    <w:p w14:paraId="1497FA3E">
      <w:pPr>
        <w:pStyle w:val="2"/>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sz w:val="36"/>
          <w:szCs w:val="52"/>
          <w:lang w:eastAsia="zh-CN"/>
          <w14:textFill>
            <w14:solidFill>
              <w14:schemeClr w14:val="tx1"/>
            </w14:solidFill>
          </w14:textFill>
        </w:rPr>
      </w:pPr>
      <w:r>
        <w:rPr>
          <w:rFonts w:hint="eastAsia" w:ascii="宋体" w:hAnsi="宋体" w:eastAsia="宋体" w:cs="宋体"/>
          <w:color w:val="000000" w:themeColor="text1"/>
          <w:spacing w:val="0"/>
          <w:sz w:val="36"/>
          <w:szCs w:val="52"/>
          <w14:textFill>
            <w14:solidFill>
              <w14:schemeClr w14:val="tx1"/>
            </w14:solidFill>
          </w14:textFill>
        </w:rPr>
        <w:t>第一部分  采购</w:t>
      </w:r>
      <w:r>
        <w:rPr>
          <w:rFonts w:hint="eastAsia" w:ascii="宋体" w:hAnsi="宋体" w:eastAsia="宋体" w:cs="宋体"/>
          <w:color w:val="000000" w:themeColor="text1"/>
          <w:spacing w:val="0"/>
          <w:sz w:val="36"/>
          <w:szCs w:val="52"/>
          <w:lang w:eastAsia="zh-CN"/>
          <w14:textFill>
            <w14:solidFill>
              <w14:schemeClr w14:val="tx1"/>
            </w14:solidFill>
          </w14:textFill>
        </w:rPr>
        <w:t>邀请</w:t>
      </w:r>
    </w:p>
    <w:p w14:paraId="1CD14AC1">
      <w:pPr>
        <w:pStyle w:val="54"/>
        <w:keepLines/>
        <w:pageBreakBefore w:val="0"/>
        <w:numPr>
          <w:ilvl w:val="0"/>
          <w:numId w:val="0"/>
        </w:numPr>
        <w:kinsoku/>
        <w:wordWrap w:val="0"/>
        <w:overflowPunct/>
        <w:topLinePunct/>
        <w:autoSpaceDE/>
        <w:autoSpaceDN/>
        <w:bidi w:val="0"/>
        <w:snapToGrid w:val="0"/>
        <w:spacing w:before="0" w:after="0" w:line="360" w:lineRule="auto"/>
        <w:jc w:val="center"/>
        <w:textAlignment w:val="auto"/>
        <w:rPr>
          <w:rFonts w:hint="eastAsia" w:ascii="宋体" w:hAnsi="宋体" w:eastAsia="宋体" w:cs="宋体"/>
        </w:rPr>
      </w:pPr>
      <w:r>
        <w:rPr>
          <w:rFonts w:hint="eastAsia" w:ascii="宋体" w:hAnsi="宋体" w:eastAsia="宋体" w:cs="宋体"/>
          <w:color w:val="000000" w:themeColor="text1"/>
          <w:spacing w:val="0"/>
          <w:sz w:val="32"/>
          <w:szCs w:val="32"/>
          <w:lang w:eastAsia="zh-CN"/>
          <w14:textFill>
            <w14:solidFill>
              <w14:schemeClr w14:val="tx1"/>
            </w14:solidFill>
          </w14:textFill>
        </w:rPr>
        <w:t>临汾市特殊教育学校消防水池、室外消火栓及管网工程</w:t>
      </w:r>
      <w:r>
        <w:rPr>
          <w:rFonts w:hint="eastAsia" w:ascii="宋体" w:hAnsi="宋体" w:eastAsia="宋体" w:cs="宋体"/>
          <w:color w:val="000000" w:themeColor="text1"/>
          <w:spacing w:val="0"/>
          <w:sz w:val="32"/>
          <w:szCs w:val="32"/>
          <w14:textFill>
            <w14:solidFill>
              <w14:schemeClr w14:val="tx1"/>
            </w14:solidFill>
          </w14:textFill>
        </w:rPr>
        <w:t>竞争性磋商公告</w:t>
      </w:r>
      <w:bookmarkStart w:id="1" w:name="_Toc22574"/>
    </w:p>
    <w:p w14:paraId="6EAA3E7C">
      <w:pPr>
        <w:keepLines/>
        <w:pageBreakBefore w:val="0"/>
        <w:widowControl/>
        <w:pBdr>
          <w:top w:val="single" w:color="auto" w:sz="4" w:space="1"/>
          <w:left w:val="single" w:color="auto" w:sz="4" w:space="4"/>
          <w:bottom w:val="single" w:color="auto" w:sz="4" w:space="1"/>
          <w:right w:val="single" w:color="auto" w:sz="4" w:space="4"/>
        </w:pBdr>
        <w:kinsoku/>
        <w:wordWrap w:val="0"/>
        <w:overflowPunct/>
        <w:topLinePunct/>
        <w:autoSpaceDE/>
        <w:autoSpaceDN/>
        <w:bidi w:val="0"/>
        <w:snapToGrid w:val="0"/>
        <w:spacing w:line="360" w:lineRule="auto"/>
        <w:ind w:firstLine="520" w:firstLineChars="200"/>
        <w:textAlignment w:val="auto"/>
        <w:rPr>
          <w:rFonts w:hint="eastAsia" w:ascii="宋体" w:hAnsi="宋体" w:eastAsia="宋体" w:cs="宋体"/>
          <w:b w:val="0"/>
          <w:bCs w:val="0"/>
          <w:color w:val="auto"/>
          <w:spacing w:val="10"/>
          <w:sz w:val="24"/>
          <w:szCs w:val="24"/>
          <w:highlight w:val="none"/>
          <w:lang w:val="en-US" w:eastAsia="zh-CN"/>
        </w:rPr>
      </w:pPr>
      <w:r>
        <w:rPr>
          <w:rFonts w:hint="eastAsia" w:ascii="宋体" w:hAnsi="宋体" w:eastAsia="宋体" w:cs="宋体"/>
          <w:b w:val="0"/>
          <w:bCs w:val="0"/>
          <w:color w:val="auto"/>
          <w:spacing w:val="10"/>
          <w:sz w:val="24"/>
          <w:szCs w:val="24"/>
          <w:highlight w:val="none"/>
          <w:lang w:val="en-US" w:eastAsia="zh-CN"/>
        </w:rPr>
        <w:t>项目概况</w:t>
      </w:r>
    </w:p>
    <w:p w14:paraId="52F71EFA">
      <w:pPr>
        <w:keepLines/>
        <w:pageBreakBefore w:val="0"/>
        <w:widowControl/>
        <w:pBdr>
          <w:top w:val="single" w:color="auto" w:sz="4" w:space="1"/>
          <w:left w:val="single" w:color="auto" w:sz="4" w:space="4"/>
          <w:bottom w:val="single" w:color="auto" w:sz="4" w:space="1"/>
          <w:right w:val="single" w:color="auto" w:sz="4" w:space="4"/>
        </w:pBdr>
        <w:kinsoku/>
        <w:wordWrap w:val="0"/>
        <w:overflowPunct/>
        <w:topLinePunct/>
        <w:autoSpaceDE/>
        <w:autoSpaceDN/>
        <w:bidi w:val="0"/>
        <w:snapToGrid w:val="0"/>
        <w:spacing w:line="360" w:lineRule="auto"/>
        <w:ind w:firstLine="52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10"/>
          <w:sz w:val="24"/>
          <w:szCs w:val="24"/>
          <w:highlight w:val="none"/>
          <w:lang w:eastAsia="zh-CN"/>
        </w:rPr>
        <w:t>临汾市特殊教育学校消防水池、室外消火栓及管网工程</w:t>
      </w:r>
      <w:r>
        <w:rPr>
          <w:rFonts w:hint="eastAsia" w:ascii="宋体" w:hAnsi="宋体" w:eastAsia="宋体" w:cs="宋体"/>
          <w:b w:val="0"/>
          <w:bCs w:val="0"/>
          <w:color w:val="auto"/>
          <w:spacing w:val="10"/>
          <w:sz w:val="24"/>
          <w:szCs w:val="24"/>
          <w:highlight w:val="none"/>
        </w:rPr>
        <w:t>招标项目的潜在投标人应在政采云平台线上获取</w:t>
      </w:r>
      <w:r>
        <w:rPr>
          <w:rFonts w:hint="eastAsia" w:ascii="宋体" w:hAnsi="宋体" w:eastAsia="宋体" w:cs="宋体"/>
          <w:b w:val="0"/>
          <w:bCs w:val="0"/>
          <w:color w:val="auto"/>
          <w:spacing w:val="10"/>
          <w:sz w:val="24"/>
          <w:szCs w:val="24"/>
          <w:highlight w:val="none"/>
          <w:lang w:val="en-US" w:eastAsia="zh-CN"/>
        </w:rPr>
        <w:t>磋商</w:t>
      </w:r>
      <w:r>
        <w:rPr>
          <w:rFonts w:hint="eastAsia" w:ascii="宋体" w:hAnsi="宋体" w:eastAsia="宋体" w:cs="宋体"/>
          <w:b w:val="0"/>
          <w:bCs w:val="0"/>
          <w:color w:val="auto"/>
          <w:spacing w:val="10"/>
          <w:sz w:val="24"/>
          <w:szCs w:val="24"/>
          <w:highlight w:val="none"/>
        </w:rPr>
        <w:t>文件，并于202</w:t>
      </w:r>
      <w:r>
        <w:rPr>
          <w:rFonts w:hint="eastAsia" w:ascii="宋体" w:hAnsi="宋体" w:eastAsia="宋体" w:cs="宋体"/>
          <w:b w:val="0"/>
          <w:bCs w:val="0"/>
          <w:color w:val="auto"/>
          <w:spacing w:val="10"/>
          <w:sz w:val="24"/>
          <w:szCs w:val="24"/>
          <w:highlight w:val="none"/>
          <w:lang w:val="en-US" w:eastAsia="zh-CN"/>
        </w:rPr>
        <w:t>6</w:t>
      </w:r>
      <w:r>
        <w:rPr>
          <w:rFonts w:hint="eastAsia" w:ascii="宋体" w:hAnsi="宋体" w:eastAsia="宋体" w:cs="宋体"/>
          <w:b w:val="0"/>
          <w:bCs w:val="0"/>
          <w:color w:val="auto"/>
          <w:spacing w:val="10"/>
          <w:sz w:val="24"/>
          <w:szCs w:val="24"/>
          <w:highlight w:val="none"/>
        </w:rPr>
        <w:t>年</w:t>
      </w:r>
      <w:r>
        <w:rPr>
          <w:rFonts w:hint="eastAsia" w:ascii="宋体" w:hAnsi="宋体" w:eastAsia="宋体" w:cs="宋体"/>
          <w:b w:val="0"/>
          <w:bCs w:val="0"/>
          <w:color w:val="auto"/>
          <w:spacing w:val="10"/>
          <w:sz w:val="24"/>
          <w:szCs w:val="24"/>
          <w:highlight w:val="none"/>
          <w:lang w:val="en-US" w:eastAsia="zh-CN"/>
        </w:rPr>
        <w:t>6 月4</w:t>
      </w:r>
      <w:r>
        <w:rPr>
          <w:rFonts w:hint="eastAsia" w:ascii="宋体" w:hAnsi="宋体" w:eastAsia="宋体" w:cs="宋体"/>
          <w:b w:val="0"/>
          <w:bCs w:val="0"/>
          <w:color w:val="auto"/>
          <w:spacing w:val="10"/>
          <w:sz w:val="24"/>
          <w:szCs w:val="24"/>
          <w:highlight w:val="none"/>
        </w:rPr>
        <w:t>日</w:t>
      </w:r>
      <w:r>
        <w:rPr>
          <w:rFonts w:hint="eastAsia" w:ascii="宋体" w:hAnsi="宋体" w:eastAsia="宋体" w:cs="宋体"/>
          <w:b w:val="0"/>
          <w:bCs w:val="0"/>
          <w:color w:val="auto"/>
          <w:spacing w:val="10"/>
          <w:sz w:val="24"/>
          <w:szCs w:val="24"/>
          <w:highlight w:val="none"/>
          <w:lang w:val="en-US" w:eastAsia="zh-CN"/>
        </w:rPr>
        <w:t>9:30</w:t>
      </w:r>
      <w:r>
        <w:rPr>
          <w:rFonts w:hint="eastAsia" w:ascii="宋体" w:hAnsi="宋体" w:eastAsia="宋体" w:cs="宋体"/>
          <w:b w:val="0"/>
          <w:bCs w:val="0"/>
          <w:color w:val="auto"/>
          <w:spacing w:val="10"/>
          <w:sz w:val="24"/>
          <w:szCs w:val="24"/>
          <w:highlight w:val="none"/>
        </w:rPr>
        <w:t xml:space="preserve">（北京时间）前递交投标文件。  </w:t>
      </w:r>
      <w:r>
        <w:rPr>
          <w:rFonts w:hint="eastAsia" w:ascii="宋体" w:hAnsi="宋体" w:eastAsia="宋体" w:cs="宋体"/>
          <w:i w:val="0"/>
          <w:iCs w:val="0"/>
          <w:caps w:val="0"/>
          <w:color w:val="auto"/>
          <w:spacing w:val="0"/>
          <w:sz w:val="28"/>
          <w:szCs w:val="28"/>
        </w:rPr>
        <w:t xml:space="preserve">      </w:t>
      </w:r>
    </w:p>
    <w:p w14:paraId="2D17E83C">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一、项目基本情况</w:t>
      </w:r>
    </w:p>
    <w:p w14:paraId="41768F43">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项目编号：1410992026BCS00093        </w:t>
      </w:r>
    </w:p>
    <w:p w14:paraId="5198E5D2">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eastAsia="宋体" w:cs="宋体"/>
          <w:b w:val="0"/>
          <w:bCs w:val="0"/>
          <w:color w:val="auto"/>
          <w:spacing w:val="10"/>
          <w:sz w:val="24"/>
          <w:szCs w:val="24"/>
          <w:highlight w:val="none"/>
          <w:lang w:eastAsia="zh-CN"/>
        </w:rPr>
        <w:t>临汾市特殊教育学校消防水池、室外消火栓及管网工程</w:t>
      </w:r>
      <w:r>
        <w:rPr>
          <w:rFonts w:hint="eastAsia" w:ascii="宋体" w:hAnsi="宋体" w:eastAsia="宋体" w:cs="宋体"/>
          <w:b w:val="0"/>
          <w:bCs w:val="0"/>
          <w:color w:val="auto"/>
          <w:sz w:val="24"/>
          <w:szCs w:val="24"/>
          <w:highlight w:val="none"/>
          <w:lang w:val="en-US" w:eastAsia="zh-CN"/>
        </w:rPr>
        <w:t xml:space="preserve">    </w:t>
      </w:r>
    </w:p>
    <w:p w14:paraId="7B76554F">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采购方式：竞争性磋商           </w:t>
      </w:r>
    </w:p>
    <w:p w14:paraId="5F5E69C2">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预算金额（元）</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：1190659.66       </w:t>
      </w:r>
    </w:p>
    <w:p w14:paraId="615E170D">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最高限价（元）：1190659.66</w:t>
      </w:r>
    </w:p>
    <w:p w14:paraId="236FFC3A">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采购需求：             </w:t>
      </w:r>
    </w:p>
    <w:p w14:paraId="77553184">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标项名称：</w:t>
      </w:r>
      <w:r>
        <w:rPr>
          <w:rFonts w:hint="eastAsia" w:ascii="宋体" w:hAnsi="宋体" w:eastAsia="宋体" w:cs="宋体"/>
          <w:b w:val="0"/>
          <w:bCs w:val="0"/>
          <w:color w:val="000000" w:themeColor="text1"/>
          <w:spacing w:val="10"/>
          <w:sz w:val="24"/>
          <w:szCs w:val="24"/>
          <w:highlight w:val="none"/>
          <w:lang w:eastAsia="zh-CN"/>
          <w14:textFill>
            <w14:solidFill>
              <w14:schemeClr w14:val="tx1"/>
            </w14:solidFill>
          </w14:textFill>
        </w:rPr>
        <w:t>临汾市特殊教育学校消防水池、室外消火栓及管网工程</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2319CA15">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数量：1</w:t>
      </w:r>
    </w:p>
    <w:p w14:paraId="1653D489">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预算金额（元）： 1190659.66</w:t>
      </w:r>
    </w:p>
    <w:p w14:paraId="301437E5">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单位：批</w:t>
      </w:r>
    </w:p>
    <w:p w14:paraId="138463EE">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简要规格描述：</w:t>
      </w:r>
      <w:r>
        <w:rPr>
          <w:rFonts w:hint="eastAsia" w:ascii="宋体" w:hAnsi="宋体" w:eastAsia="宋体" w:cs="宋体"/>
          <w:b w:val="0"/>
          <w:bCs/>
          <w:color w:val="000000" w:themeColor="text1"/>
          <w:spacing w:val="0"/>
          <w:sz w:val="24"/>
          <w:szCs w:val="24"/>
          <w:lang w:eastAsia="zh-CN"/>
          <w14:textFill>
            <w14:solidFill>
              <w14:schemeClr w14:val="tx1"/>
            </w14:solidFill>
          </w14:textFill>
        </w:rPr>
        <w:t>临汾市特殊教育学校消防水池、室外消火栓及管网工程</w:t>
      </w:r>
      <w:r>
        <w:rPr>
          <w:rFonts w:hint="eastAsia" w:ascii="宋体" w:hAnsi="宋体" w:cs="宋体"/>
          <w:b w:val="0"/>
          <w:bCs/>
          <w:color w:val="000000" w:themeColor="text1"/>
          <w:spacing w:val="0"/>
          <w:sz w:val="24"/>
          <w:szCs w:val="24"/>
          <w:lang w:val="en-US" w:eastAsia="zh-CN"/>
          <w14:textFill>
            <w14:solidFill>
              <w14:schemeClr w14:val="tx1"/>
            </w14:solidFill>
          </w14:textFill>
        </w:rPr>
        <w:t>主要内容包括：地下一层新建消防水池高4m、水泵房高4.6m，地上一层新建楼梯间层高3.0m，建筑总高度3.9m，室内外高差0.3m，框架结构，防水等级一级。</w:t>
      </w:r>
    </w:p>
    <w:p w14:paraId="6E5F75C8">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备注：工程范围：本项目施工图纸及工程量清单中的全部内容。</w:t>
      </w:r>
    </w:p>
    <w:p w14:paraId="572DAEAA">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合同履约期限：100日历天 </w:t>
      </w:r>
      <w:r>
        <w:rPr>
          <w:rFonts w:hint="eastAsia" w:ascii="宋体" w:hAnsi="宋体" w:eastAsia="宋体" w:cs="宋体"/>
          <w:b w:val="0"/>
          <w:bCs w:val="0"/>
          <w:color w:val="FF0000"/>
          <w:sz w:val="24"/>
          <w:szCs w:val="24"/>
          <w:highlight w:val="none"/>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val="0"/>
          <w:color w:val="auto"/>
          <w:sz w:val="24"/>
          <w:szCs w:val="24"/>
          <w:highlight w:val="none"/>
          <w:lang w:val="en-US" w:eastAsia="zh-CN"/>
        </w:rPr>
        <w:t xml:space="preserve"> </w:t>
      </w:r>
    </w:p>
    <w:p w14:paraId="3B375C55">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本项目（否）接受联合体投标。        </w:t>
      </w:r>
    </w:p>
    <w:p w14:paraId="08EADAF6">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二、申请人的资格要求：    </w:t>
      </w:r>
    </w:p>
    <w:p w14:paraId="06002C91">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1.满足《中华人民共和国政府采购法》第二十二条规定；        </w:t>
      </w:r>
    </w:p>
    <w:p w14:paraId="142F5DB3">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2.落实政府采购政策需满足的资格要求：标项1：本项目专门面向中小企业采购        </w:t>
      </w:r>
    </w:p>
    <w:p w14:paraId="03185F66">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供应商必须具备建设行政主管部门颁发的建筑工程施工总承包叁级及以上资质，且具有有效的营业执照、开户许可证或基本存款账户信息、安全生产许可证；其中，投标人拟派项目经理须具备建筑工程贰级及以上注册建造师执业资格证书，具备有效的安全生产考核合格证书、且未担任其他在建工程项目的项目经理，项目技术负责人须具备建筑相关专业中级及以上技术职称</w:t>
      </w:r>
      <w:r>
        <w:rPr>
          <w:rFonts w:hint="eastAsia" w:ascii="宋体" w:hAnsi="宋体" w:eastAsia="宋体" w:cs="宋体"/>
          <w:b w:val="0"/>
          <w:bCs w:val="0"/>
          <w:color w:val="auto"/>
          <w:sz w:val="24"/>
          <w:szCs w:val="24"/>
          <w:highlight w:val="none"/>
          <w:lang w:val="en-US" w:eastAsia="zh-CN"/>
        </w:rPr>
        <w:t>。</w:t>
      </w:r>
    </w:p>
    <w:p w14:paraId="59791E57">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三、获取采购文件    </w:t>
      </w:r>
    </w:p>
    <w:p w14:paraId="3E339B8F">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时间：2026年5 月2</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 xml:space="preserve"> 日至2026年 5 月 2</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 xml:space="preserve">日，每天上午00:00至12:00，下午12:00至23:59（北京时间，法定节假日除外）        </w:t>
      </w:r>
    </w:p>
    <w:p w14:paraId="25685269">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地点：政采云平台线上获取      </w:t>
      </w:r>
    </w:p>
    <w:p w14:paraId="55AEDD07">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方式：在线获取       </w:t>
      </w:r>
    </w:p>
    <w:p w14:paraId="1A1726C3">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售价（元）：0      </w:t>
      </w:r>
    </w:p>
    <w:p w14:paraId="456A533C">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四、响应文件提交    </w:t>
      </w:r>
    </w:p>
    <w:p w14:paraId="5CF495F6">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截止时间：2026年 6 月 </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日9:30 分  （北京时间）        </w:t>
      </w:r>
    </w:p>
    <w:p w14:paraId="3432C1F4">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地点：请登录政采云投标客户端投标     </w:t>
      </w:r>
    </w:p>
    <w:p w14:paraId="20773F0D">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五、响应文件开启    </w:t>
      </w:r>
    </w:p>
    <w:p w14:paraId="06BA0DA2">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开启时间：2026年6 月</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日 9:30分 （北京时间）        </w:t>
      </w:r>
    </w:p>
    <w:p w14:paraId="28661AC9">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地点：山西省临汾市尧都区平阳国际写字楼B座6楼606室      </w:t>
      </w:r>
    </w:p>
    <w:p w14:paraId="75483BF5">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六、公告期限    </w:t>
      </w:r>
    </w:p>
    <w:p w14:paraId="5F2C75A6">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自本公告发布之日起3个工作日。    </w:t>
      </w:r>
    </w:p>
    <w:p w14:paraId="719C5759">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七、其他补充事宜    </w:t>
      </w:r>
    </w:p>
    <w:p w14:paraId="487E4C80">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针对本项目的质疑需一次性提出，多次提出将不予受理。供应商参与山西省政府采购项目时，符合法定质疑条件的，通过政府采购平台进入“项目质疑管理”栏目向采购人、采购代理机构在线提起质疑。 </w:t>
      </w:r>
    </w:p>
    <w:p w14:paraId="63552363">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4.本次磋商公告在《中国政府采购网山西分网》上发布。    </w:t>
      </w:r>
    </w:p>
    <w:p w14:paraId="1756275E">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代理费支付方式：供应商支付 </w:t>
      </w:r>
    </w:p>
    <w:p w14:paraId="0B6856CC">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代理费收费标准：</w:t>
      </w:r>
      <w:r>
        <w:rPr>
          <w:rFonts w:hint="eastAsia" w:ascii="宋体" w:hAnsi="宋体" w:eastAsia="宋体" w:cs="宋体"/>
          <w:b w:val="0"/>
          <w:bCs w:val="0"/>
          <w:color w:val="auto"/>
          <w:sz w:val="24"/>
          <w:szCs w:val="24"/>
          <w:highlight w:val="none"/>
          <w:lang w:eastAsia="zh-CN"/>
        </w:rPr>
        <w:t>参照发改价格（2011）534号文件规定，以中标价为基数，采用累进法计算代理费。</w:t>
      </w:r>
      <w:r>
        <w:rPr>
          <w:rFonts w:hint="eastAsia" w:ascii="宋体" w:hAnsi="宋体" w:eastAsia="宋体" w:cs="宋体"/>
          <w:b w:val="0"/>
          <w:bCs w:val="0"/>
          <w:color w:val="auto"/>
          <w:sz w:val="24"/>
          <w:szCs w:val="24"/>
          <w:highlight w:val="none"/>
          <w:lang w:val="en-US" w:eastAsia="zh-CN"/>
        </w:rPr>
        <w:t xml:space="preserve"> </w:t>
      </w:r>
    </w:p>
    <w:p w14:paraId="34C3DB10">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代理费收费金额（元）： / </w:t>
      </w:r>
    </w:p>
    <w:p w14:paraId="68C98F39">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八、凡对本次招标提出询问，请按以下方式联系    </w:t>
      </w:r>
    </w:p>
    <w:p w14:paraId="08CC74DB">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1.采购人信息            </w:t>
      </w:r>
    </w:p>
    <w:p w14:paraId="2606AABA">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名 称：临汾市特殊教育学校           </w:t>
      </w:r>
    </w:p>
    <w:p w14:paraId="1FA97ECA">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址：尧都区秦蜀路（尧庙宫西侧）</w:t>
      </w:r>
      <w:r>
        <w:rPr>
          <w:rFonts w:hint="eastAsia" w:ascii="宋体" w:hAnsi="宋体" w:eastAsia="宋体" w:cs="宋体"/>
          <w:b w:val="0"/>
          <w:bCs w:val="0"/>
          <w:color w:val="auto"/>
          <w:sz w:val="24"/>
          <w:szCs w:val="24"/>
          <w:highlight w:val="none"/>
          <w:lang w:val="en-US" w:eastAsia="zh-CN"/>
        </w:rPr>
        <w:t xml:space="preserve">             </w:t>
      </w:r>
    </w:p>
    <w:p w14:paraId="58BBCED1">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联系方式：13133170852   </w:t>
      </w:r>
      <w:r>
        <w:rPr>
          <w:rFonts w:hint="eastAsia" w:ascii="宋体" w:hAnsi="宋体" w:eastAsia="宋体" w:cs="宋体"/>
          <w:b w:val="0"/>
          <w:bCs w:val="0"/>
          <w:color w:val="FF0000"/>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79C7F380">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2.采购代理机构信息            </w:t>
      </w:r>
    </w:p>
    <w:p w14:paraId="66A836A5">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名 称：山西誉信达工程咨询管理服务有限公司         </w:t>
      </w:r>
    </w:p>
    <w:p w14:paraId="674F61F8">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 址：山西省临汾市尧都区平阳国际B座607室           </w:t>
      </w:r>
    </w:p>
    <w:p w14:paraId="14272433">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联系方式：19903472108             </w:t>
      </w:r>
    </w:p>
    <w:p w14:paraId="415447BF">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3.项目联系方式    </w:t>
      </w:r>
    </w:p>
    <w:p w14:paraId="5E6B43EC">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项目联系人：武丽英、卢亚运、何晓强、祁武强</w:t>
      </w:r>
    </w:p>
    <w:p w14:paraId="1347B711">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bCs/>
          <w:color w:val="000000" w:themeColor="text1"/>
          <w:spacing w:val="0"/>
          <w:sz w:val="36"/>
          <w:szCs w:val="52"/>
          <w14:textFill>
            <w14:solidFill>
              <w14:schemeClr w14:val="tx1"/>
            </w14:solidFill>
          </w14:textFill>
        </w:rPr>
      </w:pPr>
      <w:r>
        <w:rPr>
          <w:rFonts w:hint="eastAsia" w:ascii="宋体" w:hAnsi="宋体" w:eastAsia="宋体" w:cs="宋体"/>
          <w:b w:val="0"/>
          <w:bCs w:val="0"/>
          <w:color w:val="auto"/>
          <w:sz w:val="24"/>
          <w:szCs w:val="24"/>
          <w:highlight w:val="none"/>
          <w:lang w:val="en-US" w:eastAsia="zh-CN"/>
        </w:rPr>
        <w:t>电 话：19903472108</w:t>
      </w:r>
      <w:r>
        <w:rPr>
          <w:rFonts w:hint="eastAsia" w:ascii="宋体" w:hAnsi="宋体" w:eastAsia="宋体" w:cs="宋体"/>
          <w:color w:val="000000" w:themeColor="text1"/>
          <w:spacing w:val="0"/>
          <w:sz w:val="36"/>
          <w:szCs w:val="52"/>
          <w14:textFill>
            <w14:solidFill>
              <w14:schemeClr w14:val="tx1"/>
            </w14:solidFill>
          </w14:textFill>
        </w:rPr>
        <w:br w:type="page"/>
      </w:r>
    </w:p>
    <w:bookmarkEnd w:id="1"/>
    <w:p w14:paraId="5FBA5CB9">
      <w:pPr>
        <w:pStyle w:val="2"/>
        <w:keepLines/>
        <w:pageBreakBefore w:val="0"/>
        <w:numPr>
          <w:ilvl w:val="0"/>
          <w:numId w:val="2"/>
        </w:numPr>
        <w:kinsoku/>
        <w:wordWrap w:val="0"/>
        <w:overflowPunct/>
        <w:topLinePunct w:val="0"/>
        <w:autoSpaceDE/>
        <w:autoSpaceDN/>
        <w:bidi w:val="0"/>
        <w:textAlignment w:val="auto"/>
        <w:rPr>
          <w:rFonts w:hint="eastAsia" w:ascii="宋体" w:hAnsi="宋体" w:eastAsia="宋体" w:cs="宋体"/>
          <w:b/>
          <w:bCs/>
          <w:color w:val="000000" w:themeColor="text1"/>
          <w:spacing w:val="0"/>
          <w:sz w:val="36"/>
          <w:szCs w:val="52"/>
          <w14:textFill>
            <w14:solidFill>
              <w14:schemeClr w14:val="tx1"/>
            </w14:solidFill>
          </w14:textFill>
        </w:rPr>
      </w:pPr>
      <w:r>
        <w:rPr>
          <w:rFonts w:hint="eastAsia" w:ascii="宋体" w:hAnsi="宋体" w:eastAsia="宋体" w:cs="宋体"/>
          <w:color w:val="000000" w:themeColor="text1"/>
          <w:spacing w:val="0"/>
          <w:sz w:val="36"/>
          <w:szCs w:val="52"/>
          <w14:textFill>
            <w14:solidFill>
              <w14:schemeClr w14:val="tx1"/>
            </w14:solidFill>
          </w14:textFill>
        </w:rPr>
        <w:t xml:space="preserve"> 磋商供应商须知前附表</w:t>
      </w:r>
    </w:p>
    <w:tbl>
      <w:tblPr>
        <w:tblStyle w:val="2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61"/>
        <w:gridCol w:w="6288"/>
      </w:tblGrid>
      <w:tr w14:paraId="60FD5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48F80A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
                <w:color w:val="000000" w:themeColor="text1"/>
                <w:spacing w:val="0"/>
                <w:sz w:val="21"/>
                <w:szCs w:val="21"/>
                <w14:textFill>
                  <w14:solidFill>
                    <w14:schemeClr w14:val="tx1"/>
                  </w14:solidFill>
                </w14:textFill>
              </w:rPr>
            </w:pPr>
            <w:r>
              <w:rPr>
                <w:rFonts w:hint="eastAsia" w:ascii="宋体" w:hAnsi="宋体" w:eastAsia="宋体" w:cs="宋体"/>
                <w:b/>
                <w:color w:val="000000" w:themeColor="text1"/>
                <w:spacing w:val="0"/>
                <w:sz w:val="21"/>
                <w:szCs w:val="21"/>
                <w14:textFill>
                  <w14:solidFill>
                    <w14:schemeClr w14:val="tx1"/>
                  </w14:solidFill>
                </w14:textFill>
              </w:rPr>
              <w:t>序号</w:t>
            </w:r>
          </w:p>
        </w:tc>
        <w:tc>
          <w:tcPr>
            <w:tcW w:w="1361" w:type="dxa"/>
            <w:vAlign w:val="center"/>
          </w:tcPr>
          <w:p w14:paraId="4E83334D">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
                <w:color w:val="000000" w:themeColor="text1"/>
                <w:spacing w:val="0"/>
                <w:sz w:val="21"/>
                <w:szCs w:val="21"/>
                <w14:textFill>
                  <w14:solidFill>
                    <w14:schemeClr w14:val="tx1"/>
                  </w14:solidFill>
                </w14:textFill>
              </w:rPr>
            </w:pPr>
            <w:r>
              <w:rPr>
                <w:rFonts w:hint="eastAsia" w:ascii="宋体" w:hAnsi="宋体" w:eastAsia="宋体" w:cs="宋体"/>
                <w:b/>
                <w:color w:val="000000" w:themeColor="text1"/>
                <w:spacing w:val="0"/>
                <w:sz w:val="21"/>
                <w:szCs w:val="21"/>
                <w14:textFill>
                  <w14:solidFill>
                    <w14:schemeClr w14:val="tx1"/>
                  </w14:solidFill>
                </w14:textFill>
              </w:rPr>
              <w:t>内容</w:t>
            </w:r>
          </w:p>
        </w:tc>
        <w:tc>
          <w:tcPr>
            <w:tcW w:w="6288" w:type="dxa"/>
            <w:vAlign w:val="center"/>
          </w:tcPr>
          <w:p w14:paraId="7406C3BC">
            <w:pPr>
              <w:pStyle w:val="34"/>
              <w:keepNext w:val="0"/>
              <w:keepLines/>
              <w:pageBreakBefore w:val="0"/>
              <w:widowControl w:val="0"/>
              <w:kinsoku/>
              <w:wordWrap w:val="0"/>
              <w:overflowPunct/>
              <w:topLinePunct w:val="0"/>
              <w:autoSpaceDE/>
              <w:autoSpaceDN/>
              <w:bidi w:val="0"/>
              <w:spacing w:before="0" w:beforeAutospacing="0" w:after="0" w:afterAutospacing="0" w:line="400" w:lineRule="exact"/>
              <w:textAlignment w:val="auto"/>
              <w:rPr>
                <w:rFonts w:hint="eastAsia" w:ascii="宋体" w:hAnsi="宋体" w:eastAsia="宋体" w:cs="宋体"/>
                <w:color w:val="000000" w:themeColor="text1"/>
                <w:spacing w:val="0"/>
                <w:kern w:val="2"/>
                <w:sz w:val="21"/>
                <w:szCs w:val="21"/>
                <w14:textFill>
                  <w14:solidFill>
                    <w14:schemeClr w14:val="tx1"/>
                  </w14:solidFill>
                </w14:textFill>
              </w:rPr>
            </w:pPr>
            <w:r>
              <w:rPr>
                <w:rFonts w:hint="eastAsia" w:ascii="宋体" w:hAnsi="宋体" w:eastAsia="宋体" w:cs="宋体"/>
                <w:color w:val="000000" w:themeColor="text1"/>
                <w:spacing w:val="0"/>
                <w:kern w:val="2"/>
                <w:sz w:val="21"/>
                <w:szCs w:val="21"/>
                <w14:textFill>
                  <w14:solidFill>
                    <w14:schemeClr w14:val="tx1"/>
                  </w14:solidFill>
                </w14:textFill>
              </w:rPr>
              <w:t>说明与要求</w:t>
            </w:r>
          </w:p>
        </w:tc>
      </w:tr>
      <w:tr w14:paraId="4482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1760EBA">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2.1</w:t>
            </w:r>
          </w:p>
        </w:tc>
        <w:tc>
          <w:tcPr>
            <w:tcW w:w="1361" w:type="dxa"/>
            <w:vAlign w:val="center"/>
          </w:tcPr>
          <w:p w14:paraId="57E3DD64">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sz w:val="21"/>
                <w:szCs w:val="21"/>
                <w:lang w:eastAsia="zh-CN"/>
              </w:rPr>
              <w:t>采购人</w:t>
            </w:r>
          </w:p>
        </w:tc>
        <w:tc>
          <w:tcPr>
            <w:tcW w:w="6288" w:type="dxa"/>
            <w:vAlign w:val="center"/>
          </w:tcPr>
          <w:p w14:paraId="6C542934">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spacing w:val="0"/>
                <w:kern w:val="0"/>
                <w:sz w:val="21"/>
                <w:szCs w:val="21"/>
                <w:highlight w:val="none"/>
                <w:lang w:val="en-US" w:eastAsia="zh-CN"/>
              </w:rPr>
            </w:pPr>
            <w:r>
              <w:rPr>
                <w:rFonts w:hint="eastAsia" w:ascii="宋体" w:hAnsi="宋体" w:eastAsia="宋体" w:cs="宋体"/>
                <w:b w:val="0"/>
                <w:bCs/>
                <w:color w:val="auto"/>
                <w:spacing w:val="0"/>
                <w:kern w:val="0"/>
                <w:sz w:val="21"/>
                <w:szCs w:val="21"/>
                <w:highlight w:val="none"/>
                <w:lang w:val="en-US" w:eastAsia="zh-CN"/>
              </w:rPr>
              <w:t>名称：临汾市特殊教育学校</w:t>
            </w:r>
          </w:p>
          <w:p w14:paraId="20ECD8C2">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spacing w:val="0"/>
                <w:kern w:val="0"/>
                <w:sz w:val="21"/>
                <w:szCs w:val="21"/>
                <w:highlight w:val="none"/>
                <w:lang w:val="en-US" w:eastAsia="zh-CN"/>
              </w:rPr>
            </w:pPr>
            <w:r>
              <w:rPr>
                <w:rFonts w:hint="eastAsia" w:ascii="宋体" w:hAnsi="宋体" w:eastAsia="宋体" w:cs="宋体"/>
                <w:b w:val="0"/>
                <w:bCs/>
                <w:color w:val="auto"/>
                <w:spacing w:val="0"/>
                <w:kern w:val="0"/>
                <w:sz w:val="21"/>
                <w:szCs w:val="21"/>
                <w:highlight w:val="none"/>
                <w:lang w:val="en-US" w:eastAsia="zh-CN"/>
              </w:rPr>
              <w:t xml:space="preserve">联系人：刘先生    </w:t>
            </w:r>
          </w:p>
          <w:p w14:paraId="2C5CBEB2">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auto"/>
                <w:spacing w:val="0"/>
                <w:kern w:val="0"/>
                <w:sz w:val="21"/>
                <w:szCs w:val="21"/>
                <w:lang w:val="en-US" w:eastAsia="zh-CN"/>
              </w:rPr>
            </w:pPr>
            <w:r>
              <w:rPr>
                <w:rFonts w:hint="eastAsia" w:ascii="宋体" w:hAnsi="宋体" w:eastAsia="宋体" w:cs="宋体"/>
                <w:b w:val="0"/>
                <w:bCs/>
                <w:color w:val="auto"/>
                <w:spacing w:val="0"/>
                <w:kern w:val="0"/>
                <w:sz w:val="21"/>
                <w:szCs w:val="21"/>
                <w:highlight w:val="none"/>
                <w:lang w:val="en-US" w:eastAsia="zh-CN"/>
              </w:rPr>
              <w:t xml:space="preserve">联系方式：13133170852  </w:t>
            </w:r>
          </w:p>
        </w:tc>
      </w:tr>
      <w:tr w14:paraId="10C0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5D53B23">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2</w:t>
            </w:r>
            <w:r>
              <w:rPr>
                <w:rFonts w:hint="eastAsia" w:ascii="宋体" w:hAnsi="宋体" w:eastAsia="宋体" w:cs="宋体"/>
                <w:color w:val="000000" w:themeColor="text1"/>
                <w:spacing w:val="0"/>
                <w:sz w:val="21"/>
                <w:szCs w:val="21"/>
                <w:lang w:val="en-US" w:eastAsia="zh-CN"/>
                <w14:textFill>
                  <w14:solidFill>
                    <w14:schemeClr w14:val="tx1"/>
                  </w14:solidFill>
                </w14:textFill>
              </w:rPr>
              <w:t>.2</w:t>
            </w:r>
          </w:p>
        </w:tc>
        <w:tc>
          <w:tcPr>
            <w:tcW w:w="1361" w:type="dxa"/>
            <w:vAlign w:val="center"/>
          </w:tcPr>
          <w:p w14:paraId="4C3E580D">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采购代理机构</w:t>
            </w:r>
          </w:p>
        </w:tc>
        <w:tc>
          <w:tcPr>
            <w:tcW w:w="6288" w:type="dxa"/>
            <w:vAlign w:val="center"/>
          </w:tcPr>
          <w:p w14:paraId="58B767A9">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spacing w:val="0"/>
                <w:kern w:val="0"/>
                <w:sz w:val="21"/>
                <w:szCs w:val="21"/>
              </w:rPr>
            </w:pPr>
            <w:r>
              <w:rPr>
                <w:rFonts w:hint="eastAsia" w:ascii="宋体" w:hAnsi="宋体" w:eastAsia="宋体" w:cs="宋体"/>
                <w:b w:val="0"/>
                <w:bCs/>
                <w:color w:val="auto"/>
                <w:spacing w:val="0"/>
                <w:kern w:val="0"/>
                <w:sz w:val="21"/>
                <w:szCs w:val="21"/>
              </w:rPr>
              <w:t>代理机构：</w:t>
            </w:r>
            <w:r>
              <w:rPr>
                <w:rFonts w:hint="eastAsia" w:ascii="宋体" w:hAnsi="宋体" w:eastAsia="宋体" w:cs="宋体"/>
                <w:b w:val="0"/>
                <w:bCs/>
                <w:color w:val="auto"/>
                <w:spacing w:val="0"/>
                <w:kern w:val="0"/>
                <w:sz w:val="21"/>
                <w:szCs w:val="21"/>
                <w:lang w:val="en-US" w:eastAsia="zh-CN"/>
              </w:rPr>
              <w:t>山西誉信达工程咨询管理服务有限公司</w:t>
            </w:r>
            <w:r>
              <w:rPr>
                <w:rFonts w:hint="eastAsia" w:ascii="宋体" w:hAnsi="宋体" w:eastAsia="宋体" w:cs="宋体"/>
                <w:b w:val="0"/>
                <w:bCs/>
                <w:color w:val="auto"/>
                <w:spacing w:val="0"/>
                <w:kern w:val="0"/>
                <w:sz w:val="21"/>
                <w:szCs w:val="21"/>
              </w:rPr>
              <w:t xml:space="preserve">      </w:t>
            </w:r>
          </w:p>
          <w:p w14:paraId="47A2520F">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val="0"/>
                <w:bCs/>
                <w:color w:val="auto"/>
                <w:spacing w:val="0"/>
                <w:kern w:val="0"/>
                <w:sz w:val="21"/>
                <w:szCs w:val="21"/>
                <w:lang w:val="en-US" w:eastAsia="zh-CN"/>
              </w:rPr>
            </w:pPr>
            <w:r>
              <w:rPr>
                <w:rFonts w:hint="eastAsia" w:ascii="宋体" w:hAnsi="宋体" w:eastAsia="宋体" w:cs="宋体"/>
                <w:b w:val="0"/>
                <w:bCs/>
                <w:color w:val="auto"/>
                <w:spacing w:val="0"/>
                <w:kern w:val="0"/>
                <w:sz w:val="21"/>
                <w:szCs w:val="21"/>
              </w:rPr>
              <w:t>联系人：</w:t>
            </w:r>
            <w:r>
              <w:rPr>
                <w:rFonts w:hint="eastAsia" w:ascii="宋体" w:hAnsi="宋体" w:eastAsia="宋体" w:cs="宋体"/>
                <w:b w:val="0"/>
                <w:bCs/>
                <w:color w:val="auto"/>
                <w:spacing w:val="0"/>
                <w:kern w:val="0"/>
                <w:sz w:val="21"/>
                <w:szCs w:val="21"/>
                <w:lang w:val="en-US" w:eastAsia="zh-CN"/>
              </w:rPr>
              <w:t>武丽英、卢亚运、何晓强、祁武强</w:t>
            </w:r>
          </w:p>
          <w:p w14:paraId="16AA3DFE">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Cs/>
                <w:color w:val="000000" w:themeColor="text1"/>
                <w:spacing w:val="0"/>
                <w:kern w:val="0"/>
                <w:sz w:val="21"/>
                <w:szCs w:val="21"/>
                <w:lang w:val="en-US"/>
                <w14:textFill>
                  <w14:solidFill>
                    <w14:schemeClr w14:val="tx1"/>
                  </w14:solidFill>
                </w14:textFill>
              </w:rPr>
            </w:pPr>
            <w:r>
              <w:rPr>
                <w:rFonts w:hint="eastAsia" w:ascii="宋体" w:hAnsi="宋体" w:eastAsia="宋体" w:cs="宋体"/>
                <w:b w:val="0"/>
                <w:bCs/>
                <w:color w:val="auto"/>
                <w:spacing w:val="0"/>
                <w:kern w:val="0"/>
                <w:sz w:val="21"/>
                <w:szCs w:val="21"/>
              </w:rPr>
              <w:t>联系电话：</w:t>
            </w:r>
            <w:r>
              <w:rPr>
                <w:rFonts w:hint="eastAsia" w:ascii="宋体" w:hAnsi="宋体" w:eastAsia="宋体" w:cs="宋体"/>
                <w:b w:val="0"/>
                <w:bCs/>
                <w:color w:val="auto"/>
                <w:spacing w:val="0"/>
                <w:kern w:val="0"/>
                <w:sz w:val="21"/>
                <w:szCs w:val="21"/>
                <w:lang w:val="en-US" w:eastAsia="zh-CN"/>
              </w:rPr>
              <w:t>19903472108</w:t>
            </w:r>
          </w:p>
        </w:tc>
      </w:tr>
      <w:tr w14:paraId="3A89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6CC30A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2.7</w:t>
            </w:r>
          </w:p>
        </w:tc>
        <w:tc>
          <w:tcPr>
            <w:tcW w:w="1361" w:type="dxa"/>
            <w:vAlign w:val="center"/>
          </w:tcPr>
          <w:p w14:paraId="0706CDC3">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Cs/>
                <w:color w:val="000000" w:themeColor="text1"/>
                <w:spacing w:val="0"/>
                <w:kern w:val="0"/>
                <w:sz w:val="21"/>
                <w:szCs w:val="21"/>
                <w14:textFill>
                  <w14:solidFill>
                    <w14:schemeClr w14:val="tx1"/>
                  </w14:solidFill>
                </w14:textFill>
              </w:rPr>
            </w:pPr>
            <w:r>
              <w:rPr>
                <w:rFonts w:hint="eastAsia" w:ascii="宋体" w:hAnsi="宋体" w:eastAsia="宋体" w:cs="宋体"/>
                <w:bCs/>
                <w:color w:val="000000" w:themeColor="text1"/>
                <w:spacing w:val="0"/>
                <w:kern w:val="0"/>
                <w:sz w:val="21"/>
                <w:szCs w:val="21"/>
                <w14:textFill>
                  <w14:solidFill>
                    <w14:schemeClr w14:val="tx1"/>
                  </w14:solidFill>
                </w14:textFill>
              </w:rPr>
              <w:t>项目性质</w:t>
            </w:r>
          </w:p>
        </w:tc>
        <w:tc>
          <w:tcPr>
            <w:tcW w:w="6288" w:type="dxa"/>
            <w:vAlign w:val="center"/>
          </w:tcPr>
          <w:p w14:paraId="3F8D4096">
            <w:pPr>
              <w:pStyle w:val="34"/>
              <w:keepNext w:val="0"/>
              <w:keepLines/>
              <w:pageBreakBefore w:val="0"/>
              <w:widowControl w:val="0"/>
              <w:kinsoku/>
              <w:wordWrap w:val="0"/>
              <w:overflowPunct/>
              <w:topLinePunct w:val="0"/>
              <w:autoSpaceDE/>
              <w:autoSpaceDN/>
              <w:bidi w:val="0"/>
              <w:spacing w:before="0" w:beforeAutospacing="0" w:after="0" w:afterAutospacing="0" w:line="400" w:lineRule="exact"/>
              <w:jc w:val="both"/>
              <w:textAlignment w:val="auto"/>
              <w:rPr>
                <w:rFonts w:hint="eastAsia" w:ascii="宋体" w:hAnsi="宋体" w:eastAsia="宋体" w:cs="宋体"/>
                <w:b w:val="0"/>
                <w:color w:val="000000" w:themeColor="text1"/>
                <w:spacing w:val="0"/>
                <w:sz w:val="21"/>
                <w:szCs w:val="21"/>
                <w:lang w:eastAsia="zh-CN"/>
                <w14:textFill>
                  <w14:solidFill>
                    <w14:schemeClr w14:val="tx1"/>
                  </w14:solidFill>
                </w14:textFill>
              </w:rPr>
            </w:pPr>
            <w:r>
              <w:rPr>
                <w:rFonts w:hint="eastAsia" w:ascii="宋体" w:hAnsi="宋体" w:eastAsia="宋体" w:cs="宋体"/>
                <w:b w:val="0"/>
                <w:color w:val="000000" w:themeColor="text1"/>
                <w:spacing w:val="0"/>
                <w:sz w:val="21"/>
                <w:szCs w:val="21"/>
                <w:lang w:val="en-US" w:eastAsia="zh-CN"/>
                <w14:textFill>
                  <w14:solidFill>
                    <w14:schemeClr w14:val="tx1"/>
                  </w14:solidFill>
                </w14:textFill>
              </w:rPr>
              <w:t>工程</w:t>
            </w:r>
            <w:r>
              <w:rPr>
                <w:rFonts w:hint="eastAsia" w:ascii="宋体" w:hAnsi="宋体" w:eastAsia="宋体" w:cs="宋体"/>
                <w:b w:val="0"/>
                <w:color w:val="000000" w:themeColor="text1"/>
                <w:spacing w:val="0"/>
                <w:sz w:val="21"/>
                <w:szCs w:val="21"/>
                <w:lang w:eastAsia="zh-CN"/>
                <w14:textFill>
                  <w14:solidFill>
                    <w14:schemeClr w14:val="tx1"/>
                  </w14:solidFill>
                </w14:textFill>
              </w:rPr>
              <w:t>类</w:t>
            </w:r>
          </w:p>
        </w:tc>
      </w:tr>
      <w:tr w14:paraId="367B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63D6D1D">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2.10</w:t>
            </w:r>
          </w:p>
        </w:tc>
        <w:tc>
          <w:tcPr>
            <w:tcW w:w="1361" w:type="dxa"/>
            <w:vAlign w:val="center"/>
          </w:tcPr>
          <w:p w14:paraId="0D9B0AC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Cs/>
                <w:color w:val="000000" w:themeColor="text1"/>
                <w:spacing w:val="0"/>
                <w:kern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电子签章</w:t>
            </w:r>
          </w:p>
        </w:tc>
        <w:tc>
          <w:tcPr>
            <w:tcW w:w="6288" w:type="dxa"/>
            <w:vAlign w:val="center"/>
          </w:tcPr>
          <w:p w14:paraId="688ED005">
            <w:pPr>
              <w:pStyle w:val="34"/>
              <w:keepNext w:val="0"/>
              <w:keepLines/>
              <w:pageBreakBefore w:val="0"/>
              <w:widowControl w:val="0"/>
              <w:kinsoku/>
              <w:wordWrap w:val="0"/>
              <w:overflowPunct/>
              <w:topLinePunct w:val="0"/>
              <w:autoSpaceDE/>
              <w:autoSpaceDN/>
              <w:bidi w:val="0"/>
              <w:spacing w:before="0" w:beforeAutospacing="0" w:after="0" w:afterAutospacing="0" w:line="400" w:lineRule="exact"/>
              <w:jc w:val="both"/>
              <w:textAlignment w:val="auto"/>
              <w:rPr>
                <w:rFonts w:hint="eastAsia" w:ascii="宋体" w:hAnsi="宋体" w:eastAsia="宋体" w:cs="宋体"/>
                <w:b w:val="0"/>
                <w:bCs/>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法人电子签章是指投标人（或供应商）单位电子盖章</w:t>
            </w:r>
          </w:p>
          <w:p w14:paraId="16C85956">
            <w:pPr>
              <w:pStyle w:val="34"/>
              <w:keepNext w:val="0"/>
              <w:keepLines/>
              <w:pageBreakBefore w:val="0"/>
              <w:widowControl w:val="0"/>
              <w:kinsoku/>
              <w:wordWrap w:val="0"/>
              <w:overflowPunct/>
              <w:topLinePunct w:val="0"/>
              <w:autoSpaceDE/>
              <w:autoSpaceDN/>
              <w:bidi w:val="0"/>
              <w:spacing w:before="0" w:beforeAutospacing="0" w:after="0" w:afterAutospacing="0" w:line="400" w:lineRule="exact"/>
              <w:jc w:val="both"/>
              <w:textAlignment w:val="auto"/>
              <w:rPr>
                <w:rFonts w:hint="eastAsia" w:ascii="宋体" w:hAnsi="宋体" w:eastAsia="宋体" w:cs="宋体"/>
                <w:b w:val="0"/>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法定代表人电子签章（或代理人电子签章）是指法定代表人电子签字或盖章（代理人电子签字或盖章）</w:t>
            </w:r>
          </w:p>
        </w:tc>
      </w:tr>
      <w:tr w14:paraId="4C8A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B14CB71">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3.3</w:t>
            </w:r>
          </w:p>
        </w:tc>
        <w:tc>
          <w:tcPr>
            <w:tcW w:w="1361" w:type="dxa"/>
            <w:vAlign w:val="center"/>
          </w:tcPr>
          <w:p w14:paraId="688B66EC">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bCs/>
                <w:color w:val="000000" w:themeColor="text1"/>
                <w:spacing w:val="0"/>
                <w:kern w:val="0"/>
                <w:sz w:val="21"/>
                <w:szCs w:val="21"/>
                <w:lang w:val="zh-CN"/>
                <w14:textFill>
                  <w14:solidFill>
                    <w14:schemeClr w14:val="tx1"/>
                  </w14:solidFill>
                </w14:textFill>
              </w:rPr>
            </w:pPr>
            <w:r>
              <w:rPr>
                <w:rFonts w:hint="eastAsia" w:ascii="宋体" w:hAnsi="宋体" w:eastAsia="宋体" w:cs="宋体"/>
                <w:bCs/>
                <w:color w:val="000000" w:themeColor="text1"/>
                <w:spacing w:val="0"/>
                <w:kern w:val="0"/>
                <w:sz w:val="21"/>
                <w:szCs w:val="21"/>
                <w:lang w:val="zh-CN"/>
                <w14:textFill>
                  <w14:solidFill>
                    <w14:schemeClr w14:val="tx1"/>
                  </w14:solidFill>
                </w14:textFill>
              </w:rPr>
              <w:t>合格供应商</w:t>
            </w:r>
          </w:p>
        </w:tc>
        <w:tc>
          <w:tcPr>
            <w:tcW w:w="6288" w:type="dxa"/>
            <w:vAlign w:val="center"/>
          </w:tcPr>
          <w:p w14:paraId="7E841AED">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lang w:val="zh-CN"/>
                <w14:textFill>
                  <w14:solidFill>
                    <w14:schemeClr w14:val="tx1"/>
                  </w14:solidFill>
                </w14:textFill>
              </w:rPr>
            </w:pPr>
            <w:r>
              <w:rPr>
                <w:rFonts w:hint="eastAsia" w:ascii="宋体" w:hAnsi="宋体" w:eastAsia="宋体" w:cs="宋体"/>
                <w:b w:val="0"/>
                <w:bCs/>
                <w:color w:val="000000" w:themeColor="text1"/>
                <w:spacing w:val="0"/>
                <w:kern w:val="0"/>
                <w:sz w:val="21"/>
                <w:szCs w:val="21"/>
                <w:lang w:val="zh-CN" w:eastAsia="zh-CN" w:bidi="ar-SA"/>
                <w14:textFill>
                  <w14:solidFill>
                    <w14:schemeClr w14:val="tx1"/>
                  </w14:solidFill>
                </w14:textFill>
              </w:rPr>
              <w:t>具备《中华人民共和国政府采购法》第二十二条第一款规定的条件和本项目所需的特定条件及有关法律、法规关于供应商的规定，有能力提供磋商采购货物/服务</w:t>
            </w:r>
            <w:r>
              <w:rPr>
                <w:rFonts w:hint="eastAsia" w:ascii="宋体" w:hAnsi="宋体" w:eastAsia="宋体" w:cs="宋体"/>
                <w:b w:val="0"/>
                <w:bCs/>
                <w:color w:val="000000" w:themeColor="text1"/>
                <w:spacing w:val="0"/>
                <w:kern w:val="0"/>
                <w:sz w:val="21"/>
                <w:szCs w:val="21"/>
                <w:lang w:val="en-US" w:eastAsia="zh-CN" w:bidi="ar-SA"/>
                <w14:textFill>
                  <w14:solidFill>
                    <w14:schemeClr w14:val="tx1"/>
                  </w14:solidFill>
                </w14:textFill>
              </w:rPr>
              <w:t>/工程</w:t>
            </w:r>
            <w:r>
              <w:rPr>
                <w:rFonts w:hint="eastAsia" w:ascii="宋体" w:hAnsi="宋体" w:eastAsia="宋体" w:cs="宋体"/>
                <w:b w:val="0"/>
                <w:bCs/>
                <w:color w:val="000000" w:themeColor="text1"/>
                <w:spacing w:val="0"/>
                <w:kern w:val="0"/>
                <w:sz w:val="21"/>
                <w:szCs w:val="21"/>
                <w:lang w:val="zh-CN" w:eastAsia="zh-CN" w:bidi="ar-SA"/>
                <w14:textFill>
                  <w14:solidFill>
                    <w14:schemeClr w14:val="tx1"/>
                  </w14:solidFill>
                </w14:textFill>
              </w:rPr>
              <w:t>的供应商。</w:t>
            </w:r>
            <w:r>
              <w:rPr>
                <w:rFonts w:hint="eastAsia" w:ascii="宋体" w:hAnsi="宋体" w:eastAsia="宋体" w:cs="宋体"/>
                <w:color w:val="000000" w:themeColor="text1"/>
                <w:spacing w:val="0"/>
                <w:lang w:val="zh-CN"/>
                <w14:textFill>
                  <w14:solidFill>
                    <w14:schemeClr w14:val="tx1"/>
                  </w14:solidFill>
                </w14:textFill>
              </w:rPr>
              <w:t>并按照《中华人民共和国政府采购法实施条例》第十七条的规定，提供资格证明文件。</w:t>
            </w:r>
          </w:p>
        </w:tc>
      </w:tr>
      <w:tr w14:paraId="4CAC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38ACFB2">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3.4</w:t>
            </w:r>
          </w:p>
        </w:tc>
        <w:tc>
          <w:tcPr>
            <w:tcW w:w="1361" w:type="dxa"/>
            <w:vAlign w:val="center"/>
          </w:tcPr>
          <w:p w14:paraId="06B4830C">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zh-CN" w:eastAsia="zh-CN"/>
                <w14:textFill>
                  <w14:solidFill>
                    <w14:schemeClr w14:val="tx1"/>
                  </w14:solidFill>
                </w14:textFill>
              </w:rPr>
            </w:pPr>
            <w:r>
              <w:rPr>
                <w:rFonts w:hint="eastAsia" w:ascii="宋体" w:hAnsi="宋体" w:eastAsia="宋体" w:cs="宋体"/>
                <w:color w:val="000000" w:themeColor="text1"/>
                <w:spacing w:val="0"/>
                <w:sz w:val="21"/>
                <w:szCs w:val="21"/>
                <w:lang w:val="zh-CN" w:eastAsia="zh-CN"/>
                <w14:textFill>
                  <w14:solidFill>
                    <w14:schemeClr w14:val="tx1"/>
                  </w14:solidFill>
                </w14:textFill>
              </w:rPr>
              <w:t>合格供应商</w:t>
            </w:r>
          </w:p>
          <w:p w14:paraId="5EC0251A">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zh-CN" w:eastAsia="zh-CN"/>
                <w14:textFill>
                  <w14:solidFill>
                    <w14:schemeClr w14:val="tx1"/>
                  </w14:solidFill>
                </w14:textFill>
              </w:rPr>
            </w:pPr>
            <w:r>
              <w:rPr>
                <w:rFonts w:hint="eastAsia" w:ascii="宋体" w:hAnsi="宋体" w:eastAsia="宋体" w:cs="宋体"/>
                <w:color w:val="000000" w:themeColor="text1"/>
                <w:spacing w:val="0"/>
                <w:sz w:val="21"/>
                <w:szCs w:val="21"/>
                <w:lang w:val="zh-CN" w:eastAsia="zh-CN"/>
                <w14:textFill>
                  <w14:solidFill>
                    <w14:schemeClr w14:val="tx1"/>
                  </w14:solidFill>
                </w14:textFill>
              </w:rPr>
              <w:t>的特定条件</w:t>
            </w:r>
          </w:p>
        </w:tc>
        <w:tc>
          <w:tcPr>
            <w:tcW w:w="6288" w:type="dxa"/>
            <w:vAlign w:val="center"/>
          </w:tcPr>
          <w:p w14:paraId="7A2AD368">
            <w:pPr>
              <w:keepNext w:val="0"/>
              <w:keepLines/>
              <w:pageBreakBefore w:val="0"/>
              <w:widowControl w:val="0"/>
              <w:numPr>
                <w:ilvl w:val="0"/>
                <w:numId w:val="3"/>
              </w:numPr>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b w:val="0"/>
                <w:bCs/>
                <w:color w:val="000000" w:themeColor="text1"/>
                <w:spacing w:val="0"/>
                <w:kern w:val="0"/>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0"/>
                <w:sz w:val="21"/>
                <w:szCs w:val="21"/>
                <w:lang w:val="en-US" w:eastAsia="zh-CN" w:bidi="ar-SA"/>
                <w14:textFill>
                  <w14:solidFill>
                    <w14:schemeClr w14:val="tx1"/>
                  </w14:solidFill>
                </w14:textFill>
              </w:rPr>
              <w:t>供应商必须具备建设行政主管部门颁发的建筑工程施工总承包叁级及以上资质，且具有有效的营业执照、开户许可证或基本存款账户信息、安全生产许可证；其中，投标人拟派项目经理须具备建筑工程贰级及以上注册建造师执业资格证书，具备有效的安全生产考核合格证书、且未担任其他在建工程项目的项目经理，项目技术负责人须具备建筑相关专业中级及以上技术职称。</w:t>
            </w:r>
          </w:p>
          <w:p w14:paraId="2A1CF261">
            <w:pPr>
              <w:keepNext w:val="0"/>
              <w:keepLines/>
              <w:pageBreakBefore w:val="0"/>
              <w:widowControl w:val="0"/>
              <w:numPr>
                <w:ilvl w:val="0"/>
                <w:numId w:val="0"/>
              </w:numPr>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auto"/>
                <w:spacing w:val="0"/>
                <w:kern w:val="0"/>
                <w:sz w:val="21"/>
                <w:szCs w:val="21"/>
                <w:highlight w:val="none"/>
                <w:lang w:val="en-US" w:eastAsia="zh-CN" w:bidi="ar-SA"/>
              </w:rPr>
            </w:pPr>
            <w:r>
              <w:rPr>
                <w:rFonts w:hint="eastAsia" w:ascii="宋体" w:hAnsi="宋体" w:eastAsia="宋体" w:cs="宋体"/>
                <w:b w:val="0"/>
                <w:bCs/>
                <w:color w:val="auto"/>
                <w:spacing w:val="0"/>
                <w:kern w:val="0"/>
                <w:sz w:val="21"/>
                <w:szCs w:val="21"/>
                <w:highlight w:val="none"/>
                <w:lang w:val="en-US" w:eastAsia="zh-CN" w:bidi="ar-SA"/>
              </w:rPr>
              <w:t>拟投入本项目的其他人员要求：施工员、安全员、技术员、</w:t>
            </w:r>
            <w:r>
              <w:rPr>
                <w:rFonts w:hint="eastAsia" w:ascii="宋体" w:hAnsi="宋体" w:eastAsia="宋体" w:cs="宋体"/>
                <w:b w:val="0"/>
                <w:bCs/>
                <w:color w:val="auto"/>
                <w:spacing w:val="0"/>
                <w:kern w:val="0"/>
                <w:sz w:val="21"/>
                <w:szCs w:val="21"/>
                <w:highlight w:val="none"/>
                <w:lang w:val="en-US" w:eastAsia="zh-CN" w:bidi="ar-SA"/>
              </w:rPr>
              <w:t>材料员、质量员。</w:t>
            </w:r>
          </w:p>
          <w:p w14:paraId="35532CC7">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lang w:val="en-US" w:eastAsia="zh-CN"/>
                <w14:textFill>
                  <w14:solidFill>
                    <w14:schemeClr w14:val="tx1"/>
                  </w14:solidFill>
                </w14:textFill>
              </w:rPr>
            </w:pPr>
            <w:r>
              <w:rPr>
                <w:rFonts w:hint="eastAsia" w:ascii="宋体" w:hAnsi="宋体" w:eastAsia="宋体" w:cs="宋体"/>
                <w:color w:val="000000" w:themeColor="text1"/>
                <w:spacing w:val="0"/>
                <w:highlight w:val="none"/>
                <w:lang w:val="en-US" w:eastAsia="zh-CN"/>
                <w14:textFill>
                  <w14:solidFill>
                    <w14:schemeClr w14:val="tx1"/>
                  </w14:solidFill>
                </w14:textFill>
              </w:rPr>
              <w:t>其中安全员须提供有效安全生产考核合格证书，技术员需提供建筑相关专业初级及以上技术职称；其他</w:t>
            </w:r>
            <w:r>
              <w:rPr>
                <w:rFonts w:hint="eastAsia" w:ascii="宋体" w:hAnsi="宋体" w:eastAsia="宋体" w:cs="宋体"/>
                <w:color w:val="000000" w:themeColor="text1"/>
                <w:spacing w:val="0"/>
                <w:lang w:val="en-US" w:eastAsia="zh-CN"/>
                <w14:textFill>
                  <w14:solidFill>
                    <w14:schemeClr w14:val="tx1"/>
                  </w14:solidFill>
                </w14:textFill>
              </w:rPr>
              <w:t>人员须提供有效的上岗证。</w:t>
            </w:r>
          </w:p>
          <w:p w14:paraId="4427E211">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lang w:val="en-US" w:eastAsia="zh-CN"/>
                <w14:textFill>
                  <w14:solidFill>
                    <w14:schemeClr w14:val="tx1"/>
                  </w14:solidFill>
                </w14:textFill>
              </w:rPr>
            </w:pPr>
            <w:r>
              <w:rPr>
                <w:rFonts w:hint="eastAsia" w:ascii="宋体" w:hAnsi="宋体" w:eastAsia="宋体" w:cs="宋体"/>
                <w:color w:val="000000" w:themeColor="text1"/>
                <w:spacing w:val="0"/>
                <w:lang w:val="en-US" w:eastAsia="zh-CN"/>
                <w14:textFill>
                  <w14:solidFill>
                    <w14:schemeClr w14:val="tx1"/>
                  </w14:solidFill>
                </w14:textFill>
              </w:rPr>
              <w:t>2、与招标人存在利害关系可能影响招标公正的法人、其他组织或个人，不得参加投标；</w:t>
            </w:r>
          </w:p>
          <w:p w14:paraId="5DA2E56A">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auto"/>
                <w:spacing w:val="0"/>
                <w:kern w:val="0"/>
                <w:sz w:val="21"/>
                <w:szCs w:val="21"/>
                <w:lang w:val="en-US" w:eastAsia="zh-CN"/>
              </w:rPr>
              <w:t>3、单位负责人为同一人或者存在直接控股、管理关系的不同单位，不得参加同一标段或者未划分标段的同一招标项目的投标；</w:t>
            </w:r>
          </w:p>
        </w:tc>
      </w:tr>
      <w:tr w14:paraId="79F7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C793CBC">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3.5</w:t>
            </w:r>
          </w:p>
        </w:tc>
        <w:tc>
          <w:tcPr>
            <w:tcW w:w="1361" w:type="dxa"/>
            <w:vAlign w:val="center"/>
          </w:tcPr>
          <w:p w14:paraId="577945FD">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Cs w:val="21"/>
                <w14:textFill>
                  <w14:solidFill>
                    <w14:schemeClr w14:val="tx1"/>
                  </w14:solidFill>
                </w14:textFill>
              </w:rPr>
            </w:pPr>
            <w:r>
              <w:rPr>
                <w:rFonts w:hint="eastAsia" w:ascii="宋体" w:hAnsi="宋体" w:eastAsia="宋体" w:cs="宋体"/>
                <w:color w:val="000000" w:themeColor="text1"/>
                <w:spacing w:val="0"/>
                <w:szCs w:val="21"/>
                <w14:textFill>
                  <w14:solidFill>
                    <w14:schemeClr w14:val="tx1"/>
                  </w14:solidFill>
                </w14:textFill>
              </w:rPr>
              <w:t>是否接受</w:t>
            </w:r>
          </w:p>
          <w:p w14:paraId="121772BA">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Cs w:val="21"/>
                <w14:textFill>
                  <w14:solidFill>
                    <w14:schemeClr w14:val="tx1"/>
                  </w14:solidFill>
                </w14:textFill>
              </w:rPr>
              <w:t>代理商磋商</w:t>
            </w:r>
          </w:p>
        </w:tc>
        <w:tc>
          <w:tcPr>
            <w:tcW w:w="6288" w:type="dxa"/>
            <w:vAlign w:val="center"/>
          </w:tcPr>
          <w:p w14:paraId="6AEB334D">
            <w:pPr>
              <w:keepNext w:val="0"/>
              <w:keepLines/>
              <w:pageBreakBefore w:val="0"/>
              <w:widowControl w:val="0"/>
              <w:kinsoku/>
              <w:wordWrap w:val="0"/>
              <w:overflowPunct/>
              <w:topLinePunct w:val="0"/>
              <w:autoSpaceDE/>
              <w:autoSpaceDN/>
              <w:bidi w:val="0"/>
              <w:spacing w:line="400" w:lineRule="exact"/>
              <w:jc w:val="left"/>
              <w:textAlignment w:val="auto"/>
              <w:rPr>
                <w:rFonts w:hint="eastAsia" w:ascii="宋体" w:hAnsi="宋体" w:eastAsia="宋体" w:cs="宋体"/>
                <w:bCs/>
                <w:color w:val="000000" w:themeColor="text1"/>
                <w:spacing w:val="0"/>
                <w:kern w:val="0"/>
                <w:sz w:val="21"/>
                <w:szCs w:val="21"/>
                <w:lang w:val="zh-CN"/>
                <w14:textFill>
                  <w14:solidFill>
                    <w14:schemeClr w14:val="tx1"/>
                  </w14:solidFill>
                </w14:textFill>
              </w:rPr>
            </w:pPr>
            <w:r>
              <w:rPr>
                <w:rFonts w:hint="eastAsia" w:ascii="宋体" w:hAnsi="宋体" w:eastAsia="宋体" w:cs="宋体"/>
                <w:color w:val="000000" w:themeColor="text1"/>
                <w:spacing w:val="0"/>
                <w:szCs w:val="21"/>
                <w:lang w:eastAsia="zh-CN"/>
                <w14:textFill>
                  <w14:solidFill>
                    <w14:schemeClr w14:val="tx1"/>
                  </w14:solidFill>
                </w14:textFill>
              </w:rPr>
              <w:t>不接受。</w:t>
            </w:r>
          </w:p>
        </w:tc>
      </w:tr>
      <w:tr w14:paraId="4AED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9DD3B33">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3.6</w:t>
            </w:r>
          </w:p>
        </w:tc>
        <w:tc>
          <w:tcPr>
            <w:tcW w:w="1361" w:type="dxa"/>
            <w:vAlign w:val="center"/>
          </w:tcPr>
          <w:p w14:paraId="3F9CCC89">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Cs w:val="21"/>
                <w14:textFill>
                  <w14:solidFill>
                    <w14:schemeClr w14:val="tx1"/>
                  </w14:solidFill>
                </w14:textFill>
              </w:rPr>
            </w:pPr>
            <w:r>
              <w:rPr>
                <w:rFonts w:hint="eastAsia" w:ascii="宋体" w:hAnsi="宋体" w:eastAsia="宋体" w:cs="宋体"/>
                <w:color w:val="000000" w:themeColor="text1"/>
                <w:spacing w:val="0"/>
                <w:szCs w:val="21"/>
                <w14:textFill>
                  <w14:solidFill>
                    <w14:schemeClr w14:val="tx1"/>
                  </w14:solidFill>
                </w14:textFill>
              </w:rPr>
              <w:t>是否接受</w:t>
            </w:r>
          </w:p>
          <w:p w14:paraId="0057230F">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联合体</w:t>
            </w:r>
            <w:r>
              <w:rPr>
                <w:rFonts w:hint="eastAsia" w:ascii="宋体" w:hAnsi="宋体" w:eastAsia="宋体" w:cs="宋体"/>
                <w:color w:val="000000" w:themeColor="text1"/>
                <w:spacing w:val="0"/>
                <w:sz w:val="21"/>
                <w:szCs w:val="21"/>
                <w:lang w:eastAsia="zh-CN"/>
                <w14:textFill>
                  <w14:solidFill>
                    <w14:schemeClr w14:val="tx1"/>
                  </w14:solidFill>
                </w14:textFill>
              </w:rPr>
              <w:t>磋商</w:t>
            </w:r>
          </w:p>
        </w:tc>
        <w:tc>
          <w:tcPr>
            <w:tcW w:w="6288" w:type="dxa"/>
            <w:vAlign w:val="center"/>
          </w:tcPr>
          <w:p w14:paraId="03F0CE77">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bCs/>
                <w:color w:val="000000" w:themeColor="text1"/>
                <w:spacing w:val="0"/>
                <w:sz w:val="21"/>
                <w:szCs w:val="21"/>
                <w14:textFill>
                  <w14:solidFill>
                    <w14:schemeClr w14:val="tx1"/>
                  </w14:solidFill>
                </w14:textFill>
              </w:rPr>
            </w:pPr>
            <w:r>
              <w:rPr>
                <w:rFonts w:hint="eastAsia" w:ascii="宋体" w:hAnsi="宋体" w:eastAsia="宋体" w:cs="宋体"/>
                <w:bCs/>
                <w:color w:val="000000" w:themeColor="text1"/>
                <w:spacing w:val="0"/>
                <w:sz w:val="21"/>
                <w:szCs w:val="21"/>
                <w14:textFill>
                  <w14:solidFill>
                    <w14:schemeClr w14:val="tx1"/>
                  </w14:solidFill>
                </w14:textFill>
              </w:rPr>
              <w:t>不接受联合体</w:t>
            </w:r>
            <w:r>
              <w:rPr>
                <w:rFonts w:hint="eastAsia" w:ascii="宋体" w:hAnsi="宋体" w:eastAsia="宋体" w:cs="宋体"/>
                <w:bCs/>
                <w:color w:val="000000" w:themeColor="text1"/>
                <w:spacing w:val="0"/>
                <w:sz w:val="21"/>
                <w:szCs w:val="21"/>
                <w:lang w:eastAsia="zh-CN"/>
                <w14:textFill>
                  <w14:solidFill>
                    <w14:schemeClr w14:val="tx1"/>
                  </w14:solidFill>
                </w14:textFill>
              </w:rPr>
              <w:t>磋商。</w:t>
            </w:r>
          </w:p>
        </w:tc>
      </w:tr>
      <w:tr w14:paraId="0EA5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4D5E81B2">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5.1</w:t>
            </w:r>
          </w:p>
        </w:tc>
        <w:tc>
          <w:tcPr>
            <w:tcW w:w="1361" w:type="dxa"/>
            <w:vAlign w:val="center"/>
          </w:tcPr>
          <w:p w14:paraId="64B67287">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通知的告知</w:t>
            </w:r>
          </w:p>
        </w:tc>
        <w:tc>
          <w:tcPr>
            <w:tcW w:w="6288" w:type="dxa"/>
            <w:vAlign w:val="center"/>
          </w:tcPr>
          <w:p w14:paraId="30E192D8">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pacing w:val="0"/>
                <w:sz w:val="21"/>
                <w:szCs w:val="21"/>
                <w14:textFill>
                  <w14:solidFill>
                    <w14:schemeClr w14:val="tx1"/>
                  </w14:solidFill>
                </w14:textFill>
              </w:rPr>
            </w:pPr>
            <w:r>
              <w:rPr>
                <w:rFonts w:hint="eastAsia" w:ascii="宋体" w:hAnsi="宋体" w:eastAsia="宋体" w:cs="宋体"/>
                <w:bCs/>
                <w:color w:val="000000" w:themeColor="text1"/>
                <w:spacing w:val="0"/>
                <w:sz w:val="21"/>
                <w:szCs w:val="21"/>
                <w14:textFill>
                  <w14:solidFill>
                    <w14:schemeClr w14:val="tx1"/>
                  </w14:solidFill>
                </w14:textFill>
              </w:rPr>
              <w:t>对与本项目有关的通知，采购代理机构将通过山西省政府采购信息平台（http://www.ccgp-shanxi.gov.cn/home.html）进行通知，不再书面进行通知。各市场参与主体因自身原因未关注到此类通知并造成损失的，责任自负。</w:t>
            </w:r>
          </w:p>
          <w:p w14:paraId="7E29DE17">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pacing w:val="0"/>
                <w:sz w:val="21"/>
                <w:szCs w:val="21"/>
                <w14:textFill>
                  <w14:solidFill>
                    <w14:schemeClr w14:val="tx1"/>
                  </w14:solidFill>
                </w14:textFill>
              </w:rPr>
            </w:pPr>
            <w:r>
              <w:rPr>
                <w:rFonts w:hint="eastAsia" w:ascii="宋体" w:hAnsi="宋体" w:eastAsia="宋体" w:cs="宋体"/>
                <w:bCs/>
                <w:color w:val="000000" w:themeColor="text1"/>
                <w:spacing w:val="0"/>
                <w:sz w:val="21"/>
                <w:szCs w:val="21"/>
                <w14:textFill>
                  <w14:solidFill>
                    <w14:schemeClr w14:val="tx1"/>
                  </w14:solidFill>
                </w14:textFill>
              </w:rPr>
              <w:t>因线路故障导致通知延迟获取或无法获取，采购代理机构不因此承担任何责任，有关的磋商活动可以继续有效地进行。</w:t>
            </w:r>
          </w:p>
        </w:tc>
      </w:tr>
      <w:tr w14:paraId="2D5BA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14F26C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6.2</w:t>
            </w:r>
          </w:p>
        </w:tc>
        <w:tc>
          <w:tcPr>
            <w:tcW w:w="1361" w:type="dxa"/>
            <w:vAlign w:val="center"/>
          </w:tcPr>
          <w:p w14:paraId="64426E48">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政府采购</w:t>
            </w:r>
          </w:p>
          <w:p w14:paraId="26C3A95D">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相关政策性要求</w:t>
            </w:r>
          </w:p>
        </w:tc>
        <w:tc>
          <w:tcPr>
            <w:tcW w:w="6288" w:type="dxa"/>
            <w:vAlign w:val="center"/>
          </w:tcPr>
          <w:p w14:paraId="52C7C4AC">
            <w:pPr>
              <w:keepNext w:val="0"/>
              <w:keepLines/>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w:t>
            </w:r>
            <w:r>
              <w:rPr>
                <w:rFonts w:hint="eastAsia" w:ascii="宋体" w:hAnsi="宋体" w:eastAsia="宋体" w:cs="宋体"/>
                <w:color w:val="000000" w:themeColor="text1"/>
                <w:spacing w:val="0"/>
                <w:sz w:val="21"/>
                <w:szCs w:val="21"/>
                <w14:textFill>
                  <w14:solidFill>
                    <w14:schemeClr w14:val="tx1"/>
                  </w14:solidFill>
                </w14:textFill>
              </w:rPr>
              <w:t>要求</w:t>
            </w:r>
            <w:r>
              <w:rPr>
                <w:rFonts w:hint="eastAsia" w:ascii="宋体" w:hAnsi="宋体" w:eastAsia="宋体" w:cs="宋体"/>
                <w:color w:val="000000" w:themeColor="text1"/>
                <w:spacing w:val="0"/>
                <w:sz w:val="21"/>
                <w:szCs w:val="21"/>
                <w:lang w:eastAsia="zh-CN"/>
                <w14:textFill>
                  <w14:solidFill>
                    <w14:schemeClr w14:val="tx1"/>
                  </w14:solidFill>
                </w14:textFill>
              </w:rPr>
              <w:t>。</w:t>
            </w:r>
          </w:p>
          <w:p w14:paraId="10FE14D6">
            <w:pPr>
              <w:pStyle w:val="16"/>
              <w:keepNext w:val="0"/>
              <w:keepLines/>
              <w:pageBreakBefore w:val="0"/>
              <w:widowControl w:val="0"/>
              <w:kinsoku/>
              <w:wordWrap w:val="0"/>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要求，</w:t>
            </w:r>
            <w:r>
              <w:rPr>
                <w:rFonts w:hint="eastAsia" w:ascii="宋体" w:hAnsi="宋体" w:eastAsia="宋体" w:cs="宋体"/>
                <w:color w:val="000000" w:themeColor="text1"/>
                <w:spacing w:val="0"/>
                <w:sz w:val="21"/>
                <w:szCs w:val="21"/>
                <w:lang w:eastAsia="zh-CN"/>
                <w14:textFill>
                  <w14:solidFill>
                    <w14:schemeClr w14:val="tx1"/>
                  </w14:solidFill>
                </w14:textFill>
              </w:rPr>
              <w:t>政府采购相关政策详见第本采购文件“第六部分”。</w:t>
            </w:r>
          </w:p>
        </w:tc>
      </w:tr>
      <w:tr w14:paraId="1784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A15DEA0">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7.4</w:t>
            </w:r>
          </w:p>
        </w:tc>
        <w:tc>
          <w:tcPr>
            <w:tcW w:w="1361" w:type="dxa"/>
            <w:vAlign w:val="center"/>
          </w:tcPr>
          <w:p w14:paraId="5EF0F842">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zh-CN"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勘察现场</w:t>
            </w:r>
          </w:p>
        </w:tc>
        <w:tc>
          <w:tcPr>
            <w:tcW w:w="6288" w:type="dxa"/>
            <w:vAlign w:val="center"/>
          </w:tcPr>
          <w:p w14:paraId="066C1417">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pacing w:val="0"/>
                <w:lang w:val="en-US" w:eastAsia="zh-CN"/>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自行踏勘，未踏勘现场造成的一切后果由</w:t>
            </w:r>
            <w:r>
              <w:rPr>
                <w:rFonts w:hint="eastAsia" w:ascii="宋体" w:hAnsi="宋体" w:eastAsia="宋体" w:cs="宋体"/>
                <w:color w:val="000000" w:themeColor="text1"/>
                <w:spacing w:val="0"/>
                <w:lang w:eastAsia="zh-CN"/>
                <w14:textFill>
                  <w14:solidFill>
                    <w14:schemeClr w14:val="tx1"/>
                  </w14:solidFill>
                </w14:textFill>
              </w:rPr>
              <w:t>供应商</w:t>
            </w:r>
            <w:r>
              <w:rPr>
                <w:rFonts w:hint="eastAsia" w:ascii="宋体" w:hAnsi="宋体" w:eastAsia="宋体" w:cs="宋体"/>
                <w:color w:val="000000" w:themeColor="text1"/>
                <w:spacing w:val="0"/>
                <w14:textFill>
                  <w14:solidFill>
                    <w14:schemeClr w14:val="tx1"/>
                  </w14:solidFill>
                </w14:textFill>
              </w:rPr>
              <w:t>自行承担。踏勘现场发生的费用与安全责任由</w:t>
            </w:r>
            <w:r>
              <w:rPr>
                <w:rFonts w:hint="eastAsia" w:ascii="宋体" w:hAnsi="宋体" w:eastAsia="宋体" w:cs="宋体"/>
                <w:color w:val="000000" w:themeColor="text1"/>
                <w:spacing w:val="0"/>
                <w:lang w:eastAsia="zh-CN"/>
                <w14:textFill>
                  <w14:solidFill>
                    <w14:schemeClr w14:val="tx1"/>
                  </w14:solidFill>
                </w14:textFill>
              </w:rPr>
              <w:t>供应商</w:t>
            </w:r>
            <w:r>
              <w:rPr>
                <w:rFonts w:hint="eastAsia" w:ascii="宋体" w:hAnsi="宋体" w:eastAsia="宋体" w:cs="宋体"/>
                <w:color w:val="000000" w:themeColor="text1"/>
                <w:spacing w:val="0"/>
                <w14:textFill>
                  <w14:solidFill>
                    <w14:schemeClr w14:val="tx1"/>
                  </w14:solidFill>
                </w14:textFill>
              </w:rPr>
              <w:t>自付。</w:t>
            </w:r>
          </w:p>
        </w:tc>
      </w:tr>
      <w:tr w14:paraId="55BB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CA63FA5">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7.5</w:t>
            </w:r>
          </w:p>
        </w:tc>
        <w:tc>
          <w:tcPr>
            <w:tcW w:w="1361" w:type="dxa"/>
            <w:vAlign w:val="center"/>
          </w:tcPr>
          <w:p w14:paraId="4B9F4DBF">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磋商前答疑会</w:t>
            </w:r>
          </w:p>
        </w:tc>
        <w:tc>
          <w:tcPr>
            <w:tcW w:w="6288" w:type="dxa"/>
            <w:vAlign w:val="center"/>
          </w:tcPr>
          <w:p w14:paraId="32F1D4A5">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lang w:eastAsia="zh-CN"/>
                <w14:textFill>
                  <w14:solidFill>
                    <w14:schemeClr w14:val="tx1"/>
                  </w14:solidFill>
                </w14:textFill>
              </w:rPr>
              <w:t>☑</w:t>
            </w:r>
            <w:r>
              <w:rPr>
                <w:rFonts w:hint="eastAsia" w:ascii="宋体" w:hAnsi="宋体" w:eastAsia="宋体" w:cs="宋体"/>
                <w:b w:val="0"/>
                <w:bCs/>
                <w:color w:val="000000" w:themeColor="text1"/>
                <w14:textFill>
                  <w14:solidFill>
                    <w14:schemeClr w14:val="tx1"/>
                  </w14:solidFill>
                </w14:textFill>
              </w:rPr>
              <w:t>不召开</w:t>
            </w:r>
          </w:p>
          <w:p w14:paraId="38176F0F">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lang w:eastAsia="zh-CN"/>
                <w14:textFill>
                  <w14:solidFill>
                    <w14:schemeClr w14:val="tx1"/>
                  </w14:solidFill>
                </w14:textFill>
              </w:rPr>
              <w:t>□</w:t>
            </w:r>
            <w:r>
              <w:rPr>
                <w:rFonts w:hint="eastAsia" w:ascii="宋体" w:hAnsi="宋体" w:eastAsia="宋体" w:cs="宋体"/>
                <w:b w:val="0"/>
                <w:bCs/>
                <w:color w:val="000000" w:themeColor="text1"/>
                <w14:textFill>
                  <w14:solidFill>
                    <w14:schemeClr w14:val="tx1"/>
                  </w14:solidFill>
                </w14:textFill>
              </w:rPr>
              <w:t>召开</w:t>
            </w:r>
          </w:p>
        </w:tc>
      </w:tr>
      <w:tr w14:paraId="1318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86281B9">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9.1.2</w:t>
            </w:r>
          </w:p>
        </w:tc>
        <w:tc>
          <w:tcPr>
            <w:tcW w:w="1361" w:type="dxa"/>
            <w:vAlign w:val="center"/>
          </w:tcPr>
          <w:p w14:paraId="7866CFF5">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纸质响应文件份数</w:t>
            </w:r>
          </w:p>
        </w:tc>
        <w:tc>
          <w:tcPr>
            <w:tcW w:w="6288" w:type="dxa"/>
            <w:vAlign w:val="center"/>
          </w:tcPr>
          <w:p w14:paraId="74CBC0E5">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b w:val="0"/>
                <w:bCs/>
                <w:color w:val="000000" w:themeColor="text1"/>
                <w:lang w:val="en-US" w:eastAsia="zh-CN"/>
                <w14:textFill>
                  <w14:solidFill>
                    <w14:schemeClr w14:val="tx1"/>
                  </w14:solidFill>
                </w14:textFill>
              </w:rPr>
            </w:pPr>
            <w:r>
              <w:rPr>
                <w:rFonts w:hint="eastAsia" w:ascii="宋体" w:hAnsi="宋体" w:eastAsia="宋体" w:cs="宋体"/>
                <w:b w:val="0"/>
                <w:bCs/>
                <w:color w:val="000000" w:themeColor="text1"/>
                <w:lang w:val="en-US" w:eastAsia="zh-CN"/>
                <w14:textFill>
                  <w14:solidFill>
                    <w14:schemeClr w14:val="tx1"/>
                  </w14:solidFill>
                </w14:textFill>
              </w:rPr>
              <w:t>不收取</w:t>
            </w:r>
          </w:p>
        </w:tc>
      </w:tr>
      <w:tr w14:paraId="6384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8803AA5">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9.4</w:t>
            </w:r>
          </w:p>
        </w:tc>
        <w:tc>
          <w:tcPr>
            <w:tcW w:w="1361" w:type="dxa"/>
            <w:vAlign w:val="center"/>
          </w:tcPr>
          <w:p w14:paraId="6A2B4FD4">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zh-CN"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响应</w:t>
            </w:r>
            <w:r>
              <w:rPr>
                <w:rFonts w:hint="eastAsia" w:ascii="宋体" w:hAnsi="宋体" w:eastAsia="宋体" w:cs="宋体"/>
                <w:color w:val="000000" w:themeColor="text1"/>
                <w:spacing w:val="0"/>
                <w:sz w:val="21"/>
                <w:szCs w:val="21"/>
                <w14:textFill>
                  <w14:solidFill>
                    <w14:schemeClr w14:val="tx1"/>
                  </w14:solidFill>
                </w14:textFill>
              </w:rPr>
              <w:t>保证</w:t>
            </w:r>
            <w:r>
              <w:rPr>
                <w:rFonts w:hint="eastAsia" w:ascii="宋体" w:hAnsi="宋体" w:eastAsia="宋体" w:cs="宋体"/>
                <w:color w:val="000000" w:themeColor="text1"/>
                <w:spacing w:val="0"/>
                <w:sz w:val="21"/>
                <w:szCs w:val="21"/>
                <w:lang w:eastAsia="zh-CN"/>
                <w14:textFill>
                  <w14:solidFill>
                    <w14:schemeClr w14:val="tx1"/>
                  </w14:solidFill>
                </w14:textFill>
              </w:rPr>
              <w:t>金</w:t>
            </w:r>
          </w:p>
        </w:tc>
        <w:tc>
          <w:tcPr>
            <w:tcW w:w="6288" w:type="dxa"/>
            <w:vAlign w:val="center"/>
          </w:tcPr>
          <w:p w14:paraId="70503045">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是否要求</w:t>
            </w:r>
            <w:r>
              <w:rPr>
                <w:rFonts w:hint="eastAsia" w:ascii="宋体" w:hAnsi="宋体" w:eastAsia="宋体" w:cs="宋体"/>
                <w:color w:val="000000" w:themeColor="text1"/>
                <w:spacing w:val="0"/>
                <w:sz w:val="21"/>
                <w:szCs w:val="21"/>
                <w:lang w:eastAsia="zh-CN"/>
                <w14:textFill>
                  <w14:solidFill>
                    <w14:schemeClr w14:val="tx1"/>
                  </w14:solidFill>
                </w14:textFill>
              </w:rPr>
              <w:t>供应商</w:t>
            </w:r>
            <w:r>
              <w:rPr>
                <w:rFonts w:hint="eastAsia" w:ascii="宋体" w:hAnsi="宋体" w:eastAsia="宋体" w:cs="宋体"/>
                <w:color w:val="000000" w:themeColor="text1"/>
                <w:spacing w:val="0"/>
                <w:sz w:val="21"/>
                <w:szCs w:val="21"/>
                <w14:textFill>
                  <w14:solidFill>
                    <w14:schemeClr w14:val="tx1"/>
                  </w14:solidFill>
                </w14:textFill>
              </w:rPr>
              <w:t>递交投标保证金：</w:t>
            </w:r>
          </w:p>
          <w:p w14:paraId="4779FEF2">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□不</w:t>
            </w:r>
            <w:r>
              <w:rPr>
                <w:rFonts w:hint="eastAsia" w:ascii="宋体" w:hAnsi="宋体" w:eastAsia="宋体" w:cs="宋体"/>
                <w:color w:val="000000" w:themeColor="text1"/>
                <w:spacing w:val="0"/>
                <w:sz w:val="21"/>
                <w:szCs w:val="21"/>
                <w14:textFill>
                  <w14:solidFill>
                    <w14:schemeClr w14:val="tx1"/>
                  </w14:solidFill>
                </w14:textFill>
              </w:rPr>
              <w:t>要求</w:t>
            </w:r>
          </w:p>
          <w:p w14:paraId="219409F8">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要求</w:t>
            </w:r>
            <w:r>
              <w:rPr>
                <w:rFonts w:hint="eastAsia" w:ascii="宋体" w:hAnsi="宋体" w:eastAsia="宋体" w:cs="宋体"/>
                <w:color w:val="000000" w:themeColor="text1"/>
                <w:spacing w:val="0"/>
                <w:sz w:val="21"/>
                <w:szCs w:val="21"/>
                <w:highlight w:val="none"/>
                <w14:textFill>
                  <w14:solidFill>
                    <w14:schemeClr w14:val="tx1"/>
                  </w14:solidFill>
                </w14:textFill>
              </w:rPr>
              <w:t>，投标保证金的金额（人民币）：</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壹万元整</w:t>
            </w:r>
            <w:r>
              <w:rPr>
                <w:rFonts w:hint="eastAsia" w:ascii="宋体" w:hAnsi="宋体" w:eastAsia="宋体" w:cs="宋体"/>
                <w:color w:val="000000" w:themeColor="text1"/>
                <w:spacing w:val="0"/>
                <w:sz w:val="21"/>
                <w:szCs w:val="21"/>
                <w:highlight w:val="none"/>
                <w14:textFill>
                  <w14:solidFill>
                    <w14:schemeClr w14:val="tx1"/>
                  </w14:solidFill>
                </w14:textFill>
              </w:rPr>
              <w:t>（￥</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10000</w:t>
            </w:r>
            <w:r>
              <w:rPr>
                <w:rFonts w:hint="eastAsia" w:ascii="宋体" w:hAnsi="宋体" w:eastAsia="宋体" w:cs="宋体"/>
                <w:color w:val="000000" w:themeColor="text1"/>
                <w:spacing w:val="0"/>
                <w:sz w:val="21"/>
                <w:szCs w:val="21"/>
                <w:highlight w:val="none"/>
                <w14:textFill>
                  <w14:solidFill>
                    <w14:schemeClr w14:val="tx1"/>
                  </w14:solidFill>
                </w14:textFill>
              </w:rPr>
              <w:t>元）</w:t>
            </w:r>
            <w:r>
              <w:rPr>
                <w:rFonts w:hint="eastAsia" w:ascii="宋体" w:hAnsi="宋体" w:eastAsia="宋体" w:cs="宋体"/>
                <w:color w:val="000000" w:themeColor="text1"/>
                <w:spacing w:val="0"/>
                <w:sz w:val="21"/>
                <w:szCs w:val="21"/>
                <w:highlight w:val="none"/>
                <w:lang w:eastAsia="zh-CN"/>
                <w14:textFill>
                  <w14:solidFill>
                    <w14:schemeClr w14:val="tx1"/>
                  </w14:solidFill>
                </w14:textFill>
              </w:rPr>
              <w:t>。</w:t>
            </w:r>
          </w:p>
          <w:p w14:paraId="64A0286B">
            <w:pPr>
              <w:keepNext w:val="0"/>
              <w:keepLines/>
              <w:pageBreakBefore w:val="0"/>
              <w:widowControl w:val="0"/>
              <w:kinsoku/>
              <w:wordWrap w:val="0"/>
              <w:overflowPunct/>
              <w:topLinePunct/>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保证金的递交截止时间：响应文件递交截止时间前。</w:t>
            </w:r>
          </w:p>
          <w:p w14:paraId="04FDC150">
            <w:pPr>
              <w:keepNext w:val="0"/>
              <w:keepLines/>
              <w:pageBreakBefore w:val="0"/>
              <w:widowControl w:val="0"/>
              <w:kinsoku/>
              <w:wordWrap w:val="0"/>
              <w:overflowPunct/>
              <w:topLinePunct/>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投标保证金的形式：支票、汇票、本票、网上银行支付、银行保函等非现金形式。</w:t>
            </w:r>
          </w:p>
          <w:p w14:paraId="03495D56">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1.采用转账、汇款形式，投标文件中需提供汇票存根或银行转账电子回执单扫描件以及基本账户信息的复印件。</w:t>
            </w:r>
          </w:p>
          <w:p w14:paraId="5D9770C6">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若转账、汇款或者支票形式提交的按下列要求执行：</w:t>
            </w:r>
          </w:p>
          <w:p w14:paraId="1440ACDE">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收款单位：山西誉信达工程咨询管理服务有限公司</w:t>
            </w:r>
          </w:p>
          <w:p w14:paraId="2FAA73DE">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开 户 行：山西尧都农村商业银行股份有限公司广场支行</w:t>
            </w:r>
          </w:p>
          <w:p w14:paraId="2EE72586">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银行帐号：601221010300000087305</w:t>
            </w:r>
          </w:p>
          <w:p w14:paraId="6DF3C957">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行    号：402177000628</w:t>
            </w:r>
          </w:p>
          <w:p w14:paraId="41DAA5E7">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递交方式：通过本单位基本账户递交</w:t>
            </w:r>
          </w:p>
          <w:p w14:paraId="3ACE36EB">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退还方式：通过本单位账户全额返还</w:t>
            </w:r>
          </w:p>
          <w:p w14:paraId="693C8B8C">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pacing w:val="0"/>
                <w:position w:val="0"/>
                <w:sz w:val="21"/>
                <w:szCs w:val="21"/>
                <w:highlight w:val="none"/>
                <w:lang w:val="en-US" w:eastAsia="zh-CN"/>
                <w14:textFill>
                  <w14:solidFill>
                    <w14:schemeClr w14:val="tx1"/>
                  </w14:solidFill>
                </w14:textFill>
              </w:rPr>
              <w:t>汇款用途：（项目名称）投标保证金</w:t>
            </w:r>
          </w:p>
          <w:p w14:paraId="0BDA56FA">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b w:val="0"/>
                <w:bCs/>
                <w:color w:val="000000" w:themeColor="text1"/>
                <w:spacing w:val="0"/>
                <w:sz w:val="21"/>
                <w:szCs w:val="21"/>
                <w:lang w:val="en-US" w:eastAsia="zh-CN"/>
                <w14:textFill>
                  <w14:solidFill>
                    <w14:schemeClr w14:val="tx1"/>
                  </w14:solidFill>
                </w14:textFill>
              </w:rPr>
            </w:pPr>
            <w:r>
              <w:rPr>
                <w:rFonts w:hint="eastAsia" w:ascii="宋体" w:hAnsi="宋体" w:eastAsia="宋体" w:cs="宋体"/>
                <w:b w:val="0"/>
                <w:bCs/>
                <w:color w:val="000000" w:themeColor="text1"/>
                <w:spacing w:val="0"/>
                <w:sz w:val="21"/>
                <w:szCs w:val="21"/>
                <w:lang w:val="en-US" w:eastAsia="zh-CN"/>
                <w14:textFill>
                  <w14:solidFill>
                    <w14:schemeClr w14:val="tx1"/>
                  </w14:solidFill>
                </w14:textFill>
              </w:rPr>
              <w:t>2.采用保函的形式：保函分为银行或金融服务平台、保证保险、工程担保公司出具的保函。供应商在提交响应保证金时，可以从以上具有资格出具保函的机构开具相应金额的保函替代现金。出具的保函必须与采购项目一致，其有效期应当与响应文件有效期一致且真实有效。供应商在电子响应文件中需附保函的扫描件并加盖单位公章。</w:t>
            </w:r>
          </w:p>
          <w:p w14:paraId="680333AA">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注：银行开具的免保证金的非融资性的履约保函不可使用。</w:t>
            </w:r>
          </w:p>
          <w:p w14:paraId="32A122CD">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退还方式及时间：按递交方式退还。采购人发出成交通知书后5天内向未成交的磋商供应商全额退还磋商保证金；采购人与成交供应商签订合同后5天内向成交供应商全额退还磋商保证金。</w:t>
            </w:r>
          </w:p>
          <w:p w14:paraId="4575269D">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其余要求见磋商供应商须知正文。</w:t>
            </w:r>
          </w:p>
        </w:tc>
      </w:tr>
      <w:tr w14:paraId="3B5C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152B45F">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11</w:t>
            </w:r>
          </w:p>
        </w:tc>
        <w:tc>
          <w:tcPr>
            <w:tcW w:w="1361" w:type="dxa"/>
            <w:vAlign w:val="center"/>
          </w:tcPr>
          <w:p w14:paraId="2560370E">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zh-CN"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投标有效期</w:t>
            </w:r>
          </w:p>
        </w:tc>
        <w:tc>
          <w:tcPr>
            <w:tcW w:w="6288" w:type="dxa"/>
            <w:vAlign w:val="center"/>
          </w:tcPr>
          <w:p w14:paraId="1E2C8E5C">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投标截止时间后</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90</w:t>
            </w:r>
            <w:r>
              <w:rPr>
                <w:rFonts w:hint="eastAsia" w:ascii="宋体" w:hAnsi="宋体" w:eastAsia="宋体" w:cs="宋体"/>
                <w:color w:val="000000" w:themeColor="text1"/>
                <w:spacing w:val="0"/>
                <w:sz w:val="21"/>
                <w:szCs w:val="21"/>
                <w14:textFill>
                  <w14:solidFill>
                    <w14:schemeClr w14:val="tx1"/>
                  </w14:solidFill>
                </w14:textFill>
              </w:rPr>
              <w:t>天。</w:t>
            </w:r>
          </w:p>
        </w:tc>
      </w:tr>
      <w:tr w14:paraId="160B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6DB3154">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14.1</w:t>
            </w:r>
          </w:p>
        </w:tc>
        <w:tc>
          <w:tcPr>
            <w:tcW w:w="1361" w:type="dxa"/>
            <w:vAlign w:val="center"/>
          </w:tcPr>
          <w:p w14:paraId="24398B30">
            <w:pPr>
              <w:keepNext w:val="0"/>
              <w:keepLines/>
              <w:pageBreakBefore w:val="0"/>
              <w:widowControl w:val="0"/>
              <w:kinsoku/>
              <w:wordWrap w:val="0"/>
              <w:overflowPunct/>
              <w:topLinePunct w:val="0"/>
              <w:autoSpaceDE/>
              <w:autoSpaceDN/>
              <w:bidi w:val="0"/>
              <w:spacing w:line="400" w:lineRule="exact"/>
              <w:jc w:val="both"/>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电子</w:t>
            </w:r>
            <w:r>
              <w:rPr>
                <w:rFonts w:hint="eastAsia" w:ascii="宋体" w:hAnsi="宋体" w:eastAsia="宋体" w:cs="宋体"/>
                <w:color w:val="000000" w:themeColor="text1"/>
                <w:spacing w:val="0"/>
                <w:sz w:val="21"/>
                <w:szCs w:val="21"/>
                <w:lang w:eastAsia="zh-CN"/>
                <w14:textFill>
                  <w14:solidFill>
                    <w14:schemeClr w14:val="tx1"/>
                  </w14:solidFill>
                </w14:textFill>
              </w:rPr>
              <w:t>竞争性磋商响应文件</w:t>
            </w:r>
            <w:r>
              <w:rPr>
                <w:rFonts w:hint="eastAsia" w:ascii="宋体" w:hAnsi="宋体" w:eastAsia="宋体" w:cs="宋体"/>
                <w:color w:val="000000" w:themeColor="text1"/>
                <w:spacing w:val="0"/>
                <w:sz w:val="21"/>
                <w:szCs w:val="21"/>
                <w14:textFill>
                  <w14:solidFill>
                    <w14:schemeClr w14:val="tx1"/>
                  </w14:solidFill>
                </w14:textFill>
              </w:rPr>
              <w:t>递交时间及地点</w:t>
            </w:r>
          </w:p>
        </w:tc>
        <w:tc>
          <w:tcPr>
            <w:tcW w:w="6288" w:type="dxa"/>
            <w:vAlign w:val="center"/>
          </w:tcPr>
          <w:p w14:paraId="789E97F3">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递交截止时间：</w:t>
            </w:r>
            <w:r>
              <w:rPr>
                <w:rFonts w:hint="eastAsia" w:ascii="宋体" w:hAnsi="宋体" w:eastAsia="宋体" w:cs="宋体"/>
                <w:color w:val="auto"/>
                <w:spacing w:val="0"/>
                <w:sz w:val="21"/>
                <w:szCs w:val="21"/>
                <w:highlight w:val="none"/>
                <w:lang w:val="en-US" w:eastAsia="zh-CN"/>
              </w:rPr>
              <w:t>2026年6月</w:t>
            </w:r>
            <w:r>
              <w:rPr>
                <w:rFonts w:hint="eastAsia" w:ascii="宋体" w:hAnsi="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lang w:val="en-US" w:eastAsia="zh-CN"/>
              </w:rPr>
              <w:t>日9:30 分；</w:t>
            </w:r>
          </w:p>
          <w:p w14:paraId="224FC526">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2、电子申请文件递交方式：申请人在山西省政府采购网</w:t>
            </w:r>
            <w:r>
              <w:rPr>
                <w:rFonts w:hint="eastAsia" w:ascii="宋体" w:hAnsi="宋体" w:eastAsia="宋体" w:cs="宋体"/>
                <w:i w:val="0"/>
                <w:iCs w:val="0"/>
                <w:color w:val="000000" w:themeColor="text1"/>
                <w:spacing w:val="0"/>
                <w:sz w:val="21"/>
                <w:szCs w:val="21"/>
                <w:u w:val="none"/>
                <w14:textFill>
                  <w14:solidFill>
                    <w14:schemeClr w14:val="tx1"/>
                  </w14:solidFill>
                </w14:textFill>
              </w:rPr>
              <w:t>（http://www.ccgp-shanxi.gov.cn/home.html</w:t>
            </w:r>
            <w:r>
              <w:rPr>
                <w:rFonts w:hint="eastAsia" w:ascii="宋体" w:hAnsi="宋体" w:eastAsia="宋体" w:cs="宋体"/>
                <w:i w:val="0"/>
                <w:iCs w:val="0"/>
                <w:color w:val="000000" w:themeColor="text1"/>
                <w:spacing w:val="0"/>
                <w:sz w:val="21"/>
                <w:szCs w:val="21"/>
                <w:u w:val="none"/>
                <w:lang w:eastAsia="zh-CN"/>
                <w14:textFill>
                  <w14:solidFill>
                    <w14:schemeClr w14:val="tx1"/>
                  </w14:solidFill>
                </w14:textFill>
              </w:rPr>
              <w:t>）中投标客户端完成递交，截止时间前未完成申请文件递交的，视为申请人自动放弃投标。</w:t>
            </w:r>
          </w:p>
        </w:tc>
      </w:tr>
      <w:tr w14:paraId="559B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113DCA0">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18.1</w:t>
            </w:r>
          </w:p>
        </w:tc>
        <w:tc>
          <w:tcPr>
            <w:tcW w:w="1361" w:type="dxa"/>
            <w:vAlign w:val="center"/>
          </w:tcPr>
          <w:p w14:paraId="1D157761">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磋商小组</w:t>
            </w:r>
          </w:p>
          <w:p w14:paraId="364F7191">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的组建</w:t>
            </w:r>
          </w:p>
        </w:tc>
        <w:tc>
          <w:tcPr>
            <w:tcW w:w="6288" w:type="dxa"/>
            <w:vAlign w:val="center"/>
          </w:tcPr>
          <w:p w14:paraId="4D154C64">
            <w:pPr>
              <w:keepNext w:val="0"/>
              <w:keepLines/>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pacing w:val="0"/>
                <w:sz w:val="21"/>
                <w:szCs w:val="21"/>
                <w:highlight w:val="yellow"/>
              </w:rPr>
            </w:pPr>
            <w:r>
              <w:rPr>
                <w:rFonts w:hint="eastAsia" w:ascii="宋体" w:hAnsi="宋体" w:eastAsia="宋体" w:cs="宋体"/>
                <w:color w:val="auto"/>
                <w:spacing w:val="0"/>
                <w:sz w:val="21"/>
                <w:szCs w:val="21"/>
                <w:highlight w:val="none"/>
                <w:lang w:eastAsia="zh-CN"/>
              </w:rPr>
              <w:t>磋商小组</w:t>
            </w:r>
            <w:r>
              <w:rPr>
                <w:rFonts w:hint="eastAsia" w:ascii="宋体" w:hAnsi="宋体" w:eastAsia="宋体" w:cs="宋体"/>
                <w:color w:val="auto"/>
                <w:spacing w:val="0"/>
                <w:sz w:val="21"/>
                <w:szCs w:val="21"/>
                <w:highlight w:val="none"/>
              </w:rPr>
              <w:t>构成：</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人，其中</w:t>
            </w:r>
            <w:r>
              <w:rPr>
                <w:rFonts w:hint="eastAsia" w:ascii="宋体" w:hAnsi="宋体" w:eastAsia="宋体" w:cs="宋体"/>
                <w:color w:val="auto"/>
                <w:spacing w:val="0"/>
                <w:sz w:val="21"/>
                <w:szCs w:val="21"/>
                <w:highlight w:val="none"/>
                <w:lang w:eastAsia="zh-CN"/>
              </w:rPr>
              <w:t>采购人</w:t>
            </w:r>
            <w:r>
              <w:rPr>
                <w:rFonts w:hint="eastAsia" w:ascii="宋体" w:hAnsi="宋体" w:eastAsia="宋体" w:cs="宋体"/>
                <w:color w:val="auto"/>
                <w:spacing w:val="0"/>
                <w:sz w:val="21"/>
                <w:szCs w:val="21"/>
                <w:highlight w:val="none"/>
              </w:rPr>
              <w:t>代表</w:t>
            </w:r>
            <w:r>
              <w:rPr>
                <w:rFonts w:hint="eastAsia" w:ascii="宋体" w:hAnsi="宋体" w:eastAsia="宋体" w:cs="宋体"/>
                <w:color w:val="auto"/>
                <w:spacing w:val="0"/>
                <w:sz w:val="21"/>
                <w:szCs w:val="21"/>
                <w:highlight w:val="none"/>
                <w:u w:val="single"/>
                <w:lang w:val="en-US" w:eastAsia="zh-CN"/>
              </w:rPr>
              <w:t xml:space="preserve"> 0 </w:t>
            </w:r>
            <w:r>
              <w:rPr>
                <w:rFonts w:hint="eastAsia" w:ascii="宋体" w:hAnsi="宋体" w:eastAsia="宋体" w:cs="宋体"/>
                <w:color w:val="auto"/>
                <w:spacing w:val="0"/>
                <w:sz w:val="21"/>
                <w:szCs w:val="21"/>
                <w:highlight w:val="none"/>
              </w:rPr>
              <w:t>人，专家</w:t>
            </w:r>
            <w:r>
              <w:rPr>
                <w:rFonts w:hint="eastAsia" w:ascii="宋体" w:hAnsi="宋体" w:eastAsia="宋体" w:cs="宋体"/>
                <w:color w:val="auto"/>
                <w:spacing w:val="0"/>
                <w:sz w:val="21"/>
                <w:szCs w:val="21"/>
                <w:highlight w:val="none"/>
                <w:u w:val="single"/>
                <w:lang w:val="en-US" w:eastAsia="zh-CN"/>
              </w:rPr>
              <w:t xml:space="preserve">  3  </w:t>
            </w:r>
            <w:r>
              <w:rPr>
                <w:rFonts w:hint="eastAsia" w:ascii="宋体" w:hAnsi="宋体" w:eastAsia="宋体" w:cs="宋体"/>
                <w:color w:val="auto"/>
                <w:spacing w:val="0"/>
                <w:sz w:val="21"/>
                <w:szCs w:val="21"/>
                <w:highlight w:val="none"/>
              </w:rPr>
              <w:t>人；</w:t>
            </w:r>
          </w:p>
          <w:p w14:paraId="352771C2">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评标专家确定方式：</w:t>
            </w:r>
            <w:r>
              <w:rPr>
                <w:rFonts w:hint="eastAsia" w:ascii="宋体" w:hAnsi="宋体" w:eastAsia="宋体" w:cs="宋体"/>
                <w:color w:val="000000" w:themeColor="text1"/>
                <w:spacing w:val="0"/>
                <w:sz w:val="21"/>
                <w:szCs w:val="21"/>
                <w:u w:val="single"/>
                <w:lang w:eastAsia="zh-CN"/>
                <w14:textFill>
                  <w14:solidFill>
                    <w14:schemeClr w14:val="tx1"/>
                  </w14:solidFill>
                </w14:textFill>
              </w:rPr>
              <w:t>中国山西政府采购网</w:t>
            </w:r>
            <w:r>
              <w:rPr>
                <w:rFonts w:hint="eastAsia" w:ascii="宋体" w:hAnsi="宋体" w:eastAsia="宋体" w:cs="宋体"/>
                <w:color w:val="000000" w:themeColor="text1"/>
                <w:spacing w:val="0"/>
                <w:sz w:val="21"/>
                <w:szCs w:val="21"/>
                <w:u w:val="single"/>
                <w14:textFill>
                  <w14:solidFill>
                    <w14:schemeClr w14:val="tx1"/>
                  </w14:solidFill>
                </w14:textFill>
              </w:rPr>
              <w:t>评标专家库随机抽取</w:t>
            </w:r>
            <w:r>
              <w:rPr>
                <w:rFonts w:hint="eastAsia" w:ascii="宋体" w:hAnsi="宋体" w:eastAsia="宋体" w:cs="宋体"/>
                <w:color w:val="000000" w:themeColor="text1"/>
                <w:spacing w:val="0"/>
                <w:sz w:val="21"/>
                <w:szCs w:val="21"/>
                <w14:textFill>
                  <w14:solidFill>
                    <w14:schemeClr w14:val="tx1"/>
                  </w14:solidFill>
                </w14:textFill>
              </w:rPr>
              <w:t>。</w:t>
            </w:r>
          </w:p>
        </w:tc>
      </w:tr>
      <w:tr w14:paraId="0E19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0A6116E8">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20.2</w:t>
            </w:r>
          </w:p>
        </w:tc>
        <w:tc>
          <w:tcPr>
            <w:tcW w:w="1361" w:type="dxa"/>
            <w:vAlign w:val="center"/>
          </w:tcPr>
          <w:p w14:paraId="05C401E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磋商的顺序</w:t>
            </w:r>
          </w:p>
        </w:tc>
        <w:tc>
          <w:tcPr>
            <w:tcW w:w="6288" w:type="dxa"/>
            <w:vAlign w:val="center"/>
          </w:tcPr>
          <w:p w14:paraId="0DC95649">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按照供应商签到的顺序执行。</w:t>
            </w:r>
          </w:p>
        </w:tc>
      </w:tr>
      <w:tr w14:paraId="6F0B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Merge w:val="restart"/>
            <w:vAlign w:val="center"/>
          </w:tcPr>
          <w:p w14:paraId="024A78E7">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21.6</w:t>
            </w:r>
          </w:p>
        </w:tc>
        <w:tc>
          <w:tcPr>
            <w:tcW w:w="1361" w:type="dxa"/>
            <w:vMerge w:val="restart"/>
            <w:vAlign w:val="center"/>
          </w:tcPr>
          <w:p w14:paraId="40BC1BF8">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最后报价</w:t>
            </w:r>
          </w:p>
        </w:tc>
        <w:tc>
          <w:tcPr>
            <w:tcW w:w="6288" w:type="dxa"/>
            <w:vAlign w:val="center"/>
          </w:tcPr>
          <w:p w14:paraId="6EFD2E4F">
            <w:pPr>
              <w:pStyle w:val="35"/>
              <w:keepNext w:val="0"/>
              <w:keepLines/>
              <w:pageBreakBefore w:val="0"/>
              <w:widowControl w:val="0"/>
              <w:kinsoku/>
              <w:wordWrap w:val="0"/>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供应商</w:t>
            </w:r>
            <w:r>
              <w:rPr>
                <w:rFonts w:hint="eastAsia" w:ascii="宋体" w:hAnsi="宋体" w:eastAsia="宋体" w:cs="宋体"/>
                <w:color w:val="000000" w:themeColor="text1"/>
                <w:spacing w:val="0"/>
                <w:sz w:val="21"/>
                <w:szCs w:val="21"/>
                <w14:textFill>
                  <w14:solidFill>
                    <w14:schemeClr w14:val="tx1"/>
                  </w14:solidFill>
                </w14:textFill>
              </w:rPr>
              <w:t>的报价明显低于其他通过符合性审查</w:t>
            </w:r>
            <w:r>
              <w:rPr>
                <w:rFonts w:hint="eastAsia" w:ascii="宋体" w:hAnsi="宋体" w:eastAsia="宋体" w:cs="宋体"/>
                <w:color w:val="000000" w:themeColor="text1"/>
                <w:spacing w:val="0"/>
                <w:sz w:val="21"/>
                <w:szCs w:val="21"/>
                <w:lang w:eastAsia="zh-CN"/>
                <w14:textFill>
                  <w14:solidFill>
                    <w14:schemeClr w14:val="tx1"/>
                  </w14:solidFill>
                </w14:textFill>
              </w:rPr>
              <w:t>磋商供应商</w:t>
            </w:r>
            <w:r>
              <w:rPr>
                <w:rFonts w:hint="eastAsia" w:ascii="宋体" w:hAnsi="宋体" w:eastAsia="宋体" w:cs="宋体"/>
                <w:color w:val="000000" w:themeColor="text1"/>
                <w:spacing w:val="0"/>
                <w:sz w:val="21"/>
                <w:szCs w:val="21"/>
                <w14:textFill>
                  <w14:solidFill>
                    <w14:schemeClr w14:val="tx1"/>
                  </w14:solidFill>
                </w14:textFill>
              </w:rPr>
              <w:t>的报价，有可能影响产品质量或者不能诚信履约的，应当在评标现场</w:t>
            </w:r>
            <w:r>
              <w:rPr>
                <w:rFonts w:hint="eastAsia" w:ascii="宋体" w:hAnsi="宋体" w:eastAsia="宋体" w:cs="宋体"/>
                <w:color w:val="000000" w:themeColor="text1"/>
                <w:spacing w:val="0"/>
                <w:sz w:val="21"/>
                <w:szCs w:val="21"/>
                <w:lang w:eastAsia="zh-CN"/>
                <w14:textFill>
                  <w14:solidFill>
                    <w14:schemeClr w14:val="tx1"/>
                  </w14:solidFill>
                </w14:textFill>
              </w:rPr>
              <w:t>贰拾分钟</w:t>
            </w:r>
            <w:r>
              <w:rPr>
                <w:rFonts w:hint="eastAsia" w:ascii="宋体" w:hAnsi="宋体" w:eastAsia="宋体" w:cs="宋体"/>
                <w:color w:val="000000" w:themeColor="text1"/>
                <w:spacing w:val="0"/>
                <w:sz w:val="21"/>
                <w:szCs w:val="21"/>
                <w14:textFill>
                  <w14:solidFill>
                    <w14:schemeClr w14:val="tx1"/>
                  </w14:solidFill>
                </w14:textFill>
              </w:rPr>
              <w:t>内提供书面说明，必要时提交相关证明材料；</w:t>
            </w:r>
            <w:r>
              <w:rPr>
                <w:rFonts w:hint="eastAsia" w:ascii="宋体" w:hAnsi="宋体" w:eastAsia="宋体" w:cs="宋体"/>
                <w:color w:val="000000" w:themeColor="text1"/>
                <w:spacing w:val="0"/>
                <w:sz w:val="21"/>
                <w:szCs w:val="21"/>
                <w:lang w:eastAsia="zh-CN"/>
                <w14:textFill>
                  <w14:solidFill>
                    <w14:schemeClr w14:val="tx1"/>
                  </w14:solidFill>
                </w14:textFill>
              </w:rPr>
              <w:t>磋商供应商</w:t>
            </w:r>
            <w:r>
              <w:rPr>
                <w:rFonts w:hint="eastAsia" w:ascii="宋体" w:hAnsi="宋体" w:eastAsia="宋体" w:cs="宋体"/>
                <w:color w:val="000000" w:themeColor="text1"/>
                <w:spacing w:val="0"/>
                <w:sz w:val="21"/>
                <w:szCs w:val="21"/>
                <w14:textFill>
                  <w14:solidFill>
                    <w14:schemeClr w14:val="tx1"/>
                  </w14:solidFill>
                </w14:textFill>
              </w:rPr>
              <w:t>不能证明其报价合理性的，</w:t>
            </w:r>
            <w:r>
              <w:rPr>
                <w:rFonts w:hint="eastAsia" w:ascii="宋体" w:hAnsi="宋体" w:eastAsia="宋体" w:cs="宋体"/>
                <w:color w:val="000000" w:themeColor="text1"/>
                <w:spacing w:val="0"/>
                <w:sz w:val="21"/>
                <w:szCs w:val="21"/>
                <w:lang w:eastAsia="zh-CN"/>
                <w14:textFill>
                  <w14:solidFill>
                    <w14:schemeClr w14:val="tx1"/>
                  </w14:solidFill>
                </w14:textFill>
              </w:rPr>
              <w:t>磋商小组</w:t>
            </w:r>
            <w:r>
              <w:rPr>
                <w:rFonts w:hint="eastAsia" w:ascii="宋体" w:hAnsi="宋体" w:eastAsia="宋体" w:cs="宋体"/>
                <w:color w:val="000000" w:themeColor="text1"/>
                <w:spacing w:val="0"/>
                <w:sz w:val="21"/>
                <w:szCs w:val="21"/>
                <w14:textFill>
                  <w14:solidFill>
                    <w14:schemeClr w14:val="tx1"/>
                  </w14:solidFill>
                </w14:textFill>
              </w:rPr>
              <w:t>将其作为无效投标处理。</w:t>
            </w:r>
          </w:p>
        </w:tc>
      </w:tr>
      <w:tr w14:paraId="7B66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Merge w:val="continue"/>
            <w:vAlign w:val="center"/>
          </w:tcPr>
          <w:p w14:paraId="5B75D3DD">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1361" w:type="dxa"/>
            <w:vMerge w:val="continue"/>
            <w:vAlign w:val="center"/>
          </w:tcPr>
          <w:p w14:paraId="7C8CEE0C">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p>
        </w:tc>
        <w:tc>
          <w:tcPr>
            <w:tcW w:w="6288" w:type="dxa"/>
            <w:vAlign w:val="center"/>
          </w:tcPr>
          <w:p w14:paraId="1CD907BD">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根据财库〔2026〕2号文件关于政府采购异常低价的通知</w:t>
            </w:r>
          </w:p>
          <w:p w14:paraId="0A2B3E2D">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在政府采购评审中出现下列情形之一的，评审委员会应当启动异常低价投标（响应）审查程序：</w:t>
            </w:r>
          </w:p>
          <w:p w14:paraId="14554945">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1.投标（响应）报价低于全部通过符合性审查供应商投标（响应）报价平均值50%的，即投标（响应）报价&lt;全部通过符合性审查供应商投标（响应）报价平均值×50%； </w:t>
            </w:r>
          </w:p>
          <w:p w14:paraId="7473D807">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2.投标（响应）报价低于通过符合性审查的次低报价供应商投标（响应）报价50%的，即投标（响应）报价&lt;通过符合性审查的次低报价供应商投标（响应）报价×50%； </w:t>
            </w:r>
          </w:p>
          <w:p w14:paraId="5D97EFDE">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3.投标（响应）报价低于采购项目最高限价45%的，即投标（响应）报价&lt;采购项目最高限价×45%； </w:t>
            </w:r>
          </w:p>
          <w:p w14:paraId="2D98E391">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4.评审委员会基于专业判断，认为供应商报价过低，有可能影响产品质量或者不能诚信履约的其他情形。 </w:t>
            </w:r>
          </w:p>
          <w:p w14:paraId="5754DF22">
            <w:pPr>
              <w:pStyle w:val="55"/>
              <w:keepNext w:val="0"/>
              <w:keepLines/>
              <w:pageBreakBefore w:val="0"/>
              <w:kinsoku/>
              <w:wordWrap w:val="0"/>
              <w:overflowPunct/>
              <w:topLinePunct w:val="0"/>
              <w:bidi w:val="0"/>
              <w:spacing w:before="65" w:line="360" w:lineRule="auto"/>
              <w:ind w:left="117"/>
              <w:jc w:val="left"/>
              <w:textAlignment w:val="auto"/>
              <w:rPr>
                <w:rFonts w:hint="eastAsia"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lang w:val="en-US" w:eastAsia="zh-CN"/>
              </w:rPr>
              <w:t>要求供应商在评审现场30分钟内对投标（响应）价格作出解释，提供项目具体成本测算与报价合理性相关的书面说明及必要的证明材料，包括但不限于原材料成本、人工成本、制造费用等。其中，供应商已随投标（响应）文件一并提交相关书面说明及必要的证明材料的，在评审现场可不提交。 </w:t>
            </w:r>
          </w:p>
          <w:p w14:paraId="5059F113">
            <w:pPr>
              <w:pStyle w:val="35"/>
              <w:keepNext w:val="0"/>
              <w:keepLines/>
              <w:pageBreakBefore w:val="0"/>
              <w:widowControl w:val="0"/>
              <w:kinsoku/>
              <w:wordWrap w:val="0"/>
              <w:overflowPunct/>
              <w:topLinePunct w:val="0"/>
              <w:autoSpaceDE/>
              <w:autoSpaceDN/>
              <w:bidi w:val="0"/>
              <w:snapToGrid w:val="0"/>
              <w:spacing w:line="400" w:lineRule="exact"/>
              <w:ind w:firstLine="404" w:firstLineChars="200"/>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auto"/>
                <w:spacing w:val="-4"/>
                <w:sz w:val="21"/>
                <w:szCs w:val="21"/>
                <w:lang w:val="en-US" w:eastAsia="zh-CN"/>
              </w:rPr>
              <w:t>供应商不能提供书面说明、证明材料，或者提供的书面说明、证明材料不能证明其报价合理性的，评审委员会应当将其作为无效投标处理。</w:t>
            </w:r>
          </w:p>
        </w:tc>
      </w:tr>
      <w:tr w14:paraId="63E9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8FB2DD3">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29</w:t>
            </w:r>
          </w:p>
        </w:tc>
        <w:tc>
          <w:tcPr>
            <w:tcW w:w="1361" w:type="dxa"/>
            <w:vAlign w:val="center"/>
          </w:tcPr>
          <w:p w14:paraId="48FF629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中标服务费</w:t>
            </w:r>
          </w:p>
        </w:tc>
        <w:tc>
          <w:tcPr>
            <w:tcW w:w="6288" w:type="dxa"/>
            <w:vAlign w:val="center"/>
          </w:tcPr>
          <w:p w14:paraId="6605A364">
            <w:pPr>
              <w:keepNext w:val="0"/>
              <w:keepLines/>
              <w:pageBreakBefore w:val="0"/>
              <w:widowControl w:val="0"/>
              <w:kinsoku/>
              <w:wordWrap w:val="0"/>
              <w:overflowPunct/>
              <w:topLinePunct w:val="0"/>
              <w:autoSpaceDE/>
              <w:autoSpaceDN/>
              <w:bidi w:val="0"/>
              <w:adjustRightInd/>
              <w:snapToGrid/>
              <w:spacing w:line="400" w:lineRule="exact"/>
              <w:ind w:left="0" w:leftChars="0" w:firstLine="218" w:firstLineChars="104"/>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中标服务费由供应商支付，代理费参照发改价格（2011）534号文件规定，中标价为基数，采用累进法计算代理费。</w:t>
            </w:r>
          </w:p>
          <w:p w14:paraId="6996ECE3">
            <w:pPr>
              <w:keepNext w:val="0"/>
              <w:keepLines/>
              <w:pageBreakBefore w:val="0"/>
              <w:widowControl w:val="0"/>
              <w:kinsoku/>
              <w:wordWrap w:val="0"/>
              <w:overflowPunct/>
              <w:topLinePunct w:val="0"/>
              <w:autoSpaceDE/>
              <w:autoSpaceDN/>
              <w:bidi w:val="0"/>
              <w:adjustRightInd/>
              <w:snapToGrid/>
              <w:spacing w:line="400" w:lineRule="exact"/>
              <w:ind w:left="0" w:leftChars="0" w:firstLine="1892" w:firstLineChars="901"/>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货物招标</w:t>
            </w:r>
            <w:r>
              <w:rPr>
                <w:rFonts w:hint="eastAsia" w:ascii="宋体" w:hAnsi="宋体" w:eastAsia="宋体" w:cs="宋体"/>
                <w:color w:val="auto"/>
                <w:spacing w:val="0"/>
                <w:sz w:val="21"/>
                <w:szCs w:val="21"/>
                <w:highlight w:val="none"/>
                <w:lang w:val="en-US" w:eastAsia="zh-CN"/>
              </w:rPr>
              <w:tab/>
            </w:r>
            <w:r>
              <w:rPr>
                <w:rFonts w:hint="eastAsia" w:ascii="宋体" w:hAnsi="宋体" w:eastAsia="宋体" w:cs="宋体"/>
                <w:color w:val="auto"/>
                <w:spacing w:val="0"/>
                <w:sz w:val="21"/>
                <w:szCs w:val="21"/>
                <w:highlight w:val="none"/>
                <w:lang w:val="en-US" w:eastAsia="zh-CN"/>
              </w:rPr>
              <w:t xml:space="preserve"> 服务招标</w:t>
            </w:r>
            <w:r>
              <w:rPr>
                <w:rFonts w:hint="eastAsia" w:ascii="宋体" w:hAnsi="宋体" w:eastAsia="宋体" w:cs="宋体"/>
                <w:color w:val="auto"/>
                <w:spacing w:val="0"/>
                <w:sz w:val="21"/>
                <w:szCs w:val="21"/>
                <w:highlight w:val="none"/>
                <w:lang w:val="en-US" w:eastAsia="zh-CN"/>
              </w:rPr>
              <w:tab/>
            </w:r>
            <w:r>
              <w:rPr>
                <w:rFonts w:hint="eastAsia" w:ascii="宋体" w:hAnsi="宋体" w:eastAsia="宋体" w:cs="宋体"/>
                <w:color w:val="auto"/>
                <w:spacing w:val="0"/>
                <w:sz w:val="21"/>
                <w:szCs w:val="21"/>
                <w:highlight w:val="none"/>
                <w:lang w:val="en-US" w:eastAsia="zh-CN"/>
              </w:rPr>
              <w:t>工程招标</w:t>
            </w:r>
          </w:p>
          <w:p w14:paraId="34D5A154">
            <w:pPr>
              <w:keepNext w:val="0"/>
              <w:keepLines/>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2"/>
                <w:highlight w:val="none"/>
              </w:rPr>
              <w:t>100</w:t>
            </w:r>
            <w:r>
              <w:rPr>
                <w:rFonts w:hint="eastAsia" w:ascii="宋体" w:hAnsi="宋体" w:eastAsia="宋体" w:cs="宋体"/>
                <w:color w:val="auto"/>
                <w:spacing w:val="-34"/>
                <w:highlight w:val="none"/>
              </w:rPr>
              <w:t xml:space="preserve"> </w:t>
            </w:r>
            <w:r>
              <w:rPr>
                <w:rFonts w:hint="eastAsia" w:ascii="宋体" w:hAnsi="宋体" w:eastAsia="宋体" w:cs="宋体"/>
                <w:color w:val="auto"/>
                <w:spacing w:val="2"/>
                <w:highlight w:val="none"/>
              </w:rPr>
              <w:t>万元以下</w:t>
            </w:r>
            <w:r>
              <w:rPr>
                <w:rFonts w:hint="eastAsia" w:ascii="宋体" w:hAnsi="宋体" w:eastAsia="宋体" w:cs="宋体"/>
                <w:color w:val="auto"/>
                <w:spacing w:val="2"/>
                <w:highlight w:val="none"/>
                <w:lang w:val="en-US" w:eastAsia="zh-CN"/>
              </w:rPr>
              <w:t xml:space="preserve">        </w:t>
            </w:r>
            <w:r>
              <w:rPr>
                <w:rFonts w:hint="eastAsia" w:ascii="宋体" w:hAnsi="宋体" w:eastAsia="宋体" w:cs="宋体"/>
                <w:color w:val="auto"/>
                <w:spacing w:val="0"/>
                <w:sz w:val="21"/>
                <w:szCs w:val="21"/>
                <w:highlight w:val="none"/>
                <w:lang w:val="en-US" w:eastAsia="zh-CN"/>
              </w:rPr>
              <w:t>1.5%</w:t>
            </w:r>
            <w:r>
              <w:rPr>
                <w:rFonts w:hint="eastAsia" w:ascii="宋体" w:hAnsi="宋体" w:eastAsia="宋体" w:cs="宋体"/>
                <w:color w:val="auto"/>
                <w:spacing w:val="0"/>
                <w:sz w:val="21"/>
                <w:szCs w:val="21"/>
                <w:highlight w:val="none"/>
                <w:lang w:val="en-US" w:eastAsia="zh-CN"/>
              </w:rPr>
              <w:tab/>
            </w:r>
            <w:r>
              <w:rPr>
                <w:rFonts w:hint="eastAsia" w:ascii="宋体" w:hAnsi="宋体" w:eastAsia="宋体" w:cs="宋体"/>
                <w:color w:val="auto"/>
                <w:spacing w:val="0"/>
                <w:sz w:val="21"/>
                <w:szCs w:val="21"/>
                <w:highlight w:val="none"/>
                <w:lang w:val="en-US" w:eastAsia="zh-CN"/>
              </w:rPr>
              <w:t xml:space="preserve">      1.5%</w:t>
            </w:r>
            <w:r>
              <w:rPr>
                <w:rFonts w:hint="eastAsia" w:ascii="宋体" w:hAnsi="宋体" w:eastAsia="宋体" w:cs="宋体"/>
                <w:color w:val="auto"/>
                <w:spacing w:val="0"/>
                <w:sz w:val="21"/>
                <w:szCs w:val="21"/>
                <w:highlight w:val="none"/>
                <w:lang w:val="en-US" w:eastAsia="zh-CN"/>
              </w:rPr>
              <w:tab/>
            </w:r>
            <w:r>
              <w:rPr>
                <w:rFonts w:hint="eastAsia" w:ascii="宋体" w:hAnsi="宋体" w:eastAsia="宋体" w:cs="宋体"/>
                <w:color w:val="auto"/>
                <w:spacing w:val="0"/>
                <w:sz w:val="21"/>
                <w:szCs w:val="21"/>
                <w:highlight w:val="none"/>
                <w:lang w:val="en-US" w:eastAsia="zh-CN"/>
              </w:rPr>
              <w:t xml:space="preserve">      1.0%</w:t>
            </w:r>
          </w:p>
          <w:p w14:paraId="5C85ABCA">
            <w:pPr>
              <w:keepNext w:val="0"/>
              <w:keepLines/>
              <w:pageBreakBefore w:val="0"/>
              <w:widowControl w:val="0"/>
              <w:kinsoku/>
              <w:wordWrap w:val="0"/>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2"/>
                <w:highlight w:val="none"/>
              </w:rPr>
              <w:t>100～500</w:t>
            </w:r>
            <w:r>
              <w:rPr>
                <w:rFonts w:hint="eastAsia" w:ascii="宋体" w:hAnsi="宋体" w:eastAsia="宋体" w:cs="宋体"/>
                <w:color w:val="auto"/>
                <w:spacing w:val="-33"/>
                <w:highlight w:val="none"/>
              </w:rPr>
              <w:t xml:space="preserve"> </w:t>
            </w:r>
            <w:r>
              <w:rPr>
                <w:rFonts w:hint="eastAsia" w:ascii="宋体" w:hAnsi="宋体" w:eastAsia="宋体" w:cs="宋体"/>
                <w:color w:val="auto"/>
                <w:spacing w:val="2"/>
                <w:highlight w:val="none"/>
              </w:rPr>
              <w:t>万元</w:t>
            </w:r>
            <w:r>
              <w:rPr>
                <w:rFonts w:hint="eastAsia" w:ascii="宋体" w:hAnsi="宋体" w:eastAsia="宋体" w:cs="宋体"/>
                <w:color w:val="auto"/>
                <w:spacing w:val="2"/>
                <w:highlight w:val="none"/>
                <w:lang w:val="en-US" w:eastAsia="zh-CN"/>
              </w:rPr>
              <w:t xml:space="preserve">       </w:t>
            </w:r>
            <w:r>
              <w:rPr>
                <w:rFonts w:hint="eastAsia" w:ascii="宋体" w:hAnsi="宋体" w:eastAsia="宋体" w:cs="宋体"/>
                <w:color w:val="auto"/>
                <w:spacing w:val="0"/>
                <w:sz w:val="21"/>
                <w:szCs w:val="21"/>
                <w:highlight w:val="none"/>
                <w:lang w:val="en-US" w:eastAsia="zh-CN"/>
              </w:rPr>
              <w:t>1.1%</w:t>
            </w:r>
            <w:r>
              <w:rPr>
                <w:rFonts w:hint="eastAsia" w:ascii="宋体" w:hAnsi="宋体" w:eastAsia="宋体" w:cs="宋体"/>
                <w:color w:val="auto"/>
                <w:spacing w:val="0"/>
                <w:sz w:val="21"/>
                <w:szCs w:val="21"/>
                <w:highlight w:val="none"/>
                <w:lang w:val="en-US" w:eastAsia="zh-CN"/>
              </w:rPr>
              <w:tab/>
            </w:r>
            <w:r>
              <w:rPr>
                <w:rFonts w:hint="eastAsia" w:ascii="宋体" w:hAnsi="宋体" w:eastAsia="宋体" w:cs="宋体"/>
                <w:color w:val="auto"/>
                <w:spacing w:val="0"/>
                <w:sz w:val="21"/>
                <w:szCs w:val="21"/>
                <w:highlight w:val="none"/>
                <w:lang w:val="en-US" w:eastAsia="zh-CN"/>
              </w:rPr>
              <w:t xml:space="preserve">      0.8%</w:t>
            </w:r>
            <w:r>
              <w:rPr>
                <w:rFonts w:hint="eastAsia" w:ascii="宋体" w:hAnsi="宋体" w:eastAsia="宋体" w:cs="宋体"/>
                <w:color w:val="auto"/>
                <w:spacing w:val="0"/>
                <w:sz w:val="21"/>
                <w:szCs w:val="21"/>
                <w:highlight w:val="none"/>
                <w:lang w:val="en-US" w:eastAsia="zh-CN"/>
              </w:rPr>
              <w:tab/>
            </w:r>
            <w:r>
              <w:rPr>
                <w:rFonts w:hint="eastAsia" w:ascii="宋体" w:hAnsi="宋体" w:eastAsia="宋体" w:cs="宋体"/>
                <w:color w:val="auto"/>
                <w:spacing w:val="0"/>
                <w:sz w:val="21"/>
                <w:szCs w:val="21"/>
                <w:highlight w:val="none"/>
                <w:lang w:val="en-US" w:eastAsia="zh-CN"/>
              </w:rPr>
              <w:t xml:space="preserve">      0.7%</w:t>
            </w:r>
          </w:p>
        </w:tc>
      </w:tr>
      <w:tr w14:paraId="7C3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93B6E10">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7649" w:type="dxa"/>
            <w:gridSpan w:val="2"/>
            <w:vAlign w:val="center"/>
          </w:tcPr>
          <w:p w14:paraId="73E5546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补</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lang w:eastAsia="zh-CN"/>
                <w14:textFill>
                  <w14:solidFill>
                    <w14:schemeClr w14:val="tx1"/>
                  </w14:solidFill>
                </w14:textFill>
              </w:rPr>
              <w:t>充</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lang w:eastAsia="zh-CN"/>
                <w14:textFill>
                  <w14:solidFill>
                    <w14:schemeClr w14:val="tx1"/>
                  </w14:solidFill>
                </w14:textFill>
              </w:rPr>
              <w:t>说</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lang w:eastAsia="zh-CN"/>
                <w14:textFill>
                  <w14:solidFill>
                    <w14:schemeClr w14:val="tx1"/>
                  </w14:solidFill>
                </w14:textFill>
              </w:rPr>
              <w:t>明</w:t>
            </w:r>
          </w:p>
        </w:tc>
      </w:tr>
      <w:tr w14:paraId="30C0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2FA6873">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1</w:t>
            </w:r>
          </w:p>
        </w:tc>
        <w:tc>
          <w:tcPr>
            <w:tcW w:w="1361" w:type="dxa"/>
            <w:vAlign w:val="center"/>
          </w:tcPr>
          <w:p w14:paraId="7F3FE81F">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zh-CN"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招标控制价</w:t>
            </w:r>
          </w:p>
        </w:tc>
        <w:tc>
          <w:tcPr>
            <w:tcW w:w="6288" w:type="dxa"/>
            <w:vAlign w:val="center"/>
          </w:tcPr>
          <w:p w14:paraId="100CCA83">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本项目设招标控制价</w:t>
            </w:r>
            <w:r>
              <w:rPr>
                <w:rFonts w:hint="eastAsia" w:ascii="宋体" w:hAnsi="宋体" w:eastAsia="宋体" w:cs="宋体"/>
                <w:color w:val="000000" w:themeColor="text1"/>
                <w:spacing w:val="0"/>
                <w:sz w:val="21"/>
                <w:szCs w:val="21"/>
                <w:highlight w:val="none"/>
                <w:lang w:val="en-US" w:eastAsia="zh-CN"/>
                <w14:textFill>
                  <w14:solidFill>
                    <w14:schemeClr w14:val="tx1"/>
                  </w14:solidFill>
                </w14:textFill>
              </w:rPr>
              <w:t>:1190659.66元（人民币）</w:t>
            </w:r>
          </w:p>
          <w:p w14:paraId="7385170F">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sz w:val="21"/>
                <w:szCs w:val="21"/>
                <w:highlight w:val="none"/>
                <w:lang w:eastAsia="zh-CN"/>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供应商的报价等于或高于招标控制价，作废标处理。</w:t>
            </w:r>
          </w:p>
          <w:p w14:paraId="203B8ACC">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highlight w:val="none"/>
                <w:lang w:eastAsia="zh-CN"/>
                <w14:textFill>
                  <w14:solidFill>
                    <w14:schemeClr w14:val="tx1"/>
                  </w14:solidFill>
                </w14:textFill>
              </w:rPr>
              <w:t>供应商所报价格在合同实施期间不因市场变化因素而变动。</w:t>
            </w:r>
          </w:p>
        </w:tc>
      </w:tr>
      <w:tr w14:paraId="3EE8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340BB1D8">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2</w:t>
            </w:r>
          </w:p>
        </w:tc>
        <w:tc>
          <w:tcPr>
            <w:tcW w:w="1361" w:type="dxa"/>
            <w:vAlign w:val="center"/>
          </w:tcPr>
          <w:p w14:paraId="0CE854F6">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评标办法</w:t>
            </w:r>
          </w:p>
        </w:tc>
        <w:tc>
          <w:tcPr>
            <w:tcW w:w="6288" w:type="dxa"/>
            <w:vAlign w:val="center"/>
          </w:tcPr>
          <w:p w14:paraId="72E06211">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Cs/>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采用</w:t>
            </w:r>
            <w:r>
              <w:rPr>
                <w:rFonts w:hint="eastAsia" w:ascii="宋体" w:hAnsi="宋体" w:eastAsia="宋体" w:cs="宋体"/>
                <w:color w:val="000000" w:themeColor="text1"/>
                <w:spacing w:val="0"/>
                <w:sz w:val="21"/>
                <w:szCs w:val="21"/>
                <w:lang w:eastAsia="zh-CN"/>
                <w14:textFill>
                  <w14:solidFill>
                    <w14:schemeClr w14:val="tx1"/>
                  </w14:solidFill>
                </w14:textFill>
              </w:rPr>
              <w:t>二轮报价</w:t>
            </w:r>
            <w:r>
              <w:rPr>
                <w:rFonts w:hint="eastAsia" w:ascii="宋体" w:hAnsi="宋体" w:eastAsia="宋体" w:cs="宋体"/>
                <w:color w:val="000000" w:themeColor="text1"/>
                <w:spacing w:val="0"/>
                <w:sz w:val="21"/>
                <w:szCs w:val="21"/>
                <w14:textFill>
                  <w14:solidFill>
                    <w14:schemeClr w14:val="tx1"/>
                  </w14:solidFill>
                </w14:textFill>
              </w:rPr>
              <w:t>综合评分法。</w:t>
            </w:r>
            <w:r>
              <w:rPr>
                <w:rFonts w:hint="eastAsia" w:ascii="宋体" w:hAnsi="宋体" w:eastAsia="宋体" w:cs="宋体"/>
                <w:bCs/>
                <w:color w:val="000000" w:themeColor="text1"/>
                <w:spacing w:val="0"/>
                <w:sz w:val="21"/>
                <w:szCs w:val="21"/>
                <w14:textFill>
                  <w14:solidFill>
                    <w14:schemeClr w14:val="tx1"/>
                  </w14:solidFill>
                </w14:textFill>
              </w:rPr>
              <w:t>详见</w:t>
            </w:r>
            <w:r>
              <w:rPr>
                <w:rFonts w:hint="eastAsia" w:ascii="宋体" w:hAnsi="宋体" w:eastAsia="宋体" w:cs="宋体"/>
                <w:bCs/>
                <w:color w:val="000000" w:themeColor="text1"/>
                <w:spacing w:val="0"/>
                <w:sz w:val="21"/>
                <w:szCs w:val="21"/>
                <w:lang w:eastAsia="zh-CN"/>
                <w14:textFill>
                  <w14:solidFill>
                    <w14:schemeClr w14:val="tx1"/>
                  </w14:solidFill>
                </w14:textFill>
              </w:rPr>
              <w:t>竞争性磋商文件</w:t>
            </w:r>
            <w:r>
              <w:rPr>
                <w:rFonts w:hint="eastAsia" w:ascii="宋体" w:hAnsi="宋体" w:eastAsia="宋体" w:cs="宋体"/>
                <w:bCs/>
                <w:color w:val="000000" w:themeColor="text1"/>
                <w:spacing w:val="0"/>
                <w:sz w:val="21"/>
                <w:szCs w:val="21"/>
                <w14:textFill>
                  <w14:solidFill>
                    <w14:schemeClr w14:val="tx1"/>
                  </w14:solidFill>
                </w14:textFill>
              </w:rPr>
              <w:t>中评标标准与评标办法。</w:t>
            </w:r>
          </w:p>
        </w:tc>
      </w:tr>
      <w:tr w14:paraId="5042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4B5F232">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3</w:t>
            </w:r>
          </w:p>
        </w:tc>
        <w:tc>
          <w:tcPr>
            <w:tcW w:w="1361" w:type="dxa"/>
            <w:vAlign w:val="center"/>
          </w:tcPr>
          <w:p w14:paraId="4C4BCD63">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资格审查方式</w:t>
            </w:r>
          </w:p>
        </w:tc>
        <w:tc>
          <w:tcPr>
            <w:tcW w:w="6288" w:type="dxa"/>
            <w:vAlign w:val="center"/>
          </w:tcPr>
          <w:p w14:paraId="0BFF1175">
            <w:pPr>
              <w:keepNext w:val="0"/>
              <w:keepLines/>
              <w:pageBreakBefore w:val="0"/>
              <w:widowControl w:val="0"/>
              <w:kinsoku/>
              <w:wordWrap w:val="0"/>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auto"/>
                <w:sz w:val="21"/>
                <w:szCs w:val="21"/>
              </w:rPr>
              <w:t>资格审查由</w:t>
            </w:r>
            <w:r>
              <w:rPr>
                <w:rFonts w:hint="eastAsia" w:ascii="宋体" w:hAnsi="宋体" w:eastAsia="宋体" w:cs="宋体"/>
                <w:color w:val="auto"/>
                <w:sz w:val="21"/>
                <w:szCs w:val="21"/>
                <w:lang w:val="en-US" w:eastAsia="zh-CN"/>
              </w:rPr>
              <w:t>磋商小组</w:t>
            </w:r>
            <w:r>
              <w:rPr>
                <w:rFonts w:hint="eastAsia" w:ascii="宋体" w:hAnsi="宋体" w:eastAsia="宋体" w:cs="宋体"/>
                <w:color w:val="auto"/>
                <w:sz w:val="21"/>
                <w:szCs w:val="21"/>
              </w:rPr>
              <w:t>审核并签字。</w:t>
            </w:r>
          </w:p>
        </w:tc>
      </w:tr>
      <w:tr w14:paraId="4E20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86B0C22">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4</w:t>
            </w:r>
          </w:p>
        </w:tc>
        <w:tc>
          <w:tcPr>
            <w:tcW w:w="1361" w:type="dxa"/>
            <w:vAlign w:val="center"/>
          </w:tcPr>
          <w:p w14:paraId="42E9FD6F">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是否授权</w:t>
            </w:r>
            <w:r>
              <w:rPr>
                <w:rFonts w:hint="eastAsia" w:ascii="宋体" w:hAnsi="宋体" w:eastAsia="宋体" w:cs="宋体"/>
                <w:color w:val="000000" w:themeColor="text1"/>
                <w:spacing w:val="0"/>
                <w:sz w:val="21"/>
                <w:szCs w:val="21"/>
                <w:lang w:eastAsia="zh-CN"/>
                <w14:textFill>
                  <w14:solidFill>
                    <w14:schemeClr w14:val="tx1"/>
                  </w14:solidFill>
                </w14:textFill>
              </w:rPr>
              <w:t>磋商小组</w:t>
            </w:r>
            <w:r>
              <w:rPr>
                <w:rFonts w:hint="eastAsia" w:ascii="宋体" w:hAnsi="宋体" w:eastAsia="宋体" w:cs="宋体"/>
                <w:color w:val="000000" w:themeColor="text1"/>
                <w:spacing w:val="0"/>
                <w:sz w:val="21"/>
                <w:szCs w:val="21"/>
                <w14:textFill>
                  <w14:solidFill>
                    <w14:schemeClr w14:val="tx1"/>
                  </w14:solidFill>
                </w14:textFill>
              </w:rPr>
              <w:t>确定</w:t>
            </w:r>
            <w:r>
              <w:rPr>
                <w:rFonts w:hint="eastAsia" w:ascii="宋体" w:hAnsi="宋体" w:eastAsia="宋体" w:cs="宋体"/>
                <w:color w:val="000000" w:themeColor="text1"/>
                <w:spacing w:val="0"/>
                <w:sz w:val="21"/>
                <w:szCs w:val="21"/>
                <w:lang w:eastAsia="zh-CN"/>
                <w14:textFill>
                  <w14:solidFill>
                    <w14:schemeClr w14:val="tx1"/>
                  </w14:solidFill>
                </w14:textFill>
              </w:rPr>
              <w:t>成交供应商</w:t>
            </w:r>
          </w:p>
        </w:tc>
        <w:tc>
          <w:tcPr>
            <w:tcW w:w="6288" w:type="dxa"/>
            <w:vAlign w:val="center"/>
          </w:tcPr>
          <w:p w14:paraId="3AA8ECB1">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15"/>
                <w:szCs w:val="15"/>
                <w14:textFill>
                  <w14:solidFill>
                    <w14:schemeClr w14:val="tx1"/>
                  </w14:solidFill>
                </w14:textFill>
              </w:rPr>
              <w:fldChar w:fldCharType="begin"/>
            </w:r>
            <w:r>
              <w:rPr>
                <w:rFonts w:hint="eastAsia" w:ascii="宋体" w:hAnsi="宋体" w:eastAsia="宋体" w:cs="宋体"/>
                <w:color w:val="000000" w:themeColor="text1"/>
                <w:spacing w:val="0"/>
                <w:sz w:val="15"/>
                <w:szCs w:val="15"/>
                <w14:textFill>
                  <w14:solidFill>
                    <w14:schemeClr w14:val="tx1"/>
                  </w14:solidFill>
                </w14:textFill>
              </w:rPr>
              <w:instrText xml:space="preserve"> eq \o\ac(</w:instrText>
            </w:r>
            <w:r>
              <w:rPr>
                <w:rFonts w:hint="eastAsia" w:ascii="宋体" w:hAnsi="宋体" w:eastAsia="宋体" w:cs="宋体"/>
                <w:color w:val="000000" w:themeColor="text1"/>
                <w:spacing w:val="0"/>
                <w:sz w:val="22"/>
                <w:szCs w:val="15"/>
                <w14:textFill>
                  <w14:solidFill>
                    <w14:schemeClr w14:val="tx1"/>
                  </w14:solidFill>
                </w14:textFill>
              </w:rPr>
              <w:instrText xml:space="preserve">□</w:instrText>
            </w:r>
            <w:r>
              <w:rPr>
                <w:rFonts w:hint="eastAsia" w:ascii="宋体" w:hAnsi="宋体" w:eastAsia="宋体" w:cs="宋体"/>
                <w:color w:val="000000" w:themeColor="text1"/>
                <w:spacing w:val="0"/>
                <w:sz w:val="22"/>
                <w:szCs w:val="15"/>
                <w:lang w:eastAsia="zh-CN"/>
                <w14:textFill>
                  <w14:solidFill>
                    <w14:schemeClr w14:val="tx1"/>
                  </w14:solidFill>
                </w14:textFill>
              </w:rPr>
              <w:instrText xml:space="preserve">,</w:instrText>
            </w:r>
            <w:r>
              <w:rPr>
                <w:rFonts w:hint="eastAsia" w:ascii="宋体" w:hAnsi="宋体" w:eastAsia="宋体" w:cs="宋体"/>
                <w:color w:val="000000" w:themeColor="text1"/>
                <w:spacing w:val="0"/>
                <w:sz w:val="15"/>
                <w:szCs w:val="15"/>
                <w:lang w:eastAsia="zh-CN"/>
                <w14:textFill>
                  <w14:solidFill>
                    <w14:schemeClr w14:val="tx1"/>
                  </w14:solidFill>
                </w14:textFill>
              </w:rPr>
              <w:instrText xml:space="preserve">√</w:instrText>
            </w:r>
            <w:r>
              <w:rPr>
                <w:rFonts w:hint="eastAsia" w:ascii="宋体" w:hAnsi="宋体" w:eastAsia="宋体" w:cs="宋体"/>
                <w:color w:val="000000" w:themeColor="text1"/>
                <w:spacing w:val="0"/>
                <w:sz w:val="15"/>
                <w:szCs w:val="15"/>
                <w14:textFill>
                  <w14:solidFill>
                    <w14:schemeClr w14:val="tx1"/>
                  </w14:solidFill>
                </w14:textFill>
              </w:rPr>
              <w:instrText xml:space="preserve">)</w:instrText>
            </w:r>
            <w:r>
              <w:rPr>
                <w:rFonts w:hint="eastAsia" w:ascii="宋体" w:hAnsi="宋体" w:eastAsia="宋体" w:cs="宋体"/>
                <w:color w:val="000000" w:themeColor="text1"/>
                <w:spacing w:val="0"/>
                <w:sz w:val="15"/>
                <w:szCs w:val="15"/>
                <w14:textFill>
                  <w14:solidFill>
                    <w14:schemeClr w14:val="tx1"/>
                  </w14:solidFill>
                </w14:textFill>
              </w:rPr>
              <w:fldChar w:fldCharType="end"/>
            </w:r>
            <w:r>
              <w:rPr>
                <w:rFonts w:hint="eastAsia" w:ascii="宋体" w:hAnsi="宋体" w:eastAsia="宋体" w:cs="宋体"/>
                <w:color w:val="000000" w:themeColor="text1"/>
                <w:spacing w:val="0"/>
                <w:sz w:val="21"/>
                <w:szCs w:val="21"/>
                <w14:textFill>
                  <w14:solidFill>
                    <w14:schemeClr w14:val="tx1"/>
                  </w14:solidFill>
                </w14:textFill>
              </w:rPr>
              <w:t>是</w:t>
            </w:r>
          </w:p>
          <w:p w14:paraId="746AD866">
            <w:pPr>
              <w:keepNext w:val="0"/>
              <w:keepLines/>
              <w:pageBreakBefore w:val="0"/>
              <w:widowControl w:val="0"/>
              <w:kinsoku/>
              <w:wordWrap w:val="0"/>
              <w:overflowPunct/>
              <w:topLinePunct w:val="0"/>
              <w:autoSpaceDE/>
              <w:autoSpaceDN/>
              <w:bidi w:val="0"/>
              <w:spacing w:line="400" w:lineRule="exac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□否，推荐的中标候选人数</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人 </w:t>
            </w:r>
            <w:r>
              <w:rPr>
                <w:rFonts w:hint="eastAsia" w:ascii="宋体" w:hAnsi="宋体" w:eastAsia="宋体" w:cs="宋体"/>
                <w:color w:val="000000" w:themeColor="text1"/>
                <w:spacing w:val="0"/>
                <w:sz w:val="21"/>
                <w:szCs w:val="21"/>
                <w:lang w:eastAsia="zh-CN"/>
                <w14:textFill>
                  <w14:solidFill>
                    <w14:schemeClr w14:val="tx1"/>
                  </w14:solidFill>
                </w14:textFill>
              </w:rPr>
              <w:t>。</w:t>
            </w:r>
          </w:p>
        </w:tc>
      </w:tr>
      <w:tr w14:paraId="51C1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8B6AAB7">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5</w:t>
            </w:r>
          </w:p>
        </w:tc>
        <w:tc>
          <w:tcPr>
            <w:tcW w:w="1361" w:type="dxa"/>
            <w:vAlign w:val="center"/>
          </w:tcPr>
          <w:p w14:paraId="4D6B6B6A">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补充说明</w:t>
            </w:r>
          </w:p>
        </w:tc>
        <w:tc>
          <w:tcPr>
            <w:tcW w:w="6288" w:type="dxa"/>
            <w:vAlign w:val="center"/>
          </w:tcPr>
          <w:p w14:paraId="372D0B43">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eastAsia="zh-CN"/>
                <w14:textFill>
                  <w14:solidFill>
                    <w14:schemeClr w14:val="tx1"/>
                  </w14:solidFill>
                </w14:textFill>
              </w:rPr>
              <w:t>采购人</w:t>
            </w:r>
            <w:r>
              <w:rPr>
                <w:rFonts w:hint="eastAsia" w:ascii="宋体" w:hAnsi="宋体" w:eastAsia="宋体" w:cs="宋体"/>
                <w:color w:val="000000" w:themeColor="text1"/>
                <w:spacing w:val="0"/>
                <w:sz w:val="21"/>
                <w:szCs w:val="21"/>
                <w14:textFill>
                  <w14:solidFill>
                    <w14:schemeClr w14:val="tx1"/>
                  </w14:solidFill>
                </w14:textFill>
              </w:rPr>
              <w:t>对未</w:t>
            </w:r>
            <w:r>
              <w:rPr>
                <w:rFonts w:hint="eastAsia" w:ascii="宋体" w:hAnsi="宋体" w:eastAsia="宋体" w:cs="宋体"/>
                <w:color w:val="000000" w:themeColor="text1"/>
                <w:spacing w:val="0"/>
                <w:sz w:val="21"/>
                <w:szCs w:val="21"/>
                <w:lang w:eastAsia="zh-CN"/>
                <w14:textFill>
                  <w14:solidFill>
                    <w14:schemeClr w14:val="tx1"/>
                  </w14:solidFill>
                </w14:textFill>
              </w:rPr>
              <w:t>成交的供应商</w:t>
            </w:r>
            <w:r>
              <w:rPr>
                <w:rFonts w:hint="eastAsia" w:ascii="宋体" w:hAnsi="宋体" w:eastAsia="宋体" w:cs="宋体"/>
                <w:color w:val="000000" w:themeColor="text1"/>
                <w:spacing w:val="0"/>
                <w:sz w:val="21"/>
                <w:szCs w:val="21"/>
                <w14:textFill>
                  <w14:solidFill>
                    <w14:schemeClr w14:val="tx1"/>
                  </w14:solidFill>
                </w14:textFill>
              </w:rPr>
              <w:t>不作任何经济补偿。</w:t>
            </w:r>
          </w:p>
        </w:tc>
      </w:tr>
      <w:tr w14:paraId="287D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Merge w:val="restart"/>
            <w:vAlign w:val="center"/>
          </w:tcPr>
          <w:p w14:paraId="5008DFE9">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6</w:t>
            </w:r>
          </w:p>
        </w:tc>
        <w:tc>
          <w:tcPr>
            <w:tcW w:w="1361" w:type="dxa"/>
            <w:vMerge w:val="restart"/>
            <w:vAlign w:val="center"/>
          </w:tcPr>
          <w:p w14:paraId="1FCF51AC">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补充说明</w:t>
            </w:r>
          </w:p>
        </w:tc>
        <w:tc>
          <w:tcPr>
            <w:tcW w:w="6288" w:type="dxa"/>
            <w:vAlign w:val="center"/>
          </w:tcPr>
          <w:p w14:paraId="15896C34">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lang w:val="en-US" w:eastAsia="zh-CN"/>
              </w:rPr>
              <w:t>本项目按照《政府采购促进中小企业发展管理办法》专门面向中小企业采购，整体预留资金，根据财政部发布《政府采购促进中小企业发展政策问答》专门面向中小企业采购的项目或者采购包，不再执行价格评审优惠的扶持政策。</w:t>
            </w:r>
          </w:p>
        </w:tc>
      </w:tr>
      <w:tr w14:paraId="6514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Merge w:val="continue"/>
            <w:vAlign w:val="center"/>
          </w:tcPr>
          <w:p w14:paraId="0573A7B4">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p>
        </w:tc>
        <w:tc>
          <w:tcPr>
            <w:tcW w:w="1361" w:type="dxa"/>
            <w:vMerge w:val="continue"/>
            <w:vAlign w:val="center"/>
          </w:tcPr>
          <w:p w14:paraId="131A6A28">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6288" w:type="dxa"/>
            <w:vAlign w:val="center"/>
          </w:tcPr>
          <w:p w14:paraId="74F85E57">
            <w:pPr>
              <w:keepNext w:val="0"/>
              <w:keepLines/>
              <w:pageBreakBefore w:val="0"/>
              <w:widowControl w:val="0"/>
              <w:kinsoku/>
              <w:wordWrap w:val="0"/>
              <w:overflowPunct/>
              <w:topLinePunct w:val="0"/>
              <w:autoSpaceDE/>
              <w:autoSpaceDN/>
              <w:bidi w:val="0"/>
              <w:spacing w:line="400" w:lineRule="exact"/>
              <w:ind w:left="0" w:leftChars="0" w:firstLine="42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采购标的对应的中小企业划分标准按照工信部联企业【2011】300号所属行业：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2D5DE3">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本项目明确中小企业划分标准所属行业为：建筑业</w:t>
            </w:r>
          </w:p>
        </w:tc>
      </w:tr>
      <w:tr w14:paraId="237B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9276EFC">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7</w:t>
            </w:r>
          </w:p>
        </w:tc>
        <w:tc>
          <w:tcPr>
            <w:tcW w:w="1361" w:type="dxa"/>
            <w:vAlign w:val="center"/>
          </w:tcPr>
          <w:p w14:paraId="66463661">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开标注</w:t>
            </w:r>
          </w:p>
          <w:p w14:paraId="3D850938">
            <w:pPr>
              <w:keepNext w:val="0"/>
              <w:keepLines/>
              <w:pageBreakBefore w:val="0"/>
              <w:widowControl w:val="0"/>
              <w:kinsoku/>
              <w:wordWrap w:val="0"/>
              <w:overflowPunct/>
              <w:topLinePunct w:val="0"/>
              <w:autoSpaceDE/>
              <w:autoSpaceDN/>
              <w:bidi w:val="0"/>
              <w:spacing w:line="40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意事项</w:t>
            </w:r>
          </w:p>
        </w:tc>
        <w:tc>
          <w:tcPr>
            <w:tcW w:w="6288" w:type="dxa"/>
            <w:vAlign w:val="center"/>
          </w:tcPr>
          <w:p w14:paraId="5F2703B8">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1、本次采购公告在《中国政府采购网山西分网》网上发布。  </w:t>
            </w:r>
          </w:p>
          <w:p w14:paraId="1100A5BF">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2、各市场参与主体应通过交易平台关注澄清公告、变更公告、终止公告等有关公告，此类公告不再书面进行通知。各市场参与主体因自身原因未关注到此公告并造成损失的，责任自负。    </w:t>
            </w:r>
          </w:p>
          <w:p w14:paraId="2F3E22F2">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bCs w:val="0"/>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3.其他事项</w:t>
            </w:r>
          </w:p>
          <w:p w14:paraId="54A49569">
            <w:pPr>
              <w:keepNext w:val="0"/>
              <w:keepLines/>
              <w:pageBreakBefore w:val="0"/>
              <w:widowControl w:val="0"/>
              <w:kinsoku/>
              <w:wordWrap w:val="0"/>
              <w:overflowPunct/>
              <w:topLinePunct w:val="0"/>
              <w:autoSpaceDE/>
              <w:autoSpaceDN/>
              <w:bidi w:val="0"/>
              <w:spacing w:line="400" w:lineRule="exact"/>
              <w:ind w:firstLine="422" w:firstLineChars="200"/>
              <w:textAlignment w:val="auto"/>
              <w:rPr>
                <w:rFonts w:hint="eastAsia" w:ascii="宋体" w:hAnsi="宋体" w:eastAsia="宋体" w:cs="宋体"/>
                <w:b/>
                <w:bCs w:val="0"/>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bCs w:val="0"/>
                <w:color w:val="000000" w:themeColor="text1"/>
                <w:spacing w:val="0"/>
                <w:kern w:val="2"/>
                <w:sz w:val="21"/>
                <w:szCs w:val="21"/>
                <w:lang w:val="en-US" w:eastAsia="zh-CN" w:bidi="ar-SA"/>
                <w14:textFill>
                  <w14:solidFill>
                    <w14:schemeClr w14:val="tx1"/>
                  </w14:solidFill>
                </w14:textFill>
              </w:rPr>
              <w:t>3.1在线投标响应(电子投标)说明:</w:t>
            </w:r>
          </w:p>
          <w:p w14:paraId="1AE643AD">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1)本项目采用电子化交易:电子化交易流程操作指南:“山西省政府采购网&gt;办事指南&gt;下载专区”获取；</w:t>
            </w:r>
          </w:p>
          <w:p w14:paraId="6B39EE39">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2) 磋商供应商应在提交投标文件前完成CA数字证书办理。(办理事项详见“山西省政府采购网&gt;办事指南&gt;下载专区”)；</w:t>
            </w:r>
          </w:p>
          <w:p w14:paraId="4786A2D2">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3)磋商供应商应安装“山西政府采购平台电子投标客户端”，请供应商自行前往“山西省政府采购网&gt;办事指南&gt;下载专区”获取并安装；</w:t>
            </w:r>
          </w:p>
          <w:p w14:paraId="5BCF89E6">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4)如有疑问，可致电技术支持热线:95763。</w:t>
            </w:r>
          </w:p>
          <w:p w14:paraId="3ADB56B6">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3.2开标时间起30分钟内磋商供应商可登陆“山西政府采购平台”，在“项目采购〉开评标”模块对投标文件进行在线解密。若在规定时间内投标文件无法解密或解密失败，则投标无效。</w:t>
            </w:r>
          </w:p>
          <w:p w14:paraId="397E5FB5">
            <w:pPr>
              <w:keepNext w:val="0"/>
              <w:keepLines/>
              <w:pageBreakBefore w:val="0"/>
              <w:widowControl w:val="0"/>
              <w:kinsoku/>
              <w:wordWrap w:val="0"/>
              <w:overflowPunct/>
              <w:topLinePunct w:val="0"/>
              <w:autoSpaceDE/>
              <w:autoSpaceDN/>
              <w:bidi w:val="0"/>
              <w:spacing w:line="400" w:lineRule="exact"/>
              <w:ind w:firstLine="420" w:firstLineChars="200"/>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1"/>
                <w:szCs w:val="21"/>
                <w:lang w:val="en-US" w:eastAsia="zh-CN" w:bidi="ar-SA"/>
                <w14:textFill>
                  <w14:solidFill>
                    <w14:schemeClr w14:val="tx1"/>
                  </w14:solidFill>
                </w14:textFill>
              </w:rPr>
              <w:t>3.3中标人应在合同签订前完成山西省政府采购网全部注册步骤并成为正式供应商。</w:t>
            </w:r>
          </w:p>
        </w:tc>
      </w:tr>
    </w:tbl>
    <w:p w14:paraId="4D2AA313">
      <w:pPr>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sz w:val="36"/>
          <w:szCs w:val="52"/>
          <w14:textFill>
            <w14:solidFill>
              <w14:schemeClr w14:val="tx1"/>
            </w14:solidFill>
          </w14:textFill>
        </w:rPr>
      </w:pPr>
      <w:bookmarkStart w:id="2" w:name="_Toc25272"/>
      <w:r>
        <w:rPr>
          <w:rFonts w:hint="eastAsia" w:ascii="宋体" w:hAnsi="宋体" w:eastAsia="宋体" w:cs="宋体"/>
          <w:color w:val="000000" w:themeColor="text1"/>
          <w:spacing w:val="0"/>
          <w:sz w:val="36"/>
          <w:szCs w:val="52"/>
          <w14:textFill>
            <w14:solidFill>
              <w14:schemeClr w14:val="tx1"/>
            </w14:solidFill>
          </w14:textFill>
        </w:rPr>
        <w:br w:type="page"/>
      </w:r>
    </w:p>
    <w:bookmarkEnd w:id="2"/>
    <w:p w14:paraId="2AA7E0BD">
      <w:pPr>
        <w:pStyle w:val="2"/>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pacing w:val="0"/>
          <w:sz w:val="36"/>
          <w:szCs w:val="52"/>
          <w14:textFill>
            <w14:solidFill>
              <w14:schemeClr w14:val="tx1"/>
            </w14:solidFill>
          </w14:textFill>
        </w:rPr>
      </w:pPr>
      <w:r>
        <w:rPr>
          <w:rFonts w:hint="eastAsia" w:ascii="宋体" w:hAnsi="宋体" w:eastAsia="宋体" w:cs="宋体"/>
          <w:color w:val="000000" w:themeColor="text1"/>
          <w:spacing w:val="0"/>
          <w:sz w:val="36"/>
          <w:szCs w:val="52"/>
          <w14:textFill>
            <w14:solidFill>
              <w14:schemeClr w14:val="tx1"/>
            </w14:solidFill>
          </w14:textFill>
        </w:rPr>
        <w:t>第三部分  磋商供应商须知</w:t>
      </w:r>
    </w:p>
    <w:p w14:paraId="22A9766E">
      <w:pPr>
        <w:pStyle w:val="3"/>
        <w:keepLines/>
        <w:pageBreakBefore w:val="0"/>
        <w:kinsoku/>
        <w:wordWrap w:val="0"/>
        <w:overflowPunct/>
        <w:topLinePunct w:val="0"/>
        <w:autoSpaceDE/>
        <w:autoSpaceDN/>
        <w:bidi w:val="0"/>
        <w:spacing w:line="360" w:lineRule="auto"/>
        <w:ind w:left="420"/>
        <w:jc w:val="center"/>
        <w:textAlignment w:val="auto"/>
        <w:rPr>
          <w:rFonts w:hint="eastAsia" w:ascii="宋体" w:hAnsi="宋体" w:eastAsia="宋体" w:cs="宋体"/>
          <w:color w:val="000000" w:themeColor="text1"/>
          <w:spacing w:val="0"/>
          <w:sz w:val="24"/>
          <w:szCs w:val="24"/>
          <w14:textFill>
            <w14:solidFill>
              <w14:schemeClr w14:val="tx1"/>
            </w14:solidFill>
          </w14:textFill>
        </w:rPr>
      </w:pPr>
      <w:bookmarkStart w:id="3" w:name="_Toc23577"/>
      <w:bookmarkEnd w:id="3"/>
      <w:r>
        <w:rPr>
          <w:rFonts w:hint="eastAsia" w:ascii="宋体" w:hAnsi="宋体" w:eastAsia="宋体" w:cs="宋体"/>
          <w:color w:val="000000" w:themeColor="text1"/>
          <w:spacing w:val="0"/>
          <w:sz w:val="24"/>
          <w:szCs w:val="24"/>
          <w14:textFill>
            <w14:solidFill>
              <w14:schemeClr w14:val="tx1"/>
            </w14:solidFill>
          </w14:textFill>
        </w:rPr>
        <w:t>一、总则</w:t>
      </w:r>
    </w:p>
    <w:p w14:paraId="3C503301">
      <w:pPr>
        <w:pStyle w:val="4"/>
        <w:keepLines/>
        <w:pageBreakBefore w:val="0"/>
        <w:kinsoku/>
        <w:wordWrap w:val="0"/>
        <w:overflowPunct/>
        <w:topLinePunct w:val="0"/>
        <w:autoSpaceDE/>
        <w:autoSpaceDN/>
        <w:bidi w:val="0"/>
        <w:spacing w:line="360" w:lineRule="auto"/>
        <w:ind w:left="0" w:leftChars="0" w:firstLine="0" w:firstLineChars="0"/>
        <w:textAlignment w:val="auto"/>
        <w:rPr>
          <w:rFonts w:hint="eastAsia" w:ascii="宋体" w:hAnsi="宋体" w:eastAsia="宋体" w:cs="宋体"/>
          <w:color w:val="000000" w:themeColor="text1"/>
          <w:spacing w:val="0"/>
          <w:sz w:val="24"/>
          <w:szCs w:val="24"/>
          <w14:textFill>
            <w14:solidFill>
              <w14:schemeClr w14:val="tx1"/>
            </w14:solidFill>
          </w14:textFill>
        </w:rPr>
      </w:pPr>
      <w:bookmarkStart w:id="4" w:name="_Toc500774034"/>
      <w:bookmarkEnd w:id="4"/>
      <w:bookmarkStart w:id="5" w:name="_Toc34779059"/>
      <w:bookmarkStart w:id="6" w:name="_Toc339287029"/>
      <w:r>
        <w:rPr>
          <w:rFonts w:hint="eastAsia" w:ascii="宋体" w:hAnsi="宋体" w:eastAsia="宋体" w:cs="宋体"/>
          <w:color w:val="000000" w:themeColor="text1"/>
          <w:spacing w:val="0"/>
          <w:sz w:val="24"/>
          <w:szCs w:val="24"/>
          <w14:textFill>
            <w14:solidFill>
              <w14:schemeClr w14:val="tx1"/>
            </w14:solidFill>
          </w14:textFill>
        </w:rPr>
        <w:t>1. 适用范围</w:t>
      </w:r>
    </w:p>
    <w:p w14:paraId="39EE80A9">
      <w:pPr>
        <w:keepLines/>
        <w:pageBreakBefore w:val="0"/>
        <w:kinsoku/>
        <w:wordWrap w:val="0"/>
        <w:overflowPunct/>
        <w:topLinePunct w:val="0"/>
        <w:autoSpaceDE/>
        <w:autoSpaceDN/>
        <w:bidi w:val="0"/>
        <w:spacing w:line="360" w:lineRule="auto"/>
        <w:ind w:firstLine="420" w:firstLineChars="175"/>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适用于本次</w:t>
      </w:r>
      <w:r>
        <w:rPr>
          <w:rFonts w:hint="eastAsia" w:ascii="宋体" w:hAnsi="宋体" w:eastAsia="宋体" w:cs="宋体"/>
          <w:color w:val="000000" w:themeColor="text1"/>
          <w:spacing w:val="0"/>
          <w:sz w:val="24"/>
          <w:szCs w:val="24"/>
          <w:lang w:eastAsia="zh-CN"/>
          <w14:textFill>
            <w14:solidFill>
              <w14:schemeClr w14:val="tx1"/>
            </w14:solidFill>
          </w14:textFill>
        </w:rPr>
        <w:t>磋商</w:t>
      </w:r>
      <w:r>
        <w:rPr>
          <w:rFonts w:hint="eastAsia" w:ascii="宋体" w:hAnsi="宋体" w:eastAsia="宋体" w:cs="宋体"/>
          <w:color w:val="000000" w:themeColor="text1"/>
          <w:spacing w:val="0"/>
          <w:sz w:val="24"/>
          <w:szCs w:val="24"/>
          <w14:textFill>
            <w14:solidFill>
              <w14:schemeClr w14:val="tx1"/>
            </w14:solidFill>
          </w14:textFill>
        </w:rPr>
        <w:t>活动的全过程。</w:t>
      </w:r>
    </w:p>
    <w:p w14:paraId="3F40D925">
      <w:pPr>
        <w:pStyle w:val="4"/>
        <w:keepLines/>
        <w:pageBreakBefore w:val="0"/>
        <w:numPr>
          <w:ilvl w:val="0"/>
          <w:numId w:val="0"/>
        </w:numPr>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bookmarkStart w:id="7" w:name="_Toc500774035"/>
      <w:bookmarkEnd w:id="7"/>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定义</w:t>
      </w:r>
    </w:p>
    <w:p w14:paraId="62AE839A">
      <w:pPr>
        <w:keepLines/>
        <w:pageBreakBefore w:val="0"/>
        <w:kinsoku/>
        <w:wordWrap w:val="0"/>
        <w:overflowPunct/>
        <w:topLinePunct w:val="0"/>
        <w:autoSpaceDE/>
        <w:autoSpaceDN/>
        <w:bidi w:val="0"/>
        <w:spacing w:line="360" w:lineRule="auto"/>
        <w:ind w:firstLine="420" w:firstLineChars="175"/>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政府采购法所称的“采购”，是指以合同方式有偿取得货物、项目和服务的行为，包括购买、租赁、委托、雇用等。</w:t>
      </w:r>
    </w:p>
    <w:p w14:paraId="52351D29">
      <w:pPr>
        <w:pStyle w:val="22"/>
        <w:keepLines/>
        <w:pageBreakBefore w:val="0"/>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2.1 “采购人”是指依法进行政府采购的国家机关、事业单位、团体组织。</w:t>
      </w:r>
    </w:p>
    <w:p w14:paraId="7741CDBD">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2.2 “采购代理机构”是指接受</w:t>
      </w:r>
      <w:r>
        <w:rPr>
          <w:rFonts w:hint="eastAsia" w:ascii="宋体" w:hAnsi="宋体" w:eastAsia="宋体" w:cs="宋体"/>
          <w:color w:val="000000" w:themeColor="text1"/>
          <w:spacing w:val="0"/>
          <w:sz w:val="24"/>
          <w:szCs w:val="24"/>
          <w:lang w:eastAsia="zh-CN"/>
          <w14:textFill>
            <w14:solidFill>
              <w14:schemeClr w14:val="tx1"/>
            </w14:solidFill>
          </w14:textFill>
        </w:rPr>
        <w:t>采购人</w:t>
      </w:r>
      <w:r>
        <w:rPr>
          <w:rFonts w:hint="eastAsia" w:ascii="宋体" w:hAnsi="宋体" w:eastAsia="宋体" w:cs="宋体"/>
          <w:color w:val="000000" w:themeColor="text1"/>
          <w:spacing w:val="0"/>
          <w:sz w:val="24"/>
          <w:szCs w:val="24"/>
          <w14:textFill>
            <w14:solidFill>
              <w14:schemeClr w14:val="tx1"/>
            </w14:solidFill>
          </w14:textFill>
        </w:rPr>
        <w:t>委托，代理采购项目的集中采购机构和其他</w:t>
      </w:r>
      <w:r>
        <w:rPr>
          <w:rFonts w:hint="eastAsia" w:ascii="宋体" w:hAnsi="宋体" w:eastAsia="宋体" w:cs="宋体"/>
          <w:color w:val="000000" w:themeColor="text1"/>
          <w:spacing w:val="0"/>
          <w:sz w:val="24"/>
          <w:szCs w:val="24"/>
          <w:lang w:eastAsia="zh-CN"/>
          <w14:textFill>
            <w14:solidFill>
              <w14:schemeClr w14:val="tx1"/>
            </w14:solidFill>
          </w14:textFill>
        </w:rPr>
        <w:t>采购代理机构</w:t>
      </w:r>
      <w:r>
        <w:rPr>
          <w:rFonts w:hint="eastAsia" w:ascii="宋体" w:hAnsi="宋体" w:eastAsia="宋体" w:cs="宋体"/>
          <w:color w:val="000000" w:themeColor="text1"/>
          <w:spacing w:val="0"/>
          <w:sz w:val="24"/>
          <w:szCs w:val="24"/>
          <w14:textFill>
            <w14:solidFill>
              <w14:schemeClr w14:val="tx1"/>
            </w14:solidFill>
          </w14:textFill>
        </w:rPr>
        <w:t>。</w:t>
      </w:r>
    </w:p>
    <w:p w14:paraId="4DA803D4">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2.3 “磋商供应商”是指响应</w:t>
      </w:r>
      <w:r>
        <w:rPr>
          <w:rFonts w:hint="eastAsia" w:ascii="宋体" w:hAnsi="宋体" w:eastAsia="宋体" w:cs="宋体"/>
          <w:color w:val="000000" w:themeColor="text1"/>
          <w:spacing w:val="0"/>
          <w:sz w:val="24"/>
          <w:szCs w:val="24"/>
          <w:lang w:eastAsia="zh-CN"/>
          <w14:textFill>
            <w14:solidFill>
              <w14:schemeClr w14:val="tx1"/>
            </w14:solidFill>
          </w14:textFill>
        </w:rPr>
        <w:t>磋商</w:t>
      </w:r>
      <w:r>
        <w:rPr>
          <w:rFonts w:hint="eastAsia" w:ascii="宋体" w:hAnsi="宋体" w:eastAsia="宋体" w:cs="宋体"/>
          <w:color w:val="000000" w:themeColor="text1"/>
          <w:spacing w:val="0"/>
          <w:sz w:val="24"/>
          <w:szCs w:val="24"/>
          <w14:textFill>
            <w14:solidFill>
              <w14:schemeClr w14:val="tx1"/>
            </w14:solidFill>
          </w14:textFill>
        </w:rPr>
        <w:t>文件要求、参加竞争性</w:t>
      </w:r>
      <w:r>
        <w:rPr>
          <w:rFonts w:hint="eastAsia" w:ascii="宋体" w:hAnsi="宋体" w:eastAsia="宋体" w:cs="宋体"/>
          <w:color w:val="000000" w:themeColor="text1"/>
          <w:spacing w:val="0"/>
          <w:sz w:val="24"/>
          <w:szCs w:val="24"/>
          <w:lang w:eastAsia="zh-CN"/>
          <w14:textFill>
            <w14:solidFill>
              <w14:schemeClr w14:val="tx1"/>
            </w14:solidFill>
          </w14:textFill>
        </w:rPr>
        <w:t>磋商</w:t>
      </w:r>
      <w:r>
        <w:rPr>
          <w:rFonts w:hint="eastAsia" w:ascii="宋体" w:hAnsi="宋体" w:eastAsia="宋体" w:cs="宋体"/>
          <w:color w:val="000000" w:themeColor="text1"/>
          <w:spacing w:val="0"/>
          <w:sz w:val="24"/>
          <w:szCs w:val="24"/>
          <w14:textFill>
            <w14:solidFill>
              <w14:schemeClr w14:val="tx1"/>
            </w14:solidFill>
          </w14:textFill>
        </w:rPr>
        <w:t>采购的法人、其他组织或者自然人。本次政府采购项目系指向</w:t>
      </w:r>
      <w:r>
        <w:rPr>
          <w:rFonts w:hint="eastAsia" w:ascii="宋体" w:hAnsi="宋体" w:eastAsia="宋体" w:cs="宋体"/>
          <w:color w:val="000000" w:themeColor="text1"/>
          <w:spacing w:val="0"/>
          <w:sz w:val="24"/>
          <w:szCs w:val="24"/>
          <w:lang w:eastAsia="zh-CN"/>
          <w14:textFill>
            <w14:solidFill>
              <w14:schemeClr w14:val="tx1"/>
            </w14:solidFill>
          </w14:textFill>
        </w:rPr>
        <w:t>采购代理机构</w:t>
      </w:r>
      <w:r>
        <w:rPr>
          <w:rFonts w:hint="eastAsia" w:ascii="宋体" w:hAnsi="宋体" w:eastAsia="宋体" w:cs="宋体"/>
          <w:color w:val="000000" w:themeColor="text1"/>
          <w:spacing w:val="0"/>
          <w:sz w:val="24"/>
          <w:szCs w:val="24"/>
          <w14:textFill>
            <w14:solidFill>
              <w14:schemeClr w14:val="tx1"/>
            </w14:solidFill>
          </w14:textFill>
        </w:rPr>
        <w:t>提交了《响应文件》和保证金的各</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w:t>
      </w:r>
    </w:p>
    <w:p w14:paraId="2AC2D046">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2.4“</w:t>
      </w:r>
      <w:r>
        <w:rPr>
          <w:rFonts w:hint="eastAsia" w:ascii="宋体" w:hAnsi="宋体" w:eastAsia="宋体" w:cs="宋体"/>
          <w:color w:val="000000" w:themeColor="text1"/>
          <w:spacing w:val="0"/>
          <w:sz w:val="24"/>
          <w:szCs w:val="24"/>
          <w:lang w:eastAsia="zh-CN"/>
          <w14:textFill>
            <w14:solidFill>
              <w14:schemeClr w14:val="tx1"/>
            </w14:solidFill>
          </w14:textFill>
        </w:rPr>
        <w:t>磋商</w:t>
      </w:r>
      <w:r>
        <w:rPr>
          <w:rFonts w:hint="eastAsia" w:ascii="宋体" w:hAnsi="宋体" w:eastAsia="宋体" w:cs="宋体"/>
          <w:color w:val="000000" w:themeColor="text1"/>
          <w:spacing w:val="0"/>
          <w:sz w:val="24"/>
          <w:szCs w:val="24"/>
          <w14:textFill>
            <w14:solidFill>
              <w14:schemeClr w14:val="tx1"/>
            </w14:solidFill>
          </w14:textFill>
        </w:rPr>
        <w:t>小组”是指依据《中华人民共和国政府采购法》和财政部《政府采购非招标采购方式管理办法》有关规定组建，依法依规履行其职责和义务的机构。</w:t>
      </w:r>
    </w:p>
    <w:p w14:paraId="532DBF35">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2.5“货物”是指各种形态和种类的物品，包括原材料、燃料、设备、产品等，详见《</w:t>
      </w:r>
      <w:r>
        <w:rPr>
          <w:rFonts w:hint="eastAsia" w:ascii="宋体" w:hAnsi="宋体" w:eastAsia="宋体" w:cs="宋体"/>
          <w:color w:val="000000" w:themeColor="text1"/>
          <w:spacing w:val="0"/>
          <w:sz w:val="24"/>
          <w:szCs w:val="24"/>
          <w:lang w:eastAsia="zh-CN"/>
          <w14:textFill>
            <w14:solidFill>
              <w14:schemeClr w14:val="tx1"/>
            </w14:solidFill>
          </w14:textFill>
        </w:rPr>
        <w:t>山西省年度集中采购目录及采购限额标准</w:t>
      </w:r>
      <w:r>
        <w:rPr>
          <w:rFonts w:hint="eastAsia" w:ascii="宋体" w:hAnsi="宋体" w:eastAsia="宋体" w:cs="宋体"/>
          <w:color w:val="000000" w:themeColor="text1"/>
          <w:spacing w:val="0"/>
          <w:sz w:val="24"/>
          <w:szCs w:val="24"/>
          <w14:textFill>
            <w14:solidFill>
              <w14:schemeClr w14:val="tx1"/>
            </w14:solidFill>
          </w14:textFill>
        </w:rPr>
        <w:t>》。</w:t>
      </w:r>
    </w:p>
    <w:p w14:paraId="36A1FB15">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2.6 “工程”是指建设工程，包括建筑物和构筑物的新建、改建、扩建、装修、拆除、修缮等，详见《</w:t>
      </w:r>
      <w:r>
        <w:rPr>
          <w:rFonts w:hint="eastAsia" w:ascii="宋体" w:hAnsi="宋体" w:eastAsia="宋体" w:cs="宋体"/>
          <w:color w:val="000000" w:themeColor="text1"/>
          <w:spacing w:val="0"/>
          <w:sz w:val="24"/>
          <w:szCs w:val="24"/>
          <w:lang w:eastAsia="zh-CN"/>
          <w14:textFill>
            <w14:solidFill>
              <w14:schemeClr w14:val="tx1"/>
            </w14:solidFill>
          </w14:textFill>
        </w:rPr>
        <w:t>山西省年度集中采购目录及采购限额标准</w:t>
      </w:r>
      <w:r>
        <w:rPr>
          <w:rFonts w:hint="eastAsia" w:ascii="宋体" w:hAnsi="宋体" w:eastAsia="宋体" w:cs="宋体"/>
          <w:color w:val="000000" w:themeColor="text1"/>
          <w:spacing w:val="0"/>
          <w:sz w:val="24"/>
          <w:szCs w:val="24"/>
          <w14:textFill>
            <w14:solidFill>
              <w14:schemeClr w14:val="tx1"/>
            </w14:solidFill>
          </w14:textFill>
        </w:rPr>
        <w:t>》。</w:t>
      </w:r>
    </w:p>
    <w:p w14:paraId="20E66F6B">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2.7 “服务”是指除货物和工程以外的其他政府采购对象，详见《</w:t>
      </w:r>
      <w:r>
        <w:rPr>
          <w:rFonts w:hint="eastAsia" w:ascii="宋体" w:hAnsi="宋体" w:eastAsia="宋体" w:cs="宋体"/>
          <w:color w:val="000000" w:themeColor="text1"/>
          <w:spacing w:val="0"/>
          <w:sz w:val="24"/>
          <w:szCs w:val="24"/>
          <w:lang w:eastAsia="zh-CN"/>
          <w14:textFill>
            <w14:solidFill>
              <w14:schemeClr w14:val="tx1"/>
            </w14:solidFill>
          </w14:textFill>
        </w:rPr>
        <w:t>山西省年度集中采购目录及采购限额标准</w:t>
      </w:r>
      <w:r>
        <w:rPr>
          <w:rFonts w:hint="eastAsia" w:ascii="宋体" w:hAnsi="宋体" w:eastAsia="宋体" w:cs="宋体"/>
          <w:color w:val="000000" w:themeColor="text1"/>
          <w:spacing w:val="0"/>
          <w:sz w:val="24"/>
          <w:szCs w:val="24"/>
          <w14:textFill>
            <w14:solidFill>
              <w14:schemeClr w14:val="tx1"/>
            </w14:solidFill>
          </w14:textFill>
        </w:rPr>
        <w:t>》。</w:t>
      </w:r>
    </w:p>
    <w:p w14:paraId="67B19E46">
      <w:pPr>
        <w:pStyle w:val="22"/>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2.8 “节能产品”或者“环保产品”是指财政部发布的《节能产品政府采购清单》或者《环境标志产品政府采购清单》的产品。</w:t>
      </w:r>
    </w:p>
    <w:bookmarkEnd w:id="5"/>
    <w:bookmarkEnd w:id="6"/>
    <w:p w14:paraId="4AC06064">
      <w:pPr>
        <w:pStyle w:val="22"/>
        <w:keepLines/>
        <w:pageBreakBefore w:val="0"/>
        <w:kinsoku/>
        <w:wordWrap w:val="0"/>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2.9 “进口产品”是指通过中国海关报关验放进入中国境内且产自关境外的产品，详见《关于政府采购进口产品管理有关问题的通知》。</w:t>
      </w:r>
    </w:p>
    <w:p w14:paraId="31D88FE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2.10</w:t>
      </w:r>
      <w:r>
        <w:rPr>
          <w:rFonts w:hint="eastAsia" w:ascii="宋体" w:hAnsi="宋体" w:eastAsia="宋体" w:cs="宋体"/>
          <w:color w:val="000000" w:themeColor="text1"/>
          <w:spacing w:val="0"/>
          <w:sz w:val="24"/>
          <w:szCs w:val="24"/>
          <w14:textFill>
            <w14:solidFill>
              <w14:schemeClr w14:val="tx1"/>
            </w14:solidFill>
          </w14:textFill>
        </w:rPr>
        <w:t>“电子签章”指可通过电子签章软件正确读取数字证书签章信息的电子签章，电子签章包含单位电子签章和法定代表人电子签章。</w:t>
      </w:r>
    </w:p>
    <w:p w14:paraId="282D3E2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2.11</w:t>
      </w:r>
      <w:r>
        <w:rPr>
          <w:rFonts w:hint="eastAsia" w:ascii="宋体" w:hAnsi="宋体" w:eastAsia="宋体" w:cs="宋体"/>
          <w:color w:val="000000" w:themeColor="text1"/>
          <w:spacing w:val="0"/>
          <w:sz w:val="24"/>
          <w:szCs w:val="24"/>
          <w14:textFill>
            <w14:solidFill>
              <w14:schemeClr w14:val="tx1"/>
            </w14:solidFill>
          </w14:textFill>
        </w:rPr>
        <w:t>本磋商文件各部分规定的期间以时、日、月、年计算。期间开始的时和日，不计算在期间内。</w:t>
      </w:r>
    </w:p>
    <w:p w14:paraId="2FBA48E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2.12</w:t>
      </w:r>
      <w:r>
        <w:rPr>
          <w:rFonts w:hint="eastAsia" w:ascii="宋体" w:hAnsi="宋体" w:eastAsia="宋体" w:cs="宋体"/>
          <w:color w:val="000000" w:themeColor="text1"/>
          <w:spacing w:val="0"/>
          <w:sz w:val="24"/>
          <w:szCs w:val="24"/>
          <w14:textFill>
            <w14:solidFill>
              <w14:schemeClr w14:val="tx1"/>
            </w14:solidFill>
          </w14:textFill>
        </w:rPr>
        <w:t>本须知中单独对货物所描述的要求，只针对涉及采购货物。</w:t>
      </w:r>
    </w:p>
    <w:p w14:paraId="7FB18014">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3. 合格的磋商供应商</w:t>
      </w:r>
    </w:p>
    <w:p w14:paraId="76CE299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3.1 具有本项目生产、制造、供应及/或实施能力，符合、承认并承诺履行本磋商文件各项规定的国内供应商。</w:t>
      </w:r>
    </w:p>
    <w:p w14:paraId="2876F5D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3.2 磋商供应商必须是已在中国境内依法登记注册，并持有符合法律法规规定的有效证件的供应商。</w:t>
      </w:r>
    </w:p>
    <w:p w14:paraId="2A1EFA2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第五部分资格审查内容及标准</w:t>
      </w:r>
      <w:r>
        <w:rPr>
          <w:rFonts w:hint="eastAsia" w:ascii="宋体" w:hAnsi="宋体" w:eastAsia="宋体" w:cs="宋体"/>
          <w:color w:val="000000" w:themeColor="text1"/>
          <w:spacing w:val="0"/>
          <w:sz w:val="24"/>
          <w:szCs w:val="24"/>
          <w:lang w:eastAsia="zh-CN"/>
          <w14:textFill>
            <w14:solidFill>
              <w14:schemeClr w14:val="tx1"/>
            </w14:solidFill>
          </w14:textFill>
        </w:rPr>
        <w:t>进行约定</w:t>
      </w:r>
      <w:r>
        <w:rPr>
          <w:rFonts w:hint="eastAsia" w:ascii="宋体" w:hAnsi="宋体" w:eastAsia="宋体" w:cs="宋体"/>
          <w:color w:val="000000" w:themeColor="text1"/>
          <w:spacing w:val="0"/>
          <w:sz w:val="24"/>
          <w:szCs w:val="24"/>
          <w14:textFill>
            <w14:solidFill>
              <w14:schemeClr w14:val="tx1"/>
            </w14:solidFill>
          </w14:textFill>
        </w:rPr>
        <w:t>。</w:t>
      </w:r>
    </w:p>
    <w:p w14:paraId="123985C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3.4 </w:t>
      </w:r>
      <w:r>
        <w:rPr>
          <w:rFonts w:hint="eastAsia" w:ascii="宋体" w:hAnsi="宋体" w:eastAsia="宋体" w:cs="宋体"/>
          <w:color w:val="000000" w:themeColor="text1"/>
          <w:spacing w:val="0"/>
          <w:sz w:val="24"/>
          <w:szCs w:val="24"/>
          <w:lang w:eastAsia="zh-CN"/>
          <w14:textFill>
            <w14:solidFill>
              <w14:schemeClr w14:val="tx1"/>
            </w14:solidFill>
          </w14:textFill>
        </w:rPr>
        <w:t>合格供应商的特定条件，根据采购项目的不同，设定不同的特定资格条件，</w:t>
      </w:r>
      <w:r>
        <w:rPr>
          <w:rFonts w:hint="eastAsia" w:ascii="宋体" w:hAnsi="宋体" w:eastAsia="宋体" w:cs="宋体"/>
          <w:color w:val="000000" w:themeColor="text1"/>
          <w:spacing w:val="0"/>
          <w:sz w:val="24"/>
          <w:szCs w:val="24"/>
          <w14:textFill>
            <w14:solidFill>
              <w14:schemeClr w14:val="tx1"/>
            </w14:solidFill>
          </w14:textFill>
        </w:rPr>
        <w:t>详见磋商供应商须知前附表的规定。</w:t>
      </w:r>
    </w:p>
    <w:p w14:paraId="6A94054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3.5</w:t>
      </w:r>
      <w:r>
        <w:rPr>
          <w:rFonts w:hint="eastAsia" w:ascii="宋体" w:hAnsi="宋体" w:eastAsia="宋体" w:cs="宋体"/>
          <w:color w:val="000000" w:themeColor="text1"/>
          <w:spacing w:val="0"/>
          <w:sz w:val="24"/>
          <w:szCs w:val="24"/>
          <w14:textFill>
            <w14:solidFill>
              <w14:schemeClr w14:val="tx1"/>
            </w14:solidFill>
          </w14:textFill>
        </w:rPr>
        <w:t>本次磋商是否允许代理商参加，详见磋商供应商须知前附表的规定。</w:t>
      </w:r>
    </w:p>
    <w:p w14:paraId="7FFF577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6</w:t>
      </w:r>
      <w:r>
        <w:rPr>
          <w:rFonts w:hint="eastAsia" w:ascii="宋体" w:hAnsi="宋体" w:eastAsia="宋体" w:cs="宋体"/>
          <w:color w:val="000000" w:themeColor="text1"/>
          <w:spacing w:val="0"/>
          <w:sz w:val="24"/>
          <w:szCs w:val="24"/>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52A460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 xml:space="preserve"> 本次磋商是否允许由两个以上供应商组成一个联合体以一个磋商供应商身份共同参加磋商，详见磋商供应商须知前附表的规定。</w:t>
      </w:r>
    </w:p>
    <w:p w14:paraId="7751924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.1 联合体各方均应当符合《政府采购法》第二十二条规定的条件，联合体各方均应按照本部分3.3条的要求提供相关材料。</w:t>
      </w:r>
    </w:p>
    <w:p w14:paraId="71E75BB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0E6F3E5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 xml:space="preserve">.3 </w:t>
      </w:r>
      <w:r>
        <w:rPr>
          <w:rFonts w:hint="eastAsia" w:ascii="宋体" w:hAnsi="宋体" w:eastAsia="宋体" w:cs="宋体"/>
          <w:color w:val="000000" w:themeColor="text1"/>
          <w:spacing w:val="0"/>
          <w:sz w:val="24"/>
          <w:szCs w:val="24"/>
          <w:lang w:eastAsia="zh-CN"/>
          <w14:textFill>
            <w14:solidFill>
              <w14:schemeClr w14:val="tx1"/>
            </w14:solidFill>
          </w14:textFill>
        </w:rPr>
        <w:t>如果允许联合体磋商，那么</w:t>
      </w:r>
      <w:r>
        <w:rPr>
          <w:rFonts w:hint="eastAsia" w:ascii="宋体" w:hAnsi="宋体" w:eastAsia="宋体" w:cs="宋体"/>
          <w:color w:val="000000" w:themeColor="text1"/>
          <w:spacing w:val="0"/>
          <w:sz w:val="24"/>
          <w:szCs w:val="24"/>
          <w14:textFill>
            <w14:solidFill>
              <w14:schemeClr w14:val="tx1"/>
            </w14:solidFill>
          </w14:textFill>
        </w:rPr>
        <w:t>联合体各方之间应当签订联合磋商协议，明确约定联合体各方承担的工作和相应的责任，并将联合磋商协议连同响应文件一并提交，联合响应协议格式见磋商</w:t>
      </w:r>
      <w:r>
        <w:rPr>
          <w:rFonts w:hint="eastAsia" w:ascii="宋体" w:hAnsi="宋体" w:eastAsia="宋体" w:cs="宋体"/>
          <w:color w:val="000000" w:themeColor="text1"/>
          <w:spacing w:val="0"/>
          <w:sz w:val="24"/>
          <w:szCs w:val="24"/>
          <w:lang w:eastAsia="zh-CN"/>
          <w14:textFill>
            <w14:solidFill>
              <w14:schemeClr w14:val="tx1"/>
            </w14:solidFill>
          </w14:textFill>
        </w:rPr>
        <w:t>公告附件</w:t>
      </w:r>
      <w:r>
        <w:rPr>
          <w:rFonts w:hint="eastAsia" w:ascii="宋体" w:hAnsi="宋体" w:eastAsia="宋体" w:cs="宋体"/>
          <w:color w:val="000000" w:themeColor="text1"/>
          <w:spacing w:val="0"/>
          <w:sz w:val="24"/>
          <w:szCs w:val="24"/>
          <w14:textFill>
            <w14:solidFill>
              <w14:schemeClr w14:val="tx1"/>
            </w14:solidFill>
          </w14:textFill>
        </w:rPr>
        <w:t>。</w:t>
      </w:r>
    </w:p>
    <w:p w14:paraId="6D32149F">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4. 竞争性磋商费用</w:t>
      </w:r>
    </w:p>
    <w:p w14:paraId="3D85A1C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磋商供应商应当承担参与本次磋商活动发生的相关费用，采购代理机构和采购人在任何情况下均无义务和责任承担这些费用。</w:t>
      </w:r>
    </w:p>
    <w:p w14:paraId="20E7D1E1">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5. 通知的告知及获取</w:t>
      </w:r>
    </w:p>
    <w:p w14:paraId="40497B3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5.1通知的告知</w:t>
      </w:r>
    </w:p>
    <w:p w14:paraId="5A04673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i w:val="0"/>
          <w:iCs w:val="0"/>
          <w:color w:val="000000" w:themeColor="text1"/>
          <w:spacing w:val="0"/>
          <w:sz w:val="24"/>
          <w:szCs w:val="24"/>
          <w:u w:val="none"/>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对与本项目有关的通知，采购代理机构将通过</w:t>
      </w:r>
      <w:r>
        <w:rPr>
          <w:rFonts w:hint="eastAsia" w:ascii="宋体" w:hAnsi="宋体" w:eastAsia="宋体" w:cs="宋体"/>
          <w:color w:val="000000" w:themeColor="text1"/>
          <w:spacing w:val="0"/>
          <w:sz w:val="24"/>
          <w:szCs w:val="24"/>
          <w:lang w:val="en-US" w:eastAsia="zh-CN"/>
          <w14:textFill>
            <w14:solidFill>
              <w14:schemeClr w14:val="tx1"/>
            </w14:solidFill>
          </w14:textFill>
        </w:rPr>
        <w:t>山西省政府采购网</w:t>
      </w:r>
      <w:r>
        <w:rPr>
          <w:rFonts w:hint="eastAsia" w:ascii="宋体" w:hAnsi="宋体" w:eastAsia="宋体" w:cs="宋体"/>
          <w:i w:val="0"/>
          <w:iCs w:val="0"/>
          <w:color w:val="000000" w:themeColor="text1"/>
          <w:spacing w:val="0"/>
          <w:sz w:val="24"/>
          <w:szCs w:val="24"/>
          <w:u w:val="none"/>
          <w14:textFill>
            <w14:solidFill>
              <w14:schemeClr w14:val="tx1"/>
            </w14:solidFill>
          </w14:textFill>
        </w:rPr>
        <w:t>（http://www.</w:t>
      </w:r>
    </w:p>
    <w:p w14:paraId="50D36806">
      <w:pPr>
        <w:pStyle w:val="35"/>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i w:val="0"/>
          <w:iCs w:val="0"/>
          <w:color w:val="000000" w:themeColor="text1"/>
          <w:spacing w:val="0"/>
          <w:sz w:val="24"/>
          <w:szCs w:val="24"/>
          <w:u w:val="none"/>
          <w14:textFill>
            <w14:solidFill>
              <w14:schemeClr w14:val="tx1"/>
            </w14:solidFill>
          </w14:textFill>
        </w:rPr>
        <w:t>ccgp-shanxi.gov.cn/home.html</w:t>
      </w:r>
      <w:r>
        <w:rPr>
          <w:rFonts w:hint="eastAsia" w:ascii="宋体" w:hAnsi="宋体" w:eastAsia="宋体" w:cs="宋体"/>
          <w:i w:val="0"/>
          <w:iCs w:val="0"/>
          <w:color w:val="000000" w:themeColor="text1"/>
          <w:spacing w:val="0"/>
          <w:sz w:val="24"/>
          <w:szCs w:val="24"/>
          <w:u w:val="none"/>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进行通知，不再书面进行通知。各市场参与主体因自身原因未关注到此类通知并造成损失的，责任自负。</w:t>
      </w:r>
    </w:p>
    <w:p w14:paraId="02E70FD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5.2通知的获取</w:t>
      </w:r>
    </w:p>
    <w:p w14:paraId="09BCD06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已获取了磋商文件的供应商，可在本次磋商公告刊登的媒体上查看已发布的通知，或凭借数字证书（USBKey）登录</w:t>
      </w:r>
      <w:r>
        <w:rPr>
          <w:rFonts w:hint="eastAsia" w:ascii="宋体" w:hAnsi="宋体" w:eastAsia="宋体" w:cs="宋体"/>
          <w:color w:val="000000" w:themeColor="text1"/>
          <w:spacing w:val="0"/>
          <w:sz w:val="24"/>
          <w:szCs w:val="24"/>
          <w:lang w:val="en-US" w:eastAsia="zh-CN"/>
          <w14:textFill>
            <w14:solidFill>
              <w14:schemeClr w14:val="tx1"/>
            </w14:solidFill>
          </w14:textFill>
        </w:rPr>
        <w:t>山西省政府采购网</w:t>
      </w:r>
      <w:r>
        <w:rPr>
          <w:rFonts w:hint="eastAsia" w:ascii="宋体" w:hAnsi="宋体" w:eastAsia="宋体" w:cs="宋体"/>
          <w:color w:val="000000" w:themeColor="text1"/>
          <w:spacing w:val="0"/>
          <w:sz w:val="24"/>
          <w:szCs w:val="24"/>
          <w14:textFill>
            <w14:solidFill>
              <w14:schemeClr w14:val="tx1"/>
            </w14:solidFill>
          </w14:textFill>
        </w:rPr>
        <w:t>（http://www.ccgp-shanxi.gov.cn/home.html</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查看获取相关通知。</w:t>
      </w:r>
    </w:p>
    <w:p w14:paraId="3BBD9C0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未获取磋商文件的潜在供应商可在本次磋商公告刊登的媒体上查看获取已发布的通知。</w:t>
      </w:r>
    </w:p>
    <w:p w14:paraId="26E7F6A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因线路故障导致通知延迟获取或无法获取，采购代理机构不因此承担任何责任，有关的磋商活动可以继续有效地进行。</w:t>
      </w:r>
    </w:p>
    <w:p w14:paraId="0C9AF68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p>
    <w:p w14:paraId="0A7715EC">
      <w:pPr>
        <w:pStyle w:val="3"/>
        <w:keepLines/>
        <w:pageBreakBefore w:val="0"/>
        <w:kinsoku/>
        <w:wordWrap w:val="0"/>
        <w:overflowPunct/>
        <w:topLinePunct w:val="0"/>
        <w:autoSpaceDE/>
        <w:autoSpaceDN/>
        <w:bidi w:val="0"/>
        <w:spacing w:line="360" w:lineRule="auto"/>
        <w:ind w:left="420"/>
        <w:textAlignment w:val="auto"/>
        <w:rPr>
          <w:rFonts w:hint="eastAsia" w:ascii="宋体" w:hAnsi="宋体" w:eastAsia="宋体" w:cs="宋体"/>
          <w:color w:val="000000" w:themeColor="text1"/>
          <w:spacing w:val="0"/>
          <w:sz w:val="24"/>
          <w:szCs w:val="24"/>
          <w14:textFill>
            <w14:solidFill>
              <w14:schemeClr w14:val="tx1"/>
            </w14:solidFill>
          </w14:textFill>
        </w:rPr>
      </w:pPr>
      <w:bookmarkStart w:id="8" w:name="_Toc29485"/>
      <w:bookmarkEnd w:id="8"/>
      <w:r>
        <w:rPr>
          <w:rFonts w:hint="eastAsia" w:ascii="宋体" w:hAnsi="宋体" w:eastAsia="宋体" w:cs="宋体"/>
          <w:color w:val="000000" w:themeColor="text1"/>
          <w:spacing w:val="0"/>
          <w:sz w:val="24"/>
          <w:szCs w:val="24"/>
          <w14:textFill>
            <w14:solidFill>
              <w14:schemeClr w14:val="tx1"/>
            </w14:solidFill>
          </w14:textFill>
        </w:rPr>
        <w:t>二、磋商文件</w:t>
      </w:r>
    </w:p>
    <w:p w14:paraId="48FDDF0B">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6. 磋商文件的内容</w:t>
      </w:r>
    </w:p>
    <w:p w14:paraId="7A263EA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6.1磋商文件由下列九部分内容组成：</w:t>
      </w:r>
    </w:p>
    <w:p w14:paraId="1D457A9A">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第一部分 采购邀请；</w:t>
      </w:r>
    </w:p>
    <w:p w14:paraId="3FE98B9D">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第二部分 磋商供应商须知前附表；</w:t>
      </w:r>
    </w:p>
    <w:p w14:paraId="7EB1AA97">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第三部分 磋商供应商须知； </w:t>
      </w:r>
    </w:p>
    <w:p w14:paraId="4F8D2625">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第四部分 采购需求； </w:t>
      </w:r>
    </w:p>
    <w:p w14:paraId="02496B6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第五部分 资格审查内容及标准；</w:t>
      </w:r>
    </w:p>
    <w:p w14:paraId="38B3548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第六部分 评定成交标准；</w:t>
      </w:r>
    </w:p>
    <w:p w14:paraId="5C4CCF1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第七部分 </w:t>
      </w:r>
      <w:r>
        <w:rPr>
          <w:rFonts w:hint="eastAsia" w:ascii="宋体" w:hAnsi="宋体" w:eastAsia="宋体" w:cs="宋体"/>
          <w:color w:val="000000" w:themeColor="text1"/>
          <w:spacing w:val="0"/>
          <w:sz w:val="24"/>
          <w:szCs w:val="24"/>
          <w:lang w:val="en-US" w:eastAsia="zh-CN"/>
          <w14:textFill>
            <w14:solidFill>
              <w14:schemeClr w14:val="tx1"/>
            </w14:solidFill>
          </w14:textFill>
        </w:rPr>
        <w:t>工程清单</w:t>
      </w:r>
    </w:p>
    <w:p w14:paraId="519B157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 xml:space="preserve">第八部分 </w:t>
      </w:r>
      <w:r>
        <w:rPr>
          <w:rFonts w:hint="eastAsia" w:ascii="宋体" w:hAnsi="宋体" w:eastAsia="宋体" w:cs="宋体"/>
          <w:color w:val="000000" w:themeColor="text1"/>
          <w:spacing w:val="0"/>
          <w:sz w:val="24"/>
          <w:szCs w:val="24"/>
          <w14:textFill>
            <w14:solidFill>
              <w14:schemeClr w14:val="tx1"/>
            </w14:solidFill>
          </w14:textFill>
        </w:rPr>
        <w:t>合同</w:t>
      </w:r>
      <w:r>
        <w:rPr>
          <w:rFonts w:hint="eastAsia" w:ascii="宋体" w:hAnsi="宋体" w:eastAsia="宋体" w:cs="宋体"/>
          <w:color w:val="000000" w:themeColor="text1"/>
          <w:spacing w:val="0"/>
          <w:sz w:val="24"/>
          <w:szCs w:val="24"/>
          <w:lang w:val="en-US" w:eastAsia="zh-CN"/>
          <w14:textFill>
            <w14:solidFill>
              <w14:schemeClr w14:val="tx1"/>
            </w14:solidFill>
          </w14:textFill>
        </w:rPr>
        <w:t>原则</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可修改</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w:t>
      </w:r>
    </w:p>
    <w:p w14:paraId="2491F3F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w:t>
      </w:r>
      <w:r>
        <w:rPr>
          <w:rFonts w:hint="eastAsia" w:ascii="宋体" w:hAnsi="宋体" w:eastAsia="宋体" w:cs="宋体"/>
          <w:color w:val="000000" w:themeColor="text1"/>
          <w:spacing w:val="0"/>
          <w:sz w:val="24"/>
          <w:szCs w:val="24"/>
          <w:lang w:val="en-US" w:eastAsia="zh-CN"/>
          <w14:textFill>
            <w14:solidFill>
              <w14:schemeClr w14:val="tx1"/>
            </w14:solidFill>
          </w14:textFill>
        </w:rPr>
        <w:t>九</w:t>
      </w:r>
      <w:r>
        <w:rPr>
          <w:rFonts w:hint="eastAsia" w:ascii="宋体" w:hAnsi="宋体" w:eastAsia="宋体" w:cs="宋体"/>
          <w:color w:val="000000" w:themeColor="text1"/>
          <w:spacing w:val="0"/>
          <w:sz w:val="24"/>
          <w:szCs w:val="24"/>
          <w14:textFill>
            <w14:solidFill>
              <w14:schemeClr w14:val="tx1"/>
            </w14:solidFill>
          </w14:textFill>
        </w:rPr>
        <w:t>部分 响应文件内容要求及格式</w:t>
      </w:r>
    </w:p>
    <w:p w14:paraId="730BFDD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6.2 磋商文件中落实政府采购政策的相关要求详见前附表的规定。</w:t>
      </w:r>
    </w:p>
    <w:p w14:paraId="0D5E50E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6.3 响应人如在信用中国网（http://www.creditchina.gov.cn）存在失信黑名单记录情况或在中国政府采购网（http://www.ccgp.gov.cn）存在政府采购严重违法失信行为信息记录情况，且在执行期间的，对响应文件做无效响应处理。</w:t>
      </w:r>
    </w:p>
    <w:p w14:paraId="50169E8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6.4 除非特殊要求，磋商文件不单独提供项目使用地的自然环境、气候条件、公用设施情况，磋商供应商被视为熟悉上述与履行合同有关的一切情况。</w:t>
      </w:r>
    </w:p>
    <w:p w14:paraId="5FA58DC0">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6.5 磋商文件的解释权归采购代理机构所有。当对一个问题有多种解释时以采购代理机构解释为准。</w:t>
      </w:r>
    </w:p>
    <w:p w14:paraId="33CAC44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6.6 磋商文件未作须知明示，而又有法律、法规规定的，采购代理机构将依据法律法规的规定进行解释。</w:t>
      </w:r>
    </w:p>
    <w:p w14:paraId="041BEA9E">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7. 磋商文件的澄清和修改</w:t>
      </w:r>
    </w:p>
    <w:p w14:paraId="2D2E84D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7.1采购代理机构可以对已发出的磋商文件进行必要的澄清或者修改，澄清或者修改在原公告发布媒体上发布澄清公告。澄清或者修改的内容为磋商文件的组成部分，对所有磋商供应商均具有约束作用。供应商应通过</w:t>
      </w:r>
      <w:r>
        <w:rPr>
          <w:rFonts w:hint="eastAsia" w:ascii="宋体" w:hAnsi="宋体" w:eastAsia="宋体" w:cs="宋体"/>
          <w:color w:val="000000" w:themeColor="text1"/>
          <w:spacing w:val="0"/>
          <w:sz w:val="24"/>
          <w:szCs w:val="24"/>
          <w:lang w:val="en-US" w:eastAsia="zh-CN"/>
          <w14:textFill>
            <w14:solidFill>
              <w14:schemeClr w14:val="tx1"/>
            </w14:solidFill>
          </w14:textFill>
        </w:rPr>
        <w:t>山西政府采购网</w:t>
      </w:r>
      <w:r>
        <w:rPr>
          <w:rFonts w:hint="eastAsia" w:ascii="宋体" w:hAnsi="宋体" w:eastAsia="宋体" w:cs="宋体"/>
          <w:color w:val="000000" w:themeColor="text1"/>
          <w:spacing w:val="0"/>
          <w:sz w:val="24"/>
          <w:szCs w:val="24"/>
          <w14:textFill>
            <w14:solidFill>
              <w14:schemeClr w14:val="tx1"/>
            </w14:solidFill>
          </w14:textFill>
        </w:rPr>
        <w:t>（http://www.ccgp-shanxi.gov.cn/）关注此类公告，此类公告不再书面进行通知。供应商因自身原因未关注到此公告并造成损失的，责任自负。</w:t>
      </w:r>
    </w:p>
    <w:p w14:paraId="4BF0B1F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7.2澄清或修改的内容可能影响响应文件编制的，采购代理机构将在提交响应文件的截止时间5日前，以发布公告的形式通知所有获取到磋商文件的供应商，不足5日的，将顺延响应文件提交的截止时间。</w:t>
      </w:r>
    </w:p>
    <w:p w14:paraId="48FADAC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7.3磋商供应商对磋商文件有疑问，可根据本须知32.1和32.2规定的程序提出。采购代理机构将视情况确定采用适当方式予以澄清答复，并认为必要时，将不标明查询来源的答复在“政府采购投标系统”内通知已获取磋商文件的所有磋商供应商。所有已获取本项目磋商文件的供应商均可在下载磋商文件处下载相关答复，因自身原因未关注到此答复并造成损失的，责任自负。</w:t>
      </w:r>
    </w:p>
    <w:p w14:paraId="6D23BC9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bookmarkStart w:id="9" w:name="_Toc31164"/>
      <w:r>
        <w:rPr>
          <w:rFonts w:hint="eastAsia" w:ascii="宋体" w:hAnsi="宋体" w:eastAsia="宋体" w:cs="宋体"/>
          <w:color w:val="000000" w:themeColor="text1"/>
          <w:spacing w:val="0"/>
          <w:sz w:val="24"/>
          <w:szCs w:val="24"/>
          <w14:textFill>
            <w14:solidFill>
              <w14:schemeClr w14:val="tx1"/>
            </w14:solidFill>
          </w14:textFill>
        </w:rPr>
        <w:t>7.4采购代理机构将视情况确定是否进行现场勘查或召开磋商前答疑会，详细内容见磋商供应商须知前附表的要求。</w:t>
      </w:r>
    </w:p>
    <w:p w14:paraId="4F994E9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p>
    <w:bookmarkEnd w:id="9"/>
    <w:p w14:paraId="03D49405">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三、响应文件</w:t>
      </w:r>
    </w:p>
    <w:p w14:paraId="6B461981">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8. 响应文件的语言和计量单位</w:t>
      </w:r>
    </w:p>
    <w:p w14:paraId="65E14F4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8.1磋商供应商提交的响应文件的资格证明文件、商务技术文件（包括技术文件和资料、图纸中的说明）以及磋商供应商与采购代理机构就有关磋商的所有来往函</w:t>
      </w:r>
      <w:r>
        <w:rPr>
          <w:rFonts w:hint="eastAsia" w:ascii="宋体" w:hAnsi="宋体" w:eastAsia="宋体" w:cs="宋体"/>
          <w:bCs/>
          <w:color w:val="000000" w:themeColor="text1"/>
          <w:spacing w:val="0"/>
          <w:sz w:val="24"/>
          <w:szCs w:val="24"/>
          <w14:textFill>
            <w14:solidFill>
              <w14:schemeClr w14:val="tx1"/>
            </w14:solidFill>
          </w14:textFill>
        </w:rPr>
        <w:t>电</w:t>
      </w:r>
      <w:r>
        <w:rPr>
          <w:rFonts w:hint="eastAsia" w:ascii="宋体" w:hAnsi="宋体" w:eastAsia="宋体" w:cs="宋体"/>
          <w:color w:val="000000" w:themeColor="text1"/>
          <w:spacing w:val="0"/>
          <w:sz w:val="24"/>
          <w:szCs w:val="24"/>
          <w14:textFill>
            <w14:solidFill>
              <w14:schemeClr w14:val="tx1"/>
            </w14:solidFill>
          </w14:textFill>
        </w:rPr>
        <w:t>均应使用中文简体字。外文资料必须提供中文译文，并保持与原文一致，否则，产生的不利后果由磋商供应商承担。</w:t>
      </w:r>
    </w:p>
    <w:p w14:paraId="1A07A14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8.2响应文件所使用的计量单位，必须使用国家法定计量单位。</w:t>
      </w:r>
    </w:p>
    <w:p w14:paraId="6775A050">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9. 响应文件的组成及相关要求</w:t>
      </w:r>
    </w:p>
    <w:p w14:paraId="6356EC8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9.1响应文件分为资格证明文件和商务技术文件。</w:t>
      </w:r>
    </w:p>
    <w:p w14:paraId="3A49975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9.1.1若单个序号的货物中包含多个产品的，可自行设计报价明细表，加盖电子签章后在系统内上传。</w:t>
      </w:r>
    </w:p>
    <w:p w14:paraId="6E082BC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9.1.2纸质响应文件份数及要求按磋商供应商须知前附表的规定提交。</w:t>
      </w:r>
    </w:p>
    <w:p w14:paraId="5A0F623A">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9.2</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规格幅面（A4幅面），按照</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所规定的内容顺序，统一编目、编页码装订（</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中复印件及彩色宣传资料等均须与</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正文一起逐页编排页码）。由于编排混乱导致</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被误读或查找不到，其责任应当由</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承担。装订必须采用胶订形式，不得采用活页装订，必须编排页码。</w:t>
      </w:r>
    </w:p>
    <w:p w14:paraId="5F76DA16">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9.3纸质版响应文件制作要求</w:t>
      </w:r>
    </w:p>
    <w:p w14:paraId="0B74507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响应文件规格幅面（A4），封面“响应文件（资格证明文件）、响应文件（商务技术文件）”</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由于编排混乱导致响应文件被误读或查找不到，其责任由磋商供应商承担。</w:t>
      </w:r>
    </w:p>
    <w:p w14:paraId="29B20F1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9.4 响应保证金</w:t>
      </w:r>
    </w:p>
    <w:p w14:paraId="004264A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本项目是否要求响应人提交保证金，及要求供应商应提交的响应保证金金额详见供应商须知</w:t>
      </w:r>
      <w:r>
        <w:rPr>
          <w:rFonts w:hint="eastAsia" w:ascii="宋体" w:hAnsi="宋体" w:eastAsia="宋体" w:cs="宋体"/>
          <w:color w:val="000000" w:themeColor="text1"/>
          <w:spacing w:val="0"/>
          <w:sz w:val="24"/>
          <w:szCs w:val="24"/>
          <w:lang w:eastAsia="zh-CN"/>
          <w14:textFill>
            <w14:solidFill>
              <w14:schemeClr w14:val="tx1"/>
            </w14:solidFill>
          </w14:textFill>
        </w:rPr>
        <w:t>前附表</w:t>
      </w:r>
      <w:r>
        <w:rPr>
          <w:rFonts w:hint="eastAsia" w:ascii="宋体" w:hAnsi="宋体" w:eastAsia="宋体" w:cs="宋体"/>
          <w:color w:val="000000" w:themeColor="text1"/>
          <w:spacing w:val="0"/>
          <w:sz w:val="24"/>
          <w:szCs w:val="24"/>
          <w14:textFill>
            <w14:solidFill>
              <w14:schemeClr w14:val="tx1"/>
            </w14:solidFill>
          </w14:textFill>
        </w:rPr>
        <w:t>的规定。</w:t>
      </w:r>
    </w:p>
    <w:p w14:paraId="19867854">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响应保证金按下列方式提交：</w:t>
      </w:r>
    </w:p>
    <w:p w14:paraId="223D4D26">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9.4.1磋商保证金的递交形式：支票、汇票、本票、网上银行支付、银行保函等非现金形式。</w:t>
      </w:r>
    </w:p>
    <w:p w14:paraId="4494DD2D">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9.4.2磋商文件中需提供汇票存根或银行转账电子回执单扫描件以及基本账户信息的复印件。</w:t>
      </w:r>
    </w:p>
    <w:p w14:paraId="3D918004">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收款单位：山西誉信达工程咨询管理服务有限公司。</w:t>
      </w:r>
    </w:p>
    <w:p w14:paraId="09315028">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开 户 行：山西尧都农村商业银行股份有限公司广场支行</w:t>
      </w:r>
    </w:p>
    <w:p w14:paraId="062ABF3A">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银行帐号：601221010300000087305</w:t>
      </w:r>
    </w:p>
    <w:p w14:paraId="13976C93">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行    号：402177000628</w:t>
      </w:r>
    </w:p>
    <w:p w14:paraId="799DBD68">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递交方式：通过本单位基本账户递交</w:t>
      </w:r>
    </w:p>
    <w:p w14:paraId="6AC9272D">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退还方式：通过本单位账户全额返还</w:t>
      </w:r>
    </w:p>
    <w:p w14:paraId="5DA1FBA3">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汇款用途：（项目名称）投标保证金</w:t>
      </w:r>
    </w:p>
    <w:p w14:paraId="2B6784E4">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p>
    <w:p w14:paraId="3DCECD00">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9.4.3磋商供应商在交付投标保证金时须在备注或附言中注明“项目名称”</w:t>
      </w:r>
      <w:r>
        <w:rPr>
          <w:rFonts w:hint="eastAsia" w:ascii="宋体" w:hAnsi="宋体" w:eastAsia="宋体" w:cs="宋体"/>
          <w:color w:val="000000" w:themeColor="text1"/>
          <w:sz w:val="24"/>
          <w:szCs w:val="24"/>
          <w:lang w:val="en-US" w:eastAsia="zh-CN"/>
          <w14:textFill>
            <w14:solidFill>
              <w14:schemeClr w14:val="tx1"/>
            </w14:solidFill>
          </w14:textFill>
        </w:rPr>
        <w:t>。</w:t>
      </w:r>
    </w:p>
    <w:p w14:paraId="47CFA2B9">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9.4.4采用保函的形式：保函分为银行或金融服务平台、保证保险、工程担保公司出具的保函。供应商在提交响应保证金时，可以从以上具有资格出具保函的机构开具相应金额的保函替代现金。出具的保函必须与采购项目一致，其有效期应当与响应文件有效期一致且真实有效。供应商在电子响应文件中需附保函的扫描件并加盖单位公章。</w:t>
      </w:r>
    </w:p>
    <w:p w14:paraId="4260C541">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注：银行开具的免保证金的非融资性的履约保函不可使用。</w:t>
      </w:r>
    </w:p>
    <w:p w14:paraId="5DA869CA">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9.4.5未按上述要求提交投标保证金的，代理机构将拒绝接收磋商供应商的投标文件。</w:t>
      </w:r>
    </w:p>
    <w:p w14:paraId="5A45BB58">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9.4.6 未按上述要求提交投标保证金或提交的投标保证金金额不足的，其投标无效。</w:t>
      </w:r>
    </w:p>
    <w:p w14:paraId="1E25CDB4">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9.4.7如无质疑或投诉，未中标的投标磋商供应商保证金，在中标通知书发出之日起五个工作日内退还；如有质疑或投诉，甲方或采购代理机构将在质疑或投诉处理完毕后退还。</w:t>
      </w:r>
    </w:p>
    <w:p w14:paraId="75CC5B40">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9.4.8采购人因重大变故取消采购任务的，代理机构在财政部门指定的政府采购信息发布媒体上发布终止公告，并以书面形式通知已经获取采购文件的潜在磋商供应商，对已经交纳投标保证金的，代理机构在终止公告发布后5个工作日内予以退还。</w:t>
      </w:r>
    </w:p>
    <w:p w14:paraId="7634F63A">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9.4.9投标有效期内磋商供应商撤销投标文件的，采购人或者采购代理机构不退还投标保证金。</w:t>
      </w:r>
    </w:p>
    <w:p w14:paraId="45596F5F">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响应保证金按下列方式退还：</w:t>
      </w:r>
    </w:p>
    <w:p w14:paraId="356D1FD9">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未成交供应商的响应保证金自成交通知书发出之日起5个工作日内退还。</w:t>
      </w:r>
    </w:p>
    <w:p w14:paraId="3CD7D87E">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w:t>
      </w:r>
      <w:r>
        <w:rPr>
          <w:rFonts w:hint="eastAsia" w:ascii="宋体" w:hAnsi="宋体" w:eastAsia="宋体" w:cs="宋体"/>
          <w:color w:val="000000" w:themeColor="text1"/>
          <w:sz w:val="24"/>
          <w:szCs w:val="24"/>
          <w:lang w:val="en-US" w:eastAsia="zh-CN"/>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t>响应保证金将退还到原缴纳帐户。原缴纳帐户发生变更的，供应商需向采购代理机构提交书面情况说明和银行缴纳回执单。</w:t>
      </w:r>
    </w:p>
    <w:p w14:paraId="5FB4593E">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9.4.1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发生下列情况之一，取消中标资格，投标保证金不予退还</w:t>
      </w:r>
      <w:r>
        <w:rPr>
          <w:rFonts w:hint="eastAsia" w:ascii="宋体" w:hAnsi="宋体" w:eastAsia="宋体" w:cs="宋体"/>
          <w:color w:val="000000" w:themeColor="text1"/>
          <w:sz w:val="24"/>
          <w:szCs w:val="24"/>
          <w:lang w:eastAsia="zh-CN"/>
          <w14:textFill>
            <w14:solidFill>
              <w14:schemeClr w14:val="tx1"/>
            </w14:solidFill>
          </w14:textFill>
        </w:rPr>
        <w:t>：</w:t>
      </w:r>
    </w:p>
    <w:p w14:paraId="1F3D2275">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未按时递交标书的；</w:t>
      </w:r>
    </w:p>
    <w:p w14:paraId="67DFC618">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在本次投标过程中提供虚假资质及证明材料的；</w:t>
      </w:r>
    </w:p>
    <w:p w14:paraId="7BB6D148">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拒绝修正投标报价的；</w:t>
      </w:r>
    </w:p>
    <w:p w14:paraId="698C24E0">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未能按时交纳质量保证金的；</w:t>
      </w:r>
    </w:p>
    <w:p w14:paraId="69590EE5">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未能按时签订合同的；</w:t>
      </w:r>
    </w:p>
    <w:p w14:paraId="6DF6CEC1">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6)开标后</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在投标有效期内撤回或修改投标的；</w:t>
      </w:r>
    </w:p>
    <w:p w14:paraId="3A950F46">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与采购人订立背离合同实质性内容的其它协议的，或者</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在收到中标通知书后，无正当理由拒签合同协议书或未按</w:t>
      </w:r>
      <w:r>
        <w:rPr>
          <w:rFonts w:hint="eastAsia" w:ascii="宋体" w:hAnsi="宋体" w:eastAsia="宋体" w:cs="宋体"/>
          <w:color w:val="000000" w:themeColor="text1"/>
          <w:sz w:val="24"/>
          <w:szCs w:val="24"/>
          <w:lang w:eastAsia="zh-CN"/>
          <w14:textFill>
            <w14:solidFill>
              <w14:schemeClr w14:val="tx1"/>
            </w14:solidFill>
          </w14:textFill>
        </w:rPr>
        <w:t>竞争性磋商文件</w:t>
      </w:r>
      <w:r>
        <w:rPr>
          <w:rFonts w:hint="eastAsia" w:ascii="宋体" w:hAnsi="宋体" w:eastAsia="宋体" w:cs="宋体"/>
          <w:color w:val="000000" w:themeColor="text1"/>
          <w:sz w:val="24"/>
          <w:szCs w:val="24"/>
          <w14:textFill>
            <w14:solidFill>
              <w14:schemeClr w14:val="tx1"/>
            </w14:solidFill>
          </w14:textFill>
        </w:rPr>
        <w:t>规定提交履约担保</w:t>
      </w:r>
      <w:r>
        <w:rPr>
          <w:rFonts w:hint="eastAsia" w:ascii="宋体" w:hAnsi="宋体" w:eastAsia="宋体" w:cs="宋体"/>
          <w:color w:val="000000" w:themeColor="text1"/>
          <w:sz w:val="24"/>
          <w:szCs w:val="24"/>
          <w:lang w:eastAsia="zh-CN"/>
          <w14:textFill>
            <w14:solidFill>
              <w14:schemeClr w14:val="tx1"/>
            </w14:solidFill>
          </w14:textFill>
        </w:rPr>
        <w:t>；</w:t>
      </w:r>
    </w:p>
    <w:p w14:paraId="1B78D5DB">
      <w:pPr>
        <w:keepNext w:val="0"/>
        <w:keepLines/>
        <w:pageBreakBefore w:val="0"/>
        <w:widowControl w:val="0"/>
        <w:kinsoku/>
        <w:wordWrap w:val="0"/>
        <w:overflowPunct/>
        <w:topLinePunct w:val="0"/>
        <w:autoSpaceDE/>
        <w:autoSpaceDN/>
        <w:bidi w:val="0"/>
        <w:adjustRightInd/>
        <w:snapToGrid/>
        <w:spacing w:line="360" w:lineRule="auto"/>
        <w:ind w:left="0" w:leftChars="0" w:firstLine="420" w:firstLineChars="175"/>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8)响应有效期内供应商撤销响应文件的</w:t>
      </w:r>
      <w:r>
        <w:rPr>
          <w:rFonts w:hint="eastAsia" w:ascii="宋体" w:hAnsi="宋体" w:eastAsia="宋体" w:cs="宋体"/>
          <w:color w:val="000000" w:themeColor="text1"/>
          <w:sz w:val="24"/>
          <w:szCs w:val="24"/>
          <w:lang w:eastAsia="zh-CN"/>
          <w14:textFill>
            <w14:solidFill>
              <w14:schemeClr w14:val="tx1"/>
            </w14:solidFill>
          </w14:textFill>
        </w:rPr>
        <w:t>；</w:t>
      </w:r>
    </w:p>
    <w:p w14:paraId="1085FB5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其他违反政府采购法律法规规定行为的。</w:t>
      </w:r>
    </w:p>
    <w:p w14:paraId="0CC99522">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9.5 磋商报价</w:t>
      </w:r>
    </w:p>
    <w:p w14:paraId="461C0E08">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9.5.1 所有的磋商报价均以人民币元为计算单位。</w:t>
      </w:r>
    </w:p>
    <w:p w14:paraId="41ECF235">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9.5.2 磋商供应商提交的响应文件中，要填报“报价一览表”</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（格式见第</w:t>
      </w:r>
      <w:r>
        <w:rPr>
          <w:rFonts w:hint="eastAsia" w:ascii="宋体" w:hAnsi="宋体" w:eastAsia="宋体" w:cs="宋体"/>
          <w:color w:val="000000" w:themeColor="text1"/>
          <w:spacing w:val="0"/>
          <w:sz w:val="24"/>
          <w:szCs w:val="24"/>
          <w:lang w:val="en-US" w:eastAsia="zh-CN"/>
          <w14:textFill>
            <w14:solidFill>
              <w14:schemeClr w14:val="tx1"/>
            </w14:solidFill>
          </w14:textFill>
        </w:rPr>
        <w:t>九</w:t>
      </w:r>
      <w:r>
        <w:rPr>
          <w:rFonts w:hint="eastAsia" w:ascii="宋体" w:hAnsi="宋体" w:eastAsia="宋体" w:cs="宋体"/>
          <w:color w:val="000000" w:themeColor="text1"/>
          <w:spacing w:val="0"/>
          <w:sz w:val="24"/>
          <w:szCs w:val="24"/>
          <w14:textFill>
            <w14:solidFill>
              <w14:schemeClr w14:val="tx1"/>
            </w14:solidFill>
          </w14:textFill>
        </w:rPr>
        <w:t>部分），</w:t>
      </w:r>
      <w:r>
        <w:rPr>
          <w:rFonts w:hint="eastAsia" w:ascii="宋体" w:hAnsi="宋体" w:eastAsia="宋体" w:cs="宋体"/>
          <w:color w:val="000000" w:themeColor="text1"/>
          <w:spacing w:val="0"/>
          <w:sz w:val="24"/>
          <w:szCs w:val="24"/>
          <w:lang w:eastAsia="zh-CN"/>
          <w14:textFill>
            <w14:solidFill>
              <w14:schemeClr w14:val="tx1"/>
            </w14:solidFill>
          </w14:textFill>
        </w:rPr>
        <w:t>报价表的附件要求会标注在格式“报价一览表”的下方，比如</w:t>
      </w:r>
      <w:r>
        <w:rPr>
          <w:rFonts w:hint="eastAsia" w:ascii="宋体" w:hAnsi="宋体" w:eastAsia="宋体" w:cs="宋体"/>
          <w:color w:val="000000" w:themeColor="text1"/>
          <w:spacing w:val="0"/>
          <w:sz w:val="24"/>
          <w:szCs w:val="24"/>
          <w14:textFill>
            <w14:solidFill>
              <w14:schemeClr w14:val="tx1"/>
            </w14:solidFill>
          </w14:textFill>
        </w:rPr>
        <w:t>应</w:t>
      </w:r>
      <w:r>
        <w:rPr>
          <w:rFonts w:hint="eastAsia" w:ascii="宋体" w:hAnsi="宋体" w:eastAsia="宋体" w:cs="宋体"/>
          <w:bCs/>
          <w:color w:val="000000" w:themeColor="text1"/>
          <w:spacing w:val="0"/>
          <w:sz w:val="24"/>
          <w:szCs w:val="24"/>
          <w14:textFill>
            <w14:solidFill>
              <w14:schemeClr w14:val="tx1"/>
            </w14:solidFill>
          </w14:textFill>
        </w:rPr>
        <w:t>提供货物/服务的单价</w:t>
      </w:r>
      <w:r>
        <w:rPr>
          <w:rFonts w:hint="eastAsia" w:ascii="宋体" w:hAnsi="宋体" w:eastAsia="宋体" w:cs="宋体"/>
          <w:color w:val="000000" w:themeColor="text1"/>
          <w:spacing w:val="0"/>
          <w:sz w:val="24"/>
          <w:szCs w:val="24"/>
          <w14:textFill>
            <w14:solidFill>
              <w14:schemeClr w14:val="tx1"/>
            </w14:solidFill>
          </w14:textFill>
        </w:rPr>
        <w:t>（包括</w:t>
      </w:r>
      <w:r>
        <w:rPr>
          <w:rFonts w:hint="eastAsia" w:ascii="宋体" w:hAnsi="宋体" w:eastAsia="宋体" w:cs="宋体"/>
          <w:color w:val="000000" w:themeColor="text1"/>
          <w:spacing w:val="0"/>
          <w:sz w:val="24"/>
          <w:szCs w:val="24"/>
          <w:lang w:eastAsia="zh-CN"/>
          <w14:textFill>
            <w14:solidFill>
              <w14:schemeClr w14:val="tx1"/>
            </w14:solidFill>
          </w14:textFill>
        </w:rPr>
        <w:t>工程量清单的预算、</w:t>
      </w:r>
      <w:r>
        <w:rPr>
          <w:rFonts w:hint="eastAsia" w:ascii="宋体" w:hAnsi="宋体" w:eastAsia="宋体" w:cs="宋体"/>
          <w:color w:val="000000" w:themeColor="text1"/>
          <w:spacing w:val="0"/>
          <w:sz w:val="24"/>
          <w:szCs w:val="24"/>
          <w14:textFill>
            <w14:solidFill>
              <w14:schemeClr w14:val="tx1"/>
            </w14:solidFill>
          </w14:textFill>
        </w:rPr>
        <w:t>货物报价、装箱、包装、包装物料、送货、安装调试费、保险费用及其他应有的费用</w:t>
      </w:r>
      <w:r>
        <w:rPr>
          <w:rFonts w:hint="eastAsia" w:ascii="宋体" w:hAnsi="宋体" w:eastAsia="宋体" w:cs="宋体"/>
          <w:color w:val="000000" w:themeColor="text1"/>
          <w:spacing w:val="0"/>
          <w:sz w:val="24"/>
          <w:szCs w:val="24"/>
          <w:lang w:eastAsia="zh-CN"/>
          <w14:textFill>
            <w14:solidFill>
              <w14:schemeClr w14:val="tx1"/>
            </w14:solidFill>
          </w14:textFill>
        </w:rPr>
        <w:t>等等</w:t>
      </w:r>
      <w:r>
        <w:rPr>
          <w:rFonts w:hint="eastAsia" w:ascii="宋体" w:hAnsi="宋体" w:eastAsia="宋体" w:cs="宋体"/>
          <w:color w:val="000000" w:themeColor="text1"/>
          <w:spacing w:val="0"/>
          <w:sz w:val="24"/>
          <w:szCs w:val="24"/>
          <w14:textFill>
            <w14:solidFill>
              <w14:schemeClr w14:val="tx1"/>
            </w14:solidFill>
          </w14:textFill>
        </w:rPr>
        <w:t>）、总价及其他事项，作为本次磋商的第一轮报价。</w:t>
      </w:r>
    </w:p>
    <w:p w14:paraId="0B0F93FF">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9.5.3 磋商供应商响应多包的，响应文件应对每包分别填报“报价一览表”。</w:t>
      </w:r>
    </w:p>
    <w:p w14:paraId="378699F2">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9.5.4 其他轮次的报价均被视为已经包含了但并不限于各项购买货物/服务</w:t>
      </w:r>
      <w:r>
        <w:rPr>
          <w:rFonts w:hint="eastAsia" w:ascii="宋体" w:hAnsi="宋体" w:eastAsia="宋体" w:cs="宋体"/>
          <w:color w:val="000000" w:themeColor="text1"/>
          <w:spacing w:val="0"/>
          <w:sz w:val="24"/>
          <w:szCs w:val="24"/>
          <w:lang w:val="en-US" w:eastAsia="zh-CN"/>
          <w14:textFill>
            <w14:solidFill>
              <w14:schemeClr w14:val="tx1"/>
            </w14:solidFill>
          </w14:textFill>
        </w:rPr>
        <w:t>/工程</w:t>
      </w:r>
      <w:r>
        <w:rPr>
          <w:rFonts w:hint="eastAsia" w:ascii="宋体" w:hAnsi="宋体" w:eastAsia="宋体" w:cs="宋体"/>
          <w:color w:val="000000" w:themeColor="text1"/>
          <w:spacing w:val="0"/>
          <w:sz w:val="24"/>
          <w:szCs w:val="24"/>
          <w14:textFill>
            <w14:solidFill>
              <w14:schemeClr w14:val="tx1"/>
            </w14:solidFill>
          </w14:textFill>
        </w:rPr>
        <w:t>及其运送、安装、调试、验收、保险和相关服务等的费用。</w:t>
      </w:r>
    </w:p>
    <w:p w14:paraId="3B47E43B">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9.5.5 磋商供应商报出的最后报价为货物/服务</w:t>
      </w:r>
      <w:r>
        <w:rPr>
          <w:rFonts w:hint="eastAsia" w:ascii="宋体" w:hAnsi="宋体" w:eastAsia="宋体" w:cs="宋体"/>
          <w:color w:val="000000" w:themeColor="text1"/>
          <w:spacing w:val="0"/>
          <w:sz w:val="24"/>
          <w:szCs w:val="24"/>
          <w:lang w:val="en-US" w:eastAsia="zh-CN"/>
          <w14:textFill>
            <w14:solidFill>
              <w14:schemeClr w14:val="tx1"/>
            </w14:solidFill>
          </w14:textFill>
        </w:rPr>
        <w:t>/工程</w:t>
      </w:r>
      <w:r>
        <w:rPr>
          <w:rFonts w:hint="eastAsia" w:ascii="宋体" w:hAnsi="宋体" w:eastAsia="宋体" w:cs="宋体"/>
          <w:color w:val="000000" w:themeColor="text1"/>
          <w:spacing w:val="0"/>
          <w:sz w:val="24"/>
          <w:szCs w:val="24"/>
          <w14:textFill>
            <w14:solidFill>
              <w14:schemeClr w14:val="tx1"/>
            </w14:solidFill>
          </w14:textFill>
        </w:rPr>
        <w:t>全部完成交付的最终价格。</w:t>
      </w:r>
    </w:p>
    <w:p w14:paraId="74FBB3A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9.5.6 任何超出磋商文件要求而额外赠送的货物、服务</w:t>
      </w:r>
      <w:r>
        <w:rPr>
          <w:rFonts w:hint="eastAsia" w:ascii="宋体" w:hAnsi="宋体" w:eastAsia="宋体" w:cs="宋体"/>
          <w:color w:val="000000" w:themeColor="text1"/>
          <w:spacing w:val="0"/>
          <w:sz w:val="24"/>
          <w:szCs w:val="24"/>
          <w:lang w:eastAsia="zh-CN"/>
          <w14:textFill>
            <w14:solidFill>
              <w14:schemeClr w14:val="tx1"/>
            </w14:solidFill>
          </w14:textFill>
        </w:rPr>
        <w:t>、工程</w:t>
      </w:r>
      <w:r>
        <w:rPr>
          <w:rFonts w:hint="eastAsia" w:ascii="宋体" w:hAnsi="宋体" w:eastAsia="宋体" w:cs="宋体"/>
          <w:color w:val="000000" w:themeColor="text1"/>
          <w:spacing w:val="0"/>
          <w:sz w:val="24"/>
          <w:szCs w:val="24"/>
          <w14:textFill>
            <w14:solidFill>
              <w14:schemeClr w14:val="tx1"/>
            </w14:solidFill>
          </w14:textFill>
        </w:rPr>
        <w:t>等其他形式的优惠，在评定时将不作为价格折算的必备条件。</w:t>
      </w:r>
    </w:p>
    <w:p w14:paraId="7881CAE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9.5.7项目实施过程中需要主要辅材的项目，磋商供应商自行设计表格，填写备品、备件清单或主要辅材清单，注明品牌、型号、产地、单价、数量等内容。</w:t>
      </w:r>
    </w:p>
    <w:p w14:paraId="6026EE10">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10. 响应文件填写说明</w:t>
      </w:r>
    </w:p>
    <w:p w14:paraId="3077ADEC">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382D70AD">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10.2 </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应详细阅读</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的全部内容。</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须对</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中的内容做出实质性和完整性的响应。</w:t>
      </w:r>
    </w:p>
    <w:p w14:paraId="3CE04415">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10.3</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照搬照抄</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技术、商务要求，并未提供技术资料或提供资料不详的，</w:t>
      </w:r>
      <w:r>
        <w:rPr>
          <w:rFonts w:hint="eastAsia" w:ascii="宋体" w:hAnsi="宋体" w:eastAsia="宋体" w:cs="宋体"/>
          <w:color w:val="000000" w:themeColor="text1"/>
          <w:spacing w:val="0"/>
          <w:sz w:val="24"/>
          <w:szCs w:val="24"/>
          <w:lang w:eastAsia="zh-CN"/>
          <w14:textFill>
            <w14:solidFill>
              <w14:schemeClr w14:val="tx1"/>
            </w14:solidFill>
          </w14:textFill>
        </w:rPr>
        <w:t>磋商小组</w:t>
      </w:r>
      <w:r>
        <w:rPr>
          <w:rFonts w:hint="eastAsia" w:ascii="宋体" w:hAnsi="宋体" w:eastAsia="宋体" w:cs="宋体"/>
          <w:color w:val="000000" w:themeColor="text1"/>
          <w:spacing w:val="0"/>
          <w:sz w:val="24"/>
          <w:szCs w:val="24"/>
          <w14:textFill>
            <w14:solidFill>
              <w14:schemeClr w14:val="tx1"/>
            </w14:solidFill>
          </w14:textFill>
        </w:rPr>
        <w:t>有权决定是否通知</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限期进行书面解释或提供相关证明材料。若已要求，而该</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在规定期限内未做出解释、做出的解释不合理或不能提供证明材料的，</w:t>
      </w:r>
      <w:r>
        <w:rPr>
          <w:rFonts w:hint="eastAsia" w:ascii="宋体" w:hAnsi="宋体" w:eastAsia="宋体" w:cs="宋体"/>
          <w:color w:val="000000" w:themeColor="text1"/>
          <w:spacing w:val="0"/>
          <w:sz w:val="24"/>
          <w:szCs w:val="24"/>
          <w:lang w:eastAsia="zh-CN"/>
          <w14:textFill>
            <w14:solidFill>
              <w14:schemeClr w14:val="tx1"/>
            </w14:solidFill>
          </w14:textFill>
        </w:rPr>
        <w:t>磋商小组</w:t>
      </w:r>
      <w:r>
        <w:rPr>
          <w:rFonts w:hint="eastAsia" w:ascii="宋体" w:hAnsi="宋体" w:eastAsia="宋体" w:cs="宋体"/>
          <w:color w:val="000000" w:themeColor="text1"/>
          <w:spacing w:val="0"/>
          <w:sz w:val="24"/>
          <w:szCs w:val="24"/>
          <w14:textFill>
            <w14:solidFill>
              <w14:schemeClr w14:val="tx1"/>
            </w14:solidFill>
          </w14:textFill>
        </w:rPr>
        <w:t>有权拒绝该投标。</w:t>
      </w:r>
    </w:p>
    <w:p w14:paraId="620D9780">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10.4</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应严格按照</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第</w:t>
      </w:r>
      <w:r>
        <w:rPr>
          <w:rFonts w:hint="eastAsia" w:ascii="宋体" w:hAnsi="宋体" w:eastAsia="宋体" w:cs="宋体"/>
          <w:color w:val="000000" w:themeColor="text1"/>
          <w:spacing w:val="0"/>
          <w:sz w:val="24"/>
          <w:szCs w:val="24"/>
          <w:lang w:val="en-US" w:eastAsia="zh-CN"/>
          <w14:textFill>
            <w14:solidFill>
              <w14:schemeClr w14:val="tx1"/>
            </w14:solidFill>
          </w14:textFill>
        </w:rPr>
        <w:t>九</w:t>
      </w:r>
      <w:r>
        <w:rPr>
          <w:rFonts w:hint="eastAsia" w:ascii="宋体" w:hAnsi="宋体" w:eastAsia="宋体" w:cs="宋体"/>
          <w:color w:val="000000" w:themeColor="text1"/>
          <w:spacing w:val="0"/>
          <w:sz w:val="24"/>
          <w:szCs w:val="24"/>
          <w14:textFill>
            <w14:solidFill>
              <w14:schemeClr w14:val="tx1"/>
            </w14:solidFill>
          </w14:textFill>
        </w:rPr>
        <w:t>部分的要求提交，并按规定的统一格式逐项填写，不准有空项；无相应内容可填的项应填写“无”、“未测试”、“没有相应指标”等明确的回答文字。</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未按规定提交或留有空项，将被视为不完整响应的</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，其投标有可能被拒绝。</w:t>
      </w:r>
    </w:p>
    <w:p w14:paraId="4EDD67DE">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10.5</w:t>
      </w:r>
      <w:r>
        <w:rPr>
          <w:rFonts w:hint="eastAsia" w:ascii="宋体" w:hAnsi="宋体" w:eastAsia="宋体" w:cs="宋体"/>
          <w:color w:val="000000" w:themeColor="text1"/>
          <w:spacing w:val="0"/>
          <w:sz w:val="24"/>
          <w:szCs w:val="24"/>
          <w14:textFill>
            <w14:solidFill>
              <w14:schemeClr w14:val="tx1"/>
            </w14:solidFill>
          </w14:textFill>
        </w:rPr>
        <w:t>报价一览表为在开标仪式上唱标的内容，要求按格式统一填写，不得自行增减内容。</w:t>
      </w:r>
    </w:p>
    <w:p w14:paraId="662E2011">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10.6</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必须保证</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所提供的全部资料真实可靠，并接受</w:t>
      </w:r>
      <w:r>
        <w:rPr>
          <w:rFonts w:hint="eastAsia" w:ascii="宋体" w:hAnsi="宋体" w:eastAsia="宋体" w:cs="宋体"/>
          <w:color w:val="000000" w:themeColor="text1"/>
          <w:spacing w:val="0"/>
          <w:sz w:val="24"/>
          <w:szCs w:val="24"/>
          <w:lang w:eastAsia="zh-CN"/>
          <w14:textFill>
            <w14:solidFill>
              <w14:schemeClr w14:val="tx1"/>
            </w14:solidFill>
          </w14:textFill>
        </w:rPr>
        <w:t>磋商小组</w:t>
      </w:r>
      <w:r>
        <w:rPr>
          <w:rFonts w:hint="eastAsia" w:ascii="宋体" w:hAnsi="宋体" w:eastAsia="宋体" w:cs="宋体"/>
          <w:color w:val="000000" w:themeColor="text1"/>
          <w:spacing w:val="0"/>
          <w:sz w:val="24"/>
          <w:szCs w:val="24"/>
          <w14:textFill>
            <w14:solidFill>
              <w14:schemeClr w14:val="tx1"/>
            </w14:solidFill>
          </w14:textFill>
        </w:rPr>
        <w:t>对其中任何资料进一步审查的要求。</w:t>
      </w:r>
    </w:p>
    <w:p w14:paraId="23C09AA6">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10.</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因响应文件字迹潦草、提交资料不清晰或表达不清楚所引起的不利后果由供应商承担。</w:t>
      </w:r>
    </w:p>
    <w:p w14:paraId="6B0C8795">
      <w:pPr>
        <w:keepLines/>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11. 响应文件的有效期</w:t>
      </w:r>
    </w:p>
    <w:p w14:paraId="773264C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本项目响应文件的有效期详见磋商供应商须知前附表的规定。有效期短于该规定期限的投标将被拒绝。</w:t>
      </w:r>
    </w:p>
    <w:p w14:paraId="55019AE1">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12. 响应文件的签署</w:t>
      </w:r>
    </w:p>
    <w:p w14:paraId="0D84D15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12.1 组成响应文件的各种文件均应遵守本条规定。</w:t>
      </w:r>
    </w:p>
    <w:p w14:paraId="47CEE65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12.2 磋商供应商在响应文件及相关文件的签订、履行、通知等事项的书面文件中的“盖章”、“印章”、“公章”等处均仅指与当事人名称全称相一致的标准公章的电子签章，不得使用其它（如带有“专用章”等字样）印章。</w:t>
      </w:r>
    </w:p>
    <w:p w14:paraId="54CAD551">
      <w:pPr>
        <w:pStyle w:val="3"/>
        <w:keepLines/>
        <w:pageBreakBefore w:val="0"/>
        <w:kinsoku/>
        <w:wordWrap w:val="0"/>
        <w:overflowPunct/>
        <w:topLinePunct w:val="0"/>
        <w:autoSpaceDE/>
        <w:autoSpaceDN/>
        <w:bidi w:val="0"/>
        <w:ind w:left="420"/>
        <w:textAlignment w:val="auto"/>
        <w:rPr>
          <w:rFonts w:hint="eastAsia" w:ascii="宋体" w:hAnsi="宋体" w:eastAsia="宋体" w:cs="宋体"/>
          <w:color w:val="000000" w:themeColor="text1"/>
          <w:spacing w:val="0"/>
          <w14:textFill>
            <w14:solidFill>
              <w14:schemeClr w14:val="tx1"/>
            </w14:solidFill>
          </w14:textFill>
        </w:rPr>
      </w:pPr>
      <w:bookmarkStart w:id="10" w:name="_Toc16986"/>
      <w:bookmarkEnd w:id="10"/>
      <w:r>
        <w:rPr>
          <w:rFonts w:hint="eastAsia" w:ascii="宋体" w:hAnsi="宋体" w:eastAsia="宋体" w:cs="宋体"/>
          <w:color w:val="000000" w:themeColor="text1"/>
          <w:spacing w:val="0"/>
          <w14:textFill>
            <w14:solidFill>
              <w14:schemeClr w14:val="tx1"/>
            </w14:solidFill>
          </w14:textFill>
        </w:rPr>
        <w:t>四、响应文件的递交</w:t>
      </w:r>
    </w:p>
    <w:p w14:paraId="31125DFE">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13. 响应文件的密封及标记</w:t>
      </w:r>
    </w:p>
    <w:p w14:paraId="79FEB4E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13.1</w:t>
      </w:r>
      <w:r>
        <w:rPr>
          <w:rFonts w:hint="eastAsia" w:ascii="宋体" w:hAnsi="宋体" w:eastAsia="宋体" w:cs="宋体"/>
          <w:color w:val="000000" w:themeColor="text1"/>
          <w:spacing w:val="0"/>
          <w:sz w:val="24"/>
          <w:szCs w:val="24"/>
          <w:lang w:val="en-US" w:eastAsia="zh-CN"/>
          <w14:textFill>
            <w14:solidFill>
              <w14:schemeClr w14:val="tx1"/>
            </w14:solidFill>
          </w14:textFill>
        </w:rPr>
        <w:t>磋商供应商</w:t>
      </w:r>
      <w:r>
        <w:rPr>
          <w:rFonts w:hint="eastAsia" w:ascii="宋体" w:hAnsi="宋体" w:eastAsia="宋体" w:cs="宋体"/>
          <w:color w:val="000000" w:themeColor="text1"/>
          <w:spacing w:val="0"/>
          <w:sz w:val="24"/>
          <w:szCs w:val="24"/>
          <w14:textFill>
            <w14:solidFill>
              <w14:schemeClr w14:val="tx1"/>
            </w14:solidFill>
          </w14:textFill>
        </w:rPr>
        <w:t>应使用“山西省政府采购信息平台”提供的“投标文件编写工具” 编制电子</w:t>
      </w:r>
      <w:r>
        <w:rPr>
          <w:rFonts w:hint="eastAsia" w:ascii="宋体" w:hAnsi="宋体" w:eastAsia="宋体" w:cs="宋体"/>
          <w:color w:val="000000" w:themeColor="text1"/>
          <w:spacing w:val="0"/>
          <w:sz w:val="24"/>
          <w:szCs w:val="24"/>
          <w:lang w:val="en-US" w:eastAsia="zh-CN"/>
          <w14:textFill>
            <w14:solidFill>
              <w14:schemeClr w14:val="tx1"/>
            </w14:solidFill>
          </w14:textFill>
        </w:rPr>
        <w:t>响应</w:t>
      </w:r>
      <w:r>
        <w:rPr>
          <w:rFonts w:hint="eastAsia" w:ascii="宋体" w:hAnsi="宋体" w:eastAsia="宋体" w:cs="宋体"/>
          <w:color w:val="000000" w:themeColor="text1"/>
          <w:spacing w:val="0"/>
          <w:sz w:val="24"/>
          <w:szCs w:val="24"/>
          <w14:textFill>
            <w14:solidFill>
              <w14:schemeClr w14:val="tx1"/>
            </w14:solidFill>
          </w14:textFill>
        </w:rPr>
        <w:t>文件，并按</w:t>
      </w:r>
      <w:r>
        <w:rPr>
          <w:rFonts w:hint="eastAsia" w:ascii="宋体" w:hAnsi="宋体" w:eastAsia="宋体" w:cs="宋体"/>
          <w:color w:val="000000" w:themeColor="text1"/>
          <w:spacing w:val="0"/>
          <w:sz w:val="24"/>
          <w:szCs w:val="24"/>
          <w:lang w:val="en-US" w:eastAsia="zh-CN"/>
          <w14:textFill>
            <w14:solidFill>
              <w14:schemeClr w14:val="tx1"/>
            </w14:solidFill>
          </w14:textFill>
        </w:rPr>
        <w:t>磋商</w:t>
      </w:r>
      <w:r>
        <w:rPr>
          <w:rFonts w:hint="eastAsia" w:ascii="宋体" w:hAnsi="宋体" w:eastAsia="宋体" w:cs="宋体"/>
          <w:color w:val="000000" w:themeColor="text1"/>
          <w:spacing w:val="0"/>
          <w:sz w:val="24"/>
          <w:szCs w:val="24"/>
          <w14:textFill>
            <w14:solidFill>
              <w14:schemeClr w14:val="tx1"/>
            </w14:solidFill>
          </w14:textFill>
        </w:rPr>
        <w:t>文件“文件格式”要求在相应位置签章（电子章）加密，完成加密电子</w:t>
      </w:r>
      <w:r>
        <w:rPr>
          <w:rFonts w:hint="eastAsia" w:ascii="宋体" w:hAnsi="宋体" w:eastAsia="宋体" w:cs="宋体"/>
          <w:color w:val="000000" w:themeColor="text1"/>
          <w:spacing w:val="0"/>
          <w:sz w:val="24"/>
          <w:szCs w:val="24"/>
          <w:lang w:val="en-US" w:eastAsia="zh-CN"/>
          <w14:textFill>
            <w14:solidFill>
              <w14:schemeClr w14:val="tx1"/>
            </w14:solidFill>
          </w14:textFill>
        </w:rPr>
        <w:t>响应</w:t>
      </w:r>
      <w:r>
        <w:rPr>
          <w:rFonts w:hint="eastAsia" w:ascii="宋体" w:hAnsi="宋体" w:eastAsia="宋体" w:cs="宋体"/>
          <w:color w:val="000000" w:themeColor="text1"/>
          <w:spacing w:val="0"/>
          <w:sz w:val="24"/>
          <w:szCs w:val="24"/>
          <w14:textFill>
            <w14:solidFill>
              <w14:schemeClr w14:val="tx1"/>
            </w14:solidFill>
          </w14:textFill>
        </w:rPr>
        <w:t>文件的递交（上传）。</w:t>
      </w:r>
    </w:p>
    <w:p w14:paraId="10B5AE4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.2因本项目采取远程线上开标，</w:t>
      </w:r>
      <w:r>
        <w:rPr>
          <w:rFonts w:hint="eastAsia" w:ascii="宋体" w:hAnsi="宋体" w:eastAsia="宋体" w:cs="宋体"/>
          <w:color w:val="000000" w:themeColor="text1"/>
          <w:spacing w:val="0"/>
          <w:sz w:val="24"/>
          <w:szCs w:val="24"/>
          <w:lang w:val="en-US" w:eastAsia="zh-CN"/>
          <w14:textFill>
            <w14:solidFill>
              <w14:schemeClr w14:val="tx1"/>
            </w14:solidFill>
          </w14:textFill>
        </w:rPr>
        <w:t>磋商供应商</w:t>
      </w:r>
      <w:r>
        <w:rPr>
          <w:rFonts w:hint="eastAsia" w:ascii="宋体" w:hAnsi="宋体" w:eastAsia="宋体" w:cs="宋体"/>
          <w:color w:val="000000" w:themeColor="text1"/>
          <w:spacing w:val="0"/>
          <w:sz w:val="24"/>
          <w:szCs w:val="24"/>
          <w14:textFill>
            <w14:solidFill>
              <w14:schemeClr w14:val="tx1"/>
            </w14:solidFill>
          </w14:textFill>
        </w:rPr>
        <w:t>可以不到开标现场，现场无需递交纸质版</w:t>
      </w:r>
      <w:r>
        <w:rPr>
          <w:rFonts w:hint="eastAsia" w:ascii="宋体" w:hAnsi="宋体" w:eastAsia="宋体" w:cs="宋体"/>
          <w:color w:val="000000" w:themeColor="text1"/>
          <w:spacing w:val="0"/>
          <w:sz w:val="24"/>
          <w:szCs w:val="24"/>
          <w:lang w:val="en-US" w:eastAsia="zh-CN"/>
          <w14:textFill>
            <w14:solidFill>
              <w14:schemeClr w14:val="tx1"/>
            </w14:solidFill>
          </w14:textFill>
        </w:rPr>
        <w:t>响应</w:t>
      </w:r>
      <w:r>
        <w:rPr>
          <w:rFonts w:hint="eastAsia" w:ascii="宋体" w:hAnsi="宋体" w:eastAsia="宋体" w:cs="宋体"/>
          <w:color w:val="000000" w:themeColor="text1"/>
          <w:spacing w:val="0"/>
          <w:sz w:val="24"/>
          <w:szCs w:val="24"/>
          <w14:textFill>
            <w14:solidFill>
              <w14:schemeClr w14:val="tx1"/>
            </w14:solidFill>
          </w14:textFill>
        </w:rPr>
        <w:t>文件</w:t>
      </w:r>
      <w:r>
        <w:rPr>
          <w:rFonts w:hint="eastAsia" w:ascii="宋体" w:hAnsi="宋体" w:eastAsia="宋体" w:cs="宋体"/>
          <w:color w:val="000000" w:themeColor="text1"/>
          <w:spacing w:val="0"/>
          <w:sz w:val="24"/>
          <w:szCs w:val="24"/>
          <w:lang w:eastAsia="zh-CN"/>
          <w14:textFill>
            <w14:solidFill>
              <w14:schemeClr w14:val="tx1"/>
            </w14:solidFill>
          </w14:textFill>
        </w:rPr>
        <w:t>。</w:t>
      </w:r>
    </w:p>
    <w:p w14:paraId="0ECFC802">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14. 提交响应文件截止时间</w:t>
      </w:r>
    </w:p>
    <w:p w14:paraId="3EE4BC6A">
      <w:pPr>
        <w:pStyle w:val="35"/>
        <w:keepLines/>
        <w:pageBreakBefore w:val="0"/>
        <w:kinsoku/>
        <w:wordWrap w:val="0"/>
        <w:overflowPunct/>
        <w:topLinePunct/>
        <w:autoSpaceDE/>
        <w:autoSpaceDN/>
        <w:bidi w:val="0"/>
        <w:snapToGrid w:val="0"/>
        <w:spacing w:line="360" w:lineRule="auto"/>
        <w:ind w:firstLine="480" w:firstLineChars="200"/>
        <w:textAlignment w:val="auto"/>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kern w:val="2"/>
          <w:sz w:val="24"/>
          <w:szCs w:val="24"/>
          <w14:textFill>
            <w14:solidFill>
              <w14:schemeClr w14:val="tx1"/>
            </w14:solidFill>
          </w14:textFill>
        </w:rPr>
        <w:t>14.1</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供应商</w:t>
      </w:r>
      <w:r>
        <w:rPr>
          <w:rFonts w:hint="eastAsia" w:ascii="宋体" w:hAnsi="宋体" w:eastAsia="宋体" w:cs="宋体"/>
          <w:b w:val="0"/>
          <w:bCs w:val="0"/>
          <w:color w:val="000000" w:themeColor="text1"/>
          <w:spacing w:val="0"/>
          <w:sz w:val="24"/>
          <w:szCs w:val="24"/>
          <w14:textFill>
            <w14:solidFill>
              <w14:schemeClr w14:val="tx1"/>
            </w14:solidFill>
          </w14:textFill>
        </w:rPr>
        <w:t>应当在</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磋商</w:t>
      </w:r>
      <w:r>
        <w:rPr>
          <w:rFonts w:hint="eastAsia" w:ascii="宋体" w:hAnsi="宋体" w:eastAsia="宋体" w:cs="宋体"/>
          <w:b w:val="0"/>
          <w:bCs w:val="0"/>
          <w:color w:val="000000" w:themeColor="text1"/>
          <w:spacing w:val="0"/>
          <w:sz w:val="24"/>
          <w:szCs w:val="24"/>
          <w14:textFill>
            <w14:solidFill>
              <w14:schemeClr w14:val="tx1"/>
            </w14:solidFill>
          </w14:textFill>
        </w:rPr>
        <w:t>文件要求</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上传响应</w:t>
      </w:r>
      <w:r>
        <w:rPr>
          <w:rFonts w:hint="eastAsia" w:ascii="宋体" w:hAnsi="宋体" w:eastAsia="宋体" w:cs="宋体"/>
          <w:b w:val="0"/>
          <w:bCs w:val="0"/>
          <w:color w:val="000000" w:themeColor="text1"/>
          <w:spacing w:val="0"/>
          <w:sz w:val="24"/>
          <w:szCs w:val="24"/>
          <w14:textFill>
            <w14:solidFill>
              <w14:schemeClr w14:val="tx1"/>
            </w14:solidFill>
          </w14:textFill>
        </w:rPr>
        <w:t>文件的截止时间前</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详见前附表</w:t>
      </w:r>
      <w:r>
        <w:rPr>
          <w:rFonts w:hint="eastAsia" w:ascii="宋体" w:hAnsi="宋体" w:eastAsia="宋体" w:cs="宋体"/>
          <w:b w:val="0"/>
          <w:bCs w:val="0"/>
          <w:color w:val="000000" w:themeColor="text1"/>
          <w:spacing w:val="0"/>
          <w:sz w:val="24"/>
          <w:szCs w:val="24"/>
          <w:lang w:eastAsia="zh-CN"/>
          <w14:textFill>
            <w14:solidFill>
              <w14:schemeClr w14:val="tx1"/>
            </w14:solidFill>
          </w14:textFill>
        </w:rPr>
        <w:t>）</w:t>
      </w:r>
      <w:r>
        <w:rPr>
          <w:rFonts w:hint="eastAsia" w:ascii="宋体" w:hAnsi="宋体" w:eastAsia="宋体" w:cs="宋体"/>
          <w:b w:val="0"/>
          <w:bCs w:val="0"/>
          <w:color w:val="000000" w:themeColor="text1"/>
          <w:spacing w:val="0"/>
          <w:sz w:val="24"/>
          <w:szCs w:val="24"/>
          <w14:textFill>
            <w14:solidFill>
              <w14:schemeClr w14:val="tx1"/>
            </w14:solidFill>
          </w14:textFill>
        </w:rPr>
        <w:t>，将</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加密电子响应文件</w:t>
      </w:r>
      <w:r>
        <w:rPr>
          <w:rFonts w:hint="eastAsia" w:ascii="宋体" w:hAnsi="宋体" w:eastAsia="宋体" w:cs="宋体"/>
          <w:b w:val="0"/>
          <w:bCs w:val="0"/>
          <w:color w:val="000000" w:themeColor="text1"/>
          <w:spacing w:val="0"/>
          <w:sz w:val="24"/>
          <w:szCs w:val="24"/>
          <w14:textFill>
            <w14:solidFill>
              <w14:schemeClr w14:val="tx1"/>
            </w14:solidFill>
          </w14:textFill>
        </w:rPr>
        <w:t>及补充修改文件（如有的话）</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在“政采云</w:t>
      </w:r>
      <w:r>
        <w:rPr>
          <w:rFonts w:hint="eastAsia" w:ascii="宋体" w:hAnsi="宋体" w:eastAsia="宋体" w:cs="宋体"/>
          <w:b w:val="0"/>
          <w:bCs w:val="0"/>
          <w:color w:val="000000" w:themeColor="text1"/>
          <w:spacing w:val="0"/>
          <w:sz w:val="24"/>
          <w:szCs w:val="24"/>
          <w14:textFill>
            <w14:solidFill>
              <w14:schemeClr w14:val="tx1"/>
            </w14:solidFill>
          </w14:textFill>
        </w:rPr>
        <w:t>系统</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”完成上传</w:t>
      </w:r>
      <w:r>
        <w:rPr>
          <w:rFonts w:hint="eastAsia" w:ascii="宋体" w:hAnsi="宋体" w:eastAsia="宋体" w:cs="宋体"/>
          <w:b w:val="0"/>
          <w:bCs w:val="0"/>
          <w:color w:val="000000" w:themeColor="text1"/>
          <w:spacing w:val="0"/>
          <w:sz w:val="24"/>
          <w:szCs w:val="24"/>
          <w14:textFill>
            <w14:solidFill>
              <w14:schemeClr w14:val="tx1"/>
            </w14:solidFill>
          </w14:textFill>
        </w:rPr>
        <w:t>。任何单位和个人不得在开标前</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解密</w:t>
      </w:r>
      <w:r>
        <w:rPr>
          <w:rFonts w:hint="eastAsia" w:ascii="宋体" w:hAnsi="宋体" w:eastAsia="宋体" w:cs="宋体"/>
          <w:b w:val="0"/>
          <w:bCs w:val="0"/>
          <w:color w:val="000000" w:themeColor="text1"/>
          <w:spacing w:val="0"/>
          <w:sz w:val="24"/>
          <w:szCs w:val="24"/>
          <w14:textFill>
            <w14:solidFill>
              <w14:schemeClr w14:val="tx1"/>
            </w14:solidFill>
          </w14:textFill>
        </w:rPr>
        <w:t>投标文件。</w:t>
      </w:r>
    </w:p>
    <w:p w14:paraId="1A409055">
      <w:pPr>
        <w:pStyle w:val="35"/>
        <w:keepLines/>
        <w:pageBreakBefore w:val="0"/>
        <w:kinsoku/>
        <w:wordWrap w:val="0"/>
        <w:overflowPunct/>
        <w:topLinePunct/>
        <w:autoSpaceDE/>
        <w:autoSpaceDN/>
        <w:bidi w:val="0"/>
        <w:snapToGrid w:val="0"/>
        <w:spacing w:line="360" w:lineRule="auto"/>
        <w:ind w:firstLine="480" w:firstLineChars="200"/>
        <w:textAlignment w:val="auto"/>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1</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4</w:t>
      </w:r>
      <w:r>
        <w:rPr>
          <w:rFonts w:hint="eastAsia" w:ascii="宋体" w:hAnsi="宋体" w:eastAsia="宋体" w:cs="宋体"/>
          <w:b w:val="0"/>
          <w:bCs w:val="0"/>
          <w:color w:val="000000" w:themeColor="text1"/>
          <w:spacing w:val="0"/>
          <w:sz w:val="24"/>
          <w:szCs w:val="24"/>
          <w14:textFill>
            <w14:solidFill>
              <w14:schemeClr w14:val="tx1"/>
            </w14:solidFill>
          </w14:textFill>
        </w:rPr>
        <w:t>.2 采购代理机构根据本须知的规定，通过修改</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磋商</w:t>
      </w:r>
      <w:r>
        <w:rPr>
          <w:rFonts w:hint="eastAsia" w:ascii="宋体" w:hAnsi="宋体" w:eastAsia="宋体" w:cs="宋体"/>
          <w:b w:val="0"/>
          <w:bCs w:val="0"/>
          <w:color w:val="000000" w:themeColor="text1"/>
          <w:spacing w:val="0"/>
          <w:sz w:val="24"/>
          <w:szCs w:val="24"/>
          <w14:textFill>
            <w14:solidFill>
              <w14:schemeClr w14:val="tx1"/>
            </w14:solidFill>
          </w14:textFill>
        </w:rPr>
        <w:t>文件或自行决定延长投标截止日期的，采购人和</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供应商</w:t>
      </w:r>
      <w:r>
        <w:rPr>
          <w:rFonts w:hint="eastAsia" w:ascii="宋体" w:hAnsi="宋体" w:eastAsia="宋体" w:cs="宋体"/>
          <w:b w:val="0"/>
          <w:bCs w:val="0"/>
          <w:color w:val="000000" w:themeColor="text1"/>
          <w:spacing w:val="0"/>
          <w:sz w:val="24"/>
          <w:szCs w:val="24"/>
          <w14:textFill>
            <w14:solidFill>
              <w14:schemeClr w14:val="tx1"/>
            </w14:solidFill>
          </w14:textFill>
        </w:rPr>
        <w:t>受投标截止日期制约的所有权利和义务均延长至新的截止日期。</w:t>
      </w:r>
    </w:p>
    <w:p w14:paraId="3F6B3452">
      <w:pPr>
        <w:keepNext w:val="0"/>
        <w:keepLines/>
        <w:pageBreakBefore w:val="0"/>
        <w:widowControl w:val="0"/>
        <w:tabs>
          <w:tab w:val="left" w:pos="567"/>
        </w:tabs>
        <w:kinsoku/>
        <w:wordWrap w:val="0"/>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14</w:t>
      </w:r>
      <w:r>
        <w:rPr>
          <w:rFonts w:hint="eastAsia" w:ascii="宋体" w:hAnsi="宋体" w:eastAsia="宋体" w:cs="宋体"/>
          <w:b w:val="0"/>
          <w:bCs w:val="0"/>
          <w:color w:val="000000" w:themeColor="text1"/>
          <w:kern w:val="0"/>
          <w:sz w:val="24"/>
          <w:szCs w:val="24"/>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3采购代理机构在解密开始</w:t>
      </w:r>
      <w:r>
        <w:rPr>
          <w:rFonts w:hint="eastAsia" w:ascii="宋体" w:hAnsi="宋体" w:eastAsia="宋体" w:cs="宋体"/>
          <w:b w:val="0"/>
          <w:bCs w:val="0"/>
          <w:color w:val="000000" w:themeColor="text1"/>
          <w:kern w:val="0"/>
          <w:sz w:val="24"/>
          <w:szCs w:val="24"/>
          <w14:textFill>
            <w14:solidFill>
              <w14:schemeClr w14:val="tx1"/>
            </w14:solidFill>
          </w14:textFill>
        </w:rPr>
        <w:t>时间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发出解密指令，供应商接到解密信息后，在规定的解密时间内使用加密电子文件时的电子CA进行解密（可远程解密）。</w:t>
      </w:r>
    </w:p>
    <w:p w14:paraId="7CDFA02E">
      <w:pPr>
        <w:keepNext w:val="0"/>
        <w:keepLines/>
        <w:pageBreakBefore w:val="0"/>
        <w:widowControl w:val="0"/>
        <w:tabs>
          <w:tab w:val="left" w:pos="0"/>
        </w:tabs>
        <w:kinsoku/>
        <w:wordWrap w:val="0"/>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14.4由于供应商原因，未在规定时间内完成电子响应文件解密的，视为未递交投标文件，投标无效。</w:t>
      </w:r>
    </w:p>
    <w:p w14:paraId="1A5BE114">
      <w:pPr>
        <w:keepNext w:val="0"/>
        <w:keepLines/>
        <w:pageBreakBefore w:val="0"/>
        <w:widowControl w:val="0"/>
        <w:tabs>
          <w:tab w:val="left" w:pos="0"/>
        </w:tabs>
        <w:kinsoku/>
        <w:wordWrap w:val="0"/>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14.5解密截止时间后，供应商将无法对投标文件进行解密。除特殊情形需请示财政部门采用其他方式外，采购代理机构不得以任何理由延长解密时间</w:t>
      </w:r>
      <w:r>
        <w:rPr>
          <w:rFonts w:hint="eastAsia" w:ascii="宋体" w:hAnsi="宋体" w:eastAsia="宋体" w:cs="宋体"/>
          <w:b w:val="0"/>
          <w:bCs w:val="0"/>
          <w:color w:val="000000" w:themeColor="text1"/>
          <w:kern w:val="0"/>
          <w:sz w:val="24"/>
          <w:szCs w:val="24"/>
          <w14:textFill>
            <w14:solidFill>
              <w14:schemeClr w14:val="tx1"/>
            </w14:solidFill>
          </w14:textFill>
        </w:rPr>
        <w:t>。</w:t>
      </w:r>
    </w:p>
    <w:p w14:paraId="6345B65D">
      <w:pPr>
        <w:keepNext w:val="0"/>
        <w:keepLines/>
        <w:pageBreakBefore w:val="0"/>
        <w:widowControl w:val="0"/>
        <w:tabs>
          <w:tab w:val="left" w:pos="0"/>
        </w:tabs>
        <w:kinsoku/>
        <w:wordWrap w:val="0"/>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14.6</w:t>
      </w:r>
      <w:r>
        <w:rPr>
          <w:rFonts w:hint="eastAsia" w:ascii="宋体" w:hAnsi="宋体" w:eastAsia="宋体" w:cs="宋体"/>
          <w:b w:val="0"/>
          <w:bCs w:val="0"/>
          <w:color w:val="000000" w:themeColor="text1"/>
          <w:kern w:val="0"/>
          <w:sz w:val="24"/>
          <w:szCs w:val="24"/>
          <w:lang w:val="en-US"/>
          <w14:textFill>
            <w14:solidFill>
              <w14:schemeClr w14:val="tx1"/>
            </w14:solidFill>
          </w14:textFill>
        </w:rPr>
        <w:t>在</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w:t>
      </w:r>
      <w:r>
        <w:rPr>
          <w:rFonts w:hint="eastAsia" w:ascii="宋体" w:hAnsi="宋体" w:eastAsia="宋体" w:cs="宋体"/>
          <w:b w:val="0"/>
          <w:bCs w:val="0"/>
          <w:color w:val="000000" w:themeColor="text1"/>
          <w:kern w:val="0"/>
          <w:sz w:val="24"/>
          <w:szCs w:val="24"/>
          <w:lang w:val="en-US"/>
          <w14:textFill>
            <w14:solidFill>
              <w14:schemeClr w14:val="tx1"/>
            </w14:solidFill>
          </w14:textFill>
        </w:rPr>
        <w:t>文件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解密截止</w:t>
      </w:r>
      <w:r>
        <w:rPr>
          <w:rFonts w:hint="eastAsia" w:ascii="宋体" w:hAnsi="宋体" w:eastAsia="宋体" w:cs="宋体"/>
          <w:b w:val="0"/>
          <w:bCs w:val="0"/>
          <w:color w:val="000000" w:themeColor="text1"/>
          <w:kern w:val="0"/>
          <w:sz w:val="24"/>
          <w:szCs w:val="24"/>
          <w:lang w:val="en-US"/>
          <w14:textFill>
            <w14:solidFill>
              <w14:schemeClr w14:val="tx1"/>
            </w14:solidFill>
          </w14:textFill>
        </w:rPr>
        <w:t>时间</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，完成解密的供应商</w:t>
      </w:r>
      <w:r>
        <w:rPr>
          <w:rFonts w:hint="eastAsia" w:ascii="宋体" w:hAnsi="宋体" w:eastAsia="宋体" w:cs="宋体"/>
          <w:b w:val="0"/>
          <w:bCs w:val="0"/>
          <w:color w:val="000000" w:themeColor="text1"/>
          <w:kern w:val="0"/>
          <w:sz w:val="24"/>
          <w:szCs w:val="24"/>
          <w:lang w:val="en-US"/>
          <w14:textFill>
            <w14:solidFill>
              <w14:schemeClr w14:val="tx1"/>
            </w14:solidFill>
          </w14:textFill>
        </w:rPr>
        <w:t>不足法定家数时，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不得进行下一步评审程序。</w:t>
      </w:r>
    </w:p>
    <w:p w14:paraId="304B3FA4">
      <w:pPr>
        <w:keepLines/>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15．响应文件的补充、修改和撤回</w:t>
      </w:r>
    </w:p>
    <w:p w14:paraId="2259215D">
      <w:pPr>
        <w:keepNext w:val="0"/>
        <w:keepLines/>
        <w:pageBreakBefore w:val="0"/>
        <w:widowControl w:val="0"/>
        <w:tabs>
          <w:tab w:val="left" w:pos="567"/>
        </w:tabs>
        <w:kinsoku/>
        <w:wordWrap w:val="0"/>
        <w:overflowPunct/>
        <w:topLinePunct w:val="0"/>
        <w:autoSpaceDE/>
        <w:autoSpaceDN/>
        <w:bidi w:val="0"/>
        <w:snapToGrid w:val="0"/>
        <w:spacing w:line="360" w:lineRule="auto"/>
        <w:ind w:firstLine="480" w:firstLineChars="200"/>
        <w:jc w:val="left"/>
        <w:textAlignment w:val="auto"/>
        <w:outlineLvl w:val="9"/>
        <w:rPr>
          <w:rFonts w:hint="eastAsia" w:ascii="宋体" w:hAnsi="宋体" w:eastAsia="宋体" w:cs="宋体"/>
          <w:b w:val="0"/>
          <w:bCs w:val="0"/>
          <w:color w:val="000000" w:themeColor="text1"/>
          <w:kern w:val="0"/>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14:textFill>
            <w14:solidFill>
              <w14:schemeClr w14:val="tx1"/>
            </w14:solidFill>
          </w14:textFill>
        </w:rPr>
        <w:t>.1</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4"/>
          <w:szCs w:val="24"/>
          <w14:textFill>
            <w14:solidFill>
              <w14:schemeClr w14:val="tx1"/>
            </w14:solidFill>
          </w14:textFill>
        </w:rPr>
        <w:t>在</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响应文件上传截止时间</w:t>
      </w:r>
      <w:r>
        <w:rPr>
          <w:rFonts w:hint="eastAsia" w:ascii="宋体" w:hAnsi="宋体" w:eastAsia="宋体" w:cs="宋体"/>
          <w:b w:val="0"/>
          <w:bCs w:val="0"/>
          <w:color w:val="000000" w:themeColor="text1"/>
          <w:kern w:val="0"/>
          <w:sz w:val="24"/>
          <w:szCs w:val="24"/>
          <w14:textFill>
            <w14:solidFill>
              <w14:schemeClr w14:val="tx1"/>
            </w14:solidFill>
          </w14:textFill>
        </w:rPr>
        <w:t>前，可以对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w:t>
      </w:r>
      <w:r>
        <w:rPr>
          <w:rFonts w:hint="eastAsia" w:ascii="宋体" w:hAnsi="宋体" w:eastAsia="宋体" w:cs="宋体"/>
          <w:b w:val="0"/>
          <w:bCs w:val="0"/>
          <w:color w:val="000000" w:themeColor="text1"/>
          <w:kern w:val="0"/>
          <w:sz w:val="24"/>
          <w:szCs w:val="24"/>
          <w14:textFill>
            <w14:solidFill>
              <w14:schemeClr w14:val="tx1"/>
            </w14:solidFill>
          </w14:textFill>
        </w:rPr>
        <w:t>文件进行补充、修改</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补充、修改的内容作为</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w:t>
      </w:r>
      <w:r>
        <w:rPr>
          <w:rFonts w:hint="eastAsia" w:ascii="宋体" w:hAnsi="宋体" w:eastAsia="宋体" w:cs="宋体"/>
          <w:b w:val="0"/>
          <w:bCs w:val="0"/>
          <w:color w:val="000000" w:themeColor="text1"/>
          <w:kern w:val="0"/>
          <w:sz w:val="24"/>
          <w:szCs w:val="24"/>
          <w14:textFill>
            <w14:solidFill>
              <w14:schemeClr w14:val="tx1"/>
            </w14:solidFill>
          </w14:textFill>
        </w:rPr>
        <w:t>文件的组成部分。</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补充、修改内容需在“</w:t>
      </w:r>
      <w:r>
        <w:rPr>
          <w:rFonts w:hint="eastAsia" w:ascii="宋体" w:hAnsi="宋体" w:eastAsia="宋体" w:cs="宋体"/>
          <w:b w:val="0"/>
          <w:bCs w:val="0"/>
          <w:color w:val="000000" w:themeColor="text1"/>
          <w:sz w:val="24"/>
          <w:szCs w:val="24"/>
          <w:lang w:val="en-US" w:eastAsia="zh-CN"/>
          <w14:textFill>
            <w14:solidFill>
              <w14:schemeClr w14:val="tx1"/>
            </w14:solidFill>
          </w14:textFill>
        </w:rPr>
        <w:t>政采云</w:t>
      </w:r>
      <w:r>
        <w:rPr>
          <w:rFonts w:hint="eastAsia" w:ascii="宋体" w:hAnsi="宋体" w:eastAsia="宋体" w:cs="宋体"/>
          <w:b w:val="0"/>
          <w:bCs w:val="0"/>
          <w:color w:val="000000" w:themeColor="text1"/>
          <w:sz w:val="24"/>
          <w:szCs w:val="24"/>
          <w14:textFill>
            <w14:solidFill>
              <w14:schemeClr w14:val="tx1"/>
            </w14:solidFill>
          </w14:textFill>
        </w:rPr>
        <w:t>系统</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”中加密上传，未进行上传的补充、修改内容无效</w:t>
      </w:r>
      <w:r>
        <w:rPr>
          <w:rFonts w:hint="eastAsia" w:ascii="宋体" w:hAnsi="宋体" w:eastAsia="宋体" w:cs="宋体"/>
          <w:b w:val="0"/>
          <w:bCs w:val="0"/>
          <w:color w:val="000000" w:themeColor="text1"/>
          <w:kern w:val="0"/>
          <w:sz w:val="24"/>
          <w:szCs w:val="24"/>
          <w14:textFill>
            <w14:solidFill>
              <w14:schemeClr w14:val="tx1"/>
            </w14:solidFill>
          </w14:textFill>
        </w:rPr>
        <w:t>。</w:t>
      </w:r>
    </w:p>
    <w:p w14:paraId="607C86AD">
      <w:pPr>
        <w:keepNext w:val="0"/>
        <w:keepLines/>
        <w:pageBreakBefore w:val="0"/>
        <w:widowControl w:val="0"/>
        <w:tabs>
          <w:tab w:val="left" w:pos="567"/>
        </w:tabs>
        <w:kinsoku/>
        <w:wordWrap w:val="0"/>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14:textFill>
            <w14:solidFill>
              <w14:schemeClr w14:val="tx1"/>
            </w14:solidFill>
          </w14:textFill>
        </w:rPr>
        <w:t>.2补充、修改的内容应当按照</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磋商</w:t>
      </w:r>
      <w:r>
        <w:rPr>
          <w:rFonts w:hint="eastAsia" w:ascii="宋体" w:hAnsi="宋体" w:eastAsia="宋体" w:cs="宋体"/>
          <w:b w:val="0"/>
          <w:bCs w:val="0"/>
          <w:color w:val="000000" w:themeColor="text1"/>
          <w:kern w:val="0"/>
          <w:sz w:val="24"/>
          <w:szCs w:val="24"/>
          <w14:textFill>
            <w14:solidFill>
              <w14:schemeClr w14:val="tx1"/>
            </w14:solidFill>
          </w14:textFill>
        </w:rPr>
        <w:t>文件要求签署、盖章</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否则，按无效处理。</w:t>
      </w:r>
    </w:p>
    <w:p w14:paraId="57C0E2A4">
      <w:pPr>
        <w:keepNext w:val="0"/>
        <w:keepLines/>
        <w:pageBreakBefore w:val="0"/>
        <w:widowControl w:val="0"/>
        <w:tabs>
          <w:tab w:val="left" w:pos="567"/>
        </w:tabs>
        <w:kinsoku/>
        <w:wordWrap w:val="0"/>
        <w:overflowPunct/>
        <w:topLinePunct w:val="0"/>
        <w:autoSpaceDE/>
        <w:autoSpaceDN/>
        <w:bidi w:val="0"/>
        <w:snapToGrid w:val="0"/>
        <w:spacing w:line="360" w:lineRule="auto"/>
        <w:ind w:firstLine="480" w:firstLineChars="200"/>
        <w:textAlignment w:val="auto"/>
        <w:outlineLvl w:val="9"/>
        <w:rPr>
          <w:rFonts w:hint="eastAsia" w:ascii="宋体" w:hAnsi="宋体" w:eastAsia="宋体" w:cs="宋体"/>
          <w:b w:val="0"/>
          <w:bCs w:val="0"/>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14:textFill>
            <w14:solidFill>
              <w14:schemeClr w14:val="tx1"/>
            </w14:solidFill>
          </w14:textFill>
        </w:rPr>
        <w:t>1</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5</w:t>
      </w:r>
      <w:r>
        <w:rPr>
          <w:rFonts w:hint="eastAsia" w:ascii="宋体" w:hAnsi="宋体" w:eastAsia="宋体" w:cs="宋体"/>
          <w:b w:val="0"/>
          <w:bCs w:val="0"/>
          <w:color w:val="000000" w:themeColor="text1"/>
          <w:kern w:val="0"/>
          <w:sz w:val="24"/>
          <w:szCs w:val="24"/>
          <w14:textFill>
            <w14:solidFill>
              <w14:schemeClr w14:val="tx1"/>
            </w14:solidFill>
          </w14:textFill>
        </w:rPr>
        <w:t>.3在</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响应文件上传</w:t>
      </w:r>
      <w:r>
        <w:rPr>
          <w:rFonts w:hint="eastAsia" w:ascii="宋体" w:hAnsi="宋体" w:eastAsia="宋体" w:cs="宋体"/>
          <w:b w:val="0"/>
          <w:bCs w:val="0"/>
          <w:color w:val="000000" w:themeColor="text1"/>
          <w:kern w:val="0"/>
          <w:sz w:val="24"/>
          <w:szCs w:val="24"/>
          <w14:textFill>
            <w14:solidFill>
              <w14:schemeClr w14:val="tx1"/>
            </w14:solidFill>
          </w14:textFill>
        </w:rPr>
        <w:t>截止时间之后，</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4"/>
          <w:szCs w:val="24"/>
          <w14:textFill>
            <w14:solidFill>
              <w14:schemeClr w14:val="tx1"/>
            </w14:solidFill>
          </w14:textFill>
        </w:rPr>
        <w:t>不得对其</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递交的</w:t>
      </w:r>
      <w:r>
        <w:rPr>
          <w:rFonts w:hint="eastAsia" w:ascii="宋体" w:hAnsi="宋体" w:eastAsia="宋体" w:cs="宋体"/>
          <w:b w:val="0"/>
          <w:bCs w:val="0"/>
          <w:color w:val="000000" w:themeColor="text1"/>
          <w:kern w:val="0"/>
          <w:sz w:val="24"/>
          <w:szCs w:val="24"/>
          <w14:textFill>
            <w14:solidFill>
              <w14:schemeClr w14:val="tx1"/>
            </w14:solidFill>
          </w14:textFill>
        </w:rPr>
        <w:t>投标文件</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含</w:t>
      </w:r>
      <w:r>
        <w:rPr>
          <w:rFonts w:hint="eastAsia" w:ascii="宋体" w:hAnsi="宋体" w:eastAsia="宋体" w:cs="宋体"/>
          <w:b w:val="0"/>
          <w:bCs w:val="0"/>
          <w:color w:val="000000" w:themeColor="text1"/>
          <w:kern w:val="0"/>
          <w:sz w:val="24"/>
          <w:szCs w:val="24"/>
          <w14:textFill>
            <w14:solidFill>
              <w14:schemeClr w14:val="tx1"/>
            </w14:solidFill>
          </w14:textFill>
        </w:rPr>
        <w:t>补充、修改</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文件</w:t>
      </w:r>
      <w:r>
        <w:rPr>
          <w:rFonts w:hint="eastAsia" w:ascii="宋体" w:hAnsi="宋体" w:eastAsia="宋体" w:cs="宋体"/>
          <w:b w:val="0"/>
          <w:bCs w:val="0"/>
          <w:color w:val="000000" w:themeColor="text1"/>
          <w:kern w:val="0"/>
          <w:sz w:val="24"/>
          <w:szCs w:val="24"/>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14:textFill>
            <w14:solidFill>
              <w14:schemeClr w14:val="tx1"/>
            </w14:solidFill>
          </w14:textFill>
        </w:rPr>
        <w:t>进行撤回。</w:t>
      </w:r>
    </w:p>
    <w:p w14:paraId="42D6602D">
      <w:pPr>
        <w:pStyle w:val="35"/>
        <w:keepLines/>
        <w:pageBreakBefore w:val="0"/>
        <w:kinsoku/>
        <w:wordWrap w:val="0"/>
        <w:overflowPunct/>
        <w:topLinePunct/>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1</w:t>
      </w:r>
      <w:r>
        <w:rPr>
          <w:rFonts w:hint="eastAsia" w:ascii="宋体" w:hAnsi="宋体" w:eastAsia="宋体" w:cs="宋体"/>
          <w:b/>
          <w:bCs/>
          <w:color w:val="000000" w:themeColor="text1"/>
          <w:spacing w:val="0"/>
          <w:sz w:val="24"/>
          <w:szCs w:val="24"/>
          <w:lang w:val="en-US" w:eastAsia="zh-CN"/>
          <w14:textFill>
            <w14:solidFill>
              <w14:schemeClr w14:val="tx1"/>
            </w14:solidFill>
          </w14:textFill>
        </w:rPr>
        <w:t>6</w:t>
      </w:r>
      <w:r>
        <w:rPr>
          <w:rFonts w:hint="eastAsia" w:ascii="宋体" w:hAnsi="宋体" w:eastAsia="宋体" w:cs="宋体"/>
          <w:b/>
          <w:bCs/>
          <w:color w:val="000000" w:themeColor="text1"/>
          <w:spacing w:val="0"/>
          <w:sz w:val="24"/>
          <w:szCs w:val="24"/>
          <w14:textFill>
            <w14:solidFill>
              <w14:schemeClr w14:val="tx1"/>
            </w14:solidFill>
          </w14:textFill>
        </w:rPr>
        <w:t>.项目组织</w:t>
      </w:r>
    </w:p>
    <w:p w14:paraId="02FC3BD5">
      <w:pPr>
        <w:pStyle w:val="35"/>
        <w:keepLines/>
        <w:pageBreakBefore w:val="0"/>
        <w:kinsoku/>
        <w:wordWrap w:val="0"/>
        <w:overflowPunct/>
        <w:topLinePunct/>
        <w:autoSpaceDE/>
        <w:autoSpaceDN/>
        <w:bidi w:val="0"/>
        <w:snapToGrid w:val="0"/>
        <w:spacing w:line="360" w:lineRule="auto"/>
        <w:ind w:firstLine="480" w:firstLineChars="200"/>
        <w:textAlignment w:val="auto"/>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16</w:t>
      </w:r>
      <w:r>
        <w:rPr>
          <w:rFonts w:hint="eastAsia" w:ascii="宋体" w:hAnsi="宋体" w:eastAsia="宋体" w:cs="宋体"/>
          <w:b w:val="0"/>
          <w:bCs w:val="0"/>
          <w:color w:val="000000" w:themeColor="text1"/>
          <w:spacing w:val="0"/>
          <w:sz w:val="24"/>
          <w:szCs w:val="24"/>
          <w14:textFill>
            <w14:solidFill>
              <w14:schemeClr w14:val="tx1"/>
            </w14:solidFill>
          </w14:textFill>
        </w:rPr>
        <w:t>.1采购代理机构负责组织评标工作并履行相关职责。</w:t>
      </w:r>
    </w:p>
    <w:p w14:paraId="1E418737">
      <w:pPr>
        <w:pStyle w:val="35"/>
        <w:keepLines/>
        <w:pageBreakBefore w:val="0"/>
        <w:kinsoku/>
        <w:wordWrap w:val="0"/>
        <w:overflowPunct/>
        <w:topLinePunct/>
        <w:autoSpaceDE/>
        <w:autoSpaceDN/>
        <w:bidi w:val="0"/>
        <w:snapToGrid w:val="0"/>
        <w:spacing w:line="360" w:lineRule="auto"/>
        <w:ind w:firstLine="480" w:firstLineChars="200"/>
        <w:textAlignment w:val="auto"/>
        <w:rPr>
          <w:rFonts w:hint="eastAsia" w:ascii="宋体" w:hAnsi="宋体" w:eastAsia="宋体" w:cs="宋体"/>
          <w:b w:val="0"/>
          <w:bCs w:val="0"/>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sz w:val="24"/>
          <w:szCs w:val="24"/>
          <w14:textFill>
            <w14:solidFill>
              <w14:schemeClr w14:val="tx1"/>
            </w14:solidFill>
          </w14:textFill>
        </w:rPr>
        <w:t>1</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6</w:t>
      </w:r>
      <w:r>
        <w:rPr>
          <w:rFonts w:hint="eastAsia" w:ascii="宋体" w:hAnsi="宋体" w:eastAsia="宋体" w:cs="宋体"/>
          <w:b w:val="0"/>
          <w:bCs w:val="0"/>
          <w:color w:val="000000" w:themeColor="text1"/>
          <w:spacing w:val="0"/>
          <w:sz w:val="24"/>
          <w:szCs w:val="24"/>
          <w14:textFill>
            <w14:solidFill>
              <w14:schemeClr w14:val="tx1"/>
            </w14:solidFill>
          </w14:textFill>
        </w:rPr>
        <w:t>.2正常情况下，采购代理机构依据电子投标文件进行评审工作。如因不可抗因素导致业务执行系统无法正常运行时，将依据</w:t>
      </w:r>
      <w:r>
        <w:rPr>
          <w:rFonts w:hint="eastAsia" w:ascii="宋体" w:hAnsi="宋体" w:eastAsia="宋体" w:cs="宋体"/>
          <w:b w:val="0"/>
          <w:bCs w:val="0"/>
          <w:color w:val="000000" w:themeColor="text1"/>
          <w:spacing w:val="0"/>
          <w:sz w:val="24"/>
          <w:szCs w:val="24"/>
          <w:lang w:val="en-US" w:eastAsia="zh-CN"/>
          <w14:textFill>
            <w14:solidFill>
              <w14:schemeClr w14:val="tx1"/>
            </w14:solidFill>
          </w14:textFill>
        </w:rPr>
        <w:t>备份</w:t>
      </w:r>
      <w:r>
        <w:rPr>
          <w:rFonts w:hint="eastAsia" w:ascii="宋体" w:hAnsi="宋体" w:eastAsia="宋体" w:cs="宋体"/>
          <w:b w:val="0"/>
          <w:bCs w:val="0"/>
          <w:color w:val="000000" w:themeColor="text1"/>
          <w:spacing w:val="0"/>
          <w:sz w:val="24"/>
          <w:szCs w:val="24"/>
          <w14:textFill>
            <w14:solidFill>
              <w14:schemeClr w14:val="tx1"/>
            </w14:solidFill>
          </w14:textFill>
        </w:rPr>
        <w:t>投标文件进行评审工作。</w:t>
      </w:r>
    </w:p>
    <w:p w14:paraId="41A16CEE">
      <w:pPr>
        <w:pStyle w:val="35"/>
        <w:keepLines/>
        <w:pageBreakBefore w:val="0"/>
        <w:kinsoku/>
        <w:wordWrap w:val="0"/>
        <w:overflowPunct/>
        <w:topLinePunct/>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1</w:t>
      </w:r>
      <w:r>
        <w:rPr>
          <w:rFonts w:hint="eastAsia" w:ascii="宋体" w:hAnsi="宋体" w:eastAsia="宋体" w:cs="宋体"/>
          <w:b/>
          <w:bCs/>
          <w:color w:val="000000" w:themeColor="text1"/>
          <w:spacing w:val="0"/>
          <w:sz w:val="24"/>
          <w:szCs w:val="24"/>
          <w:lang w:val="en-US" w:eastAsia="zh-CN"/>
          <w14:textFill>
            <w14:solidFill>
              <w14:schemeClr w14:val="tx1"/>
            </w14:solidFill>
          </w14:textFill>
        </w:rPr>
        <w:t>7</w:t>
      </w:r>
      <w:r>
        <w:rPr>
          <w:rFonts w:hint="eastAsia" w:ascii="宋体" w:hAnsi="宋体" w:eastAsia="宋体" w:cs="宋体"/>
          <w:b/>
          <w:bCs/>
          <w:color w:val="000000" w:themeColor="text1"/>
          <w:spacing w:val="0"/>
          <w:sz w:val="24"/>
          <w:szCs w:val="24"/>
          <w14:textFill>
            <w14:solidFill>
              <w14:schemeClr w14:val="tx1"/>
            </w14:solidFill>
          </w14:textFill>
        </w:rPr>
        <w:t xml:space="preserve"> 开标及其有关事项</w:t>
      </w:r>
    </w:p>
    <w:p w14:paraId="0BB09FC8">
      <w:pPr>
        <w:pStyle w:val="35"/>
        <w:keepLines/>
        <w:pageBreakBefore w:val="0"/>
        <w:numPr>
          <w:ilvl w:val="0"/>
          <w:numId w:val="0"/>
        </w:numPr>
        <w:kinsoku/>
        <w:wordWrap w:val="0"/>
        <w:overflowPunct/>
        <w:topLinePunct/>
        <w:autoSpaceDE/>
        <w:autoSpaceDN/>
        <w:bidi w:val="0"/>
        <w:snapToGrid w:val="0"/>
        <w:spacing w:line="360" w:lineRule="auto"/>
        <w:ind w:firstLine="480" w:firstLineChars="200"/>
        <w:textAlignment w:val="auto"/>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t>17.1</w:t>
      </w:r>
      <w:r>
        <w:rPr>
          <w:rFonts w:hint="eastAsia" w:ascii="宋体" w:hAnsi="宋体" w:eastAsia="宋体" w:cs="宋体"/>
          <w:b w:val="0"/>
          <w:bCs w:val="0"/>
          <w:color w:val="000000" w:themeColor="text1"/>
          <w:spacing w:val="0"/>
          <w:sz w:val="24"/>
          <w:szCs w:val="24"/>
          <w14:textFill>
            <w14:solidFill>
              <w14:schemeClr w14:val="tx1"/>
            </w14:solidFill>
          </w14:textFill>
        </w:rPr>
        <w:t>采购代理机构</w:t>
      </w:r>
      <w:r>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t>按磋商文件规定的时间、地点主持公开开标，采购人代表、评标专家及有关工作人员参加。</w:t>
      </w:r>
    </w:p>
    <w:p w14:paraId="2D48E58D">
      <w:pPr>
        <w:pStyle w:val="3"/>
        <w:keepLines/>
        <w:pageBreakBefore w:val="0"/>
        <w:numPr>
          <w:ilvl w:val="0"/>
          <w:numId w:val="0"/>
        </w:numPr>
        <w:kinsoku/>
        <w:wordWrap w:val="0"/>
        <w:overflowPunct/>
        <w:topLinePunct/>
        <w:autoSpaceDE/>
        <w:autoSpaceDN/>
        <w:bidi w:val="0"/>
        <w:spacing w:before="0" w:after="0" w:line="360" w:lineRule="auto"/>
        <w:ind w:firstLine="480" w:firstLineChars="200"/>
        <w:jc w:val="both"/>
        <w:textAlignment w:val="auto"/>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t>17.2电子响应文件解密时间三十分钟（投标人可在政采云系统中远程解密）。在规定时间内未完成电子响应文件解密的，视为未递交响应文件，投标无效。</w:t>
      </w:r>
    </w:p>
    <w:p w14:paraId="3412D698">
      <w:pPr>
        <w:pStyle w:val="3"/>
        <w:keepLines/>
        <w:pageBreakBefore w:val="0"/>
        <w:numPr>
          <w:ilvl w:val="0"/>
          <w:numId w:val="0"/>
        </w:numPr>
        <w:kinsoku/>
        <w:wordWrap w:val="0"/>
        <w:overflowPunct/>
        <w:topLinePunct/>
        <w:autoSpaceDE/>
        <w:autoSpaceDN/>
        <w:bidi w:val="0"/>
        <w:spacing w:before="0" w:after="0" w:line="360" w:lineRule="auto"/>
        <w:ind w:firstLine="480" w:firstLineChars="200"/>
        <w:jc w:val="both"/>
        <w:textAlignment w:val="auto"/>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t>17.3投标人不足三家的，不得开标。</w:t>
      </w:r>
    </w:p>
    <w:p w14:paraId="481CE6E7">
      <w:pPr>
        <w:pStyle w:val="3"/>
        <w:keepLines/>
        <w:pageBreakBefore w:val="0"/>
        <w:numPr>
          <w:ilvl w:val="0"/>
          <w:numId w:val="0"/>
        </w:numPr>
        <w:kinsoku/>
        <w:wordWrap w:val="0"/>
        <w:overflowPunct/>
        <w:topLinePunct/>
        <w:autoSpaceDE/>
        <w:autoSpaceDN/>
        <w:bidi w:val="0"/>
        <w:spacing w:before="0" w:after="0" w:line="360" w:lineRule="auto"/>
        <w:ind w:firstLine="480" w:firstLineChars="200"/>
        <w:jc w:val="both"/>
        <w:textAlignment w:val="auto"/>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t>17.4 投标人在“政府采购投标系统”中自行查看开标结果。</w:t>
      </w:r>
    </w:p>
    <w:p w14:paraId="699B07F5">
      <w:pPr>
        <w:pStyle w:val="3"/>
        <w:keepLines/>
        <w:pageBreakBefore w:val="0"/>
        <w:numPr>
          <w:ilvl w:val="0"/>
          <w:numId w:val="0"/>
        </w:numPr>
        <w:kinsoku/>
        <w:wordWrap w:val="0"/>
        <w:overflowPunct/>
        <w:topLinePunct/>
        <w:autoSpaceDE/>
        <w:autoSpaceDN/>
        <w:bidi w:val="0"/>
        <w:spacing w:before="0" w:after="0" w:line="360" w:lineRule="auto"/>
        <w:ind w:firstLine="480" w:firstLineChars="200"/>
        <w:jc w:val="both"/>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 w:val="0"/>
          <w:bCs w:val="0"/>
          <w:color w:val="000000" w:themeColor="text1"/>
          <w:spacing w:val="0"/>
          <w:kern w:val="0"/>
          <w:sz w:val="24"/>
          <w:szCs w:val="24"/>
          <w:lang w:val="en-US" w:eastAsia="zh-CN" w:bidi="ar-SA"/>
          <w14:textFill>
            <w14:solidFill>
              <w14:schemeClr w14:val="tx1"/>
            </w14:solidFill>
          </w14:textFill>
        </w:rPr>
        <w:t>17.5如因不可抗因素导致业务执行系统无法正常运行时，采购代理机构将以投标截止时间之前递交的纸质响应文件为依据进行现场唱标，并让供应商对唱标结果进行确认。</w:t>
      </w:r>
    </w:p>
    <w:p w14:paraId="1BEFFBF7">
      <w:pPr>
        <w:pStyle w:val="3"/>
        <w:keepLines/>
        <w:pageBreakBefore w:val="0"/>
        <w:kinsoku/>
        <w:wordWrap w:val="0"/>
        <w:overflowPunct/>
        <w:topLinePunct w:val="0"/>
        <w:autoSpaceDE/>
        <w:autoSpaceDN/>
        <w:bidi w:val="0"/>
        <w:ind w:left="420"/>
        <w:textAlignment w:val="auto"/>
        <w:rPr>
          <w:rFonts w:hint="eastAsia" w:ascii="宋体" w:hAnsi="宋体" w:eastAsia="宋体" w:cs="宋体"/>
          <w:color w:val="000000" w:themeColor="text1"/>
          <w:spacing w:val="0"/>
          <w14:textFill>
            <w14:solidFill>
              <w14:schemeClr w14:val="tx1"/>
            </w14:solidFill>
          </w14:textFill>
        </w:rPr>
      </w:pPr>
      <w:bookmarkStart w:id="11" w:name="_Toc21646"/>
      <w:bookmarkEnd w:id="11"/>
      <w:r>
        <w:rPr>
          <w:rFonts w:hint="eastAsia" w:ascii="宋体" w:hAnsi="宋体" w:eastAsia="宋体" w:cs="宋体"/>
          <w:color w:val="000000" w:themeColor="text1"/>
          <w:spacing w:val="0"/>
          <w14:textFill>
            <w14:solidFill>
              <w14:schemeClr w14:val="tx1"/>
            </w14:solidFill>
          </w14:textFill>
        </w:rPr>
        <w:t>五、磋商采购程序</w:t>
      </w:r>
    </w:p>
    <w:p w14:paraId="787CE25C">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lang w:val="en-US" w:eastAsia="zh-CN"/>
          <w14:textFill>
            <w14:solidFill>
              <w14:schemeClr w14:val="tx1"/>
            </w14:solidFill>
          </w14:textFill>
        </w:rPr>
        <w:t>18</w:t>
      </w:r>
      <w:r>
        <w:rPr>
          <w:rFonts w:hint="eastAsia" w:ascii="宋体" w:hAnsi="宋体" w:eastAsia="宋体" w:cs="宋体"/>
          <w:b/>
          <w:color w:val="000000" w:themeColor="text1"/>
          <w:spacing w:val="0"/>
          <w:sz w:val="24"/>
          <w:szCs w:val="24"/>
          <w14:textFill>
            <w14:solidFill>
              <w14:schemeClr w14:val="tx1"/>
            </w14:solidFill>
          </w14:textFill>
        </w:rPr>
        <w:t xml:space="preserve"> 成立磋商小组</w:t>
      </w:r>
    </w:p>
    <w:p w14:paraId="79ADA26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t>18.1 采购代理机构（或采购人）根据有关法律法规和本竞争性磋商文件的规定，结合本招标项目的特点组建磋商小组，对具备实质性响应的竞争性磋商响应文件进行评估和比较。磋商小组按政府采购有关法律法规的规定,磋商小组由三人及以上单数组成，其中经济、技术等方面的专家不少于三分之二。在中国山西政府采购网上专家库随机抽取评标专家组成磋商小组，负责本项目的评标工作。采购代理机构单位负责评标过程中的记录、联络及评委会交办的其他工作。评委会按照“客观公正，实事求是”的原则，评价参加本次招标的供应商所提供的服务对竞争性磋商文件的符合性及响应性。专家人数详见供应商须知前附表。</w:t>
      </w:r>
    </w:p>
    <w:p w14:paraId="4D29421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t>18.2采购代理机构（或采购人）就竞争性磋商文件征询过意见的专家,不得作为评标专家参加评标，采购单位人员不得以专家身份参与评标，采购机构工作人员不得参加评标。</w:t>
      </w:r>
    </w:p>
    <w:p w14:paraId="30E3FBF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t>18.3磋商小组负责完成具体的磋商评审事务，提出经磋商小组签字的书面磋商评审报告。</w:t>
      </w:r>
    </w:p>
    <w:p w14:paraId="2F4B7BC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 xml:space="preserve">磋商活动的组织工作由采购代理机构负责。 </w:t>
      </w:r>
    </w:p>
    <w:p w14:paraId="1211CFA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1</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8</w:t>
      </w:r>
      <w:r>
        <w:rPr>
          <w:rFonts w:hint="eastAsia" w:ascii="宋体" w:hAnsi="宋体" w:eastAsia="宋体" w:cs="宋体"/>
          <w:b w:val="0"/>
          <w:bCs/>
          <w:color w:val="000000" w:themeColor="text1"/>
          <w:spacing w:val="0"/>
          <w:sz w:val="24"/>
          <w:szCs w:val="24"/>
          <w14:textFill>
            <w14:solidFill>
              <w14:schemeClr w14:val="tx1"/>
            </w14:solidFill>
          </w14:textFill>
        </w:rPr>
        <w:t>.</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5</w:t>
      </w:r>
      <w:r>
        <w:rPr>
          <w:rFonts w:hint="eastAsia" w:ascii="宋体" w:hAnsi="宋体" w:eastAsia="宋体" w:cs="宋体"/>
          <w:b w:val="0"/>
          <w:bCs/>
          <w:color w:val="000000" w:themeColor="text1"/>
          <w:spacing w:val="0"/>
          <w:sz w:val="24"/>
          <w:szCs w:val="24"/>
          <w14:textFill>
            <w14:solidFill>
              <w14:schemeClr w14:val="tx1"/>
            </w14:solidFill>
          </w14:textFill>
        </w:rPr>
        <w:t>正常情况下，采购代理机构依据电子响应文件进行磋商工作。如因不可抗因素导致业务执行系统无法正常运行时，将依据纸质响应文件进行磋商工作。</w:t>
      </w:r>
    </w:p>
    <w:p w14:paraId="5D78ED7B">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1</w:t>
      </w:r>
      <w:r>
        <w:rPr>
          <w:rFonts w:hint="eastAsia" w:ascii="宋体" w:hAnsi="宋体" w:eastAsia="宋体" w:cs="宋体"/>
          <w:b/>
          <w:color w:val="000000" w:themeColor="text1"/>
          <w:spacing w:val="0"/>
          <w:sz w:val="24"/>
          <w:szCs w:val="24"/>
          <w:lang w:val="en-US" w:eastAsia="zh-CN"/>
          <w14:textFill>
            <w14:solidFill>
              <w14:schemeClr w14:val="tx1"/>
            </w14:solidFill>
          </w14:textFill>
        </w:rPr>
        <w:t>9</w:t>
      </w:r>
      <w:r>
        <w:rPr>
          <w:rFonts w:hint="eastAsia" w:ascii="宋体" w:hAnsi="宋体" w:eastAsia="宋体" w:cs="宋体"/>
          <w:b/>
          <w:color w:val="000000" w:themeColor="text1"/>
          <w:spacing w:val="0"/>
          <w:sz w:val="24"/>
          <w:szCs w:val="24"/>
          <w14:textFill>
            <w14:solidFill>
              <w14:schemeClr w14:val="tx1"/>
            </w14:solidFill>
          </w14:textFill>
        </w:rPr>
        <w:t>. 响应文件审查</w:t>
      </w:r>
    </w:p>
    <w:p w14:paraId="5D4664E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auto"/>
          <w:spacing w:val="0"/>
          <w:sz w:val="24"/>
          <w:szCs w:val="24"/>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.1磋商小组进行资格性检查及有效性、完整性、</w:t>
      </w:r>
      <w:r>
        <w:rPr>
          <w:rFonts w:hint="eastAsia" w:ascii="宋体" w:hAnsi="宋体" w:eastAsia="宋体" w:cs="宋体"/>
          <w:color w:val="auto"/>
          <w:spacing w:val="0"/>
          <w:sz w:val="24"/>
          <w:szCs w:val="24"/>
        </w:rPr>
        <w:t>响应程度审查，应严格遵循本文件第</w:t>
      </w:r>
      <w:r>
        <w:rPr>
          <w:rFonts w:hint="eastAsia" w:ascii="宋体" w:hAnsi="宋体" w:eastAsia="宋体" w:cs="宋体"/>
          <w:color w:val="auto"/>
          <w:spacing w:val="0"/>
          <w:sz w:val="24"/>
          <w:szCs w:val="24"/>
          <w:lang w:val="en-US" w:eastAsia="zh-CN"/>
        </w:rPr>
        <w:t>六</w:t>
      </w:r>
      <w:r>
        <w:rPr>
          <w:rFonts w:hint="eastAsia" w:ascii="宋体" w:hAnsi="宋体" w:eastAsia="宋体" w:cs="宋体"/>
          <w:color w:val="auto"/>
          <w:spacing w:val="0"/>
          <w:sz w:val="24"/>
          <w:szCs w:val="24"/>
        </w:rPr>
        <w:t>部分评定和成交标准中的相关规定。</w:t>
      </w:r>
    </w:p>
    <w:p w14:paraId="3A59A82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.2 资格性检查，</w:t>
      </w:r>
      <w:r>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t>应严格遵循本文件第六部分评定和成交标准中的相关规定</w:t>
      </w:r>
      <w:r>
        <w:rPr>
          <w:rFonts w:hint="eastAsia" w:ascii="宋体" w:hAnsi="宋体" w:eastAsia="宋体" w:cs="宋体"/>
          <w:color w:val="000000" w:themeColor="text1"/>
          <w:spacing w:val="0"/>
          <w:sz w:val="24"/>
          <w:szCs w:val="24"/>
          <w14:textFill>
            <w14:solidFill>
              <w14:schemeClr w14:val="tx1"/>
            </w14:solidFill>
          </w14:textFill>
        </w:rPr>
        <w:t>。</w:t>
      </w:r>
    </w:p>
    <w:p w14:paraId="41BBC3B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 xml:space="preserve">.3 </w:t>
      </w:r>
      <w:r>
        <w:rPr>
          <w:rFonts w:hint="eastAsia" w:ascii="宋体" w:hAnsi="宋体" w:eastAsia="宋体" w:cs="宋体"/>
          <w:bCs/>
          <w:color w:val="000000" w:themeColor="text1"/>
          <w:spacing w:val="0"/>
          <w:sz w:val="24"/>
          <w:szCs w:val="24"/>
          <w14:textFill>
            <w14:solidFill>
              <w14:schemeClr w14:val="tx1"/>
            </w14:solidFill>
          </w14:textFill>
        </w:rPr>
        <w:t>有效性、完整性和响应程度审查，</w:t>
      </w:r>
      <w:r>
        <w:rPr>
          <w:rFonts w:hint="eastAsia" w:ascii="宋体" w:hAnsi="宋体" w:eastAsia="宋体" w:cs="宋体"/>
          <w:color w:val="000000" w:themeColor="text1"/>
          <w:spacing w:val="0"/>
          <w:sz w:val="24"/>
          <w:szCs w:val="24"/>
          <w14:textFill>
            <w14:solidFill>
              <w14:schemeClr w14:val="tx1"/>
            </w14:solidFill>
          </w14:textFill>
        </w:rPr>
        <w:t>由磋商小组依据磋商文件的规定进行审查，以确定响应文件是否对磋商文件的实质性要求作出响应。</w:t>
      </w:r>
    </w:p>
    <w:p w14:paraId="6100881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28BB78A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.3.2 磋商小组要求磋商供应商澄清、说明或者更正响应文件应当在“政府采购投标系统”中提出，磋商供应商对磋商小组提出的澄清、说明或者补正的要求需采用加盖电子签章的形式进行响应。</w:t>
      </w:r>
    </w:p>
    <w:p w14:paraId="2CF99F4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.3.3磋商供应商在进行澄清、说明、更正时，需自行准备电脑终端设备（电脑终端设备需具备IE11及IE11以上的浏览器和数字证书驱动），携带数字证书（USBKey）。</w:t>
      </w:r>
    </w:p>
    <w:p w14:paraId="3B078C36">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1</w:t>
      </w:r>
      <w:r>
        <w:rPr>
          <w:rFonts w:hint="eastAsia" w:ascii="宋体" w:hAnsi="宋体" w:eastAsia="宋体" w:cs="宋体"/>
          <w:b/>
          <w:bCs/>
          <w:color w:val="000000" w:themeColor="text1"/>
          <w:spacing w:val="0"/>
          <w:sz w:val="24"/>
          <w:szCs w:val="24"/>
          <w:lang w:val="en-US" w:eastAsia="zh-CN"/>
          <w14:textFill>
            <w14:solidFill>
              <w14:schemeClr w14:val="tx1"/>
            </w14:solidFill>
          </w14:textFill>
        </w:rPr>
        <w:t>9</w:t>
      </w:r>
      <w:r>
        <w:rPr>
          <w:rFonts w:hint="eastAsia" w:ascii="宋体" w:hAnsi="宋体" w:eastAsia="宋体" w:cs="宋体"/>
          <w:b/>
          <w:bCs/>
          <w:color w:val="000000" w:themeColor="text1"/>
          <w:spacing w:val="0"/>
          <w:sz w:val="24"/>
          <w:szCs w:val="24"/>
          <w14:textFill>
            <w14:solidFill>
              <w14:schemeClr w14:val="tx1"/>
            </w14:solidFill>
          </w14:textFill>
        </w:rPr>
        <w:t>.4评审中遵循的原则</w:t>
      </w:r>
    </w:p>
    <w:p w14:paraId="68A1A1C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 xml:space="preserve">.4.1审查中，磋商供应商存在下列情况之一的，磋商无效： </w:t>
      </w:r>
    </w:p>
    <w:p w14:paraId="4C418BB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A、未按磋商文件的规定提交响应保证金的；</w:t>
      </w:r>
    </w:p>
    <w:p w14:paraId="7425263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B、响应文件未按磋商文件要求签署、盖章的；</w:t>
      </w:r>
    </w:p>
    <w:p w14:paraId="017AFF4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C、不具备磋商文件规定的资格要求的；</w:t>
      </w:r>
    </w:p>
    <w:p w14:paraId="021F4D7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D、报价超过磋商文件规定预算金额或者最高限价的；</w:t>
      </w:r>
    </w:p>
    <w:p w14:paraId="4D287CF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E、响应文件含有采购人不能接受的附加条件的；</w:t>
      </w:r>
    </w:p>
    <w:p w14:paraId="5C69477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F、法律、法规和磋商文件规定的其他无效情形的。</w:t>
      </w:r>
    </w:p>
    <w:p w14:paraId="531AFDB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 xml:space="preserve">.4.2在磋商过程中发现磋商有下列情形的，磋商小组应认定其磋商无效，并书面报告本级财政部门： </w:t>
      </w:r>
    </w:p>
    <w:p w14:paraId="6153CD7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A、有恶意串通的；</w:t>
      </w:r>
    </w:p>
    <w:p w14:paraId="2D6116E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B、有妨碍其他磋商供应商的竞争行为的；</w:t>
      </w:r>
    </w:p>
    <w:p w14:paraId="77DEB17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C、有损害采购人或者其他磋商供应商的合法权益的。</w:t>
      </w:r>
    </w:p>
    <w:p w14:paraId="7B5C839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.4.3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lang w:eastAsia="zh-CN"/>
        </w:rPr>
        <w:t>）</w:t>
      </w:r>
      <w:r>
        <w:rPr>
          <w:rFonts w:hint="eastAsia" w:ascii="宋体" w:hAnsi="宋体" w:eastAsia="宋体" w:cs="宋体"/>
          <w:color w:val="000000" w:themeColor="text1"/>
          <w:spacing w:val="0"/>
          <w:sz w:val="24"/>
          <w:szCs w:val="24"/>
          <w14:textFill>
            <w14:solidFill>
              <w14:schemeClr w14:val="tx1"/>
            </w14:solidFill>
          </w14:textFill>
        </w:rPr>
        <w:t>磋商供应商有下列情形之一的，视为串通行为，其磋商无效：</w:t>
      </w:r>
    </w:p>
    <w:p w14:paraId="60ACFB0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A、不同磋商供应商的响应文件由同一单位或者个人编制，或上传电子响应文件的IP地址一致的。</w:t>
      </w:r>
    </w:p>
    <w:p w14:paraId="3139E61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B、不同磋商供应商委托同一单位或者个人办理磋商事宜；</w:t>
      </w:r>
    </w:p>
    <w:p w14:paraId="49EF0D3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C、不同磋商供应商的响应文件载明的项目管理成员或者联系人为同一人；</w:t>
      </w:r>
    </w:p>
    <w:p w14:paraId="12BEF18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D、不同磋商供应商的响应文件异常一致或者报价呈规律性差异；</w:t>
      </w:r>
    </w:p>
    <w:p w14:paraId="48222EF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E、不同磋商供应商的响应文件相互混装；</w:t>
      </w:r>
    </w:p>
    <w:p w14:paraId="62053FA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F、不同磋商供应商的保证金从同一单位或者个人的账户转出。</w:t>
      </w:r>
    </w:p>
    <w:p w14:paraId="40D3B63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二</w:t>
      </w:r>
      <w:r>
        <w:rPr>
          <w:rFonts w:hint="eastAsia" w:ascii="宋体" w:hAnsi="宋体" w:eastAsia="宋体" w:cs="宋体"/>
          <w:color w:val="000000" w:themeColor="text1"/>
          <w:spacing w:val="0"/>
          <w:sz w:val="24"/>
          <w:szCs w:val="24"/>
          <w14:textFill>
            <w14:solidFill>
              <w14:schemeClr w14:val="tx1"/>
            </w14:solidFill>
          </w14:textFill>
        </w:rPr>
        <w:t>)电子化采购项目视为串通情形的认定</w:t>
      </w:r>
    </w:p>
    <w:p w14:paraId="246BFDE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1.电子化招标项目视为串通情形的认定</w:t>
      </w:r>
    </w:p>
    <w:p w14:paraId="09A2132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44EEEAB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系统记录的参加同一项目的不同投标人编制电子投标文件使用的计算机或上传电子投标文件使用的计算机网卡MAC地址、IP地址一致的，属于《政府采购货物和服务招标投标管理办法》(财政部令第87号)第三十七条第(一)项“不同投标人的投标文件由同一单位或者个人编制”的情形</w:t>
      </w:r>
    </w:p>
    <w:p w14:paraId="6D70A15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投标人上传的电子投标文件若出现使用本项目其他投标人的数字证书加密的或加盖本项目的其他投标人的电子印章的，属于《政府采购货物和服务招标投标管理办法》 (财政部令第87号) 第三十七条第(五)项“不同投标人的投标文件相互混装”的情形。</w:t>
      </w:r>
    </w:p>
    <w:p w14:paraId="24BAE79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2.电子化非招标项目视为串通情形的认定</w:t>
      </w:r>
    </w:p>
    <w:p w14:paraId="6167ADE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电子化非招标项目 (包括竞争性谈判、竞争性磋商、询价)中出现本通知“电子化招标项目视为串通情形的认定”所列情形的，属于《中华人民共和国政府采购法实施条例》第七十四条第 (七)项“供应商与采购人或者采购代理机构之间、供应商相互之间，为谋求特定供应商中标、成交或者排斥其他供应商的其他串通行为”。</w:t>
      </w:r>
    </w:p>
    <w:p w14:paraId="4BD6DB4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3.电子化项目视为串通情形的处理</w:t>
      </w:r>
    </w:p>
    <w:p w14:paraId="5C0BF7C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采购人、采购代理机构应当将上述情形在采购文件中予以明确。在开标过程中，发现投标供应商有上述情形的，采购人、采购代理机构应当根据采购文件认定串通行为，认定其投标(响应)无效，没收其保证金，并书面报告本级财政部门;在评审过程中发现投标供应商有上述情形的，资格审查小组或评标委员会(谈判小组、磋商小组、询价小组》应当根据采购文件认定串通行为，认定其投标(响应)无效，没收其保证金，评审报告应详细记录相关情况，由采购代理机构(集中采购机构)书面报告本级财政部门。各级财政部门收到书面报告的，应当组织开展调查，并依法追究法律责任。</w:t>
      </w:r>
    </w:p>
    <w:p w14:paraId="3CCA353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供应商未缴纳保证金或未上传电子投标(响应)文件(包括投标截止时间前撤回投标文件)或未按采购文件的要求于规定时间内解密采购文件的，不认定为串通投标。</w:t>
      </w:r>
    </w:p>
    <w:p w14:paraId="6328F3C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p>
    <w:p w14:paraId="4C2A437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 xml:space="preserve">.4.4审查中，对明显的文字和计算错误按下述原则处理： </w:t>
      </w:r>
    </w:p>
    <w:p w14:paraId="25E37C8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A、如果正本与副本不一致，以正本为准；</w:t>
      </w:r>
    </w:p>
    <w:p w14:paraId="467DAD9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B、报价一览表内容与响应文件中相应内容不一致的,以报价一览表为准；</w:t>
      </w:r>
    </w:p>
    <w:p w14:paraId="6DD6FFB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C、大写金额和小写金额不一致的，以大写金额为准；</w:t>
      </w:r>
    </w:p>
    <w:p w14:paraId="4688912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D、单价金额小数点或百分比有明显错误的，以报价一览表的总价为准，并修改单价；</w:t>
      </w:r>
    </w:p>
    <w:p w14:paraId="686FC72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E、总价金额与按单价汇总金额不一致的，以单价金额计算结果为准； </w:t>
      </w:r>
    </w:p>
    <w:p w14:paraId="750B86D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磋商小组将要求磋商供应商按上述原则在“政府采购投标系统”内确认。磋商供应商确认后的报价对磋商供应商具有约束力，如果磋商供应商不予确认，其报价无效。</w:t>
      </w:r>
    </w:p>
    <w:p w14:paraId="4A0F844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.5未通过资格性检查或未实质性响应磋商文件</w:t>
      </w:r>
      <w:r>
        <w:rPr>
          <w:rFonts w:hint="eastAsia" w:ascii="宋体" w:hAnsi="宋体" w:eastAsia="宋体" w:cs="宋体"/>
          <w:bCs/>
          <w:color w:val="000000" w:themeColor="text1"/>
          <w:spacing w:val="0"/>
          <w:sz w:val="24"/>
          <w:szCs w:val="24"/>
          <w14:textFill>
            <w14:solidFill>
              <w14:schemeClr w14:val="tx1"/>
            </w14:solidFill>
          </w14:textFill>
        </w:rPr>
        <w:t>规定要求的响应文件按无效处理，</w:t>
      </w:r>
      <w:r>
        <w:rPr>
          <w:rFonts w:hint="eastAsia" w:ascii="宋体" w:hAnsi="宋体" w:eastAsia="宋体" w:cs="宋体"/>
          <w:color w:val="000000" w:themeColor="text1"/>
          <w:spacing w:val="0"/>
          <w:sz w:val="24"/>
          <w:szCs w:val="24"/>
          <w14:textFill>
            <w14:solidFill>
              <w14:schemeClr w14:val="tx1"/>
            </w14:solidFill>
          </w14:textFill>
        </w:rPr>
        <w:t>磋商小组须及时告知有关磋商供应商。</w:t>
      </w:r>
    </w:p>
    <w:p w14:paraId="65EB428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.6实质性响应的响应文件是指与磋商文件的条款、条件和规格相符，根据本磋商文件规定的审查内容，经磋商小组认定的没有重大偏离或保留的响应文件。</w:t>
      </w:r>
    </w:p>
    <w:p w14:paraId="2FF4D58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w:t>
      </w:r>
      <w:r>
        <w:rPr>
          <w:rFonts w:hint="eastAsia" w:ascii="宋体" w:hAnsi="宋体" w:eastAsia="宋体" w:cs="宋体"/>
          <w:color w:val="000000" w:themeColor="text1"/>
          <w:spacing w:val="0"/>
          <w:sz w:val="24"/>
          <w:szCs w:val="24"/>
          <w:lang w:val="en-US" w:eastAsia="zh-CN"/>
          <w14:textFill>
            <w14:solidFill>
              <w14:schemeClr w14:val="tx1"/>
            </w14:solidFill>
          </w14:textFill>
        </w:rPr>
        <w:t>9</w:t>
      </w:r>
      <w:r>
        <w:rPr>
          <w:rFonts w:hint="eastAsia" w:ascii="宋体" w:hAnsi="宋体" w:eastAsia="宋体" w:cs="宋体"/>
          <w:color w:val="000000" w:themeColor="text1"/>
          <w:spacing w:val="0"/>
          <w:sz w:val="24"/>
          <w:szCs w:val="24"/>
          <w14:textFill>
            <w14:solidFill>
              <w14:schemeClr w14:val="tx1"/>
            </w14:solidFill>
          </w14:textFill>
        </w:rPr>
        <w:t>.7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055D2F5B">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lang w:val="en-US" w:eastAsia="zh-CN"/>
          <w14:textFill>
            <w14:solidFill>
              <w14:schemeClr w14:val="tx1"/>
            </w14:solidFill>
          </w14:textFill>
        </w:rPr>
        <w:t>20</w:t>
      </w:r>
      <w:r>
        <w:rPr>
          <w:rFonts w:hint="eastAsia" w:ascii="宋体" w:hAnsi="宋体" w:eastAsia="宋体" w:cs="宋体"/>
          <w:b/>
          <w:color w:val="000000" w:themeColor="text1"/>
          <w:spacing w:val="0"/>
          <w:sz w:val="24"/>
          <w:szCs w:val="24"/>
          <w14:textFill>
            <w14:solidFill>
              <w14:schemeClr w14:val="tx1"/>
            </w14:solidFill>
          </w14:textFill>
        </w:rPr>
        <w:t>．</w:t>
      </w:r>
      <w:r>
        <w:rPr>
          <w:rFonts w:hint="eastAsia" w:ascii="宋体" w:hAnsi="宋体" w:eastAsia="宋体" w:cs="宋体"/>
          <w:b/>
          <w:bCs/>
          <w:color w:val="000000" w:themeColor="text1"/>
          <w:spacing w:val="0"/>
          <w:sz w:val="24"/>
          <w:szCs w:val="24"/>
          <w14:textFill>
            <w14:solidFill>
              <w14:schemeClr w14:val="tx1"/>
            </w14:solidFill>
          </w14:textFill>
        </w:rPr>
        <w:t>磋商</w:t>
      </w:r>
    </w:p>
    <w:p w14:paraId="4068CFA7">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lang w:val="en-US" w:eastAsia="zh-CN"/>
          <w14:textFill>
            <w14:solidFill>
              <w14:schemeClr w14:val="tx1"/>
            </w14:solidFill>
          </w14:textFill>
        </w:rPr>
        <w:t>20</w:t>
      </w:r>
      <w:r>
        <w:rPr>
          <w:rFonts w:hint="eastAsia" w:ascii="宋体" w:hAnsi="宋体" w:eastAsia="宋体" w:cs="宋体"/>
          <w:b/>
          <w:bCs/>
          <w:color w:val="000000" w:themeColor="text1"/>
          <w:spacing w:val="0"/>
          <w:sz w:val="24"/>
          <w:szCs w:val="24"/>
          <w14:textFill>
            <w14:solidFill>
              <w14:schemeClr w14:val="tx1"/>
            </w14:solidFill>
          </w14:textFill>
        </w:rPr>
        <w:t xml:space="preserve">.1 </w:t>
      </w:r>
      <w:r>
        <w:rPr>
          <w:rFonts w:hint="eastAsia" w:ascii="宋体" w:hAnsi="宋体" w:eastAsia="宋体" w:cs="宋体"/>
          <w:color w:val="000000" w:themeColor="text1"/>
          <w:spacing w:val="0"/>
          <w:sz w:val="24"/>
          <w:szCs w:val="24"/>
          <w14:textFill>
            <w14:solidFill>
              <w14:schemeClr w14:val="tx1"/>
            </w14:solidFill>
          </w14:textFill>
        </w:rPr>
        <w:t>磋商小组所有成员集中与单一磋商供应商分别进行磋商，并给予所有参加磋商的磋商供应商平等的磋商机会。</w:t>
      </w:r>
    </w:p>
    <w:p w14:paraId="79FE6B6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.2 磋商的顺序，</w:t>
      </w:r>
      <w:r>
        <w:rPr>
          <w:rFonts w:hint="eastAsia" w:ascii="宋体" w:hAnsi="宋体" w:eastAsia="宋体" w:cs="宋体"/>
          <w:color w:val="000000" w:themeColor="text1"/>
          <w:spacing w:val="0"/>
          <w:kern w:val="2"/>
          <w:sz w:val="24"/>
          <w:szCs w:val="24"/>
          <w:lang w:val="en-US" w:eastAsia="zh-CN" w:bidi="ar-SA"/>
          <w14:textFill>
            <w14:solidFill>
              <w14:schemeClr w14:val="tx1"/>
            </w14:solidFill>
          </w14:textFill>
        </w:rPr>
        <w:t>按照随机的顺序进行或者按照磋商供应商须知前附表的规定执行。</w:t>
      </w:r>
    </w:p>
    <w:p w14:paraId="007634F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.3 磋商内容包括货物/服务</w:t>
      </w:r>
      <w:r>
        <w:rPr>
          <w:rFonts w:hint="eastAsia" w:ascii="宋体" w:hAnsi="宋体" w:eastAsia="宋体" w:cs="宋体"/>
          <w:color w:val="000000" w:themeColor="text1"/>
          <w:spacing w:val="0"/>
          <w:sz w:val="24"/>
          <w:szCs w:val="24"/>
          <w:lang w:val="en-US" w:eastAsia="zh-CN"/>
          <w14:textFill>
            <w14:solidFill>
              <w14:schemeClr w14:val="tx1"/>
            </w14:solidFill>
          </w14:textFill>
        </w:rPr>
        <w:t>/工程</w:t>
      </w:r>
      <w:r>
        <w:rPr>
          <w:rFonts w:hint="eastAsia" w:ascii="宋体" w:hAnsi="宋体" w:eastAsia="宋体" w:cs="宋体"/>
          <w:color w:val="000000" w:themeColor="text1"/>
          <w:spacing w:val="0"/>
          <w:sz w:val="24"/>
          <w:szCs w:val="24"/>
          <w14:textFill>
            <w14:solidFill>
              <w14:schemeClr w14:val="tx1"/>
            </w14:solidFill>
          </w14:textFill>
        </w:rPr>
        <w:t>的技术配置、售后服务、服务方案、价格等采购需求以及磋商小组认为有必要明确的其它问题。</w:t>
      </w:r>
    </w:p>
    <w:p w14:paraId="5EE12E2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lang w:val="en-US" w:eastAsia="zh-CN"/>
          <w14:textFill>
            <w14:solidFill>
              <w14:schemeClr w14:val="tx1"/>
            </w14:solidFill>
          </w14:textFill>
        </w:rPr>
        <w:t>20</w:t>
      </w:r>
      <w:r>
        <w:rPr>
          <w:rFonts w:hint="eastAsia" w:ascii="宋体" w:hAnsi="宋体" w:eastAsia="宋体" w:cs="宋体"/>
          <w:bCs/>
          <w:color w:val="000000" w:themeColor="text1"/>
          <w:spacing w:val="0"/>
          <w:sz w:val="24"/>
          <w:szCs w:val="24"/>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磋商时，磋商小组根据情况，可以要求或同意磋商供应商就某些磋商事项作出明确的承诺，承诺内容需在“政府采购投标系统”中以加盖法人电子签章的形式进行响应。作为响应文件的组成部分。</w:t>
      </w:r>
    </w:p>
    <w:p w14:paraId="2137867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lang w:val="en-US" w:eastAsia="zh-CN"/>
          <w14:textFill>
            <w14:solidFill>
              <w14:schemeClr w14:val="tx1"/>
            </w14:solidFill>
          </w14:textFill>
        </w:rPr>
        <w:t>20</w:t>
      </w:r>
      <w:r>
        <w:rPr>
          <w:rFonts w:hint="eastAsia" w:ascii="宋体" w:hAnsi="宋体" w:eastAsia="宋体" w:cs="宋体"/>
          <w:bCs/>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531676B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6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府采购投标系统”内通知所有参加磋商的磋商供应商，使每个磋商供应商均同时获得磋商文件的变动情况，磋商供应商接到该通知要按照采购代理机构要求加盖法人电子签章进行确认。</w:t>
      </w:r>
    </w:p>
    <w:p w14:paraId="5E98429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.7 对磋商文件作出的实质性变动的内容是磋商文件的有效组成部分，该通知由磋商小组成员共同签字。</w:t>
      </w:r>
    </w:p>
    <w:p w14:paraId="0BAB4B3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5DA6DCE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.8.1 如发生的实质性变动内容较简单，参加磋商的供应商在“政府采购投标系统”内能够做出承诺，并且经磋商小组认可，可以以提交响应文件补充文件的形式提交响应文件。</w:t>
      </w:r>
    </w:p>
    <w:p w14:paraId="6EED242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50F7D6A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.9 磋商供应商按照磋商文件变动情况和磋商小组要求重新提交的响应文件，除要对磋商文件变动的内容做出实质性响应外，还要做出新的一轮报价。</w:t>
      </w:r>
    </w:p>
    <w:p w14:paraId="1D7F558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.10</w:t>
      </w:r>
      <w:r>
        <w:rPr>
          <w:rFonts w:hint="eastAsia" w:ascii="宋体" w:hAnsi="宋体" w:eastAsia="宋体" w:cs="宋体"/>
          <w:bCs/>
          <w:color w:val="000000" w:themeColor="text1"/>
          <w:spacing w:val="0"/>
          <w:sz w:val="24"/>
          <w:szCs w:val="24"/>
          <w14:textFill>
            <w14:solidFill>
              <w14:schemeClr w14:val="tx1"/>
            </w14:solidFill>
          </w14:textFill>
        </w:rPr>
        <w:t>磋商小组应对磋商供应商重新提交的响应文件</w:t>
      </w:r>
      <w:r>
        <w:rPr>
          <w:rFonts w:hint="eastAsia" w:ascii="宋体" w:hAnsi="宋体" w:eastAsia="宋体" w:cs="宋体"/>
          <w:color w:val="000000" w:themeColor="text1"/>
          <w:spacing w:val="0"/>
          <w:sz w:val="24"/>
          <w:szCs w:val="24"/>
          <w14:textFill>
            <w14:solidFill>
              <w14:schemeClr w14:val="tx1"/>
            </w14:solidFill>
          </w14:textFill>
        </w:rPr>
        <w:t>进行</w:t>
      </w:r>
      <w:r>
        <w:rPr>
          <w:rFonts w:hint="eastAsia" w:ascii="宋体" w:hAnsi="宋体" w:eastAsia="宋体" w:cs="宋体"/>
          <w:bCs/>
          <w:color w:val="000000" w:themeColor="text1"/>
          <w:spacing w:val="0"/>
          <w:sz w:val="24"/>
          <w:szCs w:val="24"/>
          <w14:textFill>
            <w14:solidFill>
              <w14:schemeClr w14:val="tx1"/>
            </w14:solidFill>
          </w14:textFill>
        </w:rPr>
        <w:t>审查。</w:t>
      </w:r>
    </w:p>
    <w:p w14:paraId="45199A3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lang w:val="en-US" w:eastAsia="zh-CN"/>
          <w14:textFill>
            <w14:solidFill>
              <w14:schemeClr w14:val="tx1"/>
            </w14:solidFill>
          </w14:textFill>
        </w:rPr>
        <w:t>20</w:t>
      </w:r>
      <w:r>
        <w:rPr>
          <w:rFonts w:hint="eastAsia" w:ascii="宋体" w:hAnsi="宋体" w:eastAsia="宋体" w:cs="宋体"/>
          <w:bCs/>
          <w:color w:val="000000" w:themeColor="text1"/>
          <w:spacing w:val="0"/>
          <w:sz w:val="24"/>
          <w:szCs w:val="24"/>
          <w14:textFill>
            <w14:solidFill>
              <w14:schemeClr w14:val="tx1"/>
            </w14:solidFill>
          </w14:textFill>
        </w:rPr>
        <w:t>.11</w:t>
      </w:r>
      <w:r>
        <w:rPr>
          <w:rFonts w:hint="eastAsia" w:ascii="宋体" w:hAnsi="宋体" w:eastAsia="宋体" w:cs="宋体"/>
          <w:color w:val="000000" w:themeColor="text1"/>
          <w:spacing w:val="0"/>
          <w:sz w:val="24"/>
          <w:szCs w:val="24"/>
          <w14:textFill>
            <w14:solidFill>
              <w14:schemeClr w14:val="tx1"/>
            </w14:solidFill>
          </w14:textFill>
        </w:rPr>
        <w:t>根据磋商文件（包括实质性变动的内容）和磋商供应商重新提交的响应文件，磋商小组所有成员集中与单一磋商供应商分别进行新一轮的磋商。</w:t>
      </w:r>
    </w:p>
    <w:p w14:paraId="2BBE2C3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.12 经磋商、审查，磋商供应商重新提交的响应文件全部实质性响应了磋商文件的要求，在满足3家以上磋商供应商的竞争要求的情况下，进入最后报价。</w:t>
      </w:r>
    </w:p>
    <w:p w14:paraId="2F01B4D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lang w:val="en-US" w:eastAsia="zh-CN"/>
          <w14:textFill>
            <w14:solidFill>
              <w14:schemeClr w14:val="tx1"/>
            </w14:solidFill>
          </w14:textFill>
        </w:rPr>
        <w:t>20</w:t>
      </w:r>
      <w:r>
        <w:rPr>
          <w:rFonts w:hint="eastAsia" w:ascii="宋体" w:hAnsi="宋体" w:eastAsia="宋体" w:cs="宋体"/>
          <w:color w:val="000000" w:themeColor="text1"/>
          <w:spacing w:val="0"/>
          <w:sz w:val="24"/>
          <w:szCs w:val="24"/>
          <w14:textFill>
            <w14:solidFill>
              <w14:schemeClr w14:val="tx1"/>
            </w14:solidFill>
          </w14:textFill>
        </w:rPr>
        <w:t>.13 已提交响应文件的供应商，在提交最后报价之前，可以根据磋商情况退出磋商。采购代理机构将在本项目成交通知书发出后5个工作日内退还退出磋商的磋商供应商的保证金。</w:t>
      </w:r>
    </w:p>
    <w:p w14:paraId="3FACFE74">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i/>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1</w:t>
      </w:r>
      <w:r>
        <w:rPr>
          <w:rFonts w:hint="eastAsia" w:ascii="宋体" w:hAnsi="宋体" w:eastAsia="宋体" w:cs="宋体"/>
          <w:b/>
          <w:color w:val="000000" w:themeColor="text1"/>
          <w:spacing w:val="0"/>
          <w:sz w:val="24"/>
          <w:szCs w:val="24"/>
          <w14:textFill>
            <w14:solidFill>
              <w14:schemeClr w14:val="tx1"/>
            </w14:solidFill>
          </w14:textFill>
        </w:rPr>
        <w:t>. 最后报价</w:t>
      </w:r>
    </w:p>
    <w:p w14:paraId="5120C79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.1磋商文件对技术、服务要求已详细列明，磋商结束后，所有继续参加磋商的供应商（不得少于3家）要按照磋商小组的要求在规定时间内提交最后报价。</w:t>
      </w:r>
    </w:p>
    <w:p w14:paraId="69ADAB5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 xml:space="preserve">.2 </w:t>
      </w:r>
      <w:r>
        <w:rPr>
          <w:rFonts w:hint="eastAsia" w:ascii="宋体" w:hAnsi="宋体" w:eastAsia="宋体" w:cs="宋体"/>
          <w:bCs/>
          <w:color w:val="000000" w:themeColor="text1"/>
          <w:spacing w:val="0"/>
          <w:sz w:val="24"/>
          <w:szCs w:val="24"/>
          <w14:textFill>
            <w14:solidFill>
              <w14:schemeClr w14:val="tx1"/>
            </w14:solidFill>
          </w14:textFill>
        </w:rPr>
        <w:t>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686D0BB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2</w:t>
      </w:r>
      <w:r>
        <w:rPr>
          <w:rFonts w:hint="eastAsia" w:ascii="宋体" w:hAnsi="宋体" w:eastAsia="宋体" w:cs="宋体"/>
          <w:bCs/>
          <w:color w:val="000000" w:themeColor="text1"/>
          <w:spacing w:val="0"/>
          <w:sz w:val="24"/>
          <w:szCs w:val="24"/>
          <w:lang w:val="en-US" w:eastAsia="zh-CN"/>
          <w14:textFill>
            <w14:solidFill>
              <w14:schemeClr w14:val="tx1"/>
            </w14:solidFill>
          </w14:textFill>
        </w:rPr>
        <w:t>1</w:t>
      </w:r>
      <w:r>
        <w:rPr>
          <w:rFonts w:hint="eastAsia" w:ascii="宋体" w:hAnsi="宋体" w:eastAsia="宋体" w:cs="宋体"/>
          <w:bCs/>
          <w:color w:val="000000" w:themeColor="text1"/>
          <w:spacing w:val="0"/>
          <w:sz w:val="24"/>
          <w:szCs w:val="24"/>
          <w14:textFill>
            <w14:solidFill>
              <w14:schemeClr w14:val="tx1"/>
            </w14:solidFill>
          </w14:textFill>
        </w:rPr>
        <w:t>.3磋商结束后，磋商小组将在“政府采购评标系统”中下达最后报价通知及最后报价截止时间，磋商供应商在</w:t>
      </w:r>
      <w:r>
        <w:rPr>
          <w:rFonts w:hint="eastAsia" w:ascii="宋体" w:hAnsi="宋体" w:eastAsia="宋体" w:cs="宋体"/>
          <w:bCs/>
          <w:color w:val="000000" w:themeColor="text1"/>
          <w:spacing w:val="0"/>
          <w:sz w:val="24"/>
          <w:szCs w:val="24"/>
          <w:lang w:eastAsia="zh-CN"/>
          <w14:textFill>
            <w14:solidFill>
              <w14:schemeClr w14:val="tx1"/>
            </w14:solidFill>
          </w14:textFill>
        </w:rPr>
        <w:t>网上</w:t>
      </w:r>
      <w:r>
        <w:rPr>
          <w:rFonts w:hint="eastAsia" w:ascii="宋体" w:hAnsi="宋体" w:eastAsia="宋体" w:cs="宋体"/>
          <w:bCs/>
          <w:color w:val="000000" w:themeColor="text1"/>
          <w:spacing w:val="0"/>
          <w:sz w:val="24"/>
          <w:szCs w:val="24"/>
          <w14:textFill>
            <w14:solidFill>
              <w14:schemeClr w14:val="tx1"/>
            </w14:solidFill>
          </w14:textFill>
        </w:rPr>
        <w:t>进行最后报价。最后报价是响应文件有效的组成部分。</w:t>
      </w:r>
    </w:p>
    <w:p w14:paraId="7A9ACF2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2</w:t>
      </w:r>
      <w:r>
        <w:rPr>
          <w:rFonts w:hint="eastAsia" w:ascii="宋体" w:hAnsi="宋体" w:eastAsia="宋体" w:cs="宋体"/>
          <w:bCs/>
          <w:color w:val="000000" w:themeColor="text1"/>
          <w:spacing w:val="0"/>
          <w:sz w:val="24"/>
          <w:szCs w:val="24"/>
          <w:lang w:val="en-US" w:eastAsia="zh-CN"/>
          <w14:textFill>
            <w14:solidFill>
              <w14:schemeClr w14:val="tx1"/>
            </w14:solidFill>
          </w14:textFill>
        </w:rPr>
        <w:t>1</w:t>
      </w:r>
      <w:r>
        <w:rPr>
          <w:rFonts w:hint="eastAsia" w:ascii="宋体" w:hAnsi="宋体" w:eastAsia="宋体" w:cs="宋体"/>
          <w:bCs/>
          <w:color w:val="000000" w:themeColor="text1"/>
          <w:spacing w:val="0"/>
          <w:sz w:val="24"/>
          <w:szCs w:val="24"/>
          <w14:textFill>
            <w14:solidFill>
              <w14:schemeClr w14:val="tx1"/>
            </w14:solidFill>
          </w14:textFill>
        </w:rPr>
        <w:t>.4磋商供应商应在自行准备的电脑终端设备上及时关注磋商小组下达的最后报价通知，不论何种原因，磋商供应商如未在规定时间</w:t>
      </w:r>
      <w:r>
        <w:rPr>
          <w:rFonts w:hint="eastAsia" w:ascii="宋体" w:hAnsi="宋体" w:eastAsia="宋体" w:cs="宋体"/>
          <w:bCs/>
          <w:color w:val="000000" w:themeColor="text1"/>
          <w:spacing w:val="0"/>
          <w:sz w:val="24"/>
          <w:szCs w:val="24"/>
          <w:lang w:val="en-US" w:eastAsia="zh-CN"/>
          <w14:textFill>
            <w14:solidFill>
              <w14:schemeClr w14:val="tx1"/>
            </w14:solidFill>
          </w14:textFill>
        </w:rPr>
        <w:t>10分钟</w:t>
      </w:r>
      <w:r>
        <w:rPr>
          <w:rFonts w:hint="eastAsia" w:ascii="宋体" w:hAnsi="宋体" w:eastAsia="宋体" w:cs="宋体"/>
          <w:bCs/>
          <w:color w:val="000000" w:themeColor="text1"/>
          <w:spacing w:val="0"/>
          <w:sz w:val="24"/>
          <w:szCs w:val="24"/>
          <w14:textFill>
            <w14:solidFill>
              <w14:schemeClr w14:val="tx1"/>
            </w14:solidFill>
          </w14:textFill>
        </w:rPr>
        <w:t>内完成最后报价，视为主动退出磋商。</w:t>
      </w:r>
    </w:p>
    <w:p w14:paraId="7116EBA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2</w:t>
      </w:r>
      <w:r>
        <w:rPr>
          <w:rFonts w:hint="eastAsia" w:ascii="宋体" w:hAnsi="宋体" w:eastAsia="宋体" w:cs="宋体"/>
          <w:bCs/>
          <w:color w:val="000000" w:themeColor="text1"/>
          <w:spacing w:val="0"/>
          <w:sz w:val="24"/>
          <w:szCs w:val="24"/>
          <w:lang w:val="en-US" w:eastAsia="zh-CN"/>
          <w14:textFill>
            <w14:solidFill>
              <w14:schemeClr w14:val="tx1"/>
            </w14:solidFill>
          </w14:textFill>
        </w:rPr>
        <w:t>1</w:t>
      </w:r>
      <w:r>
        <w:rPr>
          <w:rFonts w:hint="eastAsia" w:ascii="宋体" w:hAnsi="宋体" w:eastAsia="宋体" w:cs="宋体"/>
          <w:bCs/>
          <w:color w:val="000000" w:themeColor="text1"/>
          <w:spacing w:val="0"/>
          <w:sz w:val="24"/>
          <w:szCs w:val="24"/>
          <w14:textFill>
            <w14:solidFill>
              <w14:schemeClr w14:val="tx1"/>
            </w14:solidFill>
          </w14:textFill>
        </w:rPr>
        <w:t>.5“政府采购评标系统”将在最后报价截止时间后，将所有磋商供应商的最后报价一次性统一显示给磋商小组。</w:t>
      </w:r>
    </w:p>
    <w:p w14:paraId="4EBAA59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color w:val="000000" w:themeColor="text1"/>
          <w:spacing w:val="0"/>
          <w:sz w:val="24"/>
          <w:szCs w:val="24"/>
          <w:lang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21.6</w:t>
      </w:r>
      <w:r>
        <w:rPr>
          <w:rFonts w:hint="eastAsia" w:ascii="宋体" w:hAnsi="宋体" w:eastAsia="宋体" w:cs="宋体"/>
          <w:b w:val="0"/>
          <w:bCs/>
          <w:color w:val="000000" w:themeColor="text1"/>
          <w:spacing w:val="0"/>
          <w:sz w:val="24"/>
          <w:szCs w:val="24"/>
          <w:lang w:eastAsia="zh-CN"/>
          <w14:textFill>
            <w14:solidFill>
              <w14:schemeClr w14:val="tx1"/>
            </w14:solidFill>
          </w14:textFill>
        </w:rPr>
        <w:t>磋商小组</w:t>
      </w:r>
      <w:r>
        <w:rPr>
          <w:rFonts w:hint="eastAsia" w:ascii="宋体" w:hAnsi="宋体" w:eastAsia="宋体" w:cs="宋体"/>
          <w:b w:val="0"/>
          <w:bCs/>
          <w:color w:val="000000" w:themeColor="text1"/>
          <w:spacing w:val="0"/>
          <w:sz w:val="24"/>
          <w:szCs w:val="24"/>
          <w14:textFill>
            <w14:solidFill>
              <w14:schemeClr w14:val="tx1"/>
            </w14:solidFill>
          </w14:textFill>
        </w:rPr>
        <w:t>认为</w:t>
      </w:r>
      <w:r>
        <w:rPr>
          <w:rFonts w:hint="eastAsia" w:ascii="宋体" w:hAnsi="宋体" w:eastAsia="宋体" w:cs="宋体"/>
          <w:b w:val="0"/>
          <w:bCs/>
          <w:color w:val="000000" w:themeColor="text1"/>
          <w:spacing w:val="0"/>
          <w:sz w:val="24"/>
          <w:szCs w:val="24"/>
          <w:lang w:eastAsia="zh-CN"/>
          <w14:textFill>
            <w14:solidFill>
              <w14:schemeClr w14:val="tx1"/>
            </w14:solidFill>
          </w14:textFill>
        </w:rPr>
        <w:t>供应商</w:t>
      </w:r>
      <w:r>
        <w:rPr>
          <w:rFonts w:hint="eastAsia" w:ascii="宋体" w:hAnsi="宋体" w:eastAsia="宋体" w:cs="宋体"/>
          <w:b w:val="0"/>
          <w:bCs/>
          <w:color w:val="000000" w:themeColor="text1"/>
          <w:spacing w:val="0"/>
          <w:sz w:val="24"/>
          <w:szCs w:val="24"/>
          <w14:textFill>
            <w14:solidFill>
              <w14:schemeClr w14:val="tx1"/>
            </w14:solidFill>
          </w14:textFill>
        </w:rPr>
        <w:t>的报价明显低于其他通过符合性审查</w:t>
      </w:r>
      <w:r>
        <w:rPr>
          <w:rFonts w:hint="eastAsia" w:ascii="宋体" w:hAnsi="宋体" w:eastAsia="宋体" w:cs="宋体"/>
          <w:b w:val="0"/>
          <w:bCs/>
          <w:color w:val="000000" w:themeColor="text1"/>
          <w:spacing w:val="0"/>
          <w:sz w:val="24"/>
          <w:szCs w:val="24"/>
          <w:lang w:eastAsia="zh-CN"/>
          <w14:textFill>
            <w14:solidFill>
              <w14:schemeClr w14:val="tx1"/>
            </w14:solidFill>
          </w14:textFill>
        </w:rPr>
        <w:t>供应商</w:t>
      </w:r>
      <w:r>
        <w:rPr>
          <w:rFonts w:hint="eastAsia" w:ascii="宋体" w:hAnsi="宋体" w:eastAsia="宋体" w:cs="宋体"/>
          <w:b w:val="0"/>
          <w:bCs/>
          <w:color w:val="000000" w:themeColor="text1"/>
          <w:spacing w:val="0"/>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b w:val="0"/>
          <w:bCs/>
          <w:color w:val="000000" w:themeColor="text1"/>
          <w:spacing w:val="0"/>
          <w:sz w:val="24"/>
          <w:szCs w:val="24"/>
          <w:lang w:eastAsia="zh-CN"/>
          <w14:textFill>
            <w14:solidFill>
              <w14:schemeClr w14:val="tx1"/>
            </w14:solidFill>
          </w14:textFill>
        </w:rPr>
        <w:t>供应商</w:t>
      </w:r>
      <w:r>
        <w:rPr>
          <w:rFonts w:hint="eastAsia" w:ascii="宋体" w:hAnsi="宋体" w:eastAsia="宋体" w:cs="宋体"/>
          <w:b w:val="0"/>
          <w:bCs/>
          <w:color w:val="000000" w:themeColor="text1"/>
          <w:spacing w:val="0"/>
          <w:sz w:val="24"/>
          <w:szCs w:val="24"/>
          <w14:textFill>
            <w14:solidFill>
              <w14:schemeClr w14:val="tx1"/>
            </w14:solidFill>
          </w14:textFill>
        </w:rPr>
        <w:t>不能证明其报价合理性的，</w:t>
      </w:r>
      <w:r>
        <w:rPr>
          <w:rFonts w:hint="eastAsia" w:ascii="宋体" w:hAnsi="宋体" w:eastAsia="宋体" w:cs="宋体"/>
          <w:b w:val="0"/>
          <w:bCs/>
          <w:color w:val="000000" w:themeColor="text1"/>
          <w:spacing w:val="0"/>
          <w:sz w:val="24"/>
          <w:szCs w:val="24"/>
          <w:lang w:eastAsia="zh-CN"/>
          <w14:textFill>
            <w14:solidFill>
              <w14:schemeClr w14:val="tx1"/>
            </w14:solidFill>
          </w14:textFill>
        </w:rPr>
        <w:t>磋商小组</w:t>
      </w:r>
      <w:r>
        <w:rPr>
          <w:rFonts w:hint="eastAsia" w:ascii="宋体" w:hAnsi="宋体" w:eastAsia="宋体" w:cs="宋体"/>
          <w:b w:val="0"/>
          <w:bCs/>
          <w:color w:val="000000" w:themeColor="text1"/>
          <w:spacing w:val="0"/>
          <w:sz w:val="24"/>
          <w:szCs w:val="24"/>
          <w14:textFill>
            <w14:solidFill>
              <w14:schemeClr w14:val="tx1"/>
            </w14:solidFill>
          </w14:textFill>
        </w:rPr>
        <w:t>应当将其作为无效投标处理</w:t>
      </w:r>
      <w:r>
        <w:rPr>
          <w:rFonts w:hint="eastAsia" w:ascii="宋体" w:hAnsi="宋体" w:eastAsia="宋体" w:cs="宋体"/>
          <w:b w:val="0"/>
          <w:bCs/>
          <w:color w:val="000000" w:themeColor="text1"/>
          <w:spacing w:val="0"/>
          <w:sz w:val="24"/>
          <w:szCs w:val="24"/>
          <w:lang w:eastAsia="zh-CN"/>
          <w14:textFill>
            <w14:solidFill>
              <w14:schemeClr w14:val="tx1"/>
            </w14:solidFill>
          </w14:textFill>
        </w:rPr>
        <w:t>，具体要求详见供应商须知前附表的规定。</w:t>
      </w:r>
    </w:p>
    <w:p w14:paraId="0124E14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lang w:val="en-US" w:eastAsia="zh-CN"/>
          <w14:textFill>
            <w14:solidFill>
              <w14:schemeClr w14:val="tx1"/>
            </w14:solidFill>
          </w14:textFill>
        </w:rPr>
      </w:pPr>
    </w:p>
    <w:p w14:paraId="2B80D644">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2</w:t>
      </w:r>
      <w:r>
        <w:rPr>
          <w:rFonts w:hint="eastAsia" w:ascii="宋体" w:hAnsi="宋体" w:eastAsia="宋体" w:cs="宋体"/>
          <w:b/>
          <w:color w:val="000000" w:themeColor="text1"/>
          <w:spacing w:val="0"/>
          <w:sz w:val="24"/>
          <w:szCs w:val="24"/>
          <w14:textFill>
            <w14:solidFill>
              <w14:schemeClr w14:val="tx1"/>
            </w14:solidFill>
          </w14:textFill>
        </w:rPr>
        <w:t>.综合评审</w:t>
      </w:r>
    </w:p>
    <w:p w14:paraId="5400672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.1 经磋商确定最终采购需求和提交最后报价的供应商后，由磋商小组采用综合评分法对提交最后报价的磋商供应商的响应文件和最后报价进行综合评分。</w:t>
      </w:r>
    </w:p>
    <w:p w14:paraId="0157A79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.2 采用综合评分法评审，应按照磋商文件</w:t>
      </w:r>
      <w:r>
        <w:rPr>
          <w:rFonts w:hint="eastAsia" w:ascii="宋体" w:hAnsi="宋体" w:eastAsia="宋体" w:cs="宋体"/>
          <w:bCs/>
          <w:color w:val="000000" w:themeColor="text1"/>
          <w:spacing w:val="0"/>
          <w:sz w:val="24"/>
          <w:szCs w:val="24"/>
          <w14:textFill>
            <w14:solidFill>
              <w14:schemeClr w14:val="tx1"/>
            </w14:solidFill>
          </w14:textFill>
        </w:rPr>
        <w:t>第六部分评定和成交标准</w:t>
      </w:r>
      <w:r>
        <w:rPr>
          <w:rFonts w:hint="eastAsia" w:ascii="宋体" w:hAnsi="宋体" w:eastAsia="宋体" w:cs="宋体"/>
          <w:color w:val="000000" w:themeColor="text1"/>
          <w:spacing w:val="0"/>
          <w:sz w:val="24"/>
          <w:szCs w:val="24"/>
          <w14:textFill>
            <w14:solidFill>
              <w14:schemeClr w14:val="tx1"/>
            </w14:solidFill>
          </w14:textFill>
        </w:rPr>
        <w:t>中规定的综合评分法评分细则进行。</w:t>
      </w:r>
    </w:p>
    <w:p w14:paraId="0988803F">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3</w:t>
      </w:r>
      <w:r>
        <w:rPr>
          <w:rFonts w:hint="eastAsia" w:ascii="宋体" w:hAnsi="宋体" w:eastAsia="宋体" w:cs="宋体"/>
          <w:b/>
          <w:color w:val="000000" w:themeColor="text1"/>
          <w:spacing w:val="0"/>
          <w:sz w:val="24"/>
          <w:szCs w:val="24"/>
          <w14:textFill>
            <w14:solidFill>
              <w14:schemeClr w14:val="tx1"/>
            </w14:solidFill>
          </w14:textFill>
        </w:rPr>
        <w:t>. 推荐成交候选供应商</w:t>
      </w:r>
    </w:p>
    <w:p w14:paraId="2CF26C2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.1 磋商小组根据</w:t>
      </w:r>
      <w:r>
        <w:rPr>
          <w:rFonts w:hint="eastAsia" w:ascii="宋体" w:hAnsi="宋体" w:eastAsia="宋体" w:cs="宋体"/>
          <w:bCs/>
          <w:color w:val="000000" w:themeColor="text1"/>
          <w:spacing w:val="0"/>
          <w:sz w:val="24"/>
          <w:szCs w:val="24"/>
          <w14:textFill>
            <w14:solidFill>
              <w14:schemeClr w14:val="tx1"/>
            </w14:solidFill>
          </w14:textFill>
        </w:rPr>
        <w:t>综合评分情况，</w:t>
      </w:r>
      <w:r>
        <w:rPr>
          <w:rFonts w:hint="eastAsia" w:ascii="宋体" w:hAnsi="宋体" w:eastAsia="宋体" w:cs="宋体"/>
          <w:color w:val="000000" w:themeColor="text1"/>
          <w:spacing w:val="0"/>
          <w:sz w:val="24"/>
          <w:szCs w:val="24"/>
          <w14:textFill>
            <w14:solidFill>
              <w14:schemeClr w14:val="tx1"/>
            </w14:solidFill>
          </w14:textFill>
        </w:rPr>
        <w:t>按评审得分由高到低顺序推荐成交候选供应商，得分相同的，按最后报价由低到高顺序排列。得分和最后报价均相同的，按技术指标优劣顺序排列。</w:t>
      </w:r>
    </w:p>
    <w:p w14:paraId="704D980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.2 磋商小组组长根据磋商过程中形成的原始记录和评审结果编写评审报告，由磋商小组全体人员签字认可。</w:t>
      </w:r>
    </w:p>
    <w:p w14:paraId="031DA037">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4</w:t>
      </w:r>
      <w:r>
        <w:rPr>
          <w:rFonts w:hint="eastAsia" w:ascii="宋体" w:hAnsi="宋体" w:eastAsia="宋体" w:cs="宋体"/>
          <w:b/>
          <w:color w:val="000000" w:themeColor="text1"/>
          <w:spacing w:val="0"/>
          <w:sz w:val="24"/>
          <w:szCs w:val="24"/>
          <w14:textFill>
            <w14:solidFill>
              <w14:schemeClr w14:val="tx1"/>
            </w14:solidFill>
          </w14:textFill>
        </w:rPr>
        <w:t xml:space="preserve">. 评审复核    </w:t>
      </w:r>
    </w:p>
    <w:p w14:paraId="0CDEDF7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.1评审结果汇总完成后，除下列情形外，任何人不得修改评审结果：</w:t>
      </w:r>
    </w:p>
    <w:p w14:paraId="58E5DC5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A、分值汇总计算错误的；</w:t>
      </w:r>
    </w:p>
    <w:p w14:paraId="0D134C1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B、分项评分超出评分标准范围的；</w:t>
      </w:r>
    </w:p>
    <w:p w14:paraId="28F68E3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C、磋商小组对客观评审因素评分不一致的；</w:t>
      </w:r>
    </w:p>
    <w:p w14:paraId="31ABD88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D、经磋商小组认定评分畸高、畸低的；</w:t>
      </w:r>
    </w:p>
    <w:p w14:paraId="3CAEC9D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3A02372D">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5</w:t>
      </w:r>
      <w:r>
        <w:rPr>
          <w:rFonts w:hint="eastAsia" w:ascii="宋体" w:hAnsi="宋体" w:eastAsia="宋体" w:cs="宋体"/>
          <w:b/>
          <w:color w:val="000000" w:themeColor="text1"/>
          <w:spacing w:val="0"/>
          <w:sz w:val="24"/>
          <w:szCs w:val="24"/>
          <w14:textFill>
            <w14:solidFill>
              <w14:schemeClr w14:val="tx1"/>
            </w14:solidFill>
          </w14:textFill>
        </w:rPr>
        <w:t>. 磋商保密</w:t>
      </w:r>
    </w:p>
    <w:p w14:paraId="6EE0ED6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.1采购人、采购代理机构要采取必要措施，保证磋商在严格保密的情况下进行。除采购人代表、磋商现场组织人员外，采购人的其他工作人员以及与磋商工作无关的人员不得进入磋商现场。</w:t>
      </w:r>
    </w:p>
    <w:p w14:paraId="0B0E332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.2有关人员对磋商情况以及在磋商过程中获悉的国家秘密、商业秘密负有保密责任；任何人不得透露与磋商有关的其他磋商供应商的技术资料、价格和其他信息。</w:t>
      </w:r>
    </w:p>
    <w:p w14:paraId="6B4E63A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.3 磋商结束后，参与评审磋商的所有人员不得带走磋商现场的任何资料。</w:t>
      </w:r>
    </w:p>
    <w:p w14:paraId="01E845BE">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6</w:t>
      </w:r>
      <w:r>
        <w:rPr>
          <w:rFonts w:hint="eastAsia" w:ascii="宋体" w:hAnsi="宋体" w:eastAsia="宋体" w:cs="宋体"/>
          <w:b/>
          <w:color w:val="000000" w:themeColor="text1"/>
          <w:spacing w:val="0"/>
          <w:sz w:val="24"/>
          <w:szCs w:val="24"/>
          <w14:textFill>
            <w14:solidFill>
              <w14:schemeClr w14:val="tx1"/>
            </w14:solidFill>
          </w14:textFill>
        </w:rPr>
        <w:t>. 关于磋商供应商瑕疵滞后发现的处理规则</w:t>
      </w:r>
    </w:p>
    <w:p w14:paraId="2FC2B53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6FDE226F">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2</w:t>
      </w:r>
      <w:r>
        <w:rPr>
          <w:rFonts w:hint="eastAsia" w:ascii="宋体" w:hAnsi="宋体" w:eastAsia="宋体" w:cs="宋体"/>
          <w:b/>
          <w:bCs/>
          <w:color w:val="000000" w:themeColor="text1"/>
          <w:spacing w:val="0"/>
          <w:sz w:val="24"/>
          <w:szCs w:val="24"/>
          <w:lang w:val="en-US" w:eastAsia="zh-CN"/>
          <w14:textFill>
            <w14:solidFill>
              <w14:schemeClr w14:val="tx1"/>
            </w14:solidFill>
          </w14:textFill>
        </w:rPr>
        <w:t>7</w:t>
      </w:r>
      <w:r>
        <w:rPr>
          <w:rFonts w:hint="eastAsia" w:ascii="宋体" w:hAnsi="宋体" w:eastAsia="宋体" w:cs="宋体"/>
          <w:b/>
          <w:bCs/>
          <w:color w:val="000000" w:themeColor="text1"/>
          <w:spacing w:val="0"/>
          <w:sz w:val="24"/>
          <w:szCs w:val="24"/>
          <w14:textFill>
            <w14:solidFill>
              <w14:schemeClr w14:val="tx1"/>
            </w14:solidFill>
          </w14:textFill>
        </w:rPr>
        <w:t>. 采购项目终止</w:t>
      </w:r>
      <w:r>
        <w:rPr>
          <w:rFonts w:hint="eastAsia" w:ascii="宋体" w:hAnsi="宋体" w:eastAsia="宋体" w:cs="宋体"/>
          <w:b/>
          <w:bCs/>
          <w:color w:val="000000" w:themeColor="text1"/>
          <w:spacing w:val="0"/>
          <w:sz w:val="24"/>
          <w:szCs w:val="24"/>
          <w:lang w:eastAsia="zh-CN"/>
          <w14:textFill>
            <w14:solidFill>
              <w14:schemeClr w14:val="tx1"/>
            </w14:solidFill>
          </w14:textFill>
        </w:rPr>
        <w:t>或废标</w:t>
      </w:r>
    </w:p>
    <w:p w14:paraId="497F660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.1在评标过程中，</w:t>
      </w:r>
      <w:r>
        <w:rPr>
          <w:rFonts w:hint="eastAsia" w:ascii="宋体" w:hAnsi="宋体" w:eastAsia="宋体" w:cs="宋体"/>
          <w:color w:val="000000" w:themeColor="text1"/>
          <w:spacing w:val="0"/>
          <w:sz w:val="24"/>
          <w:szCs w:val="24"/>
          <w:lang w:eastAsia="zh-CN"/>
          <w14:textFill>
            <w14:solidFill>
              <w14:schemeClr w14:val="tx1"/>
            </w14:solidFill>
          </w14:textFill>
        </w:rPr>
        <w:t>磋商小组</w:t>
      </w:r>
      <w:r>
        <w:rPr>
          <w:rFonts w:hint="eastAsia" w:ascii="宋体" w:hAnsi="宋体" w:eastAsia="宋体" w:cs="宋体"/>
          <w:color w:val="000000" w:themeColor="text1"/>
          <w:spacing w:val="0"/>
          <w:sz w:val="24"/>
          <w:szCs w:val="24"/>
          <w14:textFill>
            <w14:solidFill>
              <w14:schemeClr w14:val="tx1"/>
            </w14:solidFill>
          </w14:textFill>
        </w:rPr>
        <w:t>发现有下列情形之一的，应对采购项目予以废标：</w:t>
      </w:r>
    </w:p>
    <w:p w14:paraId="47FBCD4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（1）符合专业条件的供应商或者对</w:t>
      </w:r>
      <w:r>
        <w:rPr>
          <w:rFonts w:hint="eastAsia" w:ascii="宋体" w:hAnsi="宋体" w:eastAsia="宋体" w:cs="宋体"/>
          <w:color w:val="000000" w:themeColor="text1"/>
          <w:spacing w:val="0"/>
          <w:sz w:val="24"/>
          <w:szCs w:val="24"/>
          <w:lang w:eastAsia="zh-CN"/>
          <w14:textFill>
            <w14:solidFill>
              <w14:schemeClr w14:val="tx1"/>
            </w14:solidFill>
          </w14:textFill>
        </w:rPr>
        <w:t>竞争性磋商文件</w:t>
      </w:r>
      <w:r>
        <w:rPr>
          <w:rFonts w:hint="eastAsia" w:ascii="宋体" w:hAnsi="宋体" w:eastAsia="宋体" w:cs="宋体"/>
          <w:color w:val="000000" w:themeColor="text1"/>
          <w:spacing w:val="0"/>
          <w:sz w:val="24"/>
          <w:szCs w:val="24"/>
          <w14:textFill>
            <w14:solidFill>
              <w14:schemeClr w14:val="tx1"/>
            </w14:solidFill>
          </w14:textFill>
        </w:rPr>
        <w:t>作实质响应的供应商数量不足，导致进入实质性评审、打分阶段的供应商不足3家的；</w:t>
      </w:r>
    </w:p>
    <w:p w14:paraId="6A635B5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（2）报价低于项目采购预算的</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不足3家的；</w:t>
      </w:r>
    </w:p>
    <w:p w14:paraId="3A43BC8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（3）出现影响采购公正的违法、违规行为的；</w:t>
      </w:r>
    </w:p>
    <w:p w14:paraId="24902A0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lang w:eastAsia="zh-CN"/>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（4）因重大变故，采购任务取消的</w:t>
      </w:r>
      <w:r>
        <w:rPr>
          <w:rFonts w:hint="eastAsia" w:ascii="宋体" w:hAnsi="宋体" w:eastAsia="宋体" w:cs="宋体"/>
          <w:color w:val="000000" w:themeColor="text1"/>
          <w:spacing w:val="0"/>
          <w:sz w:val="24"/>
          <w:szCs w:val="24"/>
          <w:lang w:eastAsia="zh-CN"/>
          <w14:textFill>
            <w14:solidFill>
              <w14:schemeClr w14:val="tx1"/>
            </w14:solidFill>
          </w14:textFill>
        </w:rPr>
        <w:t>；</w:t>
      </w:r>
    </w:p>
    <w:p w14:paraId="23AFD6B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未按规定提交投标保证金；</w:t>
      </w:r>
    </w:p>
    <w:p w14:paraId="0FB4FEB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提供的</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不完整；</w:t>
      </w:r>
    </w:p>
    <w:p w14:paraId="2BC090F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未通过本章17条内容规定的；</w:t>
      </w:r>
    </w:p>
    <w:p w14:paraId="70F28E3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（8）</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不参加开标仪式及询标事宜；</w:t>
      </w:r>
    </w:p>
    <w:p w14:paraId="71DEB69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（9）法律、法规规定的其他情况。</w:t>
      </w:r>
    </w:p>
    <w:p w14:paraId="2E1FA8F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采购项目废标后，</w:t>
      </w:r>
      <w:r>
        <w:rPr>
          <w:rFonts w:hint="eastAsia" w:ascii="宋体" w:hAnsi="宋体" w:eastAsia="宋体" w:cs="宋体"/>
          <w:color w:val="000000" w:themeColor="text1"/>
          <w:spacing w:val="0"/>
          <w:sz w:val="24"/>
          <w:szCs w:val="24"/>
          <w:lang w:eastAsia="zh-CN"/>
          <w14:textFill>
            <w14:solidFill>
              <w14:schemeClr w14:val="tx1"/>
            </w14:solidFill>
          </w14:textFill>
        </w:rPr>
        <w:t>磋商小组</w:t>
      </w:r>
      <w:r>
        <w:rPr>
          <w:rFonts w:hint="eastAsia" w:ascii="宋体" w:hAnsi="宋体" w:eastAsia="宋体" w:cs="宋体"/>
          <w:color w:val="000000" w:themeColor="text1"/>
          <w:spacing w:val="0"/>
          <w:sz w:val="24"/>
          <w:szCs w:val="24"/>
          <w14:textFill>
            <w14:solidFill>
              <w14:schemeClr w14:val="tx1"/>
            </w14:solidFill>
          </w14:textFill>
        </w:rPr>
        <w:t>应做出书面报告。</w:t>
      </w:r>
    </w:p>
    <w:p w14:paraId="321837F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.2废标后，采购机构应当将废标原因通知所有</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，并依法重新组织采购活动。</w:t>
      </w:r>
    </w:p>
    <w:p w14:paraId="5B59C0B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3投标单位有下列情况之一，其投标不仅被视为废标，而且招标单位将严格按照《中华人民共和国政府采购法》、《中华人民共和国采购法实施条例》《中华人民共和国财政部令第87号》及相关法律、法规及规章制度的规定行使权利并没收投标保证金。投标单位给招标单位和代理机构造成损失的，应予以赔偿。</w:t>
      </w:r>
    </w:p>
    <w:p w14:paraId="336E406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(1)投标单位提供的有关资格、资质、业绩证明文件不真实，提供虚假投标材料；</w:t>
      </w:r>
    </w:p>
    <w:p w14:paraId="7B8C303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(2)投标单位在投标有效期内撤回</w:t>
      </w:r>
      <w:r>
        <w:rPr>
          <w:rFonts w:hint="eastAsia" w:ascii="宋体" w:hAnsi="宋体" w:eastAsia="宋体" w:cs="宋体"/>
          <w:color w:val="000000" w:themeColor="text1"/>
          <w:spacing w:val="0"/>
          <w:sz w:val="24"/>
          <w:szCs w:val="24"/>
          <w:lang w:eastAsia="zh-CN"/>
          <w14:textFill>
            <w14:solidFill>
              <w14:schemeClr w14:val="tx1"/>
            </w14:solidFill>
          </w14:textFill>
        </w:rPr>
        <w:t>竞争性磋商响应文件</w:t>
      </w:r>
      <w:r>
        <w:rPr>
          <w:rFonts w:hint="eastAsia" w:ascii="宋体" w:hAnsi="宋体" w:eastAsia="宋体" w:cs="宋体"/>
          <w:color w:val="000000" w:themeColor="text1"/>
          <w:spacing w:val="0"/>
          <w:sz w:val="24"/>
          <w:szCs w:val="24"/>
          <w14:textFill>
            <w14:solidFill>
              <w14:schemeClr w14:val="tx1"/>
            </w14:solidFill>
          </w14:textFill>
        </w:rPr>
        <w:t>的；</w:t>
      </w:r>
    </w:p>
    <w:p w14:paraId="1937499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(3)在整个投标过程中，投标单位有企图影响投标结果的任何活动或以任何方式诋毁其他投标单位或串通投标的；</w:t>
      </w:r>
    </w:p>
    <w:p w14:paraId="4CBD1F3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(4)</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串通投标；</w:t>
      </w:r>
    </w:p>
    <w:p w14:paraId="2E516D2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(5)</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向</w:t>
      </w:r>
      <w:r>
        <w:rPr>
          <w:rFonts w:hint="eastAsia" w:ascii="宋体" w:hAnsi="宋体" w:eastAsia="宋体" w:cs="宋体"/>
          <w:color w:val="000000" w:themeColor="text1"/>
          <w:spacing w:val="0"/>
          <w:sz w:val="24"/>
          <w:szCs w:val="24"/>
          <w:lang w:eastAsia="zh-CN"/>
          <w14:textFill>
            <w14:solidFill>
              <w14:schemeClr w14:val="tx1"/>
            </w14:solidFill>
          </w14:textFill>
        </w:rPr>
        <w:t>采购人</w:t>
      </w:r>
      <w:r>
        <w:rPr>
          <w:rFonts w:hint="eastAsia" w:ascii="宋体" w:hAnsi="宋体" w:eastAsia="宋体" w:cs="宋体"/>
          <w:color w:val="000000" w:themeColor="text1"/>
          <w:spacing w:val="0"/>
          <w:sz w:val="24"/>
          <w:szCs w:val="24"/>
          <w14:textFill>
            <w14:solidFill>
              <w14:schemeClr w14:val="tx1"/>
            </w14:solidFill>
          </w14:textFill>
        </w:rPr>
        <w:t>或</w:t>
      </w:r>
      <w:r>
        <w:rPr>
          <w:rFonts w:hint="eastAsia" w:ascii="宋体" w:hAnsi="宋体" w:eastAsia="宋体" w:cs="宋体"/>
          <w:color w:val="000000" w:themeColor="text1"/>
          <w:spacing w:val="0"/>
          <w:sz w:val="24"/>
          <w:szCs w:val="24"/>
          <w:lang w:eastAsia="zh-CN"/>
          <w14:textFill>
            <w14:solidFill>
              <w14:schemeClr w14:val="tx1"/>
            </w14:solidFill>
          </w14:textFill>
        </w:rPr>
        <w:t>采购代理机构</w:t>
      </w:r>
      <w:r>
        <w:rPr>
          <w:rFonts w:hint="eastAsia" w:ascii="宋体" w:hAnsi="宋体" w:eastAsia="宋体" w:cs="宋体"/>
          <w:color w:val="000000" w:themeColor="text1"/>
          <w:spacing w:val="0"/>
          <w:sz w:val="24"/>
          <w:szCs w:val="24"/>
          <w14:textFill>
            <w14:solidFill>
              <w14:schemeClr w14:val="tx1"/>
            </w14:solidFill>
          </w14:textFill>
        </w:rPr>
        <w:t>提供不正当利益；</w:t>
      </w:r>
    </w:p>
    <w:p w14:paraId="55AB6C7D">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(6)</w:t>
      </w:r>
      <w:r>
        <w:rPr>
          <w:rFonts w:hint="eastAsia" w:ascii="宋体" w:hAnsi="宋体" w:eastAsia="宋体" w:cs="宋体"/>
          <w:color w:val="000000" w:themeColor="text1"/>
          <w:spacing w:val="0"/>
          <w:sz w:val="24"/>
          <w:szCs w:val="24"/>
          <w:lang w:eastAsia="zh-CN"/>
          <w14:textFill>
            <w14:solidFill>
              <w14:schemeClr w14:val="tx1"/>
            </w14:solidFill>
          </w14:textFill>
        </w:rPr>
        <w:t>供应商</w:t>
      </w:r>
      <w:r>
        <w:rPr>
          <w:rFonts w:hint="eastAsia" w:ascii="宋体" w:hAnsi="宋体" w:eastAsia="宋体" w:cs="宋体"/>
          <w:color w:val="000000" w:themeColor="text1"/>
          <w:spacing w:val="0"/>
          <w:sz w:val="24"/>
          <w:szCs w:val="24"/>
          <w14:textFill>
            <w14:solidFill>
              <w14:schemeClr w14:val="tx1"/>
            </w14:solidFill>
          </w14:textFill>
        </w:rPr>
        <w:t>不按规定要求签订合同；</w:t>
      </w:r>
    </w:p>
    <w:p w14:paraId="46015C3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(7)法律、法规规定的其他情况。</w:t>
      </w:r>
    </w:p>
    <w:p w14:paraId="59CFD15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4</w:t>
      </w:r>
      <w:r>
        <w:rPr>
          <w:rFonts w:hint="eastAsia" w:ascii="宋体" w:hAnsi="宋体" w:eastAsia="宋体" w:cs="宋体"/>
          <w:color w:val="000000" w:themeColor="text1"/>
          <w:spacing w:val="0"/>
          <w:sz w:val="24"/>
          <w:szCs w:val="24"/>
          <w14:textFill>
            <w14:solidFill>
              <w14:schemeClr w14:val="tx1"/>
            </w14:solidFill>
          </w14:textFill>
        </w:rPr>
        <w:t>项目终止磋商后，磋商小组应做出书面报告，采购代理机构将在财政部门指定的媒体上发布项目终止公告。</w:t>
      </w:r>
    </w:p>
    <w:p w14:paraId="3702ACA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7</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5</w:t>
      </w:r>
      <w:r>
        <w:rPr>
          <w:rFonts w:hint="eastAsia" w:ascii="宋体" w:hAnsi="宋体" w:eastAsia="宋体" w:cs="宋体"/>
          <w:color w:val="000000" w:themeColor="text1"/>
          <w:spacing w:val="0"/>
          <w:sz w:val="24"/>
          <w:szCs w:val="24"/>
          <w14:textFill>
            <w14:solidFill>
              <w14:schemeClr w14:val="tx1"/>
            </w14:solidFill>
          </w14:textFill>
        </w:rPr>
        <w:t>如本项目属于市场竞争不充分的科研项目，以及需要扶持的科技成果转化项目，符合竞争要求的提交最后报价的磋商供应商可以是2家，而不被终止。</w:t>
      </w:r>
    </w:p>
    <w:p w14:paraId="137D0177">
      <w:pPr>
        <w:pStyle w:val="3"/>
        <w:keepLines/>
        <w:pageBreakBefore w:val="0"/>
        <w:kinsoku/>
        <w:wordWrap w:val="0"/>
        <w:overflowPunct/>
        <w:topLinePunct w:val="0"/>
        <w:autoSpaceDE/>
        <w:autoSpaceDN/>
        <w:bidi w:val="0"/>
        <w:ind w:left="420"/>
        <w:textAlignment w:val="auto"/>
        <w:rPr>
          <w:rFonts w:hint="eastAsia" w:ascii="宋体" w:hAnsi="宋体" w:eastAsia="宋体" w:cs="宋体"/>
          <w:color w:val="000000" w:themeColor="text1"/>
          <w:spacing w:val="0"/>
          <w14:textFill>
            <w14:solidFill>
              <w14:schemeClr w14:val="tx1"/>
            </w14:solidFill>
          </w14:textFill>
        </w:rPr>
      </w:pPr>
      <w:bookmarkStart w:id="12" w:name="_Toc5880"/>
      <w:bookmarkEnd w:id="12"/>
      <w:r>
        <w:rPr>
          <w:rFonts w:hint="eastAsia" w:ascii="宋体" w:hAnsi="宋体" w:eastAsia="宋体" w:cs="宋体"/>
          <w:color w:val="000000" w:themeColor="text1"/>
          <w:spacing w:val="0"/>
          <w14:textFill>
            <w14:solidFill>
              <w14:schemeClr w14:val="tx1"/>
            </w14:solidFill>
          </w14:textFill>
        </w:rPr>
        <w:t>六、签订合同</w:t>
      </w:r>
    </w:p>
    <w:p w14:paraId="04EDF8D5">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2</w:t>
      </w:r>
      <w:r>
        <w:rPr>
          <w:rFonts w:hint="eastAsia" w:ascii="宋体" w:hAnsi="宋体" w:eastAsia="宋体" w:cs="宋体"/>
          <w:b/>
          <w:color w:val="000000" w:themeColor="text1"/>
          <w:spacing w:val="0"/>
          <w:sz w:val="24"/>
          <w:szCs w:val="24"/>
          <w:lang w:val="en-US" w:eastAsia="zh-CN"/>
          <w14:textFill>
            <w14:solidFill>
              <w14:schemeClr w14:val="tx1"/>
            </w14:solidFill>
          </w14:textFill>
        </w:rPr>
        <w:t>8</w:t>
      </w:r>
      <w:r>
        <w:rPr>
          <w:rFonts w:hint="eastAsia" w:ascii="宋体" w:hAnsi="宋体" w:eastAsia="宋体" w:cs="宋体"/>
          <w:b/>
          <w:color w:val="000000" w:themeColor="text1"/>
          <w:spacing w:val="0"/>
          <w:sz w:val="24"/>
          <w:szCs w:val="24"/>
          <w14:textFill>
            <w14:solidFill>
              <w14:schemeClr w14:val="tx1"/>
            </w14:solidFill>
          </w14:textFill>
        </w:rPr>
        <w:t>．签订合同</w:t>
      </w:r>
    </w:p>
    <w:p w14:paraId="5F6420F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1成交供应商确定后，采购代理机构将在刊登本次磋商公告的媒体上发布成交公告，成交供应商可在“政府采购投标系统”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7B2F59F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.2 成交供应商应按照磋商文件、响应文件及磋商过程中的有关澄清、说明或者补正文件的内容与采购人签订合同。成交供应商不得再与采购人签订背离合同实质性内容的其它协议或声明。</w:t>
      </w:r>
    </w:p>
    <w:p w14:paraId="3A446AD4">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color w:val="000000" w:themeColor="text1"/>
          <w:spacing w:val="0"/>
          <w:sz w:val="24"/>
          <w:szCs w:val="24"/>
          <w:lang w:val="en-US" w:eastAsia="zh-CN"/>
          <w14:textFill>
            <w14:solidFill>
              <w14:schemeClr w14:val="tx1"/>
            </w14:solidFill>
          </w14:textFill>
        </w:rPr>
        <w:t>8</w:t>
      </w:r>
      <w:r>
        <w:rPr>
          <w:rFonts w:hint="eastAsia" w:ascii="宋体" w:hAnsi="宋体" w:eastAsia="宋体" w:cs="宋体"/>
          <w:color w:val="000000" w:themeColor="text1"/>
          <w:spacing w:val="0"/>
          <w:sz w:val="24"/>
          <w:szCs w:val="24"/>
          <w14:textFill>
            <w14:solidFill>
              <w14:schemeClr w14:val="tx1"/>
            </w14:solidFill>
          </w14:textFill>
        </w:rPr>
        <w:t>.3本文件第四部分</w:t>
      </w:r>
      <w:r>
        <w:rPr>
          <w:rFonts w:hint="eastAsia" w:ascii="宋体" w:hAnsi="宋体" w:eastAsia="宋体" w:cs="宋体"/>
          <w:color w:val="000000" w:themeColor="text1"/>
          <w:spacing w:val="0"/>
          <w:sz w:val="24"/>
          <w:szCs w:val="24"/>
          <w:lang w:val="en-US" w:eastAsia="zh-CN"/>
          <w14:textFill>
            <w14:solidFill>
              <w14:schemeClr w14:val="tx1"/>
            </w14:solidFill>
          </w14:textFill>
        </w:rPr>
        <w:t>采购</w:t>
      </w:r>
      <w:r>
        <w:rPr>
          <w:rFonts w:hint="eastAsia" w:ascii="宋体" w:hAnsi="宋体" w:eastAsia="宋体" w:cs="宋体"/>
          <w:color w:val="000000" w:themeColor="text1"/>
          <w:spacing w:val="0"/>
          <w:sz w:val="24"/>
          <w:szCs w:val="24"/>
          <w14:textFill>
            <w14:solidFill>
              <w14:schemeClr w14:val="tx1"/>
            </w14:solidFill>
          </w14:textFill>
        </w:rPr>
        <w:t>需求中要求成交供应商提交履约保证金的，成交供应商须按照规定向采购人提交履约保证金。</w:t>
      </w:r>
    </w:p>
    <w:p w14:paraId="2B7BA2E5">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p>
    <w:p w14:paraId="772F727F">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bookmarkStart w:id="13" w:name="_Toc27925"/>
      <w:bookmarkEnd w:id="13"/>
      <w:r>
        <w:rPr>
          <w:rStyle w:val="36"/>
          <w:rFonts w:hint="eastAsia" w:ascii="宋体" w:hAnsi="宋体" w:eastAsia="宋体" w:cs="宋体"/>
          <w:color w:val="000000" w:themeColor="text1"/>
          <w:spacing w:val="0"/>
          <w14:textFill>
            <w14:solidFill>
              <w14:schemeClr w14:val="tx1"/>
            </w14:solidFill>
          </w14:textFill>
        </w:rPr>
        <w:t>七、</w:t>
      </w:r>
      <w:r>
        <w:rPr>
          <w:rFonts w:hint="eastAsia" w:ascii="宋体" w:hAnsi="宋体" w:eastAsia="宋体" w:cs="宋体"/>
          <w:b/>
          <w:color w:val="000000" w:themeColor="text1"/>
          <w:spacing w:val="0"/>
          <w:sz w:val="24"/>
          <w:szCs w:val="24"/>
          <w14:textFill>
            <w14:solidFill>
              <w14:schemeClr w14:val="tx1"/>
            </w14:solidFill>
          </w14:textFill>
        </w:rPr>
        <w:t>中标</w:t>
      </w:r>
      <w:r>
        <w:rPr>
          <w:rStyle w:val="36"/>
          <w:rFonts w:hint="eastAsia" w:ascii="宋体" w:hAnsi="宋体" w:eastAsia="宋体" w:cs="宋体"/>
          <w:color w:val="000000" w:themeColor="text1"/>
          <w:spacing w:val="0"/>
          <w14:textFill>
            <w14:solidFill>
              <w14:schemeClr w14:val="tx1"/>
            </w14:solidFill>
          </w14:textFill>
        </w:rPr>
        <w:t>服务费</w:t>
      </w:r>
      <w:r>
        <w:rPr>
          <w:rFonts w:hint="eastAsia" w:ascii="宋体" w:hAnsi="宋体" w:eastAsia="宋体" w:cs="宋体"/>
          <w:b/>
          <w:color w:val="000000" w:themeColor="text1"/>
          <w:spacing w:val="0"/>
          <w:sz w:val="24"/>
          <w:szCs w:val="24"/>
          <w14:textFill>
            <w14:solidFill>
              <w14:schemeClr w14:val="tx1"/>
            </w14:solidFill>
          </w14:textFill>
        </w:rPr>
        <w:t>（注：非营利性采购代理机构不得收取）</w:t>
      </w:r>
    </w:p>
    <w:p w14:paraId="14B596DA">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val="0"/>
          <w:color w:val="000000" w:themeColor="text1"/>
          <w:spacing w:val="0"/>
          <w:sz w:val="24"/>
          <w:szCs w:val="24"/>
          <w14:textFill>
            <w14:solidFill>
              <w14:schemeClr w14:val="tx1"/>
            </w14:solidFill>
          </w14:textFill>
        </w:rPr>
      </w:pPr>
      <w:r>
        <w:rPr>
          <w:rFonts w:hint="eastAsia" w:ascii="宋体" w:hAnsi="宋体" w:eastAsia="宋体" w:cs="宋体"/>
          <w:b/>
          <w:bCs w:val="0"/>
          <w:color w:val="000000" w:themeColor="text1"/>
          <w:spacing w:val="0"/>
          <w:sz w:val="24"/>
          <w:szCs w:val="24"/>
          <w14:textFill>
            <w14:solidFill>
              <w14:schemeClr w14:val="tx1"/>
            </w14:solidFill>
          </w14:textFill>
        </w:rPr>
        <w:t>2</w:t>
      </w: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9</w:t>
      </w:r>
      <w:r>
        <w:rPr>
          <w:rFonts w:hint="eastAsia" w:ascii="宋体" w:hAnsi="宋体" w:eastAsia="宋体" w:cs="宋体"/>
          <w:b/>
          <w:bCs w:val="0"/>
          <w:color w:val="000000" w:themeColor="text1"/>
          <w:spacing w:val="0"/>
          <w:sz w:val="24"/>
          <w:szCs w:val="24"/>
          <w14:textFill>
            <w14:solidFill>
              <w14:schemeClr w14:val="tx1"/>
            </w14:solidFill>
          </w14:textFill>
        </w:rPr>
        <w:t>.</w:t>
      </w:r>
      <w:r>
        <w:rPr>
          <w:rFonts w:hint="eastAsia" w:ascii="宋体" w:hAnsi="宋体" w:eastAsia="宋体" w:cs="宋体"/>
          <w:b/>
          <w:color w:val="000000" w:themeColor="text1"/>
          <w:spacing w:val="0"/>
          <w:sz w:val="24"/>
          <w:szCs w:val="24"/>
          <w14:textFill>
            <w14:solidFill>
              <w14:schemeClr w14:val="tx1"/>
            </w14:solidFill>
          </w14:textFill>
        </w:rPr>
        <w:t>中标</w:t>
      </w:r>
      <w:r>
        <w:rPr>
          <w:rStyle w:val="36"/>
          <w:rFonts w:hint="eastAsia" w:ascii="宋体" w:hAnsi="宋体" w:eastAsia="宋体" w:cs="宋体"/>
          <w:color w:val="000000" w:themeColor="text1"/>
          <w:spacing w:val="0"/>
          <w14:textFill>
            <w14:solidFill>
              <w14:schemeClr w14:val="tx1"/>
            </w14:solidFill>
          </w14:textFill>
        </w:rPr>
        <w:t>服务费</w:t>
      </w:r>
    </w:p>
    <w:p w14:paraId="2C23E75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lang w:eastAsia="zh-CN"/>
          <w14:textFill>
            <w14:solidFill>
              <w14:schemeClr w14:val="tx1"/>
            </w14:solidFill>
          </w14:textFill>
        </w:rPr>
        <w:t>供应商</w:t>
      </w:r>
      <w:r>
        <w:rPr>
          <w:rFonts w:hint="eastAsia" w:ascii="宋体" w:hAnsi="宋体" w:eastAsia="宋体" w:cs="宋体"/>
          <w:b w:val="0"/>
          <w:bCs/>
          <w:color w:val="000000" w:themeColor="text1"/>
          <w:spacing w:val="0"/>
          <w:sz w:val="24"/>
          <w:szCs w:val="24"/>
          <w14:textFill>
            <w14:solidFill>
              <w14:schemeClr w14:val="tx1"/>
            </w14:solidFill>
          </w14:textFill>
        </w:rPr>
        <w:t>在接受“中标通知书”一周内应向</w:t>
      </w:r>
      <w:r>
        <w:rPr>
          <w:rFonts w:hint="eastAsia" w:ascii="宋体" w:hAnsi="宋体" w:eastAsia="宋体" w:cs="宋体"/>
          <w:b w:val="0"/>
          <w:bCs/>
          <w:color w:val="000000" w:themeColor="text1"/>
          <w:spacing w:val="0"/>
          <w:sz w:val="24"/>
          <w:szCs w:val="24"/>
          <w:lang w:eastAsia="zh-CN"/>
          <w14:textFill>
            <w14:solidFill>
              <w14:schemeClr w14:val="tx1"/>
            </w14:solidFill>
          </w14:textFill>
        </w:rPr>
        <w:t>采购代理机构</w:t>
      </w:r>
      <w:r>
        <w:rPr>
          <w:rFonts w:hint="eastAsia" w:ascii="宋体" w:hAnsi="宋体" w:eastAsia="宋体" w:cs="宋体"/>
          <w:b w:val="0"/>
          <w:bCs/>
          <w:color w:val="000000" w:themeColor="text1"/>
          <w:spacing w:val="0"/>
          <w:sz w:val="24"/>
          <w:szCs w:val="24"/>
          <w14:textFill>
            <w14:solidFill>
              <w14:schemeClr w14:val="tx1"/>
            </w14:solidFill>
          </w14:textFill>
        </w:rPr>
        <w:t>缴纳中标服务费。招标代理服务费以中标价为计算基数计取，采用叠加法进行计算，由中标单位支付具体标准如下</w:t>
      </w:r>
      <w:r>
        <w:rPr>
          <w:rFonts w:hint="eastAsia" w:ascii="宋体" w:hAnsi="宋体" w:eastAsia="宋体" w:cs="宋体"/>
          <w:b w:val="0"/>
          <w:bCs/>
          <w:color w:val="000000" w:themeColor="text1"/>
          <w:spacing w:val="0"/>
          <w:sz w:val="24"/>
          <w:szCs w:val="24"/>
          <w:lang w:eastAsia="zh-CN"/>
          <w14:textFill>
            <w14:solidFill>
              <w14:schemeClr w14:val="tx1"/>
            </w14:solidFill>
          </w14:textFill>
        </w:rPr>
        <w:t>或者在供应商须知前附表中直接约定服务费计算办法</w:t>
      </w:r>
      <w:r>
        <w:rPr>
          <w:rFonts w:hint="eastAsia" w:ascii="宋体" w:hAnsi="宋体" w:eastAsia="宋体" w:cs="宋体"/>
          <w:b w:val="0"/>
          <w:bCs/>
          <w:color w:val="000000" w:themeColor="text1"/>
          <w:spacing w:val="0"/>
          <w:sz w:val="24"/>
          <w:szCs w:val="24"/>
          <w14:textFill>
            <w14:solidFill>
              <w14:schemeClr w14:val="tx1"/>
            </w14:solidFill>
          </w14:textFill>
        </w:rPr>
        <w:t>：</w:t>
      </w:r>
    </w:p>
    <w:tbl>
      <w:tblPr>
        <w:tblStyle w:val="27"/>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1755"/>
        <w:gridCol w:w="1760"/>
        <w:gridCol w:w="1757"/>
      </w:tblGrid>
      <w:tr w14:paraId="649F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29DCFE26">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中标金额（万元）</w:t>
            </w:r>
          </w:p>
        </w:tc>
        <w:tc>
          <w:tcPr>
            <w:tcW w:w="1755" w:type="dxa"/>
            <w:vAlign w:val="center"/>
          </w:tcPr>
          <w:p w14:paraId="30B614D6">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货物招标</w:t>
            </w:r>
          </w:p>
        </w:tc>
        <w:tc>
          <w:tcPr>
            <w:tcW w:w="1760" w:type="dxa"/>
            <w:vAlign w:val="center"/>
          </w:tcPr>
          <w:p w14:paraId="5D1E9B54">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服务招标</w:t>
            </w:r>
          </w:p>
        </w:tc>
        <w:tc>
          <w:tcPr>
            <w:tcW w:w="1757" w:type="dxa"/>
            <w:vAlign w:val="center"/>
          </w:tcPr>
          <w:p w14:paraId="3EC4D68B">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项目招标</w:t>
            </w:r>
          </w:p>
        </w:tc>
      </w:tr>
      <w:tr w14:paraId="1D1E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2D880F60">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100以下</w:t>
            </w:r>
          </w:p>
        </w:tc>
        <w:tc>
          <w:tcPr>
            <w:tcW w:w="1755" w:type="dxa"/>
            <w:vAlign w:val="center"/>
          </w:tcPr>
          <w:p w14:paraId="7D080D2E">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1.5%</w:t>
            </w:r>
          </w:p>
        </w:tc>
        <w:tc>
          <w:tcPr>
            <w:tcW w:w="1760" w:type="dxa"/>
            <w:vAlign w:val="center"/>
          </w:tcPr>
          <w:p w14:paraId="0DCE458E">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1.5%</w:t>
            </w:r>
          </w:p>
        </w:tc>
        <w:tc>
          <w:tcPr>
            <w:tcW w:w="1757" w:type="dxa"/>
            <w:vAlign w:val="center"/>
          </w:tcPr>
          <w:p w14:paraId="63CA841E">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1.0%</w:t>
            </w:r>
          </w:p>
        </w:tc>
      </w:tr>
      <w:tr w14:paraId="5E82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417591B9">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100-500</w:t>
            </w:r>
          </w:p>
        </w:tc>
        <w:tc>
          <w:tcPr>
            <w:tcW w:w="1755" w:type="dxa"/>
            <w:vAlign w:val="center"/>
          </w:tcPr>
          <w:p w14:paraId="47DA076C">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1.1%</w:t>
            </w:r>
          </w:p>
        </w:tc>
        <w:tc>
          <w:tcPr>
            <w:tcW w:w="1760" w:type="dxa"/>
            <w:vAlign w:val="center"/>
          </w:tcPr>
          <w:p w14:paraId="1E23EEF4">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0.8%</w:t>
            </w:r>
          </w:p>
        </w:tc>
        <w:tc>
          <w:tcPr>
            <w:tcW w:w="1757" w:type="dxa"/>
            <w:vAlign w:val="center"/>
          </w:tcPr>
          <w:p w14:paraId="1389681C">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0.7%</w:t>
            </w:r>
          </w:p>
        </w:tc>
      </w:tr>
      <w:tr w14:paraId="1150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2465" w:type="dxa"/>
            <w:vAlign w:val="center"/>
          </w:tcPr>
          <w:p w14:paraId="6209E546">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500-1000</w:t>
            </w:r>
          </w:p>
        </w:tc>
        <w:tc>
          <w:tcPr>
            <w:tcW w:w="1755" w:type="dxa"/>
            <w:vAlign w:val="center"/>
          </w:tcPr>
          <w:p w14:paraId="31CB4D45">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0.8%</w:t>
            </w:r>
          </w:p>
        </w:tc>
        <w:tc>
          <w:tcPr>
            <w:tcW w:w="1760" w:type="dxa"/>
            <w:vAlign w:val="center"/>
          </w:tcPr>
          <w:p w14:paraId="372E2237">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0.45%</w:t>
            </w:r>
          </w:p>
        </w:tc>
        <w:tc>
          <w:tcPr>
            <w:tcW w:w="1757" w:type="dxa"/>
            <w:vAlign w:val="center"/>
          </w:tcPr>
          <w:p w14:paraId="4E4CCF80">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0.55%</w:t>
            </w:r>
          </w:p>
        </w:tc>
      </w:tr>
      <w:tr w14:paraId="0779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jc w:val="center"/>
        </w:trPr>
        <w:tc>
          <w:tcPr>
            <w:tcW w:w="2465" w:type="dxa"/>
            <w:vAlign w:val="center"/>
          </w:tcPr>
          <w:p w14:paraId="3B8D950F">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1000-5000</w:t>
            </w:r>
          </w:p>
        </w:tc>
        <w:tc>
          <w:tcPr>
            <w:tcW w:w="1755" w:type="dxa"/>
            <w:vAlign w:val="center"/>
          </w:tcPr>
          <w:p w14:paraId="13E8DD41">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0.5%</w:t>
            </w:r>
          </w:p>
        </w:tc>
        <w:tc>
          <w:tcPr>
            <w:tcW w:w="1760" w:type="dxa"/>
            <w:vAlign w:val="center"/>
          </w:tcPr>
          <w:p w14:paraId="529605B0">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0.25%</w:t>
            </w:r>
          </w:p>
        </w:tc>
        <w:tc>
          <w:tcPr>
            <w:tcW w:w="1757" w:type="dxa"/>
            <w:vAlign w:val="center"/>
          </w:tcPr>
          <w:p w14:paraId="23DB4240">
            <w:pPr>
              <w:pStyle w:val="35"/>
              <w:keepLines/>
              <w:pageBreakBefore w:val="0"/>
              <w:kinsoku/>
              <w:wordWrap w:val="0"/>
              <w:overflowPunct/>
              <w:topLinePunct w:val="0"/>
              <w:autoSpaceDE/>
              <w:autoSpaceDN/>
              <w:bidi w:val="0"/>
              <w:snapToGrid w:val="0"/>
              <w:spacing w:line="360" w:lineRule="auto"/>
              <w:ind w:firstLine="420" w:firstLineChars="200"/>
              <w:textAlignment w:val="auto"/>
              <w:rPr>
                <w:rFonts w:hint="eastAsia" w:ascii="宋体" w:hAnsi="宋体" w:eastAsia="宋体" w:cs="宋体"/>
                <w:b w:val="0"/>
                <w:bCs/>
                <w:color w:val="000000" w:themeColor="text1"/>
                <w:spacing w:val="0"/>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0.35%</w:t>
            </w:r>
          </w:p>
        </w:tc>
      </w:tr>
    </w:tbl>
    <w:p w14:paraId="40F4660A">
      <w:pPr>
        <w:pStyle w:val="3"/>
        <w:keepLines/>
        <w:pageBreakBefore w:val="0"/>
        <w:kinsoku/>
        <w:wordWrap w:val="0"/>
        <w:overflowPunct/>
        <w:topLinePunct w:val="0"/>
        <w:autoSpaceDE/>
        <w:autoSpaceDN/>
        <w:bidi w:val="0"/>
        <w:ind w:left="0" w:leftChars="0" w:firstLine="0" w:firstLineChars="0"/>
        <w:textAlignment w:val="auto"/>
        <w:rPr>
          <w:rFonts w:hint="eastAsia" w:ascii="宋体" w:hAnsi="宋体" w:eastAsia="宋体" w:cs="宋体"/>
          <w:color w:val="000000" w:themeColor="text1"/>
          <w:spacing w:val="0"/>
          <w14:textFill>
            <w14:solidFill>
              <w14:schemeClr w14:val="tx1"/>
            </w14:solidFill>
          </w14:textFill>
        </w:rPr>
      </w:pPr>
      <w:bookmarkStart w:id="14" w:name="_Toc14690"/>
      <w:bookmarkEnd w:id="14"/>
      <w:r>
        <w:rPr>
          <w:rFonts w:hint="eastAsia" w:ascii="宋体" w:hAnsi="宋体" w:eastAsia="宋体" w:cs="宋体"/>
          <w:color w:val="000000" w:themeColor="text1"/>
          <w:spacing w:val="0"/>
          <w14:textFill>
            <w14:solidFill>
              <w14:schemeClr w14:val="tx1"/>
            </w14:solidFill>
          </w14:textFill>
        </w:rPr>
        <w:t>八、保密和披露</w:t>
      </w:r>
    </w:p>
    <w:p w14:paraId="49B821DA">
      <w:pPr>
        <w:pStyle w:val="35"/>
        <w:keepLines/>
        <w:pageBreakBefore w:val="0"/>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lang w:val="en-US" w:eastAsia="zh-CN"/>
          <w14:textFill>
            <w14:solidFill>
              <w14:schemeClr w14:val="tx1"/>
            </w14:solidFill>
          </w14:textFill>
        </w:rPr>
        <w:t>30</w:t>
      </w:r>
      <w:r>
        <w:rPr>
          <w:rFonts w:hint="eastAsia" w:ascii="宋体" w:hAnsi="宋体" w:eastAsia="宋体" w:cs="宋体"/>
          <w:b/>
          <w:color w:val="000000" w:themeColor="text1"/>
          <w:spacing w:val="0"/>
          <w:sz w:val="24"/>
          <w:szCs w:val="24"/>
          <w14:textFill>
            <w14:solidFill>
              <w14:schemeClr w14:val="tx1"/>
            </w14:solidFill>
          </w14:textFill>
        </w:rPr>
        <w:t>. 保密</w:t>
      </w:r>
    </w:p>
    <w:p w14:paraId="168D751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磋商供应商自领取磋商文件之日起，须承诺承担本采购项目下的保密义务，不得将因本次磋商获得的信息向第三人外传。</w:t>
      </w:r>
    </w:p>
    <w:p w14:paraId="066717A5">
      <w:pPr>
        <w:pStyle w:val="35"/>
        <w:keepLines/>
        <w:pageBreakBefore w:val="0"/>
        <w:kinsoku/>
        <w:wordWrap w:val="0"/>
        <w:overflowPunct/>
        <w:topLinePunct w:val="0"/>
        <w:autoSpaceDE/>
        <w:autoSpaceDN/>
        <w:bidi w:val="0"/>
        <w:adjustRightInd/>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3</w:t>
      </w:r>
      <w:r>
        <w:rPr>
          <w:rFonts w:hint="eastAsia" w:ascii="宋体" w:hAnsi="宋体" w:eastAsia="宋体" w:cs="宋体"/>
          <w:b/>
          <w:color w:val="000000" w:themeColor="text1"/>
          <w:spacing w:val="0"/>
          <w:sz w:val="24"/>
          <w:szCs w:val="24"/>
          <w:lang w:val="en-US" w:eastAsia="zh-CN"/>
          <w14:textFill>
            <w14:solidFill>
              <w14:schemeClr w14:val="tx1"/>
            </w14:solidFill>
          </w14:textFill>
        </w:rPr>
        <w:t>1</w:t>
      </w:r>
      <w:r>
        <w:rPr>
          <w:rFonts w:hint="eastAsia" w:ascii="宋体" w:hAnsi="宋体" w:eastAsia="宋体" w:cs="宋体"/>
          <w:b/>
          <w:color w:val="000000" w:themeColor="text1"/>
          <w:spacing w:val="0"/>
          <w:sz w:val="24"/>
          <w:szCs w:val="24"/>
          <w14:textFill>
            <w14:solidFill>
              <w14:schemeClr w14:val="tx1"/>
            </w14:solidFill>
          </w14:textFill>
        </w:rPr>
        <w:t>. 披露</w:t>
      </w:r>
    </w:p>
    <w:p w14:paraId="20E58BD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.1 采购代理机构有权将磋商供应商提供的所有资料向有关政府部门或评审文件的有关人员披露。</w:t>
      </w:r>
    </w:p>
    <w:p w14:paraId="68130D4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1</w:t>
      </w:r>
      <w:r>
        <w:rPr>
          <w:rFonts w:hint="eastAsia" w:ascii="宋体" w:hAnsi="宋体" w:eastAsia="宋体" w:cs="宋体"/>
          <w:color w:val="000000" w:themeColor="text1"/>
          <w:spacing w:val="0"/>
          <w:sz w:val="24"/>
          <w:szCs w:val="24"/>
          <w14:textFill>
            <w14:solidFill>
              <w14:schemeClr w14:val="tx1"/>
            </w14:solidFill>
          </w14:textFill>
        </w:rPr>
        <w:t>.2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w:t>
      </w:r>
      <w:r>
        <w:rPr>
          <w:rFonts w:hint="eastAsia" w:ascii="宋体" w:hAnsi="宋体" w:eastAsia="宋体" w:cs="宋体"/>
          <w:b w:val="0"/>
          <w:bCs/>
          <w:color w:val="000000" w:themeColor="text1"/>
          <w:spacing w:val="0"/>
          <w:sz w:val="24"/>
          <w:szCs w:val="24"/>
          <w14:textFill>
            <w14:solidFill>
              <w14:schemeClr w14:val="tx1"/>
            </w14:solidFill>
          </w14:textFill>
        </w:rPr>
        <w:t>必须</w:t>
      </w:r>
      <w:r>
        <w:rPr>
          <w:rFonts w:hint="eastAsia" w:ascii="宋体" w:hAnsi="宋体" w:eastAsia="宋体" w:cs="宋体"/>
          <w:color w:val="000000" w:themeColor="text1"/>
          <w:spacing w:val="0"/>
          <w:sz w:val="24"/>
          <w:szCs w:val="24"/>
          <w14:textFill>
            <w14:solidFill>
              <w14:schemeClr w14:val="tx1"/>
            </w14:solidFill>
          </w14:textFill>
        </w:rPr>
        <w:t>在合理的必要范围内。对任何已经公布过的内容或与之内容相同的资料，以及磋商供应商/成交供应商已经泄露或公开的，无须再承担保密责任。</w:t>
      </w:r>
    </w:p>
    <w:p w14:paraId="2555E631">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bCs/>
          <w:color w:val="000000" w:themeColor="text1"/>
          <w:spacing w:val="0"/>
          <w:sz w:val="24"/>
          <w:szCs w:val="24"/>
          <w14:textFill>
            <w14:solidFill>
              <w14:schemeClr w14:val="tx1"/>
            </w14:solidFill>
          </w14:textFill>
        </w:rPr>
      </w:pPr>
    </w:p>
    <w:p w14:paraId="2CBF7C93">
      <w:pPr>
        <w:pStyle w:val="3"/>
        <w:keepLines/>
        <w:pageBreakBefore w:val="0"/>
        <w:kinsoku/>
        <w:wordWrap w:val="0"/>
        <w:overflowPunct/>
        <w:topLinePunct w:val="0"/>
        <w:autoSpaceDE/>
        <w:autoSpaceDN/>
        <w:bidi w:val="0"/>
        <w:ind w:left="420"/>
        <w:textAlignment w:val="auto"/>
        <w:rPr>
          <w:rFonts w:hint="eastAsia" w:ascii="宋体" w:hAnsi="宋体" w:eastAsia="宋体" w:cs="宋体"/>
          <w:color w:val="000000" w:themeColor="text1"/>
          <w:spacing w:val="0"/>
          <w14:textFill>
            <w14:solidFill>
              <w14:schemeClr w14:val="tx1"/>
            </w14:solidFill>
          </w14:textFill>
        </w:rPr>
      </w:pPr>
      <w:bookmarkStart w:id="15" w:name="_Toc13444"/>
      <w:bookmarkEnd w:id="15"/>
      <w:r>
        <w:rPr>
          <w:rFonts w:hint="eastAsia" w:ascii="宋体" w:hAnsi="宋体" w:eastAsia="宋体" w:cs="宋体"/>
          <w:color w:val="000000" w:themeColor="text1"/>
          <w:spacing w:val="0"/>
          <w14:textFill>
            <w14:solidFill>
              <w14:schemeClr w14:val="tx1"/>
            </w14:solidFill>
          </w14:textFill>
        </w:rPr>
        <w:t>九、询问和质疑</w:t>
      </w:r>
    </w:p>
    <w:p w14:paraId="618E8054">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3</w:t>
      </w:r>
      <w:r>
        <w:rPr>
          <w:rFonts w:hint="eastAsia" w:ascii="宋体" w:hAnsi="宋体" w:eastAsia="宋体" w:cs="宋体"/>
          <w:b/>
          <w:color w:val="000000" w:themeColor="text1"/>
          <w:spacing w:val="0"/>
          <w:sz w:val="24"/>
          <w:szCs w:val="24"/>
          <w:lang w:val="en-US" w:eastAsia="zh-CN"/>
          <w14:textFill>
            <w14:solidFill>
              <w14:schemeClr w14:val="tx1"/>
            </w14:solidFill>
          </w14:textFill>
        </w:rPr>
        <w:t>2</w:t>
      </w:r>
      <w:r>
        <w:rPr>
          <w:rFonts w:hint="eastAsia" w:ascii="宋体" w:hAnsi="宋体" w:eastAsia="宋体" w:cs="宋体"/>
          <w:b/>
          <w:color w:val="000000" w:themeColor="text1"/>
          <w:spacing w:val="0"/>
          <w:sz w:val="24"/>
          <w:szCs w:val="24"/>
          <w14:textFill>
            <w14:solidFill>
              <w14:schemeClr w14:val="tx1"/>
            </w14:solidFill>
          </w14:textFill>
        </w:rPr>
        <w:t>.询问</w:t>
      </w:r>
    </w:p>
    <w:p w14:paraId="657B762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6E7AF1D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2</w:t>
      </w:r>
      <w:r>
        <w:rPr>
          <w:rFonts w:hint="eastAsia" w:ascii="宋体" w:hAnsi="宋体" w:eastAsia="宋体" w:cs="宋体"/>
          <w:color w:val="000000" w:themeColor="text1"/>
          <w:spacing w:val="0"/>
          <w:sz w:val="24"/>
          <w:szCs w:val="24"/>
          <w14:textFill>
            <w14:solidFill>
              <w14:schemeClr w14:val="tx1"/>
            </w14:solidFill>
          </w14:textFill>
        </w:rPr>
        <w:t>.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4427ABEF">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3</w:t>
      </w:r>
      <w:r>
        <w:rPr>
          <w:rFonts w:hint="eastAsia" w:ascii="宋体" w:hAnsi="宋体" w:eastAsia="宋体" w:cs="宋体"/>
          <w:b/>
          <w:color w:val="000000" w:themeColor="text1"/>
          <w:spacing w:val="0"/>
          <w:sz w:val="24"/>
          <w:szCs w:val="24"/>
          <w:lang w:val="en-US" w:eastAsia="zh-CN"/>
          <w14:textFill>
            <w14:solidFill>
              <w14:schemeClr w14:val="tx1"/>
            </w14:solidFill>
          </w14:textFill>
        </w:rPr>
        <w:t>3</w:t>
      </w:r>
      <w:r>
        <w:rPr>
          <w:rFonts w:hint="eastAsia" w:ascii="宋体" w:hAnsi="宋体" w:eastAsia="宋体" w:cs="宋体"/>
          <w:b/>
          <w:color w:val="000000" w:themeColor="text1"/>
          <w:spacing w:val="0"/>
          <w:sz w:val="24"/>
          <w:szCs w:val="24"/>
          <w14:textFill>
            <w14:solidFill>
              <w14:schemeClr w14:val="tx1"/>
            </w14:solidFill>
          </w14:textFill>
        </w:rPr>
        <w:t>.质疑</w:t>
      </w:r>
    </w:p>
    <w:p w14:paraId="6EA12FC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53D9E2D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对可以质疑的采购文件提出质疑的，在收到采购文件之日起七个工作日内提出；</w:t>
      </w:r>
    </w:p>
    <w:p w14:paraId="169CECE9">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对采购过程提出质疑的，在各采购程序环节结束之日起七个工作日内提出；</w:t>
      </w:r>
    </w:p>
    <w:p w14:paraId="5E438F3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对成交结果提出质疑的，在成交公告期限届满之日起七个工作日内提出。</w:t>
      </w:r>
    </w:p>
    <w:p w14:paraId="4CC9B6C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3</w:t>
      </w:r>
      <w:r>
        <w:rPr>
          <w:rFonts w:hint="eastAsia" w:ascii="宋体" w:hAnsi="宋体" w:eastAsia="宋体" w:cs="宋体"/>
          <w:color w:val="000000" w:themeColor="text1"/>
          <w:spacing w:val="0"/>
          <w:sz w:val="24"/>
          <w:szCs w:val="24"/>
          <w14:textFill>
            <w14:solidFill>
              <w14:schemeClr w14:val="tx1"/>
            </w14:solidFill>
          </w14:textFill>
        </w:rPr>
        <w:t>.2</w:t>
      </w:r>
      <w:r>
        <w:rPr>
          <w:rFonts w:hint="eastAsia" w:ascii="宋体" w:hAnsi="宋体" w:eastAsia="宋体" w:cs="宋体"/>
          <w:bCs/>
          <w:color w:val="000000" w:themeColor="text1"/>
          <w:spacing w:val="0"/>
          <w:sz w:val="24"/>
          <w:szCs w:val="24"/>
          <w14:textFill>
            <w14:solidFill>
              <w14:schemeClr w14:val="tx1"/>
            </w14:solidFill>
          </w14:textFill>
        </w:rPr>
        <w:t>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3A1B4D2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3</w:t>
      </w:r>
      <w:r>
        <w:rPr>
          <w:rFonts w:hint="eastAsia" w:ascii="宋体" w:hAnsi="宋体" w:eastAsia="宋体" w:cs="宋体"/>
          <w:bCs/>
          <w:color w:val="000000" w:themeColor="text1"/>
          <w:spacing w:val="0"/>
          <w:sz w:val="24"/>
          <w:szCs w:val="24"/>
          <w:lang w:val="en-US" w:eastAsia="zh-CN"/>
          <w14:textFill>
            <w14:solidFill>
              <w14:schemeClr w14:val="tx1"/>
            </w14:solidFill>
          </w14:textFill>
        </w:rPr>
        <w:t>3</w:t>
      </w:r>
      <w:r>
        <w:rPr>
          <w:rFonts w:hint="eastAsia" w:ascii="宋体" w:hAnsi="宋体" w:eastAsia="宋体" w:cs="宋体"/>
          <w:bCs/>
          <w:color w:val="000000" w:themeColor="text1"/>
          <w:spacing w:val="0"/>
          <w:sz w:val="24"/>
          <w:szCs w:val="24"/>
          <w14:textFill>
            <w14:solidFill>
              <w14:schemeClr w14:val="tx1"/>
            </w14:solidFill>
          </w14:textFill>
        </w:rPr>
        <w:t>.3 采购代理机构、采购人将依据《中华人民共和国政府采购法实施条例》第五十二条第一款的规定时限对磋商供应商的询问、质疑做出处理和答复。</w:t>
      </w:r>
    </w:p>
    <w:p w14:paraId="1F930BB6">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3</w:t>
      </w:r>
      <w:r>
        <w:rPr>
          <w:rFonts w:hint="eastAsia" w:ascii="宋体" w:hAnsi="宋体" w:eastAsia="宋体" w:cs="宋体"/>
          <w:bCs/>
          <w:color w:val="000000" w:themeColor="text1"/>
          <w:spacing w:val="0"/>
          <w:sz w:val="24"/>
          <w:szCs w:val="24"/>
          <w:lang w:val="en-US" w:eastAsia="zh-CN"/>
          <w14:textFill>
            <w14:solidFill>
              <w14:schemeClr w14:val="tx1"/>
            </w14:solidFill>
          </w14:textFill>
        </w:rPr>
        <w:t>3</w:t>
      </w:r>
      <w:r>
        <w:rPr>
          <w:rFonts w:hint="eastAsia" w:ascii="宋体" w:hAnsi="宋体" w:eastAsia="宋体" w:cs="宋体"/>
          <w:bCs/>
          <w:color w:val="000000" w:themeColor="text1"/>
          <w:spacing w:val="0"/>
          <w:sz w:val="24"/>
          <w:szCs w:val="24"/>
          <w14:textFill>
            <w14:solidFill>
              <w14:schemeClr w14:val="tx1"/>
            </w14:solidFill>
          </w14:textFill>
        </w:rPr>
        <w:t>.4无效质疑情形</w:t>
      </w:r>
    </w:p>
    <w:p w14:paraId="3B3E6521">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A.未参与本次政府采购活动的供应商；</w:t>
      </w:r>
    </w:p>
    <w:p w14:paraId="0B035133">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B.不符合本次政府采购活动特定条件的供应商；</w:t>
      </w:r>
    </w:p>
    <w:p w14:paraId="1655A077">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C.未在有效期内提出质疑的；</w:t>
      </w:r>
    </w:p>
    <w:p w14:paraId="06AE45A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D.不同质疑人委托同一人办理质疑事宜的；</w:t>
      </w:r>
    </w:p>
    <w:p w14:paraId="16C7A798">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E.质疑没有明确请求和必要的证明材料；</w:t>
      </w:r>
    </w:p>
    <w:p w14:paraId="57B0CFFF">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F.其它不符合受理条件的情形。</w:t>
      </w:r>
    </w:p>
    <w:p w14:paraId="26331DB0">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3</w:t>
      </w:r>
      <w:r>
        <w:rPr>
          <w:rFonts w:hint="eastAsia" w:ascii="宋体" w:hAnsi="宋体" w:eastAsia="宋体" w:cs="宋体"/>
          <w:bCs/>
          <w:color w:val="000000" w:themeColor="text1"/>
          <w:spacing w:val="0"/>
          <w:sz w:val="24"/>
          <w:szCs w:val="24"/>
          <w:lang w:val="en-US" w:eastAsia="zh-CN"/>
          <w14:textFill>
            <w14:solidFill>
              <w14:schemeClr w14:val="tx1"/>
            </w14:solidFill>
          </w14:textFill>
        </w:rPr>
        <w:t>3</w:t>
      </w:r>
      <w:r>
        <w:rPr>
          <w:rFonts w:hint="eastAsia" w:ascii="宋体" w:hAnsi="宋体" w:eastAsia="宋体" w:cs="宋体"/>
          <w:bCs/>
          <w:color w:val="000000" w:themeColor="text1"/>
          <w:spacing w:val="0"/>
          <w:sz w:val="24"/>
          <w:szCs w:val="24"/>
          <w14:textFill>
            <w14:solidFill>
              <w14:schemeClr w14:val="tx1"/>
            </w14:solidFill>
          </w14:textFill>
        </w:rPr>
        <w:t>.5质疑供应商撤回质疑的，终止质疑处理；</w:t>
      </w:r>
    </w:p>
    <w:p w14:paraId="677214CE">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3</w:t>
      </w:r>
      <w:r>
        <w:rPr>
          <w:rFonts w:hint="eastAsia" w:ascii="宋体" w:hAnsi="宋体" w:eastAsia="宋体" w:cs="宋体"/>
          <w:bCs/>
          <w:color w:val="000000" w:themeColor="text1"/>
          <w:spacing w:val="0"/>
          <w:sz w:val="24"/>
          <w:szCs w:val="24"/>
          <w:lang w:val="en-US" w:eastAsia="zh-CN"/>
          <w14:textFill>
            <w14:solidFill>
              <w14:schemeClr w14:val="tx1"/>
            </w14:solidFill>
          </w14:textFill>
        </w:rPr>
        <w:t>3</w:t>
      </w:r>
      <w:r>
        <w:rPr>
          <w:rFonts w:hint="eastAsia" w:ascii="宋体" w:hAnsi="宋体" w:eastAsia="宋体" w:cs="宋体"/>
          <w:bCs/>
          <w:color w:val="000000" w:themeColor="text1"/>
          <w:spacing w:val="0"/>
          <w:sz w:val="24"/>
          <w:szCs w:val="24"/>
          <w14:textFill>
            <w14:solidFill>
              <w14:schemeClr w14:val="tx1"/>
            </w14:solidFill>
          </w14:textFill>
        </w:rPr>
        <w:t>.6质疑供应商有下列情形之一的，属于虚假、恶意质疑，采购代理机构或采购人应当驳回质疑，并向政府采购监督管理部门报告将其列入不良行为记录名单，并依法予以处罚：</w:t>
      </w:r>
    </w:p>
    <w:p w14:paraId="67DA808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A、一年内三次以上质疑均查无实据的；</w:t>
      </w:r>
    </w:p>
    <w:p w14:paraId="0DE3461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Cs/>
          <w:color w:val="000000" w:themeColor="text1"/>
          <w:spacing w:val="0"/>
          <w:sz w:val="24"/>
          <w:szCs w:val="24"/>
          <w14:textFill>
            <w14:solidFill>
              <w14:schemeClr w14:val="tx1"/>
            </w14:solidFill>
          </w14:textFill>
        </w:rPr>
        <w:t>B、捏造事实或者提供虚假质疑材料的。</w:t>
      </w:r>
    </w:p>
    <w:p w14:paraId="097CD496">
      <w:pPr>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51BD49B1">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br w:type="page"/>
      </w:r>
    </w:p>
    <w:p w14:paraId="149C32A4">
      <w:pPr>
        <w:pStyle w:val="2"/>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sz w:val="36"/>
          <w:szCs w:val="52"/>
          <w14:textFill>
            <w14:solidFill>
              <w14:schemeClr w14:val="tx1"/>
            </w14:solidFill>
          </w14:textFill>
        </w:rPr>
      </w:pPr>
      <w:bookmarkStart w:id="16" w:name="_Toc32561"/>
      <w:bookmarkEnd w:id="16"/>
      <w:r>
        <w:rPr>
          <w:rFonts w:hint="eastAsia" w:ascii="宋体" w:hAnsi="宋体" w:eastAsia="宋体" w:cs="宋体"/>
          <w:color w:val="000000" w:themeColor="text1"/>
          <w:spacing w:val="0"/>
          <w:sz w:val="36"/>
          <w:szCs w:val="52"/>
          <w14:textFill>
            <w14:solidFill>
              <w14:schemeClr w14:val="tx1"/>
            </w14:solidFill>
          </w14:textFill>
        </w:rPr>
        <w:t>第四部分  采购需求</w:t>
      </w:r>
    </w:p>
    <w:p w14:paraId="7206B931">
      <w:pPr>
        <w:keepLines/>
        <w:pageBreakBefore w:val="0"/>
        <w:kinsoku/>
        <w:wordWrap w:val="0"/>
        <w:overflowPunct/>
        <w:topLinePunct w:val="0"/>
        <w:autoSpaceDE/>
        <w:autoSpaceDN/>
        <w:bidi w:val="0"/>
        <w:spacing w:line="240" w:lineRule="auto"/>
        <w:ind w:firstLine="482" w:firstLineChars="200"/>
        <w:textAlignment w:val="auto"/>
        <w:rPr>
          <w:rFonts w:hint="eastAsia" w:ascii="宋体" w:hAnsi="宋体" w:eastAsia="宋体" w:cs="宋体"/>
          <w:b/>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一、项目基本情况</w:t>
      </w:r>
    </w:p>
    <w:p w14:paraId="33562774">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1、</w:t>
      </w:r>
      <w:r>
        <w:rPr>
          <w:rFonts w:hint="eastAsia" w:ascii="宋体" w:hAnsi="宋体" w:eastAsia="宋体" w:cs="宋体"/>
          <w:b w:val="0"/>
          <w:bCs/>
          <w:color w:val="000000" w:themeColor="text1"/>
          <w:spacing w:val="0"/>
          <w:sz w:val="24"/>
          <w:szCs w:val="24"/>
          <w14:textFill>
            <w14:solidFill>
              <w14:schemeClr w14:val="tx1"/>
            </w14:solidFill>
          </w14:textFill>
        </w:rPr>
        <w:t>项目名称：</w:t>
      </w:r>
      <w:r>
        <w:rPr>
          <w:rFonts w:hint="eastAsia" w:ascii="宋体" w:hAnsi="宋体" w:eastAsia="宋体" w:cs="宋体"/>
          <w:b w:val="0"/>
          <w:bCs/>
          <w:color w:val="000000" w:themeColor="text1"/>
          <w:spacing w:val="0"/>
          <w:sz w:val="24"/>
          <w:szCs w:val="24"/>
          <w:lang w:eastAsia="zh-CN"/>
          <w14:textFill>
            <w14:solidFill>
              <w14:schemeClr w14:val="tx1"/>
            </w14:solidFill>
          </w14:textFill>
        </w:rPr>
        <w:t>临汾市特殊教育学校消防水池、室外消火栓及管网工程</w:t>
      </w:r>
    </w:p>
    <w:p w14:paraId="7B27065E">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2、</w:t>
      </w:r>
      <w:r>
        <w:rPr>
          <w:rFonts w:hint="eastAsia" w:ascii="宋体" w:hAnsi="宋体" w:eastAsia="宋体" w:cs="宋体"/>
          <w:b w:val="0"/>
          <w:bCs/>
          <w:color w:val="000000" w:themeColor="text1"/>
          <w:spacing w:val="0"/>
          <w:sz w:val="24"/>
          <w:szCs w:val="24"/>
          <w14:textFill>
            <w14:solidFill>
              <w14:schemeClr w14:val="tx1"/>
            </w14:solidFill>
          </w14:textFill>
        </w:rPr>
        <w:t>最高限价</w:t>
      </w:r>
      <w:r>
        <w:rPr>
          <w:rFonts w:hint="eastAsia" w:ascii="宋体" w:hAnsi="宋体" w:eastAsia="宋体" w:cs="宋体"/>
          <w:b w:val="0"/>
          <w:bCs/>
          <w:color w:val="000000" w:themeColor="text1"/>
          <w:spacing w:val="0"/>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1190659.66元</w:t>
      </w:r>
      <w:r>
        <w:rPr>
          <w:rFonts w:hint="eastAsia" w:ascii="宋体" w:hAnsi="宋体" w:eastAsia="宋体" w:cs="宋体"/>
          <w:b w:val="0"/>
          <w:bCs/>
          <w:color w:val="000000" w:themeColor="text1"/>
          <w:spacing w:val="0"/>
          <w:sz w:val="24"/>
          <w:szCs w:val="24"/>
          <w14:textFill>
            <w14:solidFill>
              <w14:schemeClr w14:val="tx1"/>
            </w14:solidFill>
          </w14:textFill>
        </w:rPr>
        <w:t>（人民币）</w:t>
      </w:r>
    </w:p>
    <w:p w14:paraId="066954D9">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default" w:ascii="宋体" w:hAnsi="宋体" w:eastAsia="宋体" w:cs="宋体"/>
          <w:b w:val="0"/>
          <w:bCs/>
          <w:color w:val="000000" w:themeColor="text1"/>
          <w:spacing w:val="0"/>
          <w:sz w:val="24"/>
          <w:szCs w:val="24"/>
          <w:highlight w:val="yellow"/>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3</w:t>
      </w:r>
      <w:r>
        <w:rPr>
          <w:rFonts w:hint="eastAsia" w:ascii="宋体" w:hAnsi="宋体" w:eastAsia="宋体" w:cs="宋体"/>
          <w:b w:val="0"/>
          <w:bCs/>
          <w:color w:val="000000" w:themeColor="text1"/>
          <w:spacing w:val="0"/>
          <w:sz w:val="24"/>
          <w:szCs w:val="24"/>
          <w14:textFill>
            <w14:solidFill>
              <w14:schemeClr w14:val="tx1"/>
            </w14:solidFill>
          </w14:textFill>
        </w:rPr>
        <w:t>、</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项目概况：</w:t>
      </w:r>
      <w:r>
        <w:rPr>
          <w:rFonts w:hint="eastAsia" w:ascii="宋体" w:hAnsi="宋体" w:eastAsia="宋体" w:cs="宋体"/>
          <w:b w:val="0"/>
          <w:bCs/>
          <w:color w:val="000000" w:themeColor="text1"/>
          <w:spacing w:val="0"/>
          <w:sz w:val="24"/>
          <w:szCs w:val="24"/>
          <w:lang w:eastAsia="zh-CN"/>
          <w14:textFill>
            <w14:solidFill>
              <w14:schemeClr w14:val="tx1"/>
            </w14:solidFill>
          </w14:textFill>
        </w:rPr>
        <w:t>临汾市特殊教育学校消防水池、室外消火栓及管网工程</w:t>
      </w:r>
      <w:r>
        <w:rPr>
          <w:rFonts w:hint="eastAsia" w:ascii="宋体" w:hAnsi="宋体" w:cs="宋体"/>
          <w:b w:val="0"/>
          <w:bCs/>
          <w:color w:val="000000" w:themeColor="text1"/>
          <w:spacing w:val="0"/>
          <w:sz w:val="24"/>
          <w:szCs w:val="24"/>
          <w:lang w:val="en-US" w:eastAsia="zh-CN"/>
          <w14:textFill>
            <w14:solidFill>
              <w14:schemeClr w14:val="tx1"/>
            </w14:solidFill>
          </w14:textFill>
        </w:rPr>
        <w:t>主要内容包括：地下一层新建消防水池高4m、水泵房高4.6m，地上一层新建楼梯间层高3.0m，建筑总高度3.9m，室内外高差0.3m，框架结构，防水等级一级。</w:t>
      </w:r>
    </w:p>
    <w:p w14:paraId="20C41BB0">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4、工程范围：本项目施工图设计及工程量清单中的全部内容。</w:t>
      </w:r>
    </w:p>
    <w:p w14:paraId="48EB396A">
      <w:pPr>
        <w:keepLines/>
        <w:pageBreakBefore w:val="0"/>
        <w:kinsoku/>
        <w:wordWrap w:val="0"/>
        <w:overflowPunct/>
        <w:topLinePunct w:val="0"/>
        <w:autoSpaceDE/>
        <w:autoSpaceDN/>
        <w:bidi w:val="0"/>
        <w:spacing w:line="460" w:lineRule="exact"/>
        <w:ind w:firstLine="482" w:firstLineChars="200"/>
        <w:textAlignment w:val="auto"/>
        <w:rPr>
          <w:rFonts w:hint="eastAsia" w:ascii="宋体" w:hAnsi="宋体" w:eastAsia="宋体" w:cs="宋体"/>
          <w:b/>
          <w:bCs w:val="0"/>
          <w:color w:val="000000" w:themeColor="text1"/>
          <w:spacing w:val="0"/>
          <w:sz w:val="24"/>
          <w:szCs w:val="24"/>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二、</w:t>
      </w:r>
      <w:r>
        <w:rPr>
          <w:rFonts w:hint="eastAsia" w:ascii="宋体" w:hAnsi="宋体" w:eastAsia="宋体" w:cs="宋体"/>
          <w:b/>
          <w:bCs w:val="0"/>
          <w:color w:val="000000" w:themeColor="text1"/>
          <w:spacing w:val="0"/>
          <w:sz w:val="24"/>
          <w:szCs w:val="24"/>
          <w14:textFill>
            <w14:solidFill>
              <w14:schemeClr w14:val="tx1"/>
            </w14:solidFill>
          </w14:textFill>
        </w:rPr>
        <w:t>基本资格要求</w:t>
      </w:r>
    </w:p>
    <w:p w14:paraId="0E081BEB">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1.满足《中华人民共和国政府采购法》第二十二条规定；        </w:t>
      </w:r>
    </w:p>
    <w:p w14:paraId="4493F7EA">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2.落实政府采购政策需满足的资格要求：本项目专门面向中小企业采购       </w:t>
      </w:r>
    </w:p>
    <w:p w14:paraId="3B4643C8">
      <w:pPr>
        <w:keepNext w:val="0"/>
        <w:keepLines/>
        <w:pageBreakBefore w:val="0"/>
        <w:widowControl w:val="0"/>
        <w:kinsoku/>
        <w:wordWrap w:val="0"/>
        <w:overflowPunct/>
        <w:topLinePunct w:val="0"/>
        <w:autoSpaceDE/>
        <w:autoSpaceDN/>
        <w:bidi w:val="0"/>
        <w:adjustRightInd/>
        <w:snapToGrid w:val="0"/>
        <w:spacing w:line="45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供应商必须具备建设行政主管部门颁发的建筑工程施工总承包叁级及以上资质，且具有有效的营业执照、开户许可证或基本存款账户信息、安全生产许可证；其中，投标人拟派项目经理须具备建筑工程贰级及以上注册建造师执业资格证书，具备有效的安全生产考核合格证书、且未担任其他在建工程项目的项目经理，项目技术负责人须具备建筑相关专业中级及以上技术职称</w:t>
      </w:r>
      <w:r>
        <w:rPr>
          <w:rFonts w:hint="eastAsia" w:ascii="宋体" w:hAnsi="宋体" w:eastAsia="宋体" w:cs="宋体"/>
          <w:b w:val="0"/>
          <w:bCs w:val="0"/>
          <w:color w:val="auto"/>
          <w:sz w:val="24"/>
          <w:szCs w:val="24"/>
          <w:highlight w:val="none"/>
          <w:lang w:val="en-US" w:eastAsia="zh-CN"/>
        </w:rPr>
        <w:t>。</w:t>
      </w:r>
    </w:p>
    <w:p w14:paraId="13E67BCA">
      <w:pPr>
        <w:keepLines/>
        <w:pageBreakBefore w:val="0"/>
        <w:kinsoku/>
        <w:wordWrap w:val="0"/>
        <w:overflowPunct/>
        <w:topLinePunct w:val="0"/>
        <w:autoSpaceDE/>
        <w:autoSpaceDN/>
        <w:bidi w:val="0"/>
        <w:spacing w:line="460" w:lineRule="exact"/>
        <w:ind w:firstLine="482" w:firstLineChars="200"/>
        <w:textAlignment w:val="auto"/>
        <w:rPr>
          <w:rFonts w:hint="eastAsia" w:ascii="宋体" w:hAnsi="宋体" w:eastAsia="宋体" w:cs="宋体"/>
          <w:b/>
          <w:bCs w:val="0"/>
          <w:color w:val="000000" w:themeColor="text1"/>
          <w:spacing w:val="0"/>
          <w:sz w:val="24"/>
          <w:szCs w:val="24"/>
          <w:lang w:val="en-US" w:eastAsia="zh-CN"/>
          <w14:textFill>
            <w14:solidFill>
              <w14:schemeClr w14:val="tx1"/>
            </w14:solidFill>
          </w14:textFill>
        </w:rPr>
      </w:pPr>
      <w:r>
        <w:rPr>
          <w:rFonts w:hint="eastAsia" w:ascii="宋体" w:hAnsi="宋体" w:eastAsia="宋体" w:cs="宋体"/>
          <w:b/>
          <w:bCs w:val="0"/>
          <w:color w:val="000000" w:themeColor="text1"/>
          <w:spacing w:val="0"/>
          <w:sz w:val="24"/>
          <w:szCs w:val="24"/>
          <w:lang w:val="en-US" w:eastAsia="zh-CN"/>
          <w14:textFill>
            <w14:solidFill>
              <w14:schemeClr w14:val="tx1"/>
            </w14:solidFill>
          </w14:textFill>
        </w:rPr>
        <w:t xml:space="preserve">三、商务要求 </w:t>
      </w:r>
    </w:p>
    <w:p w14:paraId="398AF5B2">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1、合同履行</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期限：</w:t>
      </w:r>
      <w:r>
        <w:rPr>
          <w:rFonts w:hint="eastAsia" w:ascii="宋体" w:hAnsi="宋体" w:eastAsia="宋体" w:cs="宋体"/>
          <w:b w:val="0"/>
          <w:bCs/>
          <w:color w:val="000000" w:themeColor="text1"/>
          <w:spacing w:val="0"/>
          <w:sz w:val="24"/>
          <w:szCs w:val="24"/>
          <w:highlight w:val="none"/>
          <w:lang w:val="en-US" w:eastAsia="zh-CN"/>
          <w14:textFill>
            <w14:solidFill>
              <w14:schemeClr w14:val="tx1"/>
            </w14:solidFill>
          </w14:textFill>
        </w:rPr>
        <w:t>100</w:t>
      </w:r>
      <w:r>
        <w:rPr>
          <w:rFonts w:hint="eastAsia" w:ascii="宋体" w:hAnsi="宋体" w:eastAsia="宋体" w:cs="宋体"/>
          <w:b w:val="0"/>
          <w:bCs/>
          <w:color w:val="auto"/>
          <w:spacing w:val="0"/>
          <w:sz w:val="24"/>
          <w:szCs w:val="24"/>
          <w:highlight w:val="none"/>
          <w:lang w:val="en-US" w:eastAsia="zh-CN"/>
        </w:rPr>
        <w:t xml:space="preserve">日历天 </w:t>
      </w:r>
    </w:p>
    <w:p w14:paraId="37831DA9">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2、质量标准：合格</w:t>
      </w:r>
    </w:p>
    <w:p w14:paraId="1DFDC002">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付款条件：由供应商提供增值税普通发票</w:t>
      </w:r>
    </w:p>
    <w:p w14:paraId="67DA2B33">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付款方式：转账</w:t>
      </w:r>
    </w:p>
    <w:p w14:paraId="08259250">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付款进度：</w:t>
      </w:r>
      <w:r>
        <w:rPr>
          <w:rFonts w:hint="eastAsia" w:ascii="宋体" w:hAnsi="宋体" w:eastAsia="宋体" w:cs="宋体"/>
          <w:b w:val="0"/>
          <w:bCs w:val="0"/>
          <w:color w:val="auto"/>
          <w:sz w:val="24"/>
          <w:szCs w:val="24"/>
          <w:lang w:val="en-US" w:eastAsia="zh-CN"/>
        </w:rPr>
        <w:t>工程验收合格后支付合同总价款的95%，剩余5%作为质保金，质保金1年结束后支付剩余合同款</w:t>
      </w:r>
      <w:r>
        <w:rPr>
          <w:rFonts w:hint="eastAsia" w:ascii="宋体" w:hAnsi="宋体" w:eastAsia="宋体" w:cs="宋体"/>
          <w:b w:val="0"/>
          <w:bCs/>
          <w:color w:val="auto"/>
          <w:spacing w:val="0"/>
          <w:sz w:val="24"/>
          <w:szCs w:val="24"/>
          <w:lang w:val="en-US" w:eastAsia="zh-CN"/>
        </w:rPr>
        <w:t>。</w:t>
      </w:r>
    </w:p>
    <w:p w14:paraId="267CFE66">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b w:val="0"/>
          <w:bCs/>
          <w:color w:val="auto"/>
          <w:spacing w:val="0"/>
          <w:sz w:val="24"/>
          <w:szCs w:val="24"/>
          <w:lang w:val="en-US" w:eastAsia="zh-CN"/>
        </w:rPr>
      </w:pPr>
      <w:r>
        <w:rPr>
          <w:rFonts w:hint="eastAsia" w:ascii="宋体" w:hAnsi="宋体" w:eastAsia="宋体" w:cs="宋体"/>
          <w:b w:val="0"/>
          <w:bCs/>
          <w:color w:val="auto"/>
          <w:spacing w:val="0"/>
          <w:sz w:val="24"/>
          <w:szCs w:val="24"/>
          <w:lang w:val="en-US" w:eastAsia="zh-CN"/>
        </w:rPr>
        <w:t>四、技术标准和要求</w:t>
      </w:r>
    </w:p>
    <w:p w14:paraId="7F85EDAB">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17" w:name="_Toc5726"/>
      <w:r>
        <w:rPr>
          <w:rFonts w:hint="eastAsia" w:ascii="宋体" w:hAnsi="宋体" w:eastAsia="宋体" w:cs="宋体"/>
          <w:color w:val="000000" w:themeColor="text1"/>
          <w:sz w:val="24"/>
          <w:szCs w:val="24"/>
          <w:lang w:val="en-US" w:eastAsia="zh-CN"/>
          <w14:textFill>
            <w14:solidFill>
              <w14:schemeClr w14:val="tx1"/>
            </w14:solidFill>
          </w14:textFill>
        </w:rPr>
        <w:t>1、满足国家及行业相关标准、规范、规程。</w:t>
      </w:r>
    </w:p>
    <w:p w14:paraId="43DA4332">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2、工程量清单另附。</w:t>
      </w:r>
      <w:r>
        <w:rPr>
          <w:rFonts w:hint="eastAsia" w:ascii="宋体" w:hAnsi="宋体" w:eastAsia="宋体" w:cs="宋体"/>
          <w:color w:val="auto"/>
          <w:sz w:val="24"/>
          <w:szCs w:val="24"/>
          <w:lang w:val="en-US" w:eastAsia="zh-CN"/>
        </w:rPr>
        <w:br w:type="page"/>
      </w:r>
    </w:p>
    <w:bookmarkEnd w:id="17"/>
    <w:p w14:paraId="5FEEE1B6">
      <w:pPr>
        <w:keepLines/>
        <w:pageBreakBefore w:val="0"/>
        <w:widowControl/>
        <w:kinsoku/>
        <w:wordWrap w:val="0"/>
        <w:overflowPunct/>
        <w:topLinePunct w:val="0"/>
        <w:autoSpaceDE/>
        <w:autoSpaceDN/>
        <w:bidi w:val="0"/>
        <w:jc w:val="center"/>
        <w:textAlignment w:val="auto"/>
        <w:rPr>
          <w:rFonts w:hint="eastAsia" w:ascii="宋体" w:hAnsi="宋体" w:eastAsia="宋体" w:cs="宋体"/>
          <w:b/>
          <w:bCs/>
          <w:color w:val="000000" w:themeColor="text1"/>
          <w:spacing w:val="0"/>
          <w:sz w:val="36"/>
          <w:szCs w:val="36"/>
          <w14:textFill>
            <w14:solidFill>
              <w14:schemeClr w14:val="tx1"/>
            </w14:solidFill>
          </w14:textFill>
        </w:rPr>
      </w:pPr>
      <w:r>
        <w:rPr>
          <w:rFonts w:hint="eastAsia" w:ascii="宋体" w:hAnsi="宋体" w:eastAsia="宋体" w:cs="宋体"/>
          <w:b/>
          <w:bCs/>
          <w:color w:val="000000" w:themeColor="text1"/>
          <w:spacing w:val="0"/>
          <w:sz w:val="36"/>
          <w:szCs w:val="52"/>
          <w14:textFill>
            <w14:solidFill>
              <w14:schemeClr w14:val="tx1"/>
            </w14:solidFill>
          </w14:textFill>
        </w:rPr>
        <w:t>第五部分 资格审查内容及标准</w:t>
      </w:r>
    </w:p>
    <w:p w14:paraId="69EC17B2">
      <w:pPr>
        <w:pStyle w:val="35"/>
        <w:keepLines/>
        <w:pageBreakBefore w:val="0"/>
        <w:kinsoku/>
        <w:wordWrap w:val="0"/>
        <w:overflowPunct/>
        <w:topLinePunct w:val="0"/>
        <w:autoSpaceDE/>
        <w:autoSpaceDN/>
        <w:bidi w:val="0"/>
        <w:snapToGrid w:val="0"/>
        <w:spacing w:line="480" w:lineRule="exact"/>
        <w:textAlignment w:val="auto"/>
        <w:rPr>
          <w:rFonts w:hint="eastAsia" w:ascii="宋体" w:hAnsi="宋体" w:eastAsia="宋体" w:cs="宋体"/>
          <w:b/>
          <w:color w:val="000000" w:themeColor="text1"/>
          <w:spacing w:val="0"/>
          <w14:textFill>
            <w14:solidFill>
              <w14:schemeClr w14:val="tx1"/>
            </w14:solidFill>
          </w14:textFill>
        </w:rPr>
      </w:pPr>
      <w:r>
        <w:rPr>
          <w:rFonts w:hint="eastAsia" w:ascii="宋体" w:hAnsi="宋体" w:eastAsia="宋体" w:cs="宋体"/>
          <w:b/>
          <w:color w:val="000000" w:themeColor="text1"/>
          <w:spacing w:val="0"/>
          <w14:textFill>
            <w14:solidFill>
              <w14:schemeClr w14:val="tx1"/>
            </w14:solidFill>
          </w14:textFill>
        </w:rPr>
        <w:t>资格审查内容及标准</w:t>
      </w:r>
    </w:p>
    <w:tbl>
      <w:tblPr>
        <w:tblStyle w:val="27"/>
        <w:tblpPr w:leftFromText="180" w:rightFromText="180" w:vertAnchor="text" w:horzAnchor="page" w:tblpX="1753" w:tblpY="452"/>
        <w:tblOverlap w:val="never"/>
        <w:tblW w:w="863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1"/>
        <w:gridCol w:w="2450"/>
        <w:gridCol w:w="5538"/>
      </w:tblGrid>
      <w:tr w14:paraId="3BD71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131EF650">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6CB5095D">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内容</w:t>
            </w:r>
          </w:p>
        </w:tc>
        <w:tc>
          <w:tcPr>
            <w:tcW w:w="5538" w:type="dxa"/>
            <w:tcBorders>
              <w:top w:val="single" w:color="auto" w:sz="2" w:space="0"/>
              <w:left w:val="single" w:color="auto" w:sz="2" w:space="0"/>
              <w:bottom w:val="single" w:color="auto" w:sz="2" w:space="0"/>
              <w:right w:val="single" w:color="auto" w:sz="2" w:space="0"/>
            </w:tcBorders>
            <w:noWrap w:val="0"/>
            <w:vAlign w:val="center"/>
          </w:tcPr>
          <w:p w14:paraId="6298C9BA">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w:t>
            </w:r>
          </w:p>
        </w:tc>
      </w:tr>
      <w:tr w14:paraId="2007B9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16"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679DFB71">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6A72CE99">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val="0"/>
                <w:bCs/>
                <w:color w:val="000000" w:themeColor="text1"/>
                <w:spacing w:val="0"/>
                <w:sz w:val="21"/>
                <w:szCs w:val="21"/>
                <w14:textFill>
                  <w14:solidFill>
                    <w14:schemeClr w14:val="tx1"/>
                  </w14:solidFill>
                </w14:textFill>
              </w:rPr>
              <w:t>磋商供应商代表证明</w:t>
            </w:r>
          </w:p>
        </w:tc>
        <w:tc>
          <w:tcPr>
            <w:tcW w:w="5538" w:type="dxa"/>
            <w:tcBorders>
              <w:top w:val="single" w:color="auto" w:sz="2" w:space="0"/>
              <w:left w:val="single" w:color="auto" w:sz="2" w:space="0"/>
              <w:bottom w:val="single" w:color="auto" w:sz="2" w:space="0"/>
              <w:right w:val="single" w:color="auto" w:sz="2" w:space="0"/>
            </w:tcBorders>
            <w:noWrap w:val="0"/>
            <w:vAlign w:val="top"/>
          </w:tcPr>
          <w:p w14:paraId="47EFEA64">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（1）法定代表人（负责人）参加磋商的，提供“法定代表人（负责人）证明书”</w:t>
            </w:r>
          </w:p>
          <w:p w14:paraId="27295D18">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（2）委托代理人参加磋商的，提供“法定代表人（负责人）授权委托书”</w:t>
            </w:r>
          </w:p>
          <w:p w14:paraId="0AA4C6A2">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（3）自然人参加磋商的，提供个人身份证明扫描件</w:t>
            </w:r>
          </w:p>
          <w:p w14:paraId="615E79A9">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内容齐全，法人电子签章符合要求。</w:t>
            </w:r>
          </w:p>
        </w:tc>
      </w:tr>
      <w:tr w14:paraId="0CBDD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3ACB7382">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72DBB26E">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具有独立承担民事责任的能力</w:t>
            </w:r>
          </w:p>
        </w:tc>
        <w:tc>
          <w:tcPr>
            <w:tcW w:w="5538" w:type="dxa"/>
            <w:vMerge w:val="restart"/>
            <w:tcBorders>
              <w:top w:val="single" w:color="auto" w:sz="2" w:space="0"/>
              <w:left w:val="single" w:color="auto" w:sz="2" w:space="0"/>
              <w:right w:val="single" w:color="auto" w:sz="2" w:space="0"/>
            </w:tcBorders>
            <w:noWrap w:val="0"/>
            <w:vAlign w:val="center"/>
          </w:tcPr>
          <w:p w14:paraId="6418A66E">
            <w:pPr>
              <w:keepNext w:val="0"/>
              <w:keepLines/>
              <w:pageBreakBefore w:val="0"/>
              <w:widowControl w:val="0"/>
              <w:kinsoku/>
              <w:wordWrap w:val="0"/>
              <w:overflowPunct/>
              <w:topLinePunct w:val="0"/>
              <w:autoSpaceDE/>
              <w:autoSpaceDN/>
              <w:bidi w:val="0"/>
              <w:snapToGrid/>
              <w:spacing w:line="360" w:lineRule="exact"/>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提供供应商信用承诺书。</w:t>
            </w:r>
          </w:p>
          <w:p w14:paraId="61F429CB">
            <w:pPr>
              <w:keepNext w:val="0"/>
              <w:keepLines/>
              <w:pageBreakBefore w:val="0"/>
              <w:widowControl w:val="0"/>
              <w:kinsoku/>
              <w:wordWrap w:val="0"/>
              <w:overflowPunct/>
              <w:topLinePunct w:val="0"/>
              <w:autoSpaceDE/>
              <w:autoSpaceDN/>
              <w:bidi w:val="0"/>
              <w:snapToGrid/>
              <w:spacing w:line="360" w:lineRule="exact"/>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以上证明材料须符合要求、有效、完整。否则，响应无效。</w:t>
            </w:r>
          </w:p>
          <w:p w14:paraId="4B36EF7B">
            <w:pPr>
              <w:keepNext w:val="0"/>
              <w:keepLines/>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p>
        </w:tc>
      </w:tr>
      <w:tr w14:paraId="2B063C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2141005A">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3B4BC393">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具有良好的商业信誉和健全的财务会计制度</w:t>
            </w:r>
          </w:p>
        </w:tc>
        <w:tc>
          <w:tcPr>
            <w:tcW w:w="5538" w:type="dxa"/>
            <w:vMerge w:val="continue"/>
            <w:tcBorders>
              <w:left w:val="single" w:color="auto" w:sz="2" w:space="0"/>
              <w:right w:val="single" w:color="auto" w:sz="2" w:space="0"/>
            </w:tcBorders>
            <w:noWrap w:val="0"/>
            <w:vAlign w:val="center"/>
          </w:tcPr>
          <w:p w14:paraId="725E275E">
            <w:pPr>
              <w:keepNext w:val="0"/>
              <w:keepLines/>
              <w:pageBreakBefore w:val="0"/>
              <w:widowControl w:val="0"/>
              <w:kinsoku/>
              <w:wordWrap w:val="0"/>
              <w:overflowPunct/>
              <w:topLinePunct w:val="0"/>
              <w:autoSpaceDE/>
              <w:autoSpaceDN/>
              <w:bidi w:val="0"/>
              <w:snapToGrid/>
              <w:spacing w:line="360" w:lineRule="exact"/>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p>
        </w:tc>
      </w:tr>
      <w:tr w14:paraId="07B6BD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069A3E45">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5AB2DBC8">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具有履行合同所必需的设备和专业技术能力</w:t>
            </w:r>
          </w:p>
        </w:tc>
        <w:tc>
          <w:tcPr>
            <w:tcW w:w="5538" w:type="dxa"/>
            <w:vMerge w:val="continue"/>
            <w:tcBorders>
              <w:left w:val="single" w:color="auto" w:sz="2" w:space="0"/>
              <w:right w:val="single" w:color="auto" w:sz="2" w:space="0"/>
            </w:tcBorders>
            <w:noWrap w:val="0"/>
            <w:vAlign w:val="center"/>
          </w:tcPr>
          <w:p w14:paraId="5BB79919">
            <w:pPr>
              <w:pStyle w:val="14"/>
              <w:keepNext w:val="0"/>
              <w:keepLines/>
              <w:pageBreakBefore w:val="0"/>
              <w:widowControl w:val="0"/>
              <w:kinsoku/>
              <w:wordWrap w:val="0"/>
              <w:overflowPunct/>
              <w:topLinePunct w:val="0"/>
              <w:autoSpaceDE/>
              <w:autoSpaceDN/>
              <w:bidi w:val="0"/>
              <w:snapToGrid/>
              <w:spacing w:line="360" w:lineRule="exact"/>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p>
        </w:tc>
      </w:tr>
      <w:tr w14:paraId="426A1E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7D690847">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w:t>
            </w:r>
          </w:p>
        </w:tc>
        <w:tc>
          <w:tcPr>
            <w:tcW w:w="2450" w:type="dxa"/>
            <w:tcBorders>
              <w:top w:val="single" w:color="auto" w:sz="2" w:space="0"/>
              <w:left w:val="single" w:color="auto" w:sz="2" w:space="0"/>
              <w:bottom w:val="single" w:color="auto" w:sz="2" w:space="0"/>
              <w:right w:val="single" w:color="auto" w:sz="2" w:space="0"/>
            </w:tcBorders>
            <w:noWrap w:val="0"/>
            <w:vAlign w:val="top"/>
          </w:tcPr>
          <w:p w14:paraId="7DB0C73B">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具有依法缴纳税收和社会保障资金的良好记录</w:t>
            </w:r>
          </w:p>
        </w:tc>
        <w:tc>
          <w:tcPr>
            <w:tcW w:w="5538" w:type="dxa"/>
            <w:vMerge w:val="continue"/>
            <w:tcBorders>
              <w:left w:val="single" w:color="auto" w:sz="2" w:space="0"/>
              <w:right w:val="single" w:color="auto" w:sz="2" w:space="0"/>
            </w:tcBorders>
            <w:noWrap w:val="0"/>
            <w:vAlign w:val="top"/>
          </w:tcPr>
          <w:p w14:paraId="506DFB9F">
            <w:pPr>
              <w:keepNext w:val="0"/>
              <w:keepLines/>
              <w:pageBreakBefore w:val="0"/>
              <w:widowControl w:val="0"/>
              <w:kinsoku/>
              <w:wordWrap w:val="0"/>
              <w:overflowPunct/>
              <w:topLinePunct w:val="0"/>
              <w:autoSpaceDE/>
              <w:autoSpaceDN/>
              <w:bidi w:val="0"/>
              <w:snapToGrid/>
              <w:spacing w:line="360" w:lineRule="exact"/>
              <w:jc w:val="left"/>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p>
        </w:tc>
      </w:tr>
      <w:tr w14:paraId="163D00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2C116C55">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6</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49B1F797">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参加政府采购活动前三年内，在经营活动中没有重大违法记录</w:t>
            </w:r>
          </w:p>
        </w:tc>
        <w:tc>
          <w:tcPr>
            <w:tcW w:w="5538" w:type="dxa"/>
            <w:vMerge w:val="continue"/>
            <w:tcBorders>
              <w:left w:val="single" w:color="auto" w:sz="2" w:space="0"/>
              <w:bottom w:val="single" w:color="auto" w:sz="2" w:space="0"/>
              <w:right w:val="single" w:color="auto" w:sz="2" w:space="0"/>
            </w:tcBorders>
            <w:noWrap w:val="0"/>
            <w:vAlign w:val="top"/>
          </w:tcPr>
          <w:p w14:paraId="35A993AF">
            <w:pPr>
              <w:keepNext w:val="0"/>
              <w:keepLines/>
              <w:pageBreakBefore w:val="0"/>
              <w:widowControl w:val="0"/>
              <w:kinsoku/>
              <w:wordWrap w:val="0"/>
              <w:overflowPunct/>
              <w:topLinePunct w:val="0"/>
              <w:autoSpaceDE/>
              <w:autoSpaceDN/>
              <w:bidi w:val="0"/>
              <w:snapToGrid/>
              <w:spacing w:line="360" w:lineRule="exact"/>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p>
        </w:tc>
      </w:tr>
      <w:tr w14:paraId="343149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508AA82A">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3B997940">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保证金的交纳及开户许可证</w:t>
            </w:r>
          </w:p>
        </w:tc>
        <w:tc>
          <w:tcPr>
            <w:tcW w:w="5538" w:type="dxa"/>
            <w:tcBorders>
              <w:top w:val="single" w:color="auto" w:sz="2" w:space="0"/>
              <w:left w:val="single" w:color="auto" w:sz="2" w:space="0"/>
              <w:bottom w:val="single" w:color="auto" w:sz="2" w:space="0"/>
              <w:right w:val="single" w:color="auto" w:sz="2" w:space="0"/>
            </w:tcBorders>
            <w:noWrap w:val="0"/>
            <w:vAlign w:val="center"/>
          </w:tcPr>
          <w:p w14:paraId="640DD123">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1、提供基本账户开户许可证扫描件的，磋商保证金从磋商供应商的基本存款账户转出，提供（磋商保证金银行回单扫描件）否则作废标处理。</w:t>
            </w:r>
          </w:p>
          <w:p w14:paraId="653A9910">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已取消企业银行账户许可的，提供银行证明扫描件或提供取消企业银行账户许可的相关公告扫描件。</w:t>
            </w:r>
          </w:p>
          <w:p w14:paraId="1CA13C62">
            <w:pPr>
              <w:pStyle w:val="32"/>
              <w:keepNext w:val="0"/>
              <w:keepLines/>
              <w:pageBreakBefore w:val="0"/>
              <w:widowControl w:val="0"/>
              <w:numPr>
                <w:ilvl w:val="0"/>
                <w:numId w:val="3"/>
              </w:numPr>
              <w:kinsoku/>
              <w:wordWrap w:val="0"/>
              <w:overflowPunct/>
              <w:topLinePunct w:val="0"/>
              <w:autoSpaceDE/>
              <w:autoSpaceDN/>
              <w:bidi w:val="0"/>
              <w:snapToGrid/>
              <w:spacing w:line="360" w:lineRule="exact"/>
              <w:ind w:left="0" w:leftChars="0" w:firstLine="420" w:firstLineChars="200"/>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保证金采用保函方式交纳的，保函应当由银行或金融服务平台、保证保险、工程担保公司出具。</w:t>
            </w:r>
          </w:p>
          <w:p w14:paraId="5DA542B4">
            <w:pPr>
              <w:pStyle w:val="32"/>
              <w:keepNext w:val="0"/>
              <w:keepLines/>
              <w:pageBreakBefore w:val="0"/>
              <w:widowControl w:val="0"/>
              <w:kinsoku/>
              <w:wordWrap w:val="0"/>
              <w:overflowPunct/>
              <w:topLinePunct w:val="0"/>
              <w:autoSpaceDE/>
              <w:autoSpaceDN/>
              <w:bidi w:val="0"/>
              <w:snapToGrid/>
              <w:spacing w:line="360" w:lineRule="exact"/>
              <w:ind w:firstLine="420" w:firstLineChars="200"/>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任意一项证明文件的扫描件清晰、保函真实有效且符合要求。</w:t>
            </w:r>
          </w:p>
        </w:tc>
      </w:tr>
      <w:tr w14:paraId="2370A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630EF130">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01688202">
            <w:pPr>
              <w:keepNext w:val="0"/>
              <w:keepLines/>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本项目要求的其他资格条件</w:t>
            </w:r>
          </w:p>
        </w:tc>
        <w:tc>
          <w:tcPr>
            <w:tcW w:w="5538" w:type="dxa"/>
            <w:tcBorders>
              <w:top w:val="single" w:color="auto" w:sz="2" w:space="0"/>
              <w:left w:val="single" w:color="auto" w:sz="2" w:space="0"/>
              <w:bottom w:val="single" w:color="auto" w:sz="2" w:space="0"/>
              <w:right w:val="single" w:color="auto" w:sz="2" w:space="0"/>
            </w:tcBorders>
            <w:noWrap w:val="0"/>
            <w:vAlign w:val="center"/>
          </w:tcPr>
          <w:p w14:paraId="7A1FAABE">
            <w:pPr>
              <w:keepNext w:val="0"/>
              <w:keepLines/>
              <w:pageBreakBefore w:val="0"/>
              <w:widowControl w:val="0"/>
              <w:kinsoku/>
              <w:wordWrap w:val="0"/>
              <w:overflowPunct/>
              <w:topLinePunct w:val="0"/>
              <w:autoSpaceDE/>
              <w:autoSpaceDN/>
              <w:bidi w:val="0"/>
              <w:snapToGrid/>
              <w:spacing w:line="360" w:lineRule="exact"/>
              <w:ind w:firstLine="420" w:firstLineChars="200"/>
              <w:jc w:val="both"/>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供应商必须具备建设行政主管部门颁发的建筑工程施工总承包叁级及以上资质，且具有有效的营业执照、开户许可证或基本存款账户信息、安全生产许可证；其中，投标人拟派项目经理须具备建筑工程贰级及以上注册建造师执业资格证书，具备有效的安全生产考核合格证书、且未担任其他在建工程项目的项目经理，项目技术负责人须具备建筑相关专业中级及以上技术职称。</w:t>
            </w:r>
          </w:p>
        </w:tc>
      </w:tr>
      <w:tr w14:paraId="139ED0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5" w:hRule="atLeast"/>
        </w:trPr>
        <w:tc>
          <w:tcPr>
            <w:tcW w:w="651" w:type="dxa"/>
            <w:tcBorders>
              <w:top w:val="single" w:color="auto" w:sz="2" w:space="0"/>
              <w:left w:val="single" w:color="auto" w:sz="2" w:space="0"/>
              <w:bottom w:val="single" w:color="auto" w:sz="2" w:space="0"/>
              <w:right w:val="single" w:color="auto" w:sz="2" w:space="0"/>
            </w:tcBorders>
            <w:noWrap w:val="0"/>
            <w:vAlign w:val="center"/>
          </w:tcPr>
          <w:p w14:paraId="55D16F35">
            <w:pPr>
              <w:keepNext w:val="0"/>
              <w:keepLines/>
              <w:pageBreakBefore w:val="0"/>
              <w:widowControl w:val="0"/>
              <w:kinsoku/>
              <w:wordWrap w:val="0"/>
              <w:overflowPunct/>
              <w:topLinePunct w:val="0"/>
              <w:autoSpaceDE/>
              <w:autoSpaceDN/>
              <w:bidi w:val="0"/>
              <w:snapToGrid/>
              <w:spacing w:line="36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9</w:t>
            </w:r>
          </w:p>
        </w:tc>
        <w:tc>
          <w:tcPr>
            <w:tcW w:w="2450" w:type="dxa"/>
            <w:tcBorders>
              <w:top w:val="single" w:color="auto" w:sz="2" w:space="0"/>
              <w:left w:val="single" w:color="auto" w:sz="2" w:space="0"/>
              <w:bottom w:val="single" w:color="auto" w:sz="2" w:space="0"/>
              <w:right w:val="single" w:color="auto" w:sz="2" w:space="0"/>
            </w:tcBorders>
            <w:noWrap w:val="0"/>
            <w:vAlign w:val="center"/>
          </w:tcPr>
          <w:p w14:paraId="14E689D7">
            <w:pPr>
              <w:pStyle w:val="35"/>
              <w:keepNext w:val="0"/>
              <w:keepLines/>
              <w:pageBreakBefore w:val="0"/>
              <w:widowControl w:val="0"/>
              <w:kinsoku/>
              <w:wordWrap w:val="0"/>
              <w:overflowPunct/>
              <w:topLinePunct w:val="0"/>
              <w:autoSpaceDE/>
              <w:autoSpaceDN/>
              <w:bidi w:val="0"/>
              <w:adjustRightInd w:val="0"/>
              <w:snapToGrid/>
              <w:spacing w:line="36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落实采购政策的要求</w:t>
            </w:r>
          </w:p>
        </w:tc>
        <w:tc>
          <w:tcPr>
            <w:tcW w:w="5538" w:type="dxa"/>
            <w:tcBorders>
              <w:top w:val="single" w:color="auto" w:sz="2" w:space="0"/>
              <w:left w:val="single" w:color="auto" w:sz="2" w:space="0"/>
              <w:bottom w:val="single" w:color="auto" w:sz="2" w:space="0"/>
              <w:right w:val="single" w:color="auto" w:sz="2" w:space="0"/>
            </w:tcBorders>
            <w:noWrap w:val="0"/>
            <w:vAlign w:val="center"/>
          </w:tcPr>
          <w:p w14:paraId="5007E0A8">
            <w:pPr>
              <w:pStyle w:val="35"/>
              <w:keepNext w:val="0"/>
              <w:keepLines/>
              <w:pageBreakBefore w:val="0"/>
              <w:widowControl w:val="0"/>
              <w:kinsoku/>
              <w:wordWrap w:val="0"/>
              <w:overflowPunct/>
              <w:topLinePunct w:val="0"/>
              <w:autoSpaceDE/>
              <w:autoSpaceDN/>
              <w:bidi w:val="0"/>
              <w:adjustRightInd w:val="0"/>
              <w:snapToGrid/>
              <w:spacing w:line="360" w:lineRule="exact"/>
              <w:ind w:firstLine="420" w:firstLineChars="200"/>
              <w:textAlignment w:val="auto"/>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本项目专门面向中、小、微企业，根据"落实政府采购政策需满足的资格要求"，上传对应的资格文件，格式以招标文件要求为准。</w:t>
            </w:r>
          </w:p>
        </w:tc>
      </w:tr>
    </w:tbl>
    <w:p w14:paraId="4484B602">
      <w:pPr>
        <w:keepLines/>
        <w:pageBreakBefore w:val="0"/>
        <w:kinsoku/>
        <w:wordWrap w:val="0"/>
        <w:overflowPunct/>
        <w:topLinePunct w:val="0"/>
        <w:autoSpaceDE/>
        <w:autoSpaceDN/>
        <w:bidi w:val="0"/>
        <w:spacing w:line="360" w:lineRule="exact"/>
        <w:ind w:left="1050" w:hanging="1050" w:hangingChars="500"/>
        <w:textAlignment w:val="auto"/>
        <w:rPr>
          <w:rFonts w:hint="eastAsia" w:ascii="宋体" w:hAnsi="宋体" w:eastAsia="宋体" w:cs="宋体"/>
          <w:color w:val="000000" w:themeColor="text1"/>
          <w:spacing w:val="0"/>
          <w:szCs w:val="21"/>
          <w14:textFill>
            <w14:solidFill>
              <w14:schemeClr w14:val="tx1"/>
            </w14:solidFill>
          </w14:textFill>
        </w:rPr>
      </w:pPr>
    </w:p>
    <w:p w14:paraId="29D12370">
      <w:pPr>
        <w:keepLines/>
        <w:pageBreakBefore w:val="0"/>
        <w:kinsoku/>
        <w:wordWrap w:val="0"/>
        <w:overflowPunct/>
        <w:topLinePunct w:val="0"/>
        <w:autoSpaceDE/>
        <w:autoSpaceDN/>
        <w:bidi w:val="0"/>
        <w:spacing w:line="360" w:lineRule="exact"/>
        <w:ind w:left="1050" w:hanging="1050" w:hangingChars="500"/>
        <w:textAlignment w:val="auto"/>
        <w:rPr>
          <w:rFonts w:hint="eastAsia" w:ascii="宋体" w:hAnsi="宋体" w:eastAsia="宋体" w:cs="宋体"/>
          <w:color w:val="000000" w:themeColor="text1"/>
          <w:spacing w:val="0"/>
          <w:szCs w:val="21"/>
          <w14:textFill>
            <w14:solidFill>
              <w14:schemeClr w14:val="tx1"/>
            </w14:solidFill>
          </w14:textFill>
        </w:rPr>
      </w:pPr>
    </w:p>
    <w:p w14:paraId="04E5266B">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说明：</w:t>
      </w:r>
    </w:p>
    <w:p w14:paraId="1A5C6ED9">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1、资格检查的内容若有一项未提供或达不到检查标准，将导致其不具备磋商资格，且不允许在响应文件提交截止时间后补正。</w:t>
      </w:r>
    </w:p>
    <w:p w14:paraId="33A1F869">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2、依法免税或不需要缴纳社会保障金的磋商供应商，应提供相应的证明文件扫描件并加盖法人电子签章。</w:t>
      </w:r>
    </w:p>
    <w:p w14:paraId="0AA5B91B">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w:t>
      </w:r>
      <w:r>
        <w:rPr>
          <w:rFonts w:hint="eastAsia" w:ascii="宋体" w:hAnsi="宋体" w:eastAsia="宋体" w:cs="宋体"/>
          <w:color w:val="000000" w:themeColor="text1"/>
          <w:spacing w:val="0"/>
          <w:sz w:val="24"/>
          <w:szCs w:val="24"/>
          <w:lang w:val="en-US" w:eastAsia="zh-CN"/>
          <w14:textFill>
            <w14:solidFill>
              <w14:schemeClr w14:val="tx1"/>
            </w14:solidFill>
          </w14:textFill>
        </w:rPr>
        <w:t>以上证明材料需提供供应商信用承诺书或相关证明材料。</w:t>
      </w:r>
    </w:p>
    <w:p w14:paraId="2D6FF341">
      <w:pPr>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sz w:val="36"/>
          <w:szCs w:val="52"/>
          <w:lang w:val="en-US" w:eastAsia="zh-CN"/>
          <w14:textFill>
            <w14:solidFill>
              <w14:schemeClr w14:val="tx1"/>
            </w14:solidFill>
          </w14:textFill>
        </w:rPr>
      </w:pPr>
      <w:r>
        <w:rPr>
          <w:rFonts w:hint="eastAsia" w:ascii="宋体" w:hAnsi="宋体" w:eastAsia="宋体" w:cs="宋体"/>
          <w:color w:val="000000" w:themeColor="text1"/>
          <w:spacing w:val="0"/>
          <w:sz w:val="36"/>
          <w:szCs w:val="52"/>
          <w:lang w:val="en-US" w:eastAsia="zh-CN"/>
          <w14:textFill>
            <w14:solidFill>
              <w14:schemeClr w14:val="tx1"/>
            </w14:solidFill>
          </w14:textFill>
        </w:rPr>
        <w:br w:type="page"/>
      </w:r>
    </w:p>
    <w:p w14:paraId="3E4535A8">
      <w:pPr>
        <w:pStyle w:val="2"/>
        <w:keepLines/>
        <w:pageBreakBefore w:val="0"/>
        <w:kinsoku/>
        <w:wordWrap w:val="0"/>
        <w:overflowPunct/>
        <w:topLinePunct w:val="0"/>
        <w:autoSpaceDE/>
        <w:autoSpaceDN/>
        <w:bidi w:val="0"/>
        <w:spacing w:line="360" w:lineRule="auto"/>
        <w:textAlignment w:val="auto"/>
        <w:rPr>
          <w:rFonts w:hint="eastAsia" w:ascii="宋体" w:hAnsi="宋体" w:eastAsia="宋体" w:cs="宋体"/>
          <w:b w:val="0"/>
          <w:bCs w:val="0"/>
          <w:color w:val="000000" w:themeColor="text1"/>
          <w:sz w:val="36"/>
          <w:szCs w:val="52"/>
          <w14:textFill>
            <w14:solidFill>
              <w14:schemeClr w14:val="tx1"/>
            </w14:solidFill>
          </w14:textFill>
        </w:rPr>
      </w:pPr>
      <w:r>
        <w:rPr>
          <w:rFonts w:hint="eastAsia" w:ascii="宋体" w:hAnsi="宋体" w:eastAsia="宋体" w:cs="宋体"/>
          <w:b w:val="0"/>
          <w:bCs w:val="0"/>
          <w:color w:val="000000" w:themeColor="text1"/>
          <w:sz w:val="36"/>
          <w:szCs w:val="52"/>
          <w14:textFill>
            <w14:solidFill>
              <w14:schemeClr w14:val="tx1"/>
            </w14:solidFill>
          </w14:textFill>
        </w:rPr>
        <w:t>第六部分 评定和成交标准</w:t>
      </w:r>
    </w:p>
    <w:p w14:paraId="0E98A641">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响应文件的符合性审查及标准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65"/>
        <w:gridCol w:w="5600"/>
        <w:gridCol w:w="1407"/>
      </w:tblGrid>
      <w:tr w14:paraId="13EC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70" w:type="dxa"/>
            <w:noWrap w:val="0"/>
            <w:vAlign w:val="center"/>
          </w:tcPr>
          <w:p w14:paraId="72B9C89E">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序号</w:t>
            </w:r>
          </w:p>
        </w:tc>
        <w:tc>
          <w:tcPr>
            <w:tcW w:w="1065" w:type="dxa"/>
            <w:noWrap w:val="0"/>
            <w:vAlign w:val="center"/>
          </w:tcPr>
          <w:p w14:paraId="6116A358">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内容</w:t>
            </w:r>
          </w:p>
        </w:tc>
        <w:tc>
          <w:tcPr>
            <w:tcW w:w="5600" w:type="dxa"/>
            <w:noWrap w:val="0"/>
            <w:vAlign w:val="center"/>
          </w:tcPr>
          <w:p w14:paraId="181CCCAE">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审查项目</w:t>
            </w:r>
          </w:p>
        </w:tc>
        <w:tc>
          <w:tcPr>
            <w:tcW w:w="1407" w:type="dxa"/>
            <w:noWrap w:val="0"/>
            <w:vAlign w:val="center"/>
          </w:tcPr>
          <w:p w14:paraId="5B141486">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审查</w:t>
            </w:r>
          </w:p>
          <w:p w14:paraId="4019C0FC">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标准</w:t>
            </w:r>
          </w:p>
        </w:tc>
      </w:tr>
      <w:tr w14:paraId="76C3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670" w:type="dxa"/>
            <w:noWrap w:val="0"/>
            <w:vAlign w:val="center"/>
          </w:tcPr>
          <w:p w14:paraId="65163AFB">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065" w:type="dxa"/>
            <w:noWrap w:val="0"/>
            <w:vAlign w:val="center"/>
          </w:tcPr>
          <w:p w14:paraId="5A6A53FE">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报价</w:t>
            </w:r>
          </w:p>
        </w:tc>
        <w:tc>
          <w:tcPr>
            <w:tcW w:w="5600" w:type="dxa"/>
            <w:noWrap w:val="0"/>
            <w:vAlign w:val="center"/>
          </w:tcPr>
          <w:p w14:paraId="5656C9E9">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1、所有</w:t>
            </w:r>
            <w:r>
              <w:rPr>
                <w:rFonts w:hint="eastAsia" w:ascii="宋体" w:hAnsi="宋体" w:eastAsia="宋体" w:cs="宋体"/>
                <w:color w:val="000000" w:themeColor="text1"/>
                <w:sz w:val="21"/>
                <w:szCs w:val="21"/>
                <w:lang w:val="en-US" w:eastAsia="zh-CN"/>
                <w14:textFill>
                  <w14:solidFill>
                    <w14:schemeClr w14:val="tx1"/>
                  </w14:solidFill>
                </w14:textFill>
              </w:rPr>
              <w:t>供应商的</w:t>
            </w:r>
            <w:r>
              <w:rPr>
                <w:rFonts w:hint="eastAsia" w:ascii="宋体" w:hAnsi="宋体" w:eastAsia="宋体" w:cs="宋体"/>
                <w:color w:val="000000" w:themeColor="text1"/>
                <w:sz w:val="21"/>
                <w:szCs w:val="21"/>
                <w14:textFill>
                  <w14:solidFill>
                    <w14:schemeClr w14:val="tx1"/>
                  </w14:solidFill>
                </w14:textFill>
              </w:rPr>
              <w:t>报价均以人民币/元为计算单位。</w:t>
            </w:r>
          </w:p>
          <w:p w14:paraId="670C75B6">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、不接受超出本项目预算金额或最高限价的报价。</w:t>
            </w:r>
          </w:p>
        </w:tc>
        <w:tc>
          <w:tcPr>
            <w:tcW w:w="1407" w:type="dxa"/>
            <w:noWrap w:val="0"/>
            <w:vAlign w:val="center"/>
          </w:tcPr>
          <w:p w14:paraId="2D7EFF04">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文件要求</w:t>
            </w:r>
          </w:p>
        </w:tc>
      </w:tr>
      <w:tr w14:paraId="7C98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70" w:type="dxa"/>
            <w:noWrap w:val="0"/>
            <w:vAlign w:val="center"/>
          </w:tcPr>
          <w:p w14:paraId="1B17DAC5">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1065" w:type="dxa"/>
            <w:noWrap w:val="0"/>
            <w:vAlign w:val="center"/>
          </w:tcPr>
          <w:p w14:paraId="094BA6AA">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商务</w:t>
            </w:r>
            <w:r>
              <w:rPr>
                <w:rFonts w:hint="eastAsia" w:ascii="宋体" w:hAnsi="宋体" w:eastAsia="宋体" w:cs="宋体"/>
                <w:color w:val="000000" w:themeColor="text1"/>
                <w:sz w:val="21"/>
                <w:szCs w:val="21"/>
                <w:lang w:val="en-US" w:eastAsia="zh-CN"/>
                <w14:textFill>
                  <w14:solidFill>
                    <w14:schemeClr w14:val="tx1"/>
                  </w14:solidFill>
                </w14:textFill>
              </w:rPr>
              <w:t>要求</w:t>
            </w:r>
          </w:p>
        </w:tc>
        <w:tc>
          <w:tcPr>
            <w:tcW w:w="5600" w:type="dxa"/>
            <w:noWrap w:val="0"/>
            <w:vAlign w:val="center"/>
          </w:tcPr>
          <w:p w14:paraId="6257A379">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对照本文件第</w:t>
            </w:r>
            <w:r>
              <w:rPr>
                <w:rFonts w:hint="eastAsia" w:ascii="宋体" w:hAnsi="宋体" w:eastAsia="宋体" w:cs="宋体"/>
                <w:color w:val="000000" w:themeColor="text1"/>
                <w:sz w:val="21"/>
                <w:szCs w:val="21"/>
                <w:lang w:val="en-US" w:eastAsia="zh-CN"/>
                <w14:textFill>
                  <w14:solidFill>
                    <w14:schemeClr w14:val="tx1"/>
                  </w14:solidFill>
                </w14:textFill>
              </w:rPr>
              <w:t>四部分</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采购需求对</w:t>
            </w:r>
            <w:r>
              <w:rPr>
                <w:rFonts w:hint="eastAsia" w:ascii="宋体" w:hAnsi="宋体" w:eastAsia="宋体" w:cs="宋体"/>
                <w:color w:val="000000" w:themeColor="text1"/>
                <w:sz w:val="21"/>
                <w:szCs w:val="21"/>
                <w:lang w:eastAsia="zh-CN"/>
                <w14:textFill>
                  <w14:solidFill>
                    <w14:schemeClr w14:val="tx1"/>
                  </w14:solidFill>
                </w14:textFill>
              </w:rPr>
              <w:t>响应文件的</w:t>
            </w:r>
            <w:r>
              <w:rPr>
                <w:rFonts w:hint="eastAsia" w:ascii="宋体" w:hAnsi="宋体" w:eastAsia="宋体" w:cs="宋体"/>
                <w:color w:val="000000" w:themeColor="text1"/>
                <w:sz w:val="21"/>
                <w:szCs w:val="21"/>
                <w:lang w:val="en-US" w:eastAsia="zh-CN"/>
                <w14:textFill>
                  <w14:solidFill>
                    <w14:schemeClr w14:val="tx1"/>
                  </w14:solidFill>
                </w14:textFill>
              </w:rPr>
              <w:t>商务</w:t>
            </w:r>
            <w:r>
              <w:rPr>
                <w:rFonts w:hint="eastAsia" w:ascii="宋体" w:hAnsi="宋体" w:eastAsia="宋体" w:cs="宋体"/>
                <w:color w:val="000000" w:themeColor="text1"/>
                <w:sz w:val="21"/>
                <w:szCs w:val="21"/>
                <w:lang w:eastAsia="zh-CN"/>
                <w14:textFill>
                  <w14:solidFill>
                    <w14:schemeClr w14:val="tx1"/>
                  </w14:solidFill>
                </w14:textFill>
              </w:rPr>
              <w:t>响应情况进行审查，没有做出实质性响应的做无效响应处理。</w:t>
            </w:r>
          </w:p>
          <w:p w14:paraId="7A590794">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全部符合，即为有效，否则，响应无效。</w:t>
            </w:r>
          </w:p>
        </w:tc>
        <w:tc>
          <w:tcPr>
            <w:tcW w:w="1407" w:type="dxa"/>
            <w:noWrap w:val="0"/>
            <w:vAlign w:val="center"/>
          </w:tcPr>
          <w:p w14:paraId="6DFDEF41">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文件要求</w:t>
            </w:r>
          </w:p>
        </w:tc>
      </w:tr>
      <w:tr w14:paraId="64B0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70" w:type="dxa"/>
            <w:noWrap w:val="0"/>
            <w:vAlign w:val="center"/>
          </w:tcPr>
          <w:p w14:paraId="07FC41E5">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1065" w:type="dxa"/>
            <w:noWrap w:val="0"/>
            <w:vAlign w:val="center"/>
          </w:tcPr>
          <w:p w14:paraId="1CA90666">
            <w:pPr>
              <w:keepNext w:val="0"/>
              <w:keepLines/>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技术要求</w:t>
            </w:r>
          </w:p>
        </w:tc>
        <w:tc>
          <w:tcPr>
            <w:tcW w:w="5600" w:type="dxa"/>
            <w:noWrap w:val="0"/>
            <w:vAlign w:val="center"/>
          </w:tcPr>
          <w:p w14:paraId="2E1F863D">
            <w:pPr>
              <w:keepNext w:val="0"/>
              <w:keepLines/>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对照本文件</w:t>
            </w:r>
            <w:r>
              <w:rPr>
                <w:rFonts w:hint="eastAsia" w:ascii="宋体" w:hAnsi="宋体" w:eastAsia="宋体" w:cs="宋体"/>
                <w:color w:val="000000" w:themeColor="text1"/>
                <w:sz w:val="21"/>
                <w:szCs w:val="21"/>
                <w:lang w:val="en-US" w:eastAsia="zh-CN"/>
                <w14:textFill>
                  <w14:solidFill>
                    <w14:schemeClr w14:val="tx1"/>
                  </w14:solidFill>
                </w14:textFill>
              </w:rPr>
              <w:t>第四部分</w:t>
            </w:r>
            <w:r>
              <w:rPr>
                <w:rFonts w:hint="eastAsia" w:ascii="宋体" w:hAnsi="宋体" w:eastAsia="宋体" w:cs="宋体"/>
                <w:color w:val="000000" w:themeColor="text1"/>
                <w:sz w:val="21"/>
                <w:szCs w:val="21"/>
                <w:lang w:eastAsia="zh-CN"/>
                <w14:textFill>
                  <w14:solidFill>
                    <w14:schemeClr w14:val="tx1"/>
                  </w14:solidFill>
                </w14:textFill>
              </w:rPr>
              <w:t>的</w:t>
            </w:r>
            <w:r>
              <w:rPr>
                <w:rFonts w:hint="eastAsia" w:ascii="宋体" w:hAnsi="宋体" w:eastAsia="宋体" w:cs="宋体"/>
                <w:color w:val="000000" w:themeColor="text1"/>
                <w:sz w:val="21"/>
                <w:szCs w:val="21"/>
                <w:lang w:val="en-US" w:eastAsia="zh-CN"/>
                <w14:textFill>
                  <w14:solidFill>
                    <w14:schemeClr w14:val="tx1"/>
                  </w14:solidFill>
                </w14:textFill>
              </w:rPr>
              <w:t>采购需求对</w:t>
            </w:r>
            <w:r>
              <w:rPr>
                <w:rFonts w:hint="eastAsia" w:ascii="宋体" w:hAnsi="宋体" w:eastAsia="宋体" w:cs="宋体"/>
                <w:color w:val="000000" w:themeColor="text1"/>
                <w:sz w:val="21"/>
                <w:szCs w:val="21"/>
                <w:lang w:eastAsia="zh-CN"/>
                <w14:textFill>
                  <w14:solidFill>
                    <w14:schemeClr w14:val="tx1"/>
                  </w14:solidFill>
                </w14:textFill>
              </w:rPr>
              <w:t>响应文件的</w:t>
            </w:r>
            <w:r>
              <w:rPr>
                <w:rFonts w:hint="eastAsia" w:ascii="宋体" w:hAnsi="宋体" w:eastAsia="宋体" w:cs="宋体"/>
                <w:color w:val="000000" w:themeColor="text1"/>
                <w:sz w:val="21"/>
                <w:szCs w:val="21"/>
                <w:lang w:val="en-US" w:eastAsia="zh-CN"/>
                <w14:textFill>
                  <w14:solidFill>
                    <w14:schemeClr w14:val="tx1"/>
                  </w14:solidFill>
                </w14:textFill>
              </w:rPr>
              <w:t>技术</w:t>
            </w:r>
            <w:r>
              <w:rPr>
                <w:rFonts w:hint="eastAsia" w:ascii="宋体" w:hAnsi="宋体" w:eastAsia="宋体" w:cs="宋体"/>
                <w:color w:val="000000" w:themeColor="text1"/>
                <w:sz w:val="21"/>
                <w:szCs w:val="21"/>
                <w:lang w:eastAsia="zh-CN"/>
                <w14:textFill>
                  <w14:solidFill>
                    <w14:schemeClr w14:val="tx1"/>
                  </w14:solidFill>
                </w14:textFill>
              </w:rPr>
              <w:t>响应情况进行审查，没有做出实质性响应的做无效响应处理。</w:t>
            </w:r>
          </w:p>
        </w:tc>
        <w:tc>
          <w:tcPr>
            <w:tcW w:w="1407" w:type="dxa"/>
            <w:noWrap w:val="0"/>
            <w:vAlign w:val="center"/>
          </w:tcPr>
          <w:p w14:paraId="4E2E1B97">
            <w:pPr>
              <w:keepNext w:val="0"/>
              <w:keepLines/>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r>
              <w:rPr>
                <w:rFonts w:hint="eastAsia" w:ascii="宋体" w:hAnsi="宋体" w:eastAsia="宋体" w:cs="宋体"/>
                <w:color w:val="000000" w:themeColor="text1"/>
                <w:sz w:val="21"/>
                <w:szCs w:val="21"/>
                <w:lang w:val="en-US" w:eastAsia="zh-CN"/>
                <w14:textFill>
                  <w14:solidFill>
                    <w14:schemeClr w14:val="tx1"/>
                  </w14:solidFill>
                </w14:textFill>
              </w:rPr>
              <w:t>磋商</w:t>
            </w:r>
            <w:r>
              <w:rPr>
                <w:rFonts w:hint="eastAsia" w:ascii="宋体" w:hAnsi="宋体" w:eastAsia="宋体" w:cs="宋体"/>
                <w:color w:val="000000" w:themeColor="text1"/>
                <w:sz w:val="21"/>
                <w:szCs w:val="21"/>
                <w14:textFill>
                  <w14:solidFill>
                    <w14:schemeClr w14:val="tx1"/>
                  </w14:solidFill>
                </w14:textFill>
              </w:rPr>
              <w:t>文件要求</w:t>
            </w:r>
          </w:p>
        </w:tc>
      </w:tr>
    </w:tbl>
    <w:p w14:paraId="7961D3DA">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说明：1、符合性检查的内容，经磋商小组共同认定没有做出实质性响应的，将导致磋商无效。</w:t>
      </w:r>
    </w:p>
    <w:p w14:paraId="7679B792">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2、审查时，对特殊情况的处理</w:t>
      </w:r>
      <w:r>
        <w:rPr>
          <w:rFonts w:hint="eastAsia" w:ascii="宋体" w:hAnsi="宋体" w:eastAsia="宋体" w:cs="宋体"/>
          <w:color w:val="000000" w:themeColor="text1"/>
          <w:spacing w:val="0"/>
          <w:sz w:val="24"/>
          <w:szCs w:val="24"/>
          <w:lang w:eastAsia="zh-CN"/>
          <w14:textFill>
            <w14:solidFill>
              <w14:schemeClr w14:val="tx1"/>
            </w14:solidFill>
          </w14:textFill>
        </w:rPr>
        <w:t>磋商小组</w:t>
      </w:r>
      <w:r>
        <w:rPr>
          <w:rFonts w:hint="eastAsia" w:ascii="宋体" w:hAnsi="宋体" w:eastAsia="宋体" w:cs="宋体"/>
          <w:color w:val="000000" w:themeColor="text1"/>
          <w:spacing w:val="0"/>
          <w:sz w:val="24"/>
          <w:szCs w:val="24"/>
          <w14:textFill>
            <w14:solidFill>
              <w14:schemeClr w14:val="tx1"/>
            </w14:solidFill>
          </w14:textFill>
        </w:rPr>
        <w:t>要遵循磋商文件第三部分磋商供应商须知规定的原则。</w:t>
      </w:r>
    </w:p>
    <w:p w14:paraId="292DC818">
      <w:pPr>
        <w:pStyle w:val="35"/>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二、无效磋商的情形</w:t>
      </w:r>
    </w:p>
    <w:p w14:paraId="1BF1C15C">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未通过资格性、符合性审查的响应文件为无效磋商。</w:t>
      </w:r>
    </w:p>
    <w:p w14:paraId="25626D46">
      <w:pPr>
        <w:keepLines/>
        <w:pageBreakBefore w:val="0"/>
        <w:kinsoku/>
        <w:wordWrap w:val="0"/>
        <w:overflowPunct/>
        <w:topLinePunct w:val="0"/>
        <w:autoSpaceDE/>
        <w:autoSpaceDN/>
        <w:bidi w:val="0"/>
        <w:snapToGrid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lang w:eastAsia="zh-CN"/>
          <w14:textFill>
            <w14:solidFill>
              <w14:schemeClr w14:val="tx1"/>
            </w14:solidFill>
          </w14:textFill>
        </w:rPr>
        <w:t>三</w:t>
      </w:r>
      <w:r>
        <w:rPr>
          <w:rFonts w:hint="eastAsia" w:ascii="宋体" w:hAnsi="宋体" w:eastAsia="宋体" w:cs="宋体"/>
          <w:b/>
          <w:color w:val="000000" w:themeColor="text1"/>
          <w:spacing w:val="0"/>
          <w:sz w:val="24"/>
          <w:szCs w:val="24"/>
          <w14:textFill>
            <w14:solidFill>
              <w14:schemeClr w14:val="tx1"/>
            </w14:solidFill>
          </w14:textFill>
        </w:rPr>
        <w:t>、成交标准</w:t>
      </w:r>
    </w:p>
    <w:p w14:paraId="5E105EED">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rFonts w:hint="eastAsia" w:ascii="宋体" w:hAnsi="宋体" w:eastAsia="宋体" w:cs="宋体"/>
          <w:color w:val="000000" w:themeColor="text1"/>
          <w:spacing w:val="0"/>
          <w14:textFill>
            <w14:solidFill>
              <w14:schemeClr w14:val="tx1"/>
            </w14:solidFill>
          </w14:textFill>
        </w:rPr>
        <w:br w:type="page"/>
      </w:r>
    </w:p>
    <w:p w14:paraId="2C96928A">
      <w:pPr>
        <w:pStyle w:val="35"/>
        <w:keepLines/>
        <w:pageBreakBefore w:val="0"/>
        <w:kinsoku/>
        <w:wordWrap w:val="0"/>
        <w:overflowPunct/>
        <w:topLinePunct w:val="0"/>
        <w:autoSpaceDE/>
        <w:autoSpaceDN/>
        <w:bidi w:val="0"/>
        <w:snapToGrid w:val="0"/>
        <w:spacing w:line="360" w:lineRule="auto"/>
        <w:jc w:val="both"/>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lang w:eastAsia="zh-CN"/>
          <w14:textFill>
            <w14:solidFill>
              <w14:schemeClr w14:val="tx1"/>
            </w14:solidFill>
          </w14:textFill>
        </w:rPr>
        <w:t>四、</w:t>
      </w:r>
      <w:r>
        <w:rPr>
          <w:rFonts w:hint="eastAsia" w:ascii="宋体" w:hAnsi="宋体" w:eastAsia="宋体" w:cs="宋体"/>
          <w:b/>
          <w:bCs/>
          <w:color w:val="000000" w:themeColor="text1"/>
          <w:spacing w:val="0"/>
          <w:sz w:val="24"/>
          <w:szCs w:val="24"/>
          <w14:textFill>
            <w14:solidFill>
              <w14:schemeClr w14:val="tx1"/>
            </w14:solidFill>
          </w14:textFill>
        </w:rPr>
        <w:t>综合评分法评分细则：</w:t>
      </w:r>
    </w:p>
    <w:p w14:paraId="23636A72">
      <w:pPr>
        <w:pStyle w:val="17"/>
        <w:keepLines/>
        <w:pageBreakBefore w:val="0"/>
        <w:kinsoku/>
        <w:wordWrap w:val="0"/>
        <w:overflowPunct/>
        <w:topLinePunct w:val="0"/>
        <w:autoSpaceDE/>
        <w:autoSpaceDN/>
        <w:bidi w:val="0"/>
        <w:spacing w:line="360" w:lineRule="auto"/>
        <w:jc w:val="both"/>
        <w:textAlignment w:val="auto"/>
        <w:rPr>
          <w:rFonts w:hint="eastAsia" w:ascii="宋体" w:hAnsi="宋体" w:eastAsia="宋体" w:cs="宋体"/>
          <w:b/>
          <w:color w:val="000000" w:themeColor="text1"/>
          <w:spacing w:val="0"/>
          <w:sz w:val="28"/>
          <w:szCs w:val="28"/>
          <w14:textFill>
            <w14:solidFill>
              <w14:schemeClr w14:val="tx1"/>
            </w14:solidFill>
          </w14:textFill>
        </w:rPr>
      </w:pPr>
      <w:r>
        <w:rPr>
          <w:rFonts w:hint="eastAsia" w:ascii="宋体" w:hAnsi="宋体" w:eastAsia="宋体" w:cs="宋体"/>
          <w:b/>
          <w:color w:val="000000" w:themeColor="text1"/>
          <w:spacing w:val="0"/>
          <w:sz w:val="28"/>
          <w:szCs w:val="28"/>
          <w14:textFill>
            <w14:solidFill>
              <w14:schemeClr w14:val="tx1"/>
            </w14:solidFill>
          </w14:textFill>
        </w:rPr>
        <w:t>商务、技术和服务评分（评审委员会共同认定）</w:t>
      </w:r>
    </w:p>
    <w:tbl>
      <w:tblPr>
        <w:tblStyle w:val="28"/>
        <w:tblW w:w="8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36"/>
        <w:gridCol w:w="5476"/>
        <w:gridCol w:w="1268"/>
      </w:tblGrid>
      <w:tr w14:paraId="50B6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18" w:type="dxa"/>
            <w:vAlign w:val="center"/>
          </w:tcPr>
          <w:p w14:paraId="22D5E8B0">
            <w:pPr>
              <w:keepLines/>
              <w:pageBreakBefore w:val="0"/>
              <w:kinsoku/>
              <w:wordWrap w:val="0"/>
              <w:overflowPunct/>
              <w:topLinePunct w:val="0"/>
              <w:autoSpaceDE/>
              <w:autoSpaceDN/>
              <w:bidi w:val="0"/>
              <w:adjustRightInd w:val="0"/>
              <w:spacing w:line="360" w:lineRule="auto"/>
              <w:jc w:val="center"/>
              <w:textAlignment w:val="auto"/>
              <w:rPr>
                <w:rFonts w:hint="eastAsia" w:ascii="宋体" w:hAnsi="宋体" w:eastAsia="宋体" w:cs="宋体"/>
                <w:b/>
                <w:bCs/>
                <w:color w:val="auto"/>
                <w:spacing w:val="0"/>
                <w:position w:val="0"/>
                <w:sz w:val="21"/>
                <w:szCs w:val="21"/>
                <w:lang w:val="zh-CN"/>
              </w:rPr>
            </w:pPr>
            <w:r>
              <w:rPr>
                <w:rFonts w:hint="eastAsia" w:ascii="宋体" w:hAnsi="宋体" w:eastAsia="宋体" w:cs="宋体"/>
                <w:b/>
                <w:bCs/>
                <w:color w:val="auto"/>
                <w:spacing w:val="0"/>
                <w:position w:val="0"/>
                <w:sz w:val="21"/>
                <w:szCs w:val="21"/>
                <w:lang w:val="zh-CN"/>
              </w:rPr>
              <w:t>序号</w:t>
            </w:r>
          </w:p>
        </w:tc>
        <w:tc>
          <w:tcPr>
            <w:tcW w:w="1336" w:type="dxa"/>
            <w:vAlign w:val="center"/>
          </w:tcPr>
          <w:p w14:paraId="62104C3F">
            <w:pPr>
              <w:keepLines/>
              <w:pageBreakBefore w:val="0"/>
              <w:kinsoku/>
              <w:wordWrap w:val="0"/>
              <w:overflowPunct/>
              <w:topLinePunct w:val="0"/>
              <w:autoSpaceDE/>
              <w:autoSpaceDN/>
              <w:bidi w:val="0"/>
              <w:adjustRightInd w:val="0"/>
              <w:spacing w:line="360" w:lineRule="auto"/>
              <w:jc w:val="center"/>
              <w:textAlignment w:val="auto"/>
              <w:rPr>
                <w:rFonts w:hint="eastAsia" w:ascii="宋体" w:hAnsi="宋体" w:eastAsia="宋体" w:cs="宋体"/>
                <w:b/>
                <w:bCs/>
                <w:color w:val="auto"/>
                <w:spacing w:val="0"/>
                <w:position w:val="0"/>
                <w:sz w:val="21"/>
                <w:szCs w:val="21"/>
                <w:lang w:val="zh-CN"/>
              </w:rPr>
            </w:pPr>
            <w:r>
              <w:rPr>
                <w:rFonts w:hint="eastAsia" w:ascii="宋体" w:hAnsi="宋体" w:eastAsia="宋体" w:cs="宋体"/>
                <w:b/>
                <w:bCs/>
                <w:color w:val="auto"/>
                <w:spacing w:val="0"/>
                <w:position w:val="0"/>
                <w:sz w:val="21"/>
                <w:szCs w:val="21"/>
                <w:lang w:val="zh-CN"/>
              </w:rPr>
              <w:t>评审因素</w:t>
            </w:r>
          </w:p>
        </w:tc>
        <w:tc>
          <w:tcPr>
            <w:tcW w:w="5476" w:type="dxa"/>
            <w:vAlign w:val="center"/>
          </w:tcPr>
          <w:p w14:paraId="6EAAE1F7">
            <w:pPr>
              <w:keepLines/>
              <w:pageBreakBefore w:val="0"/>
              <w:kinsoku/>
              <w:wordWrap w:val="0"/>
              <w:overflowPunct/>
              <w:topLinePunct w:val="0"/>
              <w:autoSpaceDE/>
              <w:autoSpaceDN/>
              <w:bidi w:val="0"/>
              <w:adjustRightInd w:val="0"/>
              <w:spacing w:line="360" w:lineRule="auto"/>
              <w:jc w:val="center"/>
              <w:textAlignment w:val="auto"/>
              <w:rPr>
                <w:rFonts w:hint="eastAsia" w:ascii="宋体" w:hAnsi="宋体" w:eastAsia="宋体" w:cs="宋体"/>
                <w:b/>
                <w:bCs/>
                <w:color w:val="auto"/>
                <w:spacing w:val="0"/>
                <w:position w:val="0"/>
                <w:sz w:val="21"/>
                <w:szCs w:val="21"/>
                <w:lang w:val="zh-CN"/>
              </w:rPr>
            </w:pPr>
            <w:r>
              <w:rPr>
                <w:rFonts w:hint="eastAsia" w:ascii="宋体" w:hAnsi="宋体" w:eastAsia="宋体" w:cs="宋体"/>
                <w:b/>
                <w:bCs/>
                <w:color w:val="auto"/>
                <w:spacing w:val="0"/>
                <w:position w:val="0"/>
                <w:sz w:val="21"/>
                <w:szCs w:val="21"/>
                <w:lang w:val="zh-CN"/>
              </w:rPr>
              <w:t>评分细则</w:t>
            </w:r>
          </w:p>
        </w:tc>
        <w:tc>
          <w:tcPr>
            <w:tcW w:w="1268" w:type="dxa"/>
            <w:vAlign w:val="center"/>
          </w:tcPr>
          <w:p w14:paraId="04E5B3B5">
            <w:pPr>
              <w:keepLines/>
              <w:pageBreakBefore w:val="0"/>
              <w:kinsoku/>
              <w:wordWrap w:val="0"/>
              <w:overflowPunct/>
              <w:topLinePunct w:val="0"/>
              <w:autoSpaceDE/>
              <w:autoSpaceDN/>
              <w:bidi w:val="0"/>
              <w:adjustRightInd w:val="0"/>
              <w:spacing w:line="360" w:lineRule="auto"/>
              <w:jc w:val="center"/>
              <w:textAlignment w:val="auto"/>
              <w:rPr>
                <w:rFonts w:hint="eastAsia" w:ascii="宋体" w:hAnsi="宋体" w:eastAsia="宋体" w:cs="宋体"/>
                <w:b/>
                <w:bCs/>
                <w:color w:val="auto"/>
                <w:spacing w:val="0"/>
                <w:position w:val="0"/>
                <w:sz w:val="21"/>
                <w:szCs w:val="21"/>
                <w:lang w:val="zh-CN"/>
              </w:rPr>
            </w:pPr>
            <w:r>
              <w:rPr>
                <w:rFonts w:hint="eastAsia" w:ascii="宋体" w:hAnsi="宋体" w:eastAsia="宋体" w:cs="宋体"/>
                <w:b/>
                <w:bCs/>
                <w:color w:val="auto"/>
                <w:spacing w:val="0"/>
                <w:position w:val="0"/>
                <w:sz w:val="21"/>
                <w:szCs w:val="21"/>
                <w:lang w:val="zh-CN"/>
              </w:rPr>
              <w:t>分值</w:t>
            </w:r>
          </w:p>
          <w:p w14:paraId="2803D73E">
            <w:pPr>
              <w:keepLines/>
              <w:pageBreakBefore w:val="0"/>
              <w:kinsoku/>
              <w:wordWrap w:val="0"/>
              <w:overflowPunct/>
              <w:topLinePunct w:val="0"/>
              <w:autoSpaceDE/>
              <w:autoSpaceDN/>
              <w:bidi w:val="0"/>
              <w:adjustRightInd w:val="0"/>
              <w:spacing w:line="360" w:lineRule="auto"/>
              <w:jc w:val="center"/>
              <w:textAlignment w:val="auto"/>
              <w:rPr>
                <w:rFonts w:hint="eastAsia" w:ascii="宋体" w:hAnsi="宋体" w:eastAsia="宋体" w:cs="宋体"/>
                <w:b/>
                <w:bCs/>
                <w:color w:val="auto"/>
                <w:spacing w:val="0"/>
                <w:position w:val="0"/>
                <w:sz w:val="21"/>
                <w:szCs w:val="21"/>
                <w:lang w:val="zh-CN"/>
              </w:rPr>
            </w:pPr>
            <w:r>
              <w:rPr>
                <w:rFonts w:hint="eastAsia" w:ascii="宋体" w:hAnsi="宋体" w:eastAsia="宋体" w:cs="宋体"/>
                <w:b/>
                <w:bCs/>
                <w:color w:val="auto"/>
                <w:spacing w:val="0"/>
                <w:position w:val="0"/>
                <w:sz w:val="21"/>
                <w:szCs w:val="21"/>
                <w:lang w:val="zh-CN"/>
              </w:rPr>
              <w:t>（共</w:t>
            </w:r>
            <w:r>
              <w:rPr>
                <w:rFonts w:hint="eastAsia" w:ascii="宋体" w:hAnsi="宋体" w:eastAsia="宋体" w:cs="宋体"/>
                <w:b/>
                <w:bCs/>
                <w:color w:val="auto"/>
                <w:spacing w:val="0"/>
                <w:position w:val="0"/>
                <w:sz w:val="21"/>
                <w:szCs w:val="21"/>
                <w:lang w:val="en-US" w:eastAsia="zh-CN"/>
              </w:rPr>
              <w:t>14</w:t>
            </w:r>
            <w:r>
              <w:rPr>
                <w:rFonts w:hint="eastAsia" w:ascii="宋体" w:hAnsi="宋体" w:eastAsia="宋体" w:cs="宋体"/>
                <w:b/>
                <w:bCs/>
                <w:color w:val="auto"/>
                <w:spacing w:val="0"/>
                <w:position w:val="0"/>
                <w:sz w:val="21"/>
                <w:szCs w:val="21"/>
              </w:rPr>
              <w:t>分</w:t>
            </w:r>
            <w:r>
              <w:rPr>
                <w:rFonts w:hint="eastAsia" w:ascii="宋体" w:hAnsi="宋体" w:eastAsia="宋体" w:cs="宋体"/>
                <w:b/>
                <w:bCs/>
                <w:color w:val="auto"/>
                <w:spacing w:val="0"/>
                <w:position w:val="0"/>
                <w:sz w:val="21"/>
                <w:szCs w:val="21"/>
                <w:lang w:val="zh-CN"/>
              </w:rPr>
              <w:t>）</w:t>
            </w:r>
          </w:p>
        </w:tc>
      </w:tr>
      <w:tr w14:paraId="104E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8" w:type="dxa"/>
            <w:vAlign w:val="center"/>
          </w:tcPr>
          <w:p w14:paraId="61CCD49E">
            <w:pPr>
              <w:pStyle w:val="17"/>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1</w:t>
            </w:r>
          </w:p>
        </w:tc>
        <w:tc>
          <w:tcPr>
            <w:tcW w:w="1336" w:type="dxa"/>
            <w:vAlign w:val="center"/>
          </w:tcPr>
          <w:p w14:paraId="70F6680B">
            <w:pPr>
              <w:pStyle w:val="17"/>
              <w:keepLines/>
              <w:pageBreakBefore w:val="0"/>
              <w:kinsoku/>
              <w:wordWrap w:val="0"/>
              <w:overflowPunct/>
              <w:topLinePunct w:val="0"/>
              <w:autoSpaceDE/>
              <w:autoSpaceDN/>
              <w:bidi w:val="0"/>
              <w:spacing w:line="240" w:lineRule="auto"/>
              <w:ind w:left="0" w:leftChars="0" w:firstLine="0" w:firstLineChars="0"/>
              <w:jc w:val="center"/>
              <w:textAlignment w:val="auto"/>
              <w:rPr>
                <w:rFonts w:hint="eastAsia" w:ascii="宋体" w:hAnsi="宋体" w:eastAsia="宋体" w:cs="宋体"/>
                <w:color w:val="auto"/>
                <w:kern w:val="2"/>
                <w:sz w:val="21"/>
                <w:szCs w:val="21"/>
                <w:vertAlign w:val="baseline"/>
                <w:lang w:val="en-US" w:eastAsia="zh-CN" w:bidi="ar-SA"/>
              </w:rPr>
            </w:pPr>
            <w:r>
              <w:rPr>
                <w:rFonts w:hint="eastAsia" w:ascii="宋体" w:hAnsi="宋体" w:eastAsia="宋体" w:cs="宋体"/>
                <w:color w:val="auto"/>
                <w:spacing w:val="0"/>
                <w:position w:val="0"/>
                <w:sz w:val="21"/>
                <w:szCs w:val="21"/>
                <w:lang w:eastAsia="zh-CN"/>
              </w:rPr>
              <w:t>供应商</w:t>
            </w:r>
            <w:r>
              <w:rPr>
                <w:rFonts w:hint="eastAsia" w:ascii="宋体" w:hAnsi="宋体" w:eastAsia="宋体" w:cs="宋体"/>
                <w:color w:val="auto"/>
                <w:spacing w:val="0"/>
                <w:position w:val="0"/>
                <w:sz w:val="21"/>
                <w:szCs w:val="21"/>
                <w:lang w:val="en-US" w:eastAsia="zh-CN"/>
              </w:rPr>
              <w:t>业绩</w:t>
            </w:r>
          </w:p>
        </w:tc>
        <w:tc>
          <w:tcPr>
            <w:tcW w:w="5476" w:type="dxa"/>
            <w:vAlign w:val="center"/>
          </w:tcPr>
          <w:p w14:paraId="4B952BB6">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pacing w:val="0"/>
                <w:kern w:val="2"/>
                <w:position w:val="0"/>
                <w:sz w:val="21"/>
                <w:szCs w:val="21"/>
                <w:lang w:val="en-US" w:eastAsia="zh-CN" w:bidi="ar-SA"/>
              </w:rPr>
              <w:t>供应商近3年承担过一项同类型工程，以提供的合同或协议书（须包括合同首页、合同金额所在页、签字盖章页等）和中标（成交）通知书扫描件为准)。每提供一项得3分，最高9分；供应商近一年无不良记录的加1分，共10分。</w:t>
            </w:r>
          </w:p>
        </w:tc>
        <w:tc>
          <w:tcPr>
            <w:tcW w:w="1268" w:type="dxa"/>
            <w:vAlign w:val="center"/>
          </w:tcPr>
          <w:p w14:paraId="385326F9">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sz w:val="21"/>
                <w:szCs w:val="21"/>
                <w:lang w:val="en-US" w:eastAsia="zh-CN"/>
              </w:rPr>
              <w:t>10分</w:t>
            </w:r>
          </w:p>
        </w:tc>
      </w:tr>
      <w:tr w14:paraId="2A9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18" w:type="dxa"/>
            <w:vAlign w:val="center"/>
          </w:tcPr>
          <w:p w14:paraId="67CDC14A">
            <w:pPr>
              <w:pStyle w:val="17"/>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color w:val="auto"/>
                <w:spacing w:val="0"/>
                <w:position w:val="0"/>
                <w:sz w:val="21"/>
                <w:szCs w:val="21"/>
              </w:rPr>
            </w:pPr>
            <w:r>
              <w:rPr>
                <w:rFonts w:hint="eastAsia" w:ascii="宋体" w:hAnsi="宋体" w:eastAsia="宋体" w:cs="宋体"/>
                <w:color w:val="auto"/>
                <w:spacing w:val="0"/>
                <w:position w:val="0"/>
                <w:sz w:val="21"/>
                <w:szCs w:val="21"/>
              </w:rPr>
              <w:t>2</w:t>
            </w:r>
          </w:p>
        </w:tc>
        <w:tc>
          <w:tcPr>
            <w:tcW w:w="1336" w:type="dxa"/>
            <w:vAlign w:val="center"/>
          </w:tcPr>
          <w:p w14:paraId="36687298">
            <w:pPr>
              <w:pStyle w:val="17"/>
              <w:keepLines/>
              <w:pageBreakBefore w:val="0"/>
              <w:kinsoku/>
              <w:wordWrap w:val="0"/>
              <w:overflowPunct/>
              <w:topLinePunct w:val="0"/>
              <w:autoSpaceDE/>
              <w:autoSpaceDN/>
              <w:bidi w:val="0"/>
              <w:spacing w:line="240" w:lineRule="auto"/>
              <w:ind w:firstLine="105" w:firstLineChars="5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项目经理业绩</w:t>
            </w:r>
          </w:p>
        </w:tc>
        <w:tc>
          <w:tcPr>
            <w:tcW w:w="5476" w:type="dxa"/>
            <w:vAlign w:val="center"/>
          </w:tcPr>
          <w:p w14:paraId="4B13F081">
            <w:pPr>
              <w:pStyle w:val="17"/>
              <w:keepLines/>
              <w:pageBreakBefore w:val="0"/>
              <w:kinsoku/>
              <w:wordWrap w:val="0"/>
              <w:overflowPunct/>
              <w:topLinePunct w:val="0"/>
              <w:autoSpaceDE/>
              <w:autoSpaceDN/>
              <w:bidi w:val="0"/>
              <w:spacing w:line="360" w:lineRule="auto"/>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供应商拟派往本项目的项目经理近</w:t>
            </w:r>
            <w:r>
              <w:rPr>
                <w:rFonts w:hint="eastAsia" w:ascii="宋体" w:hAnsi="宋体" w:cs="宋体"/>
                <w:color w:val="auto"/>
                <w:spacing w:val="0"/>
                <w:kern w:val="2"/>
                <w:position w:val="0"/>
                <w:sz w:val="21"/>
                <w:szCs w:val="21"/>
                <w:lang w:val="en-US" w:eastAsia="zh-CN" w:bidi="ar-SA"/>
              </w:rPr>
              <w:t>3</w:t>
            </w:r>
            <w:r>
              <w:rPr>
                <w:rFonts w:hint="eastAsia" w:ascii="宋体" w:hAnsi="宋体" w:eastAsia="宋体" w:cs="宋体"/>
                <w:color w:val="auto"/>
                <w:spacing w:val="0"/>
                <w:kern w:val="2"/>
                <w:position w:val="0"/>
                <w:sz w:val="21"/>
                <w:szCs w:val="21"/>
                <w:lang w:val="en-US" w:eastAsia="zh-CN" w:bidi="ar-SA"/>
              </w:rPr>
              <w:t>年承担过一项同类型工程，以提供的合同协议书复印件（合同协议书必须包括合同首页、合同服务内容所在页、签字盖章页等）和中标（成交）通知书扫描件为准)。</w:t>
            </w:r>
          </w:p>
          <w:p w14:paraId="3C668633">
            <w:pPr>
              <w:pStyle w:val="17"/>
              <w:keepLines/>
              <w:pageBreakBefore w:val="0"/>
              <w:kinsoku/>
              <w:wordWrap w:val="0"/>
              <w:overflowPunct/>
              <w:topLinePunct w:val="0"/>
              <w:autoSpaceDE/>
              <w:autoSpaceDN/>
              <w:bidi w:val="0"/>
              <w:spacing w:line="360" w:lineRule="auto"/>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每提供一项得3分，最高3分，供应商拟派往本项目的项目经理近一年无不良记录的加 1分，共4分。</w:t>
            </w:r>
          </w:p>
        </w:tc>
        <w:tc>
          <w:tcPr>
            <w:tcW w:w="1268" w:type="dxa"/>
            <w:vAlign w:val="center"/>
          </w:tcPr>
          <w:p w14:paraId="7D0449D1">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kern w:val="2"/>
                <w:sz w:val="21"/>
                <w:szCs w:val="21"/>
                <w:vertAlign w:val="baseline"/>
                <w:lang w:val="en-US" w:eastAsia="zh-CN" w:bidi="ar-SA"/>
              </w:rPr>
              <w:t>4分</w:t>
            </w:r>
          </w:p>
        </w:tc>
      </w:tr>
      <w:tr w14:paraId="62BE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898" w:type="dxa"/>
            <w:gridSpan w:val="4"/>
            <w:vAlign w:val="center"/>
          </w:tcPr>
          <w:p w14:paraId="766D24C8">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同类型工程定义：</w:t>
            </w:r>
          </w:p>
          <w:p w14:paraId="701211CD">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1、同类型工程是指：消防相关工程，不区分规模大小。</w:t>
            </w:r>
          </w:p>
          <w:p w14:paraId="1FB23BBE">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2、近五年完成的同类型工程：2023年5月至投标截止日 </w:t>
            </w:r>
          </w:p>
          <w:p w14:paraId="1CD0B63A">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3、同类型工程业绩是以合同或协议书、中标通知书两项内容缺一不可，其他现场出示的证明无效。</w:t>
            </w:r>
          </w:p>
          <w:p w14:paraId="02D71E04">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4、不良记录是指已经被处罚或被通报的建筑市场主体的违法违规行为。</w:t>
            </w:r>
          </w:p>
          <w:p w14:paraId="5B77B86B">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说明：</w:t>
            </w:r>
          </w:p>
          <w:p w14:paraId="0DCF00C0">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（1）供应商的同类型工程业绩和项目经理的同类型工程业绩</w:t>
            </w:r>
            <w:r>
              <w:rPr>
                <w:rFonts w:hint="eastAsia" w:ascii="宋体" w:hAnsi="宋体" w:cs="宋体"/>
                <w:color w:val="auto"/>
                <w:spacing w:val="0"/>
                <w:kern w:val="2"/>
                <w:position w:val="0"/>
                <w:sz w:val="21"/>
                <w:szCs w:val="21"/>
                <w:lang w:val="en-US" w:eastAsia="zh-CN" w:bidi="ar-SA"/>
              </w:rPr>
              <w:t>可以为同一项</w:t>
            </w:r>
            <w:r>
              <w:rPr>
                <w:rFonts w:hint="eastAsia" w:ascii="宋体" w:hAnsi="宋体" w:eastAsia="宋体" w:cs="宋体"/>
                <w:color w:val="auto"/>
                <w:spacing w:val="0"/>
                <w:kern w:val="2"/>
                <w:position w:val="0"/>
                <w:sz w:val="21"/>
                <w:szCs w:val="21"/>
                <w:lang w:val="en-US" w:eastAsia="zh-CN" w:bidi="ar-SA"/>
              </w:rPr>
              <w:t>；</w:t>
            </w:r>
          </w:p>
          <w:p w14:paraId="741A0913">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position w:val="0"/>
                <w:sz w:val="21"/>
                <w:szCs w:val="21"/>
                <w:lang w:val="en-US" w:eastAsia="zh-CN"/>
              </w:rPr>
            </w:pPr>
            <w:r>
              <w:rPr>
                <w:rFonts w:hint="eastAsia" w:ascii="宋体" w:hAnsi="宋体" w:eastAsia="宋体" w:cs="宋体"/>
                <w:color w:val="auto"/>
                <w:spacing w:val="0"/>
                <w:kern w:val="2"/>
                <w:position w:val="0"/>
                <w:sz w:val="21"/>
                <w:szCs w:val="21"/>
                <w:lang w:val="en-US" w:eastAsia="zh-CN" w:bidi="ar-SA"/>
              </w:rPr>
              <w:t>（2）同类型工程时间认定：以合同签订时间为准。</w:t>
            </w:r>
          </w:p>
        </w:tc>
      </w:tr>
    </w:tbl>
    <w:p w14:paraId="5C71929C">
      <w:pPr>
        <w:pStyle w:val="17"/>
        <w:keepLines/>
        <w:pageBreakBefore w:val="0"/>
        <w:kinsoku/>
        <w:wordWrap w:val="0"/>
        <w:overflowPunct/>
        <w:topLinePunct w:val="0"/>
        <w:autoSpaceDE/>
        <w:autoSpaceDN/>
        <w:bidi w:val="0"/>
        <w:spacing w:line="360" w:lineRule="auto"/>
        <w:jc w:val="both"/>
        <w:textAlignment w:val="auto"/>
        <w:rPr>
          <w:rFonts w:hint="eastAsia" w:ascii="宋体" w:hAnsi="宋体" w:eastAsia="宋体" w:cs="宋体"/>
          <w:b/>
          <w:color w:val="000000" w:themeColor="text1"/>
          <w:spacing w:val="0"/>
          <w:sz w:val="28"/>
          <w:szCs w:val="28"/>
          <w14:textFill>
            <w14:solidFill>
              <w14:schemeClr w14:val="tx1"/>
            </w14:solidFill>
          </w14:textFill>
        </w:rPr>
      </w:pPr>
    </w:p>
    <w:p w14:paraId="08834EDA">
      <w:pPr>
        <w:pStyle w:val="17"/>
        <w:keepLines/>
        <w:pageBreakBefore w:val="0"/>
        <w:kinsoku/>
        <w:wordWrap w:val="0"/>
        <w:overflowPunct/>
        <w:topLinePunct w:val="0"/>
        <w:autoSpaceDE/>
        <w:autoSpaceDN/>
        <w:bidi w:val="0"/>
        <w:spacing w:line="360" w:lineRule="auto"/>
        <w:jc w:val="both"/>
        <w:textAlignment w:val="auto"/>
        <w:rPr>
          <w:rFonts w:hint="eastAsia" w:ascii="宋体" w:hAnsi="宋体" w:eastAsia="宋体" w:cs="宋体"/>
          <w:b/>
          <w:color w:val="000000" w:themeColor="text1"/>
          <w:spacing w:val="0"/>
          <w:sz w:val="28"/>
          <w:szCs w:val="28"/>
          <w14:textFill>
            <w14:solidFill>
              <w14:schemeClr w14:val="tx1"/>
            </w14:solidFill>
          </w14:textFill>
        </w:rPr>
      </w:pPr>
      <w:r>
        <w:rPr>
          <w:rFonts w:hint="eastAsia" w:ascii="宋体" w:hAnsi="宋体" w:eastAsia="宋体" w:cs="宋体"/>
          <w:b/>
          <w:color w:val="000000" w:themeColor="text1"/>
          <w:spacing w:val="0"/>
          <w:sz w:val="28"/>
          <w:szCs w:val="28"/>
          <w14:textFill>
            <w14:solidFill>
              <w14:schemeClr w14:val="tx1"/>
            </w14:solidFill>
          </w14:textFill>
        </w:rPr>
        <w:t>主观评审（评审委员会成员个人认定）</w:t>
      </w:r>
    </w:p>
    <w:p w14:paraId="073FE47A">
      <w:pPr>
        <w:pStyle w:val="14"/>
        <w:keepLines/>
        <w:pageBreakBefore w:val="0"/>
        <w:kinsoku/>
        <w:wordWrap w:val="0"/>
        <w:overflowPunct/>
        <w:bidi w:val="0"/>
        <w:textAlignment w:val="auto"/>
        <w:rPr>
          <w:rFonts w:hint="eastAsia" w:ascii="宋体" w:hAnsi="宋体" w:eastAsia="宋体" w:cs="宋体"/>
          <w:b/>
          <w:color w:val="000000" w:themeColor="text1"/>
          <w:spacing w:val="0"/>
          <w:sz w:val="28"/>
          <w:szCs w:val="28"/>
          <w14:textFill>
            <w14:solidFill>
              <w14:schemeClr w14:val="tx1"/>
            </w14:solidFill>
          </w14:textFill>
        </w:rPr>
      </w:pPr>
    </w:p>
    <w:tbl>
      <w:tblPr>
        <w:tblStyle w:val="28"/>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450"/>
        <w:gridCol w:w="5982"/>
        <w:gridCol w:w="1118"/>
      </w:tblGrid>
      <w:tr w14:paraId="1A85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0A00971D">
            <w:pPr>
              <w:keepLines/>
              <w:pageBreakBefore w:val="0"/>
              <w:kinsoku/>
              <w:wordWrap w:val="0"/>
              <w:overflowPunct/>
              <w:topLinePunct/>
              <w:autoSpaceDE/>
              <w:autoSpaceDN/>
              <w:bidi w:val="0"/>
              <w:adjustRightInd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zh-CN"/>
              </w:rPr>
              <w:t>序号</w:t>
            </w:r>
          </w:p>
        </w:tc>
        <w:tc>
          <w:tcPr>
            <w:tcW w:w="1450" w:type="dxa"/>
            <w:vAlign w:val="center"/>
          </w:tcPr>
          <w:p w14:paraId="66ABEB14">
            <w:pPr>
              <w:keepLines/>
              <w:pageBreakBefore w:val="0"/>
              <w:kinsoku/>
              <w:wordWrap w:val="0"/>
              <w:overflowPunct/>
              <w:topLinePunct/>
              <w:autoSpaceDE/>
              <w:autoSpaceDN/>
              <w:bidi w:val="0"/>
              <w:adjustRightInd w:val="0"/>
              <w:jc w:val="center"/>
              <w:textAlignment w:val="auto"/>
              <w:rPr>
                <w:rFonts w:hint="eastAsia" w:ascii="宋体" w:hAnsi="宋体" w:eastAsia="宋体" w:cs="宋体"/>
                <w:color w:val="auto"/>
                <w:sz w:val="21"/>
                <w:szCs w:val="21"/>
                <w:vertAlign w:val="baseline"/>
                <w:lang w:val="en-US" w:eastAsia="zh-CN"/>
              </w:rPr>
            </w:pPr>
            <w:r>
              <w:rPr>
                <w:rFonts w:hint="eastAsia" w:ascii="宋体" w:hAnsi="宋体" w:eastAsia="宋体" w:cs="宋体"/>
                <w:b w:val="0"/>
                <w:bCs w:val="0"/>
                <w:color w:val="auto"/>
                <w:spacing w:val="0"/>
                <w:position w:val="0"/>
                <w:sz w:val="21"/>
                <w:szCs w:val="21"/>
                <w:highlight w:val="none"/>
                <w:lang w:val="zh-CN"/>
              </w:rPr>
              <w:t>评审因素</w:t>
            </w:r>
          </w:p>
        </w:tc>
        <w:tc>
          <w:tcPr>
            <w:tcW w:w="5982" w:type="dxa"/>
            <w:vAlign w:val="center"/>
          </w:tcPr>
          <w:p w14:paraId="049132D4">
            <w:pPr>
              <w:keepLines/>
              <w:pageBreakBefore w:val="0"/>
              <w:kinsoku/>
              <w:wordWrap w:val="0"/>
              <w:overflowPunct/>
              <w:topLinePunct/>
              <w:autoSpaceDE/>
              <w:autoSpaceDN/>
              <w:bidi w:val="0"/>
              <w:adjustRightInd w:val="0"/>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b w:val="0"/>
                <w:bCs w:val="0"/>
                <w:color w:val="auto"/>
                <w:spacing w:val="0"/>
                <w:position w:val="0"/>
                <w:sz w:val="21"/>
                <w:szCs w:val="21"/>
                <w:highlight w:val="none"/>
                <w:lang w:val="zh-CN"/>
              </w:rPr>
              <w:t>评分细则</w:t>
            </w:r>
          </w:p>
        </w:tc>
        <w:tc>
          <w:tcPr>
            <w:tcW w:w="1118" w:type="dxa"/>
            <w:vAlign w:val="center"/>
          </w:tcPr>
          <w:p w14:paraId="3CE9E4FA">
            <w:pPr>
              <w:keepLines/>
              <w:pageBreakBefore w:val="0"/>
              <w:kinsoku/>
              <w:wordWrap w:val="0"/>
              <w:overflowPunct/>
              <w:topLinePunct/>
              <w:autoSpaceDE/>
              <w:autoSpaceDN/>
              <w:bidi w:val="0"/>
              <w:adjustRightInd w:val="0"/>
              <w:jc w:val="center"/>
              <w:textAlignment w:val="auto"/>
              <w:rPr>
                <w:rFonts w:hint="eastAsia" w:ascii="宋体" w:hAnsi="宋体" w:eastAsia="宋体" w:cs="宋体"/>
                <w:b w:val="0"/>
                <w:bCs w:val="0"/>
                <w:color w:val="auto"/>
                <w:spacing w:val="0"/>
                <w:position w:val="0"/>
                <w:sz w:val="21"/>
                <w:szCs w:val="21"/>
                <w:highlight w:val="none"/>
                <w:lang w:val="zh-CN"/>
              </w:rPr>
            </w:pPr>
            <w:r>
              <w:rPr>
                <w:rFonts w:hint="eastAsia" w:ascii="宋体" w:hAnsi="宋体" w:eastAsia="宋体" w:cs="宋体"/>
                <w:b w:val="0"/>
                <w:bCs w:val="0"/>
                <w:color w:val="auto"/>
                <w:spacing w:val="0"/>
                <w:position w:val="0"/>
                <w:sz w:val="21"/>
                <w:szCs w:val="21"/>
                <w:highlight w:val="none"/>
                <w:lang w:val="zh-CN"/>
              </w:rPr>
              <w:t>分值</w:t>
            </w:r>
          </w:p>
          <w:p w14:paraId="7CA18AC5">
            <w:pPr>
              <w:keepLines/>
              <w:pageBreakBefore w:val="0"/>
              <w:kinsoku/>
              <w:wordWrap w:val="0"/>
              <w:overflowPunct/>
              <w:topLinePunct/>
              <w:autoSpaceDE/>
              <w:autoSpaceDN/>
              <w:bidi w:val="0"/>
              <w:adjustRightInd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zh-CN"/>
              </w:rPr>
              <w:t>（共</w:t>
            </w:r>
            <w:r>
              <w:rPr>
                <w:rFonts w:hint="eastAsia" w:ascii="宋体" w:hAnsi="宋体" w:eastAsia="宋体" w:cs="宋体"/>
                <w:b w:val="0"/>
                <w:bCs w:val="0"/>
                <w:color w:val="auto"/>
                <w:spacing w:val="0"/>
                <w:position w:val="0"/>
                <w:sz w:val="21"/>
                <w:szCs w:val="21"/>
                <w:highlight w:val="none"/>
                <w:lang w:val="en-US" w:eastAsia="zh-CN"/>
              </w:rPr>
              <w:t>56</w:t>
            </w:r>
            <w:r>
              <w:rPr>
                <w:rFonts w:hint="eastAsia" w:ascii="宋体" w:hAnsi="宋体" w:eastAsia="宋体" w:cs="宋体"/>
                <w:b w:val="0"/>
                <w:bCs w:val="0"/>
                <w:color w:val="auto"/>
                <w:spacing w:val="0"/>
                <w:position w:val="0"/>
                <w:sz w:val="21"/>
                <w:szCs w:val="21"/>
                <w:highlight w:val="none"/>
              </w:rPr>
              <w:t>分</w:t>
            </w:r>
            <w:r>
              <w:rPr>
                <w:rFonts w:hint="eastAsia" w:ascii="宋体" w:hAnsi="宋体" w:eastAsia="宋体" w:cs="宋体"/>
                <w:b w:val="0"/>
                <w:bCs w:val="0"/>
                <w:color w:val="auto"/>
                <w:spacing w:val="0"/>
                <w:position w:val="0"/>
                <w:sz w:val="21"/>
                <w:szCs w:val="21"/>
                <w:highlight w:val="none"/>
                <w:lang w:val="zh-CN"/>
              </w:rPr>
              <w:t>）</w:t>
            </w:r>
          </w:p>
        </w:tc>
      </w:tr>
      <w:tr w14:paraId="165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22E7701B">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1</w:t>
            </w:r>
          </w:p>
        </w:tc>
        <w:tc>
          <w:tcPr>
            <w:tcW w:w="1450" w:type="dxa"/>
            <w:vAlign w:val="center"/>
          </w:tcPr>
          <w:p w14:paraId="49920B17">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施工方案</w:t>
            </w:r>
          </w:p>
        </w:tc>
        <w:tc>
          <w:tcPr>
            <w:tcW w:w="5982" w:type="dxa"/>
            <w:vAlign w:val="center"/>
          </w:tcPr>
          <w:p w14:paraId="4181AE9B">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根据供应商提供的施工总体方案内容进行综合评分： 包括但不限于①编制原则、②编制说明、③施工部署、④施工计划；每提供一项最高得2分，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满分8分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2504C445">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sz w:val="21"/>
                <w:szCs w:val="21"/>
                <w:vertAlign w:val="baseline"/>
                <w:lang w:val="en-US" w:eastAsia="zh-CN"/>
              </w:rPr>
              <w:t>0-8</w:t>
            </w:r>
          </w:p>
        </w:tc>
      </w:tr>
      <w:tr w14:paraId="4403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3322DF78">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2</w:t>
            </w:r>
          </w:p>
        </w:tc>
        <w:tc>
          <w:tcPr>
            <w:tcW w:w="1450" w:type="dxa"/>
            <w:vAlign w:val="center"/>
          </w:tcPr>
          <w:p w14:paraId="3042099C">
            <w:pPr>
              <w:keepLines/>
              <w:pageBreakBefore w:val="0"/>
              <w:kinsoku/>
              <w:wordWrap w:val="0"/>
              <w:overflowPunct/>
              <w:topLinePunct/>
              <w:autoSpaceDE/>
              <w:autoSpaceDN/>
              <w:bidi w:val="0"/>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关键部位施工</w:t>
            </w:r>
          </w:p>
        </w:tc>
        <w:tc>
          <w:tcPr>
            <w:tcW w:w="5982" w:type="dxa"/>
            <w:vAlign w:val="center"/>
          </w:tcPr>
          <w:p w14:paraId="3772CA2A">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关键部位施工方案 </w:t>
            </w:r>
          </w:p>
          <w:p w14:paraId="12FE27D9">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根据供应商提供的关键部位施工方案内容进行综合评分：包括但不限于①施工准备工作、②施工测量、③施工操作工艺； </w:t>
            </w:r>
          </w:p>
          <w:p w14:paraId="2D28DC15">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满分6分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2CEBCAA5">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kern w:val="2"/>
                <w:sz w:val="21"/>
                <w:szCs w:val="21"/>
                <w:vertAlign w:val="baseline"/>
                <w:lang w:val="en-US" w:eastAsia="zh-CN" w:bidi="ar-SA"/>
              </w:rPr>
              <w:t>0-6</w:t>
            </w:r>
          </w:p>
        </w:tc>
      </w:tr>
      <w:tr w14:paraId="7406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7C3FF05C">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3</w:t>
            </w:r>
          </w:p>
        </w:tc>
        <w:tc>
          <w:tcPr>
            <w:tcW w:w="1450" w:type="dxa"/>
            <w:vAlign w:val="center"/>
          </w:tcPr>
          <w:p w14:paraId="3FC4340F">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拟投入的机械设备方案 </w:t>
            </w:r>
          </w:p>
          <w:p w14:paraId="13763C5D">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p>
        </w:tc>
        <w:tc>
          <w:tcPr>
            <w:tcW w:w="5982" w:type="dxa"/>
            <w:vAlign w:val="center"/>
          </w:tcPr>
          <w:p w14:paraId="46EE1F95">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根据供应商有提供机械设备配置：包括但不限于①机械进出场安排、②机械配置； </w:t>
            </w:r>
          </w:p>
          <w:p w14:paraId="630B548A">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满分4分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6CB6D484">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kern w:val="2"/>
                <w:sz w:val="21"/>
                <w:szCs w:val="21"/>
                <w:vertAlign w:val="baseline"/>
                <w:lang w:val="en-US" w:eastAsia="zh-CN" w:bidi="ar-SA"/>
              </w:rPr>
              <w:t>0-4</w:t>
            </w:r>
          </w:p>
        </w:tc>
      </w:tr>
      <w:tr w14:paraId="3819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604EE602">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4</w:t>
            </w:r>
          </w:p>
        </w:tc>
        <w:tc>
          <w:tcPr>
            <w:tcW w:w="1450" w:type="dxa"/>
            <w:vAlign w:val="center"/>
          </w:tcPr>
          <w:p w14:paraId="6261AC3E">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材料供应安排 </w:t>
            </w:r>
          </w:p>
          <w:p w14:paraId="21EA87FE">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p>
        </w:tc>
        <w:tc>
          <w:tcPr>
            <w:tcW w:w="5982" w:type="dxa"/>
            <w:vAlign w:val="center"/>
          </w:tcPr>
          <w:p w14:paraId="07115206">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根据供应商有提供材料供应安排：包括但不限于①材料运输、②材料进出场安排、③材料保存； </w:t>
            </w:r>
          </w:p>
          <w:p w14:paraId="16DC602B">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满分6分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5D335B7D">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kern w:val="2"/>
                <w:sz w:val="21"/>
                <w:szCs w:val="21"/>
                <w:vertAlign w:val="baseline"/>
                <w:lang w:val="en-US" w:eastAsia="zh-CN" w:bidi="ar-SA"/>
              </w:rPr>
              <w:t>0-6</w:t>
            </w:r>
          </w:p>
        </w:tc>
      </w:tr>
      <w:tr w14:paraId="2F21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44FCDC33">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5</w:t>
            </w:r>
          </w:p>
        </w:tc>
        <w:tc>
          <w:tcPr>
            <w:tcW w:w="1450" w:type="dxa"/>
            <w:vAlign w:val="center"/>
          </w:tcPr>
          <w:p w14:paraId="1A5B10E8">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工程进度保障措施 </w:t>
            </w:r>
          </w:p>
          <w:p w14:paraId="628A34F2">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p>
        </w:tc>
        <w:tc>
          <w:tcPr>
            <w:tcW w:w="5982" w:type="dxa"/>
            <w:vAlign w:val="center"/>
          </w:tcPr>
          <w:p w14:paraId="298F8284">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根据供应商有提供工程进度保障措施：包括但不限于 ①工期估算、②恶劣天气应对措施、不可抗力应急措施； </w:t>
            </w:r>
          </w:p>
          <w:p w14:paraId="4E72F554">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满分4分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5ACC26B3">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sz w:val="21"/>
                <w:szCs w:val="21"/>
                <w:vertAlign w:val="baseline"/>
                <w:lang w:val="en-US" w:eastAsia="zh-CN"/>
              </w:rPr>
              <w:t>0-4</w:t>
            </w:r>
          </w:p>
        </w:tc>
      </w:tr>
      <w:tr w14:paraId="61E8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55B244AD">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6</w:t>
            </w:r>
          </w:p>
        </w:tc>
        <w:tc>
          <w:tcPr>
            <w:tcW w:w="1450" w:type="dxa"/>
            <w:vAlign w:val="center"/>
          </w:tcPr>
          <w:p w14:paraId="32BE8505">
            <w:pPr>
              <w:pStyle w:val="17"/>
              <w:keepLines/>
              <w:pageBreakBefore w:val="0"/>
              <w:kinsoku/>
              <w:wordWrap w:val="0"/>
              <w:overflowPunct/>
              <w:topLinePunct w:val="0"/>
              <w:autoSpaceDE/>
              <w:autoSpaceDN/>
              <w:bidi w:val="0"/>
              <w:spacing w:line="360" w:lineRule="auto"/>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质量保证体系与措施</w:t>
            </w:r>
          </w:p>
        </w:tc>
        <w:tc>
          <w:tcPr>
            <w:tcW w:w="5982" w:type="dxa"/>
            <w:vAlign w:val="center"/>
          </w:tcPr>
          <w:p w14:paraId="4261DAEF">
            <w:pPr>
              <w:pStyle w:val="17"/>
              <w:keepLines/>
              <w:pageBreakBefore w:val="0"/>
              <w:kinsoku/>
              <w:wordWrap w:val="0"/>
              <w:overflowPunct/>
              <w:topLinePunct w:val="0"/>
              <w:autoSpaceDE/>
              <w:autoSpaceDN/>
              <w:bidi w:val="0"/>
              <w:spacing w:line="360" w:lineRule="auto"/>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 根据供应商有提供质量保证体系与措施：包括但不限于①施工前期保证措施、②施工中期保证措施、③施工后期保证措施；每提供一项最高得2分，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满分6分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4A9FAF1E">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sz w:val="21"/>
                <w:szCs w:val="21"/>
                <w:vertAlign w:val="baseline"/>
                <w:lang w:val="en-US" w:eastAsia="zh-CN"/>
              </w:rPr>
              <w:t>0-6</w:t>
            </w:r>
          </w:p>
        </w:tc>
      </w:tr>
      <w:tr w14:paraId="1A0CE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4195F375">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7</w:t>
            </w:r>
          </w:p>
        </w:tc>
        <w:tc>
          <w:tcPr>
            <w:tcW w:w="1450" w:type="dxa"/>
            <w:shd w:val="clear" w:color="auto" w:fill="auto"/>
            <w:vAlign w:val="center"/>
          </w:tcPr>
          <w:p w14:paraId="6D25E615">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安全施工体系与措施</w:t>
            </w:r>
          </w:p>
        </w:tc>
        <w:tc>
          <w:tcPr>
            <w:tcW w:w="5982" w:type="dxa"/>
            <w:vAlign w:val="center"/>
          </w:tcPr>
          <w:p w14:paraId="03DC2874">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 根据供应商有提供安全保证体系与措施：包括但不限于①安全管理人员安排、②人员安全培训教育及安全施工方案、③突发事故应对措施； </w:t>
            </w:r>
          </w:p>
          <w:p w14:paraId="4CE54ADA">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满分6分</w:t>
            </w:r>
            <w:r>
              <w:rPr>
                <w:rFonts w:hint="eastAsia" w:ascii="宋体" w:hAnsi="宋体" w:cs="宋体"/>
                <w:color w:val="auto"/>
                <w:spacing w:val="0"/>
                <w:kern w:val="2"/>
                <w:position w:val="0"/>
                <w:sz w:val="21"/>
                <w:szCs w:val="21"/>
                <w:lang w:val="en-US" w:eastAsia="zh-CN" w:bidi="ar-SA"/>
              </w:rPr>
              <w:t>，</w:t>
            </w:r>
            <w:r>
              <w:rPr>
                <w:rFonts w:hint="eastAsia" w:ascii="宋体" w:hAnsi="宋体" w:eastAsia="宋体" w:cs="宋体"/>
                <w:color w:val="auto"/>
                <w:spacing w:val="0"/>
                <w:kern w:val="2"/>
                <w:position w:val="0"/>
                <w:sz w:val="21"/>
                <w:szCs w:val="21"/>
                <w:lang w:val="en-US" w:eastAsia="zh-CN" w:bidi="ar-SA"/>
              </w:rPr>
              <w:t>不提供不得分。</w:t>
            </w:r>
          </w:p>
        </w:tc>
        <w:tc>
          <w:tcPr>
            <w:tcW w:w="1118" w:type="dxa"/>
            <w:vAlign w:val="center"/>
          </w:tcPr>
          <w:p w14:paraId="26A32A31">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sz w:val="21"/>
                <w:szCs w:val="21"/>
                <w:vertAlign w:val="baseline"/>
                <w:lang w:val="en-US" w:eastAsia="zh-CN"/>
              </w:rPr>
              <w:t>0-6</w:t>
            </w:r>
          </w:p>
        </w:tc>
      </w:tr>
      <w:tr w14:paraId="5B40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652" w:type="dxa"/>
            <w:vAlign w:val="center"/>
          </w:tcPr>
          <w:p w14:paraId="2F013DDA">
            <w:pPr>
              <w:pStyle w:val="17"/>
              <w:keepLines/>
              <w:pageBreakBefore w:val="0"/>
              <w:kinsoku/>
              <w:wordWrap w:val="0"/>
              <w:overflowPunct/>
              <w:topLinePunct/>
              <w:autoSpaceDE/>
              <w:autoSpaceDN/>
              <w:bidi w:val="0"/>
              <w:jc w:val="center"/>
              <w:textAlignment w:val="auto"/>
              <w:rPr>
                <w:rFonts w:hint="eastAsia" w:ascii="宋体" w:hAnsi="宋体" w:eastAsia="宋体" w:cs="宋体"/>
                <w:b w:val="0"/>
                <w:bCs w:val="0"/>
                <w:color w:val="auto"/>
                <w:spacing w:val="0"/>
                <w:position w:val="0"/>
                <w:sz w:val="21"/>
                <w:szCs w:val="21"/>
                <w:highlight w:val="none"/>
                <w:lang w:val="en-US" w:eastAsia="zh-CN"/>
              </w:rPr>
            </w:pPr>
            <w:r>
              <w:rPr>
                <w:rFonts w:hint="eastAsia" w:ascii="宋体" w:hAnsi="宋体" w:eastAsia="宋体" w:cs="宋体"/>
                <w:b w:val="0"/>
                <w:bCs w:val="0"/>
                <w:color w:val="auto"/>
                <w:spacing w:val="0"/>
                <w:position w:val="0"/>
                <w:sz w:val="21"/>
                <w:szCs w:val="21"/>
                <w:highlight w:val="none"/>
                <w:lang w:val="en-US" w:eastAsia="zh-CN"/>
              </w:rPr>
              <w:t>8</w:t>
            </w:r>
          </w:p>
        </w:tc>
        <w:tc>
          <w:tcPr>
            <w:tcW w:w="1450" w:type="dxa"/>
            <w:shd w:val="clear" w:color="auto" w:fill="auto"/>
            <w:vAlign w:val="center"/>
          </w:tcPr>
          <w:p w14:paraId="1F425009">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其他施工技术措施 </w:t>
            </w:r>
          </w:p>
          <w:p w14:paraId="6B4F2523">
            <w:pPr>
              <w:keepNext w:val="0"/>
              <w:keepLines/>
              <w:pageBreakBefore w:val="0"/>
              <w:widowControl w:val="0"/>
              <w:numPr>
                <w:ilvl w:val="0"/>
                <w:numId w:val="0"/>
              </w:numPr>
              <w:kinsoku/>
              <w:wordWrap w:val="0"/>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pacing w:val="0"/>
                <w:kern w:val="2"/>
                <w:position w:val="0"/>
                <w:sz w:val="21"/>
                <w:szCs w:val="21"/>
                <w:lang w:val="en-US" w:eastAsia="zh-CN" w:bidi="ar-SA"/>
              </w:rPr>
            </w:pPr>
          </w:p>
        </w:tc>
        <w:tc>
          <w:tcPr>
            <w:tcW w:w="5982" w:type="dxa"/>
            <w:vAlign w:val="center"/>
          </w:tcPr>
          <w:p w14:paraId="5B58D95F">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根据供应商有提供施工现场采用：包括但不现有 </w:t>
            </w:r>
          </w:p>
          <w:p w14:paraId="12F711AD">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 xml:space="preserve">①环保、②消防、③降噪声、④冬雨季施工方案、⑤降排水方案、⑥夜间施工方案、⑦文明施工方案、⑧施工验收方案的施工技术措施； </w:t>
            </w:r>
          </w:p>
          <w:p w14:paraId="496B3B9B">
            <w:pPr>
              <w:keepNext w:val="0"/>
              <w:keepLines/>
              <w:pageBreakBefore w:val="0"/>
              <w:widowControl w:val="0"/>
              <w:numPr>
                <w:ilvl w:val="0"/>
                <w:numId w:val="0"/>
              </w:numPr>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spacing w:val="0"/>
                <w:kern w:val="2"/>
                <w:position w:val="0"/>
                <w:sz w:val="21"/>
                <w:szCs w:val="21"/>
                <w:lang w:val="en-US" w:eastAsia="zh-CN" w:bidi="ar-SA"/>
              </w:rPr>
            </w:pPr>
            <w:r>
              <w:rPr>
                <w:rFonts w:hint="eastAsia" w:ascii="宋体" w:hAnsi="宋体" w:eastAsia="宋体" w:cs="宋体"/>
                <w:color w:val="auto"/>
                <w:spacing w:val="0"/>
                <w:kern w:val="2"/>
                <w:position w:val="0"/>
                <w:sz w:val="21"/>
                <w:szCs w:val="21"/>
                <w:lang w:val="en-US" w:eastAsia="zh-CN" w:bidi="ar-SA"/>
              </w:rPr>
              <w:t>每提供一项最高得2分，</w:t>
            </w:r>
            <w:r>
              <w:rPr>
                <w:rFonts w:hint="eastAsia" w:ascii="宋体" w:hAnsi="宋体" w:eastAsia="宋体" w:cs="宋体"/>
                <w:color w:val="auto"/>
                <w:kern w:val="2"/>
                <w:sz w:val="21"/>
                <w:szCs w:val="21"/>
                <w:highlight w:val="none"/>
                <w:lang w:val="en-US" w:eastAsia="zh-CN" w:bidi="ar-SA"/>
              </w:rPr>
              <w:t>每有一处存在缺陷扣0.5分，</w:t>
            </w:r>
            <w:r>
              <w:rPr>
                <w:rFonts w:hint="eastAsia" w:ascii="宋体" w:hAnsi="宋体" w:cs="宋体"/>
                <w:color w:val="auto"/>
                <w:kern w:val="2"/>
                <w:sz w:val="21"/>
                <w:szCs w:val="21"/>
                <w:highlight w:val="none"/>
                <w:lang w:val="en-US" w:eastAsia="zh-CN" w:bidi="ar-SA"/>
              </w:rPr>
              <w:t>每项</w:t>
            </w:r>
            <w:r>
              <w:rPr>
                <w:rFonts w:hint="eastAsia" w:ascii="宋体" w:hAnsi="宋体" w:eastAsia="宋体" w:cs="宋体"/>
                <w:color w:val="auto"/>
                <w:kern w:val="2"/>
                <w:sz w:val="21"/>
                <w:szCs w:val="21"/>
                <w:highlight w:val="none"/>
                <w:lang w:val="en-US" w:eastAsia="zh-CN" w:bidi="ar-SA"/>
              </w:rPr>
              <w:t>最多扣1分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spacing w:val="0"/>
                <w:kern w:val="2"/>
                <w:position w:val="0"/>
                <w:sz w:val="21"/>
                <w:szCs w:val="21"/>
                <w:lang w:val="en-US" w:eastAsia="zh-CN" w:bidi="ar-SA"/>
              </w:rPr>
              <w:t>满分16分；不提供不得分。</w:t>
            </w:r>
          </w:p>
        </w:tc>
        <w:tc>
          <w:tcPr>
            <w:tcW w:w="1118" w:type="dxa"/>
            <w:vAlign w:val="center"/>
          </w:tcPr>
          <w:p w14:paraId="7144E15C">
            <w:pPr>
              <w:pStyle w:val="17"/>
              <w:keepNext w:val="0"/>
              <w:keepLines/>
              <w:pageBreakBefore w:val="0"/>
              <w:widowControl w:val="0"/>
              <w:kinsoku/>
              <w:wordWrap w:val="0"/>
              <w:overflowPunct/>
              <w:topLinePunct/>
              <w:autoSpaceDE/>
              <w:autoSpaceDN/>
              <w:bidi w:val="0"/>
              <w:adjustRightInd/>
              <w:spacing w:line="240" w:lineRule="auto"/>
              <w:jc w:val="center"/>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sz w:val="21"/>
                <w:szCs w:val="21"/>
                <w:vertAlign w:val="baseline"/>
                <w:lang w:val="en-US" w:eastAsia="zh-CN"/>
              </w:rPr>
              <w:t>0-16</w:t>
            </w:r>
          </w:p>
        </w:tc>
      </w:tr>
      <w:tr w14:paraId="01BF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9202" w:type="dxa"/>
            <w:gridSpan w:val="4"/>
            <w:vAlign w:val="center"/>
          </w:tcPr>
          <w:p w14:paraId="501BEFE0">
            <w:pPr>
              <w:pStyle w:val="17"/>
              <w:keepNext w:val="0"/>
              <w:keepLines/>
              <w:pageBreakBefore w:val="0"/>
              <w:widowControl w:val="0"/>
              <w:kinsoku/>
              <w:wordWrap w:val="0"/>
              <w:overflowPunct/>
              <w:topLinePunct/>
              <w:autoSpaceDE/>
              <w:autoSpaceDN/>
              <w:bidi w:val="0"/>
              <w:adjustRightInd/>
              <w:spacing w:line="360" w:lineRule="auto"/>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vertAlign w:val="baseline"/>
                <w:lang w:val="en-US" w:eastAsia="zh-CN"/>
              </w:rPr>
              <w:t>注</w:t>
            </w:r>
            <w:r>
              <w:rPr>
                <w:rFonts w:hint="eastAsia" w:ascii="宋体" w:hAnsi="宋体" w:eastAsia="宋体" w:cs="宋体"/>
                <w:color w:val="000000" w:themeColor="text1"/>
                <w:kern w:val="2"/>
                <w:sz w:val="21"/>
                <w:szCs w:val="21"/>
                <w:lang w:val="en-US" w:eastAsia="zh-CN" w:bidi="ar-SA"/>
                <w14:textFill>
                  <w14:solidFill>
                    <w14:schemeClr w14:val="tx1"/>
                  </w14:solidFill>
                </w14:textFill>
              </w:rPr>
              <w:t>：缺陷是指：①非专门针对本项目或与本项目需求不匹配的情形；②方案内容脱离项目实际情况；③内容前后矛盾；④涉及的规范及标准错误；⑤项目名称错误；⑥实施地点错误；⑦只是简单的复制采购需求内容的等任意一种情形。</w:t>
            </w:r>
          </w:p>
        </w:tc>
      </w:tr>
    </w:tbl>
    <w:p w14:paraId="716B36FF">
      <w:pPr>
        <w:pStyle w:val="17"/>
        <w:keepLines/>
        <w:pageBreakBefore w:val="0"/>
        <w:kinsoku/>
        <w:wordWrap w:val="0"/>
        <w:overflowPunct/>
        <w:topLinePunct w:val="0"/>
        <w:autoSpaceDE/>
        <w:autoSpaceDN/>
        <w:bidi w:val="0"/>
        <w:jc w:val="both"/>
        <w:textAlignment w:val="auto"/>
        <w:rPr>
          <w:rFonts w:hint="eastAsia" w:ascii="宋体" w:hAnsi="宋体" w:eastAsia="宋体" w:cs="宋体"/>
          <w:b/>
          <w:color w:val="000000" w:themeColor="text1"/>
          <w:spacing w:val="0"/>
          <w:sz w:val="28"/>
          <w:szCs w:val="28"/>
          <w:lang w:val="en-US" w:eastAsia="zh-CN"/>
          <w14:textFill>
            <w14:solidFill>
              <w14:schemeClr w14:val="tx1"/>
            </w14:solidFill>
          </w14:textFill>
        </w:rPr>
      </w:pPr>
    </w:p>
    <w:p w14:paraId="6FEFD114">
      <w:pPr>
        <w:pStyle w:val="17"/>
        <w:keepLines/>
        <w:pageBreakBefore w:val="0"/>
        <w:kinsoku/>
        <w:wordWrap w:val="0"/>
        <w:overflowPunct/>
        <w:topLinePunct w:val="0"/>
        <w:autoSpaceDE/>
        <w:autoSpaceDN/>
        <w:bidi w:val="0"/>
        <w:jc w:val="both"/>
        <w:textAlignment w:val="auto"/>
        <w:rPr>
          <w:rFonts w:hint="eastAsia" w:ascii="宋体" w:hAnsi="宋体" w:eastAsia="宋体" w:cs="宋体"/>
          <w:b/>
          <w:color w:val="000000" w:themeColor="text1"/>
          <w:spacing w:val="0"/>
          <w:sz w:val="28"/>
          <w:szCs w:val="28"/>
          <w14:textFill>
            <w14:solidFill>
              <w14:schemeClr w14:val="tx1"/>
            </w14:solidFill>
          </w14:textFill>
        </w:rPr>
      </w:pPr>
    </w:p>
    <w:p w14:paraId="11DE6EFF">
      <w:pPr>
        <w:pStyle w:val="17"/>
        <w:keepLines/>
        <w:pageBreakBefore w:val="0"/>
        <w:kinsoku/>
        <w:wordWrap w:val="0"/>
        <w:overflowPunct/>
        <w:topLinePunct w:val="0"/>
        <w:autoSpaceDE/>
        <w:autoSpaceDN/>
        <w:bidi w:val="0"/>
        <w:jc w:val="both"/>
        <w:textAlignment w:val="auto"/>
        <w:rPr>
          <w:rFonts w:hint="eastAsia" w:ascii="宋体" w:hAnsi="宋体" w:eastAsia="宋体" w:cs="宋体"/>
          <w:b/>
          <w:color w:val="000000" w:themeColor="text1"/>
          <w:spacing w:val="0"/>
          <w:sz w:val="28"/>
          <w:szCs w:val="28"/>
          <w14:textFill>
            <w14:solidFill>
              <w14:schemeClr w14:val="tx1"/>
            </w14:solidFill>
          </w14:textFill>
        </w:rPr>
      </w:pPr>
      <w:r>
        <w:rPr>
          <w:rFonts w:hint="eastAsia" w:ascii="宋体" w:hAnsi="宋体" w:eastAsia="宋体" w:cs="宋体"/>
          <w:b/>
          <w:color w:val="000000" w:themeColor="text1"/>
          <w:spacing w:val="0"/>
          <w:sz w:val="28"/>
          <w:szCs w:val="28"/>
          <w14:textFill>
            <w14:solidFill>
              <w14:schemeClr w14:val="tx1"/>
            </w14:solidFill>
          </w14:textFill>
        </w:rPr>
        <w:t>价格评审</w:t>
      </w:r>
    </w:p>
    <w:tbl>
      <w:tblPr>
        <w:tblStyle w:val="27"/>
        <w:tblW w:w="93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637"/>
        <w:gridCol w:w="7684"/>
      </w:tblGrid>
      <w:tr w14:paraId="14D59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7" w:hRule="atLeast"/>
          <w:jc w:val="center"/>
        </w:trPr>
        <w:tc>
          <w:tcPr>
            <w:tcW w:w="1642" w:type="dxa"/>
            <w:gridSpan w:val="2"/>
            <w:vAlign w:val="center"/>
          </w:tcPr>
          <w:p w14:paraId="01501DB3">
            <w:pPr>
              <w:keepLines/>
              <w:pageBreakBefore w:val="0"/>
              <w:kinsoku/>
              <w:wordWrap w:val="0"/>
              <w:overflowPunct/>
              <w:topLinePunct w:val="0"/>
              <w:autoSpaceDE/>
              <w:autoSpaceDN/>
              <w:bidi w:val="0"/>
              <w:adjustRightInd w:val="0"/>
              <w:jc w:val="center"/>
              <w:textAlignment w:val="auto"/>
              <w:rPr>
                <w:rFonts w:hint="eastAsia" w:ascii="宋体" w:hAnsi="宋体" w:eastAsia="宋体" w:cs="宋体"/>
                <w:b/>
                <w:bCs/>
                <w:color w:val="000000" w:themeColor="text1"/>
                <w:spacing w:val="0"/>
                <w:sz w:val="21"/>
                <w:szCs w:val="21"/>
                <w:lang w:val="zh-CN"/>
                <w14:textFill>
                  <w14:solidFill>
                    <w14:schemeClr w14:val="tx1"/>
                  </w14:solidFill>
                </w14:textFill>
              </w:rPr>
            </w:pPr>
            <w:r>
              <w:rPr>
                <w:rFonts w:hint="eastAsia" w:ascii="宋体" w:hAnsi="宋体" w:eastAsia="宋体" w:cs="宋体"/>
                <w:b/>
                <w:bCs/>
                <w:color w:val="000000" w:themeColor="text1"/>
                <w:spacing w:val="0"/>
                <w:sz w:val="21"/>
                <w:szCs w:val="21"/>
                <w:lang w:val="zh-CN"/>
                <w14:textFill>
                  <w14:solidFill>
                    <w14:schemeClr w14:val="tx1"/>
                  </w14:solidFill>
                </w14:textFill>
              </w:rPr>
              <w:t>评审项目</w:t>
            </w:r>
          </w:p>
        </w:tc>
        <w:tc>
          <w:tcPr>
            <w:tcW w:w="7684" w:type="dxa"/>
            <w:vAlign w:val="center"/>
          </w:tcPr>
          <w:p w14:paraId="1D0CB28A">
            <w:pPr>
              <w:keepLines/>
              <w:pageBreakBefore w:val="0"/>
              <w:kinsoku/>
              <w:wordWrap w:val="0"/>
              <w:overflowPunct/>
              <w:topLinePunct w:val="0"/>
              <w:autoSpaceDE/>
              <w:autoSpaceDN/>
              <w:bidi w:val="0"/>
              <w:adjustRightInd w:val="0"/>
              <w:jc w:val="center"/>
              <w:textAlignment w:val="auto"/>
              <w:rPr>
                <w:rFonts w:hint="eastAsia" w:ascii="宋体" w:hAnsi="宋体" w:eastAsia="宋体" w:cs="宋体"/>
                <w:b/>
                <w:bCs/>
                <w:color w:val="000000" w:themeColor="text1"/>
                <w:spacing w:val="0"/>
                <w:sz w:val="21"/>
                <w:szCs w:val="21"/>
                <w:lang w:val="zh-CN"/>
                <w14:textFill>
                  <w14:solidFill>
                    <w14:schemeClr w14:val="tx1"/>
                  </w14:solidFill>
                </w14:textFill>
              </w:rPr>
            </w:pPr>
            <w:r>
              <w:rPr>
                <w:rFonts w:hint="eastAsia" w:ascii="宋体" w:hAnsi="宋体" w:eastAsia="宋体" w:cs="宋体"/>
                <w:b/>
                <w:bCs/>
                <w:color w:val="000000" w:themeColor="text1"/>
                <w:spacing w:val="0"/>
                <w:sz w:val="21"/>
                <w:szCs w:val="21"/>
                <w:lang w:val="zh-CN"/>
                <w14:textFill>
                  <w14:solidFill>
                    <w14:schemeClr w14:val="tx1"/>
                  </w14:solidFill>
                </w14:textFill>
              </w:rPr>
              <w:t>评分标准</w:t>
            </w:r>
          </w:p>
        </w:tc>
      </w:tr>
      <w:tr w14:paraId="7C120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0" w:hRule="atLeast"/>
          <w:jc w:val="center"/>
        </w:trPr>
        <w:tc>
          <w:tcPr>
            <w:tcW w:w="1642" w:type="dxa"/>
            <w:gridSpan w:val="2"/>
            <w:vAlign w:val="center"/>
          </w:tcPr>
          <w:p w14:paraId="193D8535">
            <w:pPr>
              <w:keepNext w:val="0"/>
              <w:keepLines/>
              <w:pageBreakBefore w:val="0"/>
              <w:widowControl w:val="0"/>
              <w:kinsoku/>
              <w:wordWrap w:val="0"/>
              <w:overflowPunct/>
              <w:topLinePunct w:val="0"/>
              <w:autoSpaceDE/>
              <w:autoSpaceDN/>
              <w:bidi w:val="0"/>
              <w:adjustRightInd w:val="0"/>
              <w:spacing w:line="312" w:lineRule="auto"/>
              <w:jc w:val="center"/>
              <w:textAlignment w:val="auto"/>
              <w:rPr>
                <w:rFonts w:hint="eastAsia" w:ascii="宋体" w:hAnsi="宋体" w:eastAsia="宋体" w:cs="宋体"/>
                <w:color w:val="000000" w:themeColor="text1"/>
                <w:spacing w:val="0"/>
                <w:sz w:val="21"/>
                <w:szCs w:val="21"/>
                <w:lang w:val="zh-CN"/>
                <w14:textFill>
                  <w14:solidFill>
                    <w14:schemeClr w14:val="tx1"/>
                  </w14:solidFill>
                </w14:textFill>
              </w:rPr>
            </w:pPr>
            <w:r>
              <w:rPr>
                <w:rFonts w:hint="eastAsia" w:ascii="宋体" w:hAnsi="宋体" w:eastAsia="宋体" w:cs="宋体"/>
                <w:color w:val="000000" w:themeColor="text1"/>
                <w:spacing w:val="0"/>
                <w:sz w:val="21"/>
                <w:szCs w:val="21"/>
                <w:lang w:val="zh-CN"/>
                <w14:textFill>
                  <w14:solidFill>
                    <w14:schemeClr w14:val="tx1"/>
                  </w14:solidFill>
                </w14:textFill>
              </w:rPr>
              <w:t>报价</w:t>
            </w:r>
          </w:p>
          <w:p w14:paraId="3E35BCAF">
            <w:pPr>
              <w:pStyle w:val="17"/>
              <w:keepNext w:val="0"/>
              <w:keepLines/>
              <w:pageBreakBefore w:val="0"/>
              <w:widowControl w:val="0"/>
              <w:kinsoku/>
              <w:wordWrap w:val="0"/>
              <w:overflowPunct/>
              <w:topLinePunct w:val="0"/>
              <w:autoSpaceDE/>
              <w:autoSpaceDN/>
              <w:bidi w:val="0"/>
              <w:spacing w:line="312" w:lineRule="auto"/>
              <w:ind w:firstLine="105" w:firstLineChars="50"/>
              <w:textAlignment w:val="auto"/>
              <w:rPr>
                <w:rFonts w:hint="eastAsia" w:ascii="宋体" w:hAnsi="宋体" w:eastAsia="宋体" w:cs="宋体"/>
                <w:color w:val="000000" w:themeColor="text1"/>
                <w:spacing w:val="0"/>
                <w:sz w:val="21"/>
                <w:szCs w:val="21"/>
                <w:lang w:val="zh-CN"/>
                <w14:textFill>
                  <w14:solidFill>
                    <w14:schemeClr w14:val="tx1"/>
                  </w14:solidFill>
                </w14:textFill>
              </w:rPr>
            </w:pPr>
            <w:r>
              <w:rPr>
                <w:rFonts w:hint="eastAsia" w:ascii="宋体" w:hAnsi="宋体" w:eastAsia="宋体" w:cs="宋体"/>
                <w:color w:val="000000" w:themeColor="text1"/>
                <w:spacing w:val="0"/>
                <w:sz w:val="21"/>
                <w:szCs w:val="21"/>
                <w:lang w:val="zh-CN"/>
                <w14:textFill>
                  <w14:solidFill>
                    <w14:schemeClr w14:val="tx1"/>
                  </w14:solidFill>
                </w14:textFill>
              </w:rPr>
              <w:t>（满分</w:t>
            </w:r>
            <w:r>
              <w:rPr>
                <w:rFonts w:hint="eastAsia" w:ascii="宋体" w:hAnsi="宋体" w:eastAsia="宋体" w:cs="宋体"/>
                <w:color w:val="000000" w:themeColor="text1"/>
                <w:spacing w:val="0"/>
                <w:sz w:val="21"/>
                <w:szCs w:val="21"/>
                <w:lang w:val="en-US" w:eastAsia="zh-CN"/>
                <w14:textFill>
                  <w14:solidFill>
                    <w14:schemeClr w14:val="tx1"/>
                  </w14:solidFill>
                </w14:textFill>
              </w:rPr>
              <w:t>30</w:t>
            </w:r>
            <w:r>
              <w:rPr>
                <w:rFonts w:hint="eastAsia" w:ascii="宋体" w:hAnsi="宋体" w:eastAsia="宋体" w:cs="宋体"/>
                <w:color w:val="000000" w:themeColor="text1"/>
                <w:spacing w:val="0"/>
                <w:sz w:val="21"/>
                <w:szCs w:val="21"/>
                <w:lang w:val="zh-CN"/>
                <w14:textFill>
                  <w14:solidFill>
                    <w14:schemeClr w14:val="tx1"/>
                  </w14:solidFill>
                </w14:textFill>
              </w:rPr>
              <w:t>分）</w:t>
            </w:r>
          </w:p>
        </w:tc>
        <w:tc>
          <w:tcPr>
            <w:tcW w:w="7684" w:type="dxa"/>
            <w:vAlign w:val="center"/>
          </w:tcPr>
          <w:p w14:paraId="5C481189">
            <w:pPr>
              <w:keepNext w:val="0"/>
              <w:keepLines/>
              <w:pageBreakBefore w:val="0"/>
              <w:widowControl w:val="0"/>
              <w:kinsoku/>
              <w:wordWrap w:val="0"/>
              <w:overflowPunct/>
              <w:topLinePunct w:val="0"/>
              <w:autoSpaceDE/>
              <w:autoSpaceDN/>
              <w:bidi w:val="0"/>
              <w:adjustRightInd w:val="0"/>
              <w:spacing w:line="312" w:lineRule="auto"/>
              <w:textAlignment w:val="auto"/>
              <w:rPr>
                <w:rFonts w:hint="eastAsia" w:ascii="宋体" w:hAnsi="宋体" w:eastAsia="宋体" w:cs="宋体"/>
                <w:color w:val="000000" w:themeColor="text1"/>
                <w:spacing w:val="0"/>
                <w:sz w:val="21"/>
                <w:szCs w:val="21"/>
                <w:lang w:val="zh-CN"/>
                <w14:textFill>
                  <w14:solidFill>
                    <w14:schemeClr w14:val="tx1"/>
                  </w14:solidFill>
                </w14:textFill>
              </w:rPr>
            </w:pPr>
            <w:r>
              <w:rPr>
                <w:rFonts w:hint="eastAsia" w:ascii="宋体" w:hAnsi="宋体" w:eastAsia="宋体" w:cs="宋体"/>
                <w:color w:val="000000" w:themeColor="text1"/>
                <w:spacing w:val="0"/>
                <w:sz w:val="21"/>
                <w:szCs w:val="21"/>
                <w:lang w:val="zh-CN"/>
                <w14:textFill>
                  <w14:solidFill>
                    <w14:schemeClr w14:val="tx1"/>
                  </w14:solidFill>
                </w14:textFill>
              </w:rPr>
              <w:t>评标基准价即满足采购文件要求且二轮报价最低的报价。</w:t>
            </w:r>
          </w:p>
          <w:p w14:paraId="34B92447">
            <w:pPr>
              <w:keepNext w:val="0"/>
              <w:keepLines/>
              <w:pageBreakBefore w:val="0"/>
              <w:widowControl w:val="0"/>
              <w:kinsoku/>
              <w:wordWrap w:val="0"/>
              <w:overflowPunct/>
              <w:topLinePunct w:val="0"/>
              <w:autoSpaceDE/>
              <w:autoSpaceDN/>
              <w:bidi w:val="0"/>
              <w:adjustRightInd w:val="0"/>
              <w:spacing w:line="312" w:lineRule="auto"/>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zh-CN"/>
                <w14:textFill>
                  <w14:solidFill>
                    <w14:schemeClr w14:val="tx1"/>
                  </w14:solidFill>
                </w14:textFill>
              </w:rPr>
              <w:t>报价得分=（评标基准价/二轮报价）×分值</w:t>
            </w:r>
            <w:r>
              <w:rPr>
                <w:rFonts w:hint="eastAsia" w:ascii="宋体" w:hAnsi="宋体" w:eastAsia="宋体" w:cs="宋体"/>
                <w:color w:val="000000" w:themeColor="text1"/>
                <w:spacing w:val="0"/>
                <w:sz w:val="21"/>
                <w:szCs w:val="21"/>
                <w:lang w:val="en-US" w:eastAsia="zh-CN"/>
                <w14:textFill>
                  <w14:solidFill>
                    <w14:schemeClr w14:val="tx1"/>
                  </w14:solidFill>
                </w14:textFill>
              </w:rPr>
              <w:t>30分。</w:t>
            </w:r>
          </w:p>
        </w:tc>
      </w:tr>
      <w:tr w14:paraId="1869C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1005" w:type="dxa"/>
            <w:vMerge w:val="restart"/>
            <w:vAlign w:val="center"/>
          </w:tcPr>
          <w:p w14:paraId="20B645E5">
            <w:pPr>
              <w:keepNext w:val="0"/>
              <w:keepLines/>
              <w:pageBreakBefore w:val="0"/>
              <w:widowControl w:val="0"/>
              <w:kinsoku/>
              <w:wordWrap w:val="0"/>
              <w:overflowPunct/>
              <w:topLinePunct w:val="0"/>
              <w:autoSpaceDE/>
              <w:autoSpaceDN/>
              <w:bidi w:val="0"/>
              <w:spacing w:line="312"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政府采购价格折扣政策说明</w:t>
            </w:r>
          </w:p>
        </w:tc>
        <w:tc>
          <w:tcPr>
            <w:tcW w:w="637" w:type="dxa"/>
            <w:vMerge w:val="restart"/>
            <w:vAlign w:val="center"/>
          </w:tcPr>
          <w:p w14:paraId="2C0CF5BD">
            <w:pPr>
              <w:keepNext w:val="0"/>
              <w:keepLines/>
              <w:pageBreakBefore w:val="0"/>
              <w:widowControl w:val="0"/>
              <w:kinsoku/>
              <w:wordWrap w:val="0"/>
              <w:overflowPunct/>
              <w:topLinePunct w:val="0"/>
              <w:autoSpaceDE/>
              <w:autoSpaceDN/>
              <w:bidi w:val="0"/>
              <w:spacing w:line="312"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中小企业</w:t>
            </w:r>
          </w:p>
        </w:tc>
        <w:tc>
          <w:tcPr>
            <w:tcW w:w="7684" w:type="dxa"/>
            <w:tcBorders>
              <w:bottom w:val="single" w:color="auto" w:sz="4" w:space="0"/>
            </w:tcBorders>
            <w:vAlign w:val="center"/>
          </w:tcPr>
          <w:p w14:paraId="72CF3592">
            <w:pPr>
              <w:keepNext w:val="0"/>
              <w:keepLines/>
              <w:pageBreakBefore w:val="0"/>
              <w:widowControl w:val="0"/>
              <w:kinsoku/>
              <w:wordWrap w:val="0"/>
              <w:overflowPunct/>
              <w:topLinePunct w:val="0"/>
              <w:autoSpaceDE/>
              <w:autoSpaceDN/>
              <w:bidi w:val="0"/>
              <w:spacing w:line="312" w:lineRule="auto"/>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项目按照《政府采购促进中小企业发展管理办法》专门面向中小企业采购，整体预留资金，根据财政部发布《政府采购促进中小企业发展政策问答》专门面向中小企业采购的项目或者采购包，不再执行价格评审优惠的扶持政策。</w:t>
            </w:r>
          </w:p>
        </w:tc>
      </w:tr>
      <w:tr w14:paraId="3D7F7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05" w:type="dxa"/>
            <w:vMerge w:val="continue"/>
            <w:vAlign w:val="center"/>
          </w:tcPr>
          <w:p w14:paraId="4E782A75">
            <w:pPr>
              <w:keepNext w:val="0"/>
              <w:keepLines/>
              <w:pageBreakBefore w:val="0"/>
              <w:widowControl w:val="0"/>
              <w:kinsoku/>
              <w:wordWrap w:val="0"/>
              <w:overflowPunct/>
              <w:topLinePunct w:val="0"/>
              <w:autoSpaceDE/>
              <w:autoSpaceDN/>
              <w:bidi w:val="0"/>
              <w:spacing w:line="312"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637" w:type="dxa"/>
            <w:vMerge w:val="continue"/>
            <w:vAlign w:val="center"/>
          </w:tcPr>
          <w:p w14:paraId="477BBCAE">
            <w:pPr>
              <w:keepNext w:val="0"/>
              <w:keepLines/>
              <w:pageBreakBefore w:val="0"/>
              <w:widowControl w:val="0"/>
              <w:kinsoku/>
              <w:wordWrap w:val="0"/>
              <w:overflowPunct/>
              <w:topLinePunct w:val="0"/>
              <w:autoSpaceDE/>
              <w:autoSpaceDN/>
              <w:bidi w:val="0"/>
              <w:spacing w:line="312"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7684" w:type="dxa"/>
            <w:tcBorders>
              <w:top w:val="single" w:color="auto" w:sz="4" w:space="0"/>
            </w:tcBorders>
            <w:vAlign w:val="center"/>
          </w:tcPr>
          <w:p w14:paraId="79B03339">
            <w:pPr>
              <w:keepNext w:val="0"/>
              <w:keepLines/>
              <w:pageBreakBefore w:val="0"/>
              <w:widowControl w:val="0"/>
              <w:kinsoku/>
              <w:wordWrap w:val="0"/>
              <w:overflowPunct/>
              <w:topLinePunct w:val="0"/>
              <w:autoSpaceDE/>
              <w:autoSpaceDN/>
              <w:bidi w:val="0"/>
              <w:spacing w:line="312" w:lineRule="auto"/>
              <w:ind w:firstLine="630" w:firstLineChars="3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小、微企业只有提供本企业制造的货物、承担的工程或者服务，或者提供其他小、微企业制造的货物，享受响应货物的价格折扣，须如实填写《小型、微型企业/残疾人福利性单位提供货物/服务明细表》（详见第</w:t>
            </w:r>
            <w:r>
              <w:rPr>
                <w:rFonts w:hint="eastAsia" w:ascii="宋体" w:hAnsi="宋体" w:eastAsia="宋体" w:cs="宋体"/>
                <w:color w:val="000000" w:themeColor="text1"/>
                <w:spacing w:val="0"/>
                <w:sz w:val="21"/>
                <w:szCs w:val="21"/>
                <w:lang w:val="en-US" w:eastAsia="zh-CN"/>
                <w14:textFill>
                  <w14:solidFill>
                    <w14:schemeClr w14:val="tx1"/>
                  </w14:solidFill>
                </w14:textFill>
              </w:rPr>
              <w:t>九</w:t>
            </w:r>
            <w:r>
              <w:rPr>
                <w:rFonts w:hint="eastAsia" w:ascii="宋体" w:hAnsi="宋体" w:eastAsia="宋体" w:cs="宋体"/>
                <w:color w:val="000000" w:themeColor="text1"/>
                <w:spacing w:val="0"/>
                <w:sz w:val="21"/>
                <w:szCs w:val="21"/>
                <w14:textFill>
                  <w14:solidFill>
                    <w14:schemeClr w14:val="tx1"/>
                  </w14:solidFill>
                </w14:textFill>
              </w:rPr>
              <w:t>部分 响应文件格式）；</w:t>
            </w:r>
          </w:p>
          <w:p w14:paraId="392D990A">
            <w:pPr>
              <w:keepNext w:val="0"/>
              <w:keepLines/>
              <w:pageBreakBefore w:val="0"/>
              <w:widowControl w:val="0"/>
              <w:kinsoku/>
              <w:wordWrap w:val="0"/>
              <w:overflowPunct/>
              <w:topLinePunct w:val="0"/>
              <w:autoSpaceDE/>
              <w:autoSpaceDN/>
              <w:bidi w:val="0"/>
              <w:spacing w:line="312" w:lineRule="auto"/>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小型、微型企业提供中型企业制造的货物或使用大型企业注册商标货物的，视同为中型企业。</w:t>
            </w:r>
          </w:p>
        </w:tc>
      </w:tr>
      <w:tr w14:paraId="661A0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05" w:type="dxa"/>
            <w:vMerge w:val="continue"/>
            <w:vAlign w:val="center"/>
          </w:tcPr>
          <w:p w14:paraId="1F68387F">
            <w:pPr>
              <w:keepNext w:val="0"/>
              <w:keepLines/>
              <w:pageBreakBefore w:val="0"/>
              <w:widowControl w:val="0"/>
              <w:kinsoku/>
              <w:wordWrap w:val="0"/>
              <w:overflowPunct/>
              <w:topLinePunct w:val="0"/>
              <w:autoSpaceDE/>
              <w:autoSpaceDN/>
              <w:bidi w:val="0"/>
              <w:spacing w:line="312"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637" w:type="dxa"/>
            <w:vAlign w:val="center"/>
          </w:tcPr>
          <w:p w14:paraId="1C48AB1F">
            <w:pPr>
              <w:keepNext w:val="0"/>
              <w:keepLines/>
              <w:pageBreakBefore w:val="0"/>
              <w:widowControl w:val="0"/>
              <w:kinsoku/>
              <w:wordWrap w:val="0"/>
              <w:overflowPunct/>
              <w:topLinePunct w:val="0"/>
              <w:autoSpaceDE/>
              <w:autoSpaceDN/>
              <w:bidi w:val="0"/>
              <w:spacing w:line="312" w:lineRule="auto"/>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监狱企业</w:t>
            </w:r>
          </w:p>
        </w:tc>
        <w:tc>
          <w:tcPr>
            <w:tcW w:w="7684" w:type="dxa"/>
            <w:vAlign w:val="center"/>
          </w:tcPr>
          <w:p w14:paraId="13F8D6D4">
            <w:pPr>
              <w:keepNext w:val="0"/>
              <w:keepLines/>
              <w:pageBreakBefore w:val="0"/>
              <w:widowControl w:val="0"/>
              <w:kinsoku/>
              <w:wordWrap w:val="0"/>
              <w:overflowPunct/>
              <w:topLinePunct w:val="0"/>
              <w:autoSpaceDE/>
              <w:autoSpaceDN/>
              <w:bidi w:val="0"/>
              <w:spacing w:line="312" w:lineRule="auto"/>
              <w:ind w:firstLine="210" w:firstLineChars="1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（1）监狱企业参加投标视同小微企业，需提供由省级以上监狱管理局或戒毒管理局出具的属于监狱企业的证明文件。</w:t>
            </w:r>
          </w:p>
          <w:p w14:paraId="093A5863">
            <w:pPr>
              <w:keepNext w:val="0"/>
              <w:keepLines/>
              <w:pageBreakBefore w:val="0"/>
              <w:widowControl w:val="0"/>
              <w:kinsoku/>
              <w:wordWrap w:val="0"/>
              <w:overflowPunct/>
              <w:topLinePunct w:val="0"/>
              <w:autoSpaceDE/>
              <w:autoSpaceDN/>
              <w:bidi w:val="0"/>
              <w:spacing w:line="312" w:lineRule="auto"/>
              <w:ind w:firstLine="210" w:firstLineChars="1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（2）监狱企业只有提供本企业制造的货物或服务，或者提供其他小、微企业制造的货物，享受投标货物的价格折扣。若有的话，如实填写《小微企业/残疾人福利性单位提供货物/服务明细表》（格式见第</w:t>
            </w:r>
            <w:r>
              <w:rPr>
                <w:rFonts w:hint="eastAsia" w:ascii="宋体" w:hAnsi="宋体" w:eastAsia="宋体" w:cs="宋体"/>
                <w:color w:val="000000" w:themeColor="text1"/>
                <w:spacing w:val="0"/>
                <w:sz w:val="21"/>
                <w:szCs w:val="21"/>
                <w:lang w:val="en-US" w:eastAsia="zh-CN"/>
                <w14:textFill>
                  <w14:solidFill>
                    <w14:schemeClr w14:val="tx1"/>
                  </w14:solidFill>
                </w14:textFill>
              </w:rPr>
              <w:t>九</w:t>
            </w:r>
            <w:r>
              <w:rPr>
                <w:rFonts w:hint="eastAsia" w:ascii="宋体" w:hAnsi="宋体" w:eastAsia="宋体" w:cs="宋体"/>
                <w:color w:val="000000" w:themeColor="text1"/>
                <w:spacing w:val="0"/>
                <w:sz w:val="21"/>
                <w:szCs w:val="21"/>
                <w14:textFill>
                  <w14:solidFill>
                    <w14:schemeClr w14:val="tx1"/>
                  </w14:solidFill>
                </w14:textFill>
              </w:rPr>
              <w:t>部分）；</w:t>
            </w:r>
          </w:p>
          <w:p w14:paraId="1C02D98E">
            <w:pPr>
              <w:keepNext w:val="0"/>
              <w:keepLines/>
              <w:pageBreakBefore w:val="0"/>
              <w:widowControl w:val="0"/>
              <w:kinsoku/>
              <w:wordWrap w:val="0"/>
              <w:overflowPunct/>
              <w:topLinePunct w:val="0"/>
              <w:autoSpaceDE/>
              <w:autoSpaceDN/>
              <w:bidi w:val="0"/>
              <w:spacing w:line="312" w:lineRule="auto"/>
              <w:ind w:firstLine="210" w:firstLineChars="1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345EE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05" w:type="dxa"/>
            <w:vMerge w:val="continue"/>
            <w:vAlign w:val="center"/>
          </w:tcPr>
          <w:p w14:paraId="737B124A">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637" w:type="dxa"/>
            <w:vAlign w:val="center"/>
          </w:tcPr>
          <w:p w14:paraId="0F76BA4F">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残疾人福利性单位</w:t>
            </w:r>
          </w:p>
        </w:tc>
        <w:tc>
          <w:tcPr>
            <w:tcW w:w="7684" w:type="dxa"/>
            <w:vAlign w:val="center"/>
          </w:tcPr>
          <w:p w14:paraId="3688F5ED">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（1）须根据财库【2017】141号《关于促进残疾人就业政府采购政策的通知》的要求，如实填写残疾人福利性单位声明函（格式见第</w:t>
            </w:r>
            <w:r>
              <w:rPr>
                <w:rFonts w:hint="eastAsia" w:ascii="宋体" w:hAnsi="宋体" w:eastAsia="宋体" w:cs="宋体"/>
                <w:color w:val="000000" w:themeColor="text1"/>
                <w:spacing w:val="0"/>
                <w:sz w:val="21"/>
                <w:szCs w:val="21"/>
                <w:lang w:val="en-US" w:eastAsia="zh-CN"/>
                <w14:textFill>
                  <w14:solidFill>
                    <w14:schemeClr w14:val="tx1"/>
                  </w14:solidFill>
                </w14:textFill>
              </w:rPr>
              <w:t>九</w:t>
            </w:r>
            <w:r>
              <w:rPr>
                <w:rFonts w:hint="eastAsia" w:ascii="宋体" w:hAnsi="宋体" w:eastAsia="宋体" w:cs="宋体"/>
                <w:color w:val="000000" w:themeColor="text1"/>
                <w:spacing w:val="0"/>
                <w:sz w:val="21"/>
                <w:szCs w:val="21"/>
                <w14:textFill>
                  <w14:solidFill>
                    <w14:schemeClr w14:val="tx1"/>
                  </w14:solidFill>
                </w14:textFill>
              </w:rPr>
              <w:t>部分附件），残疾人福利性单位参加本项目投标时，享受10%的价格折扣，用扣除后的价格参与评审。</w:t>
            </w:r>
          </w:p>
          <w:p w14:paraId="14ECCBA2">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（2）享受政府采购支持政策的残疾人福利性单位应当同时满足以下条件：</w:t>
            </w:r>
          </w:p>
          <w:p w14:paraId="2A5BC786">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A.安置的残疾人占本单位在职职工人数的比例不低于25%（含25%），并且安置的残疾人人数不少于10人（含10人）；</w:t>
            </w:r>
          </w:p>
          <w:p w14:paraId="22C15090">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B.依法与安置的每位残疾人签订了一年以上（含一年）的劳动合同或服务协议；</w:t>
            </w:r>
          </w:p>
          <w:p w14:paraId="00C6065E">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C.为安置的每位残疾人按月足额缴纳了基本养老保险、基本医疗保险、失业保险、工伤保险和生育保险等社会保险费；</w:t>
            </w:r>
          </w:p>
          <w:p w14:paraId="52AB371E">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D.通过银行等金融机构向安置的每位残疾人，按月支付了不低于单位所在区县适用的经省级人民政府批准的月最低工资标准的工资；</w:t>
            </w:r>
          </w:p>
          <w:p w14:paraId="3E960BE3">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E．提供本单位制造的货物、承担的工程或者服务（以下简称产品），或者提供其他残疾人福利性单位制造的货物（不包括使用非残疾人福利性单位注册商标的货物）。</w:t>
            </w:r>
          </w:p>
          <w:p w14:paraId="7A82C158">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8DA106A">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（3）残疾人福利性单位属于小型、微型企业的，不重复享受政策。</w:t>
            </w:r>
          </w:p>
        </w:tc>
      </w:tr>
      <w:tr w14:paraId="1CC15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1005" w:type="dxa"/>
            <w:vMerge w:val="continue"/>
            <w:vAlign w:val="center"/>
          </w:tcPr>
          <w:p w14:paraId="1B50288D">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pacing w:val="0"/>
                <w:sz w:val="21"/>
                <w:szCs w:val="21"/>
                <w14:textFill>
                  <w14:solidFill>
                    <w14:schemeClr w14:val="tx1"/>
                  </w14:solidFill>
                </w14:textFill>
              </w:rPr>
            </w:pPr>
          </w:p>
        </w:tc>
        <w:tc>
          <w:tcPr>
            <w:tcW w:w="637" w:type="dxa"/>
            <w:vAlign w:val="center"/>
          </w:tcPr>
          <w:p w14:paraId="26F2B36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创新产品</w:t>
            </w:r>
          </w:p>
          <w:p w14:paraId="2B6FBDB1">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创新服务</w:t>
            </w:r>
          </w:p>
        </w:tc>
        <w:tc>
          <w:tcPr>
            <w:tcW w:w="7684" w:type="dxa"/>
            <w:vAlign w:val="center"/>
          </w:tcPr>
          <w:p w14:paraId="55906FDF">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（1）</w:t>
            </w:r>
            <w:r>
              <w:rPr>
                <w:rFonts w:hint="eastAsia" w:ascii="宋体" w:hAnsi="宋体" w:eastAsia="宋体" w:cs="宋体"/>
                <w:color w:val="000000" w:themeColor="text1"/>
                <w:spacing w:val="0"/>
                <w:sz w:val="21"/>
                <w:szCs w:val="21"/>
                <w:lang w:eastAsia="zh-CN"/>
                <w14:textFill>
                  <w14:solidFill>
                    <w14:schemeClr w14:val="tx1"/>
                  </w14:solidFill>
                </w14:textFill>
              </w:rPr>
              <w:t>供应商</w:t>
            </w:r>
            <w:r>
              <w:rPr>
                <w:rFonts w:hint="eastAsia" w:ascii="宋体" w:hAnsi="宋体" w:eastAsia="宋体" w:cs="宋体"/>
                <w:color w:val="000000" w:themeColor="text1"/>
                <w:spacing w:val="0"/>
                <w:sz w:val="21"/>
                <w:szCs w:val="21"/>
                <w14:textFill>
                  <w14:solidFill>
                    <w14:schemeClr w14:val="tx1"/>
                  </w14:solidFill>
                </w14:textFill>
              </w:rPr>
              <w:t>投标产品或服务属于《山西省创新产品和服务推荐清单》中创新产品或创新服务的，在评审时，享受投标产品10%的价格折扣，以折扣后的价格参与评审。</w:t>
            </w:r>
          </w:p>
          <w:p w14:paraId="65E5F2DE">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（2）</w:t>
            </w:r>
            <w:r>
              <w:rPr>
                <w:rFonts w:hint="eastAsia" w:ascii="宋体" w:hAnsi="宋体" w:eastAsia="宋体" w:cs="宋体"/>
                <w:color w:val="000000" w:themeColor="text1"/>
                <w:spacing w:val="0"/>
                <w:sz w:val="21"/>
                <w:szCs w:val="21"/>
                <w:lang w:eastAsia="zh-CN"/>
                <w14:textFill>
                  <w14:solidFill>
                    <w14:schemeClr w14:val="tx1"/>
                  </w14:solidFill>
                </w14:textFill>
              </w:rPr>
              <w:t>供应商</w:t>
            </w:r>
            <w:r>
              <w:rPr>
                <w:rFonts w:hint="eastAsia" w:ascii="宋体" w:hAnsi="宋体" w:eastAsia="宋体" w:cs="宋体"/>
                <w:color w:val="000000" w:themeColor="text1"/>
                <w:spacing w:val="0"/>
                <w:sz w:val="21"/>
                <w:szCs w:val="21"/>
                <w14:textFill>
                  <w14:solidFill>
                    <w14:schemeClr w14:val="tx1"/>
                  </w14:solidFill>
                </w14:textFill>
              </w:rPr>
              <w:t>投标创新产品或创新服务的，应在投标文件中填写《创新产品或创新服务明细表》，并提供《山西省创新产品和服务推荐清单》。</w:t>
            </w:r>
          </w:p>
          <w:p w14:paraId="0005C179">
            <w:pPr>
              <w:keepLines/>
              <w:pageBreakBefore w:val="0"/>
              <w:kinsoku/>
              <w:wordWrap w:val="0"/>
              <w:overflowPunct/>
              <w:topLinePunct w:val="0"/>
              <w:autoSpaceDE/>
              <w:autoSpaceDN/>
              <w:bidi w:val="0"/>
              <w:spacing w:line="360" w:lineRule="exact"/>
              <w:ind w:firstLine="420" w:firstLineChars="200"/>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（3）创新产品或创新服务的价格折扣政策可与其他政府采购政策叠加。</w:t>
            </w:r>
          </w:p>
        </w:tc>
      </w:tr>
    </w:tbl>
    <w:p w14:paraId="59494213">
      <w:pPr>
        <w:keepLines/>
        <w:pageBreakBefore w:val="0"/>
        <w:kinsoku/>
        <w:wordWrap w:val="0"/>
        <w:overflowPunct/>
        <w:bidi w:val="0"/>
        <w:textAlignment w:val="auto"/>
        <w:rPr>
          <w:rFonts w:hint="eastAsia" w:ascii="宋体" w:hAnsi="宋体" w:eastAsia="宋体" w:cs="宋体"/>
          <w:color w:val="000000" w:themeColor="text1"/>
          <w:spacing w:val="0"/>
          <w:sz w:val="36"/>
          <w:szCs w:val="52"/>
          <w:lang w:val="en-US" w:eastAsia="zh-CN"/>
          <w14:textFill>
            <w14:solidFill>
              <w14:schemeClr w14:val="tx1"/>
            </w14:solidFill>
          </w14:textFill>
        </w:rPr>
      </w:pPr>
      <w:r>
        <w:rPr>
          <w:rFonts w:hint="eastAsia" w:ascii="宋体" w:hAnsi="宋体" w:eastAsia="宋体" w:cs="宋体"/>
          <w:color w:val="000000" w:themeColor="text1"/>
          <w:spacing w:val="0"/>
          <w:sz w:val="36"/>
          <w:szCs w:val="52"/>
          <w:lang w:val="en-US" w:eastAsia="zh-CN"/>
          <w14:textFill>
            <w14:solidFill>
              <w14:schemeClr w14:val="tx1"/>
            </w14:solidFill>
          </w14:textFill>
        </w:rPr>
        <w:br w:type="page"/>
      </w:r>
    </w:p>
    <w:p w14:paraId="5E73807D">
      <w:pPr>
        <w:pStyle w:val="2"/>
        <w:keepLines/>
        <w:pageBreakBefore w:val="0"/>
        <w:numPr>
          <w:ilvl w:val="0"/>
          <w:numId w:val="0"/>
        </w:numPr>
        <w:kinsoku/>
        <w:wordWrap w:val="0"/>
        <w:overflowPunct/>
        <w:topLinePunct w:val="0"/>
        <w:autoSpaceDE/>
        <w:autoSpaceDN/>
        <w:bidi w:val="0"/>
        <w:jc w:val="center"/>
        <w:textAlignment w:val="auto"/>
        <w:rPr>
          <w:rFonts w:hint="eastAsia" w:ascii="宋体" w:hAnsi="宋体" w:eastAsia="宋体" w:cs="宋体"/>
          <w:color w:val="000000" w:themeColor="text1"/>
          <w:spacing w:val="0"/>
          <w:sz w:val="36"/>
          <w:szCs w:val="52"/>
          <w:lang w:val="en-US" w:eastAsia="zh-CN"/>
          <w14:textFill>
            <w14:solidFill>
              <w14:schemeClr w14:val="tx1"/>
            </w14:solidFill>
          </w14:textFill>
        </w:rPr>
      </w:pPr>
      <w:bookmarkStart w:id="18" w:name="_Toc18945"/>
      <w:bookmarkStart w:id="19" w:name="_Toc489536690"/>
      <w:r>
        <w:rPr>
          <w:rFonts w:hint="eastAsia" w:ascii="宋体" w:hAnsi="宋体" w:eastAsia="宋体" w:cs="宋体"/>
          <w:color w:val="000000" w:themeColor="text1"/>
          <w:spacing w:val="0"/>
          <w:sz w:val="36"/>
          <w:szCs w:val="52"/>
          <w:lang w:val="en-US" w:eastAsia="zh-CN"/>
          <w14:textFill>
            <w14:solidFill>
              <w14:schemeClr w14:val="tx1"/>
            </w14:solidFill>
          </w14:textFill>
        </w:rPr>
        <w:t>第七部分 工程量清单</w:t>
      </w:r>
    </w:p>
    <w:p w14:paraId="0AEC3DF6">
      <w:pPr>
        <w:keepNext w:val="0"/>
        <w:keepLines/>
        <w:pageBreakBefore w:val="0"/>
        <w:widowControl/>
        <w:suppressLineNumbers w:val="0"/>
        <w:kinsoku/>
        <w:wordWrap w:val="0"/>
        <w:overflowPunct/>
        <w:bidi w:val="0"/>
        <w:jc w:val="center"/>
        <w:textAlignment w:val="auto"/>
        <w:rPr>
          <w:rFonts w:hint="eastAsia" w:ascii="宋体" w:hAnsi="宋体" w:eastAsia="宋体" w:cs="宋体"/>
        </w:rPr>
      </w:pPr>
      <w:r>
        <w:rPr>
          <w:rFonts w:hint="eastAsia" w:ascii="宋体" w:hAnsi="宋体" w:eastAsia="宋体" w:cs="宋体"/>
          <w:b/>
          <w:bCs/>
          <w:i w:val="0"/>
          <w:iCs w:val="0"/>
          <w:color w:val="000000"/>
          <w:kern w:val="0"/>
          <w:sz w:val="40"/>
          <w:szCs w:val="40"/>
          <w:u w:val="none"/>
          <w:lang w:val="en-US" w:eastAsia="zh-CN" w:bidi="ar"/>
        </w:rPr>
        <w:t>（另附）</w:t>
      </w:r>
      <w:r>
        <w:rPr>
          <w:rFonts w:hint="eastAsia" w:ascii="宋体" w:hAnsi="宋体" w:eastAsia="宋体" w:cs="宋体"/>
          <w:b/>
          <w:bCs/>
          <w:i w:val="0"/>
          <w:iCs w:val="0"/>
          <w:color w:val="000000"/>
          <w:kern w:val="0"/>
          <w:sz w:val="40"/>
          <w:szCs w:val="40"/>
          <w:u w:val="none"/>
          <w:lang w:val="en-US" w:eastAsia="zh-CN" w:bidi="ar"/>
        </w:rPr>
        <w:br w:type="page"/>
      </w:r>
    </w:p>
    <w:p w14:paraId="2ED65FD6">
      <w:pPr>
        <w:keepLines/>
        <w:pageBreakBefore w:val="0"/>
        <w:widowControl/>
        <w:numPr>
          <w:ilvl w:val="0"/>
          <w:numId w:val="0"/>
        </w:numPr>
        <w:kinsoku/>
        <w:wordWrap w:val="0"/>
        <w:overflowPunct/>
        <w:topLinePunct w:val="0"/>
        <w:autoSpaceDE/>
        <w:autoSpaceDN/>
        <w:bidi w:val="0"/>
        <w:spacing w:line="360" w:lineRule="auto"/>
        <w:ind w:leftChars="0"/>
        <w:jc w:val="center"/>
        <w:textAlignment w:val="auto"/>
        <w:rPr>
          <w:rFonts w:hint="eastAsia" w:ascii="宋体" w:hAnsi="宋体" w:eastAsia="宋体" w:cs="宋体"/>
          <w:b/>
          <w:bCs/>
          <w:color w:val="000000" w:themeColor="text1"/>
          <w:spacing w:val="0"/>
          <w:sz w:val="36"/>
          <w:szCs w:val="40"/>
          <w:lang w:val="en-US" w:eastAsia="zh-CN"/>
          <w14:textFill>
            <w14:solidFill>
              <w14:schemeClr w14:val="tx1"/>
            </w14:solidFill>
          </w14:textFill>
        </w:rPr>
      </w:pPr>
      <w:r>
        <w:rPr>
          <w:rFonts w:hint="eastAsia" w:ascii="宋体" w:hAnsi="宋体" w:eastAsia="宋体" w:cs="宋体"/>
          <w:b/>
          <w:bCs/>
          <w:color w:val="000000" w:themeColor="text1"/>
          <w:spacing w:val="0"/>
          <w:sz w:val="36"/>
          <w:szCs w:val="40"/>
          <w:lang w:val="en-US" w:eastAsia="zh-CN"/>
          <w14:textFill>
            <w14:solidFill>
              <w14:schemeClr w14:val="tx1"/>
            </w14:solidFill>
          </w14:textFill>
        </w:rPr>
        <w:t>第八部分  合同原则（可修改）</w:t>
      </w:r>
    </w:p>
    <w:p w14:paraId="4285B63C">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发包人（全称）：</w:t>
      </w:r>
      <w:r>
        <w:rPr>
          <w:rFonts w:hint="eastAsia" w:ascii="宋体" w:hAnsi="宋体" w:eastAsia="宋体" w:cs="宋体"/>
          <w:color w:val="auto"/>
          <w:kern w:val="0"/>
          <w:sz w:val="24"/>
          <w:szCs w:val="24"/>
          <w:u w:val="single"/>
          <w:lang w:val="en-US" w:eastAsia="zh-CN"/>
        </w:rPr>
        <w:t xml:space="preserve">                               </w:t>
      </w:r>
    </w:p>
    <w:p w14:paraId="7981E136">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承包人（全称）：</w:t>
      </w:r>
      <w:r>
        <w:rPr>
          <w:rFonts w:hint="eastAsia" w:ascii="宋体" w:hAnsi="宋体" w:eastAsia="宋体" w:cs="宋体"/>
          <w:color w:val="auto"/>
          <w:kern w:val="0"/>
          <w:sz w:val="24"/>
          <w:szCs w:val="24"/>
          <w:u w:val="single"/>
          <w:lang w:val="en-US" w:eastAsia="zh-CN"/>
        </w:rPr>
        <w:t xml:space="preserve">                               </w:t>
      </w:r>
    </w:p>
    <w:p w14:paraId="351169EC">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w:t>
      </w:r>
      <w:r>
        <w:rPr>
          <w:rFonts w:hint="eastAsia" w:ascii="宋体" w:hAnsi="宋体" w:eastAsia="宋体" w:cs="宋体"/>
          <w:color w:val="auto"/>
          <w:kern w:val="0"/>
          <w:sz w:val="24"/>
          <w:szCs w:val="24"/>
          <w:lang w:val="en-US" w:eastAsia="zh-CN"/>
        </w:rPr>
        <w:t>民法典</w:t>
      </w:r>
      <w:r>
        <w:rPr>
          <w:rFonts w:hint="eastAsia" w:ascii="宋体" w:hAnsi="宋体" w:eastAsia="宋体" w:cs="宋体"/>
          <w:color w:val="auto"/>
          <w:kern w:val="0"/>
          <w:sz w:val="24"/>
          <w:szCs w:val="24"/>
        </w:rPr>
        <w:t>》、《中华人民共和国建筑法》及有关法律规定，遵循平等、自愿、公平和诚实信用的原则，双方就</w:t>
      </w:r>
      <w:r>
        <w:rPr>
          <w:rFonts w:hint="eastAsia" w:ascii="宋体" w:hAnsi="宋体" w:eastAsia="宋体" w:cs="宋体"/>
          <w:color w:val="auto"/>
          <w:kern w:val="0"/>
          <w:sz w:val="24"/>
          <w:szCs w:val="24"/>
          <w:u w:val="single"/>
          <w:lang w:eastAsia="zh-CN"/>
        </w:rPr>
        <w:t>临汾市特殊教育学校消防水池、室外消火栓及管网工程</w:t>
      </w:r>
      <w:r>
        <w:rPr>
          <w:rFonts w:hint="eastAsia" w:ascii="宋体" w:hAnsi="宋体" w:eastAsia="宋体" w:cs="宋体"/>
          <w:color w:val="auto"/>
          <w:kern w:val="0"/>
          <w:sz w:val="24"/>
          <w:szCs w:val="24"/>
        </w:rPr>
        <w:t>及有关事项协商一致，共同达成如下协议：</w:t>
      </w:r>
    </w:p>
    <w:p w14:paraId="3B965665">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一、工程概况</w:t>
      </w:r>
    </w:p>
    <w:p w14:paraId="7BF7CC89">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1.工程名称：</w:t>
      </w:r>
      <w:r>
        <w:rPr>
          <w:rFonts w:hint="eastAsia" w:ascii="宋体" w:hAnsi="宋体" w:eastAsia="宋体" w:cs="宋体"/>
          <w:color w:val="auto"/>
          <w:kern w:val="0"/>
          <w:sz w:val="24"/>
          <w:szCs w:val="24"/>
          <w:u w:val="single"/>
          <w:lang w:eastAsia="zh-CN"/>
        </w:rPr>
        <w:t>临汾市特殊教育学校消防水池、室外消火栓及管网工程</w:t>
      </w:r>
      <w:r>
        <w:rPr>
          <w:rFonts w:hint="eastAsia" w:ascii="宋体" w:hAnsi="宋体" w:eastAsia="宋体" w:cs="宋体"/>
          <w:color w:val="auto"/>
          <w:kern w:val="0"/>
          <w:sz w:val="24"/>
          <w:szCs w:val="24"/>
          <w:u w:val="single"/>
          <w:lang w:val="en-US" w:eastAsia="zh-CN"/>
        </w:rPr>
        <w:t>。</w:t>
      </w:r>
    </w:p>
    <w:p w14:paraId="492B92E2">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2.工程地点：</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w:t>
      </w:r>
    </w:p>
    <w:p w14:paraId="5B4FC73A">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.工程内容：</w:t>
      </w:r>
      <w:r>
        <w:rPr>
          <w:rFonts w:hint="eastAsia" w:ascii="宋体" w:hAnsi="宋体" w:eastAsia="宋体" w:cs="宋体"/>
          <w:color w:val="auto"/>
          <w:kern w:val="0"/>
          <w:sz w:val="24"/>
          <w:szCs w:val="24"/>
          <w:u w:val="single"/>
          <w:lang w:val="en-US" w:eastAsia="zh-CN"/>
        </w:rPr>
        <w:t>本项目施工图设计及工程量清单中的全部内容。</w:t>
      </w:r>
    </w:p>
    <w:p w14:paraId="297496E8">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二、合同工期</w:t>
      </w:r>
    </w:p>
    <w:p w14:paraId="32EAA33C">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____天。</w:t>
      </w:r>
    </w:p>
    <w:p w14:paraId="645AE503">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三、质量标准</w:t>
      </w:r>
    </w:p>
    <w:p w14:paraId="7B663044">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工程质量符合</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rPr>
        <w:t>标准。</w:t>
      </w:r>
    </w:p>
    <w:p w14:paraId="7B4A7E94">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四、合同价与合同价格形式</w:t>
      </w:r>
    </w:p>
    <w:p w14:paraId="1D4F79B9">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1.签约合同价为：人民币（大写）_________（¥________元）；</w:t>
      </w:r>
    </w:p>
    <w:p w14:paraId="68942746">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2.合同价格形式：___________________________。</w:t>
      </w:r>
    </w:p>
    <w:p w14:paraId="2A1B6262">
      <w:pPr>
        <w:keepLines/>
        <w:pageBreakBefore w:val="0"/>
        <w:kinsoku/>
        <w:wordWrap w:val="0"/>
        <w:overflowPunct/>
        <w:topLinePunct w:val="0"/>
        <w:autoSpaceDE/>
        <w:autoSpaceDN/>
        <w:bidi w:val="0"/>
        <w:spacing w:line="460" w:lineRule="exact"/>
        <w:ind w:firstLine="480" w:firstLineChars="200"/>
        <w:textAlignment w:val="auto"/>
        <w:rPr>
          <w:rFonts w:hint="eastAsia" w:ascii="宋体" w:hAnsi="宋体" w:eastAsia="宋体" w:cs="宋体"/>
          <w:color w:val="0000FF"/>
          <w:sz w:val="24"/>
          <w:szCs w:val="24"/>
          <w:lang w:val="en-US" w:eastAsia="zh-CN"/>
        </w:rPr>
      </w:pPr>
      <w:r>
        <w:rPr>
          <w:rFonts w:hint="eastAsia" w:ascii="宋体" w:hAnsi="宋体" w:eastAsia="宋体" w:cs="宋体"/>
          <w:color w:val="auto"/>
          <w:kern w:val="0"/>
          <w:sz w:val="24"/>
          <w:szCs w:val="24"/>
          <w:lang w:val="en-US" w:eastAsia="zh-CN"/>
        </w:rPr>
        <w:t>3、付款进度</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p>
    <w:p w14:paraId="32C85BD0">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五、合同文件构成</w:t>
      </w:r>
    </w:p>
    <w:p w14:paraId="60C12BC5">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本协议书与下列文件一起构成合同文件：</w:t>
      </w:r>
    </w:p>
    <w:p w14:paraId="3B501C84">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(1)中标通知书（如果有）；</w:t>
      </w:r>
    </w:p>
    <w:p w14:paraId="7E8320E4">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(2)投标函及其附录（如果有）；</w:t>
      </w:r>
    </w:p>
    <w:p w14:paraId="4EFFA009">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(3)专用合同条款及其附件；</w:t>
      </w:r>
    </w:p>
    <w:p w14:paraId="088684E8">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(4)通用合同条款；</w:t>
      </w:r>
    </w:p>
    <w:p w14:paraId="3F467A6C">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(5)技术标准和要求；</w:t>
      </w:r>
    </w:p>
    <w:p w14:paraId="282281A3">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(6)图纸；</w:t>
      </w:r>
    </w:p>
    <w:p w14:paraId="74D89C90">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(7)已标价工程量清单或预算书；</w:t>
      </w:r>
    </w:p>
    <w:p w14:paraId="478DFC53">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(8)其他合同文件。</w:t>
      </w:r>
    </w:p>
    <w:p w14:paraId="06185EA4">
      <w:pPr>
        <w:keepNext w:val="0"/>
        <w:keepLines/>
        <w:pageBreakBefore w:val="0"/>
        <w:widowControl w:val="0"/>
        <w:kinsoku/>
        <w:wordWrap w:val="0"/>
        <w:overflowPunct/>
        <w:topLinePunct w:val="0"/>
        <w:autoSpaceDE/>
        <w:autoSpaceDN/>
        <w:bidi w:val="0"/>
        <w:adjustRightInd w:val="0"/>
        <w:snapToGrid w:val="0"/>
        <w:spacing w:line="500" w:lineRule="exact"/>
        <w:ind w:firstLine="240" w:firstLineChars="1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在合同订立及履行过程中形成的与合同有关的文件均构成合同文件组成部分。</w:t>
      </w:r>
    </w:p>
    <w:p w14:paraId="7E46F203">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上述各项合同文件包括合同当事人就该项合同文件所作出的补充和修改，属于同一类内容的文件，应以最新签署的为准。专用合同条款及其附件须经合同当事人签字或盖章。</w:t>
      </w:r>
    </w:p>
    <w:p w14:paraId="42FD5802">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六</w:t>
      </w:r>
      <w:r>
        <w:rPr>
          <w:rFonts w:hint="eastAsia" w:ascii="宋体" w:hAnsi="宋体" w:eastAsia="宋体" w:cs="宋体"/>
          <w:b/>
          <w:color w:val="auto"/>
          <w:kern w:val="0"/>
          <w:sz w:val="24"/>
          <w:szCs w:val="24"/>
        </w:rPr>
        <w:t>、承诺</w:t>
      </w:r>
    </w:p>
    <w:p w14:paraId="58B62557">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1.发包人承诺按照法律规定履行项目审批手续、筹集工程建设资金并按照合同约定的期限和方式支付合同价款。</w:t>
      </w:r>
    </w:p>
    <w:p w14:paraId="3F88E783">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2.承包人承诺按照法律规定及合同约定组织完成工程施工，确保工程质量和安全，不进行转包及违法分包，并在缺陷责任期及保修期内承担相应的工程维修责任。</w:t>
      </w:r>
    </w:p>
    <w:p w14:paraId="76D78F4B">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3.发包人和承包人通过招投标形式签订合同的，双方理解并承诺不再就同一工程另行签订与合同实质性内容相背离的协议。</w:t>
      </w:r>
    </w:p>
    <w:p w14:paraId="7A6C8A4D">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七</w:t>
      </w:r>
      <w:r>
        <w:rPr>
          <w:rFonts w:hint="eastAsia" w:ascii="宋体" w:hAnsi="宋体" w:eastAsia="宋体" w:cs="宋体"/>
          <w:b/>
          <w:color w:val="auto"/>
          <w:kern w:val="0"/>
          <w:sz w:val="24"/>
          <w:szCs w:val="24"/>
        </w:rPr>
        <w:t>、词语含义</w:t>
      </w:r>
    </w:p>
    <w:p w14:paraId="54970F33">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本协议书中词语含义与二</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通用合同条款中赋予的含义相同。</w:t>
      </w:r>
    </w:p>
    <w:p w14:paraId="13F905C0">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八</w:t>
      </w:r>
      <w:r>
        <w:rPr>
          <w:rFonts w:hint="eastAsia" w:ascii="宋体" w:hAnsi="宋体" w:eastAsia="宋体" w:cs="宋体"/>
          <w:b/>
          <w:color w:val="auto"/>
          <w:kern w:val="0"/>
          <w:sz w:val="24"/>
          <w:szCs w:val="24"/>
        </w:rPr>
        <w:t>、签订时间</w:t>
      </w:r>
    </w:p>
    <w:p w14:paraId="25B81604">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本合同于______年_____月_____日签订。</w:t>
      </w:r>
    </w:p>
    <w:p w14:paraId="3DF748AC">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九</w:t>
      </w:r>
      <w:r>
        <w:rPr>
          <w:rFonts w:hint="eastAsia" w:ascii="宋体" w:hAnsi="宋体" w:eastAsia="宋体" w:cs="宋体"/>
          <w:b/>
          <w:color w:val="auto"/>
          <w:kern w:val="0"/>
          <w:sz w:val="24"/>
          <w:szCs w:val="24"/>
        </w:rPr>
        <w:t>、签订地点</w:t>
      </w:r>
    </w:p>
    <w:p w14:paraId="690AC921">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本合同在__________________________________________签订。</w:t>
      </w:r>
    </w:p>
    <w:p w14:paraId="60D85B09">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十、合同份数</w:t>
      </w:r>
    </w:p>
    <w:p w14:paraId="1AF59B0A">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本合同一式____份，均具有同等法律效力，发包人执____份，承包人执____份。</w:t>
      </w:r>
    </w:p>
    <w:p w14:paraId="0A2E6C82">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p>
    <w:p w14:paraId="55DB8019">
      <w:pPr>
        <w:keepNext w:val="0"/>
        <w:keepLines/>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发包人：（公章）                     承包人：（公章）</w:t>
      </w:r>
    </w:p>
    <w:p w14:paraId="3736CEE7">
      <w:pPr>
        <w:keepNext w:val="0"/>
        <w:keepLines/>
        <w:pageBreakBefore w:val="0"/>
        <w:widowControl w:val="0"/>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法定代表人或其委托代理人（签字）：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法定代表人或其委托代理人：（签字）</w:t>
      </w:r>
      <w:r>
        <w:rPr>
          <w:rFonts w:hint="eastAsia" w:ascii="宋体" w:hAnsi="宋体" w:eastAsia="宋体" w:cs="宋体"/>
          <w:color w:val="auto"/>
          <w:kern w:val="0"/>
          <w:sz w:val="24"/>
          <w:szCs w:val="24"/>
          <w:lang w:val="en-US" w:eastAsia="zh-CN"/>
        </w:rPr>
        <w:t xml:space="preserve">                              </w:t>
      </w:r>
    </w:p>
    <w:p w14:paraId="0FCF78CA">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组织机构代码：_______________    组织机构代码：_________________</w:t>
      </w:r>
    </w:p>
    <w:p w14:paraId="70D34BBB">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地址：______________________     地址：_______________________</w:t>
      </w:r>
    </w:p>
    <w:p w14:paraId="18B8F716">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邮政编码：_________________      邮政编码：________________________</w:t>
      </w:r>
    </w:p>
    <w:p w14:paraId="7E8D917E">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法定代表人：___________________  法定代表人：______________________</w:t>
      </w:r>
    </w:p>
    <w:p w14:paraId="0725A318">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委托代理人：__________________   委托代理人：______________________</w:t>
      </w:r>
    </w:p>
    <w:p w14:paraId="016C6956">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电话：___________________________电话：____________________________</w:t>
      </w:r>
    </w:p>
    <w:p w14:paraId="792DFAD9">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传真：___________________________传真：____________________________</w:t>
      </w:r>
    </w:p>
    <w:p w14:paraId="27ED8844">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电子信箱：_______________________电子信箱：________________________</w:t>
      </w:r>
    </w:p>
    <w:p w14:paraId="7BA3D0D9">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开户银行：_______________________开户银行：________________________</w:t>
      </w:r>
    </w:p>
    <w:p w14:paraId="02A34D02">
      <w:pPr>
        <w:keepNext w:val="0"/>
        <w:keepLines/>
        <w:pageBreakBefore w:val="0"/>
        <w:widowControl w:val="0"/>
        <w:tabs>
          <w:tab w:val="left" w:pos="4874"/>
        </w:tabs>
        <w:kinsoku/>
        <w:wordWrap w:val="0"/>
        <w:overflowPunct/>
        <w:topLinePunct w:val="0"/>
        <w:autoSpaceDE/>
        <w:autoSpaceDN/>
        <w:bidi w:val="0"/>
        <w:adjustRightInd w:val="0"/>
        <w:snapToGrid w:val="0"/>
        <w:spacing w:line="500" w:lineRule="exact"/>
        <w:jc w:val="left"/>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账号：___________________________账    号：________________________</w:t>
      </w:r>
    </w:p>
    <w:p w14:paraId="20E3DACB">
      <w:pPr>
        <w:keepLines/>
        <w:pageBreakBefore w:val="0"/>
        <w:kinsoku/>
        <w:wordWrap w:val="0"/>
        <w:overflowPunct/>
        <w:bidi w:val="0"/>
        <w:textAlignment w:val="auto"/>
        <w:rPr>
          <w:rFonts w:hint="eastAsia" w:ascii="宋体" w:hAnsi="宋体" w:eastAsia="宋体" w:cs="宋体"/>
          <w:color w:val="auto"/>
        </w:rPr>
      </w:pPr>
      <w:r>
        <w:rPr>
          <w:rFonts w:hint="eastAsia" w:ascii="宋体" w:hAnsi="宋体" w:eastAsia="宋体" w:cs="宋体"/>
          <w:color w:val="auto"/>
        </w:rPr>
        <w:br w:type="page"/>
      </w:r>
    </w:p>
    <w:p w14:paraId="042F4CE4">
      <w:pPr>
        <w:keepLines/>
        <w:pageBreakBefore w:val="0"/>
        <w:kinsoku/>
        <w:wordWrap w:val="0"/>
        <w:overflowPunct/>
        <w:bidi w:val="0"/>
        <w:spacing w:before="312" w:beforeLines="100" w:after="468" w:afterLines="150"/>
        <w:jc w:val="center"/>
        <w:textAlignment w:val="auto"/>
        <w:rPr>
          <w:rFonts w:hint="eastAsia" w:ascii="宋体" w:hAnsi="宋体" w:eastAsia="宋体" w:cs="宋体"/>
          <w:b w:val="0"/>
          <w:bCs/>
          <w:color w:val="000000" w:themeColor="text1"/>
          <w:sz w:val="40"/>
          <w:szCs w:val="40"/>
          <w14:textFill>
            <w14:solidFill>
              <w14:schemeClr w14:val="tx1"/>
            </w14:solidFill>
          </w14:textFill>
        </w:rPr>
      </w:pPr>
      <w:bookmarkStart w:id="20" w:name="_Toc351203494"/>
      <w:bookmarkEnd w:id="20"/>
      <w:bookmarkStart w:id="21" w:name="_Toc337558727"/>
      <w:r>
        <w:rPr>
          <w:rFonts w:hint="eastAsia" w:ascii="宋体" w:hAnsi="宋体" w:eastAsia="宋体" w:cs="宋体"/>
          <w:b w:val="0"/>
          <w:bCs/>
          <w:color w:val="000000" w:themeColor="text1"/>
          <w:sz w:val="36"/>
          <w:szCs w:val="36"/>
          <w14:textFill>
            <w14:solidFill>
              <w14:schemeClr w14:val="tx1"/>
            </w14:solidFill>
          </w14:textFill>
        </w:rPr>
        <w:t>二、通用合同条款</w:t>
      </w:r>
    </w:p>
    <w:bookmarkEnd w:id="21"/>
    <w:p w14:paraId="78878CCE">
      <w:pPr>
        <w:pStyle w:val="38"/>
        <w:keepLines/>
        <w:pageBreakBefore w:val="0"/>
        <w:kinsoku/>
        <w:wordWrap w:val="0"/>
        <w:overflowPunct/>
        <w:bidi w:val="0"/>
        <w:spacing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22" w:name="_Toc296503027"/>
      <w:bookmarkEnd w:id="22"/>
      <w:bookmarkStart w:id="23" w:name="_Toc351203495"/>
      <w:bookmarkEnd w:id="23"/>
      <w:bookmarkStart w:id="24" w:name="_Toc296346528"/>
      <w:bookmarkEnd w:id="24"/>
      <w:r>
        <w:rPr>
          <w:rFonts w:hint="eastAsia" w:ascii="宋体" w:hAnsi="宋体" w:eastAsia="宋体" w:cs="宋体"/>
          <w:b w:val="0"/>
          <w:bCs/>
          <w:color w:val="000000" w:themeColor="text1"/>
          <w14:textFill>
            <w14:solidFill>
              <w14:schemeClr w14:val="tx1"/>
            </w14:solidFill>
          </w14:textFill>
        </w:rPr>
        <w:t>1、一般约定</w:t>
      </w:r>
    </w:p>
    <w:p w14:paraId="6D00EFAF">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5" w:name="_Toc296503028"/>
      <w:bookmarkEnd w:id="25"/>
      <w:bookmarkStart w:id="26" w:name="_Toc296346529"/>
      <w:bookmarkEnd w:id="26"/>
      <w:bookmarkStart w:id="27" w:name="_Toc351203496"/>
      <w:bookmarkEnd w:id="27"/>
      <w:bookmarkStart w:id="28" w:name="_Toc337558728"/>
      <w:bookmarkEnd w:id="28"/>
      <w:r>
        <w:rPr>
          <w:rFonts w:hint="eastAsia" w:ascii="宋体" w:hAnsi="宋体" w:eastAsia="宋体" w:cs="宋体"/>
          <w:b w:val="0"/>
          <w:bCs/>
          <w:color w:val="000000" w:themeColor="text1"/>
          <w:sz w:val="21"/>
          <w:szCs w:val="24"/>
          <w14:textFill>
            <w14:solidFill>
              <w14:schemeClr w14:val="tx1"/>
            </w14:solidFill>
          </w14:textFill>
        </w:rPr>
        <w:t xml:space="preserve">1.1  </w:t>
      </w:r>
      <w:r>
        <w:rPr>
          <w:rFonts w:hint="eastAsia" w:ascii="宋体" w:hAnsi="宋体" w:eastAsia="宋体" w:cs="宋体"/>
          <w:b w:val="0"/>
          <w:bCs/>
          <w:color w:val="000000" w:themeColor="text1"/>
          <w:sz w:val="21"/>
          <w:szCs w:val="21"/>
          <w14:textFill>
            <w14:solidFill>
              <w14:schemeClr w14:val="tx1"/>
            </w14:solidFill>
          </w14:textFill>
        </w:rPr>
        <w:t>词语定义与解释</w:t>
      </w:r>
    </w:p>
    <w:p w14:paraId="0B90537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合同协议书、通用合同条款、专用合同条款中的下列词语具有本款所赋予的含义：</w:t>
      </w:r>
    </w:p>
    <w:p w14:paraId="73DAAB6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  合同</w:t>
      </w:r>
    </w:p>
    <w:p w14:paraId="35BEB81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150A469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1.1.1.2  合同协议书：是指构成合同的由发包人和承包人共同签署的称为“合同协议书”的书面文件。</w:t>
      </w:r>
    </w:p>
    <w:p w14:paraId="4765D90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1.1.1.3  中标通知书：是指构成合同的由发包人通知承包人中标的书面文件。</w:t>
      </w:r>
    </w:p>
    <w:p w14:paraId="205832A1">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1.1.1.4  投标函：是指构成合同的由承包人填写并签署的用于投标的称为“投标函”的文件。</w:t>
      </w:r>
    </w:p>
    <w:p w14:paraId="5303F83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1.1.1.5  投标函附录：是指构成合同的附在投标函后的称为“投标函附录”的文件。</w:t>
      </w:r>
    </w:p>
    <w:p w14:paraId="3764D22A">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1.1.1.6  技术标准和要求：是指构成合同的施工应当遵守的或指导施工的国家、行业或地方的技术标准和要求，以及合同约定的技术标准和要求。</w:t>
      </w:r>
    </w:p>
    <w:p w14:paraId="77B89631">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1.1.1.7  图纸：是指构成合同的图纸，包括由发包人按照合同约定提供或经发包人批准的设计文件、施工图、鸟瞰图及模型等，以及在合同履行过程中形成的图纸文件。图纸应当按照法律规定审查合格。</w:t>
      </w:r>
    </w:p>
    <w:p w14:paraId="20F5962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1.1.1.8  已标价工程量清单：是指构成合同的由承包人按照规定的格式和要求填写并标明价格的工程量清单，包括说明和表格。</w:t>
      </w:r>
    </w:p>
    <w:p w14:paraId="2AC06DA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1.1.1.9  预算书：是指构成合同的由承包人按照发包人规定的格式和要求编制的工程预算文件。</w:t>
      </w:r>
    </w:p>
    <w:p w14:paraId="368DD738">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1.1.1.10  其他合同文件：是指经合同当事人约定的与工程施工有关的具有合同约束力的文件或书面协议。合同当事人可以在专用合同条款中进行约定。</w:t>
      </w:r>
    </w:p>
    <w:p w14:paraId="1C9D206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  合同当事人及其他相关方</w:t>
      </w:r>
    </w:p>
    <w:p w14:paraId="48E7957E">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1.1.2.1  合同当事人：是指发包人和（或）承包人。</w:t>
      </w:r>
    </w:p>
    <w:p w14:paraId="0B445BF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 xml:space="preserve">1.1.2.2  </w:t>
      </w:r>
      <w:r>
        <w:rPr>
          <w:rFonts w:hint="eastAsia" w:ascii="宋体" w:hAnsi="宋体" w:eastAsia="宋体" w:cs="宋体"/>
          <w:b w:val="0"/>
          <w:bCs/>
          <w:color w:val="000000" w:themeColor="text1"/>
          <w:spacing w:val="-6"/>
          <w14:textFill>
            <w14:solidFill>
              <w14:schemeClr w14:val="tx1"/>
            </w14:solidFill>
          </w14:textFill>
        </w:rPr>
        <w:t>发包人：是指与承包人签订合同协议书的当事人及取得该当事人资格的合法继承人。</w:t>
      </w:r>
    </w:p>
    <w:p w14:paraId="29B009A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1.1.2.3  承包人：是指与发包人签订合同协议书的，具有相应工程施工承包资质的当事人及取得该当事人资格的合法继承人。</w:t>
      </w:r>
    </w:p>
    <w:p w14:paraId="1A62D87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1.1.2.4  监理人：是指在专用合同条款中指明的，受发包人委托按照法律规定进行工程监督管理的法人或其他组织。</w:t>
      </w:r>
    </w:p>
    <w:p w14:paraId="6628203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1.1.2.5  设计人：是指在专用合同条款中指明的，受发包人委托负责工程设计并具备相应工程设计资质的法人或其他组织。</w:t>
      </w:r>
    </w:p>
    <w:p w14:paraId="3ADBF54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bookmarkStart w:id="29" w:name="#go5"/>
      <w:bookmarkEnd w:id="29"/>
      <w:r>
        <w:rPr>
          <w:rFonts w:hint="eastAsia" w:ascii="宋体" w:hAnsi="宋体" w:eastAsia="宋体" w:cs="宋体"/>
          <w:b w:val="0"/>
          <w:bCs/>
          <w:color w:val="000000" w:themeColor="text1"/>
          <w14:textFill>
            <w14:solidFill>
              <w14:schemeClr w14:val="tx1"/>
            </w14:solidFill>
          </w14:textFill>
        </w:rPr>
        <w:t>1.1.2.6  分包人：是指按照法律规定和合同约定，分包部分工程或工作，并与承包人签订分包合同的具有相应资质的法人。</w:t>
      </w:r>
    </w:p>
    <w:p w14:paraId="6CC2B150">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1.1.2.7  发包人代表：是指由发包人任命并派驻施工现场在发包人授权范围内行使发包人权利的人。</w:t>
      </w:r>
    </w:p>
    <w:p w14:paraId="4C8D5A6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1.1.2.8  项目经理：是指由承包人任命并派驻施工现场，在承包人授权范围内负责合同履行，且按照法律规定具有相应资格的项目负责人。</w:t>
      </w:r>
    </w:p>
    <w:p w14:paraId="776A71A0">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1.1.2.9  总监理工程师：是指由监理人任命并派驻施工现场进行工程监理的总负责人。</w:t>
      </w:r>
    </w:p>
    <w:p w14:paraId="430BD10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  工程和设备</w:t>
      </w:r>
    </w:p>
    <w:p w14:paraId="56EDAAB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1.1.3.1  工程：是指与合同协议书中工程承包范围对应的永久工程和（或）临时工程。</w:t>
      </w:r>
    </w:p>
    <w:p w14:paraId="4C75750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1.1.3.2  永久工程：是指按合同约定建造并移交给发包人的工程，包括工程设备。</w:t>
      </w:r>
    </w:p>
    <w:p w14:paraId="55AC84C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1.1.3.3  临时工程：是指为完成合同约定的永久工程所修建的各类临时性工程，不包括施工设备。</w:t>
      </w:r>
    </w:p>
    <w:p w14:paraId="641DF35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1.1.3.4  单位工程：是指在合同协议书中指明的，具备独立施工条件并能形成独立使用功能的永久工程。</w:t>
      </w:r>
    </w:p>
    <w:p w14:paraId="711F24C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1.1.3.5  工程设备：是指构成永久工程的机电设备、金属结构设备、仪器及其他类似的设备和装置。</w:t>
      </w:r>
    </w:p>
    <w:p w14:paraId="2EC62FA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1.1.3.6  施工设备：是指为完成合同约定的各项工作所需的设备、器具和其他物品，但不包括工程设备、临时工程和材料。</w:t>
      </w:r>
    </w:p>
    <w:p w14:paraId="3DCF069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1.1.3.7  施工现场：是指用于工程施工的场所，以及在专用合同条款中指明作为施工场所组成部分的其他场所，包括永久占地和临时占地。</w:t>
      </w:r>
    </w:p>
    <w:p w14:paraId="4507AA3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1.1.3.8  临时设施：是指为完成合同约定的各项工作所服务的临时性生产和生活设施。</w:t>
      </w:r>
    </w:p>
    <w:p w14:paraId="7F1508DE">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1.1.3.9  永久占地：是指专用合同条款中指明为实施工程需永久占用的土地。</w:t>
      </w:r>
    </w:p>
    <w:p w14:paraId="1D23FCE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1.1.3.10  临时占地：是指专用合同条款中指明为实施工程需要临时占用的土地。</w:t>
      </w:r>
    </w:p>
    <w:p w14:paraId="4E0ECB6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  日期和期限</w:t>
      </w:r>
    </w:p>
    <w:p w14:paraId="2339E08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B77393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 xml:space="preserve">1.1.4.2  竣工日期：包括计划竣工日期和实际竣工日期。计划竣工日期是指合同协议书约定的竣工日期；实际竣工日期按照第13.2.3项[竣工日期]的约定确定。 </w:t>
      </w:r>
    </w:p>
    <w:p w14:paraId="5F87B15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1.1.4.3  工期：是指在合同协议书约定的承包人完成工程所需的期限，包括按照合同约定所作的期限变更。</w:t>
      </w:r>
    </w:p>
    <w:p w14:paraId="3B3C6B5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1.1.4.4  缺陷责任期：是指承包人按照合同约定承担缺陷修复义务，且发包人预留质量保证金（已缴纳履约保证金的除外）的期限，自工程实际竣工日期起计算。</w:t>
      </w:r>
    </w:p>
    <w:p w14:paraId="2AE5338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1.1.4.5  保修期：是指承包人按照合同约定对工程承担保修责任的期限，从工程竣工验收合格之日起计算。</w:t>
      </w:r>
    </w:p>
    <w:p w14:paraId="48F772E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1.1.4.6  基准日期：招标发包的工程以投标截止日前28天的日期为基准日期，直接发包的工程以合同签订日前28天的日期为基准日期。</w:t>
      </w:r>
    </w:p>
    <w:p w14:paraId="1EA9C6A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1.1.4.7  天：除特别指明外，均指日历天。合同中按天计算时间的，开始当天不计入，从次日开始计算，期限最后一天的截止时间为当天24:00时。</w:t>
      </w:r>
    </w:p>
    <w:p w14:paraId="14FD10F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  合同价格和费用</w:t>
      </w:r>
    </w:p>
    <w:p w14:paraId="2127812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1.1.5.1  签约合同价：是指发包人和承包人在合同协议书中确定的总金额，包括安全文明施工费、暂估价及暂列金额等。</w:t>
      </w:r>
    </w:p>
    <w:p w14:paraId="2B8EB17E">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1.1.5.2  合同价格：是指发包人用于支付承包人按照合同约定完成承包范围内全部工作的金额，包括合同履行过程中按合同约定发生的价格变化。</w:t>
      </w:r>
    </w:p>
    <w:p w14:paraId="1A876E61">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1.1.5.3  费用：是指为履行合同所发生的或将要发生的所有必需的开支，包括管理费和应分摊的其他费用，但不包括利润。</w:t>
      </w:r>
    </w:p>
    <w:p w14:paraId="0C107E3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1.1.5.4  暂估价：是指发包人在工程量清单或预算书中提供的用于支付必然发生但暂时不能确定价格的材料、工程设备的单价、专业工程以及服务工作的金额。</w:t>
      </w:r>
    </w:p>
    <w:p w14:paraId="628790D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B0EC27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1.1.5.6  计日工：是指合同履行过程中，承包人完成发包人提出的零星工作或需要采用计日工计价的变更工作时，按合同中约定的单价计价的一种方式。</w:t>
      </w:r>
    </w:p>
    <w:p w14:paraId="5749A638">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bookmarkStart w:id="30" w:name="#go2"/>
      <w:bookmarkEnd w:id="30"/>
      <w:r>
        <w:rPr>
          <w:rFonts w:hint="eastAsia" w:ascii="宋体" w:hAnsi="宋体" w:eastAsia="宋体" w:cs="宋体"/>
          <w:b w:val="0"/>
          <w:bCs/>
          <w:color w:val="000000" w:themeColor="text1"/>
          <w14:textFill>
            <w14:solidFill>
              <w14:schemeClr w14:val="tx1"/>
            </w14:solidFill>
          </w14:textFill>
        </w:rPr>
        <w:t>1.1.5.7  质量保证金：是指按照第15.3款[质量保证金]约定承包人用于保证其在缺陷责任期内履行缺陷修补义务的担保。</w:t>
      </w:r>
    </w:p>
    <w:p w14:paraId="2C40AFC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1.1.5.8  总价项目：是指在现行国家、行业以及地方的计量规则中无工程量计算规则，在已标价工程量清单或预算书中以总价或以费率形式计算的项目。</w:t>
      </w:r>
    </w:p>
    <w:p w14:paraId="3EF0CCB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1.1.6  其他</w:t>
      </w:r>
    </w:p>
    <w:p w14:paraId="2FB074E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1.1.6.1  书面形式：是指合同文件、信函、电报、传真等可以有形地表现所载内容的形式。</w:t>
      </w:r>
    </w:p>
    <w:p w14:paraId="52173334">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31" w:name="_Toc296346530"/>
      <w:bookmarkEnd w:id="31"/>
      <w:bookmarkStart w:id="32" w:name="_Toc351203497"/>
      <w:bookmarkEnd w:id="32"/>
      <w:bookmarkStart w:id="33" w:name="_Toc296503029"/>
      <w:bookmarkEnd w:id="33"/>
      <w:bookmarkStart w:id="34" w:name="_Toc337558729"/>
      <w:bookmarkEnd w:id="34"/>
      <w:r>
        <w:rPr>
          <w:rFonts w:hint="eastAsia" w:ascii="宋体" w:hAnsi="宋体" w:eastAsia="宋体" w:cs="宋体"/>
          <w:b w:val="0"/>
          <w:bCs/>
          <w:color w:val="000000" w:themeColor="text1"/>
          <w:sz w:val="21"/>
          <w:szCs w:val="21"/>
          <w14:textFill>
            <w14:solidFill>
              <w14:schemeClr w14:val="tx1"/>
            </w14:solidFill>
          </w14:textFill>
        </w:rPr>
        <w:t>1.2  语言文字</w:t>
      </w:r>
    </w:p>
    <w:p w14:paraId="3A46DE61">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合同以中国的汉语简体文字编写、解释和说明。合同当事人在专用合同条款中约定使用两种以上语言时，汉语为优先解释和说明合同的语言。</w:t>
      </w:r>
    </w:p>
    <w:p w14:paraId="130D1B3D">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35" w:name="_Toc296346531"/>
      <w:bookmarkEnd w:id="35"/>
      <w:bookmarkStart w:id="36" w:name="_Toc296503030"/>
      <w:bookmarkEnd w:id="36"/>
      <w:bookmarkStart w:id="37" w:name="_Toc337558730"/>
      <w:bookmarkEnd w:id="37"/>
      <w:bookmarkStart w:id="38" w:name="_Toc351203498"/>
      <w:bookmarkEnd w:id="38"/>
      <w:r>
        <w:rPr>
          <w:rFonts w:hint="eastAsia" w:ascii="宋体" w:hAnsi="宋体" w:eastAsia="宋体" w:cs="宋体"/>
          <w:b w:val="0"/>
          <w:bCs/>
          <w:color w:val="000000" w:themeColor="text1"/>
          <w:sz w:val="21"/>
          <w:szCs w:val="21"/>
          <w14:textFill>
            <w14:solidFill>
              <w14:schemeClr w14:val="tx1"/>
            </w14:solidFill>
          </w14:textFill>
        </w:rPr>
        <w:t>1.3  法律</w:t>
      </w:r>
    </w:p>
    <w:p w14:paraId="3ACECE3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合同所称法律是指中华人民共和国法律、行政法规、部门规章，以及工程所在地的地方性法规、自治条例、单行条例和地方政府规章等。</w:t>
      </w:r>
    </w:p>
    <w:p w14:paraId="34DE9AEA">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合同当事人可以在专用合同条款中约定合同适用的其他规范性文件。</w:t>
      </w:r>
    </w:p>
    <w:p w14:paraId="0019498B">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39" w:name="_Toc351203499"/>
      <w:bookmarkEnd w:id="39"/>
      <w:r>
        <w:rPr>
          <w:rFonts w:hint="eastAsia" w:ascii="宋体" w:hAnsi="宋体" w:eastAsia="宋体" w:cs="宋体"/>
          <w:b w:val="0"/>
          <w:bCs/>
          <w:color w:val="000000" w:themeColor="text1"/>
          <w:sz w:val="21"/>
          <w:szCs w:val="21"/>
          <w14:textFill>
            <w14:solidFill>
              <w14:schemeClr w14:val="tx1"/>
            </w14:solidFill>
          </w14:textFill>
        </w:rPr>
        <w:t>1.4  标准和规范</w:t>
      </w:r>
    </w:p>
    <w:p w14:paraId="2D96650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1.4.1  适用于工程的国家标准、行业标准、工程所在地的地方性标准，以及相应的规范、规程等，合同当事人有特别要求的，应在专用合同条款中约定。</w:t>
      </w:r>
    </w:p>
    <w:p w14:paraId="59D56FEA">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1.4.2  发包人要求使用国外标准、规范的，发包人负责提供原文版本和中文译本，并在专用合同条款中约定提供标准规范的名称、份数和时间。</w:t>
      </w:r>
    </w:p>
    <w:p w14:paraId="3BE01D1D">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CAA0004">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0" w:name="_Toc351203500"/>
      <w:bookmarkEnd w:id="40"/>
      <w:r>
        <w:rPr>
          <w:rFonts w:hint="eastAsia" w:ascii="宋体" w:hAnsi="宋体" w:eastAsia="宋体" w:cs="宋体"/>
          <w:b w:val="0"/>
          <w:bCs/>
          <w:color w:val="000000" w:themeColor="text1"/>
          <w:sz w:val="21"/>
          <w:szCs w:val="21"/>
          <w14:textFill>
            <w14:solidFill>
              <w14:schemeClr w14:val="tx1"/>
            </w14:solidFill>
          </w14:textFill>
        </w:rPr>
        <w:t>1.5  合同文件的优先顺序</w:t>
      </w:r>
    </w:p>
    <w:p w14:paraId="261E699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组成合同的各项文件应互相解释，互为说明。除专用合同条款另有约定外，解释合同文件的优先顺序如下：</w:t>
      </w:r>
    </w:p>
    <w:p w14:paraId="6CD617B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（1）合同协议书；</w:t>
      </w:r>
    </w:p>
    <w:p w14:paraId="4E5EA8EE">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（2）中标通知书（如果有）；</w:t>
      </w:r>
    </w:p>
    <w:p w14:paraId="01085468">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（3）投标函及其附录（如果有）；</w:t>
      </w:r>
    </w:p>
    <w:p w14:paraId="2EA3AA2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（4）专用合同条款及其附件；</w:t>
      </w:r>
    </w:p>
    <w:p w14:paraId="09F145E6">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（5）通用合同条款；</w:t>
      </w:r>
    </w:p>
    <w:p w14:paraId="765BC46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（6）技术标准和要求；</w:t>
      </w:r>
    </w:p>
    <w:p w14:paraId="59B5F12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（7）图纸；</w:t>
      </w:r>
    </w:p>
    <w:p w14:paraId="6819DFD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（8）已标价工程量清单或预算书；</w:t>
      </w:r>
    </w:p>
    <w:p w14:paraId="6D27398D">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（9）其他合同文件。</w:t>
      </w:r>
    </w:p>
    <w:p w14:paraId="4671A5F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上述各项合同文件包括合同当事人就该项合同文件所作出的补充和修改，属于同一类内容的文件，应以最新签署的为准。</w:t>
      </w:r>
    </w:p>
    <w:p w14:paraId="31DEE4C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在合同订立及履行过程中形成的与合同有关的文件均构成合同文件组成部分，并根据其性质确定优先解释顺序。</w:t>
      </w:r>
    </w:p>
    <w:p w14:paraId="7F59A5BD">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1" w:name="_Toc351203501"/>
      <w:bookmarkEnd w:id="41"/>
      <w:r>
        <w:rPr>
          <w:rFonts w:hint="eastAsia" w:ascii="宋体" w:hAnsi="宋体" w:eastAsia="宋体" w:cs="宋体"/>
          <w:b w:val="0"/>
          <w:bCs/>
          <w:color w:val="000000" w:themeColor="text1"/>
          <w:sz w:val="21"/>
          <w:szCs w:val="21"/>
          <w14:textFill>
            <w14:solidFill>
              <w14:schemeClr w14:val="tx1"/>
            </w14:solidFill>
          </w14:textFill>
        </w:rPr>
        <w:t>1.6  图纸和承包人文件</w:t>
      </w:r>
    </w:p>
    <w:p w14:paraId="1BAF9131">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1.6.1  图纸的提供和交底</w:t>
      </w:r>
    </w:p>
    <w:p w14:paraId="2B909A98">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05D5DC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因发包人未按合同约定提供图纸导致承包人费用增加和（或）工期延误的，按照第7.5.1项[因发包人原因导致工期延误]约定办理。</w:t>
      </w:r>
    </w:p>
    <w:p w14:paraId="5D43986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1.6.2  图纸的错误</w:t>
      </w:r>
    </w:p>
    <w:p w14:paraId="1D95DD32">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7011AC2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1.6.3  图纸的修改和补充</w:t>
      </w:r>
    </w:p>
    <w:p w14:paraId="357E064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图纸需要修改和补充的，应经图纸原设计人及审批部门同意，并由监理人在工程或工程相应部位施工前将修改后的图纸或补充图纸提交给承包人，承包人应按修改或补充后的图纸施工。</w:t>
      </w:r>
    </w:p>
    <w:p w14:paraId="694EF13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1.6.4  承包人文件</w:t>
      </w:r>
    </w:p>
    <w:p w14:paraId="4893AA4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承包人应按照专用合同条款的约定提供应当由其编制的与工程施工有关的文件，并按照专用合同条款约定的期限、数量和形式提交监理人，并由监理人报送发包人。</w:t>
      </w:r>
    </w:p>
    <w:p w14:paraId="5939A754">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729682AA">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1.6.5  图纸和承包人文件的保管</w:t>
      </w:r>
    </w:p>
    <w:p w14:paraId="59D49B8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除专用合同条款另有约定外，承包人应在施工现场另外保存一套完整的图纸和承包人文件，供发包人、监理人及有关人员进行工程检查时使用。</w:t>
      </w:r>
    </w:p>
    <w:p w14:paraId="3CC4AFB6">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2" w:name="_Toc351203502"/>
      <w:bookmarkEnd w:id="42"/>
      <w:r>
        <w:rPr>
          <w:rFonts w:hint="eastAsia" w:ascii="宋体" w:hAnsi="宋体" w:eastAsia="宋体" w:cs="宋体"/>
          <w:b w:val="0"/>
          <w:bCs/>
          <w:color w:val="000000" w:themeColor="text1"/>
          <w:sz w:val="21"/>
          <w:szCs w:val="21"/>
          <w14:textFill>
            <w14:solidFill>
              <w14:schemeClr w14:val="tx1"/>
            </w14:solidFill>
          </w14:textFill>
        </w:rPr>
        <w:t>1.7  联络</w:t>
      </w:r>
    </w:p>
    <w:p w14:paraId="5E1BF04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1.7.1  与合同有关的通知、批准、证明、证书、指示、指令、要求、请求、同意、意见、确定和决定等，均应采用书面形式，并应在合同约定的期限内送达接收人和送达地点。</w:t>
      </w:r>
    </w:p>
    <w:p w14:paraId="7F0DCDD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1.7.2  发包人和承包人应在专用合同条款中约定各自的送达接收人和送达地点。任何一方合同当事人指定的接收人或送达地点发生变动的，应提前3天以书面形式通知对方。</w:t>
      </w:r>
    </w:p>
    <w:p w14:paraId="296581A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1.7.3  发包人和承包人应当及时签收另一方送达至送达地点和指定接收人的来往信函。拒不签收的，由此增加的费用和（或）延误的工期由拒绝接收一方承担。</w:t>
      </w:r>
    </w:p>
    <w:p w14:paraId="63619D80">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3" w:name="_Toc351203503"/>
      <w:bookmarkEnd w:id="43"/>
      <w:r>
        <w:rPr>
          <w:rFonts w:hint="eastAsia" w:ascii="宋体" w:hAnsi="宋体" w:eastAsia="宋体" w:cs="宋体"/>
          <w:b w:val="0"/>
          <w:bCs/>
          <w:color w:val="000000" w:themeColor="text1"/>
          <w:sz w:val="21"/>
          <w:szCs w:val="21"/>
          <w14:textFill>
            <w14:solidFill>
              <w14:schemeClr w14:val="tx1"/>
            </w14:solidFill>
          </w14:textFill>
        </w:rPr>
        <w:t>1.8  严禁贿赂</w:t>
      </w:r>
    </w:p>
    <w:p w14:paraId="5464460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合同当事人不得以贿赂或变相贿赂的方式，谋取非法利益或损害对方权益。因一方合同当事人的贿赂造成对方损失的，应赔偿损失，并承担相应的法律责任。</w:t>
      </w:r>
    </w:p>
    <w:p w14:paraId="6B963999">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承包人不得与监理人或发包人聘请的第三方串通损害发包人利益。未经发包人书面同意，承包人不得为监理人提供合同约定以外的通信设备、交通工具及其他任何形式的利益，不得向监理人支付报酬。</w:t>
      </w:r>
    </w:p>
    <w:p w14:paraId="4244F5E0">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4" w:name="_Toc351203504"/>
      <w:bookmarkEnd w:id="44"/>
      <w:r>
        <w:rPr>
          <w:rFonts w:hint="eastAsia" w:ascii="宋体" w:hAnsi="宋体" w:eastAsia="宋体" w:cs="宋体"/>
          <w:b w:val="0"/>
          <w:bCs/>
          <w:color w:val="000000" w:themeColor="text1"/>
          <w:sz w:val="21"/>
          <w:szCs w:val="21"/>
          <w14:textFill>
            <w14:solidFill>
              <w14:schemeClr w14:val="tx1"/>
            </w14:solidFill>
          </w14:textFill>
        </w:rPr>
        <w:t>1.9  化石、文物</w:t>
      </w:r>
    </w:p>
    <w:p w14:paraId="3D29432A">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486DE8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发包人、监理人和承包人应按有关政府行政管理部门要求采取妥善的保护措施，由此增加的费用和（或）延误的工期由发包人承担。</w:t>
      </w:r>
    </w:p>
    <w:p w14:paraId="3423460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承包人发现文物后不及时报告或隐瞒不报，致使文物丢失或损坏的，应赔偿损失，并承担相应的法律责任。</w:t>
      </w:r>
    </w:p>
    <w:p w14:paraId="65E32F0D">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5" w:name="_Toc351203505"/>
      <w:bookmarkEnd w:id="45"/>
      <w:r>
        <w:rPr>
          <w:rFonts w:hint="eastAsia" w:ascii="宋体" w:hAnsi="宋体" w:eastAsia="宋体" w:cs="宋体"/>
          <w:b w:val="0"/>
          <w:bCs/>
          <w:color w:val="000000" w:themeColor="text1"/>
          <w:sz w:val="21"/>
          <w:szCs w:val="21"/>
          <w14:textFill>
            <w14:solidFill>
              <w14:schemeClr w14:val="tx1"/>
            </w14:solidFill>
          </w14:textFill>
        </w:rPr>
        <w:t>1.10  交通运输</w:t>
      </w:r>
    </w:p>
    <w:p w14:paraId="3EDB4BA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1.10.1  出入现场的权利</w:t>
      </w:r>
    </w:p>
    <w:p w14:paraId="149D9423">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5DEE517">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承包人应在订立合同前查勘施工现场，并根据工程规模及技术参数合理预见工程施工所需的进出施工现场的方式、手段、路径等。因承包人未合理预见所增加的费用和（或）延误的工期由承包人承担。</w:t>
      </w:r>
    </w:p>
    <w:p w14:paraId="401925E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1.10.2  场外交通</w:t>
      </w:r>
    </w:p>
    <w:p w14:paraId="55DC52D1">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AF38F5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1.10.3  场内交通</w:t>
      </w:r>
    </w:p>
    <w:p w14:paraId="37BB97A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BDAC34B">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03DA62C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场外交通和场内交通的边界由合同当事人在专用合同条款中约定。</w:t>
      </w:r>
    </w:p>
    <w:p w14:paraId="28F62EFD">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1.10.4  超大件和超重件的运输</w:t>
      </w:r>
    </w:p>
    <w:p w14:paraId="21184685">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84D465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1.10.5  道路和桥梁的损坏责任</w:t>
      </w:r>
    </w:p>
    <w:p w14:paraId="5FC9655F">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因承包人运输造成施工场地内外公共道路和桥梁损坏的，由承包人承担修复损坏的全部费用和可能引起的赔偿。</w:t>
      </w:r>
    </w:p>
    <w:p w14:paraId="3A94A8FC">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1.10.6  水路和航空运输</w:t>
      </w:r>
    </w:p>
    <w:p w14:paraId="63E15692">
      <w:pPr>
        <w:keepLines/>
        <w:pageBreakBefore w:val="0"/>
        <w:kinsoku/>
        <w:wordWrap w:val="0"/>
        <w:overflowPunct/>
        <w:bidi w:val="0"/>
        <w:spacing w:line="41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本款前述各项的内容适用于水路运输和航空运输，其中“道路”一词的涵义包括河道、航线、船闸、机场、码头、堤防以及水路或航空运输中其他相似结构物；“车辆”一词的涵义包括船舶和飞机等。</w:t>
      </w:r>
    </w:p>
    <w:p w14:paraId="4EAA65BC">
      <w:pPr>
        <w:pStyle w:val="39"/>
        <w:keepLines/>
        <w:pageBreakBefore w:val="0"/>
        <w:kinsoku/>
        <w:wordWrap w:val="0"/>
        <w:overflowPunct/>
        <w:bidi w:val="0"/>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6" w:name="_Toc337558737"/>
      <w:bookmarkEnd w:id="46"/>
      <w:bookmarkStart w:id="47" w:name="_Toc351203506"/>
      <w:bookmarkEnd w:id="47"/>
      <w:r>
        <w:rPr>
          <w:rFonts w:hint="eastAsia" w:ascii="宋体" w:hAnsi="宋体" w:eastAsia="宋体" w:cs="宋体"/>
          <w:b w:val="0"/>
          <w:bCs/>
          <w:color w:val="000000" w:themeColor="text1"/>
          <w:sz w:val="21"/>
          <w:szCs w:val="21"/>
          <w14:textFill>
            <w14:solidFill>
              <w14:schemeClr w14:val="tx1"/>
            </w14:solidFill>
          </w14:textFill>
        </w:rPr>
        <w:t xml:space="preserve">1.11  知识产权 </w:t>
      </w:r>
    </w:p>
    <w:p w14:paraId="7A23C138">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C4E44E4">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2E34E212">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1B6C4BE7">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1.11.4  除专用合同条款另有约定外，承包人在合同签订前和签订时已确定采用的专利、专有技术、技术秘密的使用费已包含在签约合同价中。</w:t>
      </w:r>
    </w:p>
    <w:p w14:paraId="37A9927C">
      <w:pPr>
        <w:pStyle w:val="39"/>
        <w:keepLines/>
        <w:pageBreakBefore w:val="0"/>
        <w:kinsoku/>
        <w:wordWrap w:val="0"/>
        <w:overflowPunct/>
        <w:bidi w:val="0"/>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8" w:name="_Toc351203507"/>
      <w:bookmarkEnd w:id="48"/>
      <w:r>
        <w:rPr>
          <w:rFonts w:hint="eastAsia" w:ascii="宋体" w:hAnsi="宋体" w:eastAsia="宋体" w:cs="宋体"/>
          <w:b w:val="0"/>
          <w:bCs/>
          <w:color w:val="000000" w:themeColor="text1"/>
          <w:sz w:val="21"/>
          <w:szCs w:val="21"/>
          <w14:textFill>
            <w14:solidFill>
              <w14:schemeClr w14:val="tx1"/>
            </w14:solidFill>
          </w14:textFill>
        </w:rPr>
        <w:t>1.12  保密</w:t>
      </w:r>
    </w:p>
    <w:p w14:paraId="3E918278">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除法律规定或合同另有约定外，未经发包人同意，承包人不得将发包人提供的图纸、文件以及声明需要保密的资料信息等商业秘密泄露给第三方。</w:t>
      </w:r>
    </w:p>
    <w:p w14:paraId="241FE8DB">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除法律规定或合同另有约定外，未经承包人同意，发包人不得将承包人提供的技术秘密及声明需要保密的资料信息等商业秘密泄露给第三方。</w:t>
      </w:r>
    </w:p>
    <w:p w14:paraId="5796F654">
      <w:pPr>
        <w:pStyle w:val="39"/>
        <w:keepLines/>
        <w:pageBreakBefore w:val="0"/>
        <w:kinsoku/>
        <w:wordWrap w:val="0"/>
        <w:overflowPunct/>
        <w:bidi w:val="0"/>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49" w:name="_Toc351203508"/>
      <w:bookmarkEnd w:id="49"/>
      <w:r>
        <w:rPr>
          <w:rFonts w:hint="eastAsia" w:ascii="宋体" w:hAnsi="宋体" w:eastAsia="宋体" w:cs="宋体"/>
          <w:b w:val="0"/>
          <w:bCs/>
          <w:color w:val="000000" w:themeColor="text1"/>
          <w:sz w:val="21"/>
          <w:szCs w:val="21"/>
          <w14:textFill>
            <w14:solidFill>
              <w14:schemeClr w14:val="tx1"/>
            </w14:solidFill>
          </w14:textFill>
        </w:rPr>
        <w:t>1.13  工程量清单错误的修正</w:t>
      </w:r>
    </w:p>
    <w:p w14:paraId="7F1E8900">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除专用合同条款另有约定外，发包人提供的工程量清单，应被认为是准确的和完整的。出现下列情形之一时，发包人应予以修正，并相应调整合同价格：</w:t>
      </w:r>
    </w:p>
    <w:p w14:paraId="02B49A45">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（1）工程量清单存在缺项、漏项的；</w:t>
      </w:r>
    </w:p>
    <w:p w14:paraId="6ACF7B93">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（2）工程量清单偏差超出专用合同条款约定的工程量偏差范围的；</w:t>
      </w:r>
    </w:p>
    <w:p w14:paraId="61F4C0FF">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14:textFill>
            <w14:solidFill>
              <w14:schemeClr w14:val="tx1"/>
            </w14:solidFill>
          </w14:textFill>
        </w:rPr>
      </w:pPr>
      <w:r>
        <w:rPr>
          <w:rFonts w:hint="eastAsia" w:ascii="宋体" w:hAnsi="宋体" w:eastAsia="宋体" w:cs="宋体"/>
          <w:b w:val="0"/>
          <w:bCs/>
          <w:color w:val="000000" w:themeColor="text1"/>
          <w14:textFill>
            <w14:solidFill>
              <w14:schemeClr w14:val="tx1"/>
            </w14:solidFill>
          </w14:textFill>
        </w:rPr>
        <w:t>（3）未按照国家现行计量规范强制性规定计量的。</w:t>
      </w:r>
    </w:p>
    <w:p w14:paraId="799D7B29">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50" w:name="_Toc351203509"/>
      <w:bookmarkEnd w:id="50"/>
      <w:r>
        <w:rPr>
          <w:rFonts w:hint="eastAsia" w:ascii="宋体" w:hAnsi="宋体" w:eastAsia="宋体" w:cs="宋体"/>
          <w:b w:val="0"/>
          <w:bCs/>
          <w:color w:val="000000" w:themeColor="text1"/>
          <w14:textFill>
            <w14:solidFill>
              <w14:schemeClr w14:val="tx1"/>
            </w14:solidFill>
          </w14:textFill>
        </w:rPr>
        <w:t>2、发包人</w:t>
      </w:r>
    </w:p>
    <w:p w14:paraId="02CBBBB5">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51" w:name="_Toc351203510"/>
      <w:bookmarkEnd w:id="51"/>
      <w:bookmarkStart w:id="52" w:name="_Toc337558740"/>
      <w:bookmarkStart w:id="53" w:name="_Toc296346540"/>
      <w:bookmarkStart w:id="54" w:name="_Toc296503039"/>
      <w:r>
        <w:rPr>
          <w:rFonts w:hint="eastAsia" w:ascii="宋体" w:hAnsi="宋体" w:eastAsia="宋体" w:cs="宋体"/>
          <w:b w:val="0"/>
          <w:bCs/>
          <w:color w:val="000000" w:themeColor="text1"/>
          <w:sz w:val="21"/>
          <w:szCs w:val="21"/>
          <w14:textFill>
            <w14:solidFill>
              <w14:schemeClr w14:val="tx1"/>
            </w14:solidFill>
          </w14:textFill>
        </w:rPr>
        <w:t>2.1  许可或批准</w:t>
      </w:r>
    </w:p>
    <w:p w14:paraId="15FD517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7D16C95">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因发包人原因未能及时办理完毕前述许可、批准或备案，由发包人承担由此增加的费用和（或）延误的工期，并支付承包人合理的利润。</w:t>
      </w:r>
    </w:p>
    <w:p w14:paraId="3A3682CE">
      <w:pPr>
        <w:pStyle w:val="39"/>
        <w:keepLines/>
        <w:pageBreakBefore w:val="0"/>
        <w:kinsoku/>
        <w:wordWrap w:val="0"/>
        <w:overflowPunct/>
        <w:bidi w:val="0"/>
        <w:spacing w:line="408"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55" w:name="_Toc351203511"/>
      <w:bookmarkEnd w:id="55"/>
      <w:r>
        <w:rPr>
          <w:rFonts w:hint="eastAsia" w:ascii="宋体" w:hAnsi="宋体" w:eastAsia="宋体" w:cs="宋体"/>
          <w:b w:val="0"/>
          <w:bCs/>
          <w:color w:val="000000" w:themeColor="text1"/>
          <w:sz w:val="21"/>
          <w:szCs w:val="21"/>
          <w14:textFill>
            <w14:solidFill>
              <w14:schemeClr w14:val="tx1"/>
            </w14:solidFill>
          </w14:textFill>
        </w:rPr>
        <w:t>2.2  发包人代表</w:t>
      </w:r>
    </w:p>
    <w:p w14:paraId="57F649A1">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D5BB1B1">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发包人代表不能按照合同约定履行其职责及义务，并导致合同无法继续正常履行的，承包人可以要求发包人撤换发包人代表。</w:t>
      </w:r>
    </w:p>
    <w:p w14:paraId="7D315AD2">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不属于法定必须监理的工程，监理人的职权可以由发包人代表或发包人指定的其他人员行使。</w:t>
      </w:r>
    </w:p>
    <w:p w14:paraId="3B8219E6">
      <w:pPr>
        <w:pStyle w:val="39"/>
        <w:keepLines/>
        <w:pageBreakBefore w:val="0"/>
        <w:kinsoku/>
        <w:wordWrap w:val="0"/>
        <w:overflowPunct/>
        <w:bidi w:val="0"/>
        <w:spacing w:line="408"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56" w:name="_Toc351203512"/>
      <w:bookmarkEnd w:id="56"/>
      <w:r>
        <w:rPr>
          <w:rFonts w:hint="eastAsia" w:ascii="宋体" w:hAnsi="宋体" w:eastAsia="宋体" w:cs="宋体"/>
          <w:b w:val="0"/>
          <w:bCs/>
          <w:color w:val="000000" w:themeColor="text1"/>
          <w:sz w:val="21"/>
          <w:szCs w:val="21"/>
          <w14:textFill>
            <w14:solidFill>
              <w14:schemeClr w14:val="tx1"/>
            </w14:solidFill>
          </w14:textFill>
        </w:rPr>
        <w:t>2.3  发包人人员</w:t>
      </w:r>
    </w:p>
    <w:p w14:paraId="50759956">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发包人应要求在施工现场的发包人人员遵守法律及有关安全、质量、环境保护、文明施工等规定，并保障承包人免于承受因发包人人员未遵守上述要求给承包人造成的损失和责任。</w:t>
      </w:r>
    </w:p>
    <w:bookmarkEnd w:id="52"/>
    <w:bookmarkEnd w:id="53"/>
    <w:bookmarkEnd w:id="54"/>
    <w:p w14:paraId="42FA9BB8">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发包人人员包括发包人代表及其他由发包人派驻施工现场的人员。</w:t>
      </w:r>
    </w:p>
    <w:p w14:paraId="4484293D">
      <w:pPr>
        <w:pStyle w:val="39"/>
        <w:keepLines/>
        <w:pageBreakBefore w:val="0"/>
        <w:kinsoku/>
        <w:wordWrap w:val="0"/>
        <w:overflowPunct/>
        <w:bidi w:val="0"/>
        <w:spacing w:line="408"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57" w:name="_Toc296346541"/>
      <w:bookmarkEnd w:id="57"/>
      <w:bookmarkStart w:id="58" w:name="_Toc351203513"/>
      <w:bookmarkEnd w:id="58"/>
      <w:bookmarkStart w:id="59" w:name="_Toc296503040"/>
      <w:bookmarkEnd w:id="59"/>
      <w:bookmarkStart w:id="60" w:name="_Toc337558741"/>
      <w:bookmarkEnd w:id="60"/>
      <w:r>
        <w:rPr>
          <w:rFonts w:hint="eastAsia" w:ascii="宋体" w:hAnsi="宋体" w:eastAsia="宋体" w:cs="宋体"/>
          <w:b w:val="0"/>
          <w:bCs/>
          <w:color w:val="000000" w:themeColor="text1"/>
          <w:sz w:val="21"/>
          <w:szCs w:val="21"/>
          <w14:textFill>
            <w14:solidFill>
              <w14:schemeClr w14:val="tx1"/>
            </w14:solidFill>
          </w14:textFill>
        </w:rPr>
        <w:t xml:space="preserve">2.4  施工现场、施工条件和基础资料的提供  </w:t>
      </w:r>
    </w:p>
    <w:p w14:paraId="76D4AFA2">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2.4.1  提供施工现场</w:t>
      </w:r>
    </w:p>
    <w:p w14:paraId="2C0B3E4B">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除专用合同条款另有约定外，发包人应最迟于开工日期7天前向承包人移交施工现场。</w:t>
      </w:r>
    </w:p>
    <w:p w14:paraId="037FABEE">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2.4.2  提供施工条件</w:t>
      </w:r>
    </w:p>
    <w:p w14:paraId="2308637D">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除专用合同条款另有约定外，发包人应负责提供施工所需要的条件，包括：</w:t>
      </w:r>
    </w:p>
    <w:p w14:paraId="2E3ACE51">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（1）将施工用水、电力、通信线路等施工所必需的条件接至施工现场内；</w:t>
      </w:r>
    </w:p>
    <w:p w14:paraId="33566A70">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（2）保证向承包人提供正常施工所需要的进入施工现场的交通条件；</w:t>
      </w:r>
    </w:p>
    <w:p w14:paraId="61943787">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（3）协调处理施工现场周围地下管线和邻近建筑物、构筑物、古树名木的保护工作，并承担相关费用；</w:t>
      </w:r>
    </w:p>
    <w:p w14:paraId="76ABCC47">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（4）按照专用合同条款约定应提供的其他设施和条件。</w:t>
      </w:r>
    </w:p>
    <w:p w14:paraId="1362CA0A">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2.4.3  提供基础资料</w:t>
      </w:r>
    </w:p>
    <w:p w14:paraId="3F1265C1">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3F566CC">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按照法律规定确需在开工后方能提供的基础资料，发包人应尽其努力及时地在相应工程施工前的合理期限内提供，合理期限应以不影响承包人的正常施工为限。</w:t>
      </w:r>
    </w:p>
    <w:p w14:paraId="1673058B">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2.4.4  逾期提供的责任</w:t>
      </w:r>
    </w:p>
    <w:p w14:paraId="140952C0">
      <w:pPr>
        <w:keepLines/>
        <w:pageBreakBefore w:val="0"/>
        <w:kinsoku/>
        <w:wordWrap w:val="0"/>
        <w:overflowPunct/>
        <w:bidi w:val="0"/>
        <w:spacing w:line="408"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因发包人原因未能按合同约定及时向承包人提供施工现场、施工条件、基础资料的，由发包人承担由此增加的费用和（或）延误的工期。</w:t>
      </w:r>
    </w:p>
    <w:p w14:paraId="4235A75A">
      <w:pPr>
        <w:pStyle w:val="39"/>
        <w:keepLines/>
        <w:pageBreakBefore w:val="0"/>
        <w:kinsoku/>
        <w:wordWrap w:val="0"/>
        <w:overflowPunct/>
        <w:bidi w:val="0"/>
        <w:spacing w:line="408"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61" w:name="_Toc337558745"/>
      <w:bookmarkEnd w:id="61"/>
      <w:bookmarkStart w:id="62" w:name="_Toc351203514"/>
      <w:bookmarkEnd w:id="62"/>
      <w:bookmarkStart w:id="63" w:name="_Toc296503042"/>
      <w:bookmarkEnd w:id="63"/>
      <w:bookmarkStart w:id="64" w:name="_Toc296346543"/>
      <w:bookmarkEnd w:id="64"/>
      <w:r>
        <w:rPr>
          <w:rFonts w:hint="eastAsia" w:ascii="宋体" w:hAnsi="宋体" w:eastAsia="宋体" w:cs="宋体"/>
          <w:b w:val="0"/>
          <w:bCs/>
          <w:color w:val="000000" w:themeColor="text1"/>
          <w:sz w:val="21"/>
          <w:szCs w:val="21"/>
          <w14:textFill>
            <w14:solidFill>
              <w14:schemeClr w14:val="tx1"/>
            </w14:solidFill>
          </w14:textFill>
        </w:rPr>
        <w:t>2.5  资金来源证明及支付担保</w:t>
      </w:r>
    </w:p>
    <w:p w14:paraId="429A46A4">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除专用合同条款另有约定外，发包人应在收到承包人要求提供资金来源证明的书面通知后28天内，向承包人提供能够按照合同约定支付合同价款的相应资金来源证明。</w:t>
      </w:r>
    </w:p>
    <w:p w14:paraId="7E8F99F2">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除专用合同条款另有约定外，发包人要求承包人提供履约担保的，发包人应当向承包人提供支付担保。支付担保可以采用银行保函或担保公司担保等形式，具体由合同当事人在专用合同条款中约定。</w:t>
      </w:r>
    </w:p>
    <w:p w14:paraId="3E9D4443">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65" w:name="_Toc351203515"/>
      <w:bookmarkEnd w:id="65"/>
      <w:r>
        <w:rPr>
          <w:rFonts w:hint="eastAsia" w:ascii="宋体" w:hAnsi="宋体" w:eastAsia="宋体" w:cs="宋体"/>
          <w:b w:val="0"/>
          <w:bCs/>
          <w:color w:val="000000" w:themeColor="text1"/>
          <w:sz w:val="21"/>
          <w:szCs w:val="21"/>
          <w14:textFill>
            <w14:solidFill>
              <w14:schemeClr w14:val="tx1"/>
            </w14:solidFill>
          </w14:textFill>
        </w:rPr>
        <w:t>2.6  支付合同价款</w:t>
      </w:r>
    </w:p>
    <w:p w14:paraId="789FB259">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发包人应按合同约定向承包人及时支付合同价款。</w:t>
      </w:r>
    </w:p>
    <w:p w14:paraId="48DE83DA">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66" w:name="_Toc351203516"/>
      <w:bookmarkEnd w:id="66"/>
      <w:r>
        <w:rPr>
          <w:rFonts w:hint="eastAsia" w:ascii="宋体" w:hAnsi="宋体" w:eastAsia="宋体" w:cs="宋体"/>
          <w:b w:val="0"/>
          <w:bCs/>
          <w:color w:val="000000" w:themeColor="text1"/>
          <w:sz w:val="21"/>
          <w:szCs w:val="21"/>
          <w14:textFill>
            <w14:solidFill>
              <w14:schemeClr w14:val="tx1"/>
            </w14:solidFill>
          </w14:textFill>
        </w:rPr>
        <w:t>2.7  组织竣工验收</w:t>
      </w:r>
    </w:p>
    <w:p w14:paraId="35C7F58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发包人应按合同约定及时组织竣工验收。</w:t>
      </w:r>
    </w:p>
    <w:p w14:paraId="28414E24">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67" w:name="_Toc351203517"/>
      <w:bookmarkEnd w:id="67"/>
      <w:r>
        <w:rPr>
          <w:rFonts w:hint="eastAsia" w:ascii="宋体" w:hAnsi="宋体" w:eastAsia="宋体" w:cs="宋体"/>
          <w:b w:val="0"/>
          <w:bCs/>
          <w:color w:val="000000" w:themeColor="text1"/>
          <w:sz w:val="21"/>
          <w:szCs w:val="21"/>
          <w14:textFill>
            <w14:solidFill>
              <w14:schemeClr w14:val="tx1"/>
            </w14:solidFill>
          </w14:textFill>
        </w:rPr>
        <w:t>2.8  现场统一管理协议</w:t>
      </w:r>
    </w:p>
    <w:p w14:paraId="327C797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发包人应与承包人、由发包人直接发包的专业工程的承包人签订施工现场统一管理协议，明确各方的权利义务。施工现场统一管理协议作为专用合同条款的附件。</w:t>
      </w:r>
    </w:p>
    <w:p w14:paraId="6644F9B0">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68" w:name="_Toc351203518"/>
      <w:bookmarkEnd w:id="68"/>
      <w:r>
        <w:rPr>
          <w:rFonts w:hint="eastAsia" w:ascii="宋体" w:hAnsi="宋体" w:eastAsia="宋体" w:cs="宋体"/>
          <w:b w:val="0"/>
          <w:bCs/>
          <w:color w:val="000000" w:themeColor="text1"/>
          <w14:textFill>
            <w14:solidFill>
              <w14:schemeClr w14:val="tx1"/>
            </w14:solidFill>
          </w14:textFill>
        </w:rPr>
        <w:t>3、承包人</w:t>
      </w:r>
    </w:p>
    <w:p w14:paraId="09738025">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69" w:name="_Toc351203519"/>
      <w:bookmarkEnd w:id="69"/>
      <w:r>
        <w:rPr>
          <w:rFonts w:hint="eastAsia" w:ascii="宋体" w:hAnsi="宋体" w:eastAsia="宋体" w:cs="宋体"/>
          <w:b w:val="0"/>
          <w:bCs/>
          <w:color w:val="000000" w:themeColor="text1"/>
          <w:sz w:val="21"/>
          <w:szCs w:val="21"/>
          <w14:textFill>
            <w14:solidFill>
              <w14:schemeClr w14:val="tx1"/>
            </w14:solidFill>
          </w14:textFill>
        </w:rPr>
        <w:t>3.1  承包人的一般义务</w:t>
      </w:r>
    </w:p>
    <w:p w14:paraId="7F387A0C">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承包人在履行合同过程中应遵守法律和工程建设标准规范，并履行以下义务：</w:t>
      </w:r>
    </w:p>
    <w:p w14:paraId="25C6021C">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（1）办理法律规定应由承包人办理的许可和批准，并将办理结果书面报送发包人留存；</w:t>
      </w:r>
    </w:p>
    <w:p w14:paraId="564FF1EB">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（2）按法律规定和合同约定完成工程，并在保修期内承担保修义务；</w:t>
      </w:r>
    </w:p>
    <w:p w14:paraId="35B8FEE8">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（3）按法律规定和合同约定采取施工安全和环境保护措施，办理工伤保险，确保工程及人员、材料、设备和设施的安全；</w:t>
      </w:r>
    </w:p>
    <w:p w14:paraId="2A8CF2E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（4）按合同约定的工作内容和施工进度要求，编制施工组织设计和施工措施计划，并对所有施工作业和施工方法的完备性和安全可靠性负责；</w:t>
      </w:r>
    </w:p>
    <w:p w14:paraId="2870F714">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FEFB5BE">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（6）按照第6.3款[环境保护]约定负责施工场地及其周边环境与生态的保护工作；</w:t>
      </w:r>
    </w:p>
    <w:p w14:paraId="154C4F58">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（7）按第6.1款[安全文明施工]约定采取施工安全措施，确保工程及其人员、材料、设备和设施的安全，防止因工程施工造成的人身伤害和财产损失；</w:t>
      </w:r>
    </w:p>
    <w:p w14:paraId="1832D9A5">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（8）将发包人按合同约定支付的各项价款专用于合同工程，且应及时支付其雇用人员工资，并及时向分包人支付合同价款；</w:t>
      </w:r>
    </w:p>
    <w:p w14:paraId="5DD61A92">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（9）按照法律规定和合同约定编制竣工资料，完成竣工资料立卷及归档，并按专用合同条款约定的竣工资料的套数、内容、时间等要求移交发包人；</w:t>
      </w:r>
    </w:p>
    <w:p w14:paraId="28F33236">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（10）应履行的其他义务。</w:t>
      </w:r>
    </w:p>
    <w:p w14:paraId="04E15F2E">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70" w:name="_Toc351203520"/>
      <w:bookmarkEnd w:id="70"/>
      <w:r>
        <w:rPr>
          <w:rFonts w:hint="eastAsia" w:ascii="宋体" w:hAnsi="宋体" w:eastAsia="宋体" w:cs="宋体"/>
          <w:b w:val="0"/>
          <w:bCs/>
          <w:color w:val="000000" w:themeColor="text1"/>
          <w:sz w:val="21"/>
          <w:szCs w:val="21"/>
          <w14:textFill>
            <w14:solidFill>
              <w14:schemeClr w14:val="tx1"/>
            </w14:solidFill>
          </w14:textFill>
        </w:rPr>
        <w:t>3.2  项目经理</w:t>
      </w:r>
    </w:p>
    <w:p w14:paraId="2522AA3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4E91E62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3FD6EC91">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承包人违反上述约定的，应按照专用合同条款的约定，承担违约责任。</w:t>
      </w:r>
    </w:p>
    <w:p w14:paraId="4EE84243">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36EDD01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7BA5A6C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D1D212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3.2.5  项目经理因特殊情况授权其下属人员履行其某项工作职责的，该下属人员应具备履行相应职责的能力，并应提前7天将上述人员的姓名和授权范围书面通知监理人，并征得发包人书面同意。</w:t>
      </w:r>
    </w:p>
    <w:p w14:paraId="7662A7EB">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71" w:name="_Toc296503048"/>
      <w:bookmarkEnd w:id="71"/>
      <w:bookmarkStart w:id="72" w:name="_Toc351203521"/>
      <w:bookmarkEnd w:id="72"/>
      <w:bookmarkStart w:id="73" w:name="_Toc296346549"/>
      <w:bookmarkEnd w:id="73"/>
      <w:r>
        <w:rPr>
          <w:rFonts w:hint="eastAsia" w:ascii="宋体" w:hAnsi="宋体" w:eastAsia="宋体" w:cs="宋体"/>
          <w:b w:val="0"/>
          <w:bCs/>
          <w:color w:val="000000" w:themeColor="text1"/>
          <w:sz w:val="21"/>
          <w:szCs w:val="21"/>
          <w14:textFill>
            <w14:solidFill>
              <w14:schemeClr w14:val="tx1"/>
            </w14:solidFill>
          </w14:textFill>
        </w:rPr>
        <w:t>3.3  承包人人员</w:t>
      </w:r>
    </w:p>
    <w:p w14:paraId="2707B42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53E5E16">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404F4C29">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特殊工种作业人员均应持有相应的资格证明，监理人可以随时检查。</w:t>
      </w:r>
    </w:p>
    <w:p w14:paraId="67B079E4">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4083D06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6BC1E7EB">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3.3.5  承包人擅自更换主要施工管理人员，或前述人员未经监理人或发包人同意擅自离开施工现场的，应按照专用合同条款约定承担违约责任。</w:t>
      </w:r>
    </w:p>
    <w:p w14:paraId="60BD0752">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74" w:name="_Toc351203522"/>
      <w:bookmarkEnd w:id="74"/>
      <w:r>
        <w:rPr>
          <w:rFonts w:hint="eastAsia" w:ascii="宋体" w:hAnsi="宋体" w:eastAsia="宋体" w:cs="宋体"/>
          <w:b w:val="0"/>
          <w:bCs/>
          <w:color w:val="000000" w:themeColor="text1"/>
          <w:sz w:val="21"/>
          <w:szCs w:val="21"/>
          <w14:textFill>
            <w14:solidFill>
              <w14:schemeClr w14:val="tx1"/>
            </w14:solidFill>
          </w14:textFill>
        </w:rPr>
        <w:t>3.4  承包人现场查勘</w:t>
      </w:r>
    </w:p>
    <w:p w14:paraId="0DCE23BF">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承包人应对基于发包人按照第2.4.3项[提供基础资料]提交的基础资料所做出的解释和推断负责，但因基础资料存在错误、遗漏导致承包人解释或推断失实的，由发包人承担责任。</w:t>
      </w:r>
    </w:p>
    <w:p w14:paraId="60B945F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1435CF8A">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75" w:name="_Toc351203523"/>
      <w:bookmarkEnd w:id="75"/>
      <w:r>
        <w:rPr>
          <w:rFonts w:hint="eastAsia" w:ascii="宋体" w:hAnsi="宋体" w:eastAsia="宋体" w:cs="宋体"/>
          <w:b w:val="0"/>
          <w:bCs/>
          <w:color w:val="000000" w:themeColor="text1"/>
          <w:sz w:val="21"/>
          <w:szCs w:val="21"/>
          <w14:textFill>
            <w14:solidFill>
              <w14:schemeClr w14:val="tx1"/>
            </w14:solidFill>
          </w14:textFill>
        </w:rPr>
        <w:t>3.5  分包</w:t>
      </w:r>
    </w:p>
    <w:p w14:paraId="0C332F7D">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3.5.1  分包的一般约定</w:t>
      </w:r>
    </w:p>
    <w:p w14:paraId="19498F0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6C6DD2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承包人不得以劳务分包的名义转包或违法分包工程。</w:t>
      </w:r>
    </w:p>
    <w:p w14:paraId="1BE15C8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3.5.2  分包的确定</w:t>
      </w:r>
    </w:p>
    <w:p w14:paraId="42E716D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3DC9A2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3.5.3  分包管理</w:t>
      </w:r>
    </w:p>
    <w:p w14:paraId="05C05AC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承包人应向监理人提交分包人的主要施工管理人员表，并对分包人的施工人员进行实名制管理，包括但不限于进出场管理、登记造册以及各种证照的办理。</w:t>
      </w:r>
    </w:p>
    <w:p w14:paraId="4857B68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3.5.4  分包合同价款</w:t>
      </w:r>
    </w:p>
    <w:p w14:paraId="6E25B3B4">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（1）除本项第（2）目约定的情况或专用合同条款另有约定外，分包合同价款由承包人与分包人结算，未经承包人同意，发包人不得向分包人支付分包工程价款；</w:t>
      </w:r>
    </w:p>
    <w:p w14:paraId="4CCA694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（2）生效法律文书要求发包人向分包人支付分包合同价款的，发包人有权从应付承包人工程款中扣除该部分款项。</w:t>
      </w:r>
    </w:p>
    <w:p w14:paraId="72703BC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3.5.5  分包合同权益的转让</w:t>
      </w:r>
    </w:p>
    <w:p w14:paraId="133C152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bookmarkStart w:id="76" w:name="_Toc351203524"/>
      <w:r>
        <w:rPr>
          <w:rFonts w:hint="eastAsia" w:ascii="宋体" w:hAnsi="宋体" w:eastAsia="宋体" w:cs="宋体"/>
          <w:b w:val="0"/>
          <w:bCs/>
          <w:color w:val="000000" w:themeColor="text1"/>
          <w:spacing w:val="-3"/>
          <w14:textFill>
            <w14:solidFill>
              <w14:schemeClr w14:val="tx1"/>
            </w14:solidFill>
          </w14:textFill>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bookmarkEnd w:id="76"/>
    <w:p w14:paraId="53C30B0D">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3.6  工程照管与成品、半成品保护</w:t>
      </w:r>
    </w:p>
    <w:p w14:paraId="4B59F5DC">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（1）除专用合同条款另有约定外，自发包人向承包人移交施工现场之日起，承包人应负责照管工程及工程相关的材料、工程设备，直到颁发工程接收证书之日止。</w:t>
      </w:r>
    </w:p>
    <w:p w14:paraId="198AF311">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（2）在承包人负责照管期间，因承包人原因造成工程、材料、工程设备损坏的，由承包人负责修复或更换，并承担由此增加的费用和（或）延误的工期。</w:t>
      </w:r>
    </w:p>
    <w:p w14:paraId="103AE4B4">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（3）对合同内分期完成的成品和半成品，在工程接收证书颁发前，由承包人承担保护责任。因承包人原因造成成品或半成品损坏的，由承包人负责修复或更换，并承担由此增加的费用和（或）延误的工期。</w:t>
      </w:r>
    </w:p>
    <w:p w14:paraId="1F74C533">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77" w:name="_Toc351203525"/>
      <w:bookmarkEnd w:id="77"/>
      <w:r>
        <w:rPr>
          <w:rFonts w:hint="eastAsia" w:ascii="宋体" w:hAnsi="宋体" w:eastAsia="宋体" w:cs="宋体"/>
          <w:b w:val="0"/>
          <w:bCs/>
          <w:color w:val="000000" w:themeColor="text1"/>
          <w:sz w:val="21"/>
          <w:szCs w:val="21"/>
          <w14:textFill>
            <w14:solidFill>
              <w14:schemeClr w14:val="tx1"/>
            </w14:solidFill>
          </w14:textFill>
        </w:rPr>
        <w:t>3.7  履约担保</w:t>
      </w:r>
    </w:p>
    <w:p w14:paraId="1889481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B23680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因承包人原因导致工期延长的，继续提供履约担保所增加的费用由承包人承担；非因承包人原因导致工期延长的，继续提供履约担保所增加的费用由发包人承担。</w:t>
      </w:r>
    </w:p>
    <w:p w14:paraId="63DDC80F">
      <w:pPr>
        <w:keepLines/>
        <w:pageBreakBefore w:val="0"/>
        <w:kinsoku/>
        <w:wordWrap w:val="0"/>
        <w:overflowPunct/>
        <w:bidi w:val="0"/>
        <w:spacing w:line="410" w:lineRule="exact"/>
        <w:textAlignment w:val="auto"/>
        <w:rPr>
          <w:rFonts w:hint="eastAsia" w:ascii="宋体" w:hAnsi="宋体" w:eastAsia="宋体" w:cs="宋体"/>
          <w:b w:val="0"/>
          <w:bCs/>
          <w:color w:val="000000" w:themeColor="text1"/>
          <w:spacing w:val="-3"/>
          <w14:textFill>
            <w14:solidFill>
              <w14:schemeClr w14:val="tx1"/>
            </w14:solidFill>
          </w14:textFill>
        </w:rPr>
      </w:pPr>
      <w:bookmarkStart w:id="78" w:name="_Toc351203526"/>
      <w:bookmarkEnd w:id="78"/>
      <w:r>
        <w:rPr>
          <w:rFonts w:hint="eastAsia" w:ascii="宋体" w:hAnsi="宋体" w:eastAsia="宋体" w:cs="宋体"/>
          <w:b w:val="0"/>
          <w:bCs/>
          <w:color w:val="000000" w:themeColor="text1"/>
          <w:spacing w:val="-3"/>
          <w14:textFill>
            <w14:solidFill>
              <w14:schemeClr w14:val="tx1"/>
            </w14:solidFill>
          </w14:textFill>
        </w:rPr>
        <w:t>3.8  联合体</w:t>
      </w:r>
    </w:p>
    <w:p w14:paraId="360E0A48">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3.8.1  联合体各方应共同与发包人签订合同协议书。联合体各方应为履行合同向发包人承担连带责任。</w:t>
      </w:r>
    </w:p>
    <w:p w14:paraId="7B81AB0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3.8.2  联合体协议经发包人确认后作为合同附件。在履行合同过程中，未经发包人同意，不得修改联合体协议。</w:t>
      </w:r>
    </w:p>
    <w:p w14:paraId="0A155AB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3.8.3  联合体牵头人负责与发包人和监理人联系，并接受指示，负责组织联合体各成员全面履行合同。</w:t>
      </w:r>
    </w:p>
    <w:p w14:paraId="2B397D9E">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79" w:name="_Toc351203527"/>
      <w:bookmarkEnd w:id="79"/>
      <w:bookmarkStart w:id="80" w:name="_Toc296503053"/>
      <w:bookmarkEnd w:id="80"/>
      <w:bookmarkStart w:id="81" w:name="_Toc296346554"/>
      <w:bookmarkEnd w:id="81"/>
      <w:r>
        <w:rPr>
          <w:rFonts w:hint="eastAsia" w:ascii="宋体" w:hAnsi="宋体" w:eastAsia="宋体" w:cs="宋体"/>
          <w:b w:val="0"/>
          <w:bCs/>
          <w:color w:val="000000" w:themeColor="text1"/>
          <w14:textFill>
            <w14:solidFill>
              <w14:schemeClr w14:val="tx1"/>
            </w14:solidFill>
          </w14:textFill>
        </w:rPr>
        <w:t>4、监理人</w:t>
      </w:r>
    </w:p>
    <w:p w14:paraId="5B689ED5">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82" w:name="_Toc351203528"/>
      <w:bookmarkEnd w:id="82"/>
      <w:r>
        <w:rPr>
          <w:rFonts w:hint="eastAsia" w:ascii="宋体" w:hAnsi="宋体" w:eastAsia="宋体" w:cs="宋体"/>
          <w:b w:val="0"/>
          <w:bCs/>
          <w:color w:val="000000" w:themeColor="text1"/>
          <w:sz w:val="21"/>
          <w:szCs w:val="21"/>
          <w14:textFill>
            <w14:solidFill>
              <w14:schemeClr w14:val="tx1"/>
            </w14:solidFill>
          </w14:textFill>
        </w:rPr>
        <w:t>4.1  监理人的一般规定</w:t>
      </w:r>
    </w:p>
    <w:p w14:paraId="510A862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B3FCD9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除专用合同条款另有约定外，监理人在施工现场的办公场所、生活场所由承包人提供，所发生的费用由发包人承担。</w:t>
      </w:r>
    </w:p>
    <w:p w14:paraId="4D5C76EE">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83" w:name="_Toc351203529"/>
      <w:bookmarkEnd w:id="83"/>
      <w:r>
        <w:rPr>
          <w:rFonts w:hint="eastAsia" w:ascii="宋体" w:hAnsi="宋体" w:eastAsia="宋体" w:cs="宋体"/>
          <w:b w:val="0"/>
          <w:bCs/>
          <w:color w:val="000000" w:themeColor="text1"/>
          <w:sz w:val="21"/>
          <w:szCs w:val="21"/>
          <w14:textFill>
            <w14:solidFill>
              <w14:schemeClr w14:val="tx1"/>
            </w14:solidFill>
          </w14:textFill>
        </w:rPr>
        <w:t>4.2  监理人员</w:t>
      </w:r>
    </w:p>
    <w:p w14:paraId="1318022F">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BCA2254">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84" w:name="_Toc296346556"/>
      <w:bookmarkEnd w:id="84"/>
      <w:bookmarkStart w:id="85" w:name="_Toc351203530"/>
      <w:bookmarkEnd w:id="85"/>
      <w:bookmarkStart w:id="86" w:name="_Toc337558756"/>
      <w:bookmarkEnd w:id="86"/>
      <w:bookmarkStart w:id="87" w:name="_Toc296503055"/>
      <w:bookmarkEnd w:id="87"/>
      <w:r>
        <w:rPr>
          <w:rFonts w:hint="eastAsia" w:ascii="宋体" w:hAnsi="宋体" w:eastAsia="宋体" w:cs="宋体"/>
          <w:b w:val="0"/>
          <w:bCs/>
          <w:color w:val="000000" w:themeColor="text1"/>
          <w:sz w:val="21"/>
          <w:szCs w:val="21"/>
          <w14:textFill>
            <w14:solidFill>
              <w14:schemeClr w14:val="tx1"/>
            </w14:solidFill>
          </w14:textFill>
        </w:rPr>
        <w:t>4.3  监理人的指示</w:t>
      </w:r>
    </w:p>
    <w:p w14:paraId="4A6893D8">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46A37FF8">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A855AF6">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承包人对监理人发出的指示有疑问的，应向监理人提出书面异议，监理人应在48小时内对该指示予以确认、更改或撤销，监理人逾期未回复的，承包人有权拒绝执行上述指示。</w:t>
      </w:r>
    </w:p>
    <w:p w14:paraId="536E700C">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监理人对承包人的任何工作、工程或其采用的材料和工程设备未在约定的或合理期限内提出意见的，视为批准，但不免除或减轻承包人对该工作、工程、材料、工程设备等应承担的责任和义务。</w:t>
      </w:r>
    </w:p>
    <w:p w14:paraId="5B8E0897">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88" w:name="_Toc351203531"/>
      <w:bookmarkEnd w:id="88"/>
      <w:r>
        <w:rPr>
          <w:rFonts w:hint="eastAsia" w:ascii="宋体" w:hAnsi="宋体" w:eastAsia="宋体" w:cs="宋体"/>
          <w:b w:val="0"/>
          <w:bCs/>
          <w:color w:val="000000" w:themeColor="text1"/>
          <w:sz w:val="21"/>
          <w:szCs w:val="21"/>
          <w14:textFill>
            <w14:solidFill>
              <w14:schemeClr w14:val="tx1"/>
            </w14:solidFill>
          </w14:textFill>
        </w:rPr>
        <w:t>4.4  商定或确定</w:t>
      </w:r>
    </w:p>
    <w:p w14:paraId="289B2CA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合同当事人进行商定或确定时，总监理工程师应当会同合同当事人尽量通过协商达成一致，不能达成一致的，由总监理工程师按照合同约定审慎做出公正的确定。</w:t>
      </w:r>
    </w:p>
    <w:p w14:paraId="1A387D66">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0886555B">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89" w:name="_Toc351203532"/>
      <w:bookmarkEnd w:id="89"/>
      <w:r>
        <w:rPr>
          <w:rFonts w:hint="eastAsia" w:ascii="宋体" w:hAnsi="宋体" w:eastAsia="宋体" w:cs="宋体"/>
          <w:b w:val="0"/>
          <w:bCs/>
          <w:color w:val="000000" w:themeColor="text1"/>
          <w14:textFill>
            <w14:solidFill>
              <w14:schemeClr w14:val="tx1"/>
            </w14:solidFill>
          </w14:textFill>
        </w:rPr>
        <w:t>5、工程质量</w:t>
      </w:r>
    </w:p>
    <w:p w14:paraId="4AC892E9">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0" w:name="_Toc351203533"/>
      <w:bookmarkEnd w:id="90"/>
      <w:r>
        <w:rPr>
          <w:rFonts w:hint="eastAsia" w:ascii="宋体" w:hAnsi="宋体" w:eastAsia="宋体" w:cs="宋体"/>
          <w:b w:val="0"/>
          <w:bCs/>
          <w:color w:val="000000" w:themeColor="text1"/>
          <w:sz w:val="21"/>
          <w:szCs w:val="21"/>
          <w14:textFill>
            <w14:solidFill>
              <w14:schemeClr w14:val="tx1"/>
            </w14:solidFill>
          </w14:textFill>
        </w:rPr>
        <w:t>5.1  质量要求</w:t>
      </w:r>
    </w:p>
    <w:p w14:paraId="48F95EE2">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5.1.1  工程质量标准必须符合现行国家有关工程施工质量验收规范和标准的要求。有关工程质量的特殊标准或要求由合同当事人在专用合同条款中约定。</w:t>
      </w:r>
    </w:p>
    <w:p w14:paraId="3D02248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5.1.2  因发包人原因造成工程质量未达到合同约定标准的，由发包人承担由此增加的费用和（或）延误的工期，并支付承包人合理的利润。</w:t>
      </w:r>
    </w:p>
    <w:p w14:paraId="3188F9E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5.1.3  因承包人原因造成工程质量未达到合同约定标准的，发包人有权要求承包人返工直至工程质量达到合同约定的标准为止，并由承包人承担由此增加的费用和（或）延误的工期。</w:t>
      </w:r>
    </w:p>
    <w:p w14:paraId="3026A9A0">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1" w:name="_Toc351203534"/>
      <w:bookmarkEnd w:id="91"/>
      <w:r>
        <w:rPr>
          <w:rFonts w:hint="eastAsia" w:ascii="宋体" w:hAnsi="宋体" w:eastAsia="宋体" w:cs="宋体"/>
          <w:b w:val="0"/>
          <w:bCs/>
          <w:color w:val="000000" w:themeColor="text1"/>
          <w:sz w:val="21"/>
          <w:szCs w:val="21"/>
          <w14:textFill>
            <w14:solidFill>
              <w14:schemeClr w14:val="tx1"/>
            </w14:solidFill>
          </w14:textFill>
        </w:rPr>
        <w:t>5.2  质量保证措施</w:t>
      </w:r>
    </w:p>
    <w:p w14:paraId="6D1B2932">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5.2.1  发包人的质量管理</w:t>
      </w:r>
    </w:p>
    <w:p w14:paraId="708A24BC">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发包人应按照法律规定及合同约定完成与工程质量有关的各项工作。</w:t>
      </w:r>
    </w:p>
    <w:p w14:paraId="4FD2CA9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5.2.2  承包人的质量管理</w:t>
      </w:r>
    </w:p>
    <w:p w14:paraId="1328C254">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9BA864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承包人应对施工人员进行质量教育和技术培训，定期考核施工人员的劳动技能，严格执行施工规范和操作规程。</w:t>
      </w:r>
    </w:p>
    <w:p w14:paraId="784F3EA2">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15277F4">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5.2.3  监理人的质量检查和检验</w:t>
      </w:r>
    </w:p>
    <w:p w14:paraId="1A585FA3">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59BB45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D973127">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2" w:name="_Toc351203535"/>
      <w:bookmarkEnd w:id="92"/>
      <w:r>
        <w:rPr>
          <w:rFonts w:hint="eastAsia" w:ascii="宋体" w:hAnsi="宋体" w:eastAsia="宋体" w:cs="宋体"/>
          <w:b w:val="0"/>
          <w:bCs/>
          <w:color w:val="000000" w:themeColor="text1"/>
          <w:sz w:val="21"/>
          <w:szCs w:val="21"/>
          <w14:textFill>
            <w14:solidFill>
              <w14:schemeClr w14:val="tx1"/>
            </w14:solidFill>
          </w14:textFill>
        </w:rPr>
        <w:t>5.3  隐蔽工程检查</w:t>
      </w:r>
    </w:p>
    <w:p w14:paraId="3EE04DED">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5.3.1  承包人自检</w:t>
      </w:r>
    </w:p>
    <w:p w14:paraId="2F090C1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承包人应当对工程隐蔽部位进行自检，并经自检确认是否具备覆盖条件。</w:t>
      </w:r>
    </w:p>
    <w:p w14:paraId="2EF9A81B">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5.3.2  检查程序</w:t>
      </w:r>
    </w:p>
    <w:p w14:paraId="1E9ABE0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1E2AC76">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7E0F2CCE">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5CF6FDE0">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5.3.3  重新检查</w:t>
      </w:r>
    </w:p>
    <w:p w14:paraId="78558D20">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DF772BB">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5.3.4  承包人私自覆盖</w:t>
      </w:r>
    </w:p>
    <w:p w14:paraId="1316CDE9">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承包人未通知监理人到场检查，私自将工程隐蔽部位覆盖的，监理人有权指示承包人钻孔探测或揭开检查，无论工程隐蔽部位质量是否合格，由此增加的费用和（或）延误的工期均由承包人承担。</w:t>
      </w:r>
    </w:p>
    <w:p w14:paraId="32F812DF">
      <w:pPr>
        <w:pStyle w:val="39"/>
        <w:keepLines/>
        <w:pageBreakBefore w:val="0"/>
        <w:kinsoku/>
        <w:wordWrap w:val="0"/>
        <w:overflowPunct/>
        <w:bidi w:val="0"/>
        <w:spacing w:line="412"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3" w:name="_Toc351203536"/>
      <w:bookmarkEnd w:id="93"/>
      <w:r>
        <w:rPr>
          <w:rFonts w:hint="eastAsia" w:ascii="宋体" w:hAnsi="宋体" w:eastAsia="宋体" w:cs="宋体"/>
          <w:b w:val="0"/>
          <w:bCs/>
          <w:color w:val="000000" w:themeColor="text1"/>
          <w:sz w:val="21"/>
          <w:szCs w:val="21"/>
          <w14:textFill>
            <w14:solidFill>
              <w14:schemeClr w14:val="tx1"/>
            </w14:solidFill>
          </w14:textFill>
        </w:rPr>
        <w:t>5.4  不合格工程的处理</w:t>
      </w:r>
    </w:p>
    <w:p w14:paraId="53610866">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35901A95">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5.4.2  因发包人原因造成工程不合格的，由此增加的费用和（或）延误的工期由发包人承担，并支付承包人合理的利润。</w:t>
      </w:r>
    </w:p>
    <w:p w14:paraId="588B13CC">
      <w:pPr>
        <w:pStyle w:val="39"/>
        <w:keepLines/>
        <w:pageBreakBefore w:val="0"/>
        <w:kinsoku/>
        <w:wordWrap w:val="0"/>
        <w:overflowPunct/>
        <w:bidi w:val="0"/>
        <w:spacing w:line="412"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4" w:name="_Toc351203537"/>
      <w:bookmarkEnd w:id="94"/>
      <w:r>
        <w:rPr>
          <w:rFonts w:hint="eastAsia" w:ascii="宋体" w:hAnsi="宋体" w:eastAsia="宋体" w:cs="宋体"/>
          <w:b w:val="0"/>
          <w:bCs/>
          <w:color w:val="000000" w:themeColor="text1"/>
          <w:sz w:val="21"/>
          <w:szCs w:val="21"/>
          <w14:textFill>
            <w14:solidFill>
              <w14:schemeClr w14:val="tx1"/>
            </w14:solidFill>
          </w14:textFill>
        </w:rPr>
        <w:t>5.5  质量争议检测</w:t>
      </w:r>
    </w:p>
    <w:p w14:paraId="11CDD241">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合同当事人对工程质量有争议的，由双方协商确定的工程质量检测机构鉴定，由此产生的费用及因此造成的损失，由责任方承担。合同当事人均有责任的，由双方根据其责任分别承担。合同当事人无法达成一致的，按照第4.4款[商定或确定]执行。</w:t>
      </w:r>
    </w:p>
    <w:p w14:paraId="648D3134">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95" w:name="_Toc351203538"/>
      <w:bookmarkEnd w:id="95"/>
      <w:r>
        <w:rPr>
          <w:rFonts w:hint="eastAsia" w:ascii="宋体" w:hAnsi="宋体" w:eastAsia="宋体" w:cs="宋体"/>
          <w:b w:val="0"/>
          <w:bCs/>
          <w:color w:val="000000" w:themeColor="text1"/>
          <w14:textFill>
            <w14:solidFill>
              <w14:schemeClr w14:val="tx1"/>
            </w14:solidFill>
          </w14:textFill>
        </w:rPr>
        <w:t>6、安全文明施工与环境保护</w:t>
      </w:r>
    </w:p>
    <w:p w14:paraId="4279234B">
      <w:pPr>
        <w:pStyle w:val="39"/>
        <w:keepLines/>
        <w:pageBreakBefore w:val="0"/>
        <w:kinsoku/>
        <w:wordWrap w:val="0"/>
        <w:overflowPunct/>
        <w:bidi w:val="0"/>
        <w:spacing w:line="412"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6" w:name="_Toc351203539"/>
      <w:bookmarkEnd w:id="96"/>
      <w:r>
        <w:rPr>
          <w:rFonts w:hint="eastAsia" w:ascii="宋体" w:hAnsi="宋体" w:eastAsia="宋体" w:cs="宋体"/>
          <w:b w:val="0"/>
          <w:bCs/>
          <w:color w:val="000000" w:themeColor="text1"/>
          <w:sz w:val="21"/>
          <w:szCs w:val="21"/>
          <w14:textFill>
            <w14:solidFill>
              <w14:schemeClr w14:val="tx1"/>
            </w14:solidFill>
          </w14:textFill>
        </w:rPr>
        <w:t>6.1  安全文明施工</w:t>
      </w:r>
    </w:p>
    <w:p w14:paraId="7881C751">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6.1.1  安全生产要求</w:t>
      </w:r>
    </w:p>
    <w:p w14:paraId="56A0B0C2">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25562E3">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在施工过程中，如遇到突发的地质变动、事先未知的地下施工障碍等影响施工安全的紧急情况，承包人应及时报告监理人和发包人，发包人应当及时下令停工并报政府有关行政管理部门采取应急措施。</w:t>
      </w:r>
    </w:p>
    <w:p w14:paraId="1C6FBEB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因安全生产需要暂停施工的，按照第7.8款[暂停施工]的约定执行。</w:t>
      </w:r>
    </w:p>
    <w:p w14:paraId="57C61C85">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6.1.2  安全生产保证措施</w:t>
      </w:r>
    </w:p>
    <w:p w14:paraId="0A1B517C">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1D31A88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6.1.3  特别安全生产事项</w:t>
      </w:r>
    </w:p>
    <w:p w14:paraId="23415706">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29FB0A4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 xml:space="preserve">承包人在动力设备、输电线路、地下管道、密封防震车间、易燃易爆地段以及临街交通要道附近施工时，施工开始前应向发包人和监理人提出安全防护措施，经发包人认可后实施。 </w:t>
      </w:r>
    </w:p>
    <w:p w14:paraId="3AEAABA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实施爆破作业，在放射、毒害性环境中施工（含储存、运输、使用）及使用毒害性、腐蚀性物品施工时，承包人应在施工前7天以书面通知发包人和监理人，并报送相应的安全防护措施，经发包人认可后实施。</w:t>
      </w:r>
    </w:p>
    <w:p w14:paraId="0380609C">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需单独编制危险性较大分部分项专项工程施工方案的，及要求进行专家论证的超过一定规模的危险性较大的分部分项工程，承包人应及时编制和组织论证。</w:t>
      </w:r>
    </w:p>
    <w:p w14:paraId="570918CD">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6.1.4  治安保卫</w:t>
      </w:r>
    </w:p>
    <w:p w14:paraId="46E2CE5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除专用合同条款另有约定外，发包人应与当地公安部门协商，在现场建立治安管理机构或联防组织，统一管理施工场地的治安保卫事项，履行合同工程的治安保卫职责。</w:t>
      </w:r>
    </w:p>
    <w:p w14:paraId="69DB78B9">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发包人和承包人除应协助现场治安管理机构或联防组织维护施工场地的社会治安外，还应做好包括生活区在内的各自管辖区的治安保卫工作。</w:t>
      </w:r>
    </w:p>
    <w:p w14:paraId="1BCFD1F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07E7CC1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6.1.5  文明施工</w:t>
      </w:r>
    </w:p>
    <w:p w14:paraId="596F22E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4C7FFFF">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539B54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6.1.6  安全文明施工费</w:t>
      </w:r>
    </w:p>
    <w:p w14:paraId="42098335">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安全文明施工费由发包人承担，发包人不得以任何形式扣减该部分费用。因基准日期后合同所适用的法律或政府有关规定发生变化，增加的安全文明施工费由发包人承担。</w:t>
      </w:r>
    </w:p>
    <w:p w14:paraId="30EADC7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93D8DE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72424E8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FA3AECC">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6.1.7  紧急情况处理</w:t>
      </w:r>
    </w:p>
    <w:p w14:paraId="7A0C9145">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2D22A79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6.1.8  事故处理</w:t>
      </w:r>
    </w:p>
    <w:p w14:paraId="2D4EF57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41BE46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6.1.9  安全生产责任</w:t>
      </w:r>
    </w:p>
    <w:p w14:paraId="2BB56405">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6.1.9.1  发包人的安全责任</w:t>
      </w:r>
    </w:p>
    <w:p w14:paraId="798B7A5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发包人应负责赔偿以下各种情况造成的损失：</w:t>
      </w:r>
    </w:p>
    <w:p w14:paraId="0CBE92C3">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（1）工程或工程的任何部分对土地的占用所造成的第三者财产损失；</w:t>
      </w:r>
    </w:p>
    <w:p w14:paraId="7F3A4EAF">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（2）由于发包人原因在施工场地及其毗邻地带造成的第三者人身伤亡和财产损失；</w:t>
      </w:r>
    </w:p>
    <w:p w14:paraId="5838DFA3">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（3）由于发包人原因对承包人、监理人造成的人员人身伤亡和财产损失；</w:t>
      </w:r>
    </w:p>
    <w:p w14:paraId="0B0E50A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（4）由于发包人原因造成的发包人自身人员的人身伤害以及财产损失。</w:t>
      </w:r>
    </w:p>
    <w:p w14:paraId="7BA4947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6.1.9.2  承包人的安全责任</w:t>
      </w:r>
    </w:p>
    <w:p w14:paraId="45194C0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由于承包人原因在施工场地内及其毗邻地带造成的发包人、监理人以及第三者人员伤亡和财产损失，由承包人负责赔偿。</w:t>
      </w:r>
    </w:p>
    <w:p w14:paraId="14E884CF">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7" w:name="_Toc351203540"/>
      <w:bookmarkEnd w:id="97"/>
      <w:r>
        <w:rPr>
          <w:rFonts w:hint="eastAsia" w:ascii="宋体" w:hAnsi="宋体" w:eastAsia="宋体" w:cs="宋体"/>
          <w:b w:val="0"/>
          <w:bCs/>
          <w:color w:val="000000" w:themeColor="text1"/>
          <w:sz w:val="21"/>
          <w:szCs w:val="21"/>
          <w14:textFill>
            <w14:solidFill>
              <w14:schemeClr w14:val="tx1"/>
            </w14:solidFill>
          </w14:textFill>
        </w:rPr>
        <w:t>6.2  职业健康</w:t>
      </w:r>
    </w:p>
    <w:p w14:paraId="15883876">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6.2.1  劳动保护</w:t>
      </w:r>
    </w:p>
    <w:p w14:paraId="04ECD18A">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9102639">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5076AA7C">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承包人应按法律规定安排工作时间，保证其雇佣人员享有休息和休假的权利。因工程施工的特殊需要占用休假日或延长工作时间的，应不超过法律规定的限度，并按法律规定给予补休或付酬。</w:t>
      </w:r>
    </w:p>
    <w:p w14:paraId="59BA3AE2">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6.2.2  生活条件</w:t>
      </w:r>
    </w:p>
    <w:p w14:paraId="0087939C">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185674AD">
      <w:pPr>
        <w:pStyle w:val="39"/>
        <w:keepLines/>
        <w:pageBreakBefore w:val="0"/>
        <w:kinsoku/>
        <w:wordWrap w:val="0"/>
        <w:overflowPunct/>
        <w:bidi w:val="0"/>
        <w:spacing w:line="414"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98" w:name="_Toc351203541"/>
      <w:bookmarkEnd w:id="98"/>
      <w:r>
        <w:rPr>
          <w:rFonts w:hint="eastAsia" w:ascii="宋体" w:hAnsi="宋体" w:eastAsia="宋体" w:cs="宋体"/>
          <w:b w:val="0"/>
          <w:bCs/>
          <w:color w:val="000000" w:themeColor="text1"/>
          <w:sz w:val="21"/>
          <w:szCs w:val="21"/>
          <w14:textFill>
            <w14:solidFill>
              <w14:schemeClr w14:val="tx1"/>
            </w14:solidFill>
          </w14:textFill>
        </w:rPr>
        <w:t>6.3  环境保护</w:t>
      </w:r>
    </w:p>
    <w:p w14:paraId="00548902">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9E736A6">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承包人应当承担因其原因引起的环境污染侵权损害赔偿责任，因上述环境污染引起纠纷而导致暂停施工的，由此增加的费用和（或）延误的工期由承包人承担。</w:t>
      </w:r>
    </w:p>
    <w:p w14:paraId="56D4A8FD">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99" w:name="_Toc351203542"/>
      <w:bookmarkEnd w:id="99"/>
      <w:r>
        <w:rPr>
          <w:rFonts w:hint="eastAsia" w:ascii="宋体" w:hAnsi="宋体" w:eastAsia="宋体" w:cs="宋体"/>
          <w:b w:val="0"/>
          <w:bCs/>
          <w:color w:val="000000" w:themeColor="text1"/>
          <w14:textFill>
            <w14:solidFill>
              <w14:schemeClr w14:val="tx1"/>
            </w14:solidFill>
          </w14:textFill>
        </w:rPr>
        <w:t>7、工期和进度</w:t>
      </w:r>
    </w:p>
    <w:p w14:paraId="3289B0D5">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00" w:name="_Toc351203543"/>
      <w:bookmarkEnd w:id="100"/>
      <w:bookmarkStart w:id="101" w:name="_Toc296503066"/>
      <w:bookmarkStart w:id="102" w:name="_Toc296346567"/>
      <w:r>
        <w:rPr>
          <w:rFonts w:hint="eastAsia" w:ascii="宋体" w:hAnsi="宋体" w:eastAsia="宋体" w:cs="宋体"/>
          <w:b w:val="0"/>
          <w:bCs/>
          <w:color w:val="000000" w:themeColor="text1"/>
          <w:sz w:val="21"/>
          <w:szCs w:val="21"/>
          <w14:textFill>
            <w14:solidFill>
              <w14:schemeClr w14:val="tx1"/>
            </w14:solidFill>
          </w14:textFill>
        </w:rPr>
        <w:t>7.1  施工组织设计</w:t>
      </w:r>
    </w:p>
    <w:p w14:paraId="17D99427">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7.1.1  施工组织设计的内容</w:t>
      </w:r>
    </w:p>
    <w:p w14:paraId="4EC7D2C9">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施工组织设计应包含以下内容：</w:t>
      </w:r>
    </w:p>
    <w:p w14:paraId="702FB634">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 xml:space="preserve">（1）施工方案； </w:t>
      </w:r>
    </w:p>
    <w:p w14:paraId="6125E2A7">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（2）施工现场平面布置图；</w:t>
      </w:r>
    </w:p>
    <w:p w14:paraId="5510D02B">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 xml:space="preserve">（3）施工进度计划和保证措施； </w:t>
      </w:r>
    </w:p>
    <w:p w14:paraId="1EB846B7">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（4）劳动力及材料供应计划；</w:t>
      </w:r>
    </w:p>
    <w:p w14:paraId="29924603">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（5）施工机械设备的选用；</w:t>
      </w:r>
    </w:p>
    <w:p w14:paraId="307F9066">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（6）质量保证体系及措施；</w:t>
      </w:r>
    </w:p>
    <w:p w14:paraId="18297753">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（7）安全生产、文明施工措施；</w:t>
      </w:r>
    </w:p>
    <w:p w14:paraId="11E288C6">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（8）环境保护、成本控制措施；</w:t>
      </w:r>
    </w:p>
    <w:p w14:paraId="1883F34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（9）合同当事人约定的其他内容。</w:t>
      </w:r>
    </w:p>
    <w:p w14:paraId="62867B08">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7.1.2  施工组织设计的提交和修改</w:t>
      </w:r>
    </w:p>
    <w:p w14:paraId="7108581C">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C2BB173">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施工进度计划的编制和修改按照第7.2款[施工进度计划]执行。</w:t>
      </w:r>
    </w:p>
    <w:p w14:paraId="1CC820E3">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03" w:name="_Toc351203544"/>
      <w:bookmarkEnd w:id="103"/>
      <w:r>
        <w:rPr>
          <w:rFonts w:hint="eastAsia" w:ascii="宋体" w:hAnsi="宋体" w:eastAsia="宋体" w:cs="宋体"/>
          <w:b w:val="0"/>
          <w:bCs/>
          <w:color w:val="000000" w:themeColor="text1"/>
          <w:sz w:val="21"/>
          <w:szCs w:val="21"/>
          <w14:textFill>
            <w14:solidFill>
              <w14:schemeClr w14:val="tx1"/>
            </w14:solidFill>
          </w14:textFill>
        </w:rPr>
        <w:t>7.2  施工进度计划</w:t>
      </w:r>
    </w:p>
    <w:p w14:paraId="5447EA6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7.2.1  施工进度计划的编制</w:t>
      </w:r>
    </w:p>
    <w:p w14:paraId="02004591">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B83B21F">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7.2.2  施工进度计划的修订</w:t>
      </w:r>
    </w:p>
    <w:p w14:paraId="2EC046B6">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EF12357">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04" w:name="_Toc351203545"/>
      <w:bookmarkEnd w:id="104"/>
      <w:r>
        <w:rPr>
          <w:rFonts w:hint="eastAsia" w:ascii="宋体" w:hAnsi="宋体" w:eastAsia="宋体" w:cs="宋体"/>
          <w:b w:val="0"/>
          <w:bCs/>
          <w:color w:val="000000" w:themeColor="text1"/>
          <w:sz w:val="21"/>
          <w:szCs w:val="21"/>
          <w14:textFill>
            <w14:solidFill>
              <w14:schemeClr w14:val="tx1"/>
            </w14:solidFill>
          </w14:textFill>
        </w:rPr>
        <w:t>7.3  开工</w:t>
      </w:r>
    </w:p>
    <w:p w14:paraId="364B41B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7.3.1  开工准备</w:t>
      </w:r>
    </w:p>
    <w:p w14:paraId="0718EB24">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770C75A8">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除专用合同条款另有约定外，合同当事人应按约定完成开工准备工作。</w:t>
      </w:r>
    </w:p>
    <w:p w14:paraId="15606AA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7.3.2  开工通知</w:t>
      </w:r>
    </w:p>
    <w:p w14:paraId="32FF439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0BC8A1EB">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09783FD5">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05" w:name="_Toc351203546"/>
      <w:bookmarkEnd w:id="105"/>
      <w:r>
        <w:rPr>
          <w:rFonts w:hint="eastAsia" w:ascii="宋体" w:hAnsi="宋体" w:eastAsia="宋体" w:cs="宋体"/>
          <w:b w:val="0"/>
          <w:bCs/>
          <w:color w:val="000000" w:themeColor="text1"/>
          <w:sz w:val="21"/>
          <w:szCs w:val="21"/>
          <w14:textFill>
            <w14:solidFill>
              <w14:schemeClr w14:val="tx1"/>
            </w14:solidFill>
          </w14:textFill>
        </w:rPr>
        <w:t>7.4  测量放线</w:t>
      </w:r>
    </w:p>
    <w:p w14:paraId="492768F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B81AEB">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DDC712B">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402FE4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bookmarkStart w:id="106" w:name="_Toc351203547"/>
      <w:r>
        <w:rPr>
          <w:rFonts w:hint="eastAsia" w:ascii="宋体" w:hAnsi="宋体" w:eastAsia="宋体" w:cs="宋体"/>
          <w:b w:val="0"/>
          <w:bCs/>
          <w:color w:val="000000" w:themeColor="text1"/>
          <w:spacing w:val="-3"/>
          <w14:textFill>
            <w14:solidFill>
              <w14:schemeClr w14:val="tx1"/>
            </w14:solidFill>
          </w14:textFill>
        </w:rPr>
        <w:t>施工过程中对施工现场内水准点等测量标志物的保护工作由承包人负责。</w:t>
      </w:r>
    </w:p>
    <w:bookmarkEnd w:id="101"/>
    <w:bookmarkEnd w:id="102"/>
    <w:bookmarkEnd w:id="106"/>
    <w:p w14:paraId="0CB2883B">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7.5  工期延误</w:t>
      </w:r>
    </w:p>
    <w:p w14:paraId="0F9AF1A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7.5.1  因发包人原因导致工期延误</w:t>
      </w:r>
    </w:p>
    <w:p w14:paraId="37BB7930">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 xml:space="preserve">在合同履行过程中，因下列情况导致工期延误和（或）费用增加的，由发包人承担由此延误的工期和（或）增加的费用，且发包人应支付承包人合理的利润： </w:t>
      </w:r>
    </w:p>
    <w:p w14:paraId="4BC0E88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（1）发包人未能按合同约定提供图纸或所提供图纸不符合合同约定的；</w:t>
      </w:r>
    </w:p>
    <w:p w14:paraId="01C9D18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（2）发包人未能按合同约定提供施工现场、施工条件、基础资料、许可、批准等开工条件的；</w:t>
      </w:r>
    </w:p>
    <w:p w14:paraId="06AB3C17">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（3）发包人提供的测量基准点、基准线和水准点及其书面资料存在错误或疏漏的；</w:t>
      </w:r>
    </w:p>
    <w:p w14:paraId="0B612E38">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（4）发包人未能在计划开工日期之日起7天内同意下达开工通知的；</w:t>
      </w:r>
    </w:p>
    <w:p w14:paraId="665E9721">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（5）发包人未能按合同约定日期支付工程预付款、进度款或竣工结算款的；</w:t>
      </w:r>
    </w:p>
    <w:p w14:paraId="34BD76A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（6）监理人未按合同约定发出指示、批准等文件的；</w:t>
      </w:r>
    </w:p>
    <w:p w14:paraId="3E92E0AF">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（7）专用合同条款中约定的其他情形。</w:t>
      </w:r>
    </w:p>
    <w:p w14:paraId="3F5AD2A5">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27C3F74">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7.5.2  因承包人原因导致工期延误</w:t>
      </w:r>
    </w:p>
    <w:p w14:paraId="1CF759F9">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bookmarkStart w:id="107" w:name="_Toc296346577"/>
      <w:bookmarkEnd w:id="107"/>
      <w:bookmarkStart w:id="108" w:name="_Toc296503076"/>
      <w:bookmarkEnd w:id="108"/>
      <w:r>
        <w:rPr>
          <w:rFonts w:hint="eastAsia" w:ascii="宋体" w:hAnsi="宋体" w:eastAsia="宋体" w:cs="宋体"/>
          <w:b w:val="0"/>
          <w:bCs/>
          <w:color w:val="000000" w:themeColor="text1"/>
          <w:spacing w:val="-3"/>
          <w14:textFill>
            <w14:solidFill>
              <w14:schemeClr w14:val="tx1"/>
            </w14:solidFill>
          </w14:textFill>
        </w:rPr>
        <w:t>因承包人原因造成工期延误的，可以在专用合同条款中约定逾期竣工违约金的计算方法和逾期竣工违约金的上限。承包人支付逾期竣工违约金后，不免除承包人继续完成工程及修补缺陷的义务。</w:t>
      </w:r>
    </w:p>
    <w:p w14:paraId="4A3F3942">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09" w:name="_Toc351203548"/>
      <w:bookmarkEnd w:id="109"/>
      <w:r>
        <w:rPr>
          <w:rFonts w:hint="eastAsia" w:ascii="宋体" w:hAnsi="宋体" w:eastAsia="宋体" w:cs="宋体"/>
          <w:b w:val="0"/>
          <w:bCs/>
          <w:color w:val="000000" w:themeColor="text1"/>
          <w:sz w:val="21"/>
          <w:szCs w:val="21"/>
          <w14:textFill>
            <w14:solidFill>
              <w14:schemeClr w14:val="tx1"/>
            </w14:solidFill>
          </w14:textFill>
        </w:rPr>
        <w:t>7.6  不利物质条件</w:t>
      </w:r>
    </w:p>
    <w:p w14:paraId="240F2F4A">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75F90AE">
      <w:pPr>
        <w:keepLines/>
        <w:pageBreakBefore w:val="0"/>
        <w:kinsoku/>
        <w:wordWrap w:val="0"/>
        <w:overflowPunct/>
        <w:bidi w:val="0"/>
        <w:spacing w:line="41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3FDAD571">
      <w:pPr>
        <w:pStyle w:val="39"/>
        <w:keepLines/>
        <w:pageBreakBefore w:val="0"/>
        <w:kinsoku/>
        <w:wordWrap w:val="0"/>
        <w:overflowPunct/>
        <w:bidi w:val="0"/>
        <w:spacing w:line="41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0" w:name="_Toc351203549"/>
      <w:bookmarkEnd w:id="110"/>
      <w:r>
        <w:rPr>
          <w:rFonts w:hint="eastAsia" w:ascii="宋体" w:hAnsi="宋体" w:eastAsia="宋体" w:cs="宋体"/>
          <w:b w:val="0"/>
          <w:bCs/>
          <w:color w:val="000000" w:themeColor="text1"/>
          <w:sz w:val="21"/>
          <w:szCs w:val="21"/>
          <w14:textFill>
            <w14:solidFill>
              <w14:schemeClr w14:val="tx1"/>
            </w14:solidFill>
          </w14:textFill>
        </w:rPr>
        <w:t>7.7  异常恶劣的气候条件</w:t>
      </w:r>
    </w:p>
    <w:p w14:paraId="6BA1F56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E91CE59">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bookmarkStart w:id="111" w:name="_Toc351203550"/>
      <w:r>
        <w:rPr>
          <w:rFonts w:hint="eastAsia" w:ascii="宋体" w:hAnsi="宋体" w:eastAsia="宋体" w:cs="宋体"/>
          <w:b w:val="0"/>
          <w:bCs/>
          <w:color w:val="000000" w:themeColor="text1"/>
          <w:spacing w:val="-3"/>
          <w14:textFill>
            <w14:solidFill>
              <w14:schemeClr w14:val="tx1"/>
            </w14:solidFill>
          </w14:textFill>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bookmarkEnd w:id="111"/>
    <w:p w14:paraId="58762785">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7.8  暂停施工</w:t>
      </w:r>
    </w:p>
    <w:p w14:paraId="753BBDF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7.8.1  发包人原因引起的暂停施工</w:t>
      </w:r>
    </w:p>
    <w:p w14:paraId="1AB479B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因发包人原因引起暂停施工的，监理人经发包人同意后，应及时下达暂停施工指示。情况紧急且监理人未及时下达暂停施工指示的，按照第7.8.4项[紧急情况下的暂停施工]执行。</w:t>
      </w:r>
    </w:p>
    <w:p w14:paraId="65CFE9C3">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因发包人原因引起的暂停施工，发包人应承担由此增加的费用和（或）延误的工期，并支付承包人合理的利润。</w:t>
      </w:r>
    </w:p>
    <w:p w14:paraId="46D8941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7.8.2  承包人原因引起的暂停施工</w:t>
      </w:r>
    </w:p>
    <w:p w14:paraId="24D5F46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C614E5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7.8.3  指示暂停施工</w:t>
      </w:r>
    </w:p>
    <w:p w14:paraId="0AF264A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监理人认为有必要时，并经发包人批准后，可向承包人作出暂停施工的指示，承包人应按监理人指示暂停施工。</w:t>
      </w:r>
    </w:p>
    <w:p w14:paraId="4909BF5C">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7.8.4  紧急情况下的暂停施工</w:t>
      </w:r>
    </w:p>
    <w:p w14:paraId="6BE06F7D">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59AF8CF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7.8.5  暂停施工后的复工</w:t>
      </w:r>
    </w:p>
    <w:p w14:paraId="07E6D60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FACB93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承包人无故拖延和拒绝复工的，承包人承担由此增加的费用和（或）延误的工期；因发包人原因无法按时复工的，按照第7.5.1项[因发包人原因导致工期延误]约定办理。</w:t>
      </w:r>
    </w:p>
    <w:p w14:paraId="2E51391F">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7.8.6  暂停施工持续56天以上</w:t>
      </w:r>
    </w:p>
    <w:p w14:paraId="56790D6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811FC5F">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D575A86">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7.8.7  暂停施工期间的工程照管</w:t>
      </w:r>
    </w:p>
    <w:p w14:paraId="6FF0C463">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暂停施工期间，承包人应负责妥善照管工程并提供安全保障，由此增加的费用由责任方承担。</w:t>
      </w:r>
    </w:p>
    <w:p w14:paraId="38735320">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7.8.8  暂停施工的措施</w:t>
      </w:r>
    </w:p>
    <w:p w14:paraId="29BD00F9">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暂停施工期间，发包人和承包人均应采取必要的措施确保工程质量及安全，防止因暂停施工扩大损失。</w:t>
      </w:r>
    </w:p>
    <w:p w14:paraId="3F44EFE8">
      <w:pPr>
        <w:pStyle w:val="39"/>
        <w:keepLines/>
        <w:pageBreakBefore w:val="0"/>
        <w:kinsoku/>
        <w:wordWrap w:val="0"/>
        <w:overflowPunct/>
        <w:bidi w:val="0"/>
        <w:spacing w:line="414"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2" w:name="_Toc351203551"/>
      <w:bookmarkEnd w:id="112"/>
      <w:r>
        <w:rPr>
          <w:rFonts w:hint="eastAsia" w:ascii="宋体" w:hAnsi="宋体" w:eastAsia="宋体" w:cs="宋体"/>
          <w:b w:val="0"/>
          <w:bCs/>
          <w:color w:val="000000" w:themeColor="text1"/>
          <w:sz w:val="21"/>
          <w:szCs w:val="21"/>
          <w14:textFill>
            <w14:solidFill>
              <w14:schemeClr w14:val="tx1"/>
            </w14:solidFill>
          </w14:textFill>
        </w:rPr>
        <w:t>7.9  提前竣工</w:t>
      </w:r>
    </w:p>
    <w:p w14:paraId="2BD8C609">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8C015C4">
      <w:pPr>
        <w:keepLines/>
        <w:pageBreakBefore w:val="0"/>
        <w:kinsoku/>
        <w:wordWrap w:val="0"/>
        <w:overflowPunct/>
        <w:bidi w:val="0"/>
        <w:spacing w:line="414"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7.9.2  发包人要求承包人提前竣工，或承包人提出提前竣工的建议能够给发包人带来效益的，合同当事人可以在专用合同条款中约定提前竣工的奖励。</w:t>
      </w:r>
    </w:p>
    <w:p w14:paraId="1C66D175">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13" w:name="_Toc351203552"/>
      <w:bookmarkEnd w:id="113"/>
      <w:r>
        <w:rPr>
          <w:rFonts w:hint="eastAsia" w:ascii="宋体" w:hAnsi="宋体" w:eastAsia="宋体" w:cs="宋体"/>
          <w:b w:val="0"/>
          <w:bCs/>
          <w:color w:val="000000" w:themeColor="text1"/>
          <w14:textFill>
            <w14:solidFill>
              <w14:schemeClr w14:val="tx1"/>
            </w14:solidFill>
          </w14:textFill>
        </w:rPr>
        <w:t>8、材料与设备</w:t>
      </w:r>
    </w:p>
    <w:p w14:paraId="5CD2365A">
      <w:pPr>
        <w:pStyle w:val="39"/>
        <w:keepLines/>
        <w:pageBreakBefore w:val="0"/>
        <w:kinsoku/>
        <w:wordWrap w:val="0"/>
        <w:overflowPunct/>
        <w:bidi w:val="0"/>
        <w:spacing w:line="412"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4" w:name="_Toc351203553"/>
      <w:bookmarkEnd w:id="114"/>
      <w:bookmarkStart w:id="115" w:name="_Toc468936960"/>
      <w:r>
        <w:rPr>
          <w:rFonts w:hint="eastAsia" w:ascii="宋体" w:hAnsi="宋体" w:eastAsia="宋体" w:cs="宋体"/>
          <w:b w:val="0"/>
          <w:bCs/>
          <w:color w:val="000000" w:themeColor="text1"/>
          <w:sz w:val="21"/>
          <w:szCs w:val="21"/>
          <w14:textFill>
            <w14:solidFill>
              <w14:schemeClr w14:val="tx1"/>
            </w14:solidFill>
          </w14:textFill>
        </w:rPr>
        <w:t>8.1  发包人供应材料与工程设备</w:t>
      </w:r>
    </w:p>
    <w:p w14:paraId="2F49EC14">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发包人自行供应材料、工程设备的，应在签订合同时在专用合同条款的附件《发包人供应材料设备一览表》中明确材料、工程设备的品种、规格、型号、数量、单价、质量等级和送达地点。</w:t>
      </w:r>
    </w:p>
    <w:p w14:paraId="0F74609D">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8A7ABF6">
      <w:pPr>
        <w:pStyle w:val="39"/>
        <w:keepLines/>
        <w:pageBreakBefore w:val="0"/>
        <w:kinsoku/>
        <w:wordWrap w:val="0"/>
        <w:overflowPunct/>
        <w:bidi w:val="0"/>
        <w:spacing w:line="412"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6" w:name="_Toc351203554"/>
      <w:bookmarkEnd w:id="116"/>
      <w:r>
        <w:rPr>
          <w:rFonts w:hint="eastAsia" w:ascii="宋体" w:hAnsi="宋体" w:eastAsia="宋体" w:cs="宋体"/>
          <w:b w:val="0"/>
          <w:bCs/>
          <w:color w:val="000000" w:themeColor="text1"/>
          <w:sz w:val="21"/>
          <w:szCs w:val="21"/>
          <w14:textFill>
            <w14:solidFill>
              <w14:schemeClr w14:val="tx1"/>
            </w14:solidFill>
          </w14:textFill>
        </w:rPr>
        <w:t>8.2  承包人采购材料与工程设备</w:t>
      </w:r>
    </w:p>
    <w:p w14:paraId="438FDC64">
      <w:pPr>
        <w:keepLines/>
        <w:pageBreakBefore w:val="0"/>
        <w:kinsoku/>
        <w:wordWrap w:val="0"/>
        <w:overflowPunct/>
        <w:bidi w:val="0"/>
        <w:spacing w:line="412"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9E64DFA">
      <w:pPr>
        <w:pStyle w:val="39"/>
        <w:keepLines/>
        <w:pageBreakBefore w:val="0"/>
        <w:kinsoku/>
        <w:wordWrap w:val="0"/>
        <w:overflowPunct/>
        <w:bidi w:val="0"/>
        <w:spacing w:line="412"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7" w:name="_Toc351203555"/>
      <w:bookmarkEnd w:id="117"/>
      <w:r>
        <w:rPr>
          <w:rFonts w:hint="eastAsia" w:ascii="宋体" w:hAnsi="宋体" w:eastAsia="宋体" w:cs="宋体"/>
          <w:b w:val="0"/>
          <w:bCs/>
          <w:color w:val="000000" w:themeColor="text1"/>
          <w:sz w:val="21"/>
          <w:szCs w:val="21"/>
          <w14:textFill>
            <w14:solidFill>
              <w14:schemeClr w14:val="tx1"/>
            </w14:solidFill>
          </w14:textFill>
        </w:rPr>
        <w:t>8.3  材料与工程设备的接收与拒收</w:t>
      </w:r>
    </w:p>
    <w:p w14:paraId="283E157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1662174">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发包人提供的材料和工程设备的规格、数量或质量不符合合同约定的，或因发包人原因导致交货日期延误或交货地点变更等情况的，按照第16.1款[发包人违约]约定办理。</w:t>
      </w:r>
    </w:p>
    <w:p w14:paraId="2D3C933A">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4FA9D142">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653F6514">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8" w:name="_Toc351203556"/>
      <w:bookmarkEnd w:id="118"/>
      <w:r>
        <w:rPr>
          <w:rFonts w:hint="eastAsia" w:ascii="宋体" w:hAnsi="宋体" w:eastAsia="宋体" w:cs="宋体"/>
          <w:b w:val="0"/>
          <w:bCs/>
          <w:color w:val="000000" w:themeColor="text1"/>
          <w:sz w:val="21"/>
          <w:szCs w:val="21"/>
          <w14:textFill>
            <w14:solidFill>
              <w14:schemeClr w14:val="tx1"/>
            </w14:solidFill>
          </w14:textFill>
        </w:rPr>
        <w:t>8.4  材料与工程设备的保管与使用</w:t>
      </w:r>
    </w:p>
    <w:p w14:paraId="1429682D">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8.4.1  发包人供应材料与工程设备的保管与使用</w:t>
      </w:r>
    </w:p>
    <w:p w14:paraId="01397AF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014AB4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发包人供应的材料和工程设备使用前，由承包人负责检验，检验费用由发包人承担，不合格的不得使用。</w:t>
      </w:r>
    </w:p>
    <w:p w14:paraId="572749E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8.4.2  承包人采购材料与工程设备的保管与使用</w:t>
      </w:r>
    </w:p>
    <w:p w14:paraId="6CDD807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2FF2EF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发包人或监理人发现承包人使用不符合设计或有关标准要求的材料和工程设备时，有权要求承包人进行修复、拆除或重新采购，由此增加的费用和（或）延误的工期，由承包人承担。</w:t>
      </w:r>
    </w:p>
    <w:p w14:paraId="1AF463FF">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19" w:name="_Toc351203557"/>
      <w:bookmarkEnd w:id="119"/>
      <w:r>
        <w:rPr>
          <w:rFonts w:hint="eastAsia" w:ascii="宋体" w:hAnsi="宋体" w:eastAsia="宋体" w:cs="宋体"/>
          <w:b w:val="0"/>
          <w:bCs/>
          <w:color w:val="000000" w:themeColor="text1"/>
          <w:sz w:val="21"/>
          <w:szCs w:val="21"/>
          <w14:textFill>
            <w14:solidFill>
              <w14:schemeClr w14:val="tx1"/>
            </w14:solidFill>
          </w14:textFill>
        </w:rPr>
        <w:t>8.5  禁止使用不合格的材料和工程设备</w:t>
      </w:r>
    </w:p>
    <w:p w14:paraId="30C0A85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8.5.1  监理人有权拒绝承包人提供的不合格材料或工程设备，并要求承包人立即进行更换。监理人应在更换后再次进行检查和检验，由此增加的费用和（或）延误的工期由承包人承担。</w:t>
      </w:r>
    </w:p>
    <w:p w14:paraId="32594DC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8.5.2  监理人发现承包人使用了不合格的材料和工程设备，承包人应按照监理人的指示立即改正，并禁止在工程中继续使用不合格的材料和工程设备。</w:t>
      </w:r>
    </w:p>
    <w:p w14:paraId="4A030359">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8.5.3  发包人提供的材料或工程设备不符合合同要求的，承包人有权拒绝，并可要求发包人更换，由此增加的费用和（或）延误的工期由发包人承担，并支付承包人合理的利润。</w:t>
      </w:r>
    </w:p>
    <w:p w14:paraId="2556BD44">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0" w:name="_Toc351203558"/>
      <w:bookmarkEnd w:id="120"/>
      <w:r>
        <w:rPr>
          <w:rFonts w:hint="eastAsia" w:ascii="宋体" w:hAnsi="宋体" w:eastAsia="宋体" w:cs="宋体"/>
          <w:b w:val="0"/>
          <w:bCs/>
          <w:color w:val="000000" w:themeColor="text1"/>
          <w:sz w:val="21"/>
          <w:szCs w:val="21"/>
          <w14:textFill>
            <w14:solidFill>
              <w14:schemeClr w14:val="tx1"/>
            </w14:solidFill>
          </w14:textFill>
        </w:rPr>
        <w:t>8.6  样品</w:t>
      </w:r>
    </w:p>
    <w:p w14:paraId="7F079C3A">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8.6.1  样品的报送与封存</w:t>
      </w:r>
    </w:p>
    <w:p w14:paraId="1EE7CE2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需要承包人报送样品的材料或工程设备，样品的种类、名称、规格、数量等要求均应在专用合同条款中约定。样品的报送程序如下：</w:t>
      </w:r>
    </w:p>
    <w:p w14:paraId="7186941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AA6EC4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103E96E">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（3）经发包人和监理人审批确认的样品应按约定的方法封样，封存的样品作为检验工程相关部分的标准之一。承包人在施工过程中不得使用与样品不符的材料或工程设备。</w:t>
      </w:r>
    </w:p>
    <w:p w14:paraId="1153B0FD">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4B0322E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8.6.2  样品的保管</w:t>
      </w:r>
    </w:p>
    <w:p w14:paraId="76E5AF7C">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经批准的样品应由监理人负责封存于现场，承包人应在现场为保存样品提供适当和固定的场所并保持适当和良好的存储环境条件。</w:t>
      </w:r>
    </w:p>
    <w:p w14:paraId="5E151318">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1" w:name="_Toc351203559"/>
      <w:bookmarkEnd w:id="121"/>
      <w:r>
        <w:rPr>
          <w:rFonts w:hint="eastAsia" w:ascii="宋体" w:hAnsi="宋体" w:eastAsia="宋体" w:cs="宋体"/>
          <w:b w:val="0"/>
          <w:bCs/>
          <w:color w:val="000000" w:themeColor="text1"/>
          <w:sz w:val="21"/>
          <w:szCs w:val="21"/>
          <w14:textFill>
            <w14:solidFill>
              <w14:schemeClr w14:val="tx1"/>
            </w14:solidFill>
          </w14:textFill>
        </w:rPr>
        <w:t>8.7  材料与工程设备的替代</w:t>
      </w:r>
    </w:p>
    <w:p w14:paraId="11A384F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8.7.1  出现下列情况需要使用替代材料和工程设备的，承包人应按照第8.7.2项约定的程序执行：</w:t>
      </w:r>
    </w:p>
    <w:p w14:paraId="2E615EB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（1）基准日期后生效的法律规定禁止使用的；</w:t>
      </w:r>
    </w:p>
    <w:p w14:paraId="707040B0">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（2）发包人要求使用替代品的；</w:t>
      </w:r>
    </w:p>
    <w:p w14:paraId="6A3A07D1">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（3）因其他原因必须使用替代品的。</w:t>
      </w:r>
    </w:p>
    <w:p w14:paraId="0A087537">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8.7.2  承包人应在使用替代材料和工程设备28天前书面通知监理人，并附下列文件：</w:t>
      </w:r>
    </w:p>
    <w:p w14:paraId="02390DB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（1）被替代的材料和工程设备的名称、数量、规格、型号、品牌、性能、价格及其他相关资料；</w:t>
      </w:r>
    </w:p>
    <w:p w14:paraId="706EEDB9">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（2）替代品的名称、数量、规格、型号、品牌、性能、价格及其他相关资料；</w:t>
      </w:r>
    </w:p>
    <w:p w14:paraId="0FE1EC7B">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（3）替代品与被替代产品之间的差异以及使用替代品可能对工程产生的影响；</w:t>
      </w:r>
    </w:p>
    <w:p w14:paraId="274142AF">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（4）替代品与被替代产品的价格差异；</w:t>
      </w:r>
    </w:p>
    <w:p w14:paraId="0E938BED">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（5）使用替代品的理由和原因说明；</w:t>
      </w:r>
    </w:p>
    <w:p w14:paraId="13E75E3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（6）监理人要求的其他文件。</w:t>
      </w:r>
    </w:p>
    <w:p w14:paraId="237209E6">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监理人应在收到通知后14天内向承包人发出经发包人签认的书面指示；监理人逾期发出书面指示的，视为发包人和监理人同意使用替代品。</w:t>
      </w:r>
    </w:p>
    <w:p w14:paraId="56C326DF">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D47D4E3">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2" w:name="_Toc351203560"/>
      <w:bookmarkEnd w:id="122"/>
      <w:r>
        <w:rPr>
          <w:rFonts w:hint="eastAsia" w:ascii="宋体" w:hAnsi="宋体" w:eastAsia="宋体" w:cs="宋体"/>
          <w:b w:val="0"/>
          <w:bCs/>
          <w:color w:val="000000" w:themeColor="text1"/>
          <w:sz w:val="21"/>
          <w:szCs w:val="21"/>
          <w14:textFill>
            <w14:solidFill>
              <w14:schemeClr w14:val="tx1"/>
            </w14:solidFill>
          </w14:textFill>
        </w:rPr>
        <w:t>8.8  施工设备和临时设施</w:t>
      </w:r>
    </w:p>
    <w:p w14:paraId="7A89FC43">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8.8.1  承包人提供的施工设备和临时设施</w:t>
      </w:r>
    </w:p>
    <w:p w14:paraId="6BE51F34">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承包人应按合同进度计划的要求，及时配置施工设备和修建临时设施。进入施工场地的承包人设备需经监理人核查后才能投入使用。承包人更换合同约定的承包人设备的，应报监理人批准。</w:t>
      </w:r>
    </w:p>
    <w:p w14:paraId="6C4D800F">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除专用合同条款另有约定外，承包人应自行承担修建临时设施的费用，需要临时占地的，应由发包人办理申请手续并承担相应费用。</w:t>
      </w:r>
    </w:p>
    <w:p w14:paraId="3A6B2F0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8.8.2  发包人提供的施工设备和临时设施</w:t>
      </w:r>
    </w:p>
    <w:p w14:paraId="04EAE50E">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发包人提供的施工设备或临时设施在专用合同条款中约定。</w:t>
      </w:r>
    </w:p>
    <w:p w14:paraId="5997DE7E">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8.8.3  要求承包人增加或更换施工设备</w:t>
      </w:r>
    </w:p>
    <w:p w14:paraId="6E3E3C5E">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承包人使用的施工设备不能满足合同进度计划和（或）质量要求时，监理人有权要求承包人增加或更换施工设备，承包人应及时增加或更换，由此增加的费用和（或）延误的工期由承包人承担。</w:t>
      </w:r>
    </w:p>
    <w:p w14:paraId="7C94F554">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3" w:name="_Toc351203561"/>
      <w:bookmarkEnd w:id="123"/>
      <w:r>
        <w:rPr>
          <w:rFonts w:hint="eastAsia" w:ascii="宋体" w:hAnsi="宋体" w:eastAsia="宋体" w:cs="宋体"/>
          <w:b w:val="0"/>
          <w:bCs/>
          <w:color w:val="000000" w:themeColor="text1"/>
          <w:sz w:val="21"/>
          <w:szCs w:val="21"/>
          <w14:textFill>
            <w14:solidFill>
              <w14:schemeClr w14:val="tx1"/>
            </w14:solidFill>
          </w14:textFill>
        </w:rPr>
        <w:t>8.9  材料与设备专用要求</w:t>
      </w:r>
    </w:p>
    <w:bookmarkEnd w:id="115"/>
    <w:p w14:paraId="69F8BC41">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3F9A4030">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24" w:name="_Toc351203562"/>
      <w:bookmarkEnd w:id="124"/>
      <w:bookmarkStart w:id="125" w:name="_Toc296503083"/>
      <w:bookmarkStart w:id="126" w:name="_Toc296346584"/>
      <w:r>
        <w:rPr>
          <w:rFonts w:hint="eastAsia" w:ascii="宋体" w:hAnsi="宋体" w:eastAsia="宋体" w:cs="宋体"/>
          <w:b w:val="0"/>
          <w:bCs/>
          <w:color w:val="000000" w:themeColor="text1"/>
          <w14:textFill>
            <w14:solidFill>
              <w14:schemeClr w14:val="tx1"/>
            </w14:solidFill>
          </w14:textFill>
        </w:rPr>
        <w:t>9、试验与检验</w:t>
      </w:r>
    </w:p>
    <w:p w14:paraId="0AFF7397">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7" w:name="_Toc351203563"/>
      <w:bookmarkEnd w:id="127"/>
      <w:r>
        <w:rPr>
          <w:rFonts w:hint="eastAsia" w:ascii="宋体" w:hAnsi="宋体" w:eastAsia="宋体" w:cs="宋体"/>
          <w:b w:val="0"/>
          <w:bCs/>
          <w:color w:val="000000" w:themeColor="text1"/>
          <w:sz w:val="21"/>
          <w:szCs w:val="21"/>
          <w14:textFill>
            <w14:solidFill>
              <w14:schemeClr w14:val="tx1"/>
            </w14:solidFill>
          </w14:textFill>
        </w:rPr>
        <w:t>9.1  试验设备与试验人员</w:t>
      </w:r>
    </w:p>
    <w:p w14:paraId="50D10991">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EEA7DCF">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9.1.2  承包人应按专用合同条款的约定提供试验设备、取样装置、试验场所和试验条件，并向监理人提交相应进场计划表。</w:t>
      </w:r>
    </w:p>
    <w:p w14:paraId="7654A746">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承包人配置的试验设备要符合相应试验规程的要求并经过具有资质的检测单位检测，且在正式使用该试验设备前，需要经过监理人与承包人共同校定。</w:t>
      </w:r>
    </w:p>
    <w:p w14:paraId="240C45D0">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9.1.3  承包人应向监理人提交试验人员的名单及其岗位、资格等证明资料，试验人员必须能够熟练进行相应的检测试验，承包人对试验人员的试验程序和试验结果的正确性负责。</w:t>
      </w:r>
    </w:p>
    <w:p w14:paraId="7DEE4308">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8" w:name="_Toc351203564"/>
      <w:bookmarkEnd w:id="128"/>
      <w:r>
        <w:rPr>
          <w:rFonts w:hint="eastAsia" w:ascii="宋体" w:hAnsi="宋体" w:eastAsia="宋体" w:cs="宋体"/>
          <w:b w:val="0"/>
          <w:bCs/>
          <w:color w:val="000000" w:themeColor="text1"/>
          <w:sz w:val="21"/>
          <w:szCs w:val="21"/>
          <w14:textFill>
            <w14:solidFill>
              <w14:schemeClr w14:val="tx1"/>
            </w14:solidFill>
          </w14:textFill>
        </w:rPr>
        <w:t>9.2  取样</w:t>
      </w:r>
    </w:p>
    <w:p w14:paraId="6C711AB6">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试验属于自检性质的，承包人可以单独取样。试验属于监理人抽检性质的，可由监理人取样，也可由承包人的试验人员在监理人的监督下取样。</w:t>
      </w:r>
    </w:p>
    <w:p w14:paraId="48C8A117">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29" w:name="_Toc351203565"/>
      <w:bookmarkEnd w:id="129"/>
      <w:r>
        <w:rPr>
          <w:rFonts w:hint="eastAsia" w:ascii="宋体" w:hAnsi="宋体" w:eastAsia="宋体" w:cs="宋体"/>
          <w:b w:val="0"/>
          <w:bCs/>
          <w:color w:val="000000" w:themeColor="text1"/>
          <w:sz w:val="21"/>
          <w:szCs w:val="21"/>
          <w14:textFill>
            <w14:solidFill>
              <w14:schemeClr w14:val="tx1"/>
            </w14:solidFill>
          </w14:textFill>
        </w:rPr>
        <w:t>9.3  材料、工程设备和工程的试验和检验</w:t>
      </w:r>
    </w:p>
    <w:p w14:paraId="33A426C0">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9.3.1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9B3C67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360BBFD5">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4F51F97">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0" w:name="_Toc351203566"/>
      <w:bookmarkEnd w:id="130"/>
      <w:r>
        <w:rPr>
          <w:rFonts w:hint="eastAsia" w:ascii="宋体" w:hAnsi="宋体" w:eastAsia="宋体" w:cs="宋体"/>
          <w:b w:val="0"/>
          <w:bCs/>
          <w:color w:val="000000" w:themeColor="text1"/>
          <w:sz w:val="21"/>
          <w:szCs w:val="21"/>
          <w14:textFill>
            <w14:solidFill>
              <w14:schemeClr w14:val="tx1"/>
            </w14:solidFill>
          </w14:textFill>
        </w:rPr>
        <w:t>9.4  现场工艺试验</w:t>
      </w:r>
    </w:p>
    <w:p w14:paraId="4E3ECE7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承包人应按合同约定或监理人指示进行现场工艺试验。对大型的现场工艺试验，监理人认为必要时，承包人应根据监理人提出的工艺试验要求，编制工艺试验措施计划，报送监理人审查。</w:t>
      </w:r>
    </w:p>
    <w:bookmarkEnd w:id="125"/>
    <w:bookmarkEnd w:id="126"/>
    <w:p w14:paraId="267E2BF7">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31" w:name="_Toc351203567"/>
      <w:bookmarkEnd w:id="131"/>
      <w:r>
        <w:rPr>
          <w:rFonts w:hint="eastAsia" w:ascii="宋体" w:hAnsi="宋体" w:eastAsia="宋体" w:cs="宋体"/>
          <w:b w:val="0"/>
          <w:bCs/>
          <w:color w:val="000000" w:themeColor="text1"/>
          <w14:textFill>
            <w14:solidFill>
              <w14:schemeClr w14:val="tx1"/>
            </w14:solidFill>
          </w14:textFill>
        </w:rPr>
        <w:t>10、变更</w:t>
      </w:r>
    </w:p>
    <w:p w14:paraId="6AEBB4F2">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2" w:name="_Toc351203568"/>
      <w:bookmarkEnd w:id="132"/>
      <w:r>
        <w:rPr>
          <w:rFonts w:hint="eastAsia" w:ascii="宋体" w:hAnsi="宋体" w:eastAsia="宋体" w:cs="宋体"/>
          <w:b w:val="0"/>
          <w:bCs/>
          <w:color w:val="000000" w:themeColor="text1"/>
          <w:sz w:val="21"/>
          <w:szCs w:val="21"/>
          <w14:textFill>
            <w14:solidFill>
              <w14:schemeClr w14:val="tx1"/>
            </w14:solidFill>
          </w14:textFill>
        </w:rPr>
        <w:t>10.1  变更的范围</w:t>
      </w:r>
    </w:p>
    <w:p w14:paraId="4F4F6BE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除专用合同条款另有约定外，合同履行过程中发生以下情形的，应按照本条约定进行变更：</w:t>
      </w:r>
    </w:p>
    <w:p w14:paraId="662505F5">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（1）增加或减少合同中任何工作，或追加额外的工作；</w:t>
      </w:r>
    </w:p>
    <w:p w14:paraId="17BCA3F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（2）取消合同中任何工作，但转由他人实施的工作除外；</w:t>
      </w:r>
    </w:p>
    <w:p w14:paraId="6E17D5CB">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（3）改变合同中任何工作的质量标准或其他特性；</w:t>
      </w:r>
    </w:p>
    <w:p w14:paraId="2839222A">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（4）改变工程的基线、标高、位置和尺寸；</w:t>
      </w:r>
    </w:p>
    <w:p w14:paraId="43D89889">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（5）改变工程的时间安排或实施顺序。</w:t>
      </w:r>
    </w:p>
    <w:p w14:paraId="4CA61E0D">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3" w:name="_Toc351203569"/>
      <w:bookmarkEnd w:id="133"/>
      <w:r>
        <w:rPr>
          <w:rFonts w:hint="eastAsia" w:ascii="宋体" w:hAnsi="宋体" w:eastAsia="宋体" w:cs="宋体"/>
          <w:b w:val="0"/>
          <w:bCs/>
          <w:color w:val="000000" w:themeColor="text1"/>
          <w:sz w:val="21"/>
          <w:szCs w:val="21"/>
          <w14:textFill>
            <w14:solidFill>
              <w14:schemeClr w14:val="tx1"/>
            </w14:solidFill>
          </w14:textFill>
        </w:rPr>
        <w:t>10.2  变更权</w:t>
      </w:r>
    </w:p>
    <w:p w14:paraId="025E3CEA">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627E6AD">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涉及设计变更的，应由设计人提供变更后的图纸和说明。如变更超过原设计标准或批准的建设规模时，发包人应及时办理规划、设计变更等审批手续。</w:t>
      </w:r>
    </w:p>
    <w:p w14:paraId="3A873BC9">
      <w:pPr>
        <w:pStyle w:val="39"/>
        <w:keepLines/>
        <w:pageBreakBefore w:val="0"/>
        <w:kinsoku/>
        <w:wordWrap w:val="0"/>
        <w:overflowPunct/>
        <w:bidi w:val="0"/>
        <w:spacing w:line="41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4" w:name="_Toc351203570"/>
      <w:bookmarkEnd w:id="134"/>
      <w:r>
        <w:rPr>
          <w:rFonts w:hint="eastAsia" w:ascii="宋体" w:hAnsi="宋体" w:eastAsia="宋体" w:cs="宋体"/>
          <w:b w:val="0"/>
          <w:bCs/>
          <w:color w:val="000000" w:themeColor="text1"/>
          <w:sz w:val="21"/>
          <w:szCs w:val="21"/>
          <w14:textFill>
            <w14:solidFill>
              <w14:schemeClr w14:val="tx1"/>
            </w14:solidFill>
          </w14:textFill>
        </w:rPr>
        <w:t>10.3  变更程序</w:t>
      </w:r>
    </w:p>
    <w:p w14:paraId="5B21B0F8">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10.3.1  发包人提出变更</w:t>
      </w:r>
    </w:p>
    <w:p w14:paraId="7ED1B044">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发包人提出变更的，应通过监理人向承包人发出变更指示，变更指示应说明计划变更的工程范围和变更的内容。</w:t>
      </w:r>
    </w:p>
    <w:p w14:paraId="3CEBDBCE">
      <w:pPr>
        <w:keepLines/>
        <w:pageBreakBefore w:val="0"/>
        <w:kinsoku/>
        <w:wordWrap w:val="0"/>
        <w:overflowPunct/>
        <w:bidi w:val="0"/>
        <w:spacing w:line="41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10.3.2  监理人提出变更建议</w:t>
      </w:r>
    </w:p>
    <w:p w14:paraId="6F519DA8">
      <w:pPr>
        <w:keepLines/>
        <w:pageBreakBefore w:val="0"/>
        <w:kinsoku/>
        <w:wordWrap w:val="0"/>
        <w:overflowPunct/>
        <w:bidi w:val="0"/>
        <w:spacing w:line="40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1238B129">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10.3.3  变更执行</w:t>
      </w:r>
    </w:p>
    <w:p w14:paraId="6484C279">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1B5D4E7">
      <w:pPr>
        <w:pStyle w:val="39"/>
        <w:keepLines/>
        <w:pageBreakBefore w:val="0"/>
        <w:kinsoku/>
        <w:wordWrap w:val="0"/>
        <w:overflowPunct/>
        <w:bidi w:val="0"/>
        <w:spacing w:line="42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5" w:name="_Toc351203571"/>
      <w:bookmarkEnd w:id="135"/>
      <w:r>
        <w:rPr>
          <w:rFonts w:hint="eastAsia" w:ascii="宋体" w:hAnsi="宋体" w:eastAsia="宋体" w:cs="宋体"/>
          <w:b w:val="0"/>
          <w:bCs/>
          <w:color w:val="000000" w:themeColor="text1"/>
          <w:sz w:val="21"/>
          <w:szCs w:val="21"/>
          <w14:textFill>
            <w14:solidFill>
              <w14:schemeClr w14:val="tx1"/>
            </w14:solidFill>
          </w14:textFill>
        </w:rPr>
        <w:t>10.4  变更估价</w:t>
      </w:r>
    </w:p>
    <w:p w14:paraId="7E00C867">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10.4.1  变更估价原则</w:t>
      </w:r>
    </w:p>
    <w:p w14:paraId="5E079787">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除专用合同条款另有约定外，变更估价按照本款约定处理：</w:t>
      </w:r>
    </w:p>
    <w:p w14:paraId="25C4ADB0">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（1）已标价工程量清单或预算书有相同项目的，按照相同项目单价认定；</w:t>
      </w:r>
    </w:p>
    <w:p w14:paraId="4B87BA94">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（2）已标价工程量清单或预算书中无相同项目，但有类似项目的，参照类似项目的单价认定；</w:t>
      </w:r>
    </w:p>
    <w:p w14:paraId="20137D31">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7317C384">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10.4.2  变更估价程序</w:t>
      </w:r>
    </w:p>
    <w:p w14:paraId="6BA964EC">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55C1E6B7">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因变更引起的价格调整应计入最近一期的进度款中支付。</w:t>
      </w:r>
    </w:p>
    <w:p w14:paraId="69755335">
      <w:pPr>
        <w:pStyle w:val="39"/>
        <w:keepLines/>
        <w:pageBreakBefore w:val="0"/>
        <w:kinsoku/>
        <w:wordWrap w:val="0"/>
        <w:overflowPunct/>
        <w:bidi w:val="0"/>
        <w:spacing w:line="42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6" w:name="_Toc351203572"/>
      <w:bookmarkEnd w:id="136"/>
      <w:r>
        <w:rPr>
          <w:rFonts w:hint="eastAsia" w:ascii="宋体" w:hAnsi="宋体" w:eastAsia="宋体" w:cs="宋体"/>
          <w:b w:val="0"/>
          <w:bCs/>
          <w:color w:val="000000" w:themeColor="text1"/>
          <w:sz w:val="21"/>
          <w:szCs w:val="21"/>
          <w14:textFill>
            <w14:solidFill>
              <w14:schemeClr w14:val="tx1"/>
            </w14:solidFill>
          </w14:textFill>
        </w:rPr>
        <w:t>10.5  承包人的合理化建议</w:t>
      </w:r>
    </w:p>
    <w:p w14:paraId="7255927B">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承包人提出合理化建议的，应向监理人提交合理化建议说明，说明建议的内容和理由，以及实施该建议对合同价格和工期的影响。</w:t>
      </w:r>
    </w:p>
    <w:p w14:paraId="56CB04B2">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7266750F">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合理化建议降低了合同价格或者提高了工程经济效益的，发包人可对承包人给予奖励，奖励的方法和金额在专用合同条款中约定。</w:t>
      </w:r>
    </w:p>
    <w:p w14:paraId="221AE521">
      <w:pPr>
        <w:pStyle w:val="39"/>
        <w:keepLines/>
        <w:pageBreakBefore w:val="0"/>
        <w:kinsoku/>
        <w:wordWrap w:val="0"/>
        <w:overflowPunct/>
        <w:bidi w:val="0"/>
        <w:spacing w:line="42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7" w:name="_Toc351203573"/>
      <w:bookmarkEnd w:id="137"/>
      <w:bookmarkStart w:id="138" w:name="_Toc337558793"/>
      <w:bookmarkEnd w:id="138"/>
      <w:r>
        <w:rPr>
          <w:rFonts w:hint="eastAsia" w:ascii="宋体" w:hAnsi="宋体" w:eastAsia="宋体" w:cs="宋体"/>
          <w:b w:val="0"/>
          <w:bCs/>
          <w:color w:val="000000" w:themeColor="text1"/>
          <w:sz w:val="21"/>
          <w:szCs w:val="21"/>
          <w14:textFill>
            <w14:solidFill>
              <w14:schemeClr w14:val="tx1"/>
            </w14:solidFill>
          </w14:textFill>
        </w:rPr>
        <w:t xml:space="preserve">10.6  变更引起的工期调整   </w:t>
      </w:r>
    </w:p>
    <w:p w14:paraId="77B6AC9B">
      <w:pPr>
        <w:keepLines/>
        <w:pageBreakBefore w:val="0"/>
        <w:kinsoku/>
        <w:wordWrap w:val="0"/>
        <w:overflowPunct/>
        <w:bidi w:val="0"/>
        <w:spacing w:line="42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因变更引起工期变化的，合同当事人均可要求调整合同工期，由合同当事人按照第4.4款[商定或确定]并参考工程所在地的工期定额标准确定增减工期天数。</w:t>
      </w:r>
    </w:p>
    <w:p w14:paraId="0AE5149A">
      <w:pPr>
        <w:pStyle w:val="39"/>
        <w:keepLines/>
        <w:pageBreakBefore w:val="0"/>
        <w:kinsoku/>
        <w:wordWrap w:val="0"/>
        <w:overflowPunct/>
        <w:bidi w:val="0"/>
        <w:spacing w:line="42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39" w:name="_Toc351203574"/>
      <w:bookmarkEnd w:id="139"/>
      <w:r>
        <w:rPr>
          <w:rFonts w:hint="eastAsia" w:ascii="宋体" w:hAnsi="宋体" w:eastAsia="宋体" w:cs="宋体"/>
          <w:b w:val="0"/>
          <w:bCs/>
          <w:color w:val="000000" w:themeColor="text1"/>
          <w:sz w:val="21"/>
          <w:szCs w:val="21"/>
          <w14:textFill>
            <w14:solidFill>
              <w14:schemeClr w14:val="tx1"/>
            </w14:solidFill>
          </w14:textFill>
        </w:rPr>
        <w:t>10.7  暂估价</w:t>
      </w:r>
    </w:p>
    <w:p w14:paraId="680550DB">
      <w:pPr>
        <w:keepLines/>
        <w:pageBreakBefore w:val="0"/>
        <w:kinsoku/>
        <w:wordWrap w:val="0"/>
        <w:overflowPunct/>
        <w:autoSpaceDE w:val="0"/>
        <w:autoSpaceDN w:val="0"/>
        <w:bidi w:val="0"/>
        <w:spacing w:line="420" w:lineRule="exact"/>
        <w:ind w:firstLine="408"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暂估价专业分包工程、服务、材料和工程设备的明细由合同当事人在专用合同条款中约定。</w:t>
      </w:r>
    </w:p>
    <w:p w14:paraId="00DA9D56">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10.7.1  依法必须招标的暂估价项目</w:t>
      </w:r>
    </w:p>
    <w:p w14:paraId="093D0FAD">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对于依法必须招标的暂估价项目，采取以下第1种方式确定。合同当事人也可以在专用合同条款中选择其他招标方式。</w:t>
      </w:r>
    </w:p>
    <w:p w14:paraId="37AC9A0B">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第1种方式：对于依法必须招标的暂估价项目，由承包人招标，对该暂估价项目的确认和批准按照以下约定执行：</w:t>
      </w:r>
    </w:p>
    <w:p w14:paraId="7B427A48">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9356EAA">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1F3FF3D">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050ECFB">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CF0FA6D">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10.7.2  不属于依法必须招标的暂估价项目</w:t>
      </w:r>
    </w:p>
    <w:p w14:paraId="380E7D4C">
      <w:pPr>
        <w:keepLines/>
        <w:pageBreakBefore w:val="0"/>
        <w:kinsoku/>
        <w:wordWrap w:val="0"/>
        <w:overflowPunct/>
        <w:autoSpaceDE w:val="0"/>
        <w:autoSpaceDN w:val="0"/>
        <w:bidi w:val="0"/>
        <w:spacing w:line="37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 xml:space="preserve">除专用合同条款另有约定外，对于不属于依法必须招标的暂估价项目，采取以下第1种方式确定： </w:t>
      </w:r>
    </w:p>
    <w:p w14:paraId="285F5B2C">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第1种方式：对于不属于依法必须招标的暂估价项目，按本项约定确认和批准：</w:t>
      </w:r>
    </w:p>
    <w:p w14:paraId="656C464F">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DD17382">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（2）发包人认为承包人确定的供应商、分包人无法满足工程质量或合同要求的，发包人可以要求承包人重新确定暂估价项目的供应商、分包人;</w:t>
      </w:r>
    </w:p>
    <w:p w14:paraId="5B673D67">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（3）承包人应当在签订暂估价合同后7天内，将暂估价合同副本报送发包人留存。</w:t>
      </w:r>
    </w:p>
    <w:p w14:paraId="70E40312">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第2种方式：承包人按照第10.7.1项[依法必须招标的暂估价项目]约定的第1种方式确定暂估价项目。</w:t>
      </w:r>
    </w:p>
    <w:p w14:paraId="5C017E42">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第3种方式：承包人直接实施的暂估价项目</w:t>
      </w:r>
    </w:p>
    <w:p w14:paraId="55F793A8">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承包人具备实施暂估价项目的资格和条件的，经发包人和承包人协商一致后，可由承包人自行实施暂估价项目，合同当事人可以在专用合同条款约定具体事项。</w:t>
      </w:r>
    </w:p>
    <w:p w14:paraId="3F5798E1">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1725DEA3">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40" w:name="_Toc351203575"/>
      <w:bookmarkEnd w:id="140"/>
      <w:r>
        <w:rPr>
          <w:rFonts w:hint="eastAsia" w:ascii="宋体" w:hAnsi="宋体" w:eastAsia="宋体" w:cs="宋体"/>
          <w:b w:val="0"/>
          <w:bCs/>
          <w:color w:val="000000" w:themeColor="text1"/>
          <w:sz w:val="21"/>
          <w:szCs w:val="21"/>
          <w14:textFill>
            <w14:solidFill>
              <w14:schemeClr w14:val="tx1"/>
            </w14:solidFill>
          </w14:textFill>
        </w:rPr>
        <w:t>10.8  暂列金额</w:t>
      </w:r>
    </w:p>
    <w:p w14:paraId="0DA58138">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暂列金额应按照发包人的要求使用，发包人的要求应通过监理人发出。合同当事人可以在专用合同条款中协商确定有关事项。</w:t>
      </w:r>
    </w:p>
    <w:p w14:paraId="7E647B96">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41" w:name="_Toc337558796"/>
      <w:bookmarkEnd w:id="141"/>
      <w:bookmarkStart w:id="142" w:name="_Toc296503091"/>
      <w:bookmarkEnd w:id="142"/>
      <w:bookmarkStart w:id="143" w:name="_Toc296346592"/>
      <w:bookmarkEnd w:id="143"/>
      <w:bookmarkStart w:id="144" w:name="_Toc351203576"/>
      <w:bookmarkEnd w:id="144"/>
      <w:r>
        <w:rPr>
          <w:rFonts w:hint="eastAsia" w:ascii="宋体" w:hAnsi="宋体" w:eastAsia="宋体" w:cs="宋体"/>
          <w:b w:val="0"/>
          <w:bCs/>
          <w:color w:val="000000" w:themeColor="text1"/>
          <w:sz w:val="21"/>
          <w:szCs w:val="21"/>
          <w14:textFill>
            <w14:solidFill>
              <w14:schemeClr w14:val="tx1"/>
            </w14:solidFill>
          </w14:textFill>
        </w:rPr>
        <w:t xml:space="preserve">10.9  计日工 </w:t>
      </w:r>
    </w:p>
    <w:p w14:paraId="6AE8CD6B">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2450A19F">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采用计日工计价的任何一项工作，承包人应在该项工作实施过程中，每天提交以下报表和有关凭证报送监理人审查：</w:t>
      </w:r>
    </w:p>
    <w:p w14:paraId="79D6F380">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（1）工作名称、内容和数量；</w:t>
      </w:r>
    </w:p>
    <w:p w14:paraId="496F84A9">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（2）投入该工作的所有人员的姓名、专业、工种、级别和耗用工时；</w:t>
      </w:r>
    </w:p>
    <w:p w14:paraId="3CFDF442">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（3）投入该工作的材料类别和数量；</w:t>
      </w:r>
    </w:p>
    <w:p w14:paraId="4FA1DF82">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（4）投入该工作的施工设备型号、台数和耗用台时；</w:t>
      </w:r>
    </w:p>
    <w:p w14:paraId="006F0338">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（5）其他有关资料和凭证。</w:t>
      </w:r>
    </w:p>
    <w:p w14:paraId="3180CD8F">
      <w:pPr>
        <w:keepLines/>
        <w:pageBreakBefore w:val="0"/>
        <w:kinsoku/>
        <w:wordWrap w:val="0"/>
        <w:overflowPunct/>
        <w:autoSpaceDE w:val="0"/>
        <w:autoSpaceDN w:val="0"/>
        <w:bidi w:val="0"/>
        <w:spacing w:line="360"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计日工由承包人汇总后，列入最近一期进度付款申请单，由监理人审查并经发包人批准后列入进度付款。</w:t>
      </w:r>
    </w:p>
    <w:p w14:paraId="6B53C8EC">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45" w:name="_Toc351203577"/>
      <w:bookmarkEnd w:id="145"/>
      <w:r>
        <w:rPr>
          <w:rFonts w:hint="eastAsia" w:ascii="宋体" w:hAnsi="宋体" w:eastAsia="宋体" w:cs="宋体"/>
          <w:b w:val="0"/>
          <w:bCs/>
          <w:color w:val="000000" w:themeColor="text1"/>
          <w14:textFill>
            <w14:solidFill>
              <w14:schemeClr w14:val="tx1"/>
            </w14:solidFill>
          </w14:textFill>
        </w:rPr>
        <w:t>11、价格调整</w:t>
      </w:r>
    </w:p>
    <w:p w14:paraId="4DAD1C40">
      <w:pPr>
        <w:pStyle w:val="6"/>
        <w:keepLines/>
        <w:pageBreakBefore w:val="0"/>
        <w:kinsoku/>
        <w:wordWrap w:val="0"/>
        <w:overflowPunct/>
        <w:bidi w:val="0"/>
        <w:spacing w:line="360" w:lineRule="exact"/>
        <w:ind w:firstLine="0"/>
        <w:textAlignment w:val="auto"/>
        <w:rPr>
          <w:rFonts w:hint="eastAsia" w:ascii="宋体" w:hAnsi="宋体" w:eastAsia="宋体" w:cs="宋体"/>
          <w:b w:val="0"/>
          <w:bCs/>
          <w:color w:val="000000" w:themeColor="text1"/>
          <w:spacing w:val="-3"/>
          <w:kern w:val="2"/>
          <w:sz w:val="21"/>
          <w:szCs w:val="24"/>
          <w14:textFill>
            <w14:solidFill>
              <w14:schemeClr w14:val="tx1"/>
            </w14:solidFill>
          </w14:textFill>
        </w:rPr>
      </w:pPr>
      <w:bookmarkStart w:id="146" w:name="_Toc351203578"/>
      <w:bookmarkEnd w:id="146"/>
      <w:r>
        <w:rPr>
          <w:rFonts w:hint="eastAsia" w:ascii="宋体" w:hAnsi="宋体" w:eastAsia="宋体" w:cs="宋体"/>
          <w:b w:val="0"/>
          <w:bCs/>
          <w:color w:val="000000" w:themeColor="text1"/>
          <w:spacing w:val="-3"/>
          <w:kern w:val="2"/>
          <w:sz w:val="21"/>
          <w:szCs w:val="24"/>
          <w14:textFill>
            <w14:solidFill>
              <w14:schemeClr w14:val="tx1"/>
            </w14:solidFill>
          </w14:textFill>
        </w:rPr>
        <w:t>11.1  市场价格波动引起的调整</w:t>
      </w:r>
    </w:p>
    <w:p w14:paraId="394F3CB5">
      <w:pPr>
        <w:keepLines/>
        <w:pageBreakBefore w:val="0"/>
        <w:kinsoku/>
        <w:wordWrap w:val="0"/>
        <w:overflowPunct/>
        <w:bidi w:val="0"/>
        <w:spacing w:line="34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除专用合同条款另有约定外，市场价格波动超过合同当事人约定的范围，合同价格应当调整。合同当事人可以在专用合同条款中约定选择以下一种方式对合同价格进行调整：</w:t>
      </w:r>
    </w:p>
    <w:p w14:paraId="0238520E">
      <w:pPr>
        <w:keepLines/>
        <w:pageBreakBefore w:val="0"/>
        <w:kinsoku/>
        <w:wordWrap w:val="0"/>
        <w:overflowPunct/>
        <w:bidi w:val="0"/>
        <w:spacing w:line="34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第1种方式：采用价格指数进行价格调整。</w:t>
      </w:r>
    </w:p>
    <w:p w14:paraId="4E91D921">
      <w:pPr>
        <w:keepLines/>
        <w:pageBreakBefore w:val="0"/>
        <w:tabs>
          <w:tab w:val="left" w:pos="0"/>
          <w:tab w:val="left" w:pos="360"/>
          <w:tab w:val="left" w:pos="540"/>
        </w:tabs>
        <w:kinsoku/>
        <w:wordWrap w:val="0"/>
        <w:overflowPunct/>
        <w:bidi w:val="0"/>
        <w:spacing w:line="34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（1）价格调整公式</w:t>
      </w:r>
    </w:p>
    <w:p w14:paraId="2544B3FC">
      <w:pPr>
        <w:keepLines/>
        <w:pageBreakBefore w:val="0"/>
        <w:tabs>
          <w:tab w:val="left" w:pos="0"/>
          <w:tab w:val="left" w:pos="360"/>
          <w:tab w:val="left" w:pos="540"/>
        </w:tabs>
        <w:kinsoku/>
        <w:wordWrap w:val="0"/>
        <w:overflowPunct/>
        <w:bidi w:val="0"/>
        <w:spacing w:line="346" w:lineRule="exact"/>
        <w:ind w:firstLine="408" w:firstLineChars="200"/>
        <w:textAlignment w:val="auto"/>
        <w:rPr>
          <w:rFonts w:hint="eastAsia" w:ascii="宋体" w:hAnsi="宋体" w:eastAsia="宋体" w:cs="宋体"/>
          <w:b w:val="0"/>
          <w:bCs/>
          <w:color w:val="000000" w:themeColor="text1"/>
          <w:spacing w:val="-3"/>
          <w14:textFill>
            <w14:solidFill>
              <w14:schemeClr w14:val="tx1"/>
            </w14:solidFill>
          </w14:textFill>
        </w:rPr>
      </w:pPr>
      <w:r>
        <w:rPr>
          <w:rFonts w:hint="eastAsia" w:ascii="宋体" w:hAnsi="宋体" w:eastAsia="宋体" w:cs="宋体"/>
          <w:b w:val="0"/>
          <w:bCs/>
          <w:color w:val="000000" w:themeColor="text1"/>
          <w:spacing w:val="-3"/>
          <w14:textFill>
            <w14:solidFill>
              <w14:schemeClr w14:val="tx1"/>
            </w14:solidFill>
          </w14:textFill>
        </w:rPr>
        <w:t>因人工、材料和设备等价格波动影响合同价格时，根据专用合同条款中约定的数据，按以下公式计算差额并调整合同价格：</w:t>
      </w:r>
    </w:p>
    <w:p w14:paraId="448F7394">
      <w:pPr>
        <w:keepLines/>
        <w:pageBreakBefore w:val="0"/>
        <w:tabs>
          <w:tab w:val="left" w:pos="0"/>
          <w:tab w:val="left" w:pos="360"/>
          <w:tab w:val="left" w:pos="540"/>
        </w:tabs>
        <w:kinsoku/>
        <w:wordWrap w:val="0"/>
        <w:overflowPunct/>
        <w:bidi w:val="0"/>
        <w:ind w:firstLine="48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position w:val="-34"/>
          <w:sz w:val="24"/>
          <w14:textFill>
            <w14:solidFill>
              <w14:schemeClr w14:val="tx1"/>
            </w14:solidFill>
          </w14:textFill>
        </w:rPr>
        <w:drawing>
          <wp:inline distT="0" distB="0" distL="0" distR="0">
            <wp:extent cx="4715510" cy="623570"/>
            <wp:effectExtent l="0" t="0" r="8890" b="5080"/>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0"/>
                    <a:stretch>
                      <a:fillRect/>
                    </a:stretch>
                  </pic:blipFill>
                  <pic:spPr>
                    <a:xfrm>
                      <a:off x="0" y="0"/>
                      <a:ext cx="4715510" cy="623570"/>
                    </a:xfrm>
                    <a:prstGeom prst="rect">
                      <a:avLst/>
                    </a:prstGeom>
                  </pic:spPr>
                </pic:pic>
              </a:graphicData>
            </a:graphic>
          </wp:inline>
        </w:drawing>
      </w:r>
    </w:p>
    <w:p w14:paraId="0245A230">
      <w:pPr>
        <w:keepLines/>
        <w:pageBreakBefore w:val="0"/>
        <w:tabs>
          <w:tab w:val="left" w:pos="0"/>
          <w:tab w:val="left" w:pos="360"/>
          <w:tab w:val="left" w:pos="540"/>
        </w:tabs>
        <w:kinsoku/>
        <w:wordWrap w:val="0"/>
        <w:overflowPunct/>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公式中：</w:t>
      </w:r>
      <w:r>
        <w:rPr>
          <w:rFonts w:hint="eastAsia" w:ascii="宋体" w:hAnsi="宋体" w:eastAsia="宋体" w:cs="宋体"/>
          <w:b w:val="0"/>
          <w:bCs/>
          <w:color w:val="000000" w:themeColor="text1"/>
          <w:position w:val="-4"/>
          <w:szCs w:val="21"/>
          <w14:textFill>
            <w14:solidFill>
              <w14:schemeClr w14:val="tx1"/>
            </w14:solidFill>
          </w14:textFill>
        </w:rPr>
        <w:drawing>
          <wp:inline distT="0" distB="0" distL="0" distR="0">
            <wp:extent cx="266700" cy="177165"/>
            <wp:effectExtent l="0" t="0" r="0" b="13970"/>
            <wp:docPr id="2" name="_x0000_i1026"/>
            <wp:cNvGraphicFramePr/>
            <a:graphic xmlns:a="http://schemas.openxmlformats.org/drawingml/2006/main">
              <a:graphicData uri="http://schemas.openxmlformats.org/drawingml/2006/picture">
                <pic:pic xmlns:pic="http://schemas.openxmlformats.org/drawingml/2006/picture">
                  <pic:nvPicPr>
                    <pic:cNvPr id="2" name="_x0000_i1026"/>
                    <pic:cNvPicPr/>
                  </pic:nvPicPr>
                  <pic:blipFill>
                    <a:blip r:embed="rId11"/>
                    <a:stretch>
                      <a:fillRect/>
                    </a:stretch>
                  </pic:blipFill>
                  <pic:spPr>
                    <a:xfrm>
                      <a:off x="0" y="0"/>
                      <a:ext cx="266700" cy="177165"/>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——需调整的价格差额；</w:t>
      </w:r>
    </w:p>
    <w:p w14:paraId="2259E16A">
      <w:pPr>
        <w:keepLines/>
        <w:pageBreakBefore w:val="0"/>
        <w:tabs>
          <w:tab w:val="left" w:pos="0"/>
          <w:tab w:val="left" w:pos="360"/>
          <w:tab w:val="left" w:pos="540"/>
        </w:tabs>
        <w:kinsoku/>
        <w:wordWrap w:val="0"/>
        <w:overflowPunct/>
        <w:bidi w:val="0"/>
        <w:spacing w:line="368" w:lineRule="exact"/>
        <w:ind w:firstLine="1241" w:firstLineChars="591"/>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position w:val="-6"/>
          <w:szCs w:val="21"/>
          <w14:textFill>
            <w14:solidFill>
              <w14:schemeClr w14:val="tx1"/>
            </w14:solidFill>
          </w14:textFill>
        </w:rPr>
        <w:drawing>
          <wp:inline distT="0" distB="0" distL="0" distR="0">
            <wp:extent cx="255270" cy="222250"/>
            <wp:effectExtent l="0" t="0" r="11430" b="0"/>
            <wp:docPr id="3" name="_x0000_i1027"/>
            <wp:cNvGraphicFramePr/>
            <a:graphic xmlns:a="http://schemas.openxmlformats.org/drawingml/2006/main">
              <a:graphicData uri="http://schemas.openxmlformats.org/drawingml/2006/picture">
                <pic:pic xmlns:pic="http://schemas.openxmlformats.org/drawingml/2006/picture">
                  <pic:nvPicPr>
                    <pic:cNvPr id="3" name="_x0000_i1027"/>
                    <pic:cNvPicPr/>
                  </pic:nvPicPr>
                  <pic:blipFill>
                    <a:blip r:embed="rId12"/>
                    <a:stretch>
                      <a:fillRect/>
                    </a:stretch>
                  </pic:blipFill>
                  <pic:spPr>
                    <a:xfrm>
                      <a:off x="0" y="0"/>
                      <a:ext cx="255270" cy="222250"/>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——约定的付款证书中承包人应得到的已完成工程量的金额。此项金额应不包括价格调整、不计质量保证金的扣留和支付、预付款的支付和扣回。约定的变更及其他金额已按现行价格计价的，也不计在内；</w:t>
      </w:r>
    </w:p>
    <w:p w14:paraId="761653DC">
      <w:pPr>
        <w:keepLines/>
        <w:pageBreakBefore w:val="0"/>
        <w:tabs>
          <w:tab w:val="left" w:pos="0"/>
          <w:tab w:val="left" w:pos="360"/>
          <w:tab w:val="left" w:pos="540"/>
        </w:tabs>
        <w:kinsoku/>
        <w:wordWrap w:val="0"/>
        <w:overflowPunct/>
        <w:bidi w:val="0"/>
        <w:spacing w:line="368" w:lineRule="exact"/>
        <w:ind w:firstLine="1329" w:firstLineChars="633"/>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position w:val="-4"/>
          <w:szCs w:val="21"/>
          <w14:textFill>
            <w14:solidFill>
              <w14:schemeClr w14:val="tx1"/>
            </w14:solidFill>
          </w14:textFill>
        </w:rPr>
        <w:drawing>
          <wp:inline distT="0" distB="0" distL="0" distR="0">
            <wp:extent cx="165100" cy="177165"/>
            <wp:effectExtent l="0" t="0" r="6350" b="13970"/>
            <wp:docPr id="4" name="_x0000_i1028"/>
            <wp:cNvGraphicFramePr/>
            <a:graphic xmlns:a="http://schemas.openxmlformats.org/drawingml/2006/main">
              <a:graphicData uri="http://schemas.openxmlformats.org/drawingml/2006/picture">
                <pic:pic xmlns:pic="http://schemas.openxmlformats.org/drawingml/2006/picture">
                  <pic:nvPicPr>
                    <pic:cNvPr id="4" name="_x0000_i1028"/>
                    <pic:cNvPicPr/>
                  </pic:nvPicPr>
                  <pic:blipFill>
                    <a:blip r:embed="rId13"/>
                    <a:stretch>
                      <a:fillRect/>
                    </a:stretch>
                  </pic:blipFill>
                  <pic:spPr>
                    <a:xfrm>
                      <a:off x="0" y="0"/>
                      <a:ext cx="165100" cy="177165"/>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——定值权重（即不调部分的权重）；</w:t>
      </w:r>
    </w:p>
    <w:p w14:paraId="4E4513A9">
      <w:pPr>
        <w:keepLines/>
        <w:pageBreakBefore w:val="0"/>
        <w:tabs>
          <w:tab w:val="left" w:pos="360"/>
          <w:tab w:val="left" w:pos="540"/>
        </w:tabs>
        <w:kinsoku/>
        <w:wordWrap w:val="0"/>
        <w:overflowPunct/>
        <w:bidi w:val="0"/>
        <w:spacing w:line="368" w:lineRule="exact"/>
        <w:ind w:left="1629" w:leftChars="104" w:hanging="1411" w:hangingChars="672"/>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position w:val="-12"/>
          <w:szCs w:val="21"/>
          <w14:textFill>
            <w14:solidFill>
              <w14:schemeClr w14:val="tx1"/>
            </w14:solidFill>
          </w14:textFill>
        </w:rPr>
        <w:drawing>
          <wp:inline distT="0" distB="0" distL="0" distR="0">
            <wp:extent cx="647700" cy="241300"/>
            <wp:effectExtent l="0" t="0" r="0" b="5080"/>
            <wp:docPr id="5" name="_x0000_i1029"/>
            <wp:cNvGraphicFramePr/>
            <a:graphic xmlns:a="http://schemas.openxmlformats.org/drawingml/2006/main">
              <a:graphicData uri="http://schemas.openxmlformats.org/drawingml/2006/picture">
                <pic:pic xmlns:pic="http://schemas.openxmlformats.org/drawingml/2006/picture">
                  <pic:nvPicPr>
                    <pic:cNvPr id="5" name="_x0000_i1029"/>
                    <pic:cNvPicPr/>
                  </pic:nvPicPr>
                  <pic:blipFill>
                    <a:blip r:embed="rId14"/>
                    <a:stretch>
                      <a:fillRect/>
                    </a:stretch>
                  </pic:blipFill>
                  <pic:spPr>
                    <a:xfrm>
                      <a:off x="0" y="0"/>
                      <a:ext cx="647700" cy="241300"/>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w:t>
      </w:r>
      <w:r>
        <w:rPr>
          <w:rFonts w:hint="eastAsia" w:ascii="宋体" w:hAnsi="宋体" w:eastAsia="宋体" w:cs="宋体"/>
          <w:b w:val="0"/>
          <w:bCs/>
          <w:color w:val="000000" w:themeColor="text1"/>
          <w:position w:val="-12"/>
          <w:szCs w:val="21"/>
          <w14:textFill>
            <w14:solidFill>
              <w14:schemeClr w14:val="tx1"/>
            </w14:solidFill>
          </w14:textFill>
        </w:rPr>
        <w:drawing>
          <wp:inline distT="0" distB="0" distL="0" distR="0">
            <wp:extent cx="203200" cy="241300"/>
            <wp:effectExtent l="0" t="0" r="5715" b="5080"/>
            <wp:docPr id="6" name="_x0000_i1030"/>
            <wp:cNvGraphicFramePr/>
            <a:graphic xmlns:a="http://schemas.openxmlformats.org/drawingml/2006/main">
              <a:graphicData uri="http://schemas.openxmlformats.org/drawingml/2006/picture">
                <pic:pic xmlns:pic="http://schemas.openxmlformats.org/drawingml/2006/picture">
                  <pic:nvPicPr>
                    <pic:cNvPr id="6" name="_x0000_i1030"/>
                    <pic:cNvPicPr/>
                  </pic:nvPicPr>
                  <pic:blipFill>
                    <a:blip r:embed="rId15"/>
                    <a:stretch>
                      <a:fillRect/>
                    </a:stretch>
                  </pic:blipFill>
                  <pic:spPr>
                    <a:xfrm>
                      <a:off x="0" y="0"/>
                      <a:ext cx="203200" cy="241300"/>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——各可调因子的变值权重（即可调部分的权重），为各可调因子在签约合同价中所占的比例；</w:t>
      </w:r>
    </w:p>
    <w:p w14:paraId="16CC3263">
      <w:pPr>
        <w:keepLines/>
        <w:pageBreakBefore w:val="0"/>
        <w:tabs>
          <w:tab w:val="left" w:pos="360"/>
          <w:tab w:val="left" w:pos="540"/>
        </w:tabs>
        <w:kinsoku/>
        <w:wordWrap w:val="0"/>
        <w:overflowPunct/>
        <w:bidi w:val="0"/>
        <w:spacing w:line="368" w:lineRule="exact"/>
        <w:ind w:left="1562" w:leftChars="28" w:hanging="1503" w:hangingChars="716"/>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position w:val="-10"/>
          <w:szCs w:val="21"/>
          <w14:textFill>
            <w14:solidFill>
              <w14:schemeClr w14:val="tx1"/>
            </w14:solidFill>
          </w14:textFill>
        </w:rPr>
        <w:drawing>
          <wp:inline distT="0" distB="0" distL="0" distR="0">
            <wp:extent cx="752475" cy="293370"/>
            <wp:effectExtent l="0" t="0" r="9525" b="13335"/>
            <wp:docPr id="7" name="_x0000_i1031"/>
            <wp:cNvGraphicFramePr/>
            <a:graphic xmlns:a="http://schemas.openxmlformats.org/drawingml/2006/main">
              <a:graphicData uri="http://schemas.openxmlformats.org/drawingml/2006/picture">
                <pic:pic xmlns:pic="http://schemas.openxmlformats.org/drawingml/2006/picture">
                  <pic:nvPicPr>
                    <pic:cNvPr id="7" name="_x0000_i1031"/>
                    <pic:cNvPicPr/>
                  </pic:nvPicPr>
                  <pic:blipFill>
                    <a:blip r:embed="rId16"/>
                    <a:stretch>
                      <a:fillRect/>
                    </a:stretch>
                  </pic:blipFill>
                  <pic:spPr>
                    <a:xfrm>
                      <a:off x="0" y="0"/>
                      <a:ext cx="752475" cy="293370"/>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w:t>
      </w:r>
      <w:r>
        <w:rPr>
          <w:rFonts w:hint="eastAsia" w:ascii="宋体" w:hAnsi="宋体" w:eastAsia="宋体" w:cs="宋体"/>
          <w:b w:val="0"/>
          <w:bCs/>
          <w:color w:val="000000" w:themeColor="text1"/>
          <w:position w:val="-12"/>
          <w:szCs w:val="21"/>
          <w14:textFill>
            <w14:solidFill>
              <w14:schemeClr w14:val="tx1"/>
            </w14:solidFill>
          </w14:textFill>
        </w:rPr>
        <w:drawing>
          <wp:inline distT="0" distB="0" distL="0" distR="0">
            <wp:extent cx="215900" cy="228600"/>
            <wp:effectExtent l="0" t="0" r="12700" b="0"/>
            <wp:docPr id="8" name="_x0000_i1032"/>
            <wp:cNvGraphicFramePr/>
            <a:graphic xmlns:a="http://schemas.openxmlformats.org/drawingml/2006/main">
              <a:graphicData uri="http://schemas.openxmlformats.org/drawingml/2006/picture">
                <pic:pic xmlns:pic="http://schemas.openxmlformats.org/drawingml/2006/picture">
                  <pic:nvPicPr>
                    <pic:cNvPr id="8" name="_x0000_i1032"/>
                    <pic:cNvPicPr/>
                  </pic:nvPicPr>
                  <pic:blipFill>
                    <a:blip r:embed="rId17"/>
                    <a:stretch>
                      <a:fillRect/>
                    </a:stretch>
                  </pic:blipFill>
                  <pic:spPr>
                    <a:xfrm>
                      <a:off x="0" y="0"/>
                      <a:ext cx="215900" cy="228600"/>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——各可调因子的现行价格指数，指约定的付款证书相关周期最后一天的前42天的各可调因子的价格指数；</w:t>
      </w:r>
    </w:p>
    <w:p w14:paraId="3D67D682">
      <w:pPr>
        <w:keepLines/>
        <w:pageBreakBefore w:val="0"/>
        <w:tabs>
          <w:tab w:val="left" w:pos="360"/>
          <w:tab w:val="left" w:pos="540"/>
          <w:tab w:val="left" w:pos="840"/>
        </w:tabs>
        <w:kinsoku/>
        <w:wordWrap w:val="0"/>
        <w:overflowPunct/>
        <w:bidi w:val="0"/>
        <w:spacing w:line="368" w:lineRule="exact"/>
        <w:ind w:left="1566" w:leftChars="-19" w:hanging="1606" w:hangingChars="765"/>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position w:val="-12"/>
          <w:szCs w:val="21"/>
          <w14:textFill>
            <w14:solidFill>
              <w14:schemeClr w14:val="tx1"/>
            </w14:solidFill>
          </w14:textFill>
        </w:rPr>
        <w:drawing>
          <wp:inline distT="0" distB="0" distL="0" distR="0">
            <wp:extent cx="809625" cy="287655"/>
            <wp:effectExtent l="0" t="0" r="0" b="17780"/>
            <wp:docPr id="9" name="_x0000_i1033"/>
            <wp:cNvGraphicFramePr/>
            <a:graphic xmlns:a="http://schemas.openxmlformats.org/drawingml/2006/main">
              <a:graphicData uri="http://schemas.openxmlformats.org/drawingml/2006/picture">
                <pic:pic xmlns:pic="http://schemas.openxmlformats.org/drawingml/2006/picture">
                  <pic:nvPicPr>
                    <pic:cNvPr id="9" name="_x0000_i1033"/>
                    <pic:cNvPicPr/>
                  </pic:nvPicPr>
                  <pic:blipFill>
                    <a:blip r:embed="rId18"/>
                    <a:stretch>
                      <a:fillRect/>
                    </a:stretch>
                  </pic:blipFill>
                  <pic:spPr>
                    <a:xfrm>
                      <a:off x="0" y="0"/>
                      <a:ext cx="809625" cy="287655"/>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w:t>
      </w:r>
      <w:r>
        <w:rPr>
          <w:rFonts w:hint="eastAsia" w:ascii="宋体" w:hAnsi="宋体" w:eastAsia="宋体" w:cs="宋体"/>
          <w:b w:val="0"/>
          <w:bCs/>
          <w:color w:val="000000" w:themeColor="text1"/>
          <w:position w:val="-12"/>
          <w:szCs w:val="21"/>
          <w14:textFill>
            <w14:solidFill>
              <w14:schemeClr w14:val="tx1"/>
            </w14:solidFill>
          </w14:textFill>
        </w:rPr>
        <w:drawing>
          <wp:inline distT="0" distB="0" distL="0" distR="0">
            <wp:extent cx="241300" cy="228600"/>
            <wp:effectExtent l="0" t="0" r="5715" b="0"/>
            <wp:docPr id="10" name="_x0000_i1034"/>
            <wp:cNvGraphicFramePr/>
            <a:graphic xmlns:a="http://schemas.openxmlformats.org/drawingml/2006/main">
              <a:graphicData uri="http://schemas.openxmlformats.org/drawingml/2006/picture">
                <pic:pic xmlns:pic="http://schemas.openxmlformats.org/drawingml/2006/picture">
                  <pic:nvPicPr>
                    <pic:cNvPr id="10" name="_x0000_i1034"/>
                    <pic:cNvPicPr/>
                  </pic:nvPicPr>
                  <pic:blipFill>
                    <a:blip r:embed="rId19"/>
                    <a:stretch>
                      <a:fillRect/>
                    </a:stretch>
                  </pic:blipFill>
                  <pic:spPr>
                    <a:xfrm>
                      <a:off x="0" y="0"/>
                      <a:ext cx="241300" cy="228600"/>
                    </a:xfrm>
                    <a:prstGeom prst="rect">
                      <a:avLst/>
                    </a:prstGeom>
                  </pic:spPr>
                </pic:pic>
              </a:graphicData>
            </a:graphic>
          </wp:inline>
        </w:drawing>
      </w:r>
      <w:r>
        <w:rPr>
          <w:rFonts w:hint="eastAsia" w:ascii="宋体" w:hAnsi="宋体" w:eastAsia="宋体" w:cs="宋体"/>
          <w:b w:val="0"/>
          <w:bCs/>
          <w:color w:val="000000" w:themeColor="text1"/>
          <w:szCs w:val="21"/>
          <w14:textFill>
            <w14:solidFill>
              <w14:schemeClr w14:val="tx1"/>
            </w14:solidFill>
          </w14:textFill>
        </w:rPr>
        <w:t>——各可调因子的基本价格指数，指基准日期的各可调因子的价格指数。</w:t>
      </w:r>
    </w:p>
    <w:p w14:paraId="5F0613CC">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468B52C0">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（2）暂时确定调整差额</w:t>
      </w:r>
    </w:p>
    <w:p w14:paraId="73136EFF">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在计算调整差额时无现行价格指数的，合同当事人同意暂用前次价格指数计算。实际价格指数有调整的，合同当事人进行相应调整。</w:t>
      </w:r>
    </w:p>
    <w:p w14:paraId="562EECEC">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（3）权重的调整</w:t>
      </w:r>
    </w:p>
    <w:p w14:paraId="16E226F8">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因变更导致合同约定的权重不合理时，按照第4.4款[商定或确定]执行。</w:t>
      </w:r>
    </w:p>
    <w:p w14:paraId="7AA55E06">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（4）因承包人原因工期延误后的价格调整</w:t>
      </w:r>
    </w:p>
    <w:p w14:paraId="646893DB">
      <w:pPr>
        <w:keepLines/>
        <w:pageBreakBefore w:val="0"/>
        <w:tabs>
          <w:tab w:val="left" w:pos="0"/>
          <w:tab w:val="left" w:pos="360"/>
          <w:tab w:val="left" w:pos="540"/>
        </w:tabs>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因承包人原因未按期竣工的，对合同约定的竣工日期后继续施工的工程，在使用价格调整公式时，应采用计划竣工日期与实际竣工日期的两个价格指数中较低的一个作为现行价格指数。</w:t>
      </w:r>
    </w:p>
    <w:p w14:paraId="38A16229">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第2种方式：采用造价信息进行价格调整。</w:t>
      </w:r>
    </w:p>
    <w:p w14:paraId="2A1AEBF7">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5FEAC272">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BDC27DA">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（2）材料、工程设备价格变化的价款调整按照发包人提供的基准价格，按以下风险范围规定执行:</w:t>
      </w:r>
    </w:p>
    <w:p w14:paraId="21D8A524">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103E8EFD">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04E9EAC">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③承包人在已标价工程量清单或预算书中载明材料单价等于基准价格的：除专用合同条款另有约定外，合同履行期间材料单价涨跌幅以基准价格为基础超过±5%时，其超过部分据实调整。</w:t>
      </w:r>
    </w:p>
    <w:p w14:paraId="7F804589">
      <w:pPr>
        <w:keepLines/>
        <w:pageBreakBefore w:val="0"/>
        <w:kinsoku/>
        <w:wordWrap w:val="0"/>
        <w:overflowPunct/>
        <w:bidi w:val="0"/>
        <w:spacing w:line="36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6607BE8B">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147" w:name="OLE_LINK3"/>
      <w:r>
        <w:rPr>
          <w:rFonts w:hint="eastAsia" w:ascii="宋体" w:hAnsi="宋体" w:eastAsia="宋体" w:cs="宋体"/>
          <w:b w:val="0"/>
          <w:bCs/>
          <w:color w:val="000000" w:themeColor="text1"/>
          <w:szCs w:val="21"/>
          <w14:textFill>
            <w14:solidFill>
              <w14:schemeClr w14:val="tx1"/>
            </w14:solidFill>
          </w14:textFill>
        </w:rPr>
        <w:t>前述基准价格是指由发包人在招标文件或专用合同条款中给定的材料、工程设备的价格，该价格原则上应当按照省级或行业建设主管部门或其授权的工程造价管理机构发布的信息价编制。</w:t>
      </w:r>
    </w:p>
    <w:p w14:paraId="77DC971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（3）施工机械台班单价或施工机械使用费发生变化超过省级或行业建设主管部门或其授权的工程造价管理机构规定的范围时，按规定调整合同价格。</w:t>
      </w:r>
    </w:p>
    <w:p w14:paraId="7FFBF04D">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第3种方式：专用合同条款约定的其他方式。</w:t>
      </w:r>
    </w:p>
    <w:p w14:paraId="40D241BD">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48" w:name="_Toc351203579"/>
      <w:bookmarkEnd w:id="148"/>
      <w:r>
        <w:rPr>
          <w:rFonts w:hint="eastAsia" w:ascii="宋体" w:hAnsi="宋体" w:eastAsia="宋体" w:cs="宋体"/>
          <w:b w:val="0"/>
          <w:bCs/>
          <w:color w:val="000000" w:themeColor="text1"/>
          <w:sz w:val="21"/>
          <w:szCs w:val="21"/>
          <w14:textFill>
            <w14:solidFill>
              <w14:schemeClr w14:val="tx1"/>
            </w14:solidFill>
          </w14:textFill>
        </w:rPr>
        <w:t>11.2  法律变化引起的调整</w:t>
      </w:r>
    </w:p>
    <w:p w14:paraId="13E15C0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5E232D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因法律变化引起的合同价格和工期调整，合同当事人无法达成一致的，由总监理工程师按第4.4款[商定或确定]的约定处理。</w:t>
      </w:r>
    </w:p>
    <w:p w14:paraId="0965C61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因承包人原因造成工期延误，在工期延误期间出现法律变化的，由此增加的费用和（或）延误的工期由承包人承担。</w:t>
      </w:r>
    </w:p>
    <w:p w14:paraId="66AEDA71">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49" w:name="_Toc351203580"/>
      <w:bookmarkEnd w:id="149"/>
      <w:bookmarkStart w:id="150" w:name="_Toc296503096"/>
      <w:bookmarkStart w:id="151" w:name="_Toc296346597"/>
      <w:r>
        <w:rPr>
          <w:rFonts w:hint="eastAsia" w:ascii="宋体" w:hAnsi="宋体" w:eastAsia="宋体" w:cs="宋体"/>
          <w:b w:val="0"/>
          <w:bCs/>
          <w:color w:val="000000" w:themeColor="text1"/>
          <w14:textFill>
            <w14:solidFill>
              <w14:schemeClr w14:val="tx1"/>
            </w14:solidFill>
          </w14:textFill>
        </w:rPr>
        <w:t>12、合同价格、计量与支付</w:t>
      </w:r>
    </w:p>
    <w:bookmarkEnd w:id="150"/>
    <w:bookmarkEnd w:id="151"/>
    <w:p w14:paraId="655A4C78">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52" w:name="_Toc351203581"/>
      <w:bookmarkEnd w:id="152"/>
      <w:r>
        <w:rPr>
          <w:rFonts w:hint="eastAsia" w:ascii="宋体" w:hAnsi="宋体" w:eastAsia="宋体" w:cs="宋体"/>
          <w:b w:val="0"/>
          <w:bCs/>
          <w:color w:val="000000" w:themeColor="text1"/>
          <w:sz w:val="21"/>
          <w:szCs w:val="21"/>
          <w14:textFill>
            <w14:solidFill>
              <w14:schemeClr w14:val="tx1"/>
            </w14:solidFill>
          </w14:textFill>
        </w:rPr>
        <w:t>12.1  合同价格形式</w:t>
      </w:r>
    </w:p>
    <w:p w14:paraId="7F10136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发包人和承包人应在合同协议书中选择下列一种合同价格形式： </w:t>
      </w:r>
    </w:p>
    <w:p w14:paraId="1B9607C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1.单价合同</w:t>
      </w:r>
    </w:p>
    <w:p w14:paraId="4096DCF0">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2B6A8C5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2.总价合同</w:t>
      </w:r>
    </w:p>
    <w:p w14:paraId="5F64CB6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94178B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3.其他价格形式</w:t>
      </w:r>
    </w:p>
    <w:p w14:paraId="76B9C9B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合同当事人可在专用合同条款中约定其他合同价格形式。</w:t>
      </w:r>
    </w:p>
    <w:p w14:paraId="06ADF2C5">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53" w:name="_Toc351203582"/>
      <w:bookmarkEnd w:id="153"/>
      <w:bookmarkStart w:id="154" w:name="_Toc296503097"/>
      <w:bookmarkEnd w:id="154"/>
      <w:bookmarkStart w:id="155" w:name="_Toc296346598"/>
      <w:bookmarkEnd w:id="155"/>
      <w:r>
        <w:rPr>
          <w:rFonts w:hint="eastAsia" w:ascii="宋体" w:hAnsi="宋体" w:eastAsia="宋体" w:cs="宋体"/>
          <w:b w:val="0"/>
          <w:bCs/>
          <w:color w:val="000000" w:themeColor="text1"/>
          <w:sz w:val="21"/>
          <w:szCs w:val="21"/>
          <w14:textFill>
            <w14:solidFill>
              <w14:schemeClr w14:val="tx1"/>
            </w14:solidFill>
          </w14:textFill>
        </w:rPr>
        <w:t>12.2  预付款</w:t>
      </w:r>
    </w:p>
    <w:p w14:paraId="4D02026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12.2.1  预付款的支付</w:t>
      </w:r>
    </w:p>
    <w:p w14:paraId="66B7E09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预付款的支付按照专用合同条款约定执行，但至迟应在开工通知载明的开工日期7天前支付。预付款应当用于材料、工程设备、施工设备的采购及修建临时工程、组织施工队伍进场等。</w:t>
      </w:r>
    </w:p>
    <w:bookmarkEnd w:id="147"/>
    <w:p w14:paraId="2118B6C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除专用合同条款另有约定外，预付款在进度付款中同比例扣回。在颁发工程接收证书前，提前解除合同的，尚未扣完的预付款应与合同价款一并结算。</w:t>
      </w:r>
    </w:p>
    <w:p w14:paraId="5B651DC6">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发包人逾期支付预付款超过7天的，承包人有权向发包人发出要求预付的催告通知，发包人收到通知后7天内仍未支付的，承包人有权暂停施工，并按第16.1.1项[发包人违约的情形]执行。</w:t>
      </w:r>
    </w:p>
    <w:p w14:paraId="1DAB3A3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12.2.2  预付款担保</w:t>
      </w:r>
    </w:p>
    <w:p w14:paraId="7D0521DD">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29DE4D4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发包人在工程款中逐期扣回预付款后，预付款担保额度应相应减少，但剩余的预付款担保金额不得低于未被扣回的预付款金额。</w:t>
      </w:r>
    </w:p>
    <w:p w14:paraId="01F7C581">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56" w:name="_Toc351203583"/>
      <w:bookmarkEnd w:id="156"/>
      <w:r>
        <w:rPr>
          <w:rFonts w:hint="eastAsia" w:ascii="宋体" w:hAnsi="宋体" w:eastAsia="宋体" w:cs="宋体"/>
          <w:b w:val="0"/>
          <w:bCs/>
          <w:color w:val="000000" w:themeColor="text1"/>
          <w:sz w:val="21"/>
          <w:szCs w:val="21"/>
          <w14:textFill>
            <w14:solidFill>
              <w14:schemeClr w14:val="tx1"/>
            </w14:solidFill>
          </w14:textFill>
        </w:rPr>
        <w:t>12.3  计量</w:t>
      </w:r>
    </w:p>
    <w:p w14:paraId="3DE2CB1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12.3.1  计量原则</w:t>
      </w:r>
    </w:p>
    <w:p w14:paraId="3694CB3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工程量计量按照合同约定的工程量计算规则、图纸及变更指示等进行计量。工程量计算规则应以相关的国家标准、行业标准等为依据，由合同当事人在专用合同条款中约定。</w:t>
      </w:r>
    </w:p>
    <w:p w14:paraId="207937B0">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12.3.2  计量周期</w:t>
      </w:r>
    </w:p>
    <w:p w14:paraId="006999D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除专用合同条款另有约定外，工程量的计量按月进行。</w:t>
      </w:r>
    </w:p>
    <w:p w14:paraId="6F56712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12.3.3  单价合同的计量</w:t>
      </w:r>
    </w:p>
    <w:p w14:paraId="3C9EE0C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除专用合同条款另有约定外，单价合同的计量按照本项约定执行：</w:t>
      </w:r>
    </w:p>
    <w:p w14:paraId="0C44D66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5BA9FED8">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078AFA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（3）监理人未在收到承包人提交的工程量报表后的7天内完成审核的，承包人报送的工程量报告中的工程量视为承包人实际完成的工程量，据此计算工程价款。</w:t>
      </w:r>
    </w:p>
    <w:p w14:paraId="3473BCB6">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12.3.4  总价合同的计量</w:t>
      </w:r>
    </w:p>
    <w:p w14:paraId="78FBEAC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除专用合同条款另有约定外，按月计量支付的总价合同，按照本项约定执行：</w:t>
      </w:r>
    </w:p>
    <w:p w14:paraId="2111CB6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（1）承包人应于每月25日向监理人报送上月20日至当月19日已完成的工程量报告，并附具进度付款申请单、已完成工程量报表和有关资料。</w:t>
      </w:r>
    </w:p>
    <w:p w14:paraId="40ECF64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7E99782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（3）监理人未在收到承包人提交的工程量报表后的7天内完成复核的，承包人提交的工程量报告中的工程量视为承包人实际完成的工程量。</w:t>
      </w:r>
    </w:p>
    <w:p w14:paraId="1C4683BD">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12.3.5  总价合同采用支付分解表计量支付的，可以按照第12.3.4项[总价合同的计量]约定进行计量，但合同价款按照支付分解表进行支付。</w:t>
      </w:r>
    </w:p>
    <w:p w14:paraId="7575D12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12.3.6  其他价格形式合同的计量</w:t>
      </w:r>
    </w:p>
    <w:p w14:paraId="41D678F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合同当事人可在专用合同条款中约定其他价格形式合同的计量方式和程序。</w:t>
      </w:r>
    </w:p>
    <w:p w14:paraId="2903F818">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57" w:name="_Toc351203584"/>
      <w:bookmarkEnd w:id="157"/>
      <w:bookmarkStart w:id="158" w:name="_Toc296346602"/>
      <w:bookmarkEnd w:id="158"/>
      <w:bookmarkStart w:id="159" w:name="_Toc296503101"/>
      <w:bookmarkEnd w:id="159"/>
      <w:r>
        <w:rPr>
          <w:rFonts w:hint="eastAsia" w:ascii="宋体" w:hAnsi="宋体" w:eastAsia="宋体" w:cs="宋体"/>
          <w:b w:val="0"/>
          <w:bCs/>
          <w:color w:val="000000" w:themeColor="text1"/>
          <w:sz w:val="21"/>
          <w:szCs w:val="21"/>
          <w14:textFill>
            <w14:solidFill>
              <w14:schemeClr w14:val="tx1"/>
            </w14:solidFill>
          </w14:textFill>
        </w:rPr>
        <w:t>12.4  工程进度款支付</w:t>
      </w:r>
    </w:p>
    <w:p w14:paraId="523F4FD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12.4.1  付款周期</w:t>
      </w:r>
    </w:p>
    <w:p w14:paraId="6E612E1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除专用合同条款另有约定外，付款周期应按照第12.3.2项[计量周期]的约定与计量周期保持一致。</w:t>
      </w:r>
    </w:p>
    <w:p w14:paraId="1DE4E0C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12.4.2  进度付款申请单的编制</w:t>
      </w:r>
    </w:p>
    <w:p w14:paraId="0C81EA0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除专用合同条款另有约定外，进度付款申请单应包括下列内容：</w:t>
      </w:r>
    </w:p>
    <w:p w14:paraId="1EE127D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（1）截至本次付款周期已完成工作对应的金额；</w:t>
      </w:r>
    </w:p>
    <w:p w14:paraId="3B07E00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（2）根据第10条[变更]应增加和扣减的变更金额；</w:t>
      </w:r>
    </w:p>
    <w:p w14:paraId="3F4879B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（3）根据第12.2款[预付款]约定应支付的预付款和扣减的返还预付款；</w:t>
      </w:r>
    </w:p>
    <w:p w14:paraId="4944EEF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（4）根据第15.3款[质量保证金]约定应扣减的质量保证金；</w:t>
      </w:r>
    </w:p>
    <w:p w14:paraId="227AB51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（5）根据第19条[索赔]应增加和扣减的索赔金额；</w:t>
      </w:r>
    </w:p>
    <w:p w14:paraId="14DD603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（6）对已签发的进度款支付证书中出现错误的修正，应在本次进度付款中支付或扣除的金额；</w:t>
      </w:r>
    </w:p>
    <w:p w14:paraId="27E2CFA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（7）根据合同约定应增加和扣减的其他金额。</w:t>
      </w:r>
    </w:p>
    <w:p w14:paraId="79712DC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12.4.3  进度付款申请单的提交</w:t>
      </w:r>
    </w:p>
    <w:p w14:paraId="2B35075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（1）单价合同进度付款申请单的提交</w:t>
      </w:r>
    </w:p>
    <w:p w14:paraId="21BD914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9E3F69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（2）总价合同进度付款申请单的提交</w:t>
      </w:r>
    </w:p>
    <w:p w14:paraId="1A931841">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总价合同按月计量支付的，承包人按照第12.3.4项[总价合同的计量]约定的时间按月向监理人提交进度付款申请单，并附上已完成工程量报表和有关资料。</w:t>
      </w:r>
    </w:p>
    <w:p w14:paraId="4243547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总价合同按支付分解表支付的，承包人应按照第12.4.6项[支付分解表]及第12.4.2项[进度付款申请单的编制]的约定向监理人提交进度付款申请单。</w:t>
      </w:r>
    </w:p>
    <w:p w14:paraId="1371FB90">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（3）其他价格形式合同的进度付款申请单的提交</w:t>
      </w:r>
    </w:p>
    <w:p w14:paraId="3296D23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合同当事人可在专用合同条款中约定其他价格形式合同的进度付款申请单的编制和提交程序。</w:t>
      </w:r>
    </w:p>
    <w:p w14:paraId="175A9D9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12.4.4  进度款审核和支付</w:t>
      </w:r>
    </w:p>
    <w:p w14:paraId="265C859D">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B1C4E91">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78BEE8E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（2）除专用合同条款另有约定外，发包人应在进度款支付证书或临时进度款支付证书签发后14天内完成支付，发包人逾期支付进度款的，应按照中国人民银行发布的同期同类贷款基准利率支付违约金。</w:t>
      </w:r>
    </w:p>
    <w:p w14:paraId="333D3C7D">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（3）发包人签发进度款支付证书或临时进度款支付证书，不表明发包人已同意、批准或接受了承包人完成的相应部分的工作。</w:t>
      </w:r>
    </w:p>
    <w:p w14:paraId="71C57C9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12.4.5  进度付款的修正</w:t>
      </w:r>
    </w:p>
    <w:p w14:paraId="1BE6ED1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在对已签发的进度款支付证书进行阶段汇总和复核中发现错误、遗漏或重复的，发包人和承包人均有权提出修正申请。经发包人和承包人同意的修正，应在下期进度付款中支付或扣除。</w:t>
      </w:r>
    </w:p>
    <w:p w14:paraId="20D3F53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12.4.6  支付分解表</w:t>
      </w:r>
    </w:p>
    <w:p w14:paraId="705EDEA1">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1.支付分解表的编制要求</w:t>
      </w:r>
    </w:p>
    <w:p w14:paraId="02A3B85D">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（1）支付分解表中所列的每期付款金额，应为第12.4.2项[进度付款申请单的编制]第（1）目的估算金额；</w:t>
      </w:r>
    </w:p>
    <w:p w14:paraId="64AB7F1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（2）实际进度与施工进度计划不一致的，合同当事人可按照第4.4款[商定或确定]修改支付分解表；</w:t>
      </w:r>
    </w:p>
    <w:p w14:paraId="43C212C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（3）不采用支付分解表的，承包人应向发包人和监理人提交按季度编制的支付估算分解表，用于支付参考。</w:t>
      </w:r>
    </w:p>
    <w:p w14:paraId="5126DE3B">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2.总价合同支付分解表的编制与审批</w:t>
      </w:r>
    </w:p>
    <w:p w14:paraId="29392CB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38A660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（2）监理人应在收到支付分解表后7天内完成审核并报送发包人。发包人应在收到经监理人审核的支付分解表后7天内完成审批，经发包人批准的支付分解表为有约束力的支付分解表。</w:t>
      </w:r>
    </w:p>
    <w:p w14:paraId="5E5FB8C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（3）发包人逾期未完成支付分解表审批的，也未及时要求承包人进行修正和提供补充资料的，则承包人提交的支付分解表视为已经获得发包人批准。</w:t>
      </w:r>
    </w:p>
    <w:p w14:paraId="7EEB1EE6">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3.单价合同的总价项目支付分解表的编制与审批</w:t>
      </w:r>
    </w:p>
    <w:p w14:paraId="3554328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90A598E">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0" w:name="_Toc351203585"/>
      <w:bookmarkEnd w:id="160"/>
      <w:r>
        <w:rPr>
          <w:rFonts w:hint="eastAsia" w:ascii="宋体" w:hAnsi="宋体" w:eastAsia="宋体" w:cs="宋体"/>
          <w:b w:val="0"/>
          <w:bCs/>
          <w:color w:val="000000" w:themeColor="text1"/>
          <w:sz w:val="21"/>
          <w:szCs w:val="21"/>
          <w14:textFill>
            <w14:solidFill>
              <w14:schemeClr w14:val="tx1"/>
            </w14:solidFill>
          </w14:textFill>
        </w:rPr>
        <w:t>12.5  支付账户</w:t>
      </w:r>
    </w:p>
    <w:p w14:paraId="5256E12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发包人应将合同价款支付至合同协议书中约定的承包人账户。</w:t>
      </w:r>
    </w:p>
    <w:p w14:paraId="6583FBB9">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61" w:name="_Toc351203586"/>
      <w:bookmarkEnd w:id="161"/>
      <w:r>
        <w:rPr>
          <w:rFonts w:hint="eastAsia" w:ascii="宋体" w:hAnsi="宋体" w:eastAsia="宋体" w:cs="宋体"/>
          <w:b w:val="0"/>
          <w:bCs/>
          <w:color w:val="000000" w:themeColor="text1"/>
          <w14:textFill>
            <w14:solidFill>
              <w14:schemeClr w14:val="tx1"/>
            </w14:solidFill>
          </w14:textFill>
        </w:rPr>
        <w:t>13、验收和工程试车</w:t>
      </w:r>
    </w:p>
    <w:p w14:paraId="3F028255">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2" w:name="_Toc351203587"/>
      <w:bookmarkEnd w:id="162"/>
      <w:r>
        <w:rPr>
          <w:rFonts w:hint="eastAsia" w:ascii="宋体" w:hAnsi="宋体" w:eastAsia="宋体" w:cs="宋体"/>
          <w:b w:val="0"/>
          <w:bCs/>
          <w:color w:val="000000" w:themeColor="text1"/>
          <w:sz w:val="21"/>
          <w:szCs w:val="21"/>
          <w14:textFill>
            <w14:solidFill>
              <w14:schemeClr w14:val="tx1"/>
            </w14:solidFill>
          </w14:textFill>
        </w:rPr>
        <w:t>13.1  分部分项工程验收</w:t>
      </w:r>
    </w:p>
    <w:p w14:paraId="0B2AABA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13.1.1  分部分项工程质量应符合国家有关工程施工验收规范、标准及合同约定，承包人应按照施工组织设计的要求完成分部分项工程施工。</w:t>
      </w:r>
    </w:p>
    <w:p w14:paraId="5D3F5500">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5B58925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分部分项工程的验收资料应当作为竣工资料的组成部分。</w:t>
      </w:r>
    </w:p>
    <w:p w14:paraId="09715B9E">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3" w:name="_Toc351203588"/>
      <w:bookmarkEnd w:id="163"/>
      <w:r>
        <w:rPr>
          <w:rFonts w:hint="eastAsia" w:ascii="宋体" w:hAnsi="宋体" w:eastAsia="宋体" w:cs="宋体"/>
          <w:b w:val="0"/>
          <w:bCs/>
          <w:color w:val="000000" w:themeColor="text1"/>
          <w:sz w:val="21"/>
          <w:szCs w:val="21"/>
          <w14:textFill>
            <w14:solidFill>
              <w14:schemeClr w14:val="tx1"/>
            </w14:solidFill>
          </w14:textFill>
        </w:rPr>
        <w:t>13.2  竣工验收</w:t>
      </w:r>
    </w:p>
    <w:p w14:paraId="6DCD1AE1">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13.2.1  竣工验收条件</w:t>
      </w:r>
    </w:p>
    <w:p w14:paraId="078CF8E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工程具备以下条件的，承包人可以申请竣工验收：</w:t>
      </w:r>
    </w:p>
    <w:p w14:paraId="08E17ECB">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（1）除发包人同意的甩项工作和缺陷修补工作外，合同范围内的全部工程以及有关工作，包括合同要求的试验、试运行以及检验均已完成，并符合合同要求；</w:t>
      </w:r>
    </w:p>
    <w:p w14:paraId="0EE5E97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（2）已按合同约定编制了甩项工作和缺陷修补工作清单以及相应的施工计划；</w:t>
      </w:r>
    </w:p>
    <w:p w14:paraId="2CECE161">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（3）已按合同约定的内容和份数备齐竣工资料。</w:t>
      </w:r>
    </w:p>
    <w:p w14:paraId="186FD2D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13.2.2  竣工验收程序</w:t>
      </w:r>
    </w:p>
    <w:p w14:paraId="0DBF9DE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除专用合同条款另有约定外，承包人申请竣工验收的，应当按照以下程序进行：</w:t>
      </w:r>
    </w:p>
    <w:p w14:paraId="2D7B5B9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168CE0C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F52882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（3）竣工验收合格的，发包人应在验收合格后14天内向承包人签发工程接收证书。发包人无正当理由逾期不颁发工程接收证书的，自验收合格后第15天起视为已颁发工程接收证书。</w:t>
      </w:r>
    </w:p>
    <w:p w14:paraId="47B7E73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DBC64C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07E57F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除专用合同条款另有约定外，发包人不按照本项约定组织竣工验收、颁发工程接收证书的，每逾期一天，应以签约合同价为基数，按照中国人民银行发布的同期同类贷款基准利率支付违约金。</w:t>
      </w:r>
    </w:p>
    <w:p w14:paraId="61AB509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13.2.3  竣工日期</w:t>
      </w:r>
    </w:p>
    <w:p w14:paraId="53DBAA8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164" w:name="#go14"/>
      <w:bookmarkEnd w:id="164"/>
      <w:r>
        <w:rPr>
          <w:rFonts w:hint="eastAsia" w:ascii="宋体" w:hAnsi="宋体" w:eastAsia="宋体" w:cs="宋体"/>
          <w:b w:val="0"/>
          <w:bCs/>
          <w:color w:val="000000" w:themeColor="text1"/>
          <w:szCs w:val="21"/>
          <w14:textFill>
            <w14:solidFill>
              <w14:schemeClr w14:val="tx1"/>
            </w14:solidFill>
          </w14:textFill>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56DC766E">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13.2.4  拒绝接收全部或部分工程</w:t>
      </w:r>
    </w:p>
    <w:p w14:paraId="2453A08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2D39D29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13.2.5  移交、接收全部与部分工程</w:t>
      </w:r>
    </w:p>
    <w:p w14:paraId="4A7699F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除专用合同条款另有约定外，合同当事人应当在颁发工程接收证书后7天内完成工程的移交。</w:t>
      </w:r>
    </w:p>
    <w:p w14:paraId="088A803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发包人无正当理由不接收工程的，发包人自应当接收工程之日起，承担工程照管、成品保护、保管等与工程有关的各项费用，合同当事人可以在专用合同条款中另行约定发包人逾期接收工程的违约责任。</w:t>
      </w:r>
    </w:p>
    <w:p w14:paraId="1C84BF2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承包人无正当理由不移交工程的，承包人应承担工程照管、成品保护、保管等与工程有关的各项费用，合同当事人可以在专用合同条款中另行约定承包人无正当理由不移交工程的违约责任。</w:t>
      </w:r>
    </w:p>
    <w:p w14:paraId="169D5FC6">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5" w:name="_Toc351203589"/>
      <w:bookmarkEnd w:id="165"/>
      <w:r>
        <w:rPr>
          <w:rFonts w:hint="eastAsia" w:ascii="宋体" w:hAnsi="宋体" w:eastAsia="宋体" w:cs="宋体"/>
          <w:b w:val="0"/>
          <w:bCs/>
          <w:color w:val="000000" w:themeColor="text1"/>
          <w:sz w:val="21"/>
          <w:szCs w:val="21"/>
          <w14:textFill>
            <w14:solidFill>
              <w14:schemeClr w14:val="tx1"/>
            </w14:solidFill>
          </w14:textFill>
        </w:rPr>
        <w:t>13.3  工程试车</w:t>
      </w:r>
    </w:p>
    <w:p w14:paraId="670ADC0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13.3.1  试车程序</w:t>
      </w:r>
    </w:p>
    <w:p w14:paraId="4B26C5D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工程需要试车的，除专用合同条款另有约定外，试车内容应与承包人承包范围相一致，试车费用由承包人承担。工程试车应按如下程序进行：</w:t>
      </w:r>
    </w:p>
    <w:p w14:paraId="759CC528">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45B59E8">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90EB17C">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4605DE9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13.3.2  试车中的责任</w:t>
      </w:r>
    </w:p>
    <w:p w14:paraId="1A422E18">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BE3C83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ED97D34">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13.3.3  投料试车</w:t>
      </w:r>
    </w:p>
    <w:p w14:paraId="35ECEA3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如需进行投料试车的，发包人应在工程竣工验收后组织投料试车。发包人要求在工程竣工验收前进行或需要承包人配合时，应征得承包人同意，并在专用合同条款中约定有关事项。</w:t>
      </w:r>
    </w:p>
    <w:p w14:paraId="6CB9890F">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760C3AAF">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6" w:name="_Toc351203590"/>
      <w:bookmarkEnd w:id="166"/>
      <w:r>
        <w:rPr>
          <w:rFonts w:hint="eastAsia" w:ascii="宋体" w:hAnsi="宋体" w:eastAsia="宋体" w:cs="宋体"/>
          <w:b w:val="0"/>
          <w:bCs/>
          <w:color w:val="000000" w:themeColor="text1"/>
          <w:sz w:val="21"/>
          <w:szCs w:val="21"/>
          <w14:textFill>
            <w14:solidFill>
              <w14:schemeClr w14:val="tx1"/>
            </w14:solidFill>
          </w14:textFill>
        </w:rPr>
        <w:t>13.4  提前交付单位工程的验收</w:t>
      </w:r>
    </w:p>
    <w:p w14:paraId="4238A22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13.4.1  发包人需要在工程竣工前使用单位工程的，或承包人提出提前交付已经竣工的单位工程且经发包人同意的，可进行单位工程验收，验收的程序按照第13.2款[竣工验收]的约定进行。</w:t>
      </w:r>
    </w:p>
    <w:p w14:paraId="24948FF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验收合格后，由监理人向承包人出具经发包人签认的单位工程接收证书。已签发单位工程接收证书的单位工程由发包人负责照管。单位工程的验收成果和结论作为整体工程竣工验收申请报告的附件。</w:t>
      </w:r>
    </w:p>
    <w:p w14:paraId="1F775A2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13.4.2  发包人要求在工程竣工前交付单位工程，由此导致承包人费用增加和（或）工期延误的，由发包人承担由此增加的费用和（或）延误的工期，并支付承包人合理的利润。</w:t>
      </w:r>
    </w:p>
    <w:p w14:paraId="1EF9E109">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7" w:name="_Toc351203591"/>
      <w:bookmarkEnd w:id="167"/>
      <w:r>
        <w:rPr>
          <w:rFonts w:hint="eastAsia" w:ascii="宋体" w:hAnsi="宋体" w:eastAsia="宋体" w:cs="宋体"/>
          <w:b w:val="0"/>
          <w:bCs/>
          <w:color w:val="000000" w:themeColor="text1"/>
          <w:sz w:val="21"/>
          <w:szCs w:val="21"/>
          <w14:textFill>
            <w14:solidFill>
              <w14:schemeClr w14:val="tx1"/>
            </w14:solidFill>
          </w14:textFill>
        </w:rPr>
        <w:t>13.5  施工期运行</w:t>
      </w:r>
    </w:p>
    <w:p w14:paraId="04C5939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24E5497B">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13.5.2  在施工期运行中发现工程或工程设备损坏或存在缺陷的，由承包人按第15.2款[缺陷责任期]约定进行修复。</w:t>
      </w:r>
    </w:p>
    <w:p w14:paraId="4A142973">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68" w:name="_Toc296503112"/>
      <w:bookmarkEnd w:id="168"/>
      <w:bookmarkStart w:id="169" w:name="_Toc351203592"/>
      <w:bookmarkEnd w:id="169"/>
      <w:bookmarkStart w:id="170" w:name="_Toc296346613"/>
      <w:bookmarkEnd w:id="170"/>
      <w:r>
        <w:rPr>
          <w:rFonts w:hint="eastAsia" w:ascii="宋体" w:hAnsi="宋体" w:eastAsia="宋体" w:cs="宋体"/>
          <w:b w:val="0"/>
          <w:bCs/>
          <w:color w:val="000000" w:themeColor="text1"/>
          <w:sz w:val="21"/>
          <w:szCs w:val="21"/>
          <w14:textFill>
            <w14:solidFill>
              <w14:schemeClr w14:val="tx1"/>
            </w14:solidFill>
          </w14:textFill>
        </w:rPr>
        <w:t>13.6  竣工退场</w:t>
      </w:r>
    </w:p>
    <w:p w14:paraId="43F98FF9">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13.6.1  竣工退场</w:t>
      </w:r>
    </w:p>
    <w:p w14:paraId="6B8DB2E0">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颁发工程接收证书后，承包人应按以下要求对施工现场进行清理：</w:t>
      </w:r>
    </w:p>
    <w:p w14:paraId="722ADC52">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（1）施工现场内残留的垃圾已全部清除出场；</w:t>
      </w:r>
    </w:p>
    <w:p w14:paraId="609D0978">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（2）临时工程已拆除，场地已进行清理、平整或复原；</w:t>
      </w:r>
    </w:p>
    <w:p w14:paraId="5B0CBC55">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（3）按合同约定应撤离的人员、承包人施工设备和剩余的材料，包括废弃的施工设备和材料，已按计划撤离施工现场；</w:t>
      </w:r>
    </w:p>
    <w:p w14:paraId="587D6B31">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（4）施工现场周边及其附近道路、河道的施工堆积物，已全部清理；</w:t>
      </w:r>
    </w:p>
    <w:p w14:paraId="483C6A63">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（5）施工现场其他场地清理工作已全部完成。</w:t>
      </w:r>
    </w:p>
    <w:p w14:paraId="4F91F097">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3F057F6A">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13.6.2  地表还原</w:t>
      </w:r>
    </w:p>
    <w:p w14:paraId="6EBDF6B6">
      <w:pPr>
        <w:keepLines/>
        <w:pageBreakBefore w:val="0"/>
        <w:kinsoku/>
        <w:wordWrap w:val="0"/>
        <w:overflowPunct/>
        <w:bidi w:val="0"/>
        <w:spacing w:line="35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承包人应按发包人要求恢复临时占地及清理场地，承包人未按发包人的要求恢复临时占地，或者场地清理未达到合同约定要求的，发包人有权委托其他人恢复或清理，所发生的费用由承包人承担。</w:t>
      </w:r>
    </w:p>
    <w:p w14:paraId="081DB85B">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71" w:name="_Toc351203593"/>
      <w:bookmarkEnd w:id="171"/>
      <w:r>
        <w:rPr>
          <w:rFonts w:hint="eastAsia" w:ascii="宋体" w:hAnsi="宋体" w:eastAsia="宋体" w:cs="宋体"/>
          <w:b w:val="0"/>
          <w:bCs/>
          <w:color w:val="000000" w:themeColor="text1"/>
          <w14:textFill>
            <w14:solidFill>
              <w14:schemeClr w14:val="tx1"/>
            </w14:solidFill>
          </w14:textFill>
        </w:rPr>
        <w:t>14、竣工结算</w:t>
      </w:r>
    </w:p>
    <w:p w14:paraId="168C2D9A">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72" w:name="_Toc351203594"/>
      <w:bookmarkEnd w:id="172"/>
      <w:r>
        <w:rPr>
          <w:rFonts w:hint="eastAsia" w:ascii="宋体" w:hAnsi="宋体" w:eastAsia="宋体" w:cs="宋体"/>
          <w:b w:val="0"/>
          <w:bCs/>
          <w:color w:val="000000" w:themeColor="text1"/>
          <w:sz w:val="21"/>
          <w:szCs w:val="21"/>
          <w14:textFill>
            <w14:solidFill>
              <w14:schemeClr w14:val="tx1"/>
            </w14:solidFill>
          </w14:textFill>
        </w:rPr>
        <w:t>14.1  竣工结算申请</w:t>
      </w:r>
    </w:p>
    <w:p w14:paraId="1A0E1319">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11AE67F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除专用合同条款另有约定外，竣工结算申请单应包括以下内容：</w:t>
      </w:r>
    </w:p>
    <w:p w14:paraId="713D5475">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（1）竣工结算合同价格；</w:t>
      </w:r>
    </w:p>
    <w:p w14:paraId="727D25C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（2）发包人已支付承包人的款项；</w:t>
      </w:r>
    </w:p>
    <w:p w14:paraId="5A1C06D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（3）应扣留的质量保证金。已缴纳履约保证金的或提供其他工程质量担保方式的除外； </w:t>
      </w:r>
    </w:p>
    <w:p w14:paraId="3A1D6C2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（4）发包人应支付承包人的合同价款。</w:t>
      </w:r>
    </w:p>
    <w:p w14:paraId="4AF2D1B8">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73" w:name="_Toc351203595"/>
      <w:bookmarkEnd w:id="173"/>
      <w:r>
        <w:rPr>
          <w:rFonts w:hint="eastAsia" w:ascii="宋体" w:hAnsi="宋体" w:eastAsia="宋体" w:cs="宋体"/>
          <w:b w:val="0"/>
          <w:bCs/>
          <w:color w:val="000000" w:themeColor="text1"/>
          <w:sz w:val="21"/>
          <w:szCs w:val="21"/>
          <w14:textFill>
            <w14:solidFill>
              <w14:schemeClr w14:val="tx1"/>
            </w14:solidFill>
          </w14:textFill>
        </w:rPr>
        <w:t>14.2  竣工结算审核</w:t>
      </w:r>
    </w:p>
    <w:p w14:paraId="22A90448">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5FE0FCB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77C228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0D8DBF6">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1BF3B60A">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74" w:name="_Toc351203596"/>
      <w:bookmarkEnd w:id="174"/>
      <w:r>
        <w:rPr>
          <w:rFonts w:hint="eastAsia" w:ascii="宋体" w:hAnsi="宋体" w:eastAsia="宋体" w:cs="宋体"/>
          <w:b w:val="0"/>
          <w:bCs/>
          <w:color w:val="000000" w:themeColor="text1"/>
          <w:sz w:val="21"/>
          <w:szCs w:val="21"/>
          <w14:textFill>
            <w14:solidFill>
              <w14:schemeClr w14:val="tx1"/>
            </w14:solidFill>
          </w14:textFill>
        </w:rPr>
        <w:t>14.3  甩项竣工协议</w:t>
      </w:r>
    </w:p>
    <w:p w14:paraId="6CE27FC6">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发包人要求甩项竣工的，合同当事人应签订甩项竣工协议。在甩项竣工协议中应明确，合同当事人按照第14.1款[竣工结算申请]及14.2款[竣工结算审核]的约定，对已完合格工程进行结算，并支付相应合同价款。</w:t>
      </w:r>
    </w:p>
    <w:p w14:paraId="1286F1CF">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75" w:name="_Toc351203597"/>
      <w:bookmarkEnd w:id="175"/>
      <w:r>
        <w:rPr>
          <w:rFonts w:hint="eastAsia" w:ascii="宋体" w:hAnsi="宋体" w:eastAsia="宋体" w:cs="宋体"/>
          <w:b w:val="0"/>
          <w:bCs/>
          <w:color w:val="000000" w:themeColor="text1"/>
          <w:sz w:val="21"/>
          <w:szCs w:val="21"/>
          <w14:textFill>
            <w14:solidFill>
              <w14:schemeClr w14:val="tx1"/>
            </w14:solidFill>
          </w14:textFill>
        </w:rPr>
        <w:t>14.4  最终结清</w:t>
      </w:r>
    </w:p>
    <w:p w14:paraId="2E71B169">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14.4.1  最终结清申请单</w:t>
      </w:r>
    </w:p>
    <w:p w14:paraId="613C5FBB">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（1）除专用合同条款另有约定外，承包人应在缺陷责任期终止证书颁发后7天内，按专用合同条款约定的份数向发包人提交最终结清申请单，并提供相关证明材料。</w:t>
      </w:r>
    </w:p>
    <w:p w14:paraId="6CC90937">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除专用合同条款另有约定外，最终结清申请单应列明质量保证金、应扣除的质量保证金、缺陷责任期内发生的增减费用。</w:t>
      </w:r>
    </w:p>
    <w:p w14:paraId="2CEA536C">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（2）发包人对最终结清申请单内容有异议的，有权要求承包人进行修正和提供补充资料，承包人应向发包人提交修正后的最终结清申请单。</w:t>
      </w:r>
    </w:p>
    <w:p w14:paraId="7A9A394B">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14.4.2  最终结清证书和支付</w:t>
      </w:r>
    </w:p>
    <w:p w14:paraId="189B1B9B">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41AC8189">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626A92C0">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（3）承包人对发包人颁发的最终结清证书有异议的，按第20条[争议解决]的约定办理。</w:t>
      </w:r>
    </w:p>
    <w:p w14:paraId="3DB822E2">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76" w:name="_Toc351203598"/>
      <w:bookmarkEnd w:id="176"/>
      <w:r>
        <w:rPr>
          <w:rFonts w:hint="eastAsia" w:ascii="宋体" w:hAnsi="宋体" w:eastAsia="宋体" w:cs="宋体"/>
          <w:b w:val="0"/>
          <w:bCs/>
          <w:color w:val="000000" w:themeColor="text1"/>
          <w14:textFill>
            <w14:solidFill>
              <w14:schemeClr w14:val="tx1"/>
            </w14:solidFill>
          </w14:textFill>
        </w:rPr>
        <w:t>15、缺陷责任与保修</w:t>
      </w:r>
    </w:p>
    <w:p w14:paraId="6B19CD42">
      <w:pPr>
        <w:pStyle w:val="39"/>
        <w:keepLines/>
        <w:pageBreakBefore w:val="0"/>
        <w:kinsoku/>
        <w:wordWrap w:val="0"/>
        <w:overflowPunct/>
        <w:bidi w:val="0"/>
        <w:spacing w:line="38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77" w:name="_Toc351203599"/>
      <w:bookmarkEnd w:id="177"/>
      <w:bookmarkStart w:id="178" w:name="_Toc296503114"/>
      <w:bookmarkStart w:id="179" w:name="_Toc296346615"/>
      <w:r>
        <w:rPr>
          <w:rFonts w:hint="eastAsia" w:ascii="宋体" w:hAnsi="宋体" w:eastAsia="宋体" w:cs="宋体"/>
          <w:b w:val="0"/>
          <w:bCs/>
          <w:color w:val="000000" w:themeColor="text1"/>
          <w:sz w:val="21"/>
          <w:szCs w:val="21"/>
          <w14:textFill>
            <w14:solidFill>
              <w14:schemeClr w14:val="tx1"/>
            </w14:solidFill>
          </w14:textFill>
        </w:rPr>
        <w:t>15.1  工程保修的原则</w:t>
      </w:r>
    </w:p>
    <w:p w14:paraId="56E74FB4">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在工程移交发包人后，因承包人原因产生的质量缺陷，承包人应承担质量缺陷责任和保修义务。缺陷责任期届满，承包人仍应按合同约定的工程各部位保修年限承担保修义务。</w:t>
      </w:r>
    </w:p>
    <w:bookmarkEnd w:id="178"/>
    <w:bookmarkEnd w:id="179"/>
    <w:p w14:paraId="0327D56B">
      <w:pPr>
        <w:pStyle w:val="39"/>
        <w:keepLines/>
        <w:pageBreakBefore w:val="0"/>
        <w:kinsoku/>
        <w:wordWrap w:val="0"/>
        <w:overflowPunct/>
        <w:bidi w:val="0"/>
        <w:spacing w:line="38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80" w:name="_Toc351203600"/>
      <w:bookmarkEnd w:id="180"/>
      <w:r>
        <w:rPr>
          <w:rFonts w:hint="eastAsia" w:ascii="宋体" w:hAnsi="宋体" w:eastAsia="宋体" w:cs="宋体"/>
          <w:b w:val="0"/>
          <w:bCs/>
          <w:color w:val="000000" w:themeColor="text1"/>
          <w:sz w:val="21"/>
          <w:szCs w:val="21"/>
          <w14:textFill>
            <w14:solidFill>
              <w14:schemeClr w14:val="tx1"/>
            </w14:solidFill>
          </w14:textFill>
        </w:rPr>
        <w:t>15.2  缺陷责任期</w:t>
      </w:r>
    </w:p>
    <w:p w14:paraId="711848A6">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15.2.1  缺陷责任期从工程通过竣工验收之日起计算，合同当事人应在专用合同条款约定缺陷责任期的具体期限，但该期限最长不超过24个月。</w:t>
      </w:r>
    </w:p>
    <w:p w14:paraId="2C2966BA">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7611CA4A">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15.2.2  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4FC95B6C">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由他人原因造成的缺陷，发包人负责组织维修，承包人不承担费用，且发包人不得从保证金中扣除费用。</w:t>
      </w:r>
    </w:p>
    <w:p w14:paraId="396902AE">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15.2.3  任何一项缺陷或损坏修复后，经检查证明其影响了工程或工程设备的使用性能，承包人应重新进行合同约定的试验和试运行，试验和试运行的全部费用应由责任方承担。</w:t>
      </w:r>
    </w:p>
    <w:p w14:paraId="01C62AF7">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8908915">
      <w:pPr>
        <w:pStyle w:val="39"/>
        <w:keepLines/>
        <w:pageBreakBefore w:val="0"/>
        <w:kinsoku/>
        <w:wordWrap w:val="0"/>
        <w:overflowPunct/>
        <w:bidi w:val="0"/>
        <w:spacing w:line="380"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81" w:name="_Toc351203601"/>
      <w:bookmarkEnd w:id="181"/>
      <w:r>
        <w:rPr>
          <w:rFonts w:hint="eastAsia" w:ascii="宋体" w:hAnsi="宋体" w:eastAsia="宋体" w:cs="宋体"/>
          <w:b w:val="0"/>
          <w:bCs/>
          <w:color w:val="000000" w:themeColor="text1"/>
          <w:sz w:val="21"/>
          <w:szCs w:val="21"/>
          <w14:textFill>
            <w14:solidFill>
              <w14:schemeClr w14:val="tx1"/>
            </w14:solidFill>
          </w14:textFill>
        </w:rPr>
        <w:t>15.3  质量保证金</w:t>
      </w:r>
    </w:p>
    <w:p w14:paraId="2261A0F5">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经合同当事人协商一致扣留质量保证金的，应在专用合同条款中予以明确。</w:t>
      </w:r>
    </w:p>
    <w:p w14:paraId="367C8FC8">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在工程项目竣工前，承包人已经提供履约担保的，发包人不得同时预留工程质量保证金。</w:t>
      </w:r>
    </w:p>
    <w:p w14:paraId="14FACE39">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15.3.1  承包人提供质量保证金的方式</w:t>
      </w:r>
    </w:p>
    <w:p w14:paraId="0797D1A4">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承包人提供质量保证金有以下三种方式：</w:t>
      </w:r>
    </w:p>
    <w:p w14:paraId="582ACA47">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（1）质量保证金保函； </w:t>
      </w:r>
    </w:p>
    <w:p w14:paraId="474CF7AC">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（2）相应比例的工程款；</w:t>
      </w:r>
    </w:p>
    <w:p w14:paraId="73F3F527">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（3）双方约定的其他方式。</w:t>
      </w:r>
    </w:p>
    <w:p w14:paraId="75D8C902">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除专用合同条款另有约定外，质量保证金原则上采用上述第（1）种方式。</w:t>
      </w:r>
    </w:p>
    <w:p w14:paraId="2920377E">
      <w:pPr>
        <w:keepLines/>
        <w:pageBreakBefore w:val="0"/>
        <w:kinsoku/>
        <w:wordWrap w:val="0"/>
        <w:overflowPunct/>
        <w:autoSpaceDE w:val="0"/>
        <w:autoSpaceDN w:val="0"/>
        <w:bidi w:val="0"/>
        <w:spacing w:line="38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15.3.2  质量保证金的扣留</w:t>
      </w:r>
    </w:p>
    <w:p w14:paraId="0CB4EB6B">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质量保证金的扣留有以下三种方式：</w:t>
      </w:r>
    </w:p>
    <w:p w14:paraId="5263D8A9">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（1）在支付工程进度款时逐次扣留，在此情形下，质量保证金的计算基数不包括预付款的支付、扣回以及价格调整的金额；</w:t>
      </w:r>
    </w:p>
    <w:p w14:paraId="21F6B2BF">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182" w:name="#go6"/>
      <w:bookmarkEnd w:id="182"/>
      <w:r>
        <w:rPr>
          <w:rFonts w:hint="eastAsia" w:ascii="宋体" w:hAnsi="宋体" w:eastAsia="宋体" w:cs="宋体"/>
          <w:b w:val="0"/>
          <w:bCs/>
          <w:color w:val="000000" w:themeColor="text1"/>
          <w:szCs w:val="21"/>
          <w14:textFill>
            <w14:solidFill>
              <w14:schemeClr w14:val="tx1"/>
            </w14:solidFill>
          </w14:textFill>
        </w:rPr>
        <w:t>（2）工程竣工结算时一次性扣留质量保证金；</w:t>
      </w:r>
    </w:p>
    <w:p w14:paraId="22E6BAB7">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（3）双方约定的其他扣留方式。</w:t>
      </w:r>
    </w:p>
    <w:p w14:paraId="436D9284">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除专用合同条款另有约定外，质量保证金的扣留原则上采用上述第（1）种方式。</w:t>
      </w:r>
    </w:p>
    <w:p w14:paraId="16BD0495">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183" w:name="#go4"/>
      <w:bookmarkEnd w:id="183"/>
      <w:r>
        <w:rPr>
          <w:rFonts w:hint="eastAsia" w:ascii="宋体" w:hAnsi="宋体" w:eastAsia="宋体" w:cs="宋体"/>
          <w:b w:val="0"/>
          <w:bCs/>
          <w:color w:val="000000" w:themeColor="text1"/>
          <w:szCs w:val="21"/>
          <w14:textFill>
            <w14:solidFill>
              <w14:schemeClr w14:val="tx1"/>
            </w14:solidFill>
          </w14:textFill>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3012FE65">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发包人在退还质量保证金的同时按照中国人民银行发布的同期同类贷款基准利率支付利息。</w:t>
      </w:r>
    </w:p>
    <w:p w14:paraId="0F55E452">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15.3.3  质量保证金的退还</w:t>
      </w:r>
    </w:p>
    <w:p w14:paraId="46E475D8">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缺陷责任期内，承包人认真履行合同约定的责任，到期后，承包人可向发包人申请返还保证金。</w:t>
      </w:r>
    </w:p>
    <w:p w14:paraId="65DBC76F">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5D5E619A">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发包人和承包人对保证金预留、返还以及工程维修质量、费用有争议的，按本合同第20条约定的争议和纠纷解决程序处理。</w:t>
      </w:r>
    </w:p>
    <w:p w14:paraId="5566DB6A">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84" w:name="_Toc351203602"/>
      <w:bookmarkEnd w:id="184"/>
      <w:r>
        <w:rPr>
          <w:rFonts w:hint="eastAsia" w:ascii="宋体" w:hAnsi="宋体" w:eastAsia="宋体" w:cs="宋体"/>
          <w:b w:val="0"/>
          <w:bCs/>
          <w:color w:val="000000" w:themeColor="text1"/>
          <w:sz w:val="21"/>
          <w:szCs w:val="21"/>
          <w14:textFill>
            <w14:solidFill>
              <w14:schemeClr w14:val="tx1"/>
            </w14:solidFill>
          </w14:textFill>
        </w:rPr>
        <w:t>15.4 保修</w:t>
      </w:r>
    </w:p>
    <w:p w14:paraId="12EC894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15.4.1  保修责任</w:t>
      </w:r>
    </w:p>
    <w:p w14:paraId="224F1CD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5197C9A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发包人未经竣工验收擅自使用工程的，保修期自转移占有之日起算。</w:t>
      </w:r>
    </w:p>
    <w:p w14:paraId="21A11C46">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15.4.2  修复费用</w:t>
      </w:r>
    </w:p>
    <w:p w14:paraId="7858EF0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保修期内，修复的费用按照以下约定处理：</w:t>
      </w:r>
    </w:p>
    <w:p w14:paraId="5BCED8CB">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（1）保修期内，因承包人原因造成工程的缺陷、损坏，承包人应负责修复，并承担修复的费用以及因工程的缺陷、损坏造成的人身伤害和财产损失；</w:t>
      </w:r>
    </w:p>
    <w:p w14:paraId="655A80A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（2）保修期内，因发包人使用不当造成工程的缺陷、损坏，可以委托承包人修复，但发包人应承担修复的费用，并支付承包人合理利润；</w:t>
      </w:r>
    </w:p>
    <w:p w14:paraId="1A7E2215">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（3）因其他原因造成工程的缺陷、损坏，可以委托承包人修复，发包人应承担修复的费用，并支付承包人合理的利润，因工程的缺陷、损坏造成的人身伤害和财产损失由责任方承担。</w:t>
      </w:r>
    </w:p>
    <w:p w14:paraId="1082AD1B">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15.4.3  修复通知</w:t>
      </w:r>
    </w:p>
    <w:p w14:paraId="3BB60669">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470F85D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15.4.4  未能修复</w:t>
      </w:r>
    </w:p>
    <w:p w14:paraId="377B5616">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3FD950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15.4.5  承包人出入权</w:t>
      </w:r>
    </w:p>
    <w:p w14:paraId="0E77B23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7E09DB56">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85" w:name="_Toc351203603"/>
      <w:bookmarkEnd w:id="185"/>
      <w:r>
        <w:rPr>
          <w:rFonts w:hint="eastAsia" w:ascii="宋体" w:hAnsi="宋体" w:eastAsia="宋体" w:cs="宋体"/>
          <w:b w:val="0"/>
          <w:bCs/>
          <w:color w:val="000000" w:themeColor="text1"/>
          <w14:textFill>
            <w14:solidFill>
              <w14:schemeClr w14:val="tx1"/>
            </w14:solidFill>
          </w14:textFill>
        </w:rPr>
        <w:t>16、违约</w:t>
      </w:r>
    </w:p>
    <w:p w14:paraId="18CF4009">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86" w:name="_Toc351203604"/>
      <w:bookmarkEnd w:id="186"/>
      <w:bookmarkStart w:id="187" w:name="_Toc296346630"/>
      <w:bookmarkEnd w:id="187"/>
      <w:bookmarkStart w:id="188" w:name="_Toc296503129"/>
      <w:bookmarkEnd w:id="188"/>
      <w:r>
        <w:rPr>
          <w:rFonts w:hint="eastAsia" w:ascii="宋体" w:hAnsi="宋体" w:eastAsia="宋体" w:cs="宋体"/>
          <w:b w:val="0"/>
          <w:bCs/>
          <w:color w:val="000000" w:themeColor="text1"/>
          <w:sz w:val="21"/>
          <w:szCs w:val="21"/>
          <w14:textFill>
            <w14:solidFill>
              <w14:schemeClr w14:val="tx1"/>
            </w14:solidFill>
          </w14:textFill>
        </w:rPr>
        <w:t>16.1 发包人违约</w:t>
      </w:r>
    </w:p>
    <w:p w14:paraId="23F733BE">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16.1.1  发包人违约的情形</w:t>
      </w:r>
    </w:p>
    <w:p w14:paraId="5900E7A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在合同履行过程中发生的下列情形，属于发包人违约：</w:t>
      </w:r>
    </w:p>
    <w:p w14:paraId="366344C5">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（1）因发包人原因未能在计划开工日期前7天内下达开工通知的；</w:t>
      </w:r>
    </w:p>
    <w:p w14:paraId="0779F9F1">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（2）因发包人原因未能按合同约定支付合同价款的；</w:t>
      </w:r>
    </w:p>
    <w:p w14:paraId="670AD94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（3）发包人违反第10.1款[变更的范围]第（2）项约定，自行实施被取消的工作或转由他人实施的；</w:t>
      </w:r>
    </w:p>
    <w:p w14:paraId="391F708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（4）发包人提供的材料、工程设备的规格、数量或质量不符合合同约定，或因发包人原因导致交货日期延误或交货地点变更等情况的；</w:t>
      </w:r>
    </w:p>
    <w:p w14:paraId="6DCBFE38">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（5）因发包人违反合同约定造成暂停施工的；</w:t>
      </w:r>
    </w:p>
    <w:p w14:paraId="7447243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（6）发包人无正当理由没有在约定期限内发出复工指示，导致承包人无法复工的；</w:t>
      </w:r>
    </w:p>
    <w:p w14:paraId="150C82C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（7）发包人明确表示或者以其行为表明不履行合同主要义务的；</w:t>
      </w:r>
    </w:p>
    <w:p w14:paraId="59CC3091">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（8）发包人未能按照合同约定履行其他义务的。</w:t>
      </w:r>
    </w:p>
    <w:p w14:paraId="51ABA4C8">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9690F90">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16.1.2  发包人违约的责任</w:t>
      </w:r>
    </w:p>
    <w:p w14:paraId="0AFA891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发包人应承担因其违约给承包人增加的费用和（或）延误的工期，并支付承包人合理的利润。此外，合同当事人可在专用合同条款中另行约定发包人违约责任的承担方式和计算方法。</w:t>
      </w:r>
    </w:p>
    <w:p w14:paraId="57AA70B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16.1.3  因发包人违约解除合同</w:t>
      </w:r>
    </w:p>
    <w:p w14:paraId="0899F4B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F37582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16.1.4  因发包人违约解除合同后的付款</w:t>
      </w:r>
    </w:p>
    <w:p w14:paraId="3BFE0188">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承包人按照本款约定解除合同的，发包人应在解除合同后28天内支付下列款项，并解除履约担保：</w:t>
      </w:r>
    </w:p>
    <w:p w14:paraId="15B04C7E">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（1）合同解除前所完成工作的价款；</w:t>
      </w:r>
    </w:p>
    <w:p w14:paraId="465D4703">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（2）承包人为工程施工订购并已付款的材料、工程设备和其他物品的价款；</w:t>
      </w:r>
    </w:p>
    <w:p w14:paraId="6C540711">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（3）承包人撤离施工现场以及遣散承包人人员的款项；</w:t>
      </w:r>
    </w:p>
    <w:p w14:paraId="4CABED63">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（4）按照合同约定在合同解除前应支付的违约金；</w:t>
      </w:r>
    </w:p>
    <w:p w14:paraId="2A9E63A0">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（5）按照合同约定应当支付给承包人的其他款项；</w:t>
      </w:r>
    </w:p>
    <w:p w14:paraId="7B1996AC">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（6）按照合同约定应退还的质量保证金；</w:t>
      </w:r>
    </w:p>
    <w:p w14:paraId="1638447C">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（7）因解除合同给承包人造成的损失。</w:t>
      </w:r>
    </w:p>
    <w:p w14:paraId="17EDDA88">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合同当事人未能就解除合同后的结清达成一致的，按照第20条[争议解决]的约定处理。</w:t>
      </w:r>
    </w:p>
    <w:p w14:paraId="221E9D69">
      <w:pPr>
        <w:keepLines/>
        <w:pageBreakBefore w:val="0"/>
        <w:kinsoku/>
        <w:wordWrap w:val="0"/>
        <w:overflowPunct/>
        <w:autoSpaceDE w:val="0"/>
        <w:autoSpaceDN w:val="0"/>
        <w:bidi w:val="0"/>
        <w:spacing w:line="37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承包人应妥善做好已完工程和与工程有关的已购材料、工程设备的保护和移交工作，并将施工设备和人员撤出施工现场，发包人应为承包人撤出提供必要条件。</w:t>
      </w:r>
    </w:p>
    <w:p w14:paraId="269A35CA">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89" w:name="_Toc351203605"/>
      <w:bookmarkEnd w:id="189"/>
      <w:r>
        <w:rPr>
          <w:rFonts w:hint="eastAsia" w:ascii="宋体" w:hAnsi="宋体" w:eastAsia="宋体" w:cs="宋体"/>
          <w:b w:val="0"/>
          <w:bCs/>
          <w:color w:val="000000" w:themeColor="text1"/>
          <w:sz w:val="21"/>
          <w:szCs w:val="21"/>
          <w14:textFill>
            <w14:solidFill>
              <w14:schemeClr w14:val="tx1"/>
            </w14:solidFill>
          </w14:textFill>
        </w:rPr>
        <w:t>16.2  承包人违约</w:t>
      </w:r>
    </w:p>
    <w:p w14:paraId="5D5820EC">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16.2.1  承包人违约的情形</w:t>
      </w:r>
    </w:p>
    <w:p w14:paraId="3AE36599">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在合同履行过程中发生的下列情形，属于承包人违约：</w:t>
      </w:r>
    </w:p>
    <w:p w14:paraId="2EF1C66E">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（1）承包人违反合同约定进行转包或违法分包的；</w:t>
      </w:r>
    </w:p>
    <w:p w14:paraId="039FA67F">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（2）承包人违反合同约定采购和使用不合格的材料和工程设备的；</w:t>
      </w:r>
    </w:p>
    <w:p w14:paraId="2625E48A">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（3）因承包人原因导致工程质量不符合合同要求的； </w:t>
      </w:r>
    </w:p>
    <w:p w14:paraId="458AD092">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（4）承包人违反第8.9款[材料与设备专用要求]的约定，未经批准，私自将已按照合同约定进入施工现场的材料或设备撤离施工现场的；</w:t>
      </w:r>
    </w:p>
    <w:p w14:paraId="3D8025A6">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（5）承包人未能按施工进度计划及时完成合同约定的工作，造成工期延误的；</w:t>
      </w:r>
    </w:p>
    <w:p w14:paraId="6CC56183">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（6）承包人在缺陷责任期及保修期内，未能在合理期限对工程缺陷进行修复，或拒绝按发包人要求进行修复的；</w:t>
      </w:r>
    </w:p>
    <w:p w14:paraId="246F4351">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（7）承包人明确表示或者以其行为表明不履行合同主要义务的；</w:t>
      </w:r>
    </w:p>
    <w:p w14:paraId="5B3CCA84">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（8）承包人未能按照合同约定履行其他义务的。</w:t>
      </w:r>
    </w:p>
    <w:p w14:paraId="36DBE09B">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承包人发生除本项第（7）目约定以外的其他违约情况时，监理人可向承包人发出整改通知，要求其在指定的期限内改正。</w:t>
      </w:r>
    </w:p>
    <w:p w14:paraId="5FC6369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16.2.2  承包人违约的责任</w:t>
      </w:r>
    </w:p>
    <w:p w14:paraId="439EE421">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承包人应承担因其违约行为而增加的费用和（或）延误的工期。此外，合同当事人可在专用合同条款中另行约定承包人违约责任的承担方式和计算方法。</w:t>
      </w:r>
    </w:p>
    <w:p w14:paraId="3E22C1B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16.2.3  因承包人违约解除合同</w:t>
      </w:r>
    </w:p>
    <w:p w14:paraId="30C0FE0E">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58DF73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16.2.4  因承包人违约解除合同后的处理</w:t>
      </w:r>
    </w:p>
    <w:p w14:paraId="4C9AD05E">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因承包人原因导致合同解除的，则合同当事人应在合同解除后28天内完成估价、付款和清算，并按以下约定执行：</w:t>
      </w:r>
    </w:p>
    <w:p w14:paraId="4EACDD3B">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（1）合同解除后，按第4.4款[商定或确定]商定或确定承包人实际完成工作对应的合同价款，以及承包人已提供的材料、工程设备、施工设备和临时工程等的价值；</w:t>
      </w:r>
    </w:p>
    <w:p w14:paraId="7600D513">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（2）合同解除后，承包人应支付的违约金；</w:t>
      </w:r>
    </w:p>
    <w:p w14:paraId="7D7B5975">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（3）合同解除后，因解除合同给发包人造成的损失；</w:t>
      </w:r>
    </w:p>
    <w:p w14:paraId="2CA1B270">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（4）合同解除后，承包人应按照发包人要求和监理人的指示完成现场的清理和撤离；</w:t>
      </w:r>
    </w:p>
    <w:p w14:paraId="7C2ACA9E">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（5）发包人和承包人应在合同解除后进行清算，出具最终结清付款证书，结清全部款项。</w:t>
      </w:r>
    </w:p>
    <w:p w14:paraId="1228F8B1">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因承包人违约解除合同的，发包人有权暂停对承包人的付款，查清各项付款和已扣款项。发包人和承包人未能就合同解除后的清算和款项支付达成一致的，按照第20条[争议解决]的约定处理。</w:t>
      </w:r>
    </w:p>
    <w:p w14:paraId="3E4A7C5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16.2.5  采购合同权益转让</w:t>
      </w:r>
    </w:p>
    <w:p w14:paraId="0378880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74601E9">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90" w:name="_Toc351203606"/>
      <w:bookmarkEnd w:id="190"/>
      <w:r>
        <w:rPr>
          <w:rFonts w:hint="eastAsia" w:ascii="宋体" w:hAnsi="宋体" w:eastAsia="宋体" w:cs="宋体"/>
          <w:b w:val="0"/>
          <w:bCs/>
          <w:color w:val="000000" w:themeColor="text1"/>
          <w:sz w:val="21"/>
          <w:szCs w:val="21"/>
          <w14:textFill>
            <w14:solidFill>
              <w14:schemeClr w14:val="tx1"/>
            </w14:solidFill>
          </w14:textFill>
        </w:rPr>
        <w:t>16.3  第三人造成的违约</w:t>
      </w:r>
    </w:p>
    <w:p w14:paraId="6C77DF2E">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331593E6">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91" w:name="_Toc296346617"/>
      <w:bookmarkEnd w:id="191"/>
      <w:bookmarkStart w:id="192" w:name="_Toc296503116"/>
      <w:bookmarkEnd w:id="192"/>
      <w:bookmarkStart w:id="193" w:name="_Toc351203607"/>
      <w:bookmarkEnd w:id="193"/>
      <w:bookmarkStart w:id="194" w:name="_Toc337558823"/>
      <w:bookmarkEnd w:id="194"/>
      <w:r>
        <w:rPr>
          <w:rFonts w:hint="eastAsia" w:ascii="宋体" w:hAnsi="宋体" w:eastAsia="宋体" w:cs="宋体"/>
          <w:b w:val="0"/>
          <w:bCs/>
          <w:color w:val="000000" w:themeColor="text1"/>
          <w14:textFill>
            <w14:solidFill>
              <w14:schemeClr w14:val="tx1"/>
            </w14:solidFill>
          </w14:textFill>
        </w:rPr>
        <w:t xml:space="preserve">17、不可抗力 </w:t>
      </w:r>
    </w:p>
    <w:p w14:paraId="5E8EF2A0">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95" w:name="_Toc351203608"/>
      <w:bookmarkEnd w:id="195"/>
      <w:r>
        <w:rPr>
          <w:rFonts w:hint="eastAsia" w:ascii="宋体" w:hAnsi="宋体" w:eastAsia="宋体" w:cs="宋体"/>
          <w:b w:val="0"/>
          <w:bCs/>
          <w:color w:val="000000" w:themeColor="text1"/>
          <w:sz w:val="21"/>
          <w:szCs w:val="21"/>
          <w14:textFill>
            <w14:solidFill>
              <w14:schemeClr w14:val="tx1"/>
            </w14:solidFill>
          </w14:textFill>
        </w:rPr>
        <w:t>17.1  不可抗力的确认</w:t>
      </w:r>
    </w:p>
    <w:p w14:paraId="65000293">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不可抗力是指合同当事人在签订合同时不可预见，在合同履行过程中不可避免且不能克服的自然灾害和社会性突发事件，如地震、海啸、瘟疫、骚乱、戒严、暴动、战争和专用合同条款中约定的其他情形。</w:t>
      </w:r>
    </w:p>
    <w:p w14:paraId="5087A59B">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DE91E03">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96" w:name="_Toc351203609"/>
      <w:bookmarkEnd w:id="196"/>
      <w:r>
        <w:rPr>
          <w:rFonts w:hint="eastAsia" w:ascii="宋体" w:hAnsi="宋体" w:eastAsia="宋体" w:cs="宋体"/>
          <w:b w:val="0"/>
          <w:bCs/>
          <w:color w:val="000000" w:themeColor="text1"/>
          <w:sz w:val="21"/>
          <w:szCs w:val="21"/>
          <w14:textFill>
            <w14:solidFill>
              <w14:schemeClr w14:val="tx1"/>
            </w14:solidFill>
          </w14:textFill>
        </w:rPr>
        <w:t>17.2  不可抗力的通知</w:t>
      </w:r>
    </w:p>
    <w:p w14:paraId="1AD14AF6">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合同一方当事人遇到不可抗力事件，使其履行合同义务受到阻碍时，应立即通知合同另一方当事人和监理人，书面说明不可抗力和受阻碍的详细情况，并提供必要的证明。</w:t>
      </w:r>
    </w:p>
    <w:p w14:paraId="155AE98E">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不可抗力持续发生的，合同一方当事人应及时向合同另一方当事人和监理人提交中间报告，说明不可抗力和履行合同受阻的情况，并于不可抗力事件结束后28天内提交最终报告及有关资料。</w:t>
      </w:r>
    </w:p>
    <w:p w14:paraId="17CC4286">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97" w:name="_Toc351203610"/>
      <w:bookmarkEnd w:id="197"/>
      <w:r>
        <w:rPr>
          <w:rFonts w:hint="eastAsia" w:ascii="宋体" w:hAnsi="宋体" w:eastAsia="宋体" w:cs="宋体"/>
          <w:b w:val="0"/>
          <w:bCs/>
          <w:color w:val="000000" w:themeColor="text1"/>
          <w:sz w:val="21"/>
          <w:szCs w:val="21"/>
          <w14:textFill>
            <w14:solidFill>
              <w14:schemeClr w14:val="tx1"/>
            </w14:solidFill>
          </w14:textFill>
        </w:rPr>
        <w:t>17.3  不可抗力后果的承担</w:t>
      </w:r>
    </w:p>
    <w:p w14:paraId="535EA58B">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17.3.1  不可抗力引起的后果及造成的损失由合同当事人按照法律规定及合同约定各自承担。不可抗力发生前已完成的工程应当按照合同约定进行计量支付。</w:t>
      </w:r>
    </w:p>
    <w:p w14:paraId="7E3F7EB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17.3.2  不可抗力导致的人员伤亡、财产损失、费用增加和（或）工期延误等后果，由合同当事人按以下原则承担：</w:t>
      </w:r>
    </w:p>
    <w:p w14:paraId="5AE51B7A">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（1）永久工程、已运至施工现场的材料和工程设备的损坏，以及因工程损坏造成的第三人人员伤亡和财产损失由发包人承担；</w:t>
      </w:r>
    </w:p>
    <w:p w14:paraId="2D0551AA">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（2）承包人施工设备的损坏由承包人承担；</w:t>
      </w:r>
    </w:p>
    <w:p w14:paraId="47215851">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（3）发包人和承包人承担各自人员伤亡和财产的损失；</w:t>
      </w:r>
    </w:p>
    <w:p w14:paraId="1CADA2C1">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（4）因不可抗力影响承包人履行合同约定的义务，已经引起或将引起工期延误的，应当顺延工期，由此导致承包人停工的费用损失由发包人和承包人合理分担，停工期间必须支付的工人工资由发包人承担；</w:t>
      </w:r>
    </w:p>
    <w:p w14:paraId="66A29790">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（5）因不可抗力引起或将引起工期延误，发包人要求赶工的，由此增加的赶工费用由发包人承担；</w:t>
      </w:r>
    </w:p>
    <w:p w14:paraId="3A8E3AF1">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（6）承包人在停工期间按照发包人要求照管、清理和修复工程的费用由发包人承担。</w:t>
      </w:r>
    </w:p>
    <w:p w14:paraId="77D43E40">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不可抗力发生后，合同当事人均应采取措施尽量避免和减少损失的扩大，任何一方当事人没有采取有效措施导致损失扩大的，应对扩大的损失承担责任。</w:t>
      </w:r>
    </w:p>
    <w:p w14:paraId="44DF9DF5">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因合同一方迟延履行合同义务，在迟延履行期间遭遇不可抗力的，不免除其违约责任。</w:t>
      </w:r>
    </w:p>
    <w:p w14:paraId="59F20274">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198" w:name="_Toc351203611"/>
      <w:bookmarkEnd w:id="198"/>
      <w:r>
        <w:rPr>
          <w:rFonts w:hint="eastAsia" w:ascii="宋体" w:hAnsi="宋体" w:eastAsia="宋体" w:cs="宋体"/>
          <w:b w:val="0"/>
          <w:bCs/>
          <w:color w:val="000000" w:themeColor="text1"/>
          <w:sz w:val="21"/>
          <w:szCs w:val="21"/>
          <w14:textFill>
            <w14:solidFill>
              <w14:schemeClr w14:val="tx1"/>
            </w14:solidFill>
          </w14:textFill>
        </w:rPr>
        <w:t>17.4  因不可抗力解除合同</w:t>
      </w:r>
    </w:p>
    <w:p w14:paraId="1CD9AA42">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因不可抗力导致合同无法履行连续超过84天或累计超过140天的，发包人和承包人均有权解除合同。合同解除后，由双方当事人按照第4.4款[商定或确定]商定或确定发包人应支付的款项，该款项包括：</w:t>
      </w:r>
    </w:p>
    <w:p w14:paraId="0AD35427">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（1）合同解除前承包人已完成工作的价款；</w:t>
      </w:r>
    </w:p>
    <w:p w14:paraId="535760B8">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（2）承包人为工程订购的并已交付给承包人，或承包人有责任接受交付的材料、工程设备和其他物品的价款；</w:t>
      </w:r>
    </w:p>
    <w:p w14:paraId="7DF442D2">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（3）发包人要求承包人退货或解除订货合同而产生的费用，或因不能退货或解除合同而产生的损失；</w:t>
      </w:r>
    </w:p>
    <w:p w14:paraId="4B09723A">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（4）承包人撤离施工现场以及遣散承包人人员的费用；</w:t>
      </w:r>
    </w:p>
    <w:p w14:paraId="53B801F3">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（5）按照合同约定在合同解除前应支付给承包人的其他款项；</w:t>
      </w:r>
    </w:p>
    <w:p w14:paraId="4891D739">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（6）扣减承包人按照合同约定应向发包人支付的款项；</w:t>
      </w:r>
    </w:p>
    <w:p w14:paraId="183E1AA3">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（7）双方商定或确定的其他款项。</w:t>
      </w:r>
    </w:p>
    <w:p w14:paraId="137AD9EC">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除专用合同条款另有约定外，合同解除后，发包人应在商定或确定上述款项后28天内完成上述款项的支付。</w:t>
      </w:r>
    </w:p>
    <w:p w14:paraId="38EFD20F">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199" w:name="_Toc351203612"/>
      <w:bookmarkEnd w:id="199"/>
      <w:r>
        <w:rPr>
          <w:rFonts w:hint="eastAsia" w:ascii="宋体" w:hAnsi="宋体" w:eastAsia="宋体" w:cs="宋体"/>
          <w:b w:val="0"/>
          <w:bCs/>
          <w:color w:val="000000" w:themeColor="text1"/>
          <w14:textFill>
            <w14:solidFill>
              <w14:schemeClr w14:val="tx1"/>
            </w14:solidFill>
          </w14:textFill>
        </w:rPr>
        <w:t>18、保险</w:t>
      </w:r>
    </w:p>
    <w:p w14:paraId="70A24EC8">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0" w:name="_Toc351203613"/>
      <w:bookmarkEnd w:id="200"/>
      <w:r>
        <w:rPr>
          <w:rFonts w:hint="eastAsia" w:ascii="宋体" w:hAnsi="宋体" w:eastAsia="宋体" w:cs="宋体"/>
          <w:b w:val="0"/>
          <w:bCs/>
          <w:color w:val="000000" w:themeColor="text1"/>
          <w:sz w:val="21"/>
          <w:szCs w:val="21"/>
          <w14:textFill>
            <w14:solidFill>
              <w14:schemeClr w14:val="tx1"/>
            </w14:solidFill>
          </w14:textFill>
        </w:rPr>
        <w:t>18.1  工程保险</w:t>
      </w:r>
    </w:p>
    <w:p w14:paraId="3473D8C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除专用合同条款另有约定外，发包人应投保建筑工程一切险或安装工程一切险；发包人委托承包人投保的，因投保产生的保险费和其他相关费用由发包人承担。</w:t>
      </w:r>
    </w:p>
    <w:p w14:paraId="4719E79C">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1" w:name="_Toc351203614"/>
      <w:bookmarkEnd w:id="201"/>
      <w:r>
        <w:rPr>
          <w:rFonts w:hint="eastAsia" w:ascii="宋体" w:hAnsi="宋体" w:eastAsia="宋体" w:cs="宋体"/>
          <w:b w:val="0"/>
          <w:bCs/>
          <w:color w:val="000000" w:themeColor="text1"/>
          <w:sz w:val="21"/>
          <w:szCs w:val="21"/>
          <w14:textFill>
            <w14:solidFill>
              <w14:schemeClr w14:val="tx1"/>
            </w14:solidFill>
          </w14:textFill>
        </w:rPr>
        <w:t>18.2  工伤保险</w:t>
      </w:r>
    </w:p>
    <w:p w14:paraId="12E15F7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18.2.1  发包人应依照法律规定参加工伤保险，并为在施工现场的全部员工办理工伤保险，缴纳工伤保险费，并要求监理人及由发包人为履行合同聘请的第三方依法参加工伤保险。</w:t>
      </w:r>
    </w:p>
    <w:p w14:paraId="04F5C17E">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18.2.2  承包人应依照法律规定参加工伤保险，并为其履行合同的全部员工办理工伤保险，缴纳工伤保险费，并要求分包人及由承包人为履行合同聘请的第三方依法参加工伤保险。</w:t>
      </w:r>
    </w:p>
    <w:p w14:paraId="358E6699">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2" w:name="_Toc351203615"/>
      <w:bookmarkEnd w:id="202"/>
      <w:r>
        <w:rPr>
          <w:rFonts w:hint="eastAsia" w:ascii="宋体" w:hAnsi="宋体" w:eastAsia="宋体" w:cs="宋体"/>
          <w:b w:val="0"/>
          <w:bCs/>
          <w:color w:val="000000" w:themeColor="text1"/>
          <w:sz w:val="21"/>
          <w:szCs w:val="21"/>
          <w14:textFill>
            <w14:solidFill>
              <w14:schemeClr w14:val="tx1"/>
            </w14:solidFill>
          </w14:textFill>
        </w:rPr>
        <w:t>18.3  其他保险</w:t>
      </w:r>
    </w:p>
    <w:p w14:paraId="333C1C8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发包人和承包人可以为其施工现场的全部人员办理意外伤害保险并支付保险费，包括其员工及为履行合同聘请的第三方的人员，具体事项由合同当事人在专用合同条款约定。</w:t>
      </w:r>
    </w:p>
    <w:p w14:paraId="0D9D063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除专用合同条款另有约定外，承包人应为其施工设备等办理财产保险。</w:t>
      </w:r>
    </w:p>
    <w:p w14:paraId="1F9BB9B9">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3" w:name="_Toc351203616"/>
      <w:bookmarkEnd w:id="203"/>
      <w:r>
        <w:rPr>
          <w:rFonts w:hint="eastAsia" w:ascii="宋体" w:hAnsi="宋体" w:eastAsia="宋体" w:cs="宋体"/>
          <w:b w:val="0"/>
          <w:bCs/>
          <w:color w:val="000000" w:themeColor="text1"/>
          <w:sz w:val="21"/>
          <w:szCs w:val="21"/>
          <w14:textFill>
            <w14:solidFill>
              <w14:schemeClr w14:val="tx1"/>
            </w14:solidFill>
          </w14:textFill>
        </w:rPr>
        <w:t>18.4  持续保险</w:t>
      </w:r>
    </w:p>
    <w:p w14:paraId="3A8F9EBB">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合同当事人应与保险人保持联系，使保险人能够随时了解工程实施中的变动，并确保按保险合同条款要求持续保险。</w:t>
      </w:r>
    </w:p>
    <w:p w14:paraId="3EECA18D">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4" w:name="_Toc351203617"/>
      <w:bookmarkEnd w:id="204"/>
      <w:r>
        <w:rPr>
          <w:rFonts w:hint="eastAsia" w:ascii="宋体" w:hAnsi="宋体" w:eastAsia="宋体" w:cs="宋体"/>
          <w:b w:val="0"/>
          <w:bCs/>
          <w:color w:val="000000" w:themeColor="text1"/>
          <w:sz w:val="21"/>
          <w:szCs w:val="21"/>
          <w14:textFill>
            <w14:solidFill>
              <w14:schemeClr w14:val="tx1"/>
            </w14:solidFill>
          </w14:textFill>
        </w:rPr>
        <w:t>18.5  保险凭证</w:t>
      </w:r>
    </w:p>
    <w:p w14:paraId="7D8EC87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合同当事人应及时向另一方当事人提交其已投保的各项保险的凭证和保险单复印件。</w:t>
      </w:r>
    </w:p>
    <w:p w14:paraId="09628DC4">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5" w:name="_Toc351203618"/>
      <w:bookmarkEnd w:id="205"/>
      <w:r>
        <w:rPr>
          <w:rFonts w:hint="eastAsia" w:ascii="宋体" w:hAnsi="宋体" w:eastAsia="宋体" w:cs="宋体"/>
          <w:b w:val="0"/>
          <w:bCs/>
          <w:color w:val="000000" w:themeColor="text1"/>
          <w:sz w:val="21"/>
          <w:szCs w:val="21"/>
          <w14:textFill>
            <w14:solidFill>
              <w14:schemeClr w14:val="tx1"/>
            </w14:solidFill>
          </w14:textFill>
        </w:rPr>
        <w:t>18.6  未按约定投保的补救</w:t>
      </w:r>
    </w:p>
    <w:p w14:paraId="2F41CA8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18.6.1  发包人未按合同约定办理保险，或未能使保险持续有效的，则承包人可代为办理，所需费用由发包人承担。发包人未按合同约定办理保险，导致未能得到足额赔偿的，由发包人负责补足。</w:t>
      </w:r>
    </w:p>
    <w:p w14:paraId="66D62D5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18.6.2  承包人未按合同约定办理保险，或未能使保险持续有效的，则发包人可代为办理，所需费用由承包人承担。承包人未按合同约定办理保险，导致未能得到足额赔偿的，由承包人负责补足。</w:t>
      </w:r>
    </w:p>
    <w:p w14:paraId="60293630">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6" w:name="_Toc351203619"/>
      <w:bookmarkEnd w:id="206"/>
      <w:r>
        <w:rPr>
          <w:rFonts w:hint="eastAsia" w:ascii="宋体" w:hAnsi="宋体" w:eastAsia="宋体" w:cs="宋体"/>
          <w:b w:val="0"/>
          <w:bCs/>
          <w:color w:val="000000" w:themeColor="text1"/>
          <w:sz w:val="21"/>
          <w:szCs w:val="21"/>
          <w14:textFill>
            <w14:solidFill>
              <w14:schemeClr w14:val="tx1"/>
            </w14:solidFill>
          </w14:textFill>
        </w:rPr>
        <w:t>18.7  通知义务</w:t>
      </w:r>
    </w:p>
    <w:p w14:paraId="0ED126F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除专用合同条款另有约定外，发包人变更除工伤保险之外的保险合同时，应事先征得承包人同意，并通知监理人；承包人变更除工伤保险之外的保险合同时，应事先征得发包人同意，并通知监理人。</w:t>
      </w:r>
    </w:p>
    <w:p w14:paraId="27AFD62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保险事故发生时，投保人应按照保险合同规定的条件和期限及时向保险人报告。发包人和承包人应当在知道保险事故发生后及时通知对方。</w:t>
      </w:r>
    </w:p>
    <w:p w14:paraId="7CCDCB8B">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207" w:name="_Toc351203620"/>
      <w:bookmarkEnd w:id="207"/>
      <w:r>
        <w:rPr>
          <w:rFonts w:hint="eastAsia" w:ascii="宋体" w:hAnsi="宋体" w:eastAsia="宋体" w:cs="宋体"/>
          <w:b w:val="0"/>
          <w:bCs/>
          <w:color w:val="000000" w:themeColor="text1"/>
          <w14:textFill>
            <w14:solidFill>
              <w14:schemeClr w14:val="tx1"/>
            </w14:solidFill>
          </w14:textFill>
        </w:rPr>
        <w:t>19、索赔</w:t>
      </w:r>
    </w:p>
    <w:p w14:paraId="06DF84DB">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8" w:name="_Toc351203621"/>
      <w:bookmarkEnd w:id="208"/>
      <w:r>
        <w:rPr>
          <w:rFonts w:hint="eastAsia" w:ascii="宋体" w:hAnsi="宋体" w:eastAsia="宋体" w:cs="宋体"/>
          <w:b w:val="0"/>
          <w:bCs/>
          <w:color w:val="000000" w:themeColor="text1"/>
          <w:sz w:val="21"/>
          <w:szCs w:val="21"/>
          <w14:textFill>
            <w14:solidFill>
              <w14:schemeClr w14:val="tx1"/>
            </w14:solidFill>
          </w14:textFill>
        </w:rPr>
        <w:t>19.1  承包人的索赔</w:t>
      </w:r>
    </w:p>
    <w:p w14:paraId="21F84363">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根据合同约定，承包人认为有权得到追加付款和（或）延长工期的，应按以下程序向发包人提出索赔：</w:t>
      </w:r>
    </w:p>
    <w:p w14:paraId="2B94E388">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1C9ADED6">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（2）承包人应在发出索赔意向通知书后28天内，向监理人正式递交索赔报告；索赔报告应详细说明索赔理由以及要求追加的付款金额和（或）延长的工期，并附必要的记录和证明材料；</w:t>
      </w:r>
    </w:p>
    <w:p w14:paraId="4EA6B866">
      <w:pPr>
        <w:keepLines/>
        <w:pageBreakBefore w:val="0"/>
        <w:kinsoku/>
        <w:wordWrap w:val="0"/>
        <w:overflowPunct/>
        <w:autoSpaceDE w:val="0"/>
        <w:autoSpaceDN w:val="0"/>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（3）索赔事件具有持续影响的，承包人应按合理时间间隔继续递交延续索赔通知，说明持续影响的实际情况和记录，列出累计的追加付款金额和（或）工期延长天数；</w:t>
      </w:r>
    </w:p>
    <w:p w14:paraId="4895C25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（4）在索赔事件影响结束后28天内，承包人应向监理人递交最终索赔报告，说明最终要求索赔的追加付款金额和（或）延长的工期，并附必要的记录和证明材料。</w:t>
      </w:r>
    </w:p>
    <w:p w14:paraId="7A072095">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09" w:name="_Toc351203622"/>
      <w:bookmarkEnd w:id="209"/>
      <w:r>
        <w:rPr>
          <w:rFonts w:hint="eastAsia" w:ascii="宋体" w:hAnsi="宋体" w:eastAsia="宋体" w:cs="宋体"/>
          <w:b w:val="0"/>
          <w:bCs/>
          <w:color w:val="000000" w:themeColor="text1"/>
          <w:sz w:val="21"/>
          <w:szCs w:val="21"/>
          <w14:textFill>
            <w14:solidFill>
              <w14:schemeClr w14:val="tx1"/>
            </w14:solidFill>
          </w14:textFill>
        </w:rPr>
        <w:t>19.2  对承包人索赔的处理</w:t>
      </w:r>
    </w:p>
    <w:p w14:paraId="4316DEDE">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对承包人索赔的处理如下：</w:t>
      </w:r>
    </w:p>
    <w:p w14:paraId="301C6119">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（1）监理人应在收到索赔报告后14天内完成审查并报送发包人。监理人对索赔报告存在异议的，有权要求承包人提交全部原始记录副本；</w:t>
      </w:r>
    </w:p>
    <w:p w14:paraId="3294376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（2）发包人应在监理人收到索赔报告或有关索赔的进一步证明材料后的28天内，由监理人向承包人出具经发包人签认的索赔处理结果。发包人逾期答复的，则视为认可承包人的索赔要求；</w:t>
      </w:r>
    </w:p>
    <w:p w14:paraId="05DE0B98">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（3）承包人接受索赔处理结果的，索赔款项在当期进度款中进行支付；承包人不接受索赔处理结果的，按照第20条[争议解决]约定处理。</w:t>
      </w:r>
    </w:p>
    <w:p w14:paraId="56EBCA0F">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0" w:name="_Toc351203623"/>
      <w:bookmarkEnd w:id="210"/>
      <w:r>
        <w:rPr>
          <w:rFonts w:hint="eastAsia" w:ascii="宋体" w:hAnsi="宋体" w:eastAsia="宋体" w:cs="宋体"/>
          <w:b w:val="0"/>
          <w:bCs/>
          <w:color w:val="000000" w:themeColor="text1"/>
          <w:sz w:val="21"/>
          <w:szCs w:val="21"/>
          <w14:textFill>
            <w14:solidFill>
              <w14:schemeClr w14:val="tx1"/>
            </w14:solidFill>
          </w14:textFill>
        </w:rPr>
        <w:t>19.3  发包人的索赔</w:t>
      </w:r>
    </w:p>
    <w:p w14:paraId="7407CF31">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根据合同约定，发包人认为有权得到赔付金额和（或）延长缺陷责任期的，监理人应向承包人发出通知并附有详细的证明。</w:t>
      </w:r>
    </w:p>
    <w:p w14:paraId="4B2B85E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1915A580">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1" w:name="_Toc351203624"/>
      <w:bookmarkEnd w:id="211"/>
      <w:r>
        <w:rPr>
          <w:rFonts w:hint="eastAsia" w:ascii="宋体" w:hAnsi="宋体" w:eastAsia="宋体" w:cs="宋体"/>
          <w:b w:val="0"/>
          <w:bCs/>
          <w:color w:val="000000" w:themeColor="text1"/>
          <w:sz w:val="21"/>
          <w:szCs w:val="21"/>
          <w14:textFill>
            <w14:solidFill>
              <w14:schemeClr w14:val="tx1"/>
            </w14:solidFill>
          </w14:textFill>
        </w:rPr>
        <w:t>19.4  对发包人索赔的处理</w:t>
      </w:r>
    </w:p>
    <w:p w14:paraId="6AFD3F6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对发包人索赔的处理如下：</w:t>
      </w:r>
    </w:p>
    <w:p w14:paraId="68D8595B">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（1）承包人收到发包人提交的索赔报告后，应及时审查索赔报告的内容、查验发包人证明材料；</w:t>
      </w:r>
    </w:p>
    <w:p w14:paraId="08EE48D6">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（2）承包人应在收到索赔报告或有关索赔的进一步证明材料后28天内，将索赔处理结果答复发包人。如果承包人未在上述期限内作出答复的，则视为对发包人索赔要求的认可；</w:t>
      </w:r>
    </w:p>
    <w:p w14:paraId="6D31F7E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（3）承包人接受索赔处理结果的，发包人可从应支付给承包人的合同价款中扣除赔付的金额或延长缺陷责任期；发包人不接受索赔处理结果的，按第20条[争议解决]约定处理。</w:t>
      </w:r>
    </w:p>
    <w:p w14:paraId="3819B612">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2" w:name="_Toc351203625"/>
      <w:bookmarkEnd w:id="212"/>
      <w:r>
        <w:rPr>
          <w:rFonts w:hint="eastAsia" w:ascii="宋体" w:hAnsi="宋体" w:eastAsia="宋体" w:cs="宋体"/>
          <w:b w:val="0"/>
          <w:bCs/>
          <w:color w:val="000000" w:themeColor="text1"/>
          <w:sz w:val="21"/>
          <w:szCs w:val="21"/>
          <w14:textFill>
            <w14:solidFill>
              <w14:schemeClr w14:val="tx1"/>
            </w14:solidFill>
          </w14:textFill>
        </w:rPr>
        <w:t>19.5  提出索赔的期限</w:t>
      </w:r>
    </w:p>
    <w:p w14:paraId="0D4E5799">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（1）承包人按第14.2款[竣工结算审核]约定接收竣工付款证书后，应被视为已无权再提出在工程接收证书颁发前所发生的任何索赔。</w:t>
      </w:r>
    </w:p>
    <w:p w14:paraId="2BC4EDE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（2）承包人按第14.4款[最终结清]提交的最终结清申请单中，只限于提出工程接收证书颁发后发生的索赔。提出索赔的期限自接受最终结清证书时终止。</w:t>
      </w:r>
    </w:p>
    <w:p w14:paraId="0D28F318">
      <w:pPr>
        <w:pStyle w:val="38"/>
        <w:keepNext w:val="0"/>
        <w:keepLines/>
        <w:pageBreakBefore w:val="0"/>
        <w:kinsoku/>
        <w:wordWrap w:val="0"/>
        <w:overflowPunct/>
        <w:bidi w:val="0"/>
        <w:spacing w:before="0" w:line="360" w:lineRule="auto"/>
        <w:textAlignment w:val="auto"/>
        <w:outlineLvl w:val="2"/>
        <w:rPr>
          <w:rFonts w:hint="eastAsia" w:ascii="宋体" w:hAnsi="宋体" w:eastAsia="宋体" w:cs="宋体"/>
          <w:b w:val="0"/>
          <w:bCs/>
          <w:color w:val="000000" w:themeColor="text1"/>
          <w14:textFill>
            <w14:solidFill>
              <w14:schemeClr w14:val="tx1"/>
            </w14:solidFill>
          </w14:textFill>
        </w:rPr>
      </w:pPr>
      <w:bookmarkStart w:id="213" w:name="_Toc351203626"/>
      <w:bookmarkEnd w:id="213"/>
      <w:r>
        <w:rPr>
          <w:rFonts w:hint="eastAsia" w:ascii="宋体" w:hAnsi="宋体" w:eastAsia="宋体" w:cs="宋体"/>
          <w:b w:val="0"/>
          <w:bCs/>
          <w:color w:val="000000" w:themeColor="text1"/>
          <w14:textFill>
            <w14:solidFill>
              <w14:schemeClr w14:val="tx1"/>
            </w14:solidFill>
          </w14:textFill>
        </w:rPr>
        <w:t>20、争议解决</w:t>
      </w:r>
    </w:p>
    <w:p w14:paraId="7DDDBA3A">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4" w:name="_Toc351203627"/>
      <w:bookmarkEnd w:id="214"/>
      <w:r>
        <w:rPr>
          <w:rFonts w:hint="eastAsia" w:ascii="宋体" w:hAnsi="宋体" w:eastAsia="宋体" w:cs="宋体"/>
          <w:b w:val="0"/>
          <w:bCs/>
          <w:color w:val="000000" w:themeColor="text1"/>
          <w:sz w:val="21"/>
          <w:szCs w:val="21"/>
          <w14:textFill>
            <w14:solidFill>
              <w14:schemeClr w14:val="tx1"/>
            </w14:solidFill>
          </w14:textFill>
        </w:rPr>
        <w:t>20.1  和解</w:t>
      </w:r>
    </w:p>
    <w:p w14:paraId="3F561C5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合同当事人可以就争议自行和解，自行和解达成协议的经双方签字并盖章后作为合同补充文件，双方均应遵照执行。</w:t>
      </w:r>
    </w:p>
    <w:p w14:paraId="529996B8">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5" w:name="_Toc351203628"/>
      <w:bookmarkEnd w:id="215"/>
      <w:r>
        <w:rPr>
          <w:rFonts w:hint="eastAsia" w:ascii="宋体" w:hAnsi="宋体" w:eastAsia="宋体" w:cs="宋体"/>
          <w:b w:val="0"/>
          <w:bCs/>
          <w:color w:val="000000" w:themeColor="text1"/>
          <w:sz w:val="21"/>
          <w:szCs w:val="21"/>
          <w14:textFill>
            <w14:solidFill>
              <w14:schemeClr w14:val="tx1"/>
            </w14:solidFill>
          </w14:textFill>
        </w:rPr>
        <w:t>20.2  调解</w:t>
      </w:r>
    </w:p>
    <w:p w14:paraId="1D4C2C10">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合同当事人可以就争议请求建设行政主管部门、行业协会或其他第三方进行调解，调解达成协议的，经双方签字并盖章后作为合同补充文件，双方均应遵照执行。</w:t>
      </w:r>
    </w:p>
    <w:p w14:paraId="5A2AD7B7">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6" w:name="_Toc351203629"/>
      <w:bookmarkEnd w:id="216"/>
      <w:r>
        <w:rPr>
          <w:rFonts w:hint="eastAsia" w:ascii="宋体" w:hAnsi="宋体" w:eastAsia="宋体" w:cs="宋体"/>
          <w:b w:val="0"/>
          <w:bCs/>
          <w:color w:val="000000" w:themeColor="text1"/>
          <w:sz w:val="21"/>
          <w:szCs w:val="21"/>
          <w14:textFill>
            <w14:solidFill>
              <w14:schemeClr w14:val="tx1"/>
            </w14:solidFill>
          </w14:textFill>
        </w:rPr>
        <w:t>20.3  争议评审</w:t>
      </w:r>
    </w:p>
    <w:p w14:paraId="1A08F4D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合同当事人在专用合同条款中约定采取争议评审方式解决争议以及评审规则，并按下列约定执行： </w:t>
      </w:r>
    </w:p>
    <w:p w14:paraId="18F8A10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20.3.1  争议评审小组的确定</w:t>
      </w:r>
    </w:p>
    <w:p w14:paraId="5796FF22">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合同当事人可以共同选择一名或三名争议评审员，组成争议评审小组。除专用合同条款另有约定外，合同当事人应当自合同签订后28天内，或者争议发生后14天内，选定争议评审员。</w:t>
      </w:r>
    </w:p>
    <w:p w14:paraId="628E9A33">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277AD766">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除专用合同条款另有约定外，评审员报酬由发包人和承包人各承担一半。</w:t>
      </w:r>
    </w:p>
    <w:p w14:paraId="7EAEC1E7">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20.3.2  争议评审小组的决定</w:t>
      </w:r>
    </w:p>
    <w:p w14:paraId="6917EB5C">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5538B8D">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20.3.3  争议评审小组决定的效力</w:t>
      </w:r>
    </w:p>
    <w:p w14:paraId="17C667F0">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争议评审小组作出的书面决定经合同当事人签字确认后，对双方具有约束力，双方应遵照执行。</w:t>
      </w:r>
    </w:p>
    <w:p w14:paraId="248BEA64">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任何一方当事人不接受争议评审小组决定或不履行争议评审小组决定的，双方可选择采用其他争议解决方式。</w:t>
      </w:r>
    </w:p>
    <w:p w14:paraId="6CE12954">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7" w:name="_Toc351203630"/>
      <w:bookmarkEnd w:id="217"/>
      <w:r>
        <w:rPr>
          <w:rFonts w:hint="eastAsia" w:ascii="宋体" w:hAnsi="宋体" w:eastAsia="宋体" w:cs="宋体"/>
          <w:b w:val="0"/>
          <w:bCs/>
          <w:color w:val="000000" w:themeColor="text1"/>
          <w:sz w:val="21"/>
          <w:szCs w:val="21"/>
          <w14:textFill>
            <w14:solidFill>
              <w14:schemeClr w14:val="tx1"/>
            </w14:solidFill>
          </w14:textFill>
        </w:rPr>
        <w:t>20.4  仲裁或诉讼</w:t>
      </w:r>
    </w:p>
    <w:p w14:paraId="002A307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因合同及合同有关事项产生的争议，合同当事人可以在专用合同条款中约定以下一种方式解决争议：</w:t>
      </w:r>
    </w:p>
    <w:p w14:paraId="4612B04A">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（1）向约定的仲裁委员会申请仲裁；</w:t>
      </w:r>
    </w:p>
    <w:p w14:paraId="4DD9712F">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（2）向有管辖权的人民法院起诉。</w:t>
      </w:r>
    </w:p>
    <w:p w14:paraId="07360CB3">
      <w:pPr>
        <w:pStyle w:val="39"/>
        <w:keepLines/>
        <w:pageBreakBefore w:val="0"/>
        <w:kinsoku/>
        <w:wordWrap w:val="0"/>
        <w:overflowPunct/>
        <w:bidi w:val="0"/>
        <w:spacing w:line="406" w:lineRule="exact"/>
        <w:textAlignment w:val="auto"/>
        <w:outlineLvl w:val="9"/>
        <w:rPr>
          <w:rFonts w:hint="eastAsia" w:ascii="宋体" w:hAnsi="宋体" w:eastAsia="宋体" w:cs="宋体"/>
          <w:b w:val="0"/>
          <w:bCs/>
          <w:color w:val="000000" w:themeColor="text1"/>
          <w:sz w:val="21"/>
          <w:szCs w:val="21"/>
          <w14:textFill>
            <w14:solidFill>
              <w14:schemeClr w14:val="tx1"/>
            </w14:solidFill>
          </w14:textFill>
        </w:rPr>
      </w:pPr>
      <w:bookmarkStart w:id="218" w:name="_Toc351203631"/>
      <w:bookmarkEnd w:id="218"/>
      <w:r>
        <w:rPr>
          <w:rFonts w:hint="eastAsia" w:ascii="宋体" w:hAnsi="宋体" w:eastAsia="宋体" w:cs="宋体"/>
          <w:b w:val="0"/>
          <w:bCs/>
          <w:color w:val="000000" w:themeColor="text1"/>
          <w:sz w:val="21"/>
          <w:szCs w:val="21"/>
          <w14:textFill>
            <w14:solidFill>
              <w14:schemeClr w14:val="tx1"/>
            </w14:solidFill>
          </w14:textFill>
        </w:rPr>
        <w:t>20.5  争议解决条款效力</w:t>
      </w:r>
    </w:p>
    <w:p w14:paraId="4AF9DCB8">
      <w:pPr>
        <w:keepLines/>
        <w:pageBreakBefore w:val="0"/>
        <w:kinsoku/>
        <w:wordWrap w:val="0"/>
        <w:overflowPunct/>
        <w:autoSpaceDE w:val="0"/>
        <w:autoSpaceDN w:val="0"/>
        <w:bidi w:val="0"/>
        <w:spacing w:line="368"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合同有关争议解决的条款独立存在，合同的变更、解除、终止、无效或者被撤销均不影响其效力。 </w:t>
      </w:r>
    </w:p>
    <w:p w14:paraId="7F58CEBD">
      <w:pPr>
        <w:pStyle w:val="4"/>
        <w:keepLines/>
        <w:pageBreakBefore w:val="0"/>
        <w:kinsoku/>
        <w:wordWrap w:val="0"/>
        <w:overflowPunct/>
        <w:bidi w:val="0"/>
        <w:spacing w:before="312" w:beforeLines="100" w:after="468" w:afterLines="150" w:line="240" w:lineRule="auto"/>
        <w:jc w:val="center"/>
        <w:textAlignment w:val="auto"/>
        <w:rPr>
          <w:rFonts w:hint="eastAsia" w:ascii="宋体" w:hAnsi="宋体" w:eastAsia="宋体" w:cs="宋体"/>
          <w:b w:val="0"/>
          <w:bCs/>
          <w:color w:val="000000" w:themeColor="text1"/>
          <w:sz w:val="40"/>
          <w:szCs w:val="40"/>
          <w14:textFill>
            <w14:solidFill>
              <w14:schemeClr w14:val="tx1"/>
            </w14:solidFill>
          </w14:textFill>
        </w:rPr>
      </w:pPr>
      <w:bookmarkStart w:id="219" w:name="_Toc351203632"/>
      <w:bookmarkEnd w:id="219"/>
      <w:r>
        <w:rPr>
          <w:rFonts w:hint="eastAsia" w:ascii="宋体" w:hAnsi="宋体" w:eastAsia="宋体" w:cs="宋体"/>
          <w:b w:val="0"/>
          <w:bCs/>
          <w:color w:val="000000" w:themeColor="text1"/>
          <w:sz w:val="24"/>
          <w:szCs w:val="24"/>
          <w14:textFill>
            <w14:solidFill>
              <w14:schemeClr w14:val="tx1"/>
            </w14:solidFill>
          </w14:textFill>
        </w:rPr>
        <w:br w:type="page"/>
      </w:r>
      <w:r>
        <w:rPr>
          <w:rFonts w:hint="eastAsia" w:ascii="宋体" w:hAnsi="宋体" w:eastAsia="宋体" w:cs="宋体"/>
          <w:b w:val="0"/>
          <w:bCs/>
          <w:color w:val="000000" w:themeColor="text1"/>
          <w:sz w:val="36"/>
          <w:szCs w:val="36"/>
          <w14:textFill>
            <w14:solidFill>
              <w14:schemeClr w14:val="tx1"/>
            </w14:solidFill>
          </w14:textFill>
        </w:rPr>
        <w:t>三、专用合同条款</w:t>
      </w:r>
    </w:p>
    <w:p w14:paraId="776FEA73">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20" w:name="_Toc351203633"/>
      <w:bookmarkEnd w:id="220"/>
      <w:r>
        <w:rPr>
          <w:rFonts w:hint="eastAsia" w:ascii="宋体" w:hAnsi="宋体" w:eastAsia="宋体" w:cs="宋体"/>
          <w:b w:val="0"/>
          <w:bCs/>
          <w:color w:val="000000" w:themeColor="text1"/>
          <w:sz w:val="28"/>
          <w:szCs w:val="28"/>
          <w14:textFill>
            <w14:solidFill>
              <w14:schemeClr w14:val="tx1"/>
            </w14:solidFill>
          </w14:textFill>
        </w:rPr>
        <w:t>1、一般约定</w:t>
      </w:r>
    </w:p>
    <w:p w14:paraId="342F0F45">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  词语定义</w:t>
      </w:r>
    </w:p>
    <w:p w14:paraId="7167038C">
      <w:pPr>
        <w:keepLines/>
        <w:pageBreakBefore w:val="0"/>
        <w:kinsoku/>
        <w:wordWrap w:val="0"/>
        <w:overflowPunct/>
        <w:bidi w:val="0"/>
        <w:spacing w:before="62" w:beforeLines="20" w:line="40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  合同</w:t>
      </w:r>
    </w:p>
    <w:p w14:paraId="1BAA0504">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1.1.1.10  其他合同文件包括：</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0AC035B4">
      <w:pPr>
        <w:keepLines/>
        <w:pageBreakBefore w:val="0"/>
        <w:kinsoku/>
        <w:wordWrap w:val="0"/>
        <w:overflowPunct/>
        <w:bidi w:val="0"/>
        <w:spacing w:before="62" w:beforeLines="20" w:line="40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1.1.2  合同当事人及其他相关方</w:t>
      </w:r>
    </w:p>
    <w:p w14:paraId="06CDC220">
      <w:pPr>
        <w:keepLines/>
        <w:pageBreakBefore w:val="0"/>
        <w:kinsoku/>
        <w:wordWrap w:val="0"/>
        <w:overflowPunct/>
        <w:bidi w:val="0"/>
        <w:spacing w:before="62" w:beforeLines="20" w:line="40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1.1.2.4  监理人：</w:t>
      </w:r>
    </w:p>
    <w:p w14:paraId="6931C9A3">
      <w:pPr>
        <w:keepLines/>
        <w:pageBreakBefore w:val="0"/>
        <w:kinsoku/>
        <w:wordWrap w:val="0"/>
        <w:overflowPunct/>
        <w:bidi w:val="0"/>
        <w:spacing w:before="62" w:beforeLines="20" w:line="40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名    称：</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47327284">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资质类别和等级：</w:t>
      </w:r>
      <w:r>
        <w:rPr>
          <w:rFonts w:hint="eastAsia" w:ascii="宋体" w:hAnsi="宋体" w:eastAsia="宋体" w:cs="宋体"/>
          <w:b w:val="0"/>
          <w:bCs/>
          <w:color w:val="000000" w:themeColor="text1"/>
          <w:sz w:val="24"/>
          <w:u w:val="single"/>
          <w14:textFill>
            <w14:solidFill>
              <w14:schemeClr w14:val="tx1"/>
            </w14:solidFill>
          </w14:textFill>
        </w:rPr>
        <w:t xml:space="preserve">                                               </w:t>
      </w:r>
      <w:r>
        <w:rPr>
          <w:rFonts w:hint="eastAsia" w:ascii="宋体" w:hAnsi="宋体" w:eastAsia="宋体" w:cs="宋体"/>
          <w:b w:val="0"/>
          <w:bCs/>
          <w:color w:val="000000" w:themeColor="text1"/>
          <w:sz w:val="24"/>
          <w14:textFill>
            <w14:solidFill>
              <w14:schemeClr w14:val="tx1"/>
            </w14:solidFill>
          </w14:textFill>
        </w:rPr>
        <w:t>；</w:t>
      </w:r>
    </w:p>
    <w:p w14:paraId="08791690">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联系电话：</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1DD458BB">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电子信箱：</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20035539">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通信地址：</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4C262CED">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1.1.2.5  设计人：</w:t>
      </w:r>
    </w:p>
    <w:p w14:paraId="06396637">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名    称：</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4A0FEFC7">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资质类别和等级：</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0E0C7030">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联系电话：</w:t>
      </w:r>
      <w:r>
        <w:rPr>
          <w:rFonts w:hint="eastAsia" w:ascii="宋体" w:hAnsi="宋体" w:eastAsia="宋体" w:cs="宋体"/>
          <w:b w:val="0"/>
          <w:bCs/>
          <w:color w:val="000000" w:themeColor="text1"/>
          <w:sz w:val="24"/>
          <w:u w:val="single"/>
          <w14:textFill>
            <w14:solidFill>
              <w14:schemeClr w14:val="tx1"/>
            </w14:solidFill>
          </w14:textFill>
        </w:rPr>
        <w:t xml:space="preserve">                                                       </w:t>
      </w:r>
      <w:r>
        <w:rPr>
          <w:rFonts w:hint="eastAsia" w:ascii="宋体" w:hAnsi="宋体" w:eastAsia="宋体" w:cs="宋体"/>
          <w:b w:val="0"/>
          <w:bCs/>
          <w:color w:val="000000" w:themeColor="text1"/>
          <w:sz w:val="24"/>
          <w14:textFill>
            <w14:solidFill>
              <w14:schemeClr w14:val="tx1"/>
            </w14:solidFill>
          </w14:textFill>
        </w:rPr>
        <w:t>；</w:t>
      </w:r>
    </w:p>
    <w:p w14:paraId="3E8E7358">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电子信箱：</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14:textFill>
            <w14:solidFill>
              <w14:schemeClr w14:val="tx1"/>
            </w14:solidFill>
          </w14:textFill>
        </w:rPr>
        <w:t>；</w:t>
      </w:r>
    </w:p>
    <w:p w14:paraId="71877CE5">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通信地址：</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 xml:space="preserve">。  </w:t>
      </w:r>
    </w:p>
    <w:p w14:paraId="6B58E4A5">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1.1.3  工程和设备</w:t>
      </w:r>
    </w:p>
    <w:p w14:paraId="7FE5E517">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1.1.3.7  作为施工现场组成部分的其他场所包括：</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4A96056C">
      <w:pPr>
        <w:keepLines/>
        <w:pageBreakBefore w:val="0"/>
        <w:kinsoku/>
        <w:wordWrap w:val="0"/>
        <w:overflowPunct/>
        <w:bidi w:val="0"/>
        <w:spacing w:line="366" w:lineRule="exact"/>
        <w:ind w:right="-88" w:rightChars="-42"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1.1.3.9  永久占地包括：</w:t>
      </w:r>
      <w:r>
        <w:rPr>
          <w:rFonts w:hint="eastAsia" w:ascii="宋体" w:hAnsi="宋体" w:eastAsia="宋体" w:cs="宋体"/>
          <w:b w:val="0"/>
          <w:bCs/>
          <w:color w:val="000000" w:themeColor="text1"/>
          <w:sz w:val="24"/>
          <w:u w:val="single"/>
          <w14:textFill>
            <w14:solidFill>
              <w14:schemeClr w14:val="tx1"/>
            </w14:solidFill>
          </w14:textFill>
        </w:rPr>
        <w:t xml:space="preserve">                                         </w:t>
      </w:r>
      <w:r>
        <w:rPr>
          <w:rFonts w:hint="eastAsia" w:ascii="宋体" w:hAnsi="宋体" w:eastAsia="宋体" w:cs="宋体"/>
          <w:b w:val="0"/>
          <w:bCs/>
          <w:color w:val="000000" w:themeColor="text1"/>
          <w:kern w:val="0"/>
          <w:sz w:val="24"/>
          <w14:textFill>
            <w14:solidFill>
              <w14:schemeClr w14:val="tx1"/>
            </w14:solidFill>
          </w14:textFill>
        </w:rPr>
        <w:t>。</w:t>
      </w:r>
    </w:p>
    <w:p w14:paraId="574778D6">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1.1.3.10  临时占地包括：</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4C9314BB">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1.3  法律 </w:t>
      </w:r>
    </w:p>
    <w:p w14:paraId="23D6240F">
      <w:pPr>
        <w:keepLines/>
        <w:pageBreakBefore w:val="0"/>
        <w:kinsoku/>
        <w:wordWrap w:val="0"/>
        <w:overflowPunct/>
        <w:autoSpaceDE w:val="0"/>
        <w:autoSpaceDN w:val="0"/>
        <w:bidi w:val="0"/>
        <w:spacing w:line="360" w:lineRule="exact"/>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适用于合同的其他规范性文件：</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02340A62">
      <w:pPr>
        <w:keepLines/>
        <w:pageBreakBefore w:val="0"/>
        <w:kinsoku/>
        <w:wordWrap w:val="0"/>
        <w:overflowPunct/>
        <w:bidi w:val="0"/>
        <w:spacing w:line="36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  标准和规</w:t>
      </w:r>
    </w:p>
    <w:p w14:paraId="60CE3A4E">
      <w:pPr>
        <w:keepLines/>
        <w:pageBreakBefore w:val="0"/>
        <w:kinsoku/>
        <w:wordWrap w:val="0"/>
        <w:overflowPunct/>
        <w:bidi w:val="0"/>
        <w:spacing w:line="360" w:lineRule="exact"/>
        <w:ind w:right="-69" w:rightChars="-33"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1.4.1适用于工程的标准规范包括：</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spacing w:val="20"/>
          <w:kern w:val="0"/>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5CD2F31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发包人提供国外标准、规范的份数：</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00110F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发包人提供国外标准、规范的名称：</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54BEE1A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1.4.3  发包人对工程的技术标准和功能要求的特殊要求：</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2B1811F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  合同文件的优先顺序</w:t>
      </w:r>
      <w:r>
        <w:rPr>
          <w:rFonts w:hint="eastAsia" w:ascii="宋体" w:hAnsi="宋体" w:eastAsia="宋体" w:cs="宋体"/>
          <w:b w:val="0"/>
          <w:bCs/>
          <w:color w:val="000000" w:themeColor="text1"/>
          <w:szCs w:val="21"/>
          <w:lang w:val="en-US" w:eastAsia="zh-CN"/>
          <w14:textFill>
            <w14:solidFill>
              <w14:schemeClr w14:val="tx1"/>
            </w14:solidFill>
          </w14:textFill>
        </w:rPr>
        <w:t xml:space="preserve">   </w:t>
      </w:r>
    </w:p>
    <w:p w14:paraId="731D955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合同文件组成及优先顺序为：</w:t>
      </w:r>
      <w:r>
        <w:rPr>
          <w:rFonts w:hint="eastAsia" w:ascii="宋体" w:hAnsi="宋体" w:eastAsia="宋体" w:cs="宋体"/>
          <w:b w:val="0"/>
          <w:bCs/>
          <w:color w:val="000000" w:themeColor="text1"/>
          <w:sz w:val="24"/>
          <w:u w:val="single"/>
          <w14:textFill>
            <w14:solidFill>
              <w14:schemeClr w14:val="tx1"/>
            </w14:solidFill>
          </w14:textFill>
        </w:rPr>
        <w:t></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6976840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  图纸和承包人文件</w:t>
      </w:r>
      <w:r>
        <w:rPr>
          <w:rFonts w:hint="eastAsia" w:ascii="宋体" w:hAnsi="宋体" w:eastAsia="宋体" w:cs="宋体"/>
          <w:b w:val="0"/>
          <w:bCs/>
          <w:color w:val="000000" w:themeColor="text1"/>
          <w:szCs w:val="21"/>
          <w14:textFill>
            <w14:solidFill>
              <w14:schemeClr w14:val="tx1"/>
            </w14:solidFill>
          </w14:textFill>
        </w:rPr>
        <w:tab/>
      </w:r>
    </w:p>
    <w:p w14:paraId="0AED433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  图纸的提供</w:t>
      </w:r>
    </w:p>
    <w:p w14:paraId="4D8F48C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发包人向承包人提供图纸的期限：</w:t>
      </w:r>
      <w:r>
        <w:rPr>
          <w:rFonts w:hint="eastAsia" w:ascii="宋体" w:hAnsi="宋体" w:eastAsia="宋体" w:cs="宋体"/>
          <w:b w:val="0"/>
          <w:bCs/>
          <w:color w:val="000000" w:themeColor="text1"/>
          <w:sz w:val="24"/>
          <w:u w:val="single"/>
          <w14:textFill>
            <w14:solidFill>
              <w14:schemeClr w14:val="tx1"/>
            </w14:solidFill>
          </w14:textFill>
        </w:rPr>
        <w:t>                    </w:t>
      </w:r>
      <w:r>
        <w:rPr>
          <w:rFonts w:hint="eastAsia" w:ascii="宋体" w:hAnsi="宋体" w:eastAsia="宋体" w:cs="宋体"/>
          <w:b w:val="0"/>
          <w:bCs/>
          <w:color w:val="000000" w:themeColor="text1"/>
          <w:sz w:val="24"/>
          <w14:textFill>
            <w14:solidFill>
              <w14:schemeClr w14:val="tx1"/>
            </w14:solidFill>
          </w14:textFill>
        </w:rPr>
        <w:t>；</w:t>
      </w:r>
    </w:p>
    <w:p w14:paraId="24BEAC8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发包人向承包人提供图纸的数量：</w:t>
      </w:r>
      <w:r>
        <w:rPr>
          <w:rFonts w:hint="eastAsia" w:ascii="宋体" w:hAnsi="宋体" w:eastAsia="宋体" w:cs="宋体"/>
          <w:b w:val="0"/>
          <w:bCs/>
          <w:color w:val="000000" w:themeColor="text1"/>
          <w:sz w:val="24"/>
          <w:u w:val="single"/>
          <w14:textFill>
            <w14:solidFill>
              <w14:schemeClr w14:val="tx1"/>
            </w14:solidFill>
          </w14:textFill>
        </w:rPr>
        <w:t>                     </w:t>
      </w:r>
      <w:r>
        <w:rPr>
          <w:rFonts w:hint="eastAsia" w:ascii="宋体" w:hAnsi="宋体" w:eastAsia="宋体" w:cs="宋体"/>
          <w:b w:val="0"/>
          <w:bCs/>
          <w:color w:val="000000" w:themeColor="text1"/>
          <w:sz w:val="24"/>
          <w14:textFill>
            <w14:solidFill>
              <w14:schemeClr w14:val="tx1"/>
            </w14:solidFill>
          </w14:textFill>
        </w:rPr>
        <w:t>；</w:t>
      </w:r>
    </w:p>
    <w:p w14:paraId="7AD6570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发包人向承包人提供图纸的内容：</w:t>
      </w:r>
      <w:r>
        <w:rPr>
          <w:rFonts w:hint="eastAsia" w:ascii="宋体" w:hAnsi="宋体" w:eastAsia="宋体" w:cs="宋体"/>
          <w:b w:val="0"/>
          <w:bCs/>
          <w:color w:val="000000" w:themeColor="text1"/>
          <w:sz w:val="24"/>
          <w:u w:val="single"/>
          <w14:textFill>
            <w14:solidFill>
              <w14:schemeClr w14:val="tx1"/>
            </w14:solidFill>
          </w14:textFill>
        </w:rPr>
        <w:t>                     </w:t>
      </w:r>
      <w:r>
        <w:rPr>
          <w:rFonts w:hint="eastAsia" w:ascii="宋体" w:hAnsi="宋体" w:eastAsia="宋体" w:cs="宋体"/>
          <w:b w:val="0"/>
          <w:bCs/>
          <w:color w:val="000000" w:themeColor="text1"/>
          <w:sz w:val="24"/>
          <w14:textFill>
            <w14:solidFill>
              <w14:schemeClr w14:val="tx1"/>
            </w14:solidFill>
          </w14:textFill>
        </w:rPr>
        <w:t>。</w:t>
      </w:r>
    </w:p>
    <w:p w14:paraId="3B506AA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1.6.4  承包人文件</w:t>
      </w:r>
    </w:p>
    <w:p w14:paraId="79E049C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需要由承包人提供的文件，包括：</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67B10DE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承包人提供的文件的期限为：</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77EB5F4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承包人提供的文件的数量为：</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46066D5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承包人提供的文件的形式为：</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6AA28D8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发包人审批承包人文件的期限：</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72BCECD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1.6.5  现场图纸准备</w:t>
      </w:r>
    </w:p>
    <w:p w14:paraId="0F38CF6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关于现场图纸准备的约定：</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5C10AF2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  联络</w:t>
      </w:r>
    </w:p>
    <w:p w14:paraId="3D26BC9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1.7.1  发包人和承包人应当在</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天内将与合同有关的通知、批准、证明、证书、指示、指令、要求、请求、同意、意见、确定和决定等书面函件送达对方当事人。</w:t>
      </w:r>
    </w:p>
    <w:p w14:paraId="0B39DB8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1.7.2  发包人接收文件的地点：</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7F916B1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发包人指定的接收人为：</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26D6294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承包人接收文件的地点：</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71FBB53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承包人指定的接收人为：</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35DAED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监理人接收文件的地点：</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kern w:val="0"/>
          <w:sz w:val="24"/>
          <w14:textFill>
            <w14:solidFill>
              <w14:schemeClr w14:val="tx1"/>
            </w14:solidFill>
          </w14:textFill>
        </w:rPr>
        <w:t>；</w:t>
      </w:r>
    </w:p>
    <w:p w14:paraId="7A6FA39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监理人指定的接收人为：</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59E3F1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1.10  交通运输</w:t>
      </w:r>
    </w:p>
    <w:p w14:paraId="7754581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1.10.1  出入现场的权利</w:t>
      </w:r>
    </w:p>
    <w:p w14:paraId="4F02BAD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关于出入现场的权利的约定：</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14:textFill>
            <w14:solidFill>
              <w14:schemeClr w14:val="tx1"/>
            </w14:solidFill>
          </w14:textFill>
        </w:rPr>
        <w:t>。</w:t>
      </w:r>
    </w:p>
    <w:p w14:paraId="3404A7C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21" w:name="_Toc303539101"/>
      <w:bookmarkStart w:id="222" w:name="_Toc312677987"/>
      <w:bookmarkStart w:id="223" w:name="_Toc318581156"/>
      <w:bookmarkStart w:id="224" w:name="_Toc304295522"/>
      <w:bookmarkStart w:id="225" w:name="_Toc300934944"/>
      <w:r>
        <w:rPr>
          <w:rFonts w:hint="eastAsia" w:ascii="宋体" w:hAnsi="宋体" w:eastAsia="宋体" w:cs="宋体"/>
          <w:b w:val="0"/>
          <w:bCs/>
          <w:color w:val="000000" w:themeColor="text1"/>
          <w:szCs w:val="21"/>
          <w14:textFill>
            <w14:solidFill>
              <w14:schemeClr w14:val="tx1"/>
            </w14:solidFill>
          </w14:textFill>
        </w:rPr>
        <w:t>1.10.3  场内交通</w:t>
      </w:r>
    </w:p>
    <w:p w14:paraId="24E63A16">
      <w:pPr>
        <w:keepLines/>
        <w:pageBreakBefore w:val="0"/>
        <w:kinsoku/>
        <w:wordWrap w:val="0"/>
        <w:overflowPunct/>
        <w:bidi w:val="0"/>
        <w:spacing w:line="384" w:lineRule="exact"/>
        <w:ind w:firstLine="420" w:firstLineChars="200"/>
        <w:jc w:val="left"/>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关于场外交通和场内交通的边界的约定：</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221"/>
    <w:bookmarkEnd w:id="222"/>
    <w:bookmarkEnd w:id="223"/>
    <w:bookmarkEnd w:id="224"/>
    <w:bookmarkEnd w:id="225"/>
    <w:p w14:paraId="40F28EC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关于发包人向承包人免费提供满足工程施工需要的场内道路和交通设施的约定：</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D482AF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1.10.4  超大件和超重件的运输</w:t>
      </w:r>
      <w:r>
        <w:rPr>
          <w:rFonts w:hint="eastAsia" w:ascii="宋体" w:hAnsi="宋体" w:eastAsia="宋体" w:cs="宋体"/>
          <w:b w:val="0"/>
          <w:bCs/>
          <w:color w:val="000000" w:themeColor="text1"/>
          <w:szCs w:val="21"/>
          <w:lang w:val="en-US" w:eastAsia="zh-CN"/>
          <w14:textFill>
            <w14:solidFill>
              <w14:schemeClr w14:val="tx1"/>
            </w14:solidFill>
          </w14:textFill>
        </w:rPr>
        <w:t xml:space="preserve">  </w:t>
      </w:r>
    </w:p>
    <w:p w14:paraId="43152E4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运输超大件或超重件所需的道路和桥梁临时加固改造费用和其他有关费用由</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承担。</w:t>
      </w:r>
    </w:p>
    <w:p w14:paraId="2F8C4A4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  知识产权</w:t>
      </w:r>
    </w:p>
    <w:p w14:paraId="0446231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045671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关于发包人提供的上述文件的使用限制的要求：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84F62A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1.11.2  关于承包人为实施工程所编制文件的著作权的归属：</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0D9D84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关于承包人提供的上述文件的使用限制的要求：</w:t>
      </w:r>
      <w:r>
        <w:rPr>
          <w:rFonts w:hint="eastAsia" w:ascii="宋体" w:hAnsi="宋体" w:eastAsia="宋体" w:cs="宋体"/>
          <w:b w:val="0"/>
          <w:bCs/>
          <w:color w:val="000000" w:themeColor="text1"/>
          <w:sz w:val="24"/>
          <w:u w:val="single"/>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6E45C1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1.11.4  承包人在施工过程中所采用的专利、专有技术、技术秘密的使用费的承担方式：</w:t>
      </w:r>
    </w:p>
    <w:p w14:paraId="7651F483">
      <w:pPr>
        <w:keepLines/>
        <w:pageBreakBefore w:val="0"/>
        <w:kinsoku/>
        <w:wordWrap w:val="0"/>
        <w:overflowPunct/>
        <w:bidi w:val="0"/>
        <w:spacing w:line="384" w:lineRule="exact"/>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A4CC68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1.13  工程量清单错误的修正</w:t>
      </w:r>
    </w:p>
    <w:p w14:paraId="7D32494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出现工程量清单错误时，是否调整合同价格：</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7092A6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允许调整合同价格的工程量偏差范围：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A4EB9E2">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26" w:name="_Toc351203634"/>
      <w:bookmarkEnd w:id="226"/>
      <w:r>
        <w:rPr>
          <w:rFonts w:hint="eastAsia" w:ascii="宋体" w:hAnsi="宋体" w:eastAsia="宋体" w:cs="宋体"/>
          <w:b w:val="0"/>
          <w:bCs/>
          <w:color w:val="000000" w:themeColor="text1"/>
          <w:sz w:val="28"/>
          <w:szCs w:val="28"/>
          <w14:textFill>
            <w14:solidFill>
              <w14:schemeClr w14:val="tx1"/>
            </w14:solidFill>
          </w14:textFill>
        </w:rPr>
        <w:t>2、发包人</w:t>
      </w:r>
    </w:p>
    <w:p w14:paraId="35924E1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2.2  发包人代表</w:t>
      </w:r>
    </w:p>
    <w:p w14:paraId="0C19019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发包人代表：</w:t>
      </w:r>
    </w:p>
    <w:p w14:paraId="19A97CD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姓    名：</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74BF2FA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身份证号：</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6DC2AEF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职    务：</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0A0449F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联系电话：</w:t>
      </w:r>
      <w:r>
        <w:rPr>
          <w:rFonts w:hint="eastAsia" w:ascii="宋体" w:hAnsi="宋体" w:eastAsia="宋体" w:cs="宋体"/>
          <w:b w:val="0"/>
          <w:bCs/>
          <w:color w:val="000000" w:themeColor="text1"/>
          <w:szCs w:val="21"/>
          <w:u w:val="single"/>
          <w14:textFill>
            <w14:solidFill>
              <w14:schemeClr w14:val="tx1"/>
            </w14:solidFill>
          </w14:textFill>
        </w:rPr>
        <w:t>                                </w:t>
      </w:r>
      <w:r>
        <w:rPr>
          <w:rFonts w:hint="eastAsia" w:ascii="宋体" w:hAnsi="宋体" w:eastAsia="宋体" w:cs="宋体"/>
          <w:b w:val="0"/>
          <w:bCs/>
          <w:color w:val="000000" w:themeColor="text1"/>
          <w:szCs w:val="21"/>
          <w14:textFill>
            <w14:solidFill>
              <w14:schemeClr w14:val="tx1"/>
            </w14:solidFill>
          </w14:textFill>
        </w:rPr>
        <w:t>；</w:t>
      </w:r>
    </w:p>
    <w:p w14:paraId="57313CD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电子信箱：</w:t>
      </w:r>
      <w:r>
        <w:rPr>
          <w:rFonts w:hint="eastAsia" w:ascii="宋体" w:hAnsi="宋体" w:eastAsia="宋体" w:cs="宋体"/>
          <w:b w:val="0"/>
          <w:bCs/>
          <w:color w:val="000000" w:themeColor="text1"/>
          <w:szCs w:val="21"/>
          <w:u w:val="single"/>
          <w14:textFill>
            <w14:solidFill>
              <w14:schemeClr w14:val="tx1"/>
            </w14:solidFill>
          </w14:textFill>
        </w:rPr>
        <w:t>                                    </w:t>
      </w:r>
      <w:r>
        <w:rPr>
          <w:rFonts w:hint="eastAsia" w:ascii="宋体" w:hAnsi="宋体" w:eastAsia="宋体" w:cs="宋体"/>
          <w:b w:val="0"/>
          <w:bCs/>
          <w:color w:val="000000" w:themeColor="text1"/>
          <w:szCs w:val="21"/>
          <w14:textFill>
            <w14:solidFill>
              <w14:schemeClr w14:val="tx1"/>
            </w14:solidFill>
          </w14:textFill>
        </w:rPr>
        <w:t>；</w:t>
      </w:r>
    </w:p>
    <w:p w14:paraId="37BFA8A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通信地址：</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3B6DD36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发包人对发包人代表的授权范围如下：</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F64A2A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2.4  施工现场、施工条件和基础资料的提供</w:t>
      </w:r>
    </w:p>
    <w:p w14:paraId="100F211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2.4.1  提供施工现场</w:t>
      </w:r>
    </w:p>
    <w:p w14:paraId="7B47F76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关于发包人移交施工现场的期限要求：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B9DBB7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2.4.2  提供施工条件</w:t>
      </w:r>
    </w:p>
    <w:p w14:paraId="152336F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关于发包人应负责提供施工所需要的条件，包括：</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14:textFill>
            <w14:solidFill>
              <w14:schemeClr w14:val="tx1"/>
            </w14:solidFill>
          </w14:textFill>
        </w:rPr>
        <w:t>。</w:t>
      </w:r>
    </w:p>
    <w:p w14:paraId="798CC7D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2.5  资金来源证明及支付担保</w:t>
      </w:r>
    </w:p>
    <w:p w14:paraId="3A71E5D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发包人提供资金来源证明的期限要求：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E7B66C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发包人是否提供支付担保：</w:t>
      </w:r>
      <w:r>
        <w:rPr>
          <w:rFonts w:hint="eastAsia" w:ascii="宋体" w:hAnsi="宋体" w:eastAsia="宋体" w:cs="宋体"/>
          <w:b w:val="0"/>
          <w:bCs/>
          <w:color w:val="000000" w:themeColor="text1"/>
          <w:szCs w:val="21"/>
          <w:u w:val="single"/>
          <w14:textFill>
            <w14:solidFill>
              <w14:schemeClr w14:val="tx1"/>
            </w14:solidFill>
          </w14:textFill>
        </w:rPr>
        <w:t xml:space="preserve">                                  </w:t>
      </w:r>
      <w:r>
        <w:rPr>
          <w:rFonts w:hint="eastAsia" w:ascii="宋体" w:hAnsi="宋体" w:eastAsia="宋体" w:cs="宋体"/>
          <w:b w:val="0"/>
          <w:bCs/>
          <w:color w:val="000000" w:themeColor="text1"/>
          <w:szCs w:val="21"/>
          <w14:textFill>
            <w14:solidFill>
              <w14:schemeClr w14:val="tx1"/>
            </w14:solidFill>
          </w14:textFill>
        </w:rPr>
        <w:t>。</w:t>
      </w:r>
    </w:p>
    <w:p w14:paraId="4B185A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发包人提供支付担保的形式：</w:t>
      </w:r>
      <w:r>
        <w:rPr>
          <w:rFonts w:hint="eastAsia" w:ascii="宋体" w:hAnsi="宋体" w:eastAsia="宋体" w:cs="宋体"/>
          <w:b w:val="0"/>
          <w:bCs/>
          <w:color w:val="000000" w:themeColor="text1"/>
          <w:szCs w:val="21"/>
          <w:u w:val="single"/>
          <w14:textFill>
            <w14:solidFill>
              <w14:schemeClr w14:val="tx1"/>
            </w14:solidFill>
          </w14:textFill>
        </w:rPr>
        <w:t>                                           </w:t>
      </w:r>
      <w:r>
        <w:rPr>
          <w:rFonts w:hint="eastAsia" w:ascii="宋体" w:hAnsi="宋体" w:eastAsia="宋体" w:cs="宋体"/>
          <w:b w:val="0"/>
          <w:bCs/>
          <w:color w:val="000000" w:themeColor="text1"/>
          <w:szCs w:val="21"/>
          <w14:textFill>
            <w14:solidFill>
              <w14:schemeClr w14:val="tx1"/>
            </w14:solidFill>
          </w14:textFill>
        </w:rPr>
        <w:t>。</w:t>
      </w:r>
    </w:p>
    <w:p w14:paraId="227CF2E5">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27" w:name="_Toc351203635"/>
      <w:bookmarkEnd w:id="227"/>
      <w:r>
        <w:rPr>
          <w:rFonts w:hint="eastAsia" w:ascii="宋体" w:hAnsi="宋体" w:eastAsia="宋体" w:cs="宋体"/>
          <w:b w:val="0"/>
          <w:bCs/>
          <w:color w:val="000000" w:themeColor="text1"/>
          <w:sz w:val="28"/>
          <w:szCs w:val="28"/>
          <w14:textFill>
            <w14:solidFill>
              <w14:schemeClr w14:val="tx1"/>
            </w14:solidFill>
          </w14:textFill>
        </w:rPr>
        <w:t>3、承包人</w:t>
      </w:r>
    </w:p>
    <w:p w14:paraId="79AAC08D">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3.1  承包人的一般义务</w:t>
      </w:r>
    </w:p>
    <w:p w14:paraId="07F467DB">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（9）承包人提交的竣工资料的内容：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2C7E0F3">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承包人需要提交的竣工资料套数：</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C2F80F8">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承包人提交的竣工资料的费用承担：</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2E2FA42">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承包人提交的竣工资料移交时间：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3A21441">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承包人提交的竣工资料形式要求：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BE9B99D">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承包人应履行的其他义务：</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6F7E494">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3.2  项目经理</w:t>
      </w:r>
    </w:p>
    <w:p w14:paraId="42F1769C">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3.2.1  项目经理：</w:t>
      </w:r>
    </w:p>
    <w:p w14:paraId="177069D9">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姓    名：</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044506C2">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身份证号：</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6D4D53FA">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建造师执业资格等级：</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32FE6760">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建造师注册证书号：</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57118112">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建造师执业印章号：</w:t>
      </w:r>
      <w:r>
        <w:rPr>
          <w:rFonts w:hint="eastAsia" w:ascii="宋体" w:hAnsi="宋体" w:eastAsia="宋体" w:cs="宋体"/>
          <w:b w:val="0"/>
          <w:bCs/>
          <w:color w:val="000000" w:themeColor="text1"/>
          <w:szCs w:val="21"/>
          <w:u w:val="single"/>
          <w14:textFill>
            <w14:solidFill>
              <w14:schemeClr w14:val="tx1"/>
            </w14:solidFill>
          </w14:textFill>
        </w:rPr>
        <w:t>                                </w:t>
      </w:r>
      <w:r>
        <w:rPr>
          <w:rFonts w:hint="eastAsia" w:ascii="宋体" w:hAnsi="宋体" w:eastAsia="宋体" w:cs="宋体"/>
          <w:b w:val="0"/>
          <w:bCs/>
          <w:color w:val="000000" w:themeColor="text1"/>
          <w:szCs w:val="21"/>
          <w14:textFill>
            <w14:solidFill>
              <w14:schemeClr w14:val="tx1"/>
            </w14:solidFill>
          </w14:textFill>
        </w:rPr>
        <w:t>；</w:t>
      </w:r>
    </w:p>
    <w:p w14:paraId="7F21E24D">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安全生产考核合格证书号：</w:t>
      </w:r>
      <w:r>
        <w:rPr>
          <w:rFonts w:hint="eastAsia" w:ascii="宋体" w:hAnsi="宋体" w:eastAsia="宋体" w:cs="宋体"/>
          <w:b w:val="0"/>
          <w:bCs/>
          <w:color w:val="000000" w:themeColor="text1"/>
          <w:szCs w:val="21"/>
          <w:u w:val="single"/>
          <w14:textFill>
            <w14:solidFill>
              <w14:schemeClr w14:val="tx1"/>
            </w14:solidFill>
          </w14:textFill>
        </w:rPr>
        <w:t>                                </w:t>
      </w:r>
      <w:r>
        <w:rPr>
          <w:rFonts w:hint="eastAsia" w:ascii="宋体" w:hAnsi="宋体" w:eastAsia="宋体" w:cs="宋体"/>
          <w:b w:val="0"/>
          <w:bCs/>
          <w:color w:val="000000" w:themeColor="text1"/>
          <w:szCs w:val="21"/>
          <w14:textFill>
            <w14:solidFill>
              <w14:schemeClr w14:val="tx1"/>
            </w14:solidFill>
          </w14:textFill>
        </w:rPr>
        <w:t>；</w:t>
      </w:r>
    </w:p>
    <w:p w14:paraId="5C4AFAE1">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联系电话：</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14:textFill>
            <w14:solidFill>
              <w14:schemeClr w14:val="tx1"/>
            </w14:solidFill>
          </w14:textFill>
        </w:rPr>
        <w:t>；</w:t>
      </w:r>
    </w:p>
    <w:p w14:paraId="1965FC2D">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电子信箱：</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1648A061">
      <w:pPr>
        <w:keepLines/>
        <w:pageBreakBefore w:val="0"/>
        <w:kinsoku/>
        <w:wordWrap w:val="0"/>
        <w:overflowPunct/>
        <w:bidi w:val="0"/>
        <w:spacing w:line="400"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通信地址：</w:t>
      </w:r>
      <w:r>
        <w:rPr>
          <w:rFonts w:hint="eastAsia" w:ascii="宋体" w:hAnsi="宋体" w:eastAsia="宋体" w:cs="宋体"/>
          <w:b w:val="0"/>
          <w:bCs/>
          <w:color w:val="000000" w:themeColor="text1"/>
          <w:szCs w:val="21"/>
          <w:u w:val="single"/>
          <w14:textFill>
            <w14:solidFill>
              <w14:schemeClr w14:val="tx1"/>
            </w14:solidFill>
          </w14:textFill>
        </w:rPr>
        <w:t>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w:t>
      </w:r>
      <w:r>
        <w:rPr>
          <w:rFonts w:hint="eastAsia" w:ascii="宋体" w:hAnsi="宋体" w:eastAsia="宋体" w:cs="宋体"/>
          <w:b w:val="0"/>
          <w:bCs/>
          <w:color w:val="000000" w:themeColor="text1"/>
          <w:szCs w:val="21"/>
          <w14:textFill>
            <w14:solidFill>
              <w14:schemeClr w14:val="tx1"/>
            </w14:solidFill>
          </w14:textFill>
        </w:rPr>
        <w:t>；</w:t>
      </w:r>
    </w:p>
    <w:p w14:paraId="16A4F75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承包人对项目经理的授权范围如下：</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1FBEFB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关于项目经理每月在施工现场的时间要求：</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BE4FE2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承包人未提交劳动合同，以及没有为项目经理缴纳社会保险证明的违约责任：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5A450CA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项目经理未经批准，擅自离开施工现场的违约责任：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85F676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3.2.3  承包人擅自更换项目经理的违约责任：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50F8C4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3.2.4  承包人无正当理由拒绝更换项目经理的违约责任：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3A35DB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3.3  承包人人员</w:t>
      </w:r>
    </w:p>
    <w:p w14:paraId="4910A52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3.3.1  承包人提交项目管理机构及施工现场管理人员安排报告的期限：</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14:textFill>
            <w14:solidFill>
              <w14:schemeClr w14:val="tx1"/>
            </w14:solidFill>
          </w14:textFill>
        </w:rPr>
        <w:t>。</w:t>
      </w:r>
    </w:p>
    <w:p w14:paraId="1E05415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u w:val="single"/>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3.3.3  承包人无正当理由拒绝撤换主要施工管理人员的违约责任：</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6B8AB4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3.3.4  承包人主要施工管理人员离开施工现场的批准要求：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B0280F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3.3.5  承包人擅自更换主要施工管理人员的违约责任：</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212D85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承包人主要施工管理人员擅自离开施工现场的违约责任：</w:t>
      </w:r>
      <w:r>
        <w:rPr>
          <w:rFonts w:hint="eastAsia" w:ascii="宋体" w:hAnsi="宋体" w:eastAsia="宋体" w:cs="宋体"/>
          <w:b w:val="0"/>
          <w:bCs/>
          <w:color w:val="000000" w:themeColor="text1"/>
          <w:szCs w:val="21"/>
          <w:u w:val="single"/>
          <w14:textFill>
            <w14:solidFill>
              <w14:schemeClr w14:val="tx1"/>
            </w14:solidFill>
          </w14:textFill>
        </w:rPr>
        <w:t xml:space="preserve"> 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E7A9E2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3.5  分包</w:t>
      </w:r>
    </w:p>
    <w:p w14:paraId="37564CE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28" w:name="_Toc296891200"/>
      <w:bookmarkStart w:id="229" w:name="_Toc297216152"/>
      <w:bookmarkStart w:id="230" w:name="_Toc300934946"/>
      <w:bookmarkStart w:id="231" w:name="_Toc296346661"/>
      <w:bookmarkStart w:id="232" w:name="_Toc296347159"/>
      <w:bookmarkStart w:id="233" w:name="_Toc297120460"/>
      <w:bookmarkStart w:id="234" w:name="_Toc292559365"/>
      <w:bookmarkStart w:id="235" w:name="_Toc304295524"/>
      <w:bookmarkStart w:id="236" w:name="_Toc292559870"/>
      <w:bookmarkStart w:id="237" w:name="_Toc296503160"/>
      <w:bookmarkStart w:id="238" w:name="_Toc303539103"/>
      <w:bookmarkStart w:id="239" w:name="_Toc296890988"/>
      <w:bookmarkStart w:id="240" w:name="_Toc297123493"/>
      <w:bookmarkStart w:id="241" w:name="_Toc297048346"/>
      <w:bookmarkStart w:id="242" w:name="_Toc296944499"/>
      <w:r>
        <w:rPr>
          <w:rFonts w:hint="eastAsia" w:ascii="宋体" w:hAnsi="宋体" w:eastAsia="宋体" w:cs="宋体"/>
          <w:b w:val="0"/>
          <w:bCs/>
          <w:color w:val="000000" w:themeColor="text1"/>
          <w:szCs w:val="21"/>
          <w14:textFill>
            <w14:solidFill>
              <w14:schemeClr w14:val="tx1"/>
            </w14:solidFill>
          </w14:textFill>
        </w:rPr>
        <w:t>3.5.1  分包的一般约定</w:t>
      </w:r>
    </w:p>
    <w:p w14:paraId="7E42C9B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禁止分包的工程包括：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14:paraId="587E956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主体结构、关键性工作的范围：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A31434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3.5.2  分包的确定</w:t>
      </w:r>
    </w:p>
    <w:p w14:paraId="1E25DD6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允许分包的专业工程包括：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FACFC9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其他关于分包的约定：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C28CAC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3.5.4  分包合同价款</w:t>
      </w:r>
    </w:p>
    <w:p w14:paraId="1C3BE32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关于分包合同价款支付的约定：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F9C83B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3.6  工程照管与成品、半成品保护</w:t>
      </w:r>
    </w:p>
    <w:p w14:paraId="4A6E857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承包人负责照管工程及工程相关的材料、工程设备的起始时间：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C9783C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3.7  履约担保</w:t>
      </w:r>
    </w:p>
    <w:p w14:paraId="79976F3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承包人是否提供履约担保：</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47306B1">
      <w:pPr>
        <w:keepLines/>
        <w:pageBreakBefore w:val="0"/>
        <w:kinsoku/>
        <w:wordWrap w:val="0"/>
        <w:overflowPunct/>
        <w:bidi w:val="0"/>
        <w:adjustRightInd w:val="0"/>
        <w:spacing w:line="384" w:lineRule="exact"/>
        <w:ind w:firstLine="420" w:firstLineChars="200"/>
        <w:textAlignment w:val="auto"/>
        <w:rPr>
          <w:rFonts w:hint="eastAsia" w:ascii="宋体" w:hAnsi="宋体" w:eastAsia="宋体" w:cs="宋体"/>
          <w:b w:val="0"/>
          <w:bCs/>
          <w:color w:val="000000" w:themeColor="text1"/>
          <w:szCs w:val="21"/>
          <w:lang w:eastAsia="zh-CN"/>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承包人提供履约担保的形式、金额及期限的：</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none"/>
          <w:lang w:eastAsia="zh-CN"/>
          <w14:textFill>
            <w14:solidFill>
              <w14:schemeClr w14:val="tx1"/>
            </w14:solidFill>
          </w14:textFill>
        </w:rPr>
        <w:t>。</w:t>
      </w:r>
    </w:p>
    <w:p w14:paraId="23C4EA6F">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43" w:name="_Toc296891202"/>
      <w:bookmarkEnd w:id="243"/>
      <w:bookmarkStart w:id="244" w:name="_Toc267251413"/>
      <w:bookmarkEnd w:id="244"/>
      <w:bookmarkStart w:id="245" w:name="_Toc297120462"/>
      <w:bookmarkEnd w:id="245"/>
      <w:bookmarkStart w:id="246" w:name="_Toc297048348"/>
      <w:bookmarkEnd w:id="246"/>
      <w:bookmarkStart w:id="247" w:name="_Toc292559871"/>
      <w:bookmarkEnd w:id="247"/>
      <w:bookmarkStart w:id="248" w:name="_Toc296503162"/>
      <w:bookmarkEnd w:id="248"/>
      <w:bookmarkStart w:id="249" w:name="_Toc296346663"/>
      <w:bookmarkEnd w:id="249"/>
      <w:bookmarkStart w:id="250" w:name="_Toc296890990"/>
      <w:bookmarkEnd w:id="250"/>
      <w:bookmarkStart w:id="251" w:name="_Toc292559366"/>
      <w:bookmarkEnd w:id="251"/>
      <w:bookmarkStart w:id="252" w:name="_Toc351203636"/>
      <w:bookmarkEnd w:id="252"/>
      <w:bookmarkStart w:id="253" w:name="_Toc296347161"/>
      <w:bookmarkEnd w:id="253"/>
      <w:bookmarkStart w:id="254" w:name="_Toc296944501"/>
      <w:bookmarkEnd w:id="254"/>
      <w:r>
        <w:rPr>
          <w:rFonts w:hint="eastAsia" w:ascii="宋体" w:hAnsi="宋体" w:eastAsia="宋体" w:cs="宋体"/>
          <w:b w:val="0"/>
          <w:bCs/>
          <w:color w:val="000000" w:themeColor="text1"/>
          <w:sz w:val="28"/>
          <w:szCs w:val="28"/>
          <w14:textFill>
            <w14:solidFill>
              <w14:schemeClr w14:val="tx1"/>
            </w14:solidFill>
          </w14:textFill>
        </w:rPr>
        <w:t>4、监理人</w:t>
      </w:r>
    </w:p>
    <w:p w14:paraId="73F3F43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4.1  监理人的一般规定</w:t>
      </w:r>
    </w:p>
    <w:p w14:paraId="290A1AE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关于监理人的监理内容：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80C519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关于监理人的监理权限：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17284FC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关于监理人在施工现场的办公场所、生活场所的提供和费用承担的约定：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75F6B8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4.2  监理人员</w:t>
      </w:r>
    </w:p>
    <w:p w14:paraId="5F8F3F5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总监理工程师：</w:t>
      </w:r>
    </w:p>
    <w:p w14:paraId="2D54C84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姓    名：</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6AB719D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职    务：</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15F470E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监理工程师执业资格证书号：</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64534AD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联系电话：</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30E3E6B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电子信箱：</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6E57204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通信地址：</w:t>
      </w:r>
      <w:r>
        <w:rPr>
          <w:rFonts w:hint="eastAsia" w:ascii="宋体" w:hAnsi="宋体" w:eastAsia="宋体" w:cs="宋体"/>
          <w:b w:val="0"/>
          <w:bCs/>
          <w:color w:val="000000" w:themeColor="text1"/>
          <w:szCs w:val="21"/>
          <w:u w:val="single"/>
          <w14:textFill>
            <w14:solidFill>
              <w14:schemeClr w14:val="tx1"/>
            </w14:solidFill>
          </w14:textFill>
        </w:rPr>
        <w:t>                                     </w:t>
      </w:r>
      <w:r>
        <w:rPr>
          <w:rFonts w:hint="eastAsia" w:ascii="宋体" w:hAnsi="宋体" w:eastAsia="宋体" w:cs="宋体"/>
          <w:b w:val="0"/>
          <w:bCs/>
          <w:color w:val="000000" w:themeColor="text1"/>
          <w:szCs w:val="21"/>
          <w14:textFill>
            <w14:solidFill>
              <w14:schemeClr w14:val="tx1"/>
            </w14:solidFill>
          </w14:textFill>
        </w:rPr>
        <w:t>；</w:t>
      </w:r>
    </w:p>
    <w:p w14:paraId="7A9445D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关于监理人的其他约定：</w:t>
      </w:r>
      <w:r>
        <w:rPr>
          <w:rFonts w:hint="eastAsia" w:ascii="宋体" w:hAnsi="宋体" w:eastAsia="宋体" w:cs="宋体"/>
          <w:b w:val="0"/>
          <w:bCs/>
          <w:color w:val="000000" w:themeColor="text1"/>
          <w:szCs w:val="21"/>
          <w:u w:val="single"/>
          <w14:textFill>
            <w14:solidFill>
              <w14:schemeClr w14:val="tx1"/>
            </w14:solidFill>
          </w14:textFill>
        </w:rPr>
        <w:t>                                     </w:t>
      </w:r>
      <w:r>
        <w:rPr>
          <w:rFonts w:hint="eastAsia" w:ascii="宋体" w:hAnsi="宋体" w:eastAsia="宋体" w:cs="宋体"/>
          <w:b w:val="0"/>
          <w:bCs/>
          <w:color w:val="000000" w:themeColor="text1"/>
          <w:szCs w:val="21"/>
          <w14:textFill>
            <w14:solidFill>
              <w14:schemeClr w14:val="tx1"/>
            </w14:solidFill>
          </w14:textFill>
        </w:rPr>
        <w:t>。</w:t>
      </w:r>
    </w:p>
    <w:p w14:paraId="59A15CE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4.4  商定或确定</w:t>
      </w:r>
    </w:p>
    <w:p w14:paraId="7506857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55" w:name="_Toc267251418"/>
      <w:r>
        <w:rPr>
          <w:rFonts w:hint="eastAsia" w:ascii="宋体" w:hAnsi="宋体" w:eastAsia="宋体" w:cs="宋体"/>
          <w:b w:val="0"/>
          <w:bCs/>
          <w:color w:val="000000" w:themeColor="text1"/>
          <w:szCs w:val="21"/>
          <w14:textFill>
            <w14:solidFill>
              <w14:schemeClr w14:val="tx1"/>
            </w14:solidFill>
          </w14:textFill>
        </w:rPr>
        <w:t>在发包人和承包人不能通过协商达成一致意见时，发包人授权监理人对以下事项进行确定：</w:t>
      </w:r>
    </w:p>
    <w:p w14:paraId="2896B24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21E27D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21FE44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w:t>
      </w:r>
      <w:r>
        <w:rPr>
          <w:rFonts w:hint="eastAsia" w:ascii="宋体" w:hAnsi="宋体" w:eastAsia="宋体" w:cs="宋体"/>
          <w:b w:val="0"/>
          <w:bCs/>
          <w:color w:val="000000" w:themeColor="text1"/>
          <w:szCs w:val="21"/>
          <w:u w:val="single"/>
          <w14:textFill>
            <w14:solidFill>
              <w14:schemeClr w14:val="tx1"/>
            </w14:solidFill>
          </w14:textFill>
        </w:rPr>
        <w:t xml:space="preserve">                                                                    </w:t>
      </w:r>
    </w:p>
    <w:bookmarkEnd w:id="255"/>
    <w:p w14:paraId="35B596FF">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56" w:name="_Toc351203637"/>
      <w:bookmarkEnd w:id="256"/>
      <w:r>
        <w:rPr>
          <w:rFonts w:hint="eastAsia" w:ascii="宋体" w:hAnsi="宋体" w:eastAsia="宋体" w:cs="宋体"/>
          <w:b w:val="0"/>
          <w:bCs/>
          <w:color w:val="000000" w:themeColor="text1"/>
          <w:sz w:val="28"/>
          <w:szCs w:val="28"/>
          <w14:textFill>
            <w14:solidFill>
              <w14:schemeClr w14:val="tx1"/>
            </w14:solidFill>
          </w14:textFill>
        </w:rPr>
        <w:t>5、工程质量</w:t>
      </w:r>
    </w:p>
    <w:p w14:paraId="0A8AC7B8">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5.1  质量要求</w:t>
      </w:r>
    </w:p>
    <w:p w14:paraId="08CA67CD">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5.1.1  特殊质量标准和要求：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72BDDE4">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关于工程奖项的约定：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CED5EC9">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5.3  隐蔽工程检查</w:t>
      </w:r>
    </w:p>
    <w:p w14:paraId="57ADE376">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5.3.2  承包人提前通知监理人隐蔽工程检查的期限的约定：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C606233">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监理人不能按时进行检查时，应提前</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小时提交书面延期要求。</w:t>
      </w:r>
    </w:p>
    <w:p w14:paraId="58DE2F97">
      <w:pPr>
        <w:keepLines/>
        <w:pageBreakBefore w:val="0"/>
        <w:kinsoku/>
        <w:wordWrap w:val="0"/>
        <w:overflowPunct/>
        <w:bidi w:val="0"/>
        <w:spacing w:line="376"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关于延期最长不得超过：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小时。</w:t>
      </w:r>
    </w:p>
    <w:p w14:paraId="53F6F6C4">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57" w:name="_Toc351203638"/>
      <w:bookmarkEnd w:id="257"/>
      <w:r>
        <w:rPr>
          <w:rFonts w:hint="eastAsia" w:ascii="宋体" w:hAnsi="宋体" w:eastAsia="宋体" w:cs="宋体"/>
          <w:b w:val="0"/>
          <w:bCs/>
          <w:color w:val="000000" w:themeColor="text1"/>
          <w:sz w:val="28"/>
          <w:szCs w:val="28"/>
          <w14:textFill>
            <w14:solidFill>
              <w14:schemeClr w14:val="tx1"/>
            </w14:solidFill>
          </w14:textFill>
        </w:rPr>
        <w:t>6、安全文明施工与环境保护</w:t>
      </w:r>
    </w:p>
    <w:p w14:paraId="15F77FE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6.1  安全文明施工</w:t>
      </w:r>
    </w:p>
    <w:p w14:paraId="56A9BF0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6.1.1  项目安全生产的达标目标及相应事项的约定：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5FCA5E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6.1.4  关于治安保卫的特别约定：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3833DE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关于编制施工场地治安管理计划的约定：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F2046D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6.1.5  文明施工</w:t>
      </w:r>
    </w:p>
    <w:p w14:paraId="0741BD0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合同当事人对文明施工的要求：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2E3E71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6.1.6  关于安全文明施工费支付比例和支付期限的约定：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3C37632">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58" w:name="_Toc351203639"/>
      <w:bookmarkEnd w:id="258"/>
      <w:r>
        <w:rPr>
          <w:rFonts w:hint="eastAsia" w:ascii="宋体" w:hAnsi="宋体" w:eastAsia="宋体" w:cs="宋体"/>
          <w:b w:val="0"/>
          <w:bCs/>
          <w:color w:val="000000" w:themeColor="text1"/>
          <w:sz w:val="28"/>
          <w:szCs w:val="28"/>
          <w14:textFill>
            <w14:solidFill>
              <w14:schemeClr w14:val="tx1"/>
            </w14:solidFill>
          </w14:textFill>
        </w:rPr>
        <w:t>7、工期和进度</w:t>
      </w:r>
    </w:p>
    <w:p w14:paraId="40D35F1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7.1  施工组织设计</w:t>
      </w:r>
    </w:p>
    <w:p w14:paraId="70AE73E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7.1.1  合同当事人约定的施工组织设计应包括的其他内容：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25F05A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7.1.2  施工组织设计的提交和修改</w:t>
      </w:r>
    </w:p>
    <w:p w14:paraId="41366D3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承包人提交详细施工组织设计的期限的约定：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FB58E0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发包人和监理人在收到详细的施工组织设计后确认或提出修改意见的期限：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89B6EA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7.2  施工进度计划</w:t>
      </w:r>
    </w:p>
    <w:p w14:paraId="2CAEED2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7.2.2  施工进度计划的修订</w:t>
      </w:r>
    </w:p>
    <w:p w14:paraId="04AE331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发包人和监理人在收到修订的施工进度计划后确认或提出修改意见的期限：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101023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7.3  开工</w:t>
      </w:r>
    </w:p>
    <w:p w14:paraId="0A8FDF7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7.3.1  开工准备</w:t>
      </w:r>
    </w:p>
    <w:p w14:paraId="7FC1DE3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关于承包人提交工程开工报审表的期限：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E18011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关于发包人应完成的其他开工准备工作及期限：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2FEF74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关于承包人应完成的其他开工准备工作及期限：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19C026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7.3.2  开工通知</w:t>
      </w:r>
    </w:p>
    <w:p w14:paraId="287B2E4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因发包人原因造成监理人未能在计划开工日期之日起</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天内发出开工通知的，承包人有权提出价格调整要求，或者解除合同。</w:t>
      </w:r>
    </w:p>
    <w:p w14:paraId="2BD7A62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7.4  测量放线</w:t>
      </w:r>
    </w:p>
    <w:p w14:paraId="790025CF">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7.4.1  发包人通过监理人向承包人提供测量基准点、基准线和水准点及其书面资料的限：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E2A3C9F">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7.5  工期延误</w:t>
      </w:r>
    </w:p>
    <w:p w14:paraId="1D043BE9">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7.5.1  因发包人原因导致工期延误</w:t>
      </w:r>
    </w:p>
    <w:p w14:paraId="7CC99B20">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（7）因发包人原因导致工期延误的其他情形：</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A985E6F">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59" w:name="_Toc297216177"/>
      <w:bookmarkStart w:id="260" w:name="_Toc300934970"/>
      <w:bookmarkStart w:id="261" w:name="_Toc303539127"/>
      <w:bookmarkStart w:id="262" w:name="_Toc304295548"/>
      <w:bookmarkStart w:id="263" w:name="_Toc297123518"/>
      <w:r>
        <w:rPr>
          <w:rFonts w:hint="eastAsia" w:ascii="宋体" w:hAnsi="宋体" w:eastAsia="宋体" w:cs="宋体"/>
          <w:b w:val="0"/>
          <w:bCs/>
          <w:color w:val="000000" w:themeColor="text1"/>
          <w:szCs w:val="21"/>
          <w14:textFill>
            <w14:solidFill>
              <w14:schemeClr w14:val="tx1"/>
            </w14:solidFill>
          </w14:textFill>
        </w:rPr>
        <w:t>7.5.2  因承包人原因导致工期延误</w:t>
      </w:r>
    </w:p>
    <w:bookmarkEnd w:id="259"/>
    <w:bookmarkEnd w:id="260"/>
    <w:bookmarkEnd w:id="261"/>
    <w:bookmarkEnd w:id="262"/>
    <w:bookmarkEnd w:id="263"/>
    <w:p w14:paraId="48E2E202">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64" w:name="_Toc312678013"/>
      <w:bookmarkEnd w:id="264"/>
      <w:bookmarkStart w:id="265" w:name="_Toc312677487"/>
      <w:bookmarkEnd w:id="265"/>
      <w:r>
        <w:rPr>
          <w:rFonts w:hint="eastAsia" w:ascii="宋体" w:hAnsi="宋体" w:eastAsia="宋体" w:cs="宋体"/>
          <w:b w:val="0"/>
          <w:bCs/>
          <w:color w:val="000000" w:themeColor="text1"/>
          <w:szCs w:val="21"/>
          <w14:textFill>
            <w14:solidFill>
              <w14:schemeClr w14:val="tx1"/>
            </w14:solidFill>
          </w14:textFill>
        </w:rPr>
        <w:t>因承包人原因造成工期延误，逾期竣工违约金的计算方法为：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B5E2CC5">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因承包人原因造成工期延误，逾期竣工违约金的上限：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D40E913">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66" w:name="_Toc300934971"/>
      <w:bookmarkEnd w:id="266"/>
      <w:bookmarkStart w:id="267" w:name="_Toc303539128"/>
      <w:bookmarkEnd w:id="267"/>
      <w:bookmarkStart w:id="268" w:name="_Toc297123519"/>
      <w:bookmarkEnd w:id="268"/>
      <w:bookmarkStart w:id="269" w:name="_Toc297216178"/>
      <w:bookmarkEnd w:id="269"/>
      <w:bookmarkStart w:id="270" w:name="_Toc312678015"/>
      <w:bookmarkEnd w:id="270"/>
      <w:bookmarkStart w:id="271" w:name="_Toc304295549"/>
      <w:bookmarkEnd w:id="271"/>
      <w:r>
        <w:rPr>
          <w:rFonts w:hint="eastAsia" w:ascii="宋体" w:hAnsi="宋体" w:eastAsia="宋体" w:cs="宋体"/>
          <w:b w:val="0"/>
          <w:bCs/>
          <w:color w:val="000000" w:themeColor="text1"/>
          <w:szCs w:val="21"/>
          <w14:textFill>
            <w14:solidFill>
              <w14:schemeClr w14:val="tx1"/>
            </w14:solidFill>
          </w14:textFill>
        </w:rPr>
        <w:t>7.6  不利物质条件</w:t>
      </w:r>
    </w:p>
    <w:p w14:paraId="30990C5E">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不利物质条件的其他情形和有关约定：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4F821A9">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7.7  异常恶劣的气候条件</w:t>
      </w:r>
    </w:p>
    <w:p w14:paraId="61264AB1">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发包人和承包人同意以下情形视为异常恶劣的气候条件：</w:t>
      </w:r>
    </w:p>
    <w:p w14:paraId="7BEC6A77">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84160E6">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4CDC21A">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639D7BD">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7.9  提前竣工的奖励</w:t>
      </w:r>
    </w:p>
    <w:p w14:paraId="6CDF47B5">
      <w:pPr>
        <w:keepLines/>
        <w:pageBreakBefore w:val="0"/>
        <w:kinsoku/>
        <w:wordWrap w:val="0"/>
        <w:overflowPunct/>
        <w:bidi w:val="0"/>
        <w:spacing w:line="392"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7.9.2  提前竣工的奖励：</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38AE7CA">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72" w:name="_Toc351203640"/>
      <w:bookmarkEnd w:id="272"/>
      <w:r>
        <w:rPr>
          <w:rFonts w:hint="eastAsia" w:ascii="宋体" w:hAnsi="宋体" w:eastAsia="宋体" w:cs="宋体"/>
          <w:b w:val="0"/>
          <w:bCs/>
          <w:color w:val="000000" w:themeColor="text1"/>
          <w:sz w:val="28"/>
          <w:szCs w:val="28"/>
          <w14:textFill>
            <w14:solidFill>
              <w14:schemeClr w14:val="tx1"/>
            </w14:solidFill>
          </w14:textFill>
        </w:rPr>
        <w:t>8、材料与设备</w:t>
      </w:r>
    </w:p>
    <w:p w14:paraId="3C39319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73" w:name="_Toc280868655"/>
      <w:bookmarkStart w:id="274" w:name="_Toc267251424"/>
      <w:bookmarkStart w:id="275" w:name="_Toc280868656"/>
      <w:r>
        <w:rPr>
          <w:rFonts w:hint="eastAsia" w:ascii="宋体" w:hAnsi="宋体" w:eastAsia="宋体" w:cs="宋体"/>
          <w:b w:val="0"/>
          <w:bCs/>
          <w:color w:val="000000" w:themeColor="text1"/>
          <w:szCs w:val="21"/>
          <w14:textFill>
            <w14:solidFill>
              <w14:schemeClr w14:val="tx1"/>
            </w14:solidFill>
          </w14:textFill>
        </w:rPr>
        <w:t>8.4  材料与工程设备的保管与使用</w:t>
      </w:r>
    </w:p>
    <w:p w14:paraId="2089EEE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76" w:name="_Toc292559373"/>
      <w:bookmarkEnd w:id="276"/>
      <w:bookmarkStart w:id="277" w:name="_Toc292559878"/>
      <w:bookmarkEnd w:id="277"/>
      <w:r>
        <w:rPr>
          <w:rFonts w:hint="eastAsia" w:ascii="宋体" w:hAnsi="宋体" w:eastAsia="宋体" w:cs="宋体"/>
          <w:b w:val="0"/>
          <w:bCs/>
          <w:color w:val="000000" w:themeColor="text1"/>
          <w:szCs w:val="21"/>
          <w14:textFill>
            <w14:solidFill>
              <w14:schemeClr w14:val="tx1"/>
            </w14:solidFill>
          </w14:textFill>
        </w:rPr>
        <w:t>8.4.1  发包人供应的材料设备的保管费用的承担：</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DF6E1E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8.6  样品</w:t>
      </w:r>
    </w:p>
    <w:p w14:paraId="2268A8C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8.6.1  样品的报送与封存</w:t>
      </w:r>
    </w:p>
    <w:p w14:paraId="718CC4F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需要承包人报送样品的材料或工程设备，样品的种类、名称、规格、数量要求：</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658071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8.8  施工设备和临时设施</w:t>
      </w:r>
    </w:p>
    <w:p w14:paraId="175A9E9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8.8.1  承包人提供的施工设备和临时设施</w:t>
      </w:r>
    </w:p>
    <w:p w14:paraId="414C52E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关于修建临时设施费用承担的约定：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273"/>
    <w:bookmarkEnd w:id="274"/>
    <w:bookmarkEnd w:id="275"/>
    <w:p w14:paraId="15C8D833">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78" w:name="_Toc351203641"/>
      <w:bookmarkEnd w:id="278"/>
      <w:bookmarkStart w:id="279" w:name="_Toc296944512"/>
      <w:bookmarkStart w:id="280" w:name="_Toc296891001"/>
      <w:bookmarkStart w:id="281" w:name="_Toc296891213"/>
      <w:bookmarkStart w:id="282" w:name="_Toc296347172"/>
      <w:bookmarkStart w:id="283" w:name="_Toc297120473"/>
      <w:bookmarkStart w:id="284" w:name="_Toc267251428"/>
      <w:bookmarkStart w:id="285" w:name="_Toc292559883"/>
      <w:bookmarkStart w:id="286" w:name="_Toc296503173"/>
      <w:bookmarkStart w:id="287" w:name="_Toc296346674"/>
      <w:bookmarkStart w:id="288" w:name="_Toc292559378"/>
      <w:bookmarkStart w:id="289" w:name="_Toc297048359"/>
      <w:bookmarkStart w:id="290" w:name="_Toc267251427"/>
      <w:r>
        <w:rPr>
          <w:rFonts w:hint="eastAsia" w:ascii="宋体" w:hAnsi="宋体" w:eastAsia="宋体" w:cs="宋体"/>
          <w:b w:val="0"/>
          <w:bCs/>
          <w:color w:val="000000" w:themeColor="text1"/>
          <w:sz w:val="28"/>
          <w:szCs w:val="28"/>
          <w14:textFill>
            <w14:solidFill>
              <w14:schemeClr w14:val="tx1"/>
            </w14:solidFill>
          </w14:textFill>
        </w:rPr>
        <w:t>9、试验与检验</w:t>
      </w:r>
    </w:p>
    <w:p w14:paraId="3DF24AD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9.1  试验设备与试验人员</w:t>
      </w:r>
    </w:p>
    <w:p w14:paraId="035C5F3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291" w:name="_Toc312678023"/>
      <w:bookmarkStart w:id="292" w:name="_Toc312677497"/>
      <w:bookmarkStart w:id="293" w:name="_Toc297216194"/>
      <w:bookmarkStart w:id="294" w:name="_Toc297123535"/>
      <w:bookmarkStart w:id="295" w:name="_Toc300934984"/>
      <w:bookmarkStart w:id="296" w:name="_Toc303539141"/>
      <w:bookmarkStart w:id="297" w:name="_Toc304295561"/>
      <w:r>
        <w:rPr>
          <w:rFonts w:hint="eastAsia" w:ascii="宋体" w:hAnsi="宋体" w:eastAsia="宋体" w:cs="宋体"/>
          <w:b w:val="0"/>
          <w:bCs/>
          <w:color w:val="000000" w:themeColor="text1"/>
          <w:szCs w:val="21"/>
          <w14:textFill>
            <w14:solidFill>
              <w14:schemeClr w14:val="tx1"/>
            </w14:solidFill>
          </w14:textFill>
        </w:rPr>
        <w:t>9.1.2  试验设备</w:t>
      </w:r>
    </w:p>
    <w:bookmarkEnd w:id="291"/>
    <w:bookmarkEnd w:id="292"/>
    <w:bookmarkEnd w:id="293"/>
    <w:bookmarkEnd w:id="294"/>
    <w:bookmarkEnd w:id="295"/>
    <w:bookmarkEnd w:id="296"/>
    <w:bookmarkEnd w:id="297"/>
    <w:p w14:paraId="3E0D9C5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施工现场需要配置的试验场所：</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6588C4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施工现场需要配备的试验设备：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62611C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施工现场需要具备的其他试验条件：</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3A591C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9.4  现场工艺试验 </w:t>
      </w:r>
    </w:p>
    <w:p w14:paraId="3B36DC4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现场工艺试验的有关约定：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279"/>
    <w:bookmarkEnd w:id="280"/>
    <w:bookmarkEnd w:id="281"/>
    <w:bookmarkEnd w:id="282"/>
    <w:bookmarkEnd w:id="283"/>
    <w:bookmarkEnd w:id="284"/>
    <w:bookmarkEnd w:id="285"/>
    <w:bookmarkEnd w:id="286"/>
    <w:bookmarkEnd w:id="287"/>
    <w:bookmarkEnd w:id="288"/>
    <w:bookmarkEnd w:id="289"/>
    <w:bookmarkEnd w:id="290"/>
    <w:p w14:paraId="0E342770">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298" w:name="_Toc296503193"/>
      <w:bookmarkEnd w:id="298"/>
      <w:bookmarkStart w:id="299" w:name="_Toc296891021"/>
      <w:bookmarkEnd w:id="299"/>
      <w:bookmarkStart w:id="300" w:name="_Toc296346694"/>
      <w:bookmarkEnd w:id="300"/>
      <w:bookmarkStart w:id="301" w:name="_Toc292559903"/>
      <w:bookmarkEnd w:id="301"/>
      <w:bookmarkStart w:id="302" w:name="_Toc304295566"/>
      <w:bookmarkEnd w:id="302"/>
      <w:bookmarkStart w:id="303" w:name="_Toc292559398"/>
      <w:bookmarkEnd w:id="303"/>
      <w:bookmarkStart w:id="304" w:name="_Toc297123540"/>
      <w:bookmarkEnd w:id="304"/>
      <w:bookmarkStart w:id="305" w:name="_Toc351203642"/>
      <w:bookmarkEnd w:id="305"/>
      <w:bookmarkStart w:id="306" w:name="_Toc297120493"/>
      <w:bookmarkEnd w:id="306"/>
      <w:bookmarkStart w:id="307" w:name="_Toc296891233"/>
      <w:bookmarkEnd w:id="307"/>
      <w:bookmarkStart w:id="308" w:name="_Toc297048379"/>
      <w:bookmarkEnd w:id="308"/>
      <w:bookmarkStart w:id="309" w:name="_Toc297216199"/>
      <w:bookmarkEnd w:id="309"/>
      <w:bookmarkStart w:id="310" w:name="_Toc296944532"/>
      <w:bookmarkEnd w:id="310"/>
      <w:bookmarkStart w:id="311" w:name="_Toc296347192"/>
      <w:bookmarkEnd w:id="311"/>
      <w:bookmarkStart w:id="312" w:name="_Toc300934989"/>
      <w:bookmarkEnd w:id="312"/>
      <w:bookmarkStart w:id="313" w:name="_Toc303539146"/>
      <w:bookmarkEnd w:id="313"/>
      <w:r>
        <w:rPr>
          <w:rFonts w:hint="eastAsia" w:ascii="宋体" w:hAnsi="宋体" w:eastAsia="宋体" w:cs="宋体"/>
          <w:b w:val="0"/>
          <w:bCs/>
          <w:color w:val="000000" w:themeColor="text1"/>
          <w:sz w:val="28"/>
          <w:szCs w:val="28"/>
          <w14:textFill>
            <w14:solidFill>
              <w14:schemeClr w14:val="tx1"/>
            </w14:solidFill>
          </w14:textFill>
        </w:rPr>
        <w:t>10、变更</w:t>
      </w:r>
    </w:p>
    <w:p w14:paraId="5D56D0E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314" w:name="_Toc312677500"/>
      <w:bookmarkStart w:id="315" w:name="_Toc304295567"/>
      <w:bookmarkStart w:id="316" w:name="_Toc312678026"/>
      <w:bookmarkStart w:id="317" w:name="_Toc296944533"/>
      <w:bookmarkStart w:id="318" w:name="_Toc300934990"/>
      <w:bookmarkStart w:id="319" w:name="_Toc296891022"/>
      <w:bookmarkStart w:id="320" w:name="_Toc297048380"/>
      <w:bookmarkStart w:id="321" w:name="_Toc296346695"/>
      <w:bookmarkStart w:id="322" w:name="_Toc292559399"/>
      <w:bookmarkStart w:id="323" w:name="_Toc296891234"/>
      <w:bookmarkStart w:id="324" w:name="_Toc297120494"/>
      <w:bookmarkStart w:id="325" w:name="_Toc292559904"/>
      <w:bookmarkStart w:id="326" w:name="_Toc296503194"/>
      <w:bookmarkStart w:id="327" w:name="_Toc303539147"/>
      <w:bookmarkStart w:id="328" w:name="_Toc297216200"/>
      <w:bookmarkStart w:id="329" w:name="_Toc297123541"/>
      <w:bookmarkStart w:id="330" w:name="_Toc296347193"/>
      <w:r>
        <w:rPr>
          <w:rFonts w:hint="eastAsia" w:ascii="宋体" w:hAnsi="宋体" w:eastAsia="宋体" w:cs="宋体"/>
          <w:b w:val="0"/>
          <w:bCs/>
          <w:color w:val="000000" w:themeColor="text1"/>
          <w:szCs w:val="21"/>
          <w14:textFill>
            <w14:solidFill>
              <w14:schemeClr w14:val="tx1"/>
            </w14:solidFill>
          </w14:textFill>
        </w:rPr>
        <w:t>10.1  变更的范围</w:t>
      </w:r>
    </w:p>
    <w:p w14:paraId="7DF4B82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关于变更的范围的约定：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B1D942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10.4  变更估价</w:t>
      </w:r>
    </w:p>
    <w:p w14:paraId="2ED6BC1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10.4.1  变更估价原则</w:t>
      </w:r>
    </w:p>
    <w:p w14:paraId="3A6A12C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关于变更估价的约定: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6C712A6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331" w:name="_Toc292559402"/>
      <w:bookmarkEnd w:id="331"/>
      <w:bookmarkStart w:id="332" w:name="_Toc292559907"/>
      <w:bookmarkEnd w:id="332"/>
      <w:bookmarkStart w:id="333" w:name="_Toc296346698"/>
      <w:bookmarkEnd w:id="333"/>
      <w:bookmarkStart w:id="334" w:name="_Toc296944536"/>
      <w:bookmarkEnd w:id="334"/>
      <w:bookmarkStart w:id="335" w:name="_Toc303539150"/>
      <w:bookmarkEnd w:id="335"/>
      <w:bookmarkStart w:id="336" w:name="_Toc296891237"/>
      <w:bookmarkEnd w:id="336"/>
      <w:bookmarkStart w:id="337" w:name="_Toc296347196"/>
      <w:bookmarkEnd w:id="337"/>
      <w:bookmarkStart w:id="338" w:name="_Toc297216203"/>
      <w:bookmarkEnd w:id="338"/>
      <w:bookmarkStart w:id="339" w:name="_Toc296503197"/>
      <w:bookmarkEnd w:id="339"/>
      <w:bookmarkStart w:id="340" w:name="_Toc297120497"/>
      <w:bookmarkEnd w:id="340"/>
      <w:bookmarkStart w:id="341" w:name="_Toc297048383"/>
      <w:bookmarkEnd w:id="341"/>
      <w:bookmarkStart w:id="342" w:name="_Toc297123544"/>
      <w:bookmarkEnd w:id="342"/>
      <w:bookmarkStart w:id="343" w:name="_Toc296891025"/>
      <w:bookmarkEnd w:id="343"/>
      <w:bookmarkStart w:id="344" w:name="_Toc300934993"/>
      <w:bookmarkEnd w:id="344"/>
      <w:r>
        <w:rPr>
          <w:rFonts w:hint="eastAsia" w:ascii="宋体" w:hAnsi="宋体" w:eastAsia="宋体" w:cs="宋体"/>
          <w:b w:val="0"/>
          <w:bCs/>
          <w:color w:val="000000" w:themeColor="text1"/>
          <w:szCs w:val="21"/>
          <w14:textFill>
            <w14:solidFill>
              <w14:schemeClr w14:val="tx1"/>
            </w14:solidFill>
          </w14:textFill>
        </w:rPr>
        <w:t>10.5  承包人的合理化建议</w:t>
      </w:r>
    </w:p>
    <w:p w14:paraId="337E21E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监理人审查承包人合理化建议的期限：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D158F3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发包人审批承包人合理化建议的期限：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F5381C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承包人提出的合理化建议降低了合同价格或者提高了工程经济效益的奖励的方法和金额为：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7DA138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10.7  暂估价</w:t>
      </w:r>
    </w:p>
    <w:p w14:paraId="3BE77AC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暂估价材料和工程设备的明细详见附件11：《暂估价一览表》。</w:t>
      </w:r>
    </w:p>
    <w:p w14:paraId="141E1C8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10.7.1  依法必须招标的暂估价项目</w:t>
      </w:r>
    </w:p>
    <w:p w14:paraId="13F5CBC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对于依法必须招标的暂估价项目的确认和批准采取第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种方式确定。</w:t>
      </w:r>
    </w:p>
    <w:p w14:paraId="0F3FE1E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10.7.2  不属于依法必须招标的暂估价项目</w:t>
      </w:r>
    </w:p>
    <w:p w14:paraId="0DCAF94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对于不属于依法必须招标的暂估价项目的确认和批准采取第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种方式确定。</w:t>
      </w:r>
    </w:p>
    <w:p w14:paraId="3269672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第3种方式：承包人直接实施的暂估价项目</w:t>
      </w:r>
    </w:p>
    <w:p w14:paraId="6C4BB7E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承包人直接实施的暂估价项目的约定：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B0D47D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10.8  暂列金额</w:t>
      </w:r>
    </w:p>
    <w:p w14:paraId="13331CC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kern w:val="0"/>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合同当事人关于暂列金额使用的约定：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DC95677">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45" w:name="_Toc351203643"/>
      <w:bookmarkEnd w:id="345"/>
      <w:r>
        <w:rPr>
          <w:rFonts w:hint="eastAsia" w:ascii="宋体" w:hAnsi="宋体" w:eastAsia="宋体" w:cs="宋体"/>
          <w:b w:val="0"/>
          <w:bCs/>
          <w:color w:val="000000" w:themeColor="text1"/>
          <w:sz w:val="28"/>
          <w:szCs w:val="28"/>
          <w14:textFill>
            <w14:solidFill>
              <w14:schemeClr w14:val="tx1"/>
            </w14:solidFill>
          </w14:textFill>
        </w:rPr>
        <w:t>11、价格调整</w:t>
      </w:r>
    </w:p>
    <w:p w14:paraId="0462CFA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11.1  市场价格波动引起的调整</w:t>
      </w:r>
    </w:p>
    <w:p w14:paraId="6D6D21A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市场价格波动是否调整合同价格的约定：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BBAB15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因市场价格波动调整合同价格，采用以下第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种方式对合同价格进行调整：</w:t>
      </w:r>
    </w:p>
    <w:p w14:paraId="7886562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第1种方式：采用价格指数进行价格调整。</w:t>
      </w:r>
    </w:p>
    <w:p w14:paraId="5F74489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关于各可调因子、定值和变值权重，以及基本价格指数及其来源的约定：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650BA3F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第2种方式：采用造价信息进行价格调整。</w:t>
      </w:r>
    </w:p>
    <w:p w14:paraId="7C378C4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（2）关于基准价格的约定：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076AA3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%时，或材料单价跌幅以已标价工程量清单或预算书中载明材料单价为基础超过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%时，其超过部分据实调整。</w:t>
      </w:r>
    </w:p>
    <w:p w14:paraId="4BDFC97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②承包人在已标价工程量清单或预算书中载明的材料单价高于基准价格的：专用合同条款合同履行期间材料单价跌幅以基准价格为基础超过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%时，材料单价涨幅以已标价工程量清单或预算书中载明材料单价为基础超过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%时，其超过部分据实调整。</w:t>
      </w:r>
    </w:p>
    <w:p w14:paraId="52EF009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%时，其超过部分据实调整。</w:t>
      </w:r>
    </w:p>
    <w:p w14:paraId="5A535A7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第3种方式：其他价格调整方式：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42F35C8">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46" w:name="_Toc296346706"/>
      <w:bookmarkEnd w:id="346"/>
      <w:bookmarkStart w:id="347" w:name="_Toc296503205"/>
      <w:bookmarkEnd w:id="347"/>
      <w:bookmarkStart w:id="348" w:name="_Toc292559915"/>
      <w:bookmarkEnd w:id="348"/>
      <w:bookmarkStart w:id="349" w:name="_Toc351203644"/>
      <w:bookmarkEnd w:id="349"/>
      <w:bookmarkStart w:id="350" w:name="_Toc296891033"/>
      <w:bookmarkEnd w:id="350"/>
      <w:bookmarkStart w:id="351" w:name="_Toc296891245"/>
      <w:bookmarkEnd w:id="351"/>
      <w:bookmarkStart w:id="352" w:name="_Toc296944544"/>
      <w:bookmarkEnd w:id="352"/>
      <w:bookmarkStart w:id="353" w:name="_Toc297120505"/>
      <w:bookmarkEnd w:id="353"/>
      <w:bookmarkStart w:id="354" w:name="_Toc297048391"/>
      <w:bookmarkEnd w:id="354"/>
      <w:bookmarkStart w:id="355" w:name="_Toc296347204"/>
      <w:bookmarkEnd w:id="355"/>
      <w:bookmarkStart w:id="356" w:name="_Toc292559410"/>
      <w:bookmarkEnd w:id="356"/>
      <w:r>
        <w:rPr>
          <w:rFonts w:hint="eastAsia" w:ascii="宋体" w:hAnsi="宋体" w:eastAsia="宋体" w:cs="宋体"/>
          <w:b w:val="0"/>
          <w:bCs/>
          <w:color w:val="000000" w:themeColor="text1"/>
          <w:sz w:val="28"/>
          <w:szCs w:val="28"/>
          <w14:textFill>
            <w14:solidFill>
              <w14:schemeClr w14:val="tx1"/>
            </w14:solidFill>
          </w14:textFill>
        </w:rPr>
        <w:t>12、合同价格、计量与支付</w:t>
      </w:r>
    </w:p>
    <w:p w14:paraId="2793C8D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357" w:name="_Toc297120506"/>
      <w:bookmarkEnd w:id="357"/>
      <w:bookmarkStart w:id="358" w:name="_Toc296891034"/>
      <w:bookmarkEnd w:id="358"/>
      <w:bookmarkStart w:id="359" w:name="_Toc296347205"/>
      <w:bookmarkEnd w:id="359"/>
      <w:bookmarkStart w:id="360" w:name="_Toc292559411"/>
      <w:bookmarkEnd w:id="360"/>
      <w:bookmarkStart w:id="361" w:name="_Toc296944545"/>
      <w:bookmarkEnd w:id="361"/>
      <w:bookmarkStart w:id="362" w:name="_Toc296503206"/>
      <w:bookmarkEnd w:id="362"/>
      <w:bookmarkStart w:id="363" w:name="_Toc292559916"/>
      <w:bookmarkEnd w:id="363"/>
      <w:bookmarkStart w:id="364" w:name="_Toc267251461"/>
      <w:bookmarkEnd w:id="364"/>
      <w:bookmarkStart w:id="365" w:name="_Toc297048392"/>
      <w:bookmarkEnd w:id="365"/>
      <w:bookmarkStart w:id="366" w:name="_Toc296346707"/>
      <w:bookmarkEnd w:id="366"/>
      <w:bookmarkStart w:id="367" w:name="_Toc296891246"/>
      <w:bookmarkEnd w:id="367"/>
      <w:r>
        <w:rPr>
          <w:rFonts w:hint="eastAsia" w:ascii="宋体" w:hAnsi="宋体" w:eastAsia="宋体" w:cs="宋体"/>
          <w:b w:val="0"/>
          <w:bCs/>
          <w:color w:val="000000" w:themeColor="text1"/>
          <w:szCs w:val="21"/>
          <w14:textFill>
            <w14:solidFill>
              <w14:schemeClr w14:val="tx1"/>
            </w14:solidFill>
          </w14:textFill>
        </w:rPr>
        <w:t>12.1  合同价格形式</w:t>
      </w:r>
    </w:p>
    <w:p w14:paraId="538603C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1.单价合同。</w:t>
      </w:r>
    </w:p>
    <w:p w14:paraId="18C48C9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综合单价包含的风险范围：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8A6776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风险费用的计算方法：</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554926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风险范围以外合同价格的调整方法：</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5A00DC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2.总价合同。</w:t>
      </w:r>
    </w:p>
    <w:p w14:paraId="47C1BFE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总价包含的风险范围：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DAA58B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风险费用的计算方法：</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755310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风险范围以外合同价格的调整方法：</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54109D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其他价格方式：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2A90F4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12.2  预付款</w:t>
      </w:r>
    </w:p>
    <w:p w14:paraId="13D30E7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12.2.1  预付款的支付</w:t>
      </w:r>
    </w:p>
    <w:p w14:paraId="184591B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预付款支付比例或金额：</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29D6E8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预付款支付期限：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299C5D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预付款扣回的方式：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45F851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12.2.2  预付款担保</w:t>
      </w:r>
    </w:p>
    <w:p w14:paraId="12D946D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承包人提交预付款担保的期限：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EB081F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预付款担保的形式为：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41F0AC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  计量</w:t>
      </w:r>
    </w:p>
    <w:p w14:paraId="7E5A96E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12.3.1  计量原则</w:t>
      </w:r>
    </w:p>
    <w:p w14:paraId="0D6EF96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工程量计算规则：</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ADE07E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12.3.2  计量周期</w:t>
      </w:r>
    </w:p>
    <w:p w14:paraId="45BA8A1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关于计量周期的约定：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B00608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12.3.3  单价合同的计量</w:t>
      </w:r>
    </w:p>
    <w:p w14:paraId="5A8E3DD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关于单价合同计量的约定：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1BC19F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12.3.4  总价合同的计量</w:t>
      </w:r>
    </w:p>
    <w:p w14:paraId="20FD977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关于总价合同计量的约定：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18FF4D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12.3.5  总价合同采用支付分解表计量支付的，是否适用第12.3.4项[总价合同的计量]约定进行计量：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DC4A82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12.3.6  其他价格形式合同的计量</w:t>
      </w:r>
    </w:p>
    <w:p w14:paraId="7150FCA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其他价格形式的计量方式和程序：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8FD05E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  工程进度款支付</w:t>
      </w:r>
    </w:p>
    <w:p w14:paraId="3A36532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bookmarkStart w:id="368" w:name="_Toc300935006"/>
      <w:bookmarkStart w:id="369" w:name="_Toc297120511"/>
      <w:bookmarkStart w:id="370" w:name="_Toc296944550"/>
      <w:bookmarkStart w:id="371" w:name="_Toc292559921"/>
      <w:bookmarkStart w:id="372" w:name="_Toc296891251"/>
      <w:bookmarkStart w:id="373" w:name="_Toc292559416"/>
      <w:bookmarkStart w:id="374" w:name="_Toc297123556"/>
      <w:bookmarkStart w:id="375" w:name="_Toc303539163"/>
      <w:bookmarkStart w:id="376" w:name="_Toc296347210"/>
      <w:bookmarkStart w:id="377" w:name="_Toc297216215"/>
      <w:bookmarkStart w:id="378" w:name="_Toc296346712"/>
      <w:bookmarkStart w:id="379" w:name="_Toc296891039"/>
      <w:bookmarkStart w:id="380" w:name="_Toc297048397"/>
      <w:bookmarkStart w:id="381" w:name="_Toc296503211"/>
      <w:r>
        <w:rPr>
          <w:rFonts w:hint="eastAsia" w:ascii="宋体" w:hAnsi="宋体" w:eastAsia="宋体" w:cs="宋体"/>
          <w:b w:val="0"/>
          <w:bCs/>
          <w:color w:val="000000" w:themeColor="text1"/>
          <w:szCs w:val="21"/>
          <w14:textFill>
            <w14:solidFill>
              <w14:schemeClr w14:val="tx1"/>
            </w14:solidFill>
          </w14:textFill>
        </w:rPr>
        <w:t>12.4.1  付款周期</w:t>
      </w:r>
    </w:p>
    <w:p w14:paraId="647ACCA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关于付款周期的约定：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B74F57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12.4.2  进度付款申请单的编制</w:t>
      </w:r>
    </w:p>
    <w:p w14:paraId="498807C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关于进度付款申请单编制的约定：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14:paraId="08C00C3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12.4.3  进度付款申请单的提交</w:t>
      </w:r>
    </w:p>
    <w:p w14:paraId="6DAB367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（1）单价合同进度付款申请单提交的约定：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0A7C39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（2）总价合同进度付款申请单提交的约定：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3A5A36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（3）其他价格形式合同进度付款申请单提交的约定：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CC3612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12.4.4  进度款审核和支付</w:t>
      </w:r>
    </w:p>
    <w:p w14:paraId="559A6C6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（1）监理人审查并报送发包人的期限：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1A4178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发包人完成审批并签发进度款支付证书的期限：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FCAE18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（2）发包人支付进度款的期限：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A3D21D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发包人逾期支付进度款的违约金的计算方式：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EA5C74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12.4.6 支付分解表的编制</w:t>
      </w:r>
    </w:p>
    <w:p w14:paraId="62F6289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2.总价合同支付分解表的编制与审批：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5055F5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3.单价合同的总价项目支付分解表的编制与审批：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DE26729">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82" w:name="_Toc351203645"/>
      <w:bookmarkEnd w:id="382"/>
      <w:r>
        <w:rPr>
          <w:rFonts w:hint="eastAsia" w:ascii="宋体" w:hAnsi="宋体" w:eastAsia="宋体" w:cs="宋体"/>
          <w:b w:val="0"/>
          <w:bCs/>
          <w:color w:val="000000" w:themeColor="text1"/>
          <w:sz w:val="28"/>
          <w:szCs w:val="28"/>
          <w14:textFill>
            <w14:solidFill>
              <w14:schemeClr w14:val="tx1"/>
            </w14:solidFill>
          </w14:textFill>
        </w:rPr>
        <w:t>13、验收和工程试车</w:t>
      </w:r>
    </w:p>
    <w:p w14:paraId="7FC4379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13.1  分部分项工程验收</w:t>
      </w:r>
    </w:p>
    <w:p w14:paraId="018E833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13.1.2  监理人不能按时进行验收时，应提前</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小时提交书面延期要求。</w:t>
      </w:r>
    </w:p>
    <w:p w14:paraId="45BC32E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关于延期最长不得超过：</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小时。</w:t>
      </w:r>
    </w:p>
    <w:p w14:paraId="03421B1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  竣工验收</w:t>
      </w:r>
    </w:p>
    <w:p w14:paraId="3EF0ABC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13.2.2  竣工验收程序</w:t>
      </w:r>
    </w:p>
    <w:p w14:paraId="086A5F0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关于竣工验收程序的约定：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12C5CB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发包人不按照本项约定组织竣工验收、颁发工程接收证书的违约金的计算方法：</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4D0095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13.2.5  移交、接收全部与部分工程</w:t>
      </w:r>
    </w:p>
    <w:p w14:paraId="4E0B80E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承包人向发包人移交工程的期限：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8A53BD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发包人未按本合同约定接收全部或部分工程的，违约金的计算方法为：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AEE7A9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承包人未按时移交工程的，违约金的计算方法为：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11DA36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13.3  工程试车</w:t>
      </w:r>
    </w:p>
    <w:p w14:paraId="06BAE2F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13.3.1  试车程序</w:t>
      </w:r>
    </w:p>
    <w:p w14:paraId="38FBD17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工程试车内容：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DD8B3E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（1）单机无负荷试车费用由</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承担；</w:t>
      </w:r>
    </w:p>
    <w:p w14:paraId="0E10DD6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（2）无负荷联动试车费用由</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承担。</w:t>
      </w:r>
    </w:p>
    <w:p w14:paraId="72B8222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13.3.3  投料试车</w:t>
      </w:r>
    </w:p>
    <w:p w14:paraId="46E6DC5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关于投料试车相关事项的约定：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AA492E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13.6  竣工退场</w:t>
      </w:r>
    </w:p>
    <w:p w14:paraId="2A5BE41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13.6.1  竣工退场</w:t>
      </w:r>
    </w:p>
    <w:p w14:paraId="13A34D6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承包人完成竣工退场的期限：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A3A80B1">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83" w:name="_Toc351203646"/>
      <w:bookmarkEnd w:id="383"/>
      <w:r>
        <w:rPr>
          <w:rFonts w:hint="eastAsia" w:ascii="宋体" w:hAnsi="宋体" w:eastAsia="宋体" w:cs="宋体"/>
          <w:b w:val="0"/>
          <w:bCs/>
          <w:color w:val="000000" w:themeColor="text1"/>
          <w:sz w:val="28"/>
          <w:szCs w:val="28"/>
          <w14:textFill>
            <w14:solidFill>
              <w14:schemeClr w14:val="tx1"/>
            </w14:solidFill>
          </w14:textFill>
        </w:rPr>
        <w:t>14、竣工结算</w:t>
      </w:r>
    </w:p>
    <w:p w14:paraId="73C4FC1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14.1  竣工结算申请</w:t>
      </w:r>
    </w:p>
    <w:p w14:paraId="0F18D03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承包人提交竣工结算申请单的期限：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585C42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竣工结算申请单应包括的内容：</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379A15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14.2  竣工结算审核</w:t>
      </w:r>
    </w:p>
    <w:p w14:paraId="731AC09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发包人审批竣工付款申请单的期限：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6B2B6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发包人完成竣工付款的期限：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C599D7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关于竣工付款证书异议部分复核的方式和程序：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B0D820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14.4  最终结清</w:t>
      </w:r>
      <w:r>
        <w:rPr>
          <w:rFonts w:hint="eastAsia" w:ascii="宋体" w:hAnsi="宋体" w:eastAsia="宋体" w:cs="宋体"/>
          <w:b w:val="0"/>
          <w:bCs/>
          <w:color w:val="000000" w:themeColor="text1"/>
          <w:szCs w:val="21"/>
          <w:lang w:val="en-US" w:eastAsia="zh-CN"/>
          <w14:textFill>
            <w14:solidFill>
              <w14:schemeClr w14:val="tx1"/>
            </w14:solidFill>
          </w14:textFill>
        </w:rPr>
        <w:t xml:space="preserve"> </w:t>
      </w:r>
    </w:p>
    <w:p w14:paraId="35A4073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14.4.1  最终结清申请单</w:t>
      </w:r>
    </w:p>
    <w:p w14:paraId="12650A6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承包人提交最终结清申请单的份数：</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2C5F38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承包人提交最终结算申请单的期限：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020367A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14.4.2  最终结清证书和支付</w:t>
      </w:r>
    </w:p>
    <w:p w14:paraId="2CA243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（1）发包人完成最终结清申请单的审批并颁发最终结清证书的期限：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EC9D4B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（2）发包人完成支付的期限：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E3F2580">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84" w:name="_Toc351203647"/>
      <w:bookmarkEnd w:id="384"/>
      <w:bookmarkStart w:id="385" w:name="_Toc267251483"/>
      <w:bookmarkStart w:id="386" w:name="_Toc267251507"/>
      <w:bookmarkStart w:id="387" w:name="_Toc267251508"/>
      <w:bookmarkStart w:id="388" w:name="_Toc267251513"/>
      <w:bookmarkStart w:id="389" w:name="_Toc267251514"/>
      <w:bookmarkStart w:id="390" w:name="_Toc267251510"/>
      <w:bookmarkStart w:id="391" w:name="_Toc267251511"/>
      <w:bookmarkStart w:id="392" w:name="_Toc267251509"/>
      <w:bookmarkStart w:id="393" w:name="_Toc267251515"/>
      <w:r>
        <w:rPr>
          <w:rFonts w:hint="eastAsia" w:ascii="宋体" w:hAnsi="宋体" w:eastAsia="宋体" w:cs="宋体"/>
          <w:b w:val="0"/>
          <w:bCs/>
          <w:color w:val="000000" w:themeColor="text1"/>
          <w:sz w:val="28"/>
          <w:szCs w:val="28"/>
          <w14:textFill>
            <w14:solidFill>
              <w14:schemeClr w14:val="tx1"/>
            </w14:solidFill>
          </w14:textFill>
        </w:rPr>
        <w:t>15、缺陷责任期与保修</w:t>
      </w:r>
    </w:p>
    <w:bookmarkEnd w:id="385"/>
    <w:p w14:paraId="50365C7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15.2  缺陷责任期</w:t>
      </w:r>
    </w:p>
    <w:p w14:paraId="75D857A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缺陷责任期的具体期限：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6A5E42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15.3  质量保证金</w:t>
      </w:r>
    </w:p>
    <w:p w14:paraId="7523A94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关于是否扣留质量保证金的约定：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。在工程项目竣工前，承包人按专用合同条款第3.7条提供履约担保的，发包人不得同时预留工程质量保证金。</w:t>
      </w:r>
    </w:p>
    <w:p w14:paraId="47E2972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15.3.1  承包人提供质量保证金的方式</w:t>
      </w:r>
    </w:p>
    <w:p w14:paraId="29B951E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质量保证金采用以下第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种方式：</w:t>
      </w:r>
    </w:p>
    <w:p w14:paraId="30DCA4E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（1）质量保证金保函，保证金额为：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42E7F8F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%的工程款；</w:t>
      </w:r>
    </w:p>
    <w:p w14:paraId="58532F2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（3）其他方式: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C6E55B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15.3.2  质量保证金的扣留 </w:t>
      </w:r>
    </w:p>
    <w:p w14:paraId="5559135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质量保证金的扣留采取以下第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种方式：</w:t>
      </w:r>
    </w:p>
    <w:p w14:paraId="2BDEE1B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（1）在支付工程进度款时逐次扣留，在此情形下，质量保证金的计算基数不包括预付款的支付、扣回以及价格调整的金额；</w:t>
      </w:r>
    </w:p>
    <w:p w14:paraId="607AC91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（2）工程竣工结算时一次性扣留质量保证金；</w:t>
      </w:r>
    </w:p>
    <w:p w14:paraId="64EA352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（3）其他扣留方式: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9CA425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关于质量保证金的补充约定：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AC2BFE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  保修</w:t>
      </w:r>
    </w:p>
    <w:p w14:paraId="291732A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15.4.1  保修责任</w:t>
      </w:r>
    </w:p>
    <w:p w14:paraId="667B891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工程保修期为：</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233929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15.4.3  修复通知</w:t>
      </w:r>
    </w:p>
    <w:p w14:paraId="13B5CDB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承包人收到保修通知并到达工程现场的合理时间：</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429B35F">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94" w:name="_Toc351203648"/>
      <w:bookmarkEnd w:id="394"/>
      <w:bookmarkStart w:id="395" w:name="_Toc280868717"/>
      <w:r>
        <w:rPr>
          <w:rFonts w:hint="eastAsia" w:ascii="宋体" w:hAnsi="宋体" w:eastAsia="宋体" w:cs="宋体"/>
          <w:b w:val="0"/>
          <w:bCs/>
          <w:color w:val="000000" w:themeColor="text1"/>
          <w:sz w:val="28"/>
          <w:szCs w:val="28"/>
          <w14:textFill>
            <w14:solidFill>
              <w14:schemeClr w14:val="tx1"/>
            </w14:solidFill>
          </w14:textFill>
        </w:rPr>
        <w:t>16、违约</w:t>
      </w:r>
    </w:p>
    <w:p w14:paraId="6D01EFBC">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  发包人违约</w:t>
      </w:r>
    </w:p>
    <w:p w14:paraId="5AD0F74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16.1.1  发包人违约的情形</w:t>
      </w:r>
    </w:p>
    <w:p w14:paraId="6275869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发包人违约的其他情形：</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0DBF5C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16.1.2  发包人违约的责任</w:t>
      </w:r>
    </w:p>
    <w:p w14:paraId="362CCD9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发包人违约责任的承担方式和计算方法：</w:t>
      </w:r>
    </w:p>
    <w:p w14:paraId="1078DBF2">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（1）因发包人原因未能在计划开工日期前7天内下达开工通知的违约责任：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05F417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（2）因发包人原因未能按合同约定支付合同价款的违约责任：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FB5234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（3）发包人违反第10.1款[变更的范围]第（2）项约定，自行实施被取消的工作或转由他人实施的违约责任：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3B7565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12D2ABE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（5）因发包人违反合同约定造成暂停施工的违约责任：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BCF019F">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（6）发包人无正当理由没有在约定期限内发出复工指示，导致承包人无法复工的违约责任：</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252C6F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（7）其他：</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803B49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 xml:space="preserve">16.1.3  因发包人违约解除合同 </w:t>
      </w:r>
    </w:p>
    <w:p w14:paraId="042CBC3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承包人按16.1.1项[发包人违约的情形]约定暂停施工满</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天后发包人仍不纠正其违约行为并致使合同目的不能实现的，承包人有权解除合同。</w:t>
      </w:r>
    </w:p>
    <w:p w14:paraId="5EFE09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  承包人违约</w:t>
      </w:r>
    </w:p>
    <w:p w14:paraId="0311130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16.2.1  承包人违约的情形</w:t>
      </w:r>
    </w:p>
    <w:p w14:paraId="02504C6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承包人违约的其他情形：</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50E3CDE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16.2.2  承包人违约的责任</w:t>
      </w:r>
    </w:p>
    <w:p w14:paraId="7E66BB7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承包人违约责任的承担方式和计算方法：</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7576701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16.2.3  因承包人违约解除合同</w:t>
      </w:r>
    </w:p>
    <w:p w14:paraId="67B9338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关于承包人违约解除合同的特别约定：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6CA5F70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发包人继续使用承包人在施工现场的材料、设备、临时工程、承包人文件和由承包人或以其名义编制的其他文件的费用承担方式：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395"/>
    <w:p w14:paraId="2000271B">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96" w:name="_Toc351203649"/>
      <w:bookmarkEnd w:id="396"/>
      <w:r>
        <w:rPr>
          <w:rFonts w:hint="eastAsia" w:ascii="宋体" w:hAnsi="宋体" w:eastAsia="宋体" w:cs="宋体"/>
          <w:b w:val="0"/>
          <w:bCs/>
          <w:color w:val="000000" w:themeColor="text1"/>
          <w:sz w:val="28"/>
          <w:szCs w:val="28"/>
          <w14:textFill>
            <w14:solidFill>
              <w14:schemeClr w14:val="tx1"/>
            </w14:solidFill>
          </w14:textFill>
        </w:rPr>
        <w:t xml:space="preserve">17、不可抗力 </w:t>
      </w:r>
    </w:p>
    <w:p w14:paraId="4317961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17.1  不可抗力的确认</w:t>
      </w:r>
    </w:p>
    <w:p w14:paraId="2ECBC26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除通用合同条款约定的不可抗力事件之外，视为不可抗力的其他情形：</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DBDA69E">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17.4  因不可抗力解除合同</w:t>
      </w:r>
    </w:p>
    <w:p w14:paraId="0E261D48">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合同解除后，发包人应在商定或确定发包人应支付款项后</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天内完成款项的支付。</w:t>
      </w:r>
    </w:p>
    <w:p w14:paraId="4CF05CD4">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97" w:name="_Toc351203650"/>
      <w:bookmarkEnd w:id="397"/>
      <w:r>
        <w:rPr>
          <w:rFonts w:hint="eastAsia" w:ascii="宋体" w:hAnsi="宋体" w:eastAsia="宋体" w:cs="宋体"/>
          <w:b w:val="0"/>
          <w:bCs/>
          <w:color w:val="000000" w:themeColor="text1"/>
          <w:sz w:val="28"/>
          <w:szCs w:val="28"/>
          <w14:textFill>
            <w14:solidFill>
              <w14:schemeClr w14:val="tx1"/>
            </w14:solidFill>
          </w14:textFill>
        </w:rPr>
        <w:t>18、保险</w:t>
      </w:r>
    </w:p>
    <w:p w14:paraId="6E06762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18.1  工程保险</w:t>
      </w:r>
    </w:p>
    <w:p w14:paraId="5428479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关于工程保险的特别约定：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BE9F711">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18.3  其他保险</w:t>
      </w:r>
    </w:p>
    <w:p w14:paraId="670A123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关于其他保险的约定：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53CCD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承包人是否应为其施工设备等办理财产保险：</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3FA21C2B">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18.7  通知义务</w:t>
      </w:r>
    </w:p>
    <w:p w14:paraId="5D92B4AA">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关于变更保险合同时的通知义务的约定：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0FF583D0">
      <w:pPr>
        <w:keepLines/>
        <w:pageBreakBefore w:val="0"/>
        <w:kinsoku/>
        <w:wordWrap w:val="0"/>
        <w:overflowPunct/>
        <w:bidi w:val="0"/>
        <w:spacing w:before="62" w:beforeLines="20" w:line="404" w:lineRule="exact"/>
        <w:textAlignment w:val="auto"/>
        <w:rPr>
          <w:rFonts w:hint="eastAsia" w:ascii="宋体" w:hAnsi="宋体" w:eastAsia="宋体" w:cs="宋体"/>
          <w:b w:val="0"/>
          <w:bCs/>
          <w:color w:val="000000" w:themeColor="text1"/>
          <w:sz w:val="28"/>
          <w:szCs w:val="28"/>
          <w14:textFill>
            <w14:solidFill>
              <w14:schemeClr w14:val="tx1"/>
            </w14:solidFill>
          </w14:textFill>
        </w:rPr>
      </w:pPr>
      <w:bookmarkStart w:id="398" w:name="_Toc351203651"/>
      <w:bookmarkEnd w:id="398"/>
      <w:r>
        <w:rPr>
          <w:rFonts w:hint="eastAsia" w:ascii="宋体" w:hAnsi="宋体" w:eastAsia="宋体" w:cs="宋体"/>
          <w:b w:val="0"/>
          <w:bCs/>
          <w:color w:val="000000" w:themeColor="text1"/>
          <w:sz w:val="28"/>
          <w:szCs w:val="28"/>
          <w14:textFill>
            <w14:solidFill>
              <w14:schemeClr w14:val="tx1"/>
            </w14:solidFill>
          </w14:textFill>
        </w:rPr>
        <w:t>20、争议解决</w:t>
      </w:r>
    </w:p>
    <w:bookmarkEnd w:id="386"/>
    <w:p w14:paraId="61D0DD80">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20.3  争议评审</w:t>
      </w:r>
    </w:p>
    <w:p w14:paraId="42BEAF5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合同当事人是否同意将工程争议提交争议评审小组决定：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 xml:space="preserve">。  </w:t>
      </w:r>
    </w:p>
    <w:p w14:paraId="4F67641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20.3.1  争议评审小组的确定</w:t>
      </w:r>
    </w:p>
    <w:p w14:paraId="532CCCA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争议评审小组成员的确定：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A86C49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选定争议评审员的期限：</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4216D9F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争议评审小组成员的报酬承担方式：</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739C6804">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其他事项的约定：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p w14:paraId="26CC628D">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20.3.2  争议评审小组的决定</w:t>
      </w:r>
    </w:p>
    <w:p w14:paraId="7C2290C6">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合同当事人关于本项的约定：</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w:t>
      </w:r>
    </w:p>
    <w:bookmarkEnd w:id="387"/>
    <w:p w14:paraId="5A20E097">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20.4  仲裁或诉讼</w:t>
      </w:r>
    </w:p>
    <w:p w14:paraId="6881FB63">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因合同及合同有关事项发生的争议，按下列第</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种方式解决：</w:t>
      </w:r>
    </w:p>
    <w:p w14:paraId="65AA3F19">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（1）向</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仲裁委员会申请仲裁；</w:t>
      </w:r>
    </w:p>
    <w:bookmarkEnd w:id="388"/>
    <w:bookmarkEnd w:id="389"/>
    <w:bookmarkEnd w:id="390"/>
    <w:bookmarkEnd w:id="391"/>
    <w:bookmarkEnd w:id="392"/>
    <w:bookmarkEnd w:id="393"/>
    <w:p w14:paraId="1373EC45">
      <w:pPr>
        <w:keepLines/>
        <w:pageBreakBefore w:val="0"/>
        <w:kinsoku/>
        <w:wordWrap w:val="0"/>
        <w:overflowPunct/>
        <w:bidi w:val="0"/>
        <w:spacing w:line="384" w:lineRule="exac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（2）向</w:t>
      </w:r>
      <w:r>
        <w:rPr>
          <w:rFonts w:hint="eastAsia" w:ascii="宋体" w:hAnsi="宋体" w:eastAsia="宋体" w:cs="宋体"/>
          <w:b w:val="0"/>
          <w:bCs/>
          <w:color w:val="000000" w:themeColor="text1"/>
          <w:szCs w:val="21"/>
          <w:u w:val="single"/>
          <w14:textFill>
            <w14:solidFill>
              <w14:schemeClr w14:val="tx1"/>
            </w14:solidFill>
          </w14:textFill>
        </w:rPr>
        <w:t xml:space="preserve">                       </w:t>
      </w:r>
      <w:r>
        <w:rPr>
          <w:rFonts w:hint="eastAsia" w:ascii="宋体" w:hAnsi="宋体" w:eastAsia="宋体" w:cs="宋体"/>
          <w:b w:val="0"/>
          <w:bCs/>
          <w:color w:val="000000" w:themeColor="text1"/>
          <w:szCs w:val="21"/>
          <w14:textFill>
            <w14:solidFill>
              <w14:schemeClr w14:val="tx1"/>
            </w14:solidFill>
          </w14:textFill>
        </w:rPr>
        <w:t>人民法院起诉。</w:t>
      </w:r>
    </w:p>
    <w:p w14:paraId="10CCF663">
      <w:pPr>
        <w:keepLines/>
        <w:pageBreakBefore w:val="0"/>
        <w:kinsoku/>
        <w:wordWrap w:val="0"/>
        <w:overflowPunct/>
        <w:bidi w:val="0"/>
        <w:spacing w:before="120" w:after="120" w:line="360" w:lineRule="exact"/>
        <w:textAlignment w:val="auto"/>
        <w:rPr>
          <w:rFonts w:hint="eastAsia" w:ascii="宋体" w:hAnsi="宋体" w:eastAsia="宋体" w:cs="宋体"/>
          <w:b w:val="0"/>
          <w:bCs/>
          <w:color w:val="000000" w:themeColor="text1"/>
          <w:sz w:val="24"/>
          <w14:textFill>
            <w14:solidFill>
              <w14:schemeClr w14:val="tx1"/>
            </w14:solidFill>
          </w14:textFill>
        </w:rPr>
      </w:pPr>
      <w:bookmarkStart w:id="399" w:name="_Toc351203652"/>
      <w:bookmarkEnd w:id="399"/>
      <w:r>
        <w:rPr>
          <w:rFonts w:hint="eastAsia" w:ascii="宋体" w:hAnsi="宋体" w:eastAsia="宋体" w:cs="宋体"/>
          <w:b w:val="0"/>
          <w:bCs/>
          <w:color w:val="000000" w:themeColor="text1"/>
          <w:sz w:val="24"/>
          <w14:textFill>
            <w14:solidFill>
              <w14:schemeClr w14:val="tx1"/>
            </w14:solidFill>
          </w14:textFill>
        </w:rPr>
        <w:br w:type="page"/>
      </w:r>
      <w:r>
        <w:rPr>
          <w:rFonts w:hint="eastAsia" w:ascii="宋体" w:hAnsi="宋体" w:eastAsia="宋体" w:cs="宋体"/>
          <w:b w:val="0"/>
          <w:bCs/>
          <w:color w:val="000000" w:themeColor="text1"/>
          <w:sz w:val="28"/>
          <w:szCs w:val="28"/>
          <w14:textFill>
            <w14:solidFill>
              <w14:schemeClr w14:val="tx1"/>
            </w14:solidFill>
          </w14:textFill>
        </w:rPr>
        <w:t>附件</w:t>
      </w:r>
    </w:p>
    <w:p w14:paraId="1C4A0938">
      <w:pPr>
        <w:keepLines/>
        <w:pageBreakBefore w:val="0"/>
        <w:kinsoku/>
        <w:wordWrap w:val="0"/>
        <w:overflowPunct/>
        <w:bidi w:val="0"/>
        <w:spacing w:line="240" w:lineRule="atLeast"/>
        <w:ind w:firstLine="435" w:firstLineChars="150"/>
        <w:textAlignment w:val="auto"/>
        <w:rPr>
          <w:rFonts w:hint="eastAsia" w:ascii="宋体" w:hAnsi="宋体" w:eastAsia="宋体" w:cs="宋体"/>
          <w:b w:val="0"/>
          <w:bCs/>
          <w:color w:val="000000" w:themeColor="text1"/>
          <w:spacing w:val="40"/>
          <w:szCs w:val="21"/>
          <w14:textFill>
            <w14:solidFill>
              <w14:schemeClr w14:val="tx1"/>
            </w14:solidFill>
          </w14:textFill>
        </w:rPr>
      </w:pPr>
      <w:r>
        <w:rPr>
          <w:rFonts w:hint="eastAsia" w:ascii="宋体" w:hAnsi="宋体" w:eastAsia="宋体" w:cs="宋体"/>
          <w:b w:val="0"/>
          <w:bCs/>
          <w:color w:val="000000" w:themeColor="text1"/>
          <w:spacing w:val="40"/>
          <w:szCs w:val="21"/>
          <w14:textFill>
            <w14:solidFill>
              <w14:schemeClr w14:val="tx1"/>
            </w14:solidFill>
          </w14:textFill>
        </w:rPr>
        <w:t>协议书附件：</w:t>
      </w:r>
    </w:p>
    <w:p w14:paraId="2FF6599C">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pacing w:val="40"/>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附件1：承包人承揽工程项目一览表（略）</w:t>
      </w:r>
    </w:p>
    <w:p w14:paraId="5CCC690B">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pacing w:val="40"/>
          <w:sz w:val="44"/>
          <w:szCs w:val="4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专用合同条款附件：</w:t>
      </w:r>
    </w:p>
    <w:p w14:paraId="625F5EE7">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附件2：发包人供应材料设备一览表（略）</w:t>
      </w:r>
    </w:p>
    <w:p w14:paraId="01E48601">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附件3：工程质量保修书（略）</w:t>
      </w:r>
    </w:p>
    <w:p w14:paraId="10A85D1F">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附件4：主要建设工程文件目录（略）</w:t>
      </w:r>
    </w:p>
    <w:p w14:paraId="22589E5B">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附件5：承包人用于本工程施工的机械设备表（略）</w:t>
      </w:r>
    </w:p>
    <w:p w14:paraId="7B7A18F6">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附件6：承包人主要施工管理人员表（略）</w:t>
      </w:r>
    </w:p>
    <w:p w14:paraId="76051BC9">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附件7：分包人主要施工管理人员表（略）</w:t>
      </w:r>
    </w:p>
    <w:p w14:paraId="60F52B5E">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附件8：履约担保格式（略）</w:t>
      </w:r>
    </w:p>
    <w:p w14:paraId="1C417C91">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附件9：预付款担保格式（略）</w:t>
      </w:r>
    </w:p>
    <w:p w14:paraId="0EFFBCB1">
      <w:pPr>
        <w:keepLines/>
        <w:pageBreakBefore w:val="0"/>
        <w:kinsoku/>
        <w:wordWrap w:val="0"/>
        <w:overflowPunct/>
        <w:bidi w:val="0"/>
        <w:spacing w:line="240" w:lineRule="atLeast"/>
        <w:ind w:firstLine="420" w:firstLineChars="200"/>
        <w:textAlignment w:val="auto"/>
        <w:rPr>
          <w:rFonts w:hint="eastAsia" w:ascii="宋体" w:hAnsi="宋体" w:eastAsia="宋体" w:cs="宋体"/>
          <w:b w:val="0"/>
          <w:bCs/>
          <w:color w:val="000000" w:themeColor="text1"/>
          <w:szCs w:val="21"/>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附件10：支付担保格式（略）</w:t>
      </w:r>
    </w:p>
    <w:p w14:paraId="7312B0F6">
      <w:pPr>
        <w:keepLines/>
        <w:pageBreakBefore w:val="0"/>
        <w:kinsoku/>
        <w:wordWrap w:val="0"/>
        <w:overflowPunct/>
        <w:bidi w:val="0"/>
        <w:spacing w:line="360" w:lineRule="auto"/>
        <w:ind w:firstLine="42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val="0"/>
          <w:bCs/>
          <w:color w:val="000000" w:themeColor="text1"/>
          <w:szCs w:val="21"/>
          <w14:textFill>
            <w14:solidFill>
              <w14:schemeClr w14:val="tx1"/>
            </w14:solidFill>
          </w14:textFill>
        </w:rPr>
        <w:t>附件11：暂估价一览表（略）</w:t>
      </w:r>
    </w:p>
    <w:p w14:paraId="7CD6D826">
      <w:pPr>
        <w:keepLines/>
        <w:pageBreakBefore w:val="0"/>
        <w:kinsoku/>
        <w:wordWrap w:val="0"/>
        <w:overflowPunct/>
        <w:bidi w:val="0"/>
        <w:textAlignment w:val="auto"/>
        <w:rPr>
          <w:rFonts w:hint="eastAsia" w:ascii="宋体" w:hAnsi="宋体" w:eastAsia="宋体" w:cs="宋体"/>
          <w:b/>
          <w:bCs/>
          <w:color w:val="000000" w:themeColor="text1"/>
          <w:spacing w:val="0"/>
          <w:sz w:val="36"/>
          <w:szCs w:val="40"/>
          <w:lang w:val="en-US" w:eastAsia="zh-CN"/>
          <w14:textFill>
            <w14:solidFill>
              <w14:schemeClr w14:val="tx1"/>
            </w14:solidFill>
          </w14:textFill>
        </w:rPr>
      </w:pPr>
      <w:r>
        <w:rPr>
          <w:rFonts w:hint="eastAsia" w:ascii="宋体" w:hAnsi="宋体" w:eastAsia="宋体" w:cs="宋体"/>
          <w:b/>
          <w:bCs/>
          <w:color w:val="000000" w:themeColor="text1"/>
          <w:spacing w:val="0"/>
          <w:sz w:val="36"/>
          <w:szCs w:val="40"/>
          <w:lang w:val="en-US" w:eastAsia="zh-CN"/>
          <w14:textFill>
            <w14:solidFill>
              <w14:schemeClr w14:val="tx1"/>
            </w14:solidFill>
          </w14:textFill>
        </w:rPr>
        <w:br w:type="page"/>
      </w:r>
    </w:p>
    <w:bookmarkEnd w:id="18"/>
    <w:bookmarkEnd w:id="19"/>
    <w:p w14:paraId="1151B066">
      <w:pPr>
        <w:keepLines/>
        <w:pageBreakBefore w:val="0"/>
        <w:widowControl/>
        <w:kinsoku/>
        <w:wordWrap w:val="0"/>
        <w:overflowPunct/>
        <w:topLinePunct w:val="0"/>
        <w:autoSpaceDE/>
        <w:autoSpaceDN/>
        <w:bidi w:val="0"/>
        <w:spacing w:line="360" w:lineRule="auto"/>
        <w:jc w:val="center"/>
        <w:textAlignment w:val="auto"/>
        <w:rPr>
          <w:rFonts w:hint="eastAsia" w:ascii="宋体" w:hAnsi="宋体" w:eastAsia="宋体" w:cs="宋体"/>
          <w:b/>
          <w:bCs/>
          <w:color w:val="000000" w:themeColor="text1"/>
          <w:spacing w:val="0"/>
          <w:sz w:val="36"/>
          <w:szCs w:val="40"/>
          <w14:textFill>
            <w14:solidFill>
              <w14:schemeClr w14:val="tx1"/>
            </w14:solidFill>
          </w14:textFill>
        </w:rPr>
      </w:pPr>
      <w:r>
        <w:rPr>
          <w:rFonts w:hint="eastAsia" w:ascii="宋体" w:hAnsi="宋体" w:eastAsia="宋体" w:cs="宋体"/>
          <w:b/>
          <w:bCs/>
          <w:color w:val="000000" w:themeColor="text1"/>
          <w:spacing w:val="0"/>
          <w:sz w:val="36"/>
          <w:szCs w:val="40"/>
          <w:lang w:val="en-US" w:eastAsia="zh-CN"/>
          <w14:textFill>
            <w14:solidFill>
              <w14:schemeClr w14:val="tx1"/>
            </w14:solidFill>
          </w14:textFill>
        </w:rPr>
        <w:t xml:space="preserve">第九部分  </w:t>
      </w:r>
      <w:r>
        <w:rPr>
          <w:rFonts w:hint="eastAsia" w:ascii="宋体" w:hAnsi="宋体" w:eastAsia="宋体" w:cs="宋体"/>
          <w:b/>
          <w:bCs/>
          <w:color w:val="000000" w:themeColor="text1"/>
          <w:spacing w:val="0"/>
          <w:sz w:val="36"/>
          <w:szCs w:val="40"/>
          <w14:textFill>
            <w14:solidFill>
              <w14:schemeClr w14:val="tx1"/>
            </w14:solidFill>
          </w14:textFill>
        </w:rPr>
        <w:t>响应文件内容要求及格式</w:t>
      </w:r>
    </w:p>
    <w:p w14:paraId="7F3F7014">
      <w:pPr>
        <w:keepLines/>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p>
    <w:p w14:paraId="5A687B08">
      <w:pPr>
        <w:keepLines/>
        <w:pageBreakBefore w:val="0"/>
        <w:kinsoku/>
        <w:wordWrap w:val="0"/>
        <w:overflowPunct/>
        <w:topLinePunct w:val="0"/>
        <w:autoSpaceDE/>
        <w:autoSpaceDN/>
        <w:bidi w:val="0"/>
        <w:spacing w:line="360" w:lineRule="auto"/>
        <w:ind w:firstLine="482"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磋商供应商提交响应文件须知</w:t>
      </w:r>
    </w:p>
    <w:p w14:paraId="12C0D95A">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1、磋商供应商按照本部分的顺序编排响应文件（资格证明文件、商务技术文件</w:t>
      </w:r>
      <w:r>
        <w:rPr>
          <w:rFonts w:hint="eastAsia" w:ascii="宋体" w:hAnsi="宋体" w:eastAsia="宋体" w:cs="宋体"/>
          <w:color w:val="000000" w:themeColor="text1"/>
          <w:spacing w:val="0"/>
          <w:sz w:val="24"/>
          <w:szCs w:val="24"/>
          <w:lang w:eastAsia="zh-CN"/>
          <w14:textFill>
            <w14:solidFill>
              <w14:schemeClr w14:val="tx1"/>
            </w14:solidFill>
          </w14:textFill>
        </w:rPr>
        <w:t>、</w:t>
      </w:r>
      <w:r>
        <w:rPr>
          <w:rFonts w:hint="eastAsia" w:ascii="宋体" w:hAnsi="宋体" w:eastAsia="宋体" w:cs="宋体"/>
          <w:color w:val="000000" w:themeColor="text1"/>
          <w:spacing w:val="0"/>
          <w:sz w:val="24"/>
          <w:szCs w:val="24"/>
          <w:lang w:val="en-US" w:eastAsia="zh-CN"/>
          <w14:textFill>
            <w14:solidFill>
              <w14:schemeClr w14:val="tx1"/>
            </w14:solidFill>
          </w14:textFill>
        </w:rPr>
        <w:t>报价文件</w:t>
      </w:r>
      <w:r>
        <w:rPr>
          <w:rFonts w:hint="eastAsia" w:ascii="宋体" w:hAnsi="宋体" w:eastAsia="宋体" w:cs="宋体"/>
          <w:color w:val="000000" w:themeColor="text1"/>
          <w:spacing w:val="0"/>
          <w:sz w:val="24"/>
          <w:szCs w:val="24"/>
          <w14:textFill>
            <w14:solidFill>
              <w14:schemeClr w14:val="tx1"/>
            </w14:solidFill>
          </w14:textFill>
        </w:rPr>
        <w:t>），编排中涉及格式资料的，应按照本部分提供的内容和格式（所有表格的格式可扩展）填写提交。</w:t>
      </w:r>
    </w:p>
    <w:p w14:paraId="6FBF3D54">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2、全部声明和问题的回答及所附材料必须是真实的、准确的和完整的。</w:t>
      </w:r>
    </w:p>
    <w:p w14:paraId="1DBA955B">
      <w:pPr>
        <w:pStyle w:val="35"/>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3、按磋商文件要求“格式”提供的材料，如有调整，内容及签署必须完整、有效，且没有本文件不可接受的条件。</w:t>
      </w:r>
    </w:p>
    <w:p w14:paraId="1CB4EBAA">
      <w:pPr>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490FE668">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br w:type="page"/>
      </w:r>
    </w:p>
    <w:p w14:paraId="61BCABB8">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0105B272">
      <w:pPr>
        <w:keepLines/>
        <w:pageBreakBefore w:val="0"/>
        <w:kinsoku/>
        <w:wordWrap w:val="0"/>
        <w:overflowPunct/>
        <w:topLinePunct w:val="0"/>
        <w:autoSpaceDE/>
        <w:autoSpaceDN/>
        <w:bidi w:val="0"/>
        <w:spacing w:line="360" w:lineRule="auto"/>
        <w:textAlignment w:val="auto"/>
        <w:rPr>
          <w:rFonts w:hint="eastAsia" w:ascii="宋体" w:hAnsi="宋体" w:eastAsia="宋体" w:cs="宋体"/>
          <w:b/>
          <w:color w:val="000000" w:themeColor="text1"/>
          <w:spacing w:val="0"/>
          <w:sz w:val="24"/>
          <w14:textFill>
            <w14:solidFill>
              <w14:schemeClr w14:val="tx1"/>
            </w14:solidFill>
          </w14:textFill>
        </w:rPr>
      </w:pPr>
      <w:bookmarkStart w:id="400" w:name="_Toc7481_WPSOffice_Level1"/>
      <w:bookmarkEnd w:id="400"/>
      <w:r>
        <w:rPr>
          <w:rFonts w:hint="eastAsia" w:ascii="宋体" w:hAnsi="宋体" w:eastAsia="宋体" w:cs="宋体"/>
          <w:b/>
          <w:color w:val="000000" w:themeColor="text1"/>
          <w:spacing w:val="0"/>
          <w:sz w:val="24"/>
          <w14:textFill>
            <w14:solidFill>
              <w14:schemeClr w14:val="tx1"/>
            </w14:solidFill>
          </w14:textFill>
        </w:rPr>
        <w:t>响应文件封面及目录格式</w:t>
      </w:r>
    </w:p>
    <w:p w14:paraId="19C50FA3">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618BAA46">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4E1E0A09">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2885F413">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4475A5E6">
      <w:pPr>
        <w:keepLines/>
        <w:pageBreakBefore w:val="0"/>
        <w:kinsoku/>
        <w:wordWrap w:val="0"/>
        <w:overflowPunct/>
        <w:topLinePunct w:val="0"/>
        <w:autoSpaceDE/>
        <w:autoSpaceDN/>
        <w:bidi w:val="0"/>
        <w:jc w:val="center"/>
        <w:textAlignment w:val="auto"/>
        <w:rPr>
          <w:rFonts w:hint="eastAsia" w:ascii="宋体" w:hAnsi="宋体" w:eastAsia="宋体" w:cs="宋体"/>
          <w:b/>
          <w:color w:val="000000" w:themeColor="text1"/>
          <w:spacing w:val="0"/>
          <w:sz w:val="84"/>
          <w:szCs w:val="84"/>
          <w14:textFill>
            <w14:solidFill>
              <w14:schemeClr w14:val="tx1"/>
            </w14:solidFill>
          </w14:textFill>
        </w:rPr>
      </w:pPr>
      <w:bookmarkStart w:id="401" w:name="_Toc16293_WPSOffice_Level2"/>
      <w:bookmarkEnd w:id="401"/>
      <w:r>
        <w:rPr>
          <w:rFonts w:hint="eastAsia" w:ascii="宋体" w:hAnsi="宋体" w:eastAsia="宋体" w:cs="宋体"/>
          <w:b/>
          <w:color w:val="000000" w:themeColor="text1"/>
          <w:spacing w:val="0"/>
          <w:sz w:val="84"/>
          <w:szCs w:val="84"/>
          <w14:textFill>
            <w14:solidFill>
              <w14:schemeClr w14:val="tx1"/>
            </w14:solidFill>
          </w14:textFill>
        </w:rPr>
        <w:t>响 应 文 件</w:t>
      </w:r>
    </w:p>
    <w:p w14:paraId="7E45F3A7">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1ECC5C87">
      <w:pPr>
        <w:keepLines/>
        <w:pageBreakBefore w:val="0"/>
        <w:kinsoku/>
        <w:wordWrap w:val="0"/>
        <w:overflowPunct/>
        <w:topLinePunct w:val="0"/>
        <w:autoSpaceDE/>
        <w:autoSpaceDN/>
        <w:bidi w:val="0"/>
        <w:ind w:firstLine="803" w:firstLineChars="25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7BB2A093">
      <w:pPr>
        <w:keepLines/>
        <w:pageBreakBefore w:val="0"/>
        <w:kinsoku/>
        <w:wordWrap w:val="0"/>
        <w:overflowPunct/>
        <w:topLinePunct w:val="0"/>
        <w:autoSpaceDE/>
        <w:autoSpaceDN/>
        <w:bidi w:val="0"/>
        <w:ind w:firstLine="803" w:firstLineChars="25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6261112F">
      <w:pPr>
        <w:keepLines/>
        <w:pageBreakBefore w:val="0"/>
        <w:kinsoku/>
        <w:wordWrap w:val="0"/>
        <w:overflowPunct/>
        <w:topLinePunct w:val="0"/>
        <w:autoSpaceDE/>
        <w:autoSpaceDN/>
        <w:bidi w:val="0"/>
        <w:ind w:firstLine="803" w:firstLineChars="25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2CB9B049">
      <w:pPr>
        <w:keepLines/>
        <w:pageBreakBefore w:val="0"/>
        <w:kinsoku/>
        <w:wordWrap w:val="0"/>
        <w:overflowPunct/>
        <w:topLinePunct w:val="0"/>
        <w:autoSpaceDE/>
        <w:autoSpaceDN/>
        <w:bidi w:val="0"/>
        <w:ind w:firstLine="803" w:firstLineChars="250"/>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14:textFill>
            <w14:solidFill>
              <w14:schemeClr w14:val="tx1"/>
            </w14:solidFill>
          </w14:textFill>
        </w:rPr>
        <w:t>项目名称:</w:t>
      </w:r>
    </w:p>
    <w:p w14:paraId="3766DB7D">
      <w:pPr>
        <w:keepLines/>
        <w:pageBreakBefore w:val="0"/>
        <w:kinsoku/>
        <w:wordWrap w:val="0"/>
        <w:overflowPunct/>
        <w:topLinePunct w:val="0"/>
        <w:autoSpaceDE/>
        <w:autoSpaceDN/>
        <w:bidi w:val="0"/>
        <w:ind w:firstLine="803" w:firstLineChars="250"/>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14:textFill>
            <w14:solidFill>
              <w14:schemeClr w14:val="tx1"/>
            </w14:solidFill>
          </w14:textFill>
        </w:rPr>
        <w:t>项目编号：</w:t>
      </w:r>
    </w:p>
    <w:p w14:paraId="1522CAC2">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198988B8">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58560760">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20F3833F">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78A3CA2C">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4219FA76">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1B9286EE">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7F39DB82">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1E701C74">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16C07BAE">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79CADD52">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3C364C6F">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50FEA7BF">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42521DA7">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726C09F6">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1E9BA82A">
      <w:pPr>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14:textFill>
            <w14:solidFill>
              <w14:schemeClr w14:val="tx1"/>
            </w14:solidFill>
          </w14:textFill>
        </w:rPr>
        <w:t>磋商供应商单位名称：（电子签章）</w:t>
      </w:r>
    </w:p>
    <w:p w14:paraId="3C984A1C">
      <w:pPr>
        <w:keepLines/>
        <w:pageBreakBefore w:val="0"/>
        <w:kinsoku/>
        <w:wordWrap w:val="0"/>
        <w:overflowPunct/>
        <w:topLinePunct w:val="0"/>
        <w:autoSpaceDE/>
        <w:autoSpaceDN/>
        <w:bidi w:val="0"/>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lang w:val="en-US" w:eastAsia="zh-CN"/>
          <w14:textFill>
            <w14:solidFill>
              <w14:schemeClr w14:val="tx1"/>
            </w14:solidFill>
          </w14:textFill>
        </w:rPr>
        <w:t xml:space="preserve"> </w:t>
      </w:r>
      <w:r>
        <w:rPr>
          <w:rFonts w:hint="eastAsia" w:ascii="宋体" w:hAnsi="宋体" w:eastAsia="宋体" w:cs="宋体"/>
          <w:b/>
          <w:color w:val="000000" w:themeColor="text1"/>
          <w:spacing w:val="0"/>
          <w:sz w:val="32"/>
          <w:szCs w:val="32"/>
          <w14:textFill>
            <w14:solidFill>
              <w14:schemeClr w14:val="tx1"/>
            </w14:solidFill>
          </w14:textFill>
        </w:rPr>
        <w:t>年  月   日</w:t>
      </w:r>
    </w:p>
    <w:p w14:paraId="0CDC19E2">
      <w:pPr>
        <w:pStyle w:val="35"/>
        <w:keepLines/>
        <w:pageBreakBefore w:val="0"/>
        <w:kinsoku/>
        <w:wordWrap w:val="0"/>
        <w:overflowPunct/>
        <w:topLinePunct w:val="0"/>
        <w:autoSpaceDE/>
        <w:autoSpaceDN/>
        <w:bidi w:val="0"/>
        <w:snapToGrid w:val="0"/>
        <w:spacing w:line="480" w:lineRule="exact"/>
        <w:ind w:firstLine="643" w:firstLineChars="200"/>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14:textFill>
            <w14:solidFill>
              <w14:schemeClr w14:val="tx1"/>
            </w14:solidFill>
          </w14:textFill>
        </w:rPr>
        <w:br w:type="page"/>
      </w:r>
    </w:p>
    <w:p w14:paraId="0F6321E4">
      <w:pPr>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b/>
          <w:color w:val="000000" w:themeColor="text1"/>
          <w:spacing w:val="0"/>
          <w:sz w:val="40"/>
          <w:szCs w:val="40"/>
          <w14:textFill>
            <w14:solidFill>
              <w14:schemeClr w14:val="tx1"/>
            </w14:solidFill>
          </w14:textFill>
        </w:rPr>
      </w:pPr>
      <w:r>
        <w:rPr>
          <w:rFonts w:hint="eastAsia" w:ascii="宋体" w:hAnsi="宋体" w:eastAsia="宋体" w:cs="宋体"/>
          <w:b/>
          <w:color w:val="000000" w:themeColor="text1"/>
          <w:spacing w:val="0"/>
          <w:sz w:val="40"/>
          <w:szCs w:val="40"/>
          <w14:textFill>
            <w14:solidFill>
              <w14:schemeClr w14:val="tx1"/>
            </w14:solidFill>
          </w14:textFill>
        </w:rPr>
        <w:t>目    录</w:t>
      </w:r>
    </w:p>
    <w:p w14:paraId="496735A9">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3BF09D78">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38E7FB49">
      <w:pPr>
        <w:pStyle w:val="14"/>
        <w:keepLines/>
        <w:pageBreakBefore w:val="0"/>
        <w:kinsoku/>
        <w:wordWrap w:val="0"/>
        <w:overflowPunct/>
        <w:topLinePunct w:val="0"/>
        <w:autoSpaceDE/>
        <w:autoSpaceDN/>
        <w:bidi w:val="0"/>
        <w:snapToGrid w:val="0"/>
        <w:spacing w:line="276" w:lineRule="auto"/>
        <w:ind w:left="0" w:leftChars="0" w:firstLine="0" w:firstLineChars="0"/>
        <w:jc w:val="center"/>
        <w:textAlignment w:val="auto"/>
        <w:rPr>
          <w:rFonts w:hint="eastAsia" w:ascii="宋体" w:hAnsi="宋体" w:eastAsia="宋体" w:cs="宋体"/>
          <w:color w:val="000000" w:themeColor="text1"/>
          <w:spacing w:val="0"/>
          <w:kern w:val="0"/>
          <w:lang w:eastAsia="zh-CN"/>
          <w14:textFill>
            <w14:solidFill>
              <w14:schemeClr w14:val="tx1"/>
            </w14:solidFill>
          </w14:textFill>
        </w:rPr>
      </w:pPr>
      <w:r>
        <w:rPr>
          <w:rFonts w:hint="eastAsia" w:ascii="宋体" w:hAnsi="宋体" w:eastAsia="宋体" w:cs="宋体"/>
          <w:color w:val="000000" w:themeColor="text1"/>
          <w:spacing w:val="0"/>
          <w:kern w:val="0"/>
          <w:lang w:eastAsia="zh-CN"/>
          <w14:textFill>
            <w14:solidFill>
              <w14:schemeClr w14:val="tx1"/>
            </w14:solidFill>
          </w14:textFill>
        </w:rPr>
        <w:t>（格式自拟）</w:t>
      </w:r>
    </w:p>
    <w:p w14:paraId="4A0AD7BA">
      <w:pPr>
        <w:pStyle w:val="14"/>
        <w:keepLines/>
        <w:pageBreakBefore w:val="0"/>
        <w:kinsoku/>
        <w:wordWrap w:val="0"/>
        <w:overflowPunct/>
        <w:topLinePunct w:val="0"/>
        <w:autoSpaceDE/>
        <w:autoSpaceDN/>
        <w:bidi w:val="0"/>
        <w:snapToGrid w:val="0"/>
        <w:spacing w:line="276" w:lineRule="auto"/>
        <w:ind w:firstLine="525" w:firstLineChars="250"/>
        <w:textAlignment w:val="auto"/>
        <w:rPr>
          <w:rFonts w:hint="eastAsia" w:ascii="宋体" w:hAnsi="宋体" w:eastAsia="宋体" w:cs="宋体"/>
          <w:color w:val="000000" w:themeColor="text1"/>
          <w:spacing w:val="0"/>
          <w:kern w:val="0"/>
          <w14:textFill>
            <w14:solidFill>
              <w14:schemeClr w14:val="tx1"/>
            </w14:solidFill>
          </w14:textFill>
        </w:rPr>
      </w:pPr>
    </w:p>
    <w:p w14:paraId="561C9734">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 w:val="40"/>
          <w:szCs w:val="40"/>
          <w14:textFill>
            <w14:solidFill>
              <w14:schemeClr w14:val="tx1"/>
            </w14:solidFill>
          </w14:textFill>
        </w:rPr>
      </w:pPr>
      <w:r>
        <w:rPr>
          <w:rFonts w:hint="eastAsia" w:ascii="宋体" w:hAnsi="宋体" w:eastAsia="宋体" w:cs="宋体"/>
          <w:b/>
          <w:color w:val="000000" w:themeColor="text1"/>
          <w:spacing w:val="0"/>
          <w:sz w:val="40"/>
          <w:szCs w:val="40"/>
          <w14:textFill>
            <w14:solidFill>
              <w14:schemeClr w14:val="tx1"/>
            </w14:solidFill>
          </w14:textFill>
        </w:rPr>
        <w:br w:type="page"/>
      </w:r>
    </w:p>
    <w:p w14:paraId="465680E1">
      <w:pPr>
        <w:keepLines/>
        <w:pageBreakBefore w:val="0"/>
        <w:kinsoku/>
        <w:wordWrap w:val="0"/>
        <w:overflowPunct/>
        <w:topLinePunct w:val="0"/>
        <w:autoSpaceDE/>
        <w:autoSpaceDN/>
        <w:bidi w:val="0"/>
        <w:snapToGrid w:val="0"/>
        <w:ind w:left="420" w:hanging="803" w:hangingChars="200"/>
        <w:jc w:val="center"/>
        <w:textAlignment w:val="auto"/>
        <w:rPr>
          <w:rFonts w:hint="eastAsia" w:ascii="宋体" w:hAnsi="宋体" w:eastAsia="宋体" w:cs="宋体"/>
          <w:b/>
          <w:color w:val="000000" w:themeColor="text1"/>
          <w:spacing w:val="0"/>
          <w:szCs w:val="21"/>
          <w14:textFill>
            <w14:solidFill>
              <w14:schemeClr w14:val="tx1"/>
            </w14:solidFill>
          </w14:textFill>
        </w:rPr>
      </w:pPr>
      <w:r>
        <w:rPr>
          <w:rFonts w:hint="eastAsia" w:ascii="宋体" w:hAnsi="宋体" w:eastAsia="宋体" w:cs="宋体"/>
          <w:b/>
          <w:color w:val="000000" w:themeColor="text1"/>
          <w:spacing w:val="0"/>
          <w:sz w:val="40"/>
          <w:szCs w:val="40"/>
          <w14:textFill>
            <w14:solidFill>
              <w14:schemeClr w14:val="tx1"/>
            </w14:solidFill>
          </w14:textFill>
        </w:rPr>
        <w:t>资  格  证  明  文  件</w:t>
      </w:r>
    </w:p>
    <w:p w14:paraId="153C8357">
      <w:pPr>
        <w:keepLines/>
        <w:pageBreakBefore w:val="0"/>
        <w:kinsoku/>
        <w:wordWrap w:val="0"/>
        <w:overflowPunct/>
        <w:topLinePunct w:val="0"/>
        <w:autoSpaceDE/>
        <w:autoSpaceDN/>
        <w:bidi w:val="0"/>
        <w:snapToGrid w:val="0"/>
        <w:ind w:left="420" w:hanging="422" w:hangingChars="200"/>
        <w:textAlignment w:val="auto"/>
        <w:rPr>
          <w:rFonts w:hint="eastAsia" w:ascii="宋体" w:hAnsi="宋体" w:eastAsia="宋体" w:cs="宋体"/>
          <w:b/>
          <w:color w:val="000000" w:themeColor="text1"/>
          <w:spacing w:val="0"/>
          <w:szCs w:val="21"/>
          <w14:textFill>
            <w14:solidFill>
              <w14:schemeClr w14:val="tx1"/>
            </w14:solidFill>
          </w14:textFill>
        </w:rPr>
      </w:pPr>
    </w:p>
    <w:p w14:paraId="15941003">
      <w:pPr>
        <w:keepLines/>
        <w:pageBreakBefore w:val="0"/>
        <w:widowControl/>
        <w:kinsoku/>
        <w:wordWrap w:val="0"/>
        <w:overflowPunct/>
        <w:topLinePunct w:val="0"/>
        <w:autoSpaceDE/>
        <w:autoSpaceDN/>
        <w:bidi w:val="0"/>
        <w:jc w:val="left"/>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br w:type="page"/>
      </w:r>
    </w:p>
    <w:p w14:paraId="005FC24A">
      <w:pPr>
        <w:keepLines/>
        <w:pageBreakBefore w:val="0"/>
        <w:kinsoku/>
        <w:wordWrap w:val="0"/>
        <w:overflowPunct/>
        <w:topLinePunct w:val="0"/>
        <w:autoSpaceDE/>
        <w:autoSpaceDN/>
        <w:bidi w:val="0"/>
        <w:spacing w:line="360" w:lineRule="auto"/>
        <w:ind w:left="360" w:hanging="482" w:hangingChars="150"/>
        <w:jc w:val="center"/>
        <w:textAlignment w:val="auto"/>
        <w:rPr>
          <w:rFonts w:hint="eastAsia" w:ascii="宋体" w:hAnsi="宋体" w:eastAsia="宋体" w:cs="宋体"/>
          <w:b/>
          <w:color w:val="000000" w:themeColor="text1"/>
          <w:spacing w:val="0"/>
          <w:sz w:val="32"/>
          <w:szCs w:val="32"/>
          <w:lang w:eastAsia="zh-CN"/>
          <w14:textFill>
            <w14:solidFill>
              <w14:schemeClr w14:val="tx1"/>
            </w14:solidFill>
          </w14:textFill>
        </w:rPr>
      </w:pPr>
      <w:r>
        <w:rPr>
          <w:rFonts w:hint="eastAsia" w:ascii="宋体" w:hAnsi="宋体" w:eastAsia="宋体" w:cs="宋体"/>
          <w:b/>
          <w:color w:val="000000" w:themeColor="text1"/>
          <w:spacing w:val="0"/>
          <w:sz w:val="32"/>
          <w:szCs w:val="32"/>
          <w:lang w:val="en-US" w:eastAsia="zh-CN"/>
          <w14:textFill>
            <w14:solidFill>
              <w14:schemeClr w14:val="tx1"/>
            </w14:solidFill>
          </w14:textFill>
        </w:rPr>
        <w:t>1</w:t>
      </w:r>
      <w:r>
        <w:rPr>
          <w:rFonts w:hint="eastAsia" w:ascii="宋体" w:hAnsi="宋体" w:eastAsia="宋体" w:cs="宋体"/>
          <w:b/>
          <w:color w:val="000000" w:themeColor="text1"/>
          <w:spacing w:val="0"/>
          <w:sz w:val="32"/>
          <w:szCs w:val="32"/>
          <w:lang w:eastAsia="zh-CN"/>
          <w14:textFill>
            <w14:solidFill>
              <w14:schemeClr w14:val="tx1"/>
            </w14:solidFill>
          </w14:textFill>
        </w:rPr>
        <w:t>、</w:t>
      </w:r>
      <w:r>
        <w:rPr>
          <w:rFonts w:hint="eastAsia" w:ascii="宋体" w:hAnsi="宋体" w:eastAsia="宋体" w:cs="宋体"/>
          <w:b/>
          <w:color w:val="000000" w:themeColor="text1"/>
          <w:spacing w:val="0"/>
          <w:sz w:val="32"/>
          <w:szCs w:val="32"/>
          <w14:textFill>
            <w14:solidFill>
              <w14:schemeClr w14:val="tx1"/>
            </w14:solidFill>
          </w14:textFill>
        </w:rPr>
        <w:t>磋商供应商代表证明</w:t>
      </w:r>
      <w:r>
        <w:rPr>
          <w:rFonts w:hint="eastAsia" w:ascii="宋体" w:hAnsi="宋体" w:eastAsia="宋体" w:cs="宋体"/>
          <w:b/>
          <w:color w:val="000000" w:themeColor="text1"/>
          <w:spacing w:val="0"/>
          <w:sz w:val="32"/>
          <w:szCs w:val="32"/>
          <w:lang w:eastAsia="zh-CN"/>
          <w14:textFill>
            <w14:solidFill>
              <w14:schemeClr w14:val="tx1"/>
            </w14:solidFill>
          </w14:textFill>
        </w:rPr>
        <w:t>（格式）</w:t>
      </w:r>
    </w:p>
    <w:p w14:paraId="0F7DCEE4">
      <w:pPr>
        <w:keepLines/>
        <w:pageBreakBefore w:val="0"/>
        <w:kinsoku/>
        <w:wordWrap w:val="0"/>
        <w:overflowPunct/>
        <w:topLinePunct w:val="0"/>
        <w:autoSpaceDE/>
        <w:autoSpaceDN/>
        <w:bidi w:val="0"/>
        <w:spacing w:line="360" w:lineRule="auto"/>
        <w:ind w:left="315" w:leftChars="15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 xml:space="preserve">                      </w:t>
      </w:r>
    </w:p>
    <w:p w14:paraId="27811A0C">
      <w:pPr>
        <w:keepLines/>
        <w:pageBreakBefore w:val="0"/>
        <w:kinsoku/>
        <w:wordWrap w:val="0"/>
        <w:overflowPunct/>
        <w:topLinePunct w:val="0"/>
        <w:autoSpaceDE/>
        <w:autoSpaceDN/>
        <w:bidi w:val="0"/>
        <w:snapToGrid w:val="0"/>
        <w:spacing w:line="360" w:lineRule="auto"/>
        <w:ind w:left="560" w:hanging="480" w:hangingChars="200"/>
        <w:jc w:val="left"/>
        <w:textAlignment w:val="auto"/>
        <w:rPr>
          <w:rFonts w:hint="eastAsia" w:ascii="宋体" w:hAnsi="宋体" w:eastAsia="宋体" w:cs="宋体"/>
          <w:bCs/>
          <w:color w:val="000000" w:themeColor="text1"/>
          <w:spacing w:val="0"/>
          <w:sz w:val="24"/>
          <w:szCs w:val="24"/>
          <w14:textFill>
            <w14:solidFill>
              <w14:schemeClr w14:val="tx1"/>
            </w14:solidFill>
          </w14:textFill>
        </w:rPr>
      </w:pPr>
    </w:p>
    <w:p w14:paraId="200CB107">
      <w:pPr>
        <w:keepLines/>
        <w:pageBreakBefore w:val="0"/>
        <w:kinsoku/>
        <w:wordWrap w:val="0"/>
        <w:overflowPunct/>
        <w:topLinePunct w:val="0"/>
        <w:autoSpaceDE/>
        <w:autoSpaceDN/>
        <w:bidi w:val="0"/>
        <w:snapToGrid w:val="0"/>
        <w:spacing w:line="360" w:lineRule="auto"/>
        <w:ind w:left="560" w:hanging="482" w:hangingChars="200"/>
        <w:jc w:val="center"/>
        <w:textAlignment w:val="auto"/>
        <w:rPr>
          <w:rFonts w:hint="eastAsia" w:ascii="宋体" w:hAnsi="宋体" w:eastAsia="宋体" w:cs="宋体"/>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法定代表人（负责人）身份证明书</w:t>
      </w:r>
    </w:p>
    <w:p w14:paraId="21F0126A">
      <w:pPr>
        <w:keepLines/>
        <w:pageBreakBefore w:val="0"/>
        <w:kinsoku/>
        <w:wordWrap w:val="0"/>
        <w:overflowPunct/>
        <w:topLinePunct w:val="0"/>
        <w:autoSpaceDE/>
        <w:autoSpaceDN/>
        <w:bidi w:val="0"/>
        <w:spacing w:line="360" w:lineRule="auto"/>
        <w:ind w:firstLine="570"/>
        <w:jc w:val="center"/>
        <w:textAlignment w:val="auto"/>
        <w:rPr>
          <w:rFonts w:hint="eastAsia" w:ascii="宋体" w:hAnsi="宋体" w:eastAsia="宋体" w:cs="宋体"/>
          <w:color w:val="000000" w:themeColor="text1"/>
          <w:spacing w:val="0"/>
          <w:sz w:val="24"/>
          <w:szCs w:val="24"/>
          <w14:textFill>
            <w14:solidFill>
              <w14:schemeClr w14:val="tx1"/>
            </w14:solidFill>
          </w14:textFill>
        </w:rPr>
      </w:pPr>
    </w:p>
    <w:p w14:paraId="5B42B72F">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u w:val="single"/>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单位名称：</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p>
    <w:p w14:paraId="76DCCEF6">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u w:val="single"/>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单位性质：</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p>
    <w:p w14:paraId="0C368720">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地    址：</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 xml:space="preserve">  </w:t>
      </w:r>
    </w:p>
    <w:p w14:paraId="7BF1129E">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成立时间：    年    月    日</w:t>
      </w:r>
    </w:p>
    <w:p w14:paraId="000FC608">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经营期限：</w:t>
      </w:r>
    </w:p>
    <w:p w14:paraId="06379805">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姓    名：                 性  别：         </w:t>
      </w:r>
    </w:p>
    <w:p w14:paraId="5B451AF0">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身份证号：                 职  务： </w:t>
      </w:r>
    </w:p>
    <w:p w14:paraId="2556498D">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系 </w:t>
      </w:r>
      <w:r>
        <w:rPr>
          <w:rFonts w:hint="eastAsia" w:ascii="宋体" w:hAnsi="宋体" w:eastAsia="宋体" w:cs="宋体"/>
          <w:color w:val="000000" w:themeColor="text1"/>
          <w:spacing w:val="0"/>
          <w:sz w:val="24"/>
          <w:szCs w:val="24"/>
          <w:u w:val="single"/>
          <w14:textFill>
            <w14:solidFill>
              <w14:schemeClr w14:val="tx1"/>
            </w14:solidFill>
          </w14:textFill>
        </w:rPr>
        <w:t xml:space="preserve">      （磋商供应商名称）          </w:t>
      </w:r>
      <w:r>
        <w:rPr>
          <w:rFonts w:hint="eastAsia" w:ascii="宋体" w:hAnsi="宋体" w:eastAsia="宋体" w:cs="宋体"/>
          <w:color w:val="000000" w:themeColor="text1"/>
          <w:spacing w:val="0"/>
          <w:sz w:val="24"/>
          <w:szCs w:val="24"/>
          <w14:textFill>
            <w14:solidFill>
              <w14:schemeClr w14:val="tx1"/>
            </w14:solidFill>
          </w14:textFill>
        </w:rPr>
        <w:t xml:space="preserve">的法定代表人（负责人）。 </w:t>
      </w:r>
    </w:p>
    <w:p w14:paraId="7527B622">
      <w:pPr>
        <w:keepLines/>
        <w:pageBreakBefore w:val="0"/>
        <w:kinsoku/>
        <w:wordWrap w:val="0"/>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特此证明。</w:t>
      </w:r>
    </w:p>
    <w:p w14:paraId="71C63D32">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w:t>
      </w:r>
      <w:r>
        <w:rPr>
          <w:rFonts w:hint="eastAsia" w:ascii="宋体" w:hAnsi="宋体" w:eastAsia="宋体" w:cs="宋体"/>
          <w:color w:val="000000" w:themeColor="text1"/>
          <w:spacing w:val="0"/>
          <w:sz w:val="24"/>
          <w:szCs w:val="24"/>
          <w:u w:val="none"/>
          <w14:textFill>
            <w14:solidFill>
              <w14:schemeClr w14:val="tx1"/>
            </w14:solidFill>
          </w14:textFill>
        </w:rPr>
        <w:t xml:space="preserve">  磋商供应商</w:t>
      </w:r>
      <w:r>
        <w:rPr>
          <w:rFonts w:hint="eastAsia" w:ascii="宋体" w:hAnsi="宋体" w:eastAsia="宋体" w:cs="宋体"/>
          <w:color w:val="000000" w:themeColor="text1"/>
          <w:spacing w:val="0"/>
          <w:sz w:val="24"/>
          <w:szCs w:val="24"/>
          <w14:textFill>
            <w14:solidFill>
              <w14:schemeClr w14:val="tx1"/>
            </w14:solidFill>
          </w14:textFill>
        </w:rPr>
        <w:t>：</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(电子签章)</w:t>
      </w:r>
    </w:p>
    <w:p w14:paraId="1B2BAAFF">
      <w:pPr>
        <w:keepLines/>
        <w:pageBreakBefore w:val="0"/>
        <w:tabs>
          <w:tab w:val="left" w:pos="4490"/>
        </w:tabs>
        <w:kinsoku/>
        <w:wordWrap w:val="0"/>
        <w:overflowPunct/>
        <w:topLinePunct w:val="0"/>
        <w:autoSpaceDE/>
        <w:autoSpaceDN/>
        <w:bidi w:val="0"/>
        <w:snapToGrid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ab/>
      </w:r>
      <w:r>
        <w:rPr>
          <w:rFonts w:hint="eastAsia" w:ascii="宋体" w:hAnsi="宋体" w:eastAsia="宋体" w:cs="宋体"/>
          <w:color w:val="000000" w:themeColor="text1"/>
          <w:spacing w:val="0"/>
          <w:sz w:val="24"/>
          <w:szCs w:val="24"/>
          <w14:textFill>
            <w14:solidFill>
              <w14:schemeClr w14:val="tx1"/>
            </w14:solidFill>
          </w14:textFill>
        </w:rPr>
        <w:t>年   月   日</w:t>
      </w:r>
    </w:p>
    <w:p w14:paraId="0CB9085E">
      <w:pPr>
        <w:keepLines/>
        <w:pageBreakBefore w:val="0"/>
        <w:kinsoku/>
        <w:wordWrap w:val="0"/>
        <w:overflowPunct/>
        <w:topLinePunct w:val="0"/>
        <w:autoSpaceDE/>
        <w:autoSpaceDN/>
        <w:bidi w:val="0"/>
        <w:spacing w:line="360" w:lineRule="auto"/>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附法定代表人有效的身份证正反两面扫描件</w:t>
      </w:r>
    </w:p>
    <w:tbl>
      <w:tblPr>
        <w:tblStyle w:val="27"/>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1"/>
      </w:tblGrid>
      <w:tr w14:paraId="43B5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4643" w:type="dxa"/>
          </w:tcPr>
          <w:p w14:paraId="7FD1C6AE">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Cs w:val="21"/>
                <w14:textFill>
                  <w14:solidFill>
                    <w14:schemeClr w14:val="tx1"/>
                  </w14:solidFill>
                </w14:textFill>
              </w:rPr>
            </w:pPr>
          </w:p>
        </w:tc>
        <w:tc>
          <w:tcPr>
            <w:tcW w:w="4641" w:type="dxa"/>
          </w:tcPr>
          <w:p w14:paraId="7E8CB28F">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Cs w:val="21"/>
                <w14:textFill>
                  <w14:solidFill>
                    <w14:schemeClr w14:val="tx1"/>
                  </w14:solidFill>
                </w14:textFill>
              </w:rPr>
            </w:pPr>
          </w:p>
        </w:tc>
      </w:tr>
    </w:tbl>
    <w:p w14:paraId="584A68BC">
      <w:pPr>
        <w:keepLines/>
        <w:pageBreakBefore w:val="0"/>
        <w:kinsoku/>
        <w:wordWrap w:val="0"/>
        <w:overflowPunct/>
        <w:topLinePunct w:val="0"/>
        <w:autoSpaceDE/>
        <w:autoSpaceDN/>
        <w:bidi w:val="0"/>
        <w:snapToGrid w:val="0"/>
        <w:textAlignment w:val="auto"/>
        <w:rPr>
          <w:rFonts w:hint="eastAsia" w:ascii="宋体" w:hAnsi="宋体" w:eastAsia="宋体" w:cs="宋体"/>
          <w:b/>
          <w:bCs/>
          <w:color w:val="000000" w:themeColor="text1"/>
          <w:spacing w:val="0"/>
          <w:szCs w:val="21"/>
          <w14:textFill>
            <w14:solidFill>
              <w14:schemeClr w14:val="tx1"/>
            </w14:solidFill>
          </w14:textFill>
        </w:rPr>
      </w:pPr>
    </w:p>
    <w:p w14:paraId="5BE19F44">
      <w:pPr>
        <w:keepLines/>
        <w:pageBreakBefore w:val="0"/>
        <w:widowControl/>
        <w:kinsoku/>
        <w:wordWrap w:val="0"/>
        <w:overflowPunct/>
        <w:topLinePunct w:val="0"/>
        <w:autoSpaceDE/>
        <w:autoSpaceDN/>
        <w:bidi w:val="0"/>
        <w:jc w:val="left"/>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br w:type="page"/>
      </w:r>
    </w:p>
    <w:p w14:paraId="669E8072">
      <w:pPr>
        <w:keepLines/>
        <w:pageBreakBefore w:val="0"/>
        <w:kinsoku/>
        <w:wordWrap w:val="0"/>
        <w:overflowPunct/>
        <w:topLinePunct w:val="0"/>
        <w:autoSpaceDE/>
        <w:autoSpaceDN/>
        <w:bidi w:val="0"/>
        <w:snapToGrid w:val="0"/>
        <w:spacing w:line="360" w:lineRule="auto"/>
        <w:jc w:val="center"/>
        <w:textAlignment w:val="auto"/>
        <w:rPr>
          <w:rFonts w:hint="eastAsia" w:ascii="宋体" w:hAnsi="宋体" w:eastAsia="宋体" w:cs="宋体"/>
          <w:b/>
          <w:bCs/>
          <w:color w:val="000000" w:themeColor="text1"/>
          <w:spacing w:val="0"/>
          <w:sz w:val="32"/>
          <w:szCs w:val="32"/>
          <w14:textFill>
            <w14:solidFill>
              <w14:schemeClr w14:val="tx1"/>
            </w14:solidFill>
          </w14:textFill>
        </w:rPr>
      </w:pPr>
      <w:r>
        <w:rPr>
          <w:rFonts w:hint="eastAsia" w:ascii="宋体" w:hAnsi="宋体" w:eastAsia="宋体" w:cs="宋体"/>
          <w:b/>
          <w:bCs/>
          <w:color w:val="000000" w:themeColor="text1"/>
          <w:spacing w:val="0"/>
          <w:sz w:val="32"/>
          <w:szCs w:val="32"/>
          <w14:textFill>
            <w14:solidFill>
              <w14:schemeClr w14:val="tx1"/>
            </w14:solidFill>
          </w14:textFill>
        </w:rPr>
        <w:t>法定代表人（负责人）授权委托书</w:t>
      </w:r>
      <w:r>
        <w:rPr>
          <w:rFonts w:hint="eastAsia" w:ascii="宋体" w:hAnsi="宋体" w:eastAsia="宋体" w:cs="宋体"/>
          <w:b/>
          <w:bCs/>
          <w:color w:val="000000" w:themeColor="text1"/>
          <w:spacing w:val="0"/>
          <w:sz w:val="32"/>
          <w:szCs w:val="32"/>
          <w:lang w:eastAsia="zh-CN"/>
          <w14:textFill>
            <w14:solidFill>
              <w14:schemeClr w14:val="tx1"/>
            </w14:solidFill>
          </w14:textFill>
        </w:rPr>
        <w:t>（</w:t>
      </w:r>
      <w:r>
        <w:rPr>
          <w:rFonts w:hint="eastAsia" w:ascii="宋体" w:hAnsi="宋体" w:eastAsia="宋体" w:cs="宋体"/>
          <w:b/>
          <w:color w:val="000000" w:themeColor="text1"/>
          <w:spacing w:val="0"/>
          <w:sz w:val="32"/>
          <w:szCs w:val="32"/>
          <w14:textFill>
            <w14:solidFill>
              <w14:schemeClr w14:val="tx1"/>
            </w14:solidFill>
          </w14:textFill>
        </w:rPr>
        <w:t>格式</w:t>
      </w:r>
      <w:r>
        <w:rPr>
          <w:rFonts w:hint="eastAsia" w:ascii="宋体" w:hAnsi="宋体" w:eastAsia="宋体" w:cs="宋体"/>
          <w:b/>
          <w:color w:val="000000" w:themeColor="text1"/>
          <w:spacing w:val="0"/>
          <w:sz w:val="32"/>
          <w:szCs w:val="32"/>
          <w:lang w:eastAsia="zh-CN"/>
          <w14:textFill>
            <w14:solidFill>
              <w14:schemeClr w14:val="tx1"/>
            </w14:solidFill>
          </w14:textFill>
        </w:rPr>
        <w:t>）</w:t>
      </w:r>
    </w:p>
    <w:p w14:paraId="0DA60CF4">
      <w:pPr>
        <w:keepLines/>
        <w:pageBreakBefore w:val="0"/>
        <w:kinsoku/>
        <w:wordWrap w:val="0"/>
        <w:overflowPunct/>
        <w:topLinePunct w:val="0"/>
        <w:autoSpaceDE/>
        <w:autoSpaceDN/>
        <w:bidi w:val="0"/>
        <w:snapToGrid w:val="0"/>
        <w:spacing w:line="360" w:lineRule="auto"/>
        <w:ind w:left="480" w:hanging="482" w:hangingChars="200"/>
        <w:jc w:val="center"/>
        <w:textAlignment w:val="auto"/>
        <w:rPr>
          <w:rFonts w:hint="eastAsia" w:ascii="宋体" w:hAnsi="宋体" w:eastAsia="宋体" w:cs="宋体"/>
          <w:b/>
          <w:bCs/>
          <w:color w:val="000000" w:themeColor="text1"/>
          <w:spacing w:val="0"/>
          <w:sz w:val="24"/>
          <w:szCs w:val="24"/>
          <w14:textFill>
            <w14:solidFill>
              <w14:schemeClr w14:val="tx1"/>
            </w14:solidFill>
          </w14:textFill>
        </w:rPr>
      </w:pPr>
    </w:p>
    <w:p w14:paraId="07BA827D">
      <w:pPr>
        <w:keepLines/>
        <w:pageBreakBefore w:val="0"/>
        <w:kinsoku/>
        <w:wordWrap w:val="0"/>
        <w:overflowPunct/>
        <w:topLinePunct w:val="0"/>
        <w:autoSpaceDE/>
        <w:autoSpaceDN/>
        <w:bidi w:val="0"/>
        <w:snapToGrid w:val="0"/>
        <w:spacing w:line="360" w:lineRule="auto"/>
        <w:ind w:left="480" w:hanging="482" w:hangingChars="200"/>
        <w:jc w:val="center"/>
        <w:textAlignment w:val="auto"/>
        <w:rPr>
          <w:rFonts w:hint="eastAsia" w:ascii="宋体" w:hAnsi="宋体" w:eastAsia="宋体" w:cs="宋体"/>
          <w:b/>
          <w:bCs/>
          <w:color w:val="000000" w:themeColor="text1"/>
          <w:spacing w:val="0"/>
          <w:sz w:val="24"/>
          <w:szCs w:val="24"/>
          <w14:textFill>
            <w14:solidFill>
              <w14:schemeClr w14:val="tx1"/>
            </w14:solidFill>
          </w14:textFill>
        </w:rPr>
      </w:pPr>
      <w:r>
        <w:rPr>
          <w:rFonts w:hint="eastAsia" w:ascii="宋体" w:hAnsi="宋体" w:eastAsia="宋体" w:cs="宋体"/>
          <w:b/>
          <w:bCs/>
          <w:color w:val="000000" w:themeColor="text1"/>
          <w:spacing w:val="0"/>
          <w:sz w:val="24"/>
          <w:szCs w:val="24"/>
          <w14:textFill>
            <w14:solidFill>
              <w14:schemeClr w14:val="tx1"/>
            </w14:solidFill>
          </w14:textFill>
        </w:rPr>
        <w:t xml:space="preserve">法定代表人（负责人）授权委托书   </w:t>
      </w:r>
    </w:p>
    <w:p w14:paraId="6D0E9BE6">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p>
    <w:p w14:paraId="01DDB5C4">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本授权委托书声明：注册于</w:t>
      </w:r>
      <w:r>
        <w:rPr>
          <w:rFonts w:hint="eastAsia" w:ascii="宋体" w:hAnsi="宋体" w:eastAsia="宋体" w:cs="宋体"/>
          <w:color w:val="000000" w:themeColor="text1"/>
          <w:spacing w:val="0"/>
          <w:sz w:val="24"/>
          <w:szCs w:val="24"/>
          <w:u w:val="single"/>
          <w14:textFill>
            <w14:solidFill>
              <w14:schemeClr w14:val="tx1"/>
            </w14:solidFill>
          </w14:textFill>
        </w:rPr>
        <w:t xml:space="preserve">             （磋商供应商住址）</w:t>
      </w:r>
      <w:r>
        <w:rPr>
          <w:rFonts w:hint="eastAsia" w:ascii="宋体" w:hAnsi="宋体" w:eastAsia="宋体" w:cs="宋体"/>
          <w:color w:val="000000" w:themeColor="text1"/>
          <w:spacing w:val="0"/>
          <w:sz w:val="24"/>
          <w:szCs w:val="24"/>
          <w14:textFill>
            <w14:solidFill>
              <w14:schemeClr w14:val="tx1"/>
            </w14:solidFill>
          </w14:textFill>
        </w:rPr>
        <w:t xml:space="preserve">的 </w:t>
      </w:r>
      <w:r>
        <w:rPr>
          <w:rFonts w:hint="eastAsia" w:ascii="宋体" w:hAnsi="宋体" w:eastAsia="宋体" w:cs="宋体"/>
          <w:color w:val="000000" w:themeColor="text1"/>
          <w:spacing w:val="0"/>
          <w:sz w:val="24"/>
          <w:szCs w:val="24"/>
          <w:u w:val="single"/>
          <w14:textFill>
            <w14:solidFill>
              <w14:schemeClr w14:val="tx1"/>
            </w14:solidFill>
          </w14:textFill>
        </w:rPr>
        <w:t xml:space="preserve">              （磋商供应商名称）</w:t>
      </w:r>
      <w:r>
        <w:rPr>
          <w:rFonts w:hint="eastAsia" w:ascii="宋体" w:hAnsi="宋体" w:eastAsia="宋体" w:cs="宋体"/>
          <w:color w:val="000000" w:themeColor="text1"/>
          <w:spacing w:val="0"/>
          <w:sz w:val="24"/>
          <w:szCs w:val="24"/>
          <w14:textFill>
            <w14:solidFill>
              <w14:schemeClr w14:val="tx1"/>
            </w14:solidFill>
          </w14:textFill>
        </w:rPr>
        <w:t>法定代表人</w:t>
      </w:r>
      <w:r>
        <w:rPr>
          <w:rFonts w:hint="eastAsia" w:ascii="宋体" w:hAnsi="宋体" w:eastAsia="宋体" w:cs="宋体"/>
          <w:color w:val="000000" w:themeColor="text1"/>
          <w:spacing w:val="0"/>
          <w:sz w:val="24"/>
          <w:szCs w:val="24"/>
          <w:u w:val="single"/>
          <w14:textFill>
            <w14:solidFill>
              <w14:schemeClr w14:val="tx1"/>
            </w14:solidFill>
          </w14:textFill>
        </w:rPr>
        <w:t xml:space="preserve">            （法定代表人姓名、职务、身份证号）</w:t>
      </w:r>
      <w:r>
        <w:rPr>
          <w:rFonts w:hint="eastAsia" w:ascii="宋体" w:hAnsi="宋体" w:eastAsia="宋体" w:cs="宋体"/>
          <w:color w:val="000000" w:themeColor="text1"/>
          <w:spacing w:val="0"/>
          <w:sz w:val="24"/>
          <w:szCs w:val="24"/>
          <w14:textFill>
            <w14:solidFill>
              <w14:schemeClr w14:val="tx1"/>
            </w14:solidFill>
          </w14:textFill>
        </w:rPr>
        <w:t>代表本公司授权</w:t>
      </w:r>
      <w:r>
        <w:rPr>
          <w:rFonts w:hint="eastAsia" w:ascii="宋体" w:hAnsi="宋体" w:eastAsia="宋体" w:cs="宋体"/>
          <w:color w:val="000000" w:themeColor="text1"/>
          <w:spacing w:val="0"/>
          <w:sz w:val="24"/>
          <w:szCs w:val="24"/>
          <w:u w:val="single"/>
          <w14:textFill>
            <w14:solidFill>
              <w14:schemeClr w14:val="tx1"/>
            </w14:solidFill>
          </w14:textFill>
        </w:rPr>
        <w:t xml:space="preserve">          （磋商供应商代表姓名、职务、身份证号）</w:t>
      </w:r>
      <w:r>
        <w:rPr>
          <w:rFonts w:hint="eastAsia" w:ascii="宋体" w:hAnsi="宋体" w:eastAsia="宋体" w:cs="宋体"/>
          <w:color w:val="000000" w:themeColor="text1"/>
          <w:spacing w:val="0"/>
          <w:sz w:val="24"/>
          <w:szCs w:val="24"/>
          <w14:textFill>
            <w14:solidFill>
              <w14:schemeClr w14:val="tx1"/>
            </w14:solidFill>
          </w14:textFill>
        </w:rPr>
        <w:t>为本公司的合法代理人，就贵方组织的</w:t>
      </w:r>
      <w:r>
        <w:rPr>
          <w:rFonts w:hint="eastAsia" w:ascii="宋体" w:hAnsi="宋体" w:eastAsia="宋体" w:cs="宋体"/>
          <w:b/>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项目，项目编号：</w:t>
      </w:r>
      <w:r>
        <w:rPr>
          <w:rFonts w:hint="eastAsia" w:ascii="宋体" w:hAnsi="宋体" w:eastAsia="宋体" w:cs="宋体"/>
          <w:b/>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，以本公司名义处理一切与之有关的事务。</w:t>
      </w:r>
    </w:p>
    <w:p w14:paraId="5754ED5A">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本授权书于    年  月  日生效，特此声明。</w:t>
      </w:r>
    </w:p>
    <w:p w14:paraId="63A1C48D">
      <w:pPr>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磋商供应商：</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（电子签章）</w:t>
      </w:r>
    </w:p>
    <w:p w14:paraId="6C6D0F49">
      <w:pPr>
        <w:keepLines/>
        <w:pageBreakBefore w:val="0"/>
        <w:kinsoku/>
        <w:wordWrap w:val="0"/>
        <w:overflowPunct/>
        <w:topLinePunct w:val="0"/>
        <w:autoSpaceDE/>
        <w:autoSpaceDN/>
        <w:bidi w:val="0"/>
        <w:snapToGrid w:val="0"/>
        <w:spacing w:line="360" w:lineRule="auto"/>
        <w:ind w:firstLine="480"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法定代表人（负责人）：</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（法定代表人电子签章）</w:t>
      </w:r>
    </w:p>
    <w:p w14:paraId="34B462C2">
      <w:pPr>
        <w:keepLines/>
        <w:pageBreakBefore w:val="0"/>
        <w:kinsoku/>
        <w:wordWrap w:val="0"/>
        <w:overflowPunct/>
        <w:topLinePunct w:val="0"/>
        <w:autoSpaceDE/>
        <w:autoSpaceDN/>
        <w:bidi w:val="0"/>
        <w:snapToGrid w:val="0"/>
        <w:spacing w:line="360" w:lineRule="auto"/>
        <w:jc w:val="righ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lang w:val="en-US" w:eastAsia="zh-CN"/>
          <w14:textFill>
            <w14:solidFill>
              <w14:schemeClr w14:val="tx1"/>
            </w14:solidFill>
          </w14:textFill>
        </w:rPr>
        <w:t xml:space="preserve">               </w:t>
      </w:r>
      <w:r>
        <w:rPr>
          <w:rFonts w:hint="eastAsia" w:ascii="宋体" w:hAnsi="宋体" w:eastAsia="宋体" w:cs="宋体"/>
          <w:color w:val="000000" w:themeColor="text1"/>
          <w:spacing w:val="0"/>
          <w:sz w:val="24"/>
          <w14:textFill>
            <w14:solidFill>
              <w14:schemeClr w14:val="tx1"/>
            </w14:solidFill>
          </w14:textFill>
        </w:rPr>
        <w:t>代理人：</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14:textFill>
            <w14:solidFill>
              <w14:schemeClr w14:val="tx1"/>
            </w14:solidFill>
          </w14:textFill>
        </w:rPr>
        <w:t>（</w:t>
      </w:r>
      <w:r>
        <w:rPr>
          <w:rFonts w:hint="eastAsia" w:ascii="宋体" w:hAnsi="宋体" w:eastAsia="宋体" w:cs="宋体"/>
          <w:b w:val="0"/>
          <w:bCs/>
          <w:color w:val="000000" w:themeColor="text1"/>
          <w:spacing w:val="0"/>
          <w:sz w:val="24"/>
          <w14:textFill>
            <w14:solidFill>
              <w14:schemeClr w14:val="tx1"/>
            </w14:solidFill>
          </w14:textFill>
        </w:rPr>
        <w:t>代理人签</w:t>
      </w:r>
      <w:r>
        <w:rPr>
          <w:rFonts w:hint="eastAsia" w:ascii="宋体" w:hAnsi="宋体" w:eastAsia="宋体" w:cs="宋体"/>
          <w:b w:val="0"/>
          <w:bCs/>
          <w:color w:val="000000" w:themeColor="text1"/>
          <w:spacing w:val="0"/>
          <w:sz w:val="24"/>
          <w:lang w:val="en-US" w:eastAsia="zh-CN"/>
          <w14:textFill>
            <w14:solidFill>
              <w14:schemeClr w14:val="tx1"/>
            </w14:solidFill>
          </w14:textFill>
        </w:rPr>
        <w:t>字或盖</w:t>
      </w:r>
      <w:r>
        <w:rPr>
          <w:rFonts w:hint="eastAsia" w:ascii="宋体" w:hAnsi="宋体" w:eastAsia="宋体" w:cs="宋体"/>
          <w:b w:val="0"/>
          <w:bCs/>
          <w:color w:val="000000" w:themeColor="text1"/>
          <w:spacing w:val="0"/>
          <w:sz w:val="24"/>
          <w14:textFill>
            <w14:solidFill>
              <w14:schemeClr w14:val="tx1"/>
            </w14:solidFill>
          </w14:textFill>
        </w:rPr>
        <w:t>章</w:t>
      </w:r>
      <w:r>
        <w:rPr>
          <w:rFonts w:hint="eastAsia" w:ascii="宋体" w:hAnsi="宋体" w:eastAsia="宋体" w:cs="宋体"/>
          <w:color w:val="000000" w:themeColor="text1"/>
          <w:spacing w:val="0"/>
          <w:sz w:val="24"/>
          <w14:textFill>
            <w14:solidFill>
              <w14:schemeClr w14:val="tx1"/>
            </w14:solidFill>
          </w14:textFill>
        </w:rPr>
        <w:t>）</w:t>
      </w:r>
      <w:r>
        <w:rPr>
          <w:rFonts w:hint="eastAsia" w:ascii="宋体" w:hAnsi="宋体" w:eastAsia="宋体" w:cs="宋体"/>
          <w:color w:val="000000" w:themeColor="text1"/>
          <w:spacing w:val="0"/>
          <w:sz w:val="24"/>
          <w:szCs w:val="24"/>
          <w14:textFill>
            <w14:solidFill>
              <w14:schemeClr w14:val="tx1"/>
            </w14:solidFill>
          </w14:textFill>
        </w:rPr>
        <w:t xml:space="preserve">                        </w:t>
      </w:r>
    </w:p>
    <w:p w14:paraId="1E0AF0C2">
      <w:pPr>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年  月  日</w:t>
      </w:r>
    </w:p>
    <w:p w14:paraId="2E7E4711">
      <w:pPr>
        <w:keepLines/>
        <w:pageBreakBefore w:val="0"/>
        <w:kinsoku/>
        <w:wordWrap w:val="0"/>
        <w:overflowPunct/>
        <w:topLinePunct w:val="0"/>
        <w:autoSpaceDE/>
        <w:autoSpaceDN/>
        <w:bidi w:val="0"/>
        <w:spacing w:line="360" w:lineRule="auto"/>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附磋商供应商代表有效的身份证正反两面扫描件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035C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4643" w:type="dxa"/>
          </w:tcPr>
          <w:p w14:paraId="2516E961">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Cs w:val="21"/>
                <w14:textFill>
                  <w14:solidFill>
                    <w14:schemeClr w14:val="tx1"/>
                  </w14:solidFill>
                </w14:textFill>
              </w:rPr>
            </w:pPr>
          </w:p>
        </w:tc>
        <w:tc>
          <w:tcPr>
            <w:tcW w:w="4643" w:type="dxa"/>
          </w:tcPr>
          <w:p w14:paraId="14D620AB">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Cs w:val="21"/>
                <w14:textFill>
                  <w14:solidFill>
                    <w14:schemeClr w14:val="tx1"/>
                  </w14:solidFill>
                </w14:textFill>
              </w:rPr>
            </w:pPr>
          </w:p>
        </w:tc>
      </w:tr>
    </w:tbl>
    <w:p w14:paraId="2AC98F24">
      <w:pPr>
        <w:keepLines/>
        <w:pageBreakBefore w:val="0"/>
        <w:kinsoku/>
        <w:wordWrap w:val="0"/>
        <w:overflowPunct/>
        <w:topLinePunct w:val="0"/>
        <w:autoSpaceDE/>
        <w:autoSpaceDN/>
        <w:bidi w:val="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br w:type="page"/>
      </w:r>
    </w:p>
    <w:p w14:paraId="0B093042">
      <w:pPr>
        <w:keepLines/>
        <w:pageBreakBefore w:val="0"/>
        <w:numPr>
          <w:ilvl w:val="0"/>
          <w:numId w:val="0"/>
        </w:numPr>
        <w:kinsoku/>
        <w:wordWrap w:val="0"/>
        <w:overflowPunct/>
        <w:bidi w:val="0"/>
        <w:spacing w:line="360" w:lineRule="auto"/>
        <w:jc w:val="center"/>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r>
        <w:rPr>
          <w:rFonts w:hint="eastAsia" w:ascii="宋体" w:hAnsi="宋体" w:eastAsia="宋体" w:cs="宋体"/>
          <w:b/>
          <w:bCs w:val="0"/>
          <w:color w:val="000000" w:themeColor="text1"/>
          <w:sz w:val="32"/>
          <w:szCs w:val="32"/>
          <w:lang w:val="en-US" w:eastAsia="zh-CN"/>
          <w14:textFill>
            <w14:solidFill>
              <w14:schemeClr w14:val="tx1"/>
            </w14:solidFill>
          </w14:textFill>
        </w:rPr>
        <w:t>2、具有独立承担民事责任的能力</w:t>
      </w:r>
    </w:p>
    <w:p w14:paraId="440943D3">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p>
    <w:p w14:paraId="45C09FCE">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r>
        <w:rPr>
          <w:rFonts w:hint="eastAsia" w:ascii="宋体" w:hAnsi="宋体" w:eastAsia="宋体" w:cs="宋体"/>
          <w:b w:val="0"/>
          <w:bCs/>
          <w:color w:val="000000" w:themeColor="text1"/>
          <w:spacing w:val="0"/>
          <w:sz w:val="28"/>
          <w:szCs w:val="28"/>
          <w14:textFill>
            <w14:solidFill>
              <w14:schemeClr w14:val="tx1"/>
            </w14:solidFill>
          </w14:textFill>
        </w:rPr>
        <w:t>供应商具有独立承担民事责任的能力信用承诺书</w:t>
      </w:r>
    </w:p>
    <w:p w14:paraId="4A5EE63D">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u w:val="single"/>
          <w14:textFill>
            <w14:solidFill>
              <w14:schemeClr w14:val="tx1"/>
            </w14:solidFill>
          </w14:textFill>
        </w:rPr>
      </w:pPr>
    </w:p>
    <w:p w14:paraId="716860CE">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u w:val="single"/>
          <w14:textFill>
            <w14:solidFill>
              <w14:schemeClr w14:val="tx1"/>
            </w14:solidFill>
          </w14:textFill>
        </w:rPr>
      </w:pPr>
    </w:p>
    <w:p w14:paraId="5A2F2EC2">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(采购人名称)：</w:t>
      </w:r>
    </w:p>
    <w:p w14:paraId="3B316BD5">
      <w:pPr>
        <w:keepNext w:val="0"/>
        <w:keepLines/>
        <w:pageBreakBefore w:val="0"/>
        <w:widowControl w:val="0"/>
        <w:kinsoku/>
        <w:wordWrap w:val="0"/>
        <w:overflowPunct/>
        <w:topLinePunct w:val="0"/>
        <w:autoSpaceDE/>
        <w:autoSpaceDN/>
        <w:bidi w:val="0"/>
        <w:adjustRightInd/>
        <w:snapToGrid/>
        <w:spacing w:line="360" w:lineRule="auto"/>
        <w:ind w:firstLine="960" w:firstLineChars="4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 xml:space="preserve">本磋商供应商现参与 </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 xml:space="preserve"> 项目（项目编号：</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）的采购活动，现承诺具有独立承担民事责任的能力。</w:t>
      </w:r>
    </w:p>
    <w:p w14:paraId="5E5A5D5F">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如上述承诺不真实，愿意按照政府采购有关法律法规的规定接受处罚。</w:t>
      </w:r>
    </w:p>
    <w:p w14:paraId="78173054">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7AC5A111">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5671B8B2">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632298C6">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特此声明</w:t>
      </w:r>
    </w:p>
    <w:p w14:paraId="72A2A9A0">
      <w:pPr>
        <w:pStyle w:val="11"/>
        <w:keepLines/>
        <w:pageBreakBefore w:val="0"/>
        <w:kinsoku/>
        <w:wordWrap w:val="0"/>
        <w:overflowPunct/>
        <w:bidi w:val="0"/>
        <w:spacing w:line="257" w:lineRule="auto"/>
        <w:textAlignment w:val="auto"/>
        <w:rPr>
          <w:rFonts w:hint="eastAsia" w:ascii="宋体" w:hAnsi="宋体" w:eastAsia="宋体" w:cs="宋体"/>
          <w:color w:val="000000" w:themeColor="text1"/>
          <w14:textFill>
            <w14:solidFill>
              <w14:schemeClr w14:val="tx1"/>
            </w14:solidFill>
          </w14:textFill>
        </w:rPr>
      </w:pPr>
    </w:p>
    <w:p w14:paraId="6319B34F">
      <w:pPr>
        <w:pStyle w:val="11"/>
        <w:keepLines/>
        <w:pageBreakBefore w:val="0"/>
        <w:kinsoku/>
        <w:wordWrap w:val="0"/>
        <w:overflowPunct/>
        <w:bidi w:val="0"/>
        <w:spacing w:line="257" w:lineRule="auto"/>
        <w:textAlignment w:val="auto"/>
        <w:rPr>
          <w:rFonts w:hint="eastAsia" w:ascii="宋体" w:hAnsi="宋体" w:eastAsia="宋体" w:cs="宋体"/>
          <w:color w:val="000000" w:themeColor="text1"/>
          <w14:textFill>
            <w14:solidFill>
              <w14:schemeClr w14:val="tx1"/>
            </w14:solidFill>
          </w14:textFill>
        </w:rPr>
      </w:pPr>
    </w:p>
    <w:p w14:paraId="44879290">
      <w:pPr>
        <w:keepLines/>
        <w:pageBreakBefore w:val="0"/>
        <w:kinsoku/>
        <w:wordWrap w:val="0"/>
        <w:overflowPunct/>
        <w:bidi w:val="0"/>
        <w:spacing w:before="78" w:line="338" w:lineRule="auto"/>
        <w:ind w:left="362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磋商供应商</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5"/>
          <w:sz w:val="24"/>
          <w:szCs w:val="24"/>
          <w14:textFill>
            <w14:solidFill>
              <w14:schemeClr w14:val="tx1"/>
            </w14:solidFill>
          </w14:textFill>
        </w:rPr>
        <w:t>（</w:t>
      </w:r>
      <w:r>
        <w:rPr>
          <w:rFonts w:hint="eastAsia" w:ascii="宋体" w:hAnsi="宋体" w:eastAsia="宋体" w:cs="宋体"/>
          <w:color w:val="000000" w:themeColor="text1"/>
          <w:spacing w:val="2"/>
          <w:sz w:val="24"/>
          <w:szCs w:val="24"/>
          <w:lang w:eastAsia="zh-CN"/>
          <w14:textFill>
            <w14:solidFill>
              <w14:schemeClr w14:val="tx1"/>
            </w14:solidFill>
          </w14:textFill>
        </w:rPr>
        <w:t>电子签章</w:t>
      </w:r>
      <w:r>
        <w:rPr>
          <w:rFonts w:hint="eastAsia" w:ascii="宋体" w:hAnsi="宋体" w:eastAsia="宋体" w:cs="宋体"/>
          <w:color w:val="000000" w:themeColor="text1"/>
          <w:spacing w:val="2"/>
          <w:sz w:val="24"/>
          <w:szCs w:val="24"/>
          <w14:textFill>
            <w14:solidFill>
              <w14:schemeClr w14:val="tx1"/>
            </w14:solidFill>
          </w14:textFill>
        </w:rPr>
        <w:t>）</w:t>
      </w:r>
    </w:p>
    <w:p w14:paraId="24662FFF">
      <w:pPr>
        <w:keepLines/>
        <w:pageBreakBefore w:val="0"/>
        <w:kinsoku/>
        <w:wordWrap w:val="0"/>
        <w:overflowPunct/>
        <w:bidi w:val="0"/>
        <w:spacing w:before="1" w:line="219" w:lineRule="auto"/>
        <w:ind w:left="5664"/>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年</w:t>
      </w:r>
      <w:r>
        <w:rPr>
          <w:rFonts w:hint="eastAsia" w:ascii="宋体" w:hAnsi="宋体" w:eastAsia="宋体" w:cs="宋体"/>
          <w:color w:val="000000" w:themeColor="text1"/>
          <w:spacing w:val="7"/>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月</w:t>
      </w:r>
      <w:r>
        <w:rPr>
          <w:rFonts w:hint="eastAsia" w:ascii="宋体" w:hAnsi="宋体" w:eastAsia="宋体" w:cs="宋体"/>
          <w:color w:val="000000" w:themeColor="text1"/>
          <w:spacing w:val="26"/>
          <w:sz w:val="24"/>
          <w:szCs w:val="24"/>
          <w14:textFill>
            <w14:solidFill>
              <w14:schemeClr w14:val="tx1"/>
            </w14:solidFill>
          </w14:textFill>
        </w:rPr>
        <w:t xml:space="preserve">  </w:t>
      </w:r>
      <w:r>
        <w:rPr>
          <w:rFonts w:hint="eastAsia" w:ascii="宋体" w:hAnsi="宋体" w:eastAsia="宋体" w:cs="宋体"/>
          <w:color w:val="000000" w:themeColor="text1"/>
          <w:spacing w:val="-9"/>
          <w:sz w:val="24"/>
          <w:szCs w:val="24"/>
          <w14:textFill>
            <w14:solidFill>
              <w14:schemeClr w14:val="tx1"/>
            </w14:solidFill>
          </w14:textFill>
        </w:rPr>
        <w:t>日</w:t>
      </w:r>
    </w:p>
    <w:p w14:paraId="7B9A8D91">
      <w:pPr>
        <w:pStyle w:val="11"/>
        <w:keepLines/>
        <w:pageBreakBefore w:val="0"/>
        <w:kinsoku/>
        <w:wordWrap w:val="0"/>
        <w:overflowPunct/>
        <w:bidi w:val="0"/>
        <w:spacing w:line="248" w:lineRule="auto"/>
        <w:textAlignment w:val="auto"/>
        <w:rPr>
          <w:rFonts w:hint="eastAsia" w:ascii="宋体" w:hAnsi="宋体" w:eastAsia="宋体" w:cs="宋体"/>
          <w:color w:val="000000" w:themeColor="text1"/>
          <w14:textFill>
            <w14:solidFill>
              <w14:schemeClr w14:val="tx1"/>
            </w14:solidFill>
          </w14:textFill>
        </w:rPr>
      </w:pPr>
    </w:p>
    <w:p w14:paraId="59BB3F47">
      <w:pPr>
        <w:pStyle w:val="11"/>
        <w:keepLines/>
        <w:pageBreakBefore w:val="0"/>
        <w:kinsoku/>
        <w:wordWrap w:val="0"/>
        <w:overflowPunct/>
        <w:bidi w:val="0"/>
        <w:spacing w:line="248" w:lineRule="auto"/>
        <w:textAlignment w:val="auto"/>
        <w:rPr>
          <w:rFonts w:hint="eastAsia" w:ascii="宋体" w:hAnsi="宋体" w:eastAsia="宋体" w:cs="宋体"/>
          <w:color w:val="000000" w:themeColor="text1"/>
          <w14:textFill>
            <w14:solidFill>
              <w14:schemeClr w14:val="tx1"/>
            </w14:solidFill>
          </w14:textFill>
        </w:rPr>
      </w:pPr>
    </w:p>
    <w:p w14:paraId="48F156BD">
      <w:pPr>
        <w:pStyle w:val="11"/>
        <w:keepLines/>
        <w:pageBreakBefore w:val="0"/>
        <w:kinsoku/>
        <w:wordWrap w:val="0"/>
        <w:overflowPunct/>
        <w:bidi w:val="0"/>
        <w:spacing w:line="248" w:lineRule="auto"/>
        <w:textAlignment w:val="auto"/>
        <w:rPr>
          <w:rFonts w:hint="eastAsia" w:ascii="宋体" w:hAnsi="宋体" w:eastAsia="宋体" w:cs="宋体"/>
          <w:color w:val="000000" w:themeColor="text1"/>
          <w14:textFill>
            <w14:solidFill>
              <w14:schemeClr w14:val="tx1"/>
            </w14:solidFill>
          </w14:textFill>
        </w:rPr>
      </w:pPr>
    </w:p>
    <w:p w14:paraId="64583B94">
      <w:pPr>
        <w:pStyle w:val="11"/>
        <w:keepLines/>
        <w:pageBreakBefore w:val="0"/>
        <w:kinsoku/>
        <w:wordWrap w:val="0"/>
        <w:overflowPunct/>
        <w:bidi w:val="0"/>
        <w:spacing w:line="249" w:lineRule="auto"/>
        <w:textAlignment w:val="auto"/>
        <w:rPr>
          <w:rFonts w:hint="eastAsia" w:ascii="宋体" w:hAnsi="宋体" w:eastAsia="宋体" w:cs="宋体"/>
          <w:color w:val="000000" w:themeColor="text1"/>
          <w14:textFill>
            <w14:solidFill>
              <w14:schemeClr w14:val="tx1"/>
            </w14:solidFill>
          </w14:textFill>
        </w:rPr>
      </w:pPr>
    </w:p>
    <w:p w14:paraId="7460AFC0">
      <w:pPr>
        <w:pStyle w:val="11"/>
        <w:keepLines/>
        <w:pageBreakBefore w:val="0"/>
        <w:kinsoku/>
        <w:wordWrap w:val="0"/>
        <w:overflowPunct/>
        <w:bidi w:val="0"/>
        <w:spacing w:line="249" w:lineRule="auto"/>
        <w:textAlignment w:val="auto"/>
        <w:rPr>
          <w:rFonts w:hint="eastAsia" w:ascii="宋体" w:hAnsi="宋体" w:eastAsia="宋体" w:cs="宋体"/>
          <w:color w:val="000000" w:themeColor="text1"/>
          <w14:textFill>
            <w14:solidFill>
              <w14:schemeClr w14:val="tx1"/>
            </w14:solidFill>
          </w14:textFill>
        </w:rPr>
      </w:pPr>
    </w:p>
    <w:p w14:paraId="64F337DE">
      <w:pPr>
        <w:keepLines/>
        <w:pageBreakBefore w:val="0"/>
        <w:kinsoku/>
        <w:wordWrap w:val="0"/>
        <w:overflowPunct/>
        <w:bidi w:val="0"/>
        <w:spacing w:line="219" w:lineRule="auto"/>
        <w:textAlignment w:val="auto"/>
        <w:rPr>
          <w:rFonts w:hint="eastAsia" w:ascii="宋体" w:hAnsi="宋体" w:eastAsia="宋体" w:cs="宋体"/>
          <w:color w:val="000000" w:themeColor="text1"/>
          <w:sz w:val="24"/>
          <w:szCs w:val="24"/>
          <w14:textFill>
            <w14:solidFill>
              <w14:schemeClr w14:val="tx1"/>
            </w14:solidFill>
          </w14:textFill>
        </w:rPr>
        <w:sectPr>
          <w:footerReference r:id="rId5" w:type="default"/>
          <w:pgSz w:w="11906" w:h="16839"/>
          <w:pgMar w:top="1429" w:right="1667" w:bottom="1151" w:left="1565" w:header="0" w:footer="986" w:gutter="0"/>
          <w:pgNumType w:fmt="decimal" w:start="1"/>
          <w:cols w:space="0" w:num="1"/>
          <w:rtlGutter w:val="0"/>
          <w:docGrid w:linePitch="0" w:charSpace="0"/>
        </w:sectPr>
      </w:pPr>
    </w:p>
    <w:p w14:paraId="75B5EB61">
      <w:pPr>
        <w:keepLines/>
        <w:pageBreakBefore w:val="0"/>
        <w:kinsoku/>
        <w:wordWrap w:val="0"/>
        <w:overflowPunct/>
        <w:bidi w:val="0"/>
        <w:spacing w:line="360" w:lineRule="auto"/>
        <w:ind w:firstLine="64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bCs w:val="0"/>
          <w:color w:val="000000" w:themeColor="text1"/>
          <w:sz w:val="32"/>
          <w:szCs w:val="32"/>
          <w:lang w:val="en-US" w:eastAsia="zh-CN"/>
          <w14:textFill>
            <w14:solidFill>
              <w14:schemeClr w14:val="tx1"/>
            </w14:solidFill>
          </w14:textFill>
        </w:rPr>
        <w:t>3、具有良好的商业信誉和健全的财务会计制度</w:t>
      </w:r>
    </w:p>
    <w:p w14:paraId="690ADE6E">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32"/>
          <w:szCs w:val="32"/>
          <w14:textFill>
            <w14:solidFill>
              <w14:schemeClr w14:val="tx1"/>
            </w14:solidFill>
          </w14:textFill>
        </w:rPr>
      </w:pPr>
    </w:p>
    <w:p w14:paraId="74405650">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32"/>
          <w:szCs w:val="32"/>
          <w14:textFill>
            <w14:solidFill>
              <w14:schemeClr w14:val="tx1"/>
            </w14:solidFill>
          </w14:textFill>
        </w:rPr>
      </w:pPr>
      <w:r>
        <w:rPr>
          <w:rFonts w:hint="eastAsia" w:ascii="宋体" w:hAnsi="宋体" w:eastAsia="宋体" w:cs="宋体"/>
          <w:b w:val="0"/>
          <w:bCs/>
          <w:color w:val="000000" w:themeColor="text1"/>
          <w:spacing w:val="0"/>
          <w:sz w:val="28"/>
          <w:szCs w:val="28"/>
          <w14:textFill>
            <w14:solidFill>
              <w14:schemeClr w14:val="tx1"/>
            </w14:solidFill>
          </w14:textFill>
        </w:rPr>
        <w:t>供应商具有良好的商业信誉和健全的财务会计制度信用承诺书</w:t>
      </w:r>
    </w:p>
    <w:p w14:paraId="3E72F66E">
      <w:pPr>
        <w:pStyle w:val="11"/>
        <w:keepLines/>
        <w:pageBreakBefore w:val="0"/>
        <w:kinsoku/>
        <w:wordWrap w:val="0"/>
        <w:overflowPunct/>
        <w:bidi w:val="0"/>
        <w:spacing w:line="255" w:lineRule="auto"/>
        <w:textAlignment w:val="auto"/>
        <w:rPr>
          <w:rFonts w:hint="eastAsia" w:ascii="宋体" w:hAnsi="宋体" w:eastAsia="宋体" w:cs="宋体"/>
          <w:color w:val="000000" w:themeColor="text1"/>
          <w14:textFill>
            <w14:solidFill>
              <w14:schemeClr w14:val="tx1"/>
            </w14:solidFill>
          </w14:textFill>
        </w:rPr>
      </w:pPr>
    </w:p>
    <w:p w14:paraId="28FD8F37">
      <w:pPr>
        <w:pStyle w:val="11"/>
        <w:keepLines/>
        <w:pageBreakBefore w:val="0"/>
        <w:kinsoku/>
        <w:wordWrap w:val="0"/>
        <w:overflowPunct/>
        <w:bidi w:val="0"/>
        <w:spacing w:line="255" w:lineRule="auto"/>
        <w:textAlignment w:val="auto"/>
        <w:rPr>
          <w:rFonts w:hint="eastAsia" w:ascii="宋体" w:hAnsi="宋体" w:eastAsia="宋体" w:cs="宋体"/>
          <w:color w:val="000000" w:themeColor="text1"/>
          <w14:textFill>
            <w14:solidFill>
              <w14:schemeClr w14:val="tx1"/>
            </w14:solidFill>
          </w14:textFill>
        </w:rPr>
      </w:pPr>
    </w:p>
    <w:p w14:paraId="374D7F24">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(采购人名称)：</w:t>
      </w:r>
    </w:p>
    <w:p w14:paraId="0A61FB9F">
      <w:pPr>
        <w:pStyle w:val="11"/>
        <w:keepLines/>
        <w:pageBreakBefore w:val="0"/>
        <w:kinsoku/>
        <w:wordWrap w:val="0"/>
        <w:overflowPunct/>
        <w:bidi w:val="0"/>
        <w:spacing w:line="246" w:lineRule="auto"/>
        <w:textAlignment w:val="auto"/>
        <w:rPr>
          <w:rFonts w:hint="eastAsia" w:ascii="宋体" w:hAnsi="宋体" w:eastAsia="宋体" w:cs="宋体"/>
          <w:color w:val="000000" w:themeColor="text1"/>
          <w14:textFill>
            <w14:solidFill>
              <w14:schemeClr w14:val="tx1"/>
            </w14:solidFill>
          </w14:textFill>
        </w:rPr>
      </w:pPr>
    </w:p>
    <w:p w14:paraId="7DD8A62C">
      <w:pPr>
        <w:keepNext w:val="0"/>
        <w:keepLines/>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1"/>
          <w:sz w:val="24"/>
          <w:szCs w:val="24"/>
          <w14:textFill>
            <w14:solidFill>
              <w14:schemeClr w14:val="tx1"/>
            </w14:solidFill>
          </w14:textFill>
        </w:rPr>
        <w:t>本</w:t>
      </w:r>
      <w:r>
        <w:rPr>
          <w:rFonts w:hint="eastAsia" w:ascii="宋体" w:hAnsi="宋体" w:eastAsia="宋体" w:cs="宋体"/>
          <w:color w:val="000000" w:themeColor="text1"/>
          <w:spacing w:val="-1"/>
          <w:sz w:val="24"/>
          <w:szCs w:val="24"/>
          <w:lang w:val="en-US" w:eastAsia="zh-CN"/>
          <w14:textFill>
            <w14:solidFill>
              <w14:schemeClr w14:val="tx1"/>
            </w14:solidFill>
          </w14:textFill>
        </w:rPr>
        <w:t>磋商</w:t>
      </w:r>
      <w:r>
        <w:rPr>
          <w:rFonts w:hint="eastAsia" w:ascii="宋体" w:hAnsi="宋体" w:eastAsia="宋体" w:cs="宋体"/>
          <w:color w:val="000000" w:themeColor="text1"/>
          <w:spacing w:val="-1"/>
          <w:sz w:val="24"/>
          <w:szCs w:val="24"/>
          <w14:textFill>
            <w14:solidFill>
              <w14:schemeClr w14:val="tx1"/>
            </w14:solidFill>
          </w14:textFill>
        </w:rPr>
        <w:t>供应商现参与</w:t>
      </w:r>
      <w:r>
        <w:rPr>
          <w:rFonts w:hint="eastAsia" w:ascii="宋体" w:hAnsi="宋体" w:eastAsia="宋体" w:cs="宋体"/>
          <w:color w:val="000000" w:themeColor="text1"/>
          <w:spacing w:val="-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106"/>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14:textFill>
            <w14:solidFill>
              <w14:schemeClr w14:val="tx1"/>
            </w14:solidFill>
          </w14:textFill>
        </w:rPr>
        <w:t>项目（项目</w:t>
      </w:r>
      <w:r>
        <w:rPr>
          <w:rFonts w:hint="eastAsia" w:ascii="宋体" w:hAnsi="宋体" w:eastAsia="宋体" w:cs="宋体"/>
          <w:color w:val="000000" w:themeColor="text1"/>
          <w:spacing w:val="-2"/>
          <w:sz w:val="24"/>
          <w:szCs w:val="24"/>
          <w14:textFill>
            <w14:solidFill>
              <w14:schemeClr w14:val="tx1"/>
            </w14:solidFill>
          </w14:textFill>
        </w:rPr>
        <w:t>编号：</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80"/>
          <w:sz w:val="24"/>
          <w:szCs w:val="24"/>
          <w14:textFill>
            <w14:solidFill>
              <w14:schemeClr w14:val="tx1"/>
            </w14:solidFill>
          </w14:textFill>
        </w:rPr>
        <w:t xml:space="preserve"> </w:t>
      </w:r>
      <w:r>
        <w:rPr>
          <w:rFonts w:hint="eastAsia" w:ascii="宋体" w:hAnsi="宋体" w:eastAsia="宋体" w:cs="宋体"/>
          <w:color w:val="000000" w:themeColor="text1"/>
          <w:spacing w:val="-2"/>
          <w:sz w:val="24"/>
          <w:szCs w:val="24"/>
          <w14:textFill>
            <w14:solidFill>
              <w14:schemeClr w14:val="tx1"/>
            </w14:solidFill>
          </w14:textFill>
        </w:rPr>
        <w:t>）的</w:t>
      </w:r>
      <w:r>
        <w:rPr>
          <w:rFonts w:hint="eastAsia" w:ascii="宋体" w:hAnsi="宋体" w:eastAsia="宋体" w:cs="宋体"/>
          <w:color w:val="000000" w:themeColor="text1"/>
          <w:spacing w:val="-3"/>
          <w:sz w:val="24"/>
          <w:szCs w:val="24"/>
          <w14:textFill>
            <w14:solidFill>
              <w14:schemeClr w14:val="tx1"/>
            </w14:solidFill>
          </w14:textFill>
        </w:rPr>
        <w:t>采购活动。</w:t>
      </w:r>
      <w:r>
        <w:rPr>
          <w:rFonts w:hint="eastAsia" w:ascii="宋体" w:hAnsi="宋体" w:eastAsia="宋体" w:cs="宋体"/>
          <w:b w:val="0"/>
          <w:bCs/>
          <w:color w:val="000000" w:themeColor="text1"/>
          <w:spacing w:val="0"/>
          <w:sz w:val="24"/>
          <w:szCs w:val="24"/>
          <w14:textFill>
            <w14:solidFill>
              <w14:schemeClr w14:val="tx1"/>
            </w14:solidFill>
          </w14:textFill>
        </w:rPr>
        <w:t>依据磋商文件相关规定，现郑重承诺：我公司具有良好的商业信誉和健全的财务会计制度的承诺函</w:t>
      </w:r>
      <w:bookmarkStart w:id="402" w:name="OLE_LINK18"/>
      <w:r>
        <w:rPr>
          <w:rFonts w:hint="eastAsia" w:ascii="宋体" w:hAnsi="宋体" w:eastAsia="宋体" w:cs="宋体"/>
          <w:b w:val="0"/>
          <w:bCs/>
          <w:color w:val="000000" w:themeColor="text1"/>
          <w:spacing w:val="0"/>
          <w:sz w:val="24"/>
          <w:szCs w:val="24"/>
          <w14:textFill>
            <w14:solidFill>
              <w14:schemeClr w14:val="tx1"/>
            </w14:solidFill>
          </w14:textFill>
        </w:rPr>
        <w:t>，符合本项目</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磋商</w:t>
      </w:r>
      <w:r>
        <w:rPr>
          <w:rFonts w:hint="eastAsia" w:ascii="宋体" w:hAnsi="宋体" w:eastAsia="宋体" w:cs="宋体"/>
          <w:b w:val="0"/>
          <w:bCs/>
          <w:color w:val="000000" w:themeColor="text1"/>
          <w:spacing w:val="0"/>
          <w:sz w:val="24"/>
          <w:szCs w:val="24"/>
          <w14:textFill>
            <w14:solidFill>
              <w14:schemeClr w14:val="tx1"/>
            </w14:solidFill>
          </w14:textFill>
        </w:rPr>
        <w:t>文件规定的</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供应商</w:t>
      </w:r>
      <w:r>
        <w:rPr>
          <w:rFonts w:hint="eastAsia" w:ascii="宋体" w:hAnsi="宋体" w:eastAsia="宋体" w:cs="宋体"/>
          <w:b w:val="0"/>
          <w:bCs/>
          <w:color w:val="000000" w:themeColor="text1"/>
          <w:spacing w:val="0"/>
          <w:sz w:val="24"/>
          <w:szCs w:val="24"/>
          <w14:textFill>
            <w14:solidFill>
              <w14:schemeClr w14:val="tx1"/>
            </w14:solidFill>
          </w14:textFill>
        </w:rPr>
        <w:t>资格要求。</w:t>
      </w:r>
      <w:bookmarkEnd w:id="402"/>
    </w:p>
    <w:p w14:paraId="4BD52EAB">
      <w:pPr>
        <w:keepNext w:val="0"/>
        <w:keepLines/>
        <w:pageBreakBefore w:val="0"/>
        <w:widowControl w:val="0"/>
        <w:kinsoku/>
        <w:wordWrap w:val="0"/>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以上承诺信息如有虚假或隐瞒，我方愿意承担一切后果，并不再寻求任何旨在减轻或免除法律责任的辩解。</w:t>
      </w:r>
    </w:p>
    <w:p w14:paraId="79B82618">
      <w:pPr>
        <w:keepLines/>
        <w:pageBreakBefore w:val="0"/>
        <w:kinsoku/>
        <w:wordWrap w:val="0"/>
        <w:overflowPunct/>
        <w:bidi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14802FA9">
      <w:pPr>
        <w:pStyle w:val="11"/>
        <w:keepLines/>
        <w:pageBreakBefore w:val="0"/>
        <w:kinsoku/>
        <w:wordWrap w:val="0"/>
        <w:overflowPunct/>
        <w:bidi w:val="0"/>
        <w:spacing w:line="284" w:lineRule="auto"/>
        <w:textAlignment w:val="auto"/>
        <w:rPr>
          <w:rFonts w:hint="eastAsia" w:ascii="宋体" w:hAnsi="宋体" w:eastAsia="宋体" w:cs="宋体"/>
          <w:color w:val="000000" w:themeColor="text1"/>
          <w14:textFill>
            <w14:solidFill>
              <w14:schemeClr w14:val="tx1"/>
            </w14:solidFill>
          </w14:textFill>
        </w:rPr>
      </w:pPr>
    </w:p>
    <w:p w14:paraId="63388EDC">
      <w:pPr>
        <w:keepLines/>
        <w:pageBreakBefore w:val="0"/>
        <w:kinsoku/>
        <w:wordWrap w:val="0"/>
        <w:overflowPunct/>
        <w:bidi w:val="0"/>
        <w:spacing w:before="78" w:line="219" w:lineRule="auto"/>
        <w:ind w:left="50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特此承诺。</w:t>
      </w:r>
    </w:p>
    <w:p w14:paraId="57A14521">
      <w:pPr>
        <w:pStyle w:val="11"/>
        <w:keepLines/>
        <w:pageBreakBefore w:val="0"/>
        <w:kinsoku/>
        <w:wordWrap w:val="0"/>
        <w:overflowPunct/>
        <w:bidi w:val="0"/>
        <w:spacing w:line="243" w:lineRule="auto"/>
        <w:textAlignment w:val="auto"/>
        <w:rPr>
          <w:rFonts w:hint="eastAsia" w:ascii="宋体" w:hAnsi="宋体" w:eastAsia="宋体" w:cs="宋体"/>
          <w:color w:val="000000" w:themeColor="text1"/>
          <w14:textFill>
            <w14:solidFill>
              <w14:schemeClr w14:val="tx1"/>
            </w14:solidFill>
          </w14:textFill>
        </w:rPr>
      </w:pPr>
    </w:p>
    <w:p w14:paraId="072B135D">
      <w:pPr>
        <w:pStyle w:val="11"/>
        <w:keepLines/>
        <w:pageBreakBefore w:val="0"/>
        <w:kinsoku/>
        <w:wordWrap w:val="0"/>
        <w:overflowPunct/>
        <w:bidi w:val="0"/>
        <w:spacing w:line="244" w:lineRule="auto"/>
        <w:textAlignment w:val="auto"/>
        <w:rPr>
          <w:rFonts w:hint="eastAsia" w:ascii="宋体" w:hAnsi="宋体" w:eastAsia="宋体" w:cs="宋体"/>
          <w:color w:val="000000" w:themeColor="text1"/>
          <w14:textFill>
            <w14:solidFill>
              <w14:schemeClr w14:val="tx1"/>
            </w14:solidFill>
          </w14:textFill>
        </w:rPr>
      </w:pPr>
    </w:p>
    <w:p w14:paraId="0270982A">
      <w:pPr>
        <w:keepLines/>
        <w:pageBreakBefore w:val="0"/>
        <w:kinsoku/>
        <w:wordWrap w:val="0"/>
        <w:overflowPunct/>
        <w:bidi w:val="0"/>
        <w:spacing w:before="78" w:line="360" w:lineRule="auto"/>
        <w:ind w:right="13"/>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磋商</w:t>
      </w:r>
      <w:r>
        <w:rPr>
          <w:rFonts w:hint="eastAsia" w:ascii="宋体" w:hAnsi="宋体" w:eastAsia="宋体" w:cs="宋体"/>
          <w:color w:val="000000" w:themeColor="text1"/>
          <w:spacing w:val="-8"/>
          <w:sz w:val="24"/>
          <w:szCs w:val="24"/>
          <w14:textFill>
            <w14:solidFill>
              <w14:schemeClr w14:val="tx1"/>
            </w14:solidFill>
          </w14:textFill>
        </w:rPr>
        <w:t>供应商：</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7"/>
          <w:sz w:val="24"/>
          <w:szCs w:val="24"/>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b w:val="0"/>
          <w:bCs/>
          <w:color w:val="000000" w:themeColor="text1"/>
          <w:spacing w:val="0"/>
          <w:sz w:val="24"/>
          <w:szCs w:val="24"/>
          <w14:textFill>
            <w14:solidFill>
              <w14:schemeClr w14:val="tx1"/>
            </w14:solidFill>
          </w14:textFill>
        </w:rPr>
        <w:t>电子签章</w:t>
      </w:r>
      <w:r>
        <w:rPr>
          <w:rFonts w:hint="eastAsia" w:ascii="宋体" w:hAnsi="宋体" w:eastAsia="宋体" w:cs="宋体"/>
          <w:color w:val="000000" w:themeColor="text1"/>
          <w:spacing w:val="-8"/>
          <w:sz w:val="24"/>
          <w:szCs w:val="24"/>
          <w14:textFill>
            <w14:solidFill>
              <w14:schemeClr w14:val="tx1"/>
            </w14:solidFill>
          </w14:textFill>
        </w:rPr>
        <w:t>)</w:t>
      </w:r>
    </w:p>
    <w:p w14:paraId="24BD5E16">
      <w:pPr>
        <w:pStyle w:val="11"/>
        <w:keepLines/>
        <w:pageBreakBefore w:val="0"/>
        <w:kinsoku/>
        <w:wordWrap w:val="0"/>
        <w:overflowPunct/>
        <w:bidi w:val="0"/>
        <w:spacing w:line="265" w:lineRule="auto"/>
        <w:jc w:val="center"/>
        <w:textAlignment w:val="auto"/>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t xml:space="preserve">                             年   月   日</w:t>
      </w:r>
    </w:p>
    <w:p w14:paraId="31CEFDEB">
      <w:pPr>
        <w:keepLines/>
        <w:pageBreakBefore w:val="0"/>
        <w:kinsoku/>
        <w:wordWrap w:val="0"/>
        <w:overflowPunct/>
        <w:bidi w:val="0"/>
        <w:spacing w:line="360" w:lineRule="auto"/>
        <w:jc w:val="center"/>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p>
    <w:p w14:paraId="27EEDA20">
      <w:pPr>
        <w:pStyle w:val="17"/>
        <w:keepLines/>
        <w:pageBreakBefore w:val="0"/>
        <w:kinsoku/>
        <w:wordWrap w:val="0"/>
        <w:overflowPunct/>
        <w:bidi w:val="0"/>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p>
    <w:p w14:paraId="75C05E8D">
      <w:pPr>
        <w:pStyle w:val="24"/>
        <w:keepLines/>
        <w:pageBreakBefore w:val="0"/>
        <w:kinsoku/>
        <w:wordWrap w:val="0"/>
        <w:overflowPunct/>
        <w:bidi w:val="0"/>
        <w:textAlignment w:val="auto"/>
        <w:rPr>
          <w:rFonts w:hint="eastAsia" w:ascii="宋体" w:hAnsi="宋体" w:eastAsia="宋体" w:cs="宋体"/>
          <w:lang w:val="en-US" w:eastAsia="zh-CN"/>
        </w:rPr>
      </w:pPr>
    </w:p>
    <w:p w14:paraId="701EA6CA">
      <w:pPr>
        <w:keepLines/>
        <w:pageBreakBefore w:val="0"/>
        <w:kinsoku/>
        <w:wordWrap w:val="0"/>
        <w:overflowPunct/>
        <w:bidi w:val="0"/>
        <w:spacing w:line="360" w:lineRule="auto"/>
        <w:jc w:val="center"/>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p>
    <w:p w14:paraId="6B6F0504">
      <w:pPr>
        <w:keepLines/>
        <w:pageBreakBefore w:val="0"/>
        <w:kinsoku/>
        <w:wordWrap w:val="0"/>
        <w:overflowPunct/>
        <w:bidi w:val="0"/>
        <w:spacing w:line="360" w:lineRule="auto"/>
        <w:jc w:val="center"/>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p>
    <w:p w14:paraId="42564972">
      <w:pPr>
        <w:keepLines/>
        <w:pageBreakBefore w:val="0"/>
        <w:kinsoku/>
        <w:wordWrap w:val="0"/>
        <w:overflowPunct/>
        <w:bidi w:val="0"/>
        <w:spacing w:line="360" w:lineRule="auto"/>
        <w:jc w:val="center"/>
        <w:textAlignment w:val="auto"/>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bCs w:val="0"/>
          <w:color w:val="000000" w:themeColor="text1"/>
          <w:sz w:val="32"/>
          <w:szCs w:val="32"/>
          <w:lang w:val="en-US" w:eastAsia="zh-CN"/>
          <w14:textFill>
            <w14:solidFill>
              <w14:schemeClr w14:val="tx1"/>
            </w14:solidFill>
          </w14:textFill>
        </w:rPr>
        <w:t>4、具有履行合同所必需的设备和专业技术能力</w:t>
      </w:r>
    </w:p>
    <w:p w14:paraId="1E1A882D">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32"/>
          <w:szCs w:val="32"/>
          <w14:textFill>
            <w14:solidFill>
              <w14:schemeClr w14:val="tx1"/>
            </w14:solidFill>
          </w14:textFill>
        </w:rPr>
      </w:pPr>
    </w:p>
    <w:p w14:paraId="4833A3B0">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r>
        <w:rPr>
          <w:rFonts w:hint="eastAsia" w:ascii="宋体" w:hAnsi="宋体" w:eastAsia="宋体" w:cs="宋体"/>
          <w:b w:val="0"/>
          <w:bCs/>
          <w:color w:val="000000" w:themeColor="text1"/>
          <w:spacing w:val="0"/>
          <w:sz w:val="28"/>
          <w:szCs w:val="28"/>
          <w14:textFill>
            <w14:solidFill>
              <w14:schemeClr w14:val="tx1"/>
            </w14:solidFill>
          </w14:textFill>
        </w:rPr>
        <w:t>磋商供应商履行合同能力的承诺</w:t>
      </w:r>
    </w:p>
    <w:p w14:paraId="7F5C94C1">
      <w:pPr>
        <w:keepLines/>
        <w:pageBreakBefore w:val="0"/>
        <w:kinsoku/>
        <w:wordWrap w:val="0"/>
        <w:overflowPunct/>
        <w:bidi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4F0CE9F8">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ab/>
      </w:r>
      <w:r>
        <w:rPr>
          <w:rFonts w:hint="eastAsia" w:ascii="宋体" w:hAnsi="宋体" w:eastAsia="宋体" w:cs="宋体"/>
          <w:b w:val="0"/>
          <w:bCs/>
          <w:color w:val="000000" w:themeColor="text1"/>
          <w:spacing w:val="0"/>
          <w:sz w:val="24"/>
          <w:szCs w:val="24"/>
          <w14:textFill>
            <w14:solidFill>
              <w14:schemeClr w14:val="tx1"/>
            </w14:solidFill>
          </w14:textFill>
        </w:rPr>
        <w:t xml:space="preserve"> </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(采购人名称)：</w:t>
      </w:r>
    </w:p>
    <w:p w14:paraId="4F4B5531">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 xml:space="preserve">     本磋商供应商现参与</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项目（项目编号：</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）的采购活动，现承诺具备履行合同所必需的</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设备和</w:t>
      </w:r>
      <w:r>
        <w:rPr>
          <w:rFonts w:hint="eastAsia" w:ascii="宋体" w:hAnsi="宋体" w:eastAsia="宋体" w:cs="宋体"/>
          <w:b w:val="0"/>
          <w:bCs/>
          <w:color w:val="000000" w:themeColor="text1"/>
          <w:spacing w:val="0"/>
          <w:sz w:val="24"/>
          <w:szCs w:val="24"/>
          <w14:textFill>
            <w14:solidFill>
              <w14:schemeClr w14:val="tx1"/>
            </w14:solidFill>
          </w14:textFill>
        </w:rPr>
        <w:t>专业技术能力。</w:t>
      </w:r>
    </w:p>
    <w:p w14:paraId="687B216D">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 xml:space="preserve">     如上述承诺不真实，愿意按照政府采购有关法律法规的规定接受处罚。</w:t>
      </w:r>
    </w:p>
    <w:p w14:paraId="7067C5F2">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63E27FE3">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p>
    <w:p w14:paraId="7F476474">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特此声明</w:t>
      </w:r>
    </w:p>
    <w:p w14:paraId="4E8B50BC">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 xml:space="preserve">                              </w:t>
      </w:r>
    </w:p>
    <w:p w14:paraId="7049FFD7">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 xml:space="preserve">   </w:t>
      </w:r>
    </w:p>
    <w:p w14:paraId="5F7DD415">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lang w:val="en-US" w:eastAsia="zh-CN"/>
          <w14:textFill>
            <w14:solidFill>
              <w14:schemeClr w14:val="tx1"/>
            </w14:solidFill>
          </w14:textFill>
        </w:rPr>
      </w:pPr>
    </w:p>
    <w:p w14:paraId="04EE27D8">
      <w:pPr>
        <w:keepLines/>
        <w:pageBreakBefore w:val="0"/>
        <w:kinsoku/>
        <w:wordWrap w:val="0"/>
        <w:overflowPunct/>
        <w:bidi w:val="0"/>
        <w:snapToGrid w:val="0"/>
        <w:spacing w:line="360" w:lineRule="auto"/>
        <w:jc w:val="right"/>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磋商供应商：</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 xml:space="preserve">（电子签章）  </w:t>
      </w:r>
    </w:p>
    <w:p w14:paraId="633904DE">
      <w:pPr>
        <w:keepLines/>
        <w:pageBreakBefore w:val="0"/>
        <w:kinsoku/>
        <w:wordWrap w:val="0"/>
        <w:overflowPunct/>
        <w:bidi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 xml:space="preserve">                                          </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 xml:space="preserve">     年  月  日</w:t>
      </w:r>
    </w:p>
    <w:p w14:paraId="2E679D98">
      <w:pPr>
        <w:keepLines/>
        <w:pageBreakBefore w:val="0"/>
        <w:kinsoku/>
        <w:wordWrap w:val="0"/>
        <w:overflowPunct/>
        <w:topLinePunct w:val="0"/>
        <w:bidi w:val="0"/>
        <w:spacing w:line="360" w:lineRule="auto"/>
        <w:ind w:firstLine="484" w:firstLineChars="20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br w:type="page"/>
      </w:r>
    </w:p>
    <w:p w14:paraId="71628948">
      <w:pPr>
        <w:keepLines/>
        <w:pageBreakBefore w:val="0"/>
        <w:kinsoku/>
        <w:wordWrap w:val="0"/>
        <w:overflowPunct/>
        <w:bidi w:val="0"/>
        <w:spacing w:line="360" w:lineRule="auto"/>
        <w:jc w:val="center"/>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r>
        <w:rPr>
          <w:rFonts w:hint="eastAsia" w:ascii="宋体" w:hAnsi="宋体" w:eastAsia="宋体" w:cs="宋体"/>
          <w:b/>
          <w:bCs w:val="0"/>
          <w:color w:val="000000" w:themeColor="text1"/>
          <w:sz w:val="32"/>
          <w:szCs w:val="32"/>
          <w:lang w:val="en-US" w:eastAsia="zh-CN"/>
          <w14:textFill>
            <w14:solidFill>
              <w14:schemeClr w14:val="tx1"/>
            </w14:solidFill>
          </w14:textFill>
        </w:rPr>
        <w:t>5、具有依法缴纳税收和社会保障资金的良好记录</w:t>
      </w:r>
    </w:p>
    <w:p w14:paraId="0C106E17">
      <w:pPr>
        <w:keepLines/>
        <w:pageBreakBefore w:val="0"/>
        <w:kinsoku/>
        <w:wordWrap w:val="0"/>
        <w:overflowPunct/>
        <w:bidi w:val="0"/>
        <w:spacing w:before="78" w:line="219" w:lineRule="auto"/>
        <w:ind w:left="803"/>
        <w:textAlignment w:val="auto"/>
        <w:rPr>
          <w:rFonts w:hint="eastAsia" w:ascii="宋体" w:hAnsi="宋体" w:eastAsia="宋体" w:cs="宋体"/>
          <w:color w:val="000000" w:themeColor="text1"/>
          <w:sz w:val="24"/>
          <w:szCs w:val="24"/>
          <w14:textFill>
            <w14:solidFill>
              <w14:schemeClr w14:val="tx1"/>
            </w14:solidFill>
          </w14:textFill>
        </w:rPr>
      </w:pPr>
    </w:p>
    <w:p w14:paraId="7F6C02C7">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r>
        <w:rPr>
          <w:rFonts w:hint="eastAsia" w:ascii="宋体" w:hAnsi="宋体" w:eastAsia="宋体" w:cs="宋体"/>
          <w:b w:val="0"/>
          <w:bCs/>
          <w:color w:val="000000" w:themeColor="text1"/>
          <w:spacing w:val="0"/>
          <w:sz w:val="28"/>
          <w:szCs w:val="28"/>
          <w14:textFill>
            <w14:solidFill>
              <w14:schemeClr w14:val="tx1"/>
            </w14:solidFill>
          </w14:textFill>
        </w:rPr>
        <w:t>供应商具有依法缴纳税收和社会保障资金的良好记录信用承诺书</w:t>
      </w:r>
    </w:p>
    <w:p w14:paraId="7CC09E26">
      <w:pPr>
        <w:pStyle w:val="11"/>
        <w:keepLines/>
        <w:pageBreakBefore w:val="0"/>
        <w:kinsoku/>
        <w:wordWrap w:val="0"/>
        <w:overflowPunct/>
        <w:bidi w:val="0"/>
        <w:spacing w:line="285" w:lineRule="auto"/>
        <w:textAlignment w:val="auto"/>
        <w:rPr>
          <w:rFonts w:hint="eastAsia" w:ascii="宋体" w:hAnsi="宋体" w:eastAsia="宋体" w:cs="宋体"/>
          <w:color w:val="000000" w:themeColor="text1"/>
          <w14:textFill>
            <w14:solidFill>
              <w14:schemeClr w14:val="tx1"/>
            </w14:solidFill>
          </w14:textFill>
        </w:rPr>
      </w:pPr>
    </w:p>
    <w:p w14:paraId="3F55F081">
      <w:pPr>
        <w:keepLines/>
        <w:pageBreakBefore w:val="0"/>
        <w:kinsoku/>
        <w:wordWrap w:val="0"/>
        <w:overflowPunct/>
        <w:bidi w:val="0"/>
        <w:snapToGrid w:val="0"/>
        <w:spacing w:line="360" w:lineRule="auto"/>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(采购人名称)：</w:t>
      </w:r>
    </w:p>
    <w:p w14:paraId="2339C3CD">
      <w:pPr>
        <w:keepNext w:val="0"/>
        <w:keepLines/>
        <w:pageBreakBefore w:val="0"/>
        <w:widowControl w:val="0"/>
        <w:kinsoku/>
        <w:wordWrap w:val="0"/>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本</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磋商</w:t>
      </w:r>
      <w:r>
        <w:rPr>
          <w:rFonts w:hint="eastAsia" w:ascii="宋体" w:hAnsi="宋体" w:eastAsia="宋体" w:cs="宋体"/>
          <w:b w:val="0"/>
          <w:bCs/>
          <w:color w:val="000000" w:themeColor="text1"/>
          <w:spacing w:val="0"/>
          <w:sz w:val="24"/>
          <w:szCs w:val="24"/>
          <w14:textFill>
            <w14:solidFill>
              <w14:schemeClr w14:val="tx1"/>
            </w14:solidFill>
          </w14:textFill>
        </w:rPr>
        <w:t xml:space="preserve">供应商现参与 </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 xml:space="preserve">项目（项目编号： </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的采购活动。依据磋商文件相关规定，现郑重承诺：我方在参加本次采购活动前严格依法缴纳税收或依法享受国家免税优惠政策，并依法给单位职工缴纳社会保障金或具有依法不需要缴纳社会保障资金的证明文件。</w:t>
      </w:r>
    </w:p>
    <w:p w14:paraId="1FB57750">
      <w:pPr>
        <w:keepNext w:val="0"/>
        <w:keepLines/>
        <w:pageBreakBefore w:val="0"/>
        <w:widowControl w:val="0"/>
        <w:kinsoku/>
        <w:wordWrap w:val="0"/>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以上承诺信息如有虚假或隐瞒，我方愿意承担一切后果，并不再寻求任何旨在减轻或免除法律责任的辩解。</w:t>
      </w:r>
    </w:p>
    <w:p w14:paraId="29AEABAD">
      <w:pPr>
        <w:pStyle w:val="11"/>
        <w:keepLines/>
        <w:pageBreakBefore w:val="0"/>
        <w:kinsoku/>
        <w:wordWrap w:val="0"/>
        <w:overflowPunct/>
        <w:bidi w:val="0"/>
        <w:spacing w:line="283" w:lineRule="auto"/>
        <w:textAlignment w:val="auto"/>
        <w:rPr>
          <w:rFonts w:hint="eastAsia" w:ascii="宋体" w:hAnsi="宋体" w:eastAsia="宋体" w:cs="宋体"/>
          <w:color w:val="000000" w:themeColor="text1"/>
          <w14:textFill>
            <w14:solidFill>
              <w14:schemeClr w14:val="tx1"/>
            </w14:solidFill>
          </w14:textFill>
        </w:rPr>
      </w:pPr>
    </w:p>
    <w:p w14:paraId="442DF300">
      <w:pPr>
        <w:pStyle w:val="11"/>
        <w:keepLines/>
        <w:pageBreakBefore w:val="0"/>
        <w:kinsoku/>
        <w:wordWrap w:val="0"/>
        <w:overflowPunct/>
        <w:bidi w:val="0"/>
        <w:spacing w:line="284" w:lineRule="auto"/>
        <w:textAlignment w:val="auto"/>
        <w:rPr>
          <w:rFonts w:hint="eastAsia" w:ascii="宋体" w:hAnsi="宋体" w:eastAsia="宋体" w:cs="宋体"/>
          <w:color w:val="000000" w:themeColor="text1"/>
          <w14:textFill>
            <w14:solidFill>
              <w14:schemeClr w14:val="tx1"/>
            </w14:solidFill>
          </w14:textFill>
        </w:rPr>
      </w:pPr>
    </w:p>
    <w:p w14:paraId="5354282B">
      <w:pPr>
        <w:keepLines/>
        <w:pageBreakBefore w:val="0"/>
        <w:kinsoku/>
        <w:wordWrap w:val="0"/>
        <w:overflowPunct/>
        <w:bidi w:val="0"/>
        <w:spacing w:before="78" w:line="219" w:lineRule="auto"/>
        <w:ind w:left="50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
          <w:sz w:val="24"/>
          <w:szCs w:val="24"/>
          <w14:textFill>
            <w14:solidFill>
              <w14:schemeClr w14:val="tx1"/>
            </w14:solidFill>
          </w14:textFill>
        </w:rPr>
        <w:t>特此承诺。</w:t>
      </w:r>
    </w:p>
    <w:p w14:paraId="6D2767AB">
      <w:pPr>
        <w:pStyle w:val="14"/>
        <w:keepLines/>
        <w:pageBreakBefore w:val="0"/>
        <w:kinsoku/>
        <w:wordWrap w:val="0"/>
        <w:overflowPunct/>
        <w:bidi w:val="0"/>
        <w:textAlignment w:val="auto"/>
        <w:rPr>
          <w:rFonts w:hint="eastAsia" w:ascii="宋体" w:hAnsi="宋体" w:eastAsia="宋体" w:cs="宋体"/>
          <w:color w:val="000000" w:themeColor="text1"/>
          <w:lang w:val="en-US" w:eastAsia="zh-CN"/>
          <w14:textFill>
            <w14:solidFill>
              <w14:schemeClr w14:val="tx1"/>
            </w14:solidFill>
          </w14:textFill>
        </w:rPr>
      </w:pPr>
    </w:p>
    <w:p w14:paraId="6F58DB83">
      <w:pPr>
        <w:pStyle w:val="14"/>
        <w:keepLines/>
        <w:pageBreakBefore w:val="0"/>
        <w:kinsoku/>
        <w:wordWrap w:val="0"/>
        <w:overflowPunct/>
        <w:bidi w:val="0"/>
        <w:textAlignment w:val="auto"/>
        <w:rPr>
          <w:rFonts w:hint="eastAsia" w:ascii="宋体" w:hAnsi="宋体" w:eastAsia="宋体" w:cs="宋体"/>
          <w:color w:val="000000" w:themeColor="text1"/>
          <w:lang w:val="en-US" w:eastAsia="zh-CN"/>
          <w14:textFill>
            <w14:solidFill>
              <w14:schemeClr w14:val="tx1"/>
            </w14:solidFill>
          </w14:textFill>
        </w:rPr>
      </w:pPr>
    </w:p>
    <w:p w14:paraId="22510252">
      <w:pPr>
        <w:keepLines/>
        <w:pageBreakBefore w:val="0"/>
        <w:kinsoku/>
        <w:wordWrap w:val="0"/>
        <w:overflowPunct/>
        <w:bidi w:val="0"/>
        <w:spacing w:before="78" w:line="360" w:lineRule="auto"/>
        <w:ind w:right="13"/>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磋商</w:t>
      </w:r>
      <w:r>
        <w:rPr>
          <w:rFonts w:hint="eastAsia" w:ascii="宋体" w:hAnsi="宋体" w:eastAsia="宋体" w:cs="宋体"/>
          <w:color w:val="000000" w:themeColor="text1"/>
          <w:spacing w:val="-8"/>
          <w:sz w:val="24"/>
          <w:szCs w:val="24"/>
          <w14:textFill>
            <w14:solidFill>
              <w14:schemeClr w14:val="tx1"/>
            </w14:solidFill>
          </w14:textFill>
        </w:rPr>
        <w:t>供应商：</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7"/>
          <w:sz w:val="24"/>
          <w:szCs w:val="24"/>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b w:val="0"/>
          <w:bCs/>
          <w:color w:val="000000" w:themeColor="text1"/>
          <w:spacing w:val="0"/>
          <w:sz w:val="24"/>
          <w:szCs w:val="24"/>
          <w14:textFill>
            <w14:solidFill>
              <w14:schemeClr w14:val="tx1"/>
            </w14:solidFill>
          </w14:textFill>
        </w:rPr>
        <w:t>电子签章</w:t>
      </w:r>
      <w:r>
        <w:rPr>
          <w:rFonts w:hint="eastAsia" w:ascii="宋体" w:hAnsi="宋体" w:eastAsia="宋体" w:cs="宋体"/>
          <w:color w:val="000000" w:themeColor="text1"/>
          <w:spacing w:val="-8"/>
          <w:sz w:val="24"/>
          <w:szCs w:val="24"/>
          <w14:textFill>
            <w14:solidFill>
              <w14:schemeClr w14:val="tx1"/>
            </w14:solidFill>
          </w14:textFill>
        </w:rPr>
        <w:t>)</w:t>
      </w:r>
    </w:p>
    <w:p w14:paraId="06CBCF3A">
      <w:pPr>
        <w:pStyle w:val="11"/>
        <w:keepLines/>
        <w:pageBreakBefore w:val="0"/>
        <w:kinsoku/>
        <w:wordWrap w:val="0"/>
        <w:overflowPunct/>
        <w:bidi w:val="0"/>
        <w:spacing w:line="265" w:lineRule="auto"/>
        <w:jc w:val="center"/>
        <w:textAlignment w:val="auto"/>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t xml:space="preserve">                             年   月   日</w:t>
      </w:r>
    </w:p>
    <w:p w14:paraId="61A5F0BF">
      <w:pPr>
        <w:keepLines/>
        <w:pageBreakBefore w:val="0"/>
        <w:numPr>
          <w:ilvl w:val="0"/>
          <w:numId w:val="0"/>
        </w:numPr>
        <w:kinsoku/>
        <w:wordWrap w:val="0"/>
        <w:overflowPunct/>
        <w:bidi w:val="0"/>
        <w:spacing w:line="360" w:lineRule="auto"/>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4EFD1D58">
      <w:pPr>
        <w:keepLines/>
        <w:pageBreakBefore w:val="0"/>
        <w:numPr>
          <w:ilvl w:val="0"/>
          <w:numId w:val="0"/>
        </w:numPr>
        <w:kinsoku/>
        <w:wordWrap w:val="0"/>
        <w:overflowPunct/>
        <w:bidi w:val="0"/>
        <w:spacing w:line="360" w:lineRule="auto"/>
        <w:textAlignment w:val="auto"/>
        <w:rPr>
          <w:rFonts w:hint="eastAsia" w:ascii="宋体" w:hAnsi="宋体" w:eastAsia="宋体" w:cs="宋体"/>
          <w:b/>
          <w:bCs w:val="0"/>
          <w:color w:val="000000" w:themeColor="text1"/>
          <w:sz w:val="32"/>
          <w:szCs w:val="32"/>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br w:type="page"/>
      </w:r>
      <w:r>
        <w:rPr>
          <w:rFonts w:hint="eastAsia" w:ascii="宋体" w:hAnsi="宋体" w:eastAsia="宋体" w:cs="宋体"/>
          <w:b/>
          <w:bCs w:val="0"/>
          <w:color w:val="000000" w:themeColor="text1"/>
          <w:sz w:val="32"/>
          <w:szCs w:val="32"/>
          <w:lang w:val="en-US" w:eastAsia="zh-CN"/>
          <w14:textFill>
            <w14:solidFill>
              <w14:schemeClr w14:val="tx1"/>
            </w14:solidFill>
          </w14:textFill>
        </w:rPr>
        <w:t>6、参加政府采购活动前三年内，在经营活动中没有重大违法记录</w:t>
      </w:r>
    </w:p>
    <w:p w14:paraId="15A583F8">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r>
        <w:rPr>
          <w:rFonts w:hint="eastAsia" w:ascii="宋体" w:hAnsi="宋体" w:eastAsia="宋体" w:cs="宋体"/>
          <w:b w:val="0"/>
          <w:bCs/>
          <w:color w:val="000000" w:themeColor="text1"/>
          <w:spacing w:val="0"/>
          <w:sz w:val="28"/>
          <w:szCs w:val="28"/>
          <w14:textFill>
            <w14:solidFill>
              <w14:schemeClr w14:val="tx1"/>
            </w14:solidFill>
          </w14:textFill>
        </w:rPr>
        <w:t>供应商参加本次采购活动前三年内，在经营活动中没有重大违法记录</w:t>
      </w:r>
    </w:p>
    <w:p w14:paraId="5C022E20">
      <w:pPr>
        <w:keepLines/>
        <w:pageBreakBefore w:val="0"/>
        <w:kinsoku/>
        <w:wordWrap w:val="0"/>
        <w:overflowPunct/>
        <w:bidi w:val="0"/>
        <w:spacing w:line="360" w:lineRule="auto"/>
        <w:jc w:val="center"/>
        <w:textAlignment w:val="auto"/>
        <w:rPr>
          <w:rFonts w:hint="eastAsia" w:ascii="宋体" w:hAnsi="宋体" w:eastAsia="宋体" w:cs="宋体"/>
          <w:b w:val="0"/>
          <w:bCs/>
          <w:color w:val="000000" w:themeColor="text1"/>
          <w:spacing w:val="0"/>
          <w:sz w:val="28"/>
          <w:szCs w:val="28"/>
          <w14:textFill>
            <w14:solidFill>
              <w14:schemeClr w14:val="tx1"/>
            </w14:solidFill>
          </w14:textFill>
        </w:rPr>
      </w:pPr>
      <w:r>
        <w:rPr>
          <w:rFonts w:hint="eastAsia" w:ascii="宋体" w:hAnsi="宋体" w:eastAsia="宋体" w:cs="宋体"/>
          <w:b w:val="0"/>
          <w:bCs/>
          <w:color w:val="000000" w:themeColor="text1"/>
          <w:spacing w:val="0"/>
          <w:sz w:val="28"/>
          <w:szCs w:val="28"/>
          <w14:textFill>
            <w14:solidFill>
              <w14:schemeClr w14:val="tx1"/>
            </w14:solidFill>
          </w14:textFill>
        </w:rPr>
        <w:t>信用承诺书</w:t>
      </w:r>
    </w:p>
    <w:p w14:paraId="3C92DDE1">
      <w:pPr>
        <w:pStyle w:val="11"/>
        <w:keepLines/>
        <w:pageBreakBefore w:val="0"/>
        <w:kinsoku/>
        <w:wordWrap w:val="0"/>
        <w:overflowPunct/>
        <w:bidi w:val="0"/>
        <w:spacing w:line="302" w:lineRule="auto"/>
        <w:textAlignment w:val="auto"/>
        <w:rPr>
          <w:rFonts w:hint="eastAsia" w:ascii="宋体" w:hAnsi="宋体" w:eastAsia="宋体" w:cs="宋体"/>
          <w:color w:val="000000" w:themeColor="text1"/>
          <w14:textFill>
            <w14:solidFill>
              <w14:schemeClr w14:val="tx1"/>
            </w14:solidFill>
          </w14:textFill>
        </w:rPr>
      </w:pPr>
    </w:p>
    <w:p w14:paraId="2135D5A6">
      <w:pPr>
        <w:keepNext w:val="0"/>
        <w:keepLines/>
        <w:pageBreakBefore w:val="0"/>
        <w:widowControl w:val="0"/>
        <w:kinsoku/>
        <w:wordWrap w:val="0"/>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本磋商供应商现参与项目</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14:textFill>
            <w14:solidFill>
              <w14:schemeClr w14:val="tx1"/>
            </w14:solidFill>
          </w14:textFill>
        </w:rPr>
        <w:t>（项目编号：</w:t>
      </w:r>
      <w:r>
        <w:rPr>
          <w:rFonts w:hint="eastAsia" w:ascii="宋体" w:hAnsi="宋体" w:eastAsia="宋体" w:cs="宋体"/>
          <w:b w:val="0"/>
          <w:bCs/>
          <w:color w:val="000000" w:themeColor="text1"/>
          <w:spacing w:val="0"/>
          <w:sz w:val="24"/>
          <w:szCs w:val="24"/>
          <w:u w:val="single"/>
          <w14:textFill>
            <w14:solidFill>
              <w14:schemeClr w14:val="tx1"/>
            </w14:solidFill>
          </w14:textFill>
        </w:rPr>
        <w:t xml:space="preserve">           </w:t>
      </w:r>
      <w:r>
        <w:rPr>
          <w:rFonts w:hint="eastAsia" w:ascii="宋体" w:hAnsi="宋体" w:eastAsia="宋体" w:cs="宋体"/>
          <w:b w:val="0"/>
          <w:bCs/>
          <w:color w:val="000000" w:themeColor="text1"/>
          <w:spacing w:val="0"/>
          <w:sz w:val="24"/>
          <w:szCs w:val="24"/>
          <w:u w:val="none"/>
          <w14:textFill>
            <w14:solidFill>
              <w14:schemeClr w14:val="tx1"/>
            </w14:solidFill>
          </w14:textFill>
        </w:rPr>
        <w:t>）</w:t>
      </w:r>
      <w:r>
        <w:rPr>
          <w:rFonts w:hint="eastAsia" w:ascii="宋体" w:hAnsi="宋体" w:eastAsia="宋体" w:cs="宋体"/>
          <w:b w:val="0"/>
          <w:bCs/>
          <w:color w:val="000000" w:themeColor="text1"/>
          <w:spacing w:val="0"/>
          <w:sz w:val="24"/>
          <w:szCs w:val="24"/>
          <w14:textFill>
            <w14:solidFill>
              <w14:schemeClr w14:val="tx1"/>
            </w14:solidFill>
          </w14:textFill>
        </w:rPr>
        <w:t>的采购活动，在参加本次政府采购活动前三年内，在经营活动中没有重大违法记录（因违法经营受到刑事处罚或者责令停产停业、吊销许可证或者执照、较大数额罚款等行政处罚。），在信用中国网（http://www.creditchina.gov.cn）中的信用信息，本公司未列入失信被执行人、</w:t>
      </w:r>
      <w:r>
        <w:rPr>
          <w:rFonts w:hint="eastAsia" w:ascii="宋体" w:hAnsi="宋体" w:eastAsia="宋体" w:cs="宋体"/>
          <w:b w:val="0"/>
          <w:bCs/>
          <w:color w:val="000000" w:themeColor="text1"/>
          <w:spacing w:val="0"/>
          <w:sz w:val="24"/>
          <w:szCs w:val="24"/>
          <w:lang w:val="en-US" w:eastAsia="zh-CN"/>
          <w14:textFill>
            <w14:solidFill>
              <w14:schemeClr w14:val="tx1"/>
            </w14:solidFill>
          </w14:textFill>
        </w:rPr>
        <w:t>未被列入重大税收违法失信主体名单</w:t>
      </w:r>
      <w:r>
        <w:rPr>
          <w:rFonts w:hint="eastAsia" w:ascii="宋体" w:hAnsi="宋体" w:eastAsia="宋体" w:cs="宋体"/>
          <w:b w:val="0"/>
          <w:bCs/>
          <w:color w:val="000000" w:themeColor="text1"/>
          <w:spacing w:val="0"/>
          <w:sz w:val="24"/>
          <w:szCs w:val="24"/>
          <w14:textFill>
            <w14:solidFill>
              <w14:schemeClr w14:val="tx1"/>
            </w14:solidFill>
          </w14:textFill>
        </w:rPr>
        <w:t>；查询了在中国政府采购网（</w:t>
      </w:r>
      <w:r>
        <w:rPr>
          <w:rFonts w:hint="eastAsia" w:ascii="宋体" w:hAnsi="宋体" w:eastAsia="宋体" w:cs="宋体"/>
          <w:b w:val="0"/>
          <w:bCs/>
          <w:color w:val="000000" w:themeColor="text1"/>
          <w:spacing w:val="0"/>
          <w:sz w:val="24"/>
          <w:szCs w:val="24"/>
          <w14:textFill>
            <w14:solidFill>
              <w14:schemeClr w14:val="tx1"/>
            </w14:solidFill>
          </w14:textFill>
        </w:rPr>
        <w:fldChar w:fldCharType="begin"/>
      </w:r>
      <w:r>
        <w:rPr>
          <w:rFonts w:hint="eastAsia" w:ascii="宋体" w:hAnsi="宋体" w:eastAsia="宋体" w:cs="宋体"/>
          <w:b w:val="0"/>
          <w:bCs/>
          <w:color w:val="000000" w:themeColor="text1"/>
          <w:spacing w:val="0"/>
          <w:sz w:val="24"/>
          <w:szCs w:val="24"/>
          <w14:textFill>
            <w14:solidFill>
              <w14:schemeClr w14:val="tx1"/>
            </w14:solidFill>
          </w14:textFill>
        </w:rPr>
        <w:instrText xml:space="preserve"> HYPERLINK "http://www.ccgp.gov.cn" </w:instrText>
      </w:r>
      <w:r>
        <w:rPr>
          <w:rFonts w:hint="eastAsia" w:ascii="宋体" w:hAnsi="宋体" w:eastAsia="宋体" w:cs="宋体"/>
          <w:b w:val="0"/>
          <w:bCs/>
          <w:color w:val="000000" w:themeColor="text1"/>
          <w:spacing w:val="0"/>
          <w:sz w:val="24"/>
          <w:szCs w:val="24"/>
          <w14:textFill>
            <w14:solidFill>
              <w14:schemeClr w14:val="tx1"/>
            </w14:solidFill>
          </w14:textFill>
        </w:rPr>
        <w:fldChar w:fldCharType="separate"/>
      </w:r>
      <w:r>
        <w:rPr>
          <w:rFonts w:hint="eastAsia" w:ascii="宋体" w:hAnsi="宋体" w:eastAsia="宋体" w:cs="宋体"/>
          <w:b w:val="0"/>
          <w:bCs/>
          <w:color w:val="000000" w:themeColor="text1"/>
          <w:spacing w:val="0"/>
          <w:sz w:val="24"/>
          <w:szCs w:val="24"/>
          <w14:textFill>
            <w14:solidFill>
              <w14:schemeClr w14:val="tx1"/>
            </w14:solidFill>
          </w14:textFill>
        </w:rPr>
        <w:t>http://www.ccgp.gov.cn</w:t>
      </w:r>
      <w:r>
        <w:rPr>
          <w:rFonts w:hint="eastAsia" w:ascii="宋体" w:hAnsi="宋体" w:eastAsia="宋体" w:cs="宋体"/>
          <w:b w:val="0"/>
          <w:bCs/>
          <w:color w:val="000000" w:themeColor="text1"/>
          <w:spacing w:val="0"/>
          <w:sz w:val="24"/>
          <w:szCs w:val="24"/>
          <w14:textFill>
            <w14:solidFill>
              <w14:schemeClr w14:val="tx1"/>
            </w14:solidFill>
          </w14:textFill>
        </w:rPr>
        <w:fldChar w:fldCharType="end"/>
      </w:r>
      <w:r>
        <w:rPr>
          <w:rFonts w:hint="eastAsia" w:ascii="宋体" w:hAnsi="宋体" w:eastAsia="宋体" w:cs="宋体"/>
          <w:b w:val="0"/>
          <w:bCs/>
          <w:color w:val="000000" w:themeColor="text1"/>
          <w:spacing w:val="0"/>
          <w:sz w:val="24"/>
          <w:szCs w:val="24"/>
          <w14:textFill>
            <w14:solidFill>
              <w14:schemeClr w14:val="tx1"/>
            </w14:solidFill>
          </w14:textFill>
        </w:rPr>
        <w:t>）中的政府采购严重违法失信行为信息，本公司未列入政府采购严重违法失信行为记录名单。</w:t>
      </w:r>
    </w:p>
    <w:p w14:paraId="439A2136">
      <w:pPr>
        <w:keepNext w:val="0"/>
        <w:keepLines/>
        <w:pageBreakBefore w:val="0"/>
        <w:widowControl w:val="0"/>
        <w:kinsoku/>
        <w:wordWrap w:val="0"/>
        <w:overflowPunct/>
        <w:topLinePunct w:val="0"/>
        <w:autoSpaceDE/>
        <w:autoSpaceDN/>
        <w:bidi w:val="0"/>
        <w:adjustRightInd/>
        <w:snapToGrid/>
        <w:spacing w:line="360" w:lineRule="auto"/>
        <w:ind w:firstLine="484" w:firstLineChars="200"/>
        <w:textAlignment w:val="auto"/>
        <w:rPr>
          <w:rFonts w:hint="eastAsia" w:ascii="宋体" w:hAnsi="宋体" w:eastAsia="宋体" w:cs="宋体"/>
          <w:b w:val="0"/>
          <w:bCs/>
          <w:color w:val="000000" w:themeColor="text1"/>
          <w:spacing w:val="0"/>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以上承诺信息如有虚假或隐瞒，我方愿意承担一切后果，并不再寻求任何旨在减轻或免除法律责任的辩解。</w:t>
      </w:r>
    </w:p>
    <w:p w14:paraId="50FD2FB5">
      <w:pPr>
        <w:pStyle w:val="11"/>
        <w:keepLines/>
        <w:pageBreakBefore w:val="0"/>
        <w:kinsoku/>
        <w:wordWrap w:val="0"/>
        <w:overflowPunct/>
        <w:bidi w:val="0"/>
        <w:spacing w:line="256" w:lineRule="auto"/>
        <w:textAlignment w:val="auto"/>
        <w:rPr>
          <w:rFonts w:hint="eastAsia" w:ascii="宋体" w:hAnsi="宋体" w:eastAsia="宋体" w:cs="宋体"/>
          <w:color w:val="000000" w:themeColor="text1"/>
          <w14:textFill>
            <w14:solidFill>
              <w14:schemeClr w14:val="tx1"/>
            </w14:solidFill>
          </w14:textFill>
        </w:rPr>
      </w:pPr>
    </w:p>
    <w:p w14:paraId="6CECCC6A">
      <w:pPr>
        <w:pStyle w:val="11"/>
        <w:keepLines/>
        <w:pageBreakBefore w:val="0"/>
        <w:kinsoku/>
        <w:wordWrap w:val="0"/>
        <w:overflowPunct/>
        <w:bidi w:val="0"/>
        <w:spacing w:line="256" w:lineRule="auto"/>
        <w:textAlignment w:val="auto"/>
        <w:rPr>
          <w:rFonts w:hint="eastAsia" w:ascii="宋体" w:hAnsi="宋体" w:eastAsia="宋体" w:cs="宋体"/>
          <w:color w:val="000000" w:themeColor="text1"/>
          <w14:textFill>
            <w14:solidFill>
              <w14:schemeClr w14:val="tx1"/>
            </w14:solidFill>
          </w14:textFill>
        </w:rPr>
      </w:pPr>
    </w:p>
    <w:p w14:paraId="542B663C">
      <w:pPr>
        <w:keepLines/>
        <w:pageBreakBefore w:val="0"/>
        <w:kinsoku/>
        <w:wordWrap w:val="0"/>
        <w:overflowPunct/>
        <w:bidi w:val="0"/>
        <w:spacing w:before="78" w:line="219" w:lineRule="auto"/>
        <w:ind w:left="503"/>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3"/>
          <w:sz w:val="24"/>
          <w:szCs w:val="24"/>
          <w14:textFill>
            <w14:solidFill>
              <w14:schemeClr w14:val="tx1"/>
            </w14:solidFill>
          </w14:textFill>
        </w:rPr>
        <w:t>特此承诺</w:t>
      </w:r>
    </w:p>
    <w:p w14:paraId="6605A60A">
      <w:pPr>
        <w:pStyle w:val="11"/>
        <w:keepLines/>
        <w:pageBreakBefore w:val="0"/>
        <w:kinsoku/>
        <w:wordWrap w:val="0"/>
        <w:overflowPunct/>
        <w:bidi w:val="0"/>
        <w:spacing w:line="243" w:lineRule="auto"/>
        <w:textAlignment w:val="auto"/>
        <w:rPr>
          <w:rFonts w:hint="eastAsia" w:ascii="宋体" w:hAnsi="宋体" w:eastAsia="宋体" w:cs="宋体"/>
          <w:color w:val="000000" w:themeColor="text1"/>
          <w14:textFill>
            <w14:solidFill>
              <w14:schemeClr w14:val="tx1"/>
            </w14:solidFill>
          </w14:textFill>
        </w:rPr>
      </w:pPr>
    </w:p>
    <w:p w14:paraId="05256527">
      <w:pPr>
        <w:keepLines/>
        <w:pageBreakBefore w:val="0"/>
        <w:kinsoku/>
        <w:wordWrap w:val="0"/>
        <w:overflowPunct/>
        <w:bidi w:val="0"/>
        <w:spacing w:before="78" w:line="360" w:lineRule="auto"/>
        <w:ind w:right="13"/>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磋商</w:t>
      </w:r>
      <w:r>
        <w:rPr>
          <w:rFonts w:hint="eastAsia" w:ascii="宋体" w:hAnsi="宋体" w:eastAsia="宋体" w:cs="宋体"/>
          <w:color w:val="000000" w:themeColor="text1"/>
          <w:spacing w:val="-8"/>
          <w:sz w:val="24"/>
          <w:szCs w:val="24"/>
          <w14:textFill>
            <w14:solidFill>
              <w14:schemeClr w14:val="tx1"/>
            </w14:solidFill>
          </w14:textFill>
        </w:rPr>
        <w:t>供应商：</w:t>
      </w:r>
      <w:r>
        <w:rPr>
          <w:rFonts w:hint="eastAsia" w:ascii="宋体" w:hAnsi="宋体" w:eastAsia="宋体" w:cs="宋体"/>
          <w:color w:val="000000" w:themeColor="text1"/>
          <w:sz w:val="24"/>
          <w:szCs w:val="24"/>
          <w:u w:val="single" w:color="auto"/>
          <w14:textFill>
            <w14:solidFill>
              <w14:schemeClr w14:val="tx1"/>
            </w14:solidFill>
          </w14:textFill>
        </w:rPr>
        <w:t xml:space="preserve">                       </w:t>
      </w:r>
      <w:r>
        <w:rPr>
          <w:rFonts w:hint="eastAsia" w:ascii="宋体" w:hAnsi="宋体" w:eastAsia="宋体" w:cs="宋体"/>
          <w:color w:val="000000" w:themeColor="text1"/>
          <w:spacing w:val="-67"/>
          <w:sz w:val="24"/>
          <w:szCs w:val="24"/>
          <w14:textFill>
            <w14:solidFill>
              <w14:schemeClr w14:val="tx1"/>
            </w14:solidFill>
          </w14:textFill>
        </w:rPr>
        <w:t xml:space="preserve"> </w:t>
      </w:r>
      <w:r>
        <w:rPr>
          <w:rFonts w:hint="eastAsia" w:ascii="宋体" w:hAnsi="宋体" w:eastAsia="宋体" w:cs="宋体"/>
          <w:color w:val="000000" w:themeColor="text1"/>
          <w:spacing w:val="-8"/>
          <w:sz w:val="24"/>
          <w:szCs w:val="24"/>
          <w14:textFill>
            <w14:solidFill>
              <w14:schemeClr w14:val="tx1"/>
            </w14:solidFill>
          </w14:textFill>
        </w:rPr>
        <w:t>(</w:t>
      </w:r>
      <w:r>
        <w:rPr>
          <w:rFonts w:hint="eastAsia" w:ascii="宋体" w:hAnsi="宋体" w:eastAsia="宋体" w:cs="宋体"/>
          <w:b w:val="0"/>
          <w:bCs/>
          <w:color w:val="000000" w:themeColor="text1"/>
          <w:spacing w:val="0"/>
          <w:sz w:val="24"/>
          <w:szCs w:val="24"/>
          <w14:textFill>
            <w14:solidFill>
              <w14:schemeClr w14:val="tx1"/>
            </w14:solidFill>
          </w14:textFill>
        </w:rPr>
        <w:t>电子签章</w:t>
      </w:r>
      <w:r>
        <w:rPr>
          <w:rFonts w:hint="eastAsia" w:ascii="宋体" w:hAnsi="宋体" w:eastAsia="宋体" w:cs="宋体"/>
          <w:color w:val="000000" w:themeColor="text1"/>
          <w:spacing w:val="-8"/>
          <w:sz w:val="24"/>
          <w:szCs w:val="24"/>
          <w14:textFill>
            <w14:solidFill>
              <w14:schemeClr w14:val="tx1"/>
            </w14:solidFill>
          </w14:textFill>
        </w:rPr>
        <w:t>)</w:t>
      </w:r>
    </w:p>
    <w:p w14:paraId="32981025">
      <w:pPr>
        <w:pStyle w:val="11"/>
        <w:keepLines/>
        <w:pageBreakBefore w:val="0"/>
        <w:kinsoku/>
        <w:wordWrap w:val="0"/>
        <w:overflowPunct/>
        <w:bidi w:val="0"/>
        <w:spacing w:line="265" w:lineRule="auto"/>
        <w:jc w:val="center"/>
        <w:textAlignment w:val="auto"/>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法定代表人或授权代表</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pacing w:val="0"/>
          <w:sz w:val="24"/>
          <w:szCs w:val="24"/>
          <w14:textFill>
            <w14:solidFill>
              <w14:schemeClr w14:val="tx1"/>
            </w14:solidFill>
          </w14:textFill>
        </w:rPr>
        <w:t>电子签章</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t xml:space="preserve">                          </w:t>
      </w:r>
    </w:p>
    <w:p w14:paraId="28C4DCFC">
      <w:pPr>
        <w:pStyle w:val="11"/>
        <w:keepLines/>
        <w:pageBreakBefore w:val="0"/>
        <w:kinsoku/>
        <w:wordWrap w:val="0"/>
        <w:overflowPunct/>
        <w:bidi w:val="0"/>
        <w:spacing w:line="265" w:lineRule="auto"/>
        <w:jc w:val="center"/>
        <w:textAlignment w:val="auto"/>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宋体"/>
          <w:b w:val="0"/>
          <w:bCs/>
          <w:color w:val="000000" w:themeColor="text1"/>
          <w:spacing w:val="0"/>
          <w:kern w:val="2"/>
          <w:sz w:val="24"/>
          <w:szCs w:val="24"/>
          <w:lang w:val="en-US" w:eastAsia="zh-CN" w:bidi="ar-SA"/>
          <w14:textFill>
            <w14:solidFill>
              <w14:schemeClr w14:val="tx1"/>
            </w14:solidFill>
          </w14:textFill>
        </w:rPr>
        <w:t xml:space="preserve">     年   月   日</w:t>
      </w:r>
    </w:p>
    <w:p w14:paraId="7C4504DE">
      <w:pPr>
        <w:keepLines/>
        <w:pageBreakBefore w:val="0"/>
        <w:kinsoku/>
        <w:wordWrap w:val="0"/>
        <w:overflowPunct/>
        <w:bidi w:val="0"/>
        <w:spacing w:line="360" w:lineRule="auto"/>
        <w:jc w:val="center"/>
        <w:textAlignment w:val="auto"/>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br w:type="page"/>
      </w:r>
      <w:r>
        <w:rPr>
          <w:rFonts w:hint="eastAsia" w:ascii="宋体" w:hAnsi="宋体" w:eastAsia="宋体" w:cs="宋体"/>
          <w:b/>
          <w:bCs w:val="0"/>
          <w:color w:val="000000" w:themeColor="text1"/>
          <w:sz w:val="32"/>
          <w:szCs w:val="32"/>
          <w:lang w:val="en-US" w:eastAsia="zh-CN"/>
          <w14:textFill>
            <w14:solidFill>
              <w14:schemeClr w14:val="tx1"/>
            </w14:solidFill>
          </w14:textFill>
        </w:rPr>
        <w:t>7、</w:t>
      </w:r>
      <w:r>
        <w:rPr>
          <w:rFonts w:hint="eastAsia" w:ascii="宋体" w:hAnsi="宋体" w:eastAsia="宋体" w:cs="宋体"/>
          <w:b/>
          <w:bCs w:val="0"/>
          <w:color w:val="000000" w:themeColor="text1"/>
          <w:sz w:val="32"/>
          <w:szCs w:val="32"/>
          <w14:textFill>
            <w14:solidFill>
              <w14:schemeClr w14:val="tx1"/>
            </w14:solidFill>
          </w14:textFill>
        </w:rPr>
        <w:t>响应保证金的交纳情况及开户许可证</w:t>
      </w:r>
    </w:p>
    <w:p w14:paraId="7189B233">
      <w:pPr>
        <w:pStyle w:val="11"/>
        <w:keepNext w:val="0"/>
        <w:keepLines/>
        <w:pageBreakBefore w:val="0"/>
        <w:widowControl w:val="0"/>
        <w:kinsoku/>
        <w:wordWrap w:val="0"/>
        <w:overflowPunct/>
        <w:topLinePunct w:val="0"/>
        <w:autoSpaceDE/>
        <w:autoSpaceDN/>
        <w:bidi w:val="0"/>
        <w:adjustRightInd/>
        <w:snapToGrid/>
        <w:spacing w:line="360" w:lineRule="auto"/>
        <w:ind w:firstLine="726" w:firstLineChars="300"/>
        <w:jc w:val="left"/>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p>
    <w:p w14:paraId="1049A150">
      <w:pPr>
        <w:keepLines/>
        <w:pageBreakBefore w:val="0"/>
        <w:kinsoku/>
        <w:wordWrap w:val="0"/>
        <w:overflowPunct/>
        <w:bidi w:val="0"/>
        <w:spacing w:line="360" w:lineRule="auto"/>
        <w:ind w:left="318" w:left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p>
    <w:p w14:paraId="739FA10A">
      <w:pPr>
        <w:pStyle w:val="11"/>
        <w:keepLines/>
        <w:pageBreakBefore w:val="0"/>
        <w:kinsoku/>
        <w:wordWrap w:val="0"/>
        <w:overflowPunct/>
        <w:bidi w:val="0"/>
        <w:spacing w:line="360" w:lineRule="auto"/>
        <w:jc w:val="left"/>
        <w:textAlignment w:val="auto"/>
        <w:rPr>
          <w:rFonts w:hint="eastAsia" w:ascii="宋体" w:hAnsi="宋体" w:eastAsia="宋体" w:cs="宋体"/>
          <w:color w:val="000000" w:themeColor="text1"/>
          <w:spacing w:val="0"/>
          <w:sz w:val="24"/>
          <w:szCs w:val="24"/>
          <w14:textFill>
            <w14:solidFill>
              <w14:schemeClr w14:val="tx1"/>
            </w14:solidFill>
          </w14:textFill>
        </w:rPr>
      </w:pPr>
    </w:p>
    <w:p w14:paraId="683CF2E9">
      <w:pPr>
        <w:keepNext w:val="0"/>
        <w:keepLines/>
        <w:pageBreakBefore w:val="0"/>
        <w:widowControl/>
        <w:suppressLineNumbers w:val="0"/>
        <w:kinsoku/>
        <w:wordWrap w:val="0"/>
        <w:overflowPunct/>
        <w:bidi w:val="0"/>
        <w:jc w:val="left"/>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br w:type="page"/>
      </w:r>
    </w:p>
    <w:p w14:paraId="197019C9">
      <w:pPr>
        <w:pStyle w:val="14"/>
        <w:keepLines/>
        <w:pageBreakBefore w:val="0"/>
        <w:numPr>
          <w:ilvl w:val="0"/>
          <w:numId w:val="0"/>
        </w:numPr>
        <w:kinsoku/>
        <w:wordWrap w:val="0"/>
        <w:overflowPunct/>
        <w:bidi w:val="0"/>
        <w:snapToGrid w:val="0"/>
        <w:spacing w:line="360" w:lineRule="auto"/>
        <w:jc w:val="center"/>
        <w:textAlignment w:val="auto"/>
        <w:rPr>
          <w:rFonts w:hint="eastAsia" w:ascii="宋体" w:hAnsi="宋体" w:eastAsia="宋体" w:cs="宋体"/>
          <w:b/>
          <w:bCs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bCs w:val="0"/>
          <w:color w:val="000000" w:themeColor="text1"/>
          <w:kern w:val="2"/>
          <w:sz w:val="32"/>
          <w:szCs w:val="32"/>
          <w:lang w:val="en-US" w:eastAsia="zh-CN" w:bidi="ar-SA"/>
          <w14:textFill>
            <w14:solidFill>
              <w14:schemeClr w14:val="tx1"/>
            </w14:solidFill>
          </w14:textFill>
        </w:rPr>
        <w:t>8、本项目需提供的特定资格证明材料</w:t>
      </w:r>
    </w:p>
    <w:p w14:paraId="4C8C7E8D">
      <w:pPr>
        <w:keepNext w:val="0"/>
        <w:keepLines/>
        <w:pageBreakBefore w:val="0"/>
        <w:widowControl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bCs w:val="0"/>
          <w:color w:val="000000" w:themeColor="text1"/>
          <w:kern w:val="2"/>
          <w:sz w:val="32"/>
          <w:szCs w:val="32"/>
          <w:lang w:val="en-US" w:eastAsia="zh-CN" w:bidi="ar-SA"/>
          <w14:textFill>
            <w14:solidFill>
              <w14:schemeClr w14:val="tx1"/>
            </w14:solidFill>
          </w14:textFill>
        </w:rPr>
      </w:pPr>
      <w:r>
        <w:rPr>
          <w:rFonts w:hint="eastAsia" w:ascii="宋体" w:hAnsi="宋体" w:eastAsia="宋体" w:cs="宋体"/>
          <w:b w:val="0"/>
          <w:bCs/>
          <w:color w:val="000000" w:themeColor="text1"/>
          <w:spacing w:val="0"/>
          <w:sz w:val="40"/>
          <w:szCs w:val="40"/>
          <w:lang w:val="en-US" w:eastAsia="zh-CN"/>
          <w14:textFill>
            <w14:solidFill>
              <w14:schemeClr w14:val="tx1"/>
            </w14:solidFill>
          </w14:textFill>
        </w:rPr>
        <w:br w:type="page"/>
      </w:r>
      <w:r>
        <w:rPr>
          <w:rFonts w:hint="eastAsia" w:ascii="宋体" w:hAnsi="宋体" w:eastAsia="宋体" w:cs="宋体"/>
          <w:b/>
          <w:bCs w:val="0"/>
          <w:color w:val="000000" w:themeColor="text1"/>
          <w:kern w:val="2"/>
          <w:sz w:val="32"/>
          <w:szCs w:val="32"/>
          <w:lang w:val="en-US" w:eastAsia="zh-CN" w:bidi="ar-SA"/>
          <w14:textFill>
            <w14:solidFill>
              <w14:schemeClr w14:val="tx1"/>
            </w14:solidFill>
          </w14:textFill>
        </w:rPr>
        <w:t>9、落实采购政策的要求</w:t>
      </w:r>
    </w:p>
    <w:p w14:paraId="0CBED7FD">
      <w:pPr>
        <w:keepLines/>
        <w:pageBreakBefore w:val="0"/>
        <w:kinsoku/>
        <w:wordWrap w:val="0"/>
        <w:overflowPunct/>
        <w:bidi w:val="0"/>
        <w:spacing w:line="360" w:lineRule="auto"/>
        <w:ind w:firstLine="564" w:firstLineChars="200"/>
        <w:jc w:val="center"/>
        <w:textAlignment w:val="auto"/>
        <w:rPr>
          <w:rFonts w:hint="eastAsia" w:ascii="宋体" w:hAnsi="宋体" w:eastAsia="宋体" w:cs="宋体"/>
          <w:b/>
          <w:bCs/>
          <w:color w:val="000000" w:themeColor="text1"/>
          <w:spacing w:val="0"/>
          <w:sz w:val="28"/>
          <w:szCs w:val="28"/>
          <w:lang w:val="en-US"/>
          <w14:textFill>
            <w14:solidFill>
              <w14:schemeClr w14:val="tx1"/>
            </w14:solidFill>
          </w14:textFill>
        </w:rPr>
      </w:pPr>
      <w:r>
        <w:rPr>
          <w:rFonts w:hint="eastAsia" w:ascii="宋体" w:hAnsi="宋体" w:eastAsia="宋体" w:cs="宋体"/>
          <w:b/>
          <w:bCs/>
          <w:color w:val="000000" w:themeColor="text1"/>
          <w:spacing w:val="0"/>
          <w:sz w:val="28"/>
          <w:szCs w:val="28"/>
          <w:lang w:val="en-US" w:eastAsia="zh-CN"/>
          <w14:textFill>
            <w14:solidFill>
              <w14:schemeClr w14:val="tx1"/>
            </w14:solidFill>
          </w14:textFill>
        </w:rPr>
        <w:t>中小企业声明函（工程）</w:t>
      </w:r>
    </w:p>
    <w:p w14:paraId="683B710B">
      <w:pPr>
        <w:keepLines/>
        <w:pageBreakBefore w:val="0"/>
        <w:kinsoku/>
        <w:wordWrap w:val="0"/>
        <w:overflowPunct/>
        <w:bidi w:val="0"/>
        <w:spacing w:line="360" w:lineRule="auto"/>
        <w:textAlignment w:val="auto"/>
        <w:rPr>
          <w:rFonts w:hint="eastAsia" w:ascii="宋体" w:hAnsi="宋体" w:eastAsia="宋体" w:cs="宋体"/>
          <w:b w:val="0"/>
          <w:bCs w:val="0"/>
          <w:color w:val="000000" w:themeColor="text1"/>
          <w:spacing w:val="0"/>
          <w:sz w:val="24"/>
          <w:lang w:val="en-US" w:eastAsia="zh-CN"/>
          <w14:textFill>
            <w14:solidFill>
              <w14:schemeClr w14:val="tx1"/>
            </w14:solidFill>
          </w14:textFill>
        </w:rPr>
      </w:pPr>
    </w:p>
    <w:p w14:paraId="485A81A2">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7EE225B3">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1. </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（标的名称） </w:t>
      </w:r>
      <w:r>
        <w:rPr>
          <w:rFonts w:hint="eastAsia" w:ascii="宋体" w:hAnsi="宋体" w:eastAsia="宋体" w:cs="宋体"/>
          <w:b w:val="0"/>
          <w:bCs w:val="0"/>
          <w:color w:val="000000" w:themeColor="text1"/>
          <w:spacing w:val="0"/>
          <w:sz w:val="24"/>
          <w:lang w:val="en-US" w:eastAsia="zh-CN"/>
          <w14:textFill>
            <w14:solidFill>
              <w14:schemeClr w14:val="tx1"/>
            </w14:solidFill>
          </w14:textFill>
        </w:rPr>
        <w:t>，属于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（所属行业）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承建（承接）企业为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（企业名称）</w:t>
      </w:r>
      <w:r>
        <w:rPr>
          <w:rFonts w:hint="eastAsia" w:ascii="宋体" w:hAnsi="宋体" w:eastAsia="宋体" w:cs="宋体"/>
          <w:b w:val="0"/>
          <w:bCs w:val="0"/>
          <w:color w:val="000000" w:themeColor="text1"/>
          <w:spacing w:val="0"/>
          <w:sz w:val="24"/>
          <w:lang w:val="en-US" w:eastAsia="zh-CN"/>
          <w14:textFill>
            <w14:solidFill>
              <w14:schemeClr w14:val="tx1"/>
            </w14:solidFill>
          </w14:textFill>
        </w:rPr>
        <w:t>，从业人员</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人，营业收入为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万元，资产总额为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 ，属于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（中型企业、小型企业、微型企业）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w:t>
      </w:r>
    </w:p>
    <w:p w14:paraId="3E6830A2">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2. </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（标的名称）</w:t>
      </w: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（所属行业）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承建（承接）企业为（企业名称），从业人员</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人，营业收入为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万元，资产总额为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（中型企业、小型企业、微型企业）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w:t>
      </w:r>
    </w:p>
    <w:p w14:paraId="724448E3">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w:t>
      </w:r>
    </w:p>
    <w:p w14:paraId="7F7A63AB">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以上企业，不属于大企业的分支机构，不存在控股股东为大企业的情形，也不存在与大企业的负责人为同一人的情形。 </w:t>
      </w:r>
    </w:p>
    <w:p w14:paraId="2DBC333C">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本企业对上述声明内容的真实性负责。如有虚假，将依法承担相应责任。 </w:t>
      </w:r>
    </w:p>
    <w:p w14:paraId="41AC2A36">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lang w:val="en-US" w:eastAsia="zh-CN"/>
          <w14:textFill>
            <w14:solidFill>
              <w14:schemeClr w14:val="tx1"/>
            </w14:solidFill>
          </w14:textFill>
        </w:rPr>
      </w:pPr>
    </w:p>
    <w:p w14:paraId="27EE6FDF">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lang w:val="en-US" w:eastAsia="zh-CN"/>
          <w14:textFill>
            <w14:solidFill>
              <w14:schemeClr w14:val="tx1"/>
            </w14:solidFill>
          </w14:textFill>
        </w:rPr>
      </w:pPr>
    </w:p>
    <w:p w14:paraId="402E0863">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企业名称（电子签章）： </w:t>
      </w:r>
    </w:p>
    <w:p w14:paraId="022A1FC7">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lang w:val="en-US"/>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日 期：  年  月  日</w:t>
      </w:r>
    </w:p>
    <w:p w14:paraId="06517BCC">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p>
    <w:p w14:paraId="6A3CD213">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p>
    <w:p w14:paraId="7EC9707E">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14:textFill>
            <w14:solidFill>
              <w14:schemeClr w14:val="tx1"/>
            </w14:solidFill>
          </w14:textFill>
        </w:rPr>
        <w:t>注：从业人员、营业收入、资产总额填报上一年度数据,无一年度数据的新成立企业可不填报</w:t>
      </w:r>
      <w:r>
        <w:rPr>
          <w:rFonts w:hint="eastAsia" w:ascii="宋体" w:hAnsi="宋体" w:eastAsia="宋体" w:cs="宋体"/>
          <w:b w:val="0"/>
          <w:bCs/>
          <w:color w:val="000000" w:themeColor="text1"/>
          <w:spacing w:val="0"/>
          <w:sz w:val="24"/>
          <w14:textFill>
            <w14:solidFill>
              <w14:schemeClr w14:val="tx1"/>
            </w14:solidFill>
          </w14:textFill>
        </w:rPr>
        <w:t>。</w:t>
      </w:r>
    </w:p>
    <w:p w14:paraId="6C335E46">
      <w:pPr>
        <w:pStyle w:val="14"/>
        <w:keepLines/>
        <w:pageBreakBefore w:val="0"/>
        <w:kinsoku/>
        <w:wordWrap w:val="0"/>
        <w:overflowPunct/>
        <w:bidi w:val="0"/>
        <w:textAlignment w:val="auto"/>
        <w:rPr>
          <w:rFonts w:hint="eastAsia" w:ascii="宋体" w:hAnsi="宋体" w:eastAsia="宋体" w:cs="宋体"/>
          <w:color w:val="000000" w:themeColor="text1"/>
          <w:lang w:val="en-US" w:eastAsia="zh-CN"/>
          <w14:textFill>
            <w14:solidFill>
              <w14:schemeClr w14:val="tx1"/>
            </w14:solidFill>
          </w14:textFill>
        </w:rPr>
      </w:pPr>
    </w:p>
    <w:p w14:paraId="194C9CCD">
      <w:pPr>
        <w:pStyle w:val="16"/>
        <w:keepLines/>
        <w:pageBreakBefore w:val="0"/>
        <w:kinsoku/>
        <w:wordWrap w:val="0"/>
        <w:overflowPunct/>
        <w:topLinePunct w:val="0"/>
        <w:autoSpaceDE/>
        <w:autoSpaceDN/>
        <w:bidi w:val="0"/>
        <w:ind w:left="0" w:leftChars="0" w:firstLine="0" w:firstLineChars="0"/>
        <w:textAlignment w:val="auto"/>
        <w:rPr>
          <w:rFonts w:hint="eastAsia" w:ascii="宋体" w:hAnsi="宋体" w:eastAsia="宋体" w:cs="宋体"/>
          <w:color w:val="000000" w:themeColor="text1"/>
          <w:spacing w:val="0"/>
          <w:sz w:val="24"/>
          <w:szCs w:val="24"/>
          <w:lang w:val="en-US" w:eastAsia="zh-CN"/>
          <w14:textFill>
            <w14:solidFill>
              <w14:schemeClr w14:val="tx1"/>
            </w14:solidFill>
          </w14:textFill>
        </w:rPr>
      </w:pPr>
    </w:p>
    <w:p w14:paraId="0CEEC33D">
      <w:pPr>
        <w:keepLines/>
        <w:pageBreakBefore w:val="0"/>
        <w:kinsoku/>
        <w:wordWrap w:val="0"/>
        <w:overflowPunct/>
        <w:topLinePunct w:val="0"/>
        <w:autoSpaceDE/>
        <w:autoSpaceDN/>
        <w:bidi w:val="0"/>
        <w:jc w:val="right"/>
        <w:textAlignment w:val="auto"/>
        <w:rPr>
          <w:rFonts w:hint="eastAsia" w:ascii="宋体" w:hAnsi="宋体" w:eastAsia="宋体" w:cs="宋体"/>
          <w:color w:val="000000" w:themeColor="text1"/>
          <w:spacing w:val="0"/>
          <w:szCs w:val="21"/>
          <w14:textFill>
            <w14:solidFill>
              <w14:schemeClr w14:val="tx1"/>
            </w14:solidFill>
          </w14:textFill>
        </w:rPr>
      </w:pPr>
    </w:p>
    <w:p w14:paraId="519DC64D">
      <w:pPr>
        <w:keepLines/>
        <w:pageBreakBefore w:val="0"/>
        <w:kinsoku/>
        <w:wordWrap w:val="0"/>
        <w:overflowPunct/>
        <w:topLinePunct w:val="0"/>
        <w:autoSpaceDE/>
        <w:autoSpaceDN/>
        <w:bidi w:val="0"/>
        <w:spacing w:line="360" w:lineRule="auto"/>
        <w:ind w:left="0" w:leftChars="0" w:firstLine="0" w:firstLineChars="0"/>
        <w:jc w:val="center"/>
        <w:textAlignment w:val="auto"/>
        <w:rPr>
          <w:rFonts w:hint="eastAsia" w:ascii="宋体" w:hAnsi="宋体" w:eastAsia="宋体" w:cs="宋体"/>
          <w:b/>
          <w:color w:val="000000" w:themeColor="text1"/>
          <w:spacing w:val="0"/>
          <w:sz w:val="36"/>
          <w:szCs w:val="36"/>
          <w14:textFill>
            <w14:solidFill>
              <w14:schemeClr w14:val="tx1"/>
            </w14:solidFill>
          </w14:textFill>
        </w:rPr>
      </w:pPr>
      <w:r>
        <w:rPr>
          <w:rFonts w:hint="eastAsia" w:ascii="宋体" w:hAnsi="宋体" w:eastAsia="宋体" w:cs="宋体"/>
          <w:b/>
          <w:color w:val="000000" w:themeColor="text1"/>
          <w:spacing w:val="0"/>
          <w:sz w:val="36"/>
          <w:szCs w:val="36"/>
          <w14:textFill>
            <w14:solidFill>
              <w14:schemeClr w14:val="tx1"/>
            </w14:solidFill>
          </w14:textFill>
        </w:rPr>
        <w:t>商务</w:t>
      </w:r>
      <w:r>
        <w:rPr>
          <w:rFonts w:hint="eastAsia" w:ascii="宋体" w:hAnsi="宋体" w:eastAsia="宋体" w:cs="宋体"/>
          <w:b/>
          <w:color w:val="000000" w:themeColor="text1"/>
          <w:spacing w:val="0"/>
          <w:sz w:val="36"/>
          <w:szCs w:val="36"/>
          <w:lang w:val="en-US" w:eastAsia="zh-CN"/>
          <w14:textFill>
            <w14:solidFill>
              <w14:schemeClr w14:val="tx1"/>
            </w14:solidFill>
          </w14:textFill>
        </w:rPr>
        <w:t>及报价</w:t>
      </w:r>
      <w:r>
        <w:rPr>
          <w:rFonts w:hint="eastAsia" w:ascii="宋体" w:hAnsi="宋体" w:eastAsia="宋体" w:cs="宋体"/>
          <w:b/>
          <w:color w:val="000000" w:themeColor="text1"/>
          <w:spacing w:val="0"/>
          <w:sz w:val="36"/>
          <w:szCs w:val="36"/>
          <w14:textFill>
            <w14:solidFill>
              <w14:schemeClr w14:val="tx1"/>
            </w14:solidFill>
          </w14:textFill>
        </w:rPr>
        <w:t>技术文件</w:t>
      </w:r>
    </w:p>
    <w:p w14:paraId="291D27DE">
      <w:pPr>
        <w:pStyle w:val="14"/>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color w:val="000000" w:themeColor="text1"/>
          <w:spacing w:val="0"/>
          <w:kern w:val="0"/>
          <w:sz w:val="24"/>
          <w:szCs w:val="24"/>
          <w14:textFill>
            <w14:solidFill>
              <w14:schemeClr w14:val="tx1"/>
            </w14:solidFill>
          </w14:textFill>
        </w:rPr>
      </w:pPr>
    </w:p>
    <w:p w14:paraId="15491CA2">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73F9EC71">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2357C2B4">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5A7FD431">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3C61AC44">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6546B762">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52DFC6AD">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255EAE28">
      <w:pPr>
        <w:keepLines/>
        <w:pageBreakBefore w:val="0"/>
        <w:kinsoku/>
        <w:wordWrap w:val="0"/>
        <w:overflowPunct/>
        <w:topLinePunct w:val="0"/>
        <w:autoSpaceDE/>
        <w:autoSpaceDN/>
        <w:bidi w:val="0"/>
        <w:spacing w:line="480" w:lineRule="auto"/>
        <w:jc w:val="center"/>
        <w:textAlignment w:val="auto"/>
        <w:rPr>
          <w:rFonts w:hint="eastAsia" w:ascii="宋体" w:hAnsi="宋体" w:eastAsia="宋体" w:cs="宋体"/>
          <w:b/>
          <w:color w:val="000000" w:themeColor="text1"/>
          <w:spacing w:val="0"/>
          <w:sz w:val="24"/>
          <w14:textFill>
            <w14:solidFill>
              <w14:schemeClr w14:val="tx1"/>
            </w14:solidFill>
          </w14:textFill>
        </w:rPr>
      </w:pPr>
    </w:p>
    <w:p w14:paraId="094CC695">
      <w:pPr>
        <w:keepLines/>
        <w:pageBreakBefore w:val="0"/>
        <w:widowControl/>
        <w:kinsoku/>
        <w:wordWrap w:val="0"/>
        <w:overflowPunct/>
        <w:topLinePunct w:val="0"/>
        <w:autoSpaceDE/>
        <w:autoSpaceDN/>
        <w:bidi w:val="0"/>
        <w:jc w:val="left"/>
        <w:textAlignment w:val="auto"/>
        <w:rPr>
          <w:rFonts w:hint="eastAsia" w:ascii="宋体" w:hAnsi="宋体" w:eastAsia="宋体" w:cs="宋体"/>
          <w:b/>
          <w:color w:val="000000" w:themeColor="text1"/>
          <w:spacing w:val="0"/>
          <w:sz w:val="24"/>
          <w14:textFill>
            <w14:solidFill>
              <w14:schemeClr w14:val="tx1"/>
            </w14:solidFill>
          </w14:textFill>
        </w:rPr>
      </w:pPr>
      <w:r>
        <w:rPr>
          <w:rFonts w:hint="eastAsia" w:ascii="宋体" w:hAnsi="宋体" w:eastAsia="宋体" w:cs="宋体"/>
          <w:b/>
          <w:color w:val="000000" w:themeColor="text1"/>
          <w:spacing w:val="0"/>
          <w:sz w:val="24"/>
          <w14:textFill>
            <w14:solidFill>
              <w14:schemeClr w14:val="tx1"/>
            </w14:solidFill>
          </w14:textFill>
        </w:rPr>
        <w:br w:type="page"/>
      </w:r>
    </w:p>
    <w:p w14:paraId="52E35B0A">
      <w:pPr>
        <w:keepLines/>
        <w:pageBreakBefore w:val="0"/>
        <w:kinsoku/>
        <w:wordWrap w:val="0"/>
        <w:overflowPunct/>
        <w:topLinePunct w:val="0"/>
        <w:autoSpaceDE/>
        <w:autoSpaceDN/>
        <w:bidi w:val="0"/>
        <w:spacing w:line="276"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lang w:val="en-US" w:eastAsia="zh-CN"/>
          <w14:textFill>
            <w14:solidFill>
              <w14:schemeClr w14:val="tx1"/>
            </w14:solidFill>
          </w14:textFill>
        </w:rPr>
        <w:t>1、报  价</w:t>
      </w:r>
      <w:r>
        <w:rPr>
          <w:rFonts w:hint="eastAsia" w:ascii="宋体" w:hAnsi="宋体" w:eastAsia="宋体" w:cs="宋体"/>
          <w:b/>
          <w:color w:val="000000" w:themeColor="text1"/>
          <w:spacing w:val="0"/>
          <w:sz w:val="32"/>
          <w:szCs w:val="32"/>
          <w14:textFill>
            <w14:solidFill>
              <w14:schemeClr w14:val="tx1"/>
            </w14:solidFill>
          </w14:textFill>
        </w:rPr>
        <w:t xml:space="preserve">  函</w:t>
      </w:r>
    </w:p>
    <w:p w14:paraId="7013340D">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u w:val="single"/>
          <w14:textFill>
            <w14:solidFill>
              <w14:schemeClr w14:val="tx1"/>
            </w14:solidFill>
          </w14:textFill>
        </w:rPr>
        <w:t xml:space="preserve">                      (供应商全称)</w:t>
      </w:r>
      <w:r>
        <w:rPr>
          <w:rFonts w:hint="eastAsia" w:ascii="宋体" w:hAnsi="宋体" w:eastAsia="宋体" w:cs="宋体"/>
          <w:b w:val="0"/>
          <w:bCs/>
          <w:color w:val="000000" w:themeColor="text1"/>
          <w:sz w:val="24"/>
          <w:szCs w:val="24"/>
          <w14:textFill>
            <w14:solidFill>
              <w14:schemeClr w14:val="tx1"/>
            </w14:solidFill>
          </w14:textFill>
        </w:rPr>
        <w:t>授权</w:t>
      </w:r>
      <w:r>
        <w:rPr>
          <w:rFonts w:hint="eastAsia" w:ascii="宋体" w:hAnsi="宋体" w:eastAsia="宋体" w:cs="宋体"/>
          <w:b w:val="0"/>
          <w:bCs/>
          <w:color w:val="000000" w:themeColor="text1"/>
          <w:sz w:val="24"/>
          <w:szCs w:val="24"/>
          <w:u w:val="single"/>
          <w14:textFill>
            <w14:solidFill>
              <w14:schemeClr w14:val="tx1"/>
            </w14:solidFill>
          </w14:textFill>
        </w:rPr>
        <w:t xml:space="preserve">          (供应商代表姓名) </w:t>
      </w:r>
      <w:r>
        <w:rPr>
          <w:rFonts w:hint="eastAsia" w:ascii="宋体" w:hAnsi="宋体" w:eastAsia="宋体" w:cs="宋体"/>
          <w:b w:val="0"/>
          <w:bCs/>
          <w:color w:val="000000" w:themeColor="text1"/>
          <w:sz w:val="24"/>
          <w:szCs w:val="24"/>
          <w14:textFill>
            <w14:solidFill>
              <w14:schemeClr w14:val="tx1"/>
            </w14:solidFill>
          </w14:textFill>
        </w:rPr>
        <w:t xml:space="preserve">(职务、职称)为我方代表，参加贵方组织的 </w:t>
      </w:r>
      <w:r>
        <w:rPr>
          <w:rFonts w:hint="eastAsia" w:ascii="宋体" w:hAnsi="宋体" w:eastAsia="宋体" w:cs="宋体"/>
          <w:b w:val="0"/>
          <w:bCs/>
          <w:color w:val="000000" w:themeColor="text1"/>
          <w:sz w:val="24"/>
          <w:szCs w:val="24"/>
          <w:u w:val="single"/>
          <w14:textFill>
            <w14:solidFill>
              <w14:schemeClr w14:val="tx1"/>
            </w14:solidFill>
          </w14:textFill>
        </w:rPr>
        <w:t xml:space="preserve">                   (项目名称、项目编号)</w:t>
      </w:r>
      <w:r>
        <w:rPr>
          <w:rFonts w:hint="eastAsia" w:ascii="宋体" w:hAnsi="宋体" w:eastAsia="宋体" w:cs="宋体"/>
          <w:b w:val="0"/>
          <w:bCs/>
          <w:color w:val="000000" w:themeColor="text1"/>
          <w:sz w:val="24"/>
          <w:szCs w:val="24"/>
          <w14:textFill>
            <w14:solidFill>
              <w14:schemeClr w14:val="tx1"/>
            </w14:solidFill>
          </w14:textFill>
        </w:rPr>
        <w:t>竞争性</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的有关活动，并对此项目进行报价。为此：</w:t>
      </w:r>
    </w:p>
    <w:p w14:paraId="62D65908">
      <w:pPr>
        <w:pStyle w:val="35"/>
        <w:keepLines/>
        <w:pageBreakBefore w:val="0"/>
        <w:tabs>
          <w:tab w:val="left" w:pos="1711"/>
        </w:tabs>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1、我方已仔细研究了本项目</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文件的全部内容，愿意以以下报价，按照</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文件要求及合同约定完成项目。</w:t>
      </w:r>
    </w:p>
    <w:p w14:paraId="0FEA2153">
      <w:pPr>
        <w:pStyle w:val="35"/>
        <w:keepLines/>
        <w:pageBreakBefore w:val="0"/>
        <w:tabs>
          <w:tab w:val="left" w:pos="1711"/>
        </w:tabs>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人民币（大写）</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 xml:space="preserve">元（￥ </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元）</w:t>
      </w:r>
    </w:p>
    <w:p w14:paraId="60E43257">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2、我方同意在本项目</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文件中规定的响应文件有效期 90个日历天内（自递交响应文件之日起计算）遵守本</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文件中的承诺且在此期限期满之前均具有约束力。如果成交，响应文件有效期延长至合同履约完毕。</w:t>
      </w:r>
    </w:p>
    <w:p w14:paraId="56630F6A">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3、我方承诺已经具备《中华人民共和国政府采购法》中规定的参加政府采购活动的供应商应当具备的全部条件和本</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文件规定的特定资质要求。</w:t>
      </w:r>
    </w:p>
    <w:p w14:paraId="7DCE3C6E">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4、提供</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须知规定的全部响应文件（电子响应文件和纸质版响应文件）。</w:t>
      </w:r>
    </w:p>
    <w:p w14:paraId="70891C7B">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5、</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文件要求提供和交付的货物和服务的报价详见报价一览表。</w:t>
      </w:r>
    </w:p>
    <w:p w14:paraId="4C77CAF5">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6、我方承诺：完全理解</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报价超过</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文件公布的预算金额或最高限价时，报价将拒绝。</w:t>
      </w:r>
    </w:p>
    <w:p w14:paraId="60ABDC37">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7、保证忠实地执行双方所签订的合同，并承担合同规定的责任和义务。</w:t>
      </w:r>
    </w:p>
    <w:p w14:paraId="7B71B34F">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8、承诺完全满足和响应</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文件中的各项商务和技术要求，若有偏差，已在响应文件商务条款偏离表中予以明确特别说明。</w:t>
      </w:r>
    </w:p>
    <w:p w14:paraId="7D29271E">
      <w:pPr>
        <w:pStyle w:val="35"/>
        <w:keepLines/>
        <w:pageBreakBefore w:val="0"/>
        <w:kinsoku/>
        <w:wordWrap w:val="0"/>
        <w:overflowPunct/>
        <w:topLinePunct w:val="0"/>
        <w:autoSpaceDE/>
        <w:autoSpaceDN/>
        <w:bidi w:val="0"/>
        <w:snapToGrid w:val="0"/>
        <w:spacing w:line="360" w:lineRule="auto"/>
        <w:ind w:firstLine="473" w:firstLineChars="196"/>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9、保证遵守</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文件的规定。</w:t>
      </w:r>
    </w:p>
    <w:p w14:paraId="7F5C3A9E">
      <w:pPr>
        <w:pStyle w:val="35"/>
        <w:keepLines/>
        <w:pageBreakBefore w:val="0"/>
        <w:kinsoku/>
        <w:wordWrap w:val="0"/>
        <w:overflowPunct/>
        <w:topLinePunct w:val="0"/>
        <w:autoSpaceDE/>
        <w:autoSpaceDN/>
        <w:bidi w:val="0"/>
        <w:snapToGrid w:val="0"/>
        <w:spacing w:line="360" w:lineRule="auto"/>
        <w:ind w:firstLine="473" w:firstLineChars="196"/>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10、我方承诺对</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小组依法从符合相应资格条件的供应商中，确定参加</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的供应商没有任何异议。</w:t>
      </w:r>
    </w:p>
    <w:p w14:paraId="5960BC5B">
      <w:pPr>
        <w:pStyle w:val="35"/>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11、对贵方在本次</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公告刊登的媒体上发布的公告或与本项目有关的通知，我方会及时查看获取。若因线路故障等其他原因导致通知延迟获取或无法获取，责任由我方自负。</w:t>
      </w:r>
    </w:p>
    <w:p w14:paraId="3047B8B6">
      <w:pPr>
        <w:pStyle w:val="35"/>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12、我方愿意向贵方提供任何与本项</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有关的数据、情况和技术资料。若贵方需要，我方愿意提供我方做出的一切承诺的证明材料。</w:t>
      </w:r>
    </w:p>
    <w:p w14:paraId="1B1D7AD5">
      <w:pPr>
        <w:pStyle w:val="35"/>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13、我方已详细审核全部响应文件，包括响应文件修改书（如有的话）、参考资料及有关附件，确认无误。</w:t>
      </w:r>
    </w:p>
    <w:p w14:paraId="2DA13771">
      <w:pPr>
        <w:pStyle w:val="35"/>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14、我方承诺：采购人若需追加采购本项目</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文件所列货物及相关服务的，在不改变合同其他实质性条款的前提下，按相同或更优惠的折扣率保证供货。</w:t>
      </w:r>
    </w:p>
    <w:p w14:paraId="0814300E">
      <w:pPr>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所有有关本次</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的一切往来联系方式为：</w:t>
      </w:r>
    </w:p>
    <w:p w14:paraId="10A2EBBF">
      <w:pPr>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地址：</w:t>
      </w:r>
      <w:r>
        <w:rPr>
          <w:rFonts w:hint="eastAsia" w:ascii="宋体" w:hAnsi="宋体" w:eastAsia="宋体" w:cs="宋体"/>
          <w:b w:val="0"/>
          <w:bCs/>
          <w:color w:val="000000" w:themeColor="text1"/>
          <w:sz w:val="24"/>
          <w:szCs w:val="24"/>
          <w14:textFill>
            <w14:solidFill>
              <w14:schemeClr w14:val="tx1"/>
            </w14:solidFill>
          </w14:textFill>
        </w:rPr>
        <w:tab/>
      </w:r>
      <w:r>
        <w:rPr>
          <w:rFonts w:hint="eastAsia" w:ascii="宋体" w:hAnsi="宋体" w:eastAsia="宋体" w:cs="宋体"/>
          <w:b w:val="0"/>
          <w:bCs/>
          <w:color w:val="000000" w:themeColor="text1"/>
          <w:sz w:val="24"/>
          <w:szCs w:val="24"/>
          <w14:textFill>
            <w14:solidFill>
              <w14:schemeClr w14:val="tx1"/>
            </w14:solidFill>
          </w14:textFill>
        </w:rPr>
        <w:t xml:space="preserve">                            邮编：</w:t>
      </w:r>
      <w:r>
        <w:rPr>
          <w:rFonts w:hint="eastAsia" w:ascii="宋体" w:hAnsi="宋体" w:eastAsia="宋体" w:cs="宋体"/>
          <w:b w:val="0"/>
          <w:bCs/>
          <w:color w:val="000000" w:themeColor="text1"/>
          <w:sz w:val="24"/>
          <w:szCs w:val="24"/>
          <w14:textFill>
            <w14:solidFill>
              <w14:schemeClr w14:val="tx1"/>
            </w14:solidFill>
          </w14:textFill>
        </w:rPr>
        <w:tab/>
      </w:r>
    </w:p>
    <w:p w14:paraId="7CE3994C">
      <w:pPr>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电话：</w:t>
      </w:r>
      <w:r>
        <w:rPr>
          <w:rFonts w:hint="eastAsia" w:ascii="宋体" w:hAnsi="宋体" w:eastAsia="宋体" w:cs="宋体"/>
          <w:b w:val="0"/>
          <w:bCs/>
          <w:color w:val="000000" w:themeColor="text1"/>
          <w:sz w:val="24"/>
          <w:szCs w:val="24"/>
          <w14:textFill>
            <w14:solidFill>
              <w14:schemeClr w14:val="tx1"/>
            </w14:solidFill>
          </w14:textFill>
        </w:rPr>
        <w:tab/>
      </w:r>
      <w:r>
        <w:rPr>
          <w:rFonts w:hint="eastAsia" w:ascii="宋体" w:hAnsi="宋体" w:eastAsia="宋体" w:cs="宋体"/>
          <w:b w:val="0"/>
          <w:bCs/>
          <w:color w:val="000000" w:themeColor="text1"/>
          <w:sz w:val="24"/>
          <w:szCs w:val="24"/>
          <w14:textFill>
            <w14:solidFill>
              <w14:schemeClr w14:val="tx1"/>
            </w14:solidFill>
          </w14:textFill>
        </w:rPr>
        <w:t xml:space="preserve">                            传真：</w:t>
      </w:r>
    </w:p>
    <w:p w14:paraId="72CB1286">
      <w:pPr>
        <w:keepLines/>
        <w:pageBreakBefore w:val="0"/>
        <w:tabs>
          <w:tab w:val="left" w:pos="480"/>
        </w:tabs>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供应商代表姓名：</w:t>
      </w:r>
    </w:p>
    <w:p w14:paraId="2F3F59F0">
      <w:pPr>
        <w:keepLines/>
        <w:pageBreakBefore w:val="0"/>
        <w:tabs>
          <w:tab w:val="left" w:pos="480"/>
        </w:tabs>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供应商代表联系电话：     </w:t>
      </w:r>
    </w:p>
    <w:p w14:paraId="74CEF313">
      <w:pPr>
        <w:keepLines/>
        <w:pageBreakBefore w:val="0"/>
        <w:tabs>
          <w:tab w:val="left" w:pos="480"/>
        </w:tabs>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p>
    <w:p w14:paraId="4E704D57">
      <w:pPr>
        <w:keepLines/>
        <w:pageBreakBefore w:val="0"/>
        <w:kinsoku/>
        <w:wordWrap w:val="0"/>
        <w:overflowPunct/>
        <w:topLinePunct w:val="0"/>
        <w:autoSpaceDE/>
        <w:autoSpaceDN/>
        <w:bidi w:val="0"/>
        <w:snapToGrid w:val="0"/>
        <w:spacing w:line="360" w:lineRule="auto"/>
        <w:ind w:firstLine="2299" w:firstLineChars="950"/>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pacing w:val="0"/>
          <w:sz w:val="24"/>
          <w:szCs w:val="24"/>
          <w14:textFill>
            <w14:solidFill>
              <w14:schemeClr w14:val="tx1"/>
            </w14:solidFill>
          </w14:textFill>
        </w:rPr>
        <w:t>磋商</w:t>
      </w:r>
      <w:r>
        <w:rPr>
          <w:rFonts w:hint="eastAsia" w:ascii="宋体" w:hAnsi="宋体" w:eastAsia="宋体" w:cs="宋体"/>
          <w:color w:val="000000" w:themeColor="text1"/>
          <w:spacing w:val="-8"/>
          <w:sz w:val="24"/>
          <w:szCs w:val="24"/>
          <w14:textFill>
            <w14:solidFill>
              <w14:schemeClr w14:val="tx1"/>
            </w14:solidFill>
          </w14:textFill>
        </w:rPr>
        <w:t>供应商</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u w:val="single"/>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（电子签章）</w:t>
      </w:r>
    </w:p>
    <w:p w14:paraId="293F8F57">
      <w:pPr>
        <w:keepLines/>
        <w:pageBreakBefore w:val="0"/>
        <w:kinsoku/>
        <w:wordWrap w:val="0"/>
        <w:overflowPunct/>
        <w:topLinePunct w:val="0"/>
        <w:autoSpaceDE/>
        <w:autoSpaceDN/>
        <w:bidi w:val="0"/>
        <w:snapToGrid w:val="0"/>
        <w:spacing w:line="360" w:lineRule="auto"/>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 xml:space="preserve">                                               年  月  日</w:t>
      </w:r>
    </w:p>
    <w:p w14:paraId="198C6FA2">
      <w:pPr>
        <w:keepLines/>
        <w:pageBreakBefore w:val="0"/>
        <w:kinsoku/>
        <w:wordWrap w:val="0"/>
        <w:overflowPunct/>
        <w:topLinePunct w:val="0"/>
        <w:autoSpaceDE/>
        <w:autoSpaceDN/>
        <w:bidi w:val="0"/>
        <w:spacing w:line="360" w:lineRule="auto"/>
        <w:jc w:val="left"/>
        <w:textAlignment w:val="auto"/>
        <w:rPr>
          <w:rFonts w:hint="eastAsia" w:ascii="宋体" w:hAnsi="宋体" w:eastAsia="宋体" w:cs="宋体"/>
          <w:b w:val="0"/>
          <w:bCs/>
          <w:color w:val="000000" w:themeColor="text1"/>
          <w:sz w:val="28"/>
          <w:szCs w:val="28"/>
          <w14:textFill>
            <w14:solidFill>
              <w14:schemeClr w14:val="tx1"/>
            </w14:solidFill>
          </w14:textFill>
        </w:rPr>
      </w:pPr>
    </w:p>
    <w:p w14:paraId="49230C87">
      <w:pPr>
        <w:keepLines/>
        <w:pageBreakBefore w:val="0"/>
        <w:widowControl/>
        <w:kinsoku/>
        <w:wordWrap w:val="0"/>
        <w:overflowPunct/>
        <w:topLinePunct w:val="0"/>
        <w:autoSpaceDE/>
        <w:autoSpaceDN/>
        <w:bidi w:val="0"/>
        <w:spacing w:line="360" w:lineRule="auto"/>
        <w:jc w:val="left"/>
        <w:textAlignment w:val="auto"/>
        <w:rPr>
          <w:rFonts w:hint="eastAsia" w:ascii="宋体" w:hAnsi="宋体" w:eastAsia="宋体" w:cs="宋体"/>
          <w:b w:val="0"/>
          <w:bCs/>
          <w:color w:val="000000" w:themeColor="text1"/>
          <w:spacing w:val="20"/>
          <w:sz w:val="28"/>
          <w:szCs w:val="28"/>
          <w14:textFill>
            <w14:solidFill>
              <w14:schemeClr w14:val="tx1"/>
            </w14:solidFill>
          </w14:textFill>
        </w:rPr>
      </w:pPr>
      <w:r>
        <w:rPr>
          <w:rFonts w:hint="eastAsia" w:ascii="宋体" w:hAnsi="宋体" w:eastAsia="宋体" w:cs="宋体"/>
          <w:b w:val="0"/>
          <w:bCs/>
          <w:color w:val="000000" w:themeColor="text1"/>
          <w:sz w:val="28"/>
          <w:szCs w:val="28"/>
          <w14:textFill>
            <w14:solidFill>
              <w14:schemeClr w14:val="tx1"/>
            </w14:solidFill>
          </w14:textFill>
        </w:rPr>
        <w:br w:type="page"/>
      </w:r>
    </w:p>
    <w:p w14:paraId="35A7E0FA">
      <w:pPr>
        <w:keepLines/>
        <w:pageBreakBefore w:val="0"/>
        <w:kinsoku/>
        <w:wordWrap w:val="0"/>
        <w:overflowPunct/>
        <w:topLinePunct w:val="0"/>
        <w:autoSpaceDE/>
        <w:autoSpaceDN/>
        <w:bidi w:val="0"/>
        <w:spacing w:line="276" w:lineRule="auto"/>
        <w:jc w:val="center"/>
        <w:textAlignment w:val="auto"/>
        <w:rPr>
          <w:rFonts w:hint="eastAsia" w:ascii="宋体" w:hAnsi="宋体" w:eastAsia="宋体" w:cs="宋体"/>
          <w:b/>
          <w:color w:val="000000" w:themeColor="text1"/>
          <w:spacing w:val="0"/>
          <w:sz w:val="32"/>
          <w:szCs w:val="32"/>
          <w:lang w:val="en-US" w:eastAsia="zh-CN"/>
          <w14:textFill>
            <w14:solidFill>
              <w14:schemeClr w14:val="tx1"/>
            </w14:solidFill>
          </w14:textFill>
        </w:rPr>
      </w:pPr>
      <w:r>
        <w:rPr>
          <w:rFonts w:hint="eastAsia" w:ascii="宋体" w:hAnsi="宋体" w:eastAsia="宋体" w:cs="宋体"/>
          <w:b/>
          <w:color w:val="000000" w:themeColor="text1"/>
          <w:spacing w:val="0"/>
          <w:sz w:val="32"/>
          <w:szCs w:val="32"/>
          <w:lang w:val="en-US" w:eastAsia="zh-CN"/>
          <w14:textFill>
            <w14:solidFill>
              <w14:schemeClr w14:val="tx1"/>
            </w14:solidFill>
          </w14:textFill>
        </w:rPr>
        <w:t>2、报价一览表</w:t>
      </w:r>
    </w:p>
    <w:p w14:paraId="4C0AA548">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z w:val="20"/>
          <w:szCs w:val="21"/>
          <w:lang w:eastAsia="zh-CN"/>
          <w14:textFill>
            <w14:solidFill>
              <w14:schemeClr w14:val="tx1"/>
            </w14:solidFill>
          </w14:textFill>
        </w:rPr>
      </w:pPr>
    </w:p>
    <w:p w14:paraId="63333613">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项目名称：</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 xml:space="preserve">    </w:t>
      </w:r>
    </w:p>
    <w:p w14:paraId="07FD398E">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项目编号：</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 xml:space="preserve">    </w:t>
      </w:r>
    </w:p>
    <w:p w14:paraId="2FA12095">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 xml:space="preserve">                                                                                                </w:t>
      </w:r>
    </w:p>
    <w:tbl>
      <w:tblPr>
        <w:tblStyle w:val="27"/>
        <w:tblW w:w="837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73"/>
        <w:gridCol w:w="2084"/>
        <w:gridCol w:w="1680"/>
        <w:gridCol w:w="2339"/>
      </w:tblGrid>
      <w:tr w14:paraId="7C3CF9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7FDD99DC">
            <w:pPr>
              <w:keepLines/>
              <w:pageBreakBefore w:val="0"/>
              <w:kinsoku/>
              <w:wordWrap w:val="0"/>
              <w:overflowPunct/>
              <w:topLinePunct w:val="0"/>
              <w:autoSpaceDE/>
              <w:autoSpaceDN/>
              <w:bidi w:val="0"/>
              <w:spacing w:line="360" w:lineRule="auto"/>
              <w:ind w:right="-36" w:rightChars="-17"/>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报价人名称</w:t>
            </w:r>
          </w:p>
        </w:tc>
        <w:tc>
          <w:tcPr>
            <w:tcW w:w="6103" w:type="dxa"/>
            <w:gridSpan w:val="3"/>
            <w:vAlign w:val="center"/>
          </w:tcPr>
          <w:p w14:paraId="14F87281">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14:textFill>
                  <w14:solidFill>
                    <w14:schemeClr w14:val="tx1"/>
                  </w14:solidFill>
                </w14:textFill>
              </w:rPr>
            </w:pPr>
          </w:p>
        </w:tc>
      </w:tr>
      <w:tr w14:paraId="43F37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5D8845CE">
            <w:pPr>
              <w:keepLines/>
              <w:pageBreakBefore w:val="0"/>
              <w:kinsoku/>
              <w:wordWrap w:val="0"/>
              <w:overflowPunct/>
              <w:topLinePunct w:val="0"/>
              <w:autoSpaceDE/>
              <w:autoSpaceDN/>
              <w:bidi w:val="0"/>
              <w:spacing w:line="360" w:lineRule="auto"/>
              <w:ind w:right="-36" w:rightChars="-17"/>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法定代表人</w:t>
            </w:r>
          </w:p>
        </w:tc>
        <w:tc>
          <w:tcPr>
            <w:tcW w:w="6103" w:type="dxa"/>
            <w:gridSpan w:val="3"/>
            <w:vAlign w:val="center"/>
          </w:tcPr>
          <w:p w14:paraId="19B516A0">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14:textFill>
                  <w14:solidFill>
                    <w14:schemeClr w14:val="tx1"/>
                  </w14:solidFill>
                </w14:textFill>
              </w:rPr>
            </w:pPr>
          </w:p>
        </w:tc>
      </w:tr>
      <w:tr w14:paraId="7AA809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7FB986DB">
            <w:pPr>
              <w:keepLines/>
              <w:pageBreakBefore w:val="0"/>
              <w:kinsoku/>
              <w:wordWrap w:val="0"/>
              <w:overflowPunct/>
              <w:topLinePunct w:val="0"/>
              <w:autoSpaceDE/>
              <w:autoSpaceDN/>
              <w:bidi w:val="0"/>
              <w:spacing w:line="360" w:lineRule="auto"/>
              <w:ind w:right="-36" w:rightChars="-17"/>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w:t>
            </w:r>
            <w:r>
              <w:rPr>
                <w:rFonts w:hint="eastAsia" w:ascii="宋体" w:hAnsi="宋体" w:eastAsia="宋体" w:cs="宋体"/>
                <w:color w:val="000000" w:themeColor="text1"/>
                <w:sz w:val="21"/>
                <w:szCs w:val="21"/>
                <w:lang w:val="en-US" w:eastAsia="zh-CN"/>
                <w14:textFill>
                  <w14:solidFill>
                    <w14:schemeClr w14:val="tx1"/>
                  </w14:solidFill>
                </w14:textFill>
              </w:rPr>
              <w:t>经理</w:t>
            </w:r>
          </w:p>
        </w:tc>
        <w:tc>
          <w:tcPr>
            <w:tcW w:w="2084" w:type="dxa"/>
            <w:tcBorders>
              <w:right w:val="single" w:color="auto" w:sz="4" w:space="0"/>
            </w:tcBorders>
            <w:vAlign w:val="center"/>
          </w:tcPr>
          <w:p w14:paraId="5B9425F8">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14:textFill>
                  <w14:solidFill>
                    <w14:schemeClr w14:val="tx1"/>
                  </w14:solidFill>
                </w14:textFill>
              </w:rPr>
            </w:pPr>
          </w:p>
          <w:p w14:paraId="2A9CA4AD">
            <w:pPr>
              <w:pStyle w:val="17"/>
              <w:keepLines/>
              <w:pageBreakBefore w:val="0"/>
              <w:kinsoku/>
              <w:wordWrap w:val="0"/>
              <w:overflowPunct/>
              <w:bidi w:val="0"/>
              <w:textAlignment w:val="auto"/>
              <w:rPr>
                <w:rFonts w:hint="eastAsia" w:ascii="宋体" w:hAnsi="宋体" w:eastAsia="宋体" w:cs="宋体"/>
                <w:color w:val="000000" w:themeColor="text1"/>
                <w:sz w:val="21"/>
                <w:szCs w:val="21"/>
                <w14:textFill>
                  <w14:solidFill>
                    <w14:schemeClr w14:val="tx1"/>
                  </w14:solidFill>
                </w14:textFill>
              </w:rPr>
            </w:pPr>
          </w:p>
        </w:tc>
        <w:tc>
          <w:tcPr>
            <w:tcW w:w="1680" w:type="dxa"/>
            <w:tcBorders>
              <w:left w:val="single" w:color="auto" w:sz="4" w:space="0"/>
              <w:right w:val="single" w:color="auto" w:sz="4" w:space="0"/>
            </w:tcBorders>
            <w:vAlign w:val="center"/>
          </w:tcPr>
          <w:p w14:paraId="4AF02ADE">
            <w:pPr>
              <w:keepLines/>
              <w:pageBreakBefore w:val="0"/>
              <w:kinsoku/>
              <w:wordWrap w:val="0"/>
              <w:overflowPunct/>
              <w:topLinePunct w:val="0"/>
              <w:autoSpaceDE/>
              <w:autoSpaceDN/>
              <w:bidi w:val="0"/>
              <w:spacing w:line="360" w:lineRule="auto"/>
              <w:ind w:right="-508" w:rightChars="-24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技术负责人</w:t>
            </w:r>
          </w:p>
        </w:tc>
        <w:tc>
          <w:tcPr>
            <w:tcW w:w="2339" w:type="dxa"/>
            <w:tcBorders>
              <w:left w:val="single" w:color="auto" w:sz="4" w:space="0"/>
            </w:tcBorders>
            <w:vAlign w:val="center"/>
          </w:tcPr>
          <w:p w14:paraId="47B0E0FD">
            <w:pPr>
              <w:keepLines/>
              <w:pageBreakBefore w:val="0"/>
              <w:kinsoku/>
              <w:wordWrap w:val="0"/>
              <w:overflowPunct/>
              <w:topLinePunct w:val="0"/>
              <w:autoSpaceDE/>
              <w:autoSpaceDN/>
              <w:bidi w:val="0"/>
              <w:spacing w:line="360" w:lineRule="auto"/>
              <w:ind w:right="-508" w:rightChars="-24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DBFC1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5CD3CBF6">
            <w:pPr>
              <w:keepLines/>
              <w:pageBreakBefore w:val="0"/>
              <w:kinsoku/>
              <w:wordWrap w:val="0"/>
              <w:overflowPunct/>
              <w:topLinePunct w:val="0"/>
              <w:autoSpaceDE/>
              <w:autoSpaceDN/>
              <w:bidi w:val="0"/>
              <w:spacing w:line="360" w:lineRule="auto"/>
              <w:ind w:right="-36" w:rightChars="-17"/>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投标报价</w:t>
            </w:r>
          </w:p>
          <w:p w14:paraId="7B675613">
            <w:pPr>
              <w:keepLines/>
              <w:pageBreakBefore w:val="0"/>
              <w:kinsoku/>
              <w:wordWrap w:val="0"/>
              <w:overflowPunct/>
              <w:topLinePunct w:val="0"/>
              <w:autoSpaceDE/>
              <w:autoSpaceDN/>
              <w:bidi w:val="0"/>
              <w:spacing w:line="360" w:lineRule="auto"/>
              <w:ind w:right="-36" w:rightChars="-17"/>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（总价）</w:t>
            </w:r>
          </w:p>
        </w:tc>
        <w:tc>
          <w:tcPr>
            <w:tcW w:w="6103" w:type="dxa"/>
            <w:gridSpan w:val="3"/>
            <w:vAlign w:val="center"/>
          </w:tcPr>
          <w:p w14:paraId="3D46B8C8">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人民币大写：</w:t>
            </w:r>
            <w:r>
              <w:rPr>
                <w:rFonts w:hint="eastAsia" w:ascii="宋体" w:hAnsi="宋体" w:eastAsia="宋体" w:cs="宋体"/>
                <w:color w:val="000000" w:themeColor="text1"/>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元</w:t>
            </w:r>
          </w:p>
          <w:p w14:paraId="2BA1F6EC">
            <w:pPr>
              <w:keepLines/>
              <w:pageBreakBefore w:val="0"/>
              <w:kinsoku/>
              <w:wordWrap w:val="0"/>
              <w:overflowPunct/>
              <w:topLinePunct w:val="0"/>
              <w:autoSpaceDE/>
              <w:autoSpaceDN/>
              <w:bidi w:val="0"/>
              <w:spacing w:line="360" w:lineRule="auto"/>
              <w:ind w:right="-508" w:rightChars="-240" w:firstLine="848" w:firstLineChars="40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u w:val="single"/>
                <w:lang w:eastAsia="zh-CN"/>
                <w14:textFill>
                  <w14:solidFill>
                    <w14:schemeClr w14:val="tx1"/>
                  </w14:solidFill>
                </w14:textFill>
              </w:rPr>
              <w:t xml:space="preserve">                    </w:t>
            </w:r>
            <w:r>
              <w:rPr>
                <w:rFonts w:hint="eastAsia" w:ascii="宋体" w:hAnsi="宋体" w:eastAsia="宋体" w:cs="宋体"/>
                <w:color w:val="000000" w:themeColor="text1"/>
                <w:sz w:val="21"/>
                <w:szCs w:val="21"/>
                <w:lang w:eastAsia="zh-CN"/>
                <w14:textFill>
                  <w14:solidFill>
                    <w14:schemeClr w14:val="tx1"/>
                  </w14:solidFill>
                </w14:textFill>
              </w:rPr>
              <w:t>元</w:t>
            </w:r>
          </w:p>
        </w:tc>
      </w:tr>
      <w:tr w14:paraId="3ADB7B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0603A45F">
            <w:pPr>
              <w:keepLines/>
              <w:pageBreakBefore w:val="0"/>
              <w:kinsoku/>
              <w:wordWrap w:val="0"/>
              <w:overflowPunct/>
              <w:topLinePunct w:val="0"/>
              <w:autoSpaceDE/>
              <w:autoSpaceDN/>
              <w:bidi w:val="0"/>
              <w:spacing w:line="360" w:lineRule="auto"/>
              <w:ind w:right="-216" w:rightChars="-102"/>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合同履行期限</w:t>
            </w:r>
          </w:p>
        </w:tc>
        <w:tc>
          <w:tcPr>
            <w:tcW w:w="6103" w:type="dxa"/>
            <w:gridSpan w:val="3"/>
            <w:vAlign w:val="center"/>
          </w:tcPr>
          <w:p w14:paraId="1C3F0F0A">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14:textFill>
                  <w14:solidFill>
                    <w14:schemeClr w14:val="tx1"/>
                  </w14:solidFill>
                </w14:textFill>
              </w:rPr>
            </w:pPr>
          </w:p>
        </w:tc>
      </w:tr>
      <w:tr w14:paraId="186044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27D249AE">
            <w:pPr>
              <w:keepLines/>
              <w:pageBreakBefore w:val="0"/>
              <w:kinsoku/>
              <w:wordWrap w:val="0"/>
              <w:overflowPunct/>
              <w:topLinePunct w:val="0"/>
              <w:autoSpaceDE/>
              <w:autoSpaceDN/>
              <w:bidi w:val="0"/>
              <w:spacing w:line="360" w:lineRule="auto"/>
              <w:ind w:right="-216" w:rightChars="-102"/>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质量标准</w:t>
            </w:r>
          </w:p>
        </w:tc>
        <w:tc>
          <w:tcPr>
            <w:tcW w:w="6103" w:type="dxa"/>
            <w:gridSpan w:val="3"/>
            <w:vAlign w:val="center"/>
          </w:tcPr>
          <w:p w14:paraId="72E436A2">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14:textFill>
                  <w14:solidFill>
                    <w14:schemeClr w14:val="tx1"/>
                  </w14:solidFill>
                </w14:textFill>
              </w:rPr>
            </w:pPr>
          </w:p>
        </w:tc>
      </w:tr>
      <w:tr w14:paraId="1F094A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2273" w:type="dxa"/>
            <w:vAlign w:val="center"/>
          </w:tcPr>
          <w:p w14:paraId="3C1E85F3">
            <w:pPr>
              <w:keepLines/>
              <w:pageBreakBefore w:val="0"/>
              <w:kinsoku/>
              <w:wordWrap w:val="0"/>
              <w:overflowPunct/>
              <w:topLinePunct w:val="0"/>
              <w:autoSpaceDE/>
              <w:autoSpaceDN/>
              <w:bidi w:val="0"/>
              <w:spacing w:line="360" w:lineRule="auto"/>
              <w:ind w:right="-216" w:rightChars="-102"/>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   注</w:t>
            </w:r>
          </w:p>
        </w:tc>
        <w:tc>
          <w:tcPr>
            <w:tcW w:w="6103" w:type="dxa"/>
            <w:gridSpan w:val="3"/>
            <w:vAlign w:val="center"/>
          </w:tcPr>
          <w:p w14:paraId="7323F4E7">
            <w:pPr>
              <w:keepLines/>
              <w:pageBreakBefore w:val="0"/>
              <w:kinsoku/>
              <w:wordWrap w:val="0"/>
              <w:overflowPunct/>
              <w:topLinePunct w:val="0"/>
              <w:autoSpaceDE/>
              <w:autoSpaceDN/>
              <w:bidi w:val="0"/>
              <w:spacing w:line="360" w:lineRule="auto"/>
              <w:ind w:right="-508" w:rightChars="-240"/>
              <w:textAlignment w:val="auto"/>
              <w:rPr>
                <w:rFonts w:hint="eastAsia" w:ascii="宋体" w:hAnsi="宋体" w:eastAsia="宋体" w:cs="宋体"/>
                <w:color w:val="000000" w:themeColor="text1"/>
                <w:sz w:val="21"/>
                <w:szCs w:val="21"/>
                <w14:textFill>
                  <w14:solidFill>
                    <w14:schemeClr w14:val="tx1"/>
                  </w14:solidFill>
                </w14:textFill>
              </w:rPr>
            </w:pPr>
          </w:p>
        </w:tc>
      </w:tr>
    </w:tbl>
    <w:p w14:paraId="572C0475">
      <w:pPr>
        <w:keepLines/>
        <w:pageBreakBefore w:val="0"/>
        <w:widowControl/>
        <w:tabs>
          <w:tab w:val="left" w:pos="4000"/>
        </w:tabs>
        <w:kinsoku/>
        <w:wordWrap w:val="0"/>
        <w:overflowPunct/>
        <w:bidi w:val="0"/>
        <w:snapToGrid w:val="0"/>
        <w:spacing w:line="600" w:lineRule="exact"/>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注：后附</w:t>
      </w:r>
      <w:r>
        <w:rPr>
          <w:rFonts w:hint="eastAsia" w:ascii="宋体" w:hAnsi="宋体" w:eastAsia="宋体" w:cs="宋体"/>
          <w:bCs/>
          <w:color w:val="000000" w:themeColor="text1"/>
          <w:sz w:val="21"/>
          <w:szCs w:val="21"/>
          <w:lang w:val="en-US" w:eastAsia="zh-CN"/>
          <w14:textFill>
            <w14:solidFill>
              <w14:schemeClr w14:val="tx1"/>
            </w14:solidFill>
          </w14:textFill>
        </w:rPr>
        <w:t>已标价的工程量清单</w:t>
      </w:r>
    </w:p>
    <w:p w14:paraId="0986FD7F">
      <w:pPr>
        <w:keepLines/>
        <w:pageBreakBefore w:val="0"/>
        <w:widowControl/>
        <w:tabs>
          <w:tab w:val="left" w:pos="4000"/>
        </w:tabs>
        <w:kinsoku/>
        <w:wordWrap w:val="0"/>
        <w:overflowPunct/>
        <w:topLinePunct w:val="0"/>
        <w:autoSpaceDE/>
        <w:autoSpaceDN/>
        <w:bidi w:val="0"/>
        <w:snapToGrid w:val="0"/>
        <w:spacing w:line="360" w:lineRule="auto"/>
        <w:ind w:firstLine="4060"/>
        <w:jc w:val="left"/>
        <w:textAlignment w:val="auto"/>
        <w:rPr>
          <w:rFonts w:hint="eastAsia" w:ascii="宋体" w:hAnsi="宋体" w:eastAsia="宋体" w:cs="宋体"/>
          <w:b w:val="0"/>
          <w:bCs/>
          <w:color w:val="000000" w:themeColor="text1"/>
          <w:sz w:val="28"/>
          <w:szCs w:val="28"/>
          <w14:textFill>
            <w14:solidFill>
              <w14:schemeClr w14:val="tx1"/>
            </w14:solidFill>
          </w14:textFill>
        </w:rPr>
      </w:pPr>
    </w:p>
    <w:p w14:paraId="60FCFDE0">
      <w:pPr>
        <w:keepLines/>
        <w:pageBreakBefore w:val="0"/>
        <w:widowControl/>
        <w:tabs>
          <w:tab w:val="left" w:pos="4000"/>
        </w:tabs>
        <w:kinsoku/>
        <w:wordWrap w:val="0"/>
        <w:overflowPunct/>
        <w:topLinePunct w:val="0"/>
        <w:autoSpaceDE/>
        <w:autoSpaceDN/>
        <w:bidi w:val="0"/>
        <w:snapToGrid w:val="0"/>
        <w:spacing w:line="360" w:lineRule="auto"/>
        <w:ind w:firstLine="4060"/>
        <w:jc w:val="left"/>
        <w:textAlignment w:val="auto"/>
        <w:rPr>
          <w:rFonts w:hint="eastAsia" w:ascii="宋体" w:hAnsi="宋体" w:eastAsia="宋体" w:cs="宋体"/>
          <w:b w:val="0"/>
          <w:bCs/>
          <w:color w:val="000000" w:themeColor="text1"/>
          <w:sz w:val="28"/>
          <w:szCs w:val="28"/>
          <w14:textFill>
            <w14:solidFill>
              <w14:schemeClr w14:val="tx1"/>
            </w14:solidFill>
          </w14:textFill>
        </w:rPr>
      </w:pPr>
    </w:p>
    <w:p w14:paraId="3E628168">
      <w:pPr>
        <w:keepLines/>
        <w:pageBreakBefore w:val="0"/>
        <w:widowControl/>
        <w:tabs>
          <w:tab w:val="left" w:pos="4000"/>
        </w:tabs>
        <w:kinsoku/>
        <w:wordWrap w:val="0"/>
        <w:overflowPunct/>
        <w:topLinePunct w:val="0"/>
        <w:autoSpaceDE/>
        <w:autoSpaceDN/>
        <w:bidi w:val="0"/>
        <w:snapToGrid w:val="0"/>
        <w:spacing w:line="360" w:lineRule="auto"/>
        <w:ind w:firstLine="4060"/>
        <w:jc w:val="lef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磋商供应商：</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电子签章</w:t>
      </w:r>
      <w:r>
        <w:rPr>
          <w:rFonts w:hint="eastAsia" w:ascii="宋体" w:hAnsi="宋体" w:eastAsia="宋体" w:cs="宋体"/>
          <w:b w:val="0"/>
          <w:bCs/>
          <w:color w:val="000000" w:themeColor="text1"/>
          <w:sz w:val="24"/>
          <w:szCs w:val="24"/>
          <w14:textFill>
            <w14:solidFill>
              <w14:schemeClr w14:val="tx1"/>
            </w14:solidFill>
          </w14:textFill>
        </w:rPr>
        <w:t>)</w:t>
      </w:r>
    </w:p>
    <w:p w14:paraId="6C2590C6">
      <w:pPr>
        <w:keepLines/>
        <w:pageBreakBefore w:val="0"/>
        <w:widowControl/>
        <w:tabs>
          <w:tab w:val="left" w:pos="4000"/>
        </w:tabs>
        <w:kinsoku/>
        <w:wordWrap w:val="0"/>
        <w:overflowPunct/>
        <w:topLinePunct w:val="0"/>
        <w:autoSpaceDE/>
        <w:autoSpaceDN/>
        <w:bidi w:val="0"/>
        <w:snapToGrid w:val="0"/>
        <w:spacing w:line="360" w:lineRule="auto"/>
        <w:jc w:val="lef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ab/>
      </w:r>
      <w:r>
        <w:rPr>
          <w:rFonts w:hint="eastAsia" w:ascii="宋体" w:hAnsi="宋体" w:eastAsia="宋体" w:cs="宋体"/>
          <w:b w:val="0"/>
          <w:bCs/>
          <w:color w:val="000000" w:themeColor="text1"/>
          <w:sz w:val="24"/>
          <w:szCs w:val="24"/>
          <w14:textFill>
            <w14:solidFill>
              <w14:schemeClr w14:val="tx1"/>
            </w14:solidFill>
          </w14:textFill>
        </w:rPr>
        <w:t>供应商代表：</w:t>
      </w:r>
      <w:r>
        <w:rPr>
          <w:rFonts w:hint="eastAsia" w:ascii="宋体" w:hAnsi="宋体" w:eastAsia="宋体" w:cs="宋体"/>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14:textFill>
            <w14:solidFill>
              <w14:schemeClr w14:val="tx1"/>
            </w14:solidFill>
          </w14:textFill>
        </w:rPr>
        <w:t>(电子签章)</w:t>
      </w:r>
    </w:p>
    <w:p w14:paraId="1DCFF725">
      <w:pPr>
        <w:keepLines/>
        <w:pageBreakBefore w:val="0"/>
        <w:widowControl/>
        <w:tabs>
          <w:tab w:val="left" w:pos="4000"/>
        </w:tabs>
        <w:kinsoku/>
        <w:wordWrap w:val="0"/>
        <w:overflowPunct/>
        <w:topLinePunct w:val="0"/>
        <w:autoSpaceDE/>
        <w:autoSpaceDN/>
        <w:bidi w:val="0"/>
        <w:snapToGrid w:val="0"/>
        <w:spacing w:line="360" w:lineRule="auto"/>
        <w:jc w:val="left"/>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ab/>
      </w:r>
      <w:r>
        <w:rPr>
          <w:rFonts w:hint="eastAsia" w:ascii="宋体" w:hAnsi="宋体" w:eastAsia="宋体" w:cs="宋体"/>
          <w:b w:val="0"/>
          <w:bCs/>
          <w:color w:val="000000" w:themeColor="text1"/>
          <w:sz w:val="24"/>
          <w:szCs w:val="24"/>
          <w14:textFill>
            <w14:solidFill>
              <w14:schemeClr w14:val="tx1"/>
            </w14:solidFill>
          </w14:textFill>
        </w:rPr>
        <w:t>日　期： 年  月  日</w:t>
      </w:r>
    </w:p>
    <w:p w14:paraId="11C04198">
      <w:pPr>
        <w:pStyle w:val="11"/>
        <w:keepLines/>
        <w:pageBreakBefore w:val="0"/>
        <w:kinsoku/>
        <w:wordWrap w:val="0"/>
        <w:overflowPunct/>
        <w:topLinePunct w:val="0"/>
        <w:autoSpaceDE/>
        <w:autoSpaceDN/>
        <w:bidi w:val="0"/>
        <w:textAlignment w:val="auto"/>
        <w:rPr>
          <w:rFonts w:hint="eastAsia" w:ascii="宋体" w:hAnsi="宋体" w:eastAsia="宋体" w:cs="宋体"/>
          <w:color w:val="000000" w:themeColor="text1"/>
          <w:lang w:val="en-US" w:eastAsia="zh-CN"/>
          <w14:textFill>
            <w14:solidFill>
              <w14:schemeClr w14:val="tx1"/>
            </w14:solidFill>
          </w14:textFill>
        </w:rPr>
      </w:pPr>
    </w:p>
    <w:p w14:paraId="06AA9D5B">
      <w:pPr>
        <w:keepLines/>
        <w:pageBreakBefore w:val="0"/>
        <w:widowControl/>
        <w:kinsoku/>
        <w:wordWrap w:val="0"/>
        <w:overflowPunct/>
        <w:topLinePunct w:val="0"/>
        <w:autoSpaceDE/>
        <w:autoSpaceDN/>
        <w:bidi w:val="0"/>
        <w:snapToGrid w:val="0"/>
        <w:spacing w:before="120" w:beforeLines="50" w:after="120" w:afterLines="50" w:line="360" w:lineRule="auto"/>
        <w:jc w:val="center"/>
        <w:textAlignment w:val="auto"/>
        <w:outlineLvl w:val="1"/>
        <w:rPr>
          <w:rFonts w:hint="eastAsia" w:ascii="宋体" w:hAnsi="宋体" w:eastAsia="宋体" w:cs="宋体"/>
          <w:b w:val="0"/>
          <w:bCs/>
          <w:color w:val="000000" w:themeColor="text1"/>
          <w:spacing w:val="20"/>
          <w:sz w:val="40"/>
          <w:szCs w:val="40"/>
          <w:lang w:val="en-US" w:eastAsia="zh-CN"/>
          <w14:textFill>
            <w14:solidFill>
              <w14:schemeClr w14:val="tx1"/>
            </w14:solidFill>
          </w14:textFill>
        </w:rPr>
      </w:pPr>
    </w:p>
    <w:p w14:paraId="1F2E1782">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 w:val="32"/>
          <w:szCs w:val="32"/>
          <w:lang w:val="en-US" w:eastAsia="zh-CN"/>
          <w14:textFill>
            <w14:solidFill>
              <w14:schemeClr w14:val="tx1"/>
            </w14:solidFill>
          </w14:textFill>
        </w:rPr>
      </w:pPr>
      <w:r>
        <w:rPr>
          <w:rFonts w:hint="eastAsia" w:ascii="宋体" w:hAnsi="宋体" w:eastAsia="宋体" w:cs="宋体"/>
          <w:b/>
          <w:color w:val="000000" w:themeColor="text1"/>
          <w:spacing w:val="0"/>
          <w:sz w:val="32"/>
          <w:szCs w:val="32"/>
          <w:lang w:val="en-US" w:eastAsia="zh-CN"/>
          <w14:textFill>
            <w14:solidFill>
              <w14:schemeClr w14:val="tx1"/>
            </w14:solidFill>
          </w14:textFill>
        </w:rPr>
        <w:br w:type="page"/>
      </w:r>
    </w:p>
    <w:p w14:paraId="439FCAF0">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t>3、</w:t>
      </w:r>
      <w:r>
        <w:rPr>
          <w:rFonts w:hint="eastAsia" w:ascii="宋体" w:hAnsi="宋体" w:eastAsia="宋体" w:cs="宋体"/>
          <w:b/>
          <w:bCs w:val="0"/>
          <w:color w:val="000000" w:themeColor="text1"/>
          <w:spacing w:val="20"/>
          <w:sz w:val="32"/>
          <w:szCs w:val="32"/>
          <w14:textFill>
            <w14:solidFill>
              <w14:schemeClr w14:val="tx1"/>
            </w14:solidFill>
          </w14:textFill>
        </w:rPr>
        <w:t>基本情况表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116"/>
        <w:gridCol w:w="111"/>
        <w:gridCol w:w="1231"/>
        <w:gridCol w:w="854"/>
        <w:gridCol w:w="66"/>
        <w:gridCol w:w="327"/>
        <w:gridCol w:w="919"/>
        <w:gridCol w:w="308"/>
        <w:gridCol w:w="420"/>
        <w:gridCol w:w="807"/>
        <w:gridCol w:w="1233"/>
      </w:tblGrid>
      <w:tr w14:paraId="1E5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703F606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名称</w:t>
            </w:r>
          </w:p>
        </w:tc>
        <w:tc>
          <w:tcPr>
            <w:tcW w:w="7392" w:type="dxa"/>
            <w:gridSpan w:val="11"/>
            <w:tcBorders>
              <w:top w:val="single" w:color="auto" w:sz="4" w:space="0"/>
              <w:left w:val="single" w:color="auto" w:sz="4" w:space="0"/>
              <w:bottom w:val="single" w:color="auto" w:sz="4" w:space="0"/>
              <w:right w:val="single" w:color="auto" w:sz="4" w:space="0"/>
            </w:tcBorders>
            <w:vAlign w:val="center"/>
          </w:tcPr>
          <w:p w14:paraId="7EDA3616">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726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2E5C34F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注册地址</w:t>
            </w:r>
          </w:p>
        </w:tc>
        <w:tc>
          <w:tcPr>
            <w:tcW w:w="3378" w:type="dxa"/>
            <w:gridSpan w:val="5"/>
            <w:tcBorders>
              <w:top w:val="single" w:color="auto" w:sz="4" w:space="0"/>
              <w:left w:val="single" w:color="auto" w:sz="4" w:space="0"/>
              <w:bottom w:val="single" w:color="auto" w:sz="4" w:space="0"/>
              <w:right w:val="single" w:color="auto" w:sz="4" w:space="0"/>
            </w:tcBorders>
            <w:vAlign w:val="center"/>
          </w:tcPr>
          <w:p w14:paraId="639D3667">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6FD7772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邮政编码</w:t>
            </w:r>
          </w:p>
        </w:tc>
        <w:tc>
          <w:tcPr>
            <w:tcW w:w="2768" w:type="dxa"/>
            <w:gridSpan w:val="4"/>
            <w:tcBorders>
              <w:top w:val="single" w:color="auto" w:sz="4" w:space="0"/>
              <w:left w:val="single" w:color="auto" w:sz="4" w:space="0"/>
              <w:bottom w:val="single" w:color="auto" w:sz="4" w:space="0"/>
              <w:right w:val="single" w:color="auto" w:sz="4" w:space="0"/>
            </w:tcBorders>
            <w:vAlign w:val="center"/>
          </w:tcPr>
          <w:p w14:paraId="384FCFCF">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A5C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Merge w:val="restart"/>
            <w:tcBorders>
              <w:top w:val="single" w:color="auto" w:sz="4" w:space="0"/>
              <w:left w:val="single" w:color="auto" w:sz="4" w:space="0"/>
              <w:bottom w:val="single" w:color="auto" w:sz="4" w:space="0"/>
              <w:right w:val="single" w:color="auto" w:sz="4" w:space="0"/>
            </w:tcBorders>
            <w:vAlign w:val="center"/>
          </w:tcPr>
          <w:p w14:paraId="24518A2A">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联系方式</w:t>
            </w:r>
          </w:p>
        </w:tc>
        <w:tc>
          <w:tcPr>
            <w:tcW w:w="1116" w:type="dxa"/>
            <w:tcBorders>
              <w:top w:val="single" w:color="auto" w:sz="4" w:space="0"/>
              <w:left w:val="single" w:color="auto" w:sz="4" w:space="0"/>
              <w:bottom w:val="single" w:color="auto" w:sz="4" w:space="0"/>
              <w:right w:val="single" w:color="auto" w:sz="4" w:space="0"/>
            </w:tcBorders>
            <w:vAlign w:val="center"/>
          </w:tcPr>
          <w:p w14:paraId="17555CD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联系人</w:t>
            </w:r>
          </w:p>
        </w:tc>
        <w:tc>
          <w:tcPr>
            <w:tcW w:w="2262" w:type="dxa"/>
            <w:gridSpan w:val="4"/>
            <w:tcBorders>
              <w:top w:val="single" w:color="auto" w:sz="4" w:space="0"/>
              <w:left w:val="single" w:color="auto" w:sz="4" w:space="0"/>
              <w:bottom w:val="single" w:color="auto" w:sz="4" w:space="0"/>
              <w:right w:val="single" w:color="auto" w:sz="4" w:space="0"/>
            </w:tcBorders>
            <w:vAlign w:val="center"/>
          </w:tcPr>
          <w:p w14:paraId="1D6B1599">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1BEFDEC1">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w:t>
            </w:r>
          </w:p>
        </w:tc>
        <w:tc>
          <w:tcPr>
            <w:tcW w:w="2768" w:type="dxa"/>
            <w:gridSpan w:val="4"/>
            <w:tcBorders>
              <w:top w:val="single" w:color="auto" w:sz="4" w:space="0"/>
              <w:left w:val="single" w:color="auto" w:sz="4" w:space="0"/>
              <w:bottom w:val="single" w:color="auto" w:sz="4" w:space="0"/>
              <w:right w:val="single" w:color="auto" w:sz="4" w:space="0"/>
            </w:tcBorders>
            <w:vAlign w:val="center"/>
          </w:tcPr>
          <w:p w14:paraId="0313DA5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B99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vMerge w:val="continue"/>
            <w:tcBorders>
              <w:top w:val="single" w:color="auto" w:sz="4" w:space="0"/>
              <w:left w:val="single" w:color="auto" w:sz="4" w:space="0"/>
              <w:bottom w:val="single" w:color="auto" w:sz="4" w:space="0"/>
              <w:right w:val="single" w:color="auto" w:sz="4" w:space="0"/>
            </w:tcBorders>
            <w:vAlign w:val="center"/>
          </w:tcPr>
          <w:p w14:paraId="7EF5DA72">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1116" w:type="dxa"/>
            <w:tcBorders>
              <w:top w:val="single" w:color="auto" w:sz="4" w:space="0"/>
              <w:left w:val="single" w:color="auto" w:sz="4" w:space="0"/>
              <w:bottom w:val="single" w:color="auto" w:sz="4" w:space="0"/>
              <w:right w:val="single" w:color="auto" w:sz="4" w:space="0"/>
            </w:tcBorders>
            <w:vAlign w:val="center"/>
          </w:tcPr>
          <w:p w14:paraId="093685C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传  真</w:t>
            </w:r>
          </w:p>
        </w:tc>
        <w:tc>
          <w:tcPr>
            <w:tcW w:w="2262" w:type="dxa"/>
            <w:gridSpan w:val="4"/>
            <w:tcBorders>
              <w:top w:val="single" w:color="auto" w:sz="4" w:space="0"/>
              <w:left w:val="single" w:color="auto" w:sz="4" w:space="0"/>
              <w:bottom w:val="single" w:color="auto" w:sz="4" w:space="0"/>
              <w:right w:val="single" w:color="auto" w:sz="4" w:space="0"/>
            </w:tcBorders>
            <w:vAlign w:val="center"/>
          </w:tcPr>
          <w:p w14:paraId="213FB470">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46" w:type="dxa"/>
            <w:gridSpan w:val="2"/>
            <w:tcBorders>
              <w:top w:val="single" w:color="auto" w:sz="4" w:space="0"/>
              <w:left w:val="single" w:color="auto" w:sz="4" w:space="0"/>
              <w:bottom w:val="single" w:color="auto" w:sz="4" w:space="0"/>
              <w:right w:val="single" w:color="auto" w:sz="4" w:space="0"/>
            </w:tcBorders>
            <w:vAlign w:val="center"/>
          </w:tcPr>
          <w:p w14:paraId="6B3ACA9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网  址</w:t>
            </w:r>
          </w:p>
        </w:tc>
        <w:tc>
          <w:tcPr>
            <w:tcW w:w="2768" w:type="dxa"/>
            <w:gridSpan w:val="4"/>
            <w:tcBorders>
              <w:top w:val="single" w:color="auto" w:sz="4" w:space="0"/>
              <w:left w:val="single" w:color="auto" w:sz="4" w:space="0"/>
              <w:bottom w:val="single" w:color="auto" w:sz="4" w:space="0"/>
              <w:right w:val="single" w:color="auto" w:sz="4" w:space="0"/>
            </w:tcBorders>
            <w:vAlign w:val="center"/>
          </w:tcPr>
          <w:p w14:paraId="627305C9">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3FC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5FC91B5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组织结构</w:t>
            </w:r>
          </w:p>
        </w:tc>
        <w:tc>
          <w:tcPr>
            <w:tcW w:w="7392" w:type="dxa"/>
            <w:gridSpan w:val="11"/>
            <w:tcBorders>
              <w:top w:val="single" w:color="auto" w:sz="4" w:space="0"/>
              <w:left w:val="single" w:color="auto" w:sz="4" w:space="0"/>
              <w:bottom w:val="single" w:color="auto" w:sz="4" w:space="0"/>
              <w:right w:val="single" w:color="auto" w:sz="4" w:space="0"/>
            </w:tcBorders>
            <w:vAlign w:val="center"/>
          </w:tcPr>
          <w:p w14:paraId="45A7F677">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45996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33A5DB7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法定代表人</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54CC396D">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姓名</w:t>
            </w:r>
          </w:p>
        </w:tc>
        <w:tc>
          <w:tcPr>
            <w:tcW w:w="1231" w:type="dxa"/>
            <w:tcBorders>
              <w:top w:val="single" w:color="auto" w:sz="4" w:space="0"/>
              <w:left w:val="single" w:color="auto" w:sz="4" w:space="0"/>
              <w:bottom w:val="single" w:color="auto" w:sz="4" w:space="0"/>
              <w:right w:val="single" w:color="auto" w:sz="4" w:space="0"/>
            </w:tcBorders>
            <w:vAlign w:val="center"/>
          </w:tcPr>
          <w:p w14:paraId="100EAAAB">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47" w:type="dxa"/>
            <w:gridSpan w:val="3"/>
            <w:tcBorders>
              <w:top w:val="single" w:color="auto" w:sz="4" w:space="0"/>
              <w:left w:val="single" w:color="auto" w:sz="4" w:space="0"/>
              <w:bottom w:val="single" w:color="auto" w:sz="4" w:space="0"/>
              <w:right w:val="single" w:color="auto" w:sz="4" w:space="0"/>
            </w:tcBorders>
            <w:vAlign w:val="center"/>
          </w:tcPr>
          <w:p w14:paraId="3AC04B81">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技术职称</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5522911B">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7CB8F2CD">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p>
        </w:tc>
        <w:tc>
          <w:tcPr>
            <w:tcW w:w="1233" w:type="dxa"/>
            <w:tcBorders>
              <w:top w:val="single" w:color="auto" w:sz="4" w:space="0"/>
              <w:left w:val="single" w:color="auto" w:sz="4" w:space="0"/>
              <w:bottom w:val="single" w:color="auto" w:sz="4" w:space="0"/>
              <w:right w:val="single" w:color="auto" w:sz="4" w:space="0"/>
            </w:tcBorders>
            <w:vAlign w:val="center"/>
          </w:tcPr>
          <w:p w14:paraId="32950AA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925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50456F4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项目负责人</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751B7E5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姓名</w:t>
            </w:r>
          </w:p>
        </w:tc>
        <w:tc>
          <w:tcPr>
            <w:tcW w:w="1231" w:type="dxa"/>
            <w:tcBorders>
              <w:top w:val="single" w:color="auto" w:sz="4" w:space="0"/>
              <w:left w:val="single" w:color="auto" w:sz="4" w:space="0"/>
              <w:bottom w:val="single" w:color="auto" w:sz="4" w:space="0"/>
              <w:right w:val="single" w:color="auto" w:sz="4" w:space="0"/>
            </w:tcBorders>
            <w:vAlign w:val="center"/>
          </w:tcPr>
          <w:p w14:paraId="7935C9F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47" w:type="dxa"/>
            <w:gridSpan w:val="3"/>
            <w:tcBorders>
              <w:top w:val="single" w:color="auto" w:sz="4" w:space="0"/>
              <w:left w:val="single" w:color="auto" w:sz="4" w:space="0"/>
              <w:bottom w:val="single" w:color="auto" w:sz="4" w:space="0"/>
              <w:right w:val="single" w:color="auto" w:sz="4" w:space="0"/>
            </w:tcBorders>
            <w:vAlign w:val="center"/>
          </w:tcPr>
          <w:p w14:paraId="5EFE9753">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技术职称</w:t>
            </w: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0E61A10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27" w:type="dxa"/>
            <w:gridSpan w:val="2"/>
            <w:tcBorders>
              <w:top w:val="single" w:color="auto" w:sz="4" w:space="0"/>
              <w:left w:val="single" w:color="auto" w:sz="4" w:space="0"/>
              <w:bottom w:val="single" w:color="auto" w:sz="4" w:space="0"/>
              <w:right w:val="single" w:color="auto" w:sz="4" w:space="0"/>
            </w:tcBorders>
            <w:vAlign w:val="center"/>
          </w:tcPr>
          <w:p w14:paraId="711B58CF">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电话</w:t>
            </w:r>
          </w:p>
        </w:tc>
        <w:tc>
          <w:tcPr>
            <w:tcW w:w="1233" w:type="dxa"/>
            <w:tcBorders>
              <w:top w:val="single" w:color="auto" w:sz="4" w:space="0"/>
              <w:left w:val="single" w:color="auto" w:sz="4" w:space="0"/>
              <w:bottom w:val="single" w:color="auto" w:sz="4" w:space="0"/>
              <w:right w:val="single" w:color="auto" w:sz="4" w:space="0"/>
            </w:tcBorders>
            <w:vAlign w:val="center"/>
          </w:tcPr>
          <w:p w14:paraId="1F3C800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630F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529C1470">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成立时间</w:t>
            </w:r>
          </w:p>
        </w:tc>
        <w:tc>
          <w:tcPr>
            <w:tcW w:w="2458" w:type="dxa"/>
            <w:gridSpan w:val="3"/>
            <w:tcBorders>
              <w:top w:val="single" w:color="auto" w:sz="4" w:space="0"/>
              <w:left w:val="single" w:color="auto" w:sz="4" w:space="0"/>
              <w:bottom w:val="single" w:color="auto" w:sz="4" w:space="0"/>
              <w:right w:val="single" w:color="auto" w:sz="4" w:space="0"/>
            </w:tcBorders>
            <w:vAlign w:val="center"/>
          </w:tcPr>
          <w:p w14:paraId="0AF66A9C">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934" w:type="dxa"/>
            <w:gridSpan w:val="8"/>
            <w:tcBorders>
              <w:top w:val="single" w:color="auto" w:sz="4" w:space="0"/>
              <w:left w:val="single" w:color="auto" w:sz="4" w:space="0"/>
              <w:bottom w:val="single" w:color="auto" w:sz="4" w:space="0"/>
              <w:right w:val="single" w:color="auto" w:sz="4" w:space="0"/>
            </w:tcBorders>
            <w:vAlign w:val="center"/>
          </w:tcPr>
          <w:p w14:paraId="35335437">
            <w:pPr>
              <w:keepLines/>
              <w:pageBreakBefore w:val="0"/>
              <w:kinsoku/>
              <w:wordWrap w:val="0"/>
              <w:overflowPunct/>
              <w:topLinePunct w:val="0"/>
              <w:autoSpaceDE/>
              <w:autoSpaceDN/>
              <w:bidi w:val="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员工总人数：</w:t>
            </w:r>
          </w:p>
        </w:tc>
      </w:tr>
      <w:tr w14:paraId="7AAD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5E7F61A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企业资质</w:t>
            </w:r>
          </w:p>
        </w:tc>
        <w:tc>
          <w:tcPr>
            <w:tcW w:w="2458" w:type="dxa"/>
            <w:gridSpan w:val="3"/>
            <w:tcBorders>
              <w:top w:val="single" w:color="auto" w:sz="4" w:space="0"/>
              <w:left w:val="single" w:color="auto" w:sz="4" w:space="0"/>
              <w:bottom w:val="single" w:color="auto" w:sz="4" w:space="0"/>
              <w:right w:val="single" w:color="auto" w:sz="4" w:space="0"/>
            </w:tcBorders>
            <w:vAlign w:val="center"/>
          </w:tcPr>
          <w:p w14:paraId="6E7EB70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54" w:type="dxa"/>
            <w:vMerge w:val="restart"/>
            <w:tcBorders>
              <w:top w:val="single" w:color="auto" w:sz="4" w:space="0"/>
              <w:left w:val="single" w:color="auto" w:sz="4" w:space="0"/>
              <w:bottom w:val="single" w:color="auto" w:sz="4" w:space="0"/>
              <w:right w:val="single" w:color="auto" w:sz="4" w:space="0"/>
            </w:tcBorders>
            <w:vAlign w:val="center"/>
          </w:tcPr>
          <w:p w14:paraId="345555CE">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其中</w:t>
            </w:r>
          </w:p>
        </w:tc>
        <w:tc>
          <w:tcPr>
            <w:tcW w:w="2040" w:type="dxa"/>
            <w:gridSpan w:val="5"/>
            <w:tcBorders>
              <w:top w:val="single" w:color="auto" w:sz="4" w:space="0"/>
              <w:left w:val="single" w:color="auto" w:sz="4" w:space="0"/>
              <w:bottom w:val="single" w:color="auto" w:sz="4" w:space="0"/>
              <w:right w:val="single" w:color="auto" w:sz="4" w:space="0"/>
            </w:tcBorders>
            <w:vAlign w:val="center"/>
          </w:tcPr>
          <w:p w14:paraId="3E1D64BE">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项目经理</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5759BF12">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281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2DA37C41">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营业执照号</w:t>
            </w:r>
          </w:p>
        </w:tc>
        <w:tc>
          <w:tcPr>
            <w:tcW w:w="2458" w:type="dxa"/>
            <w:gridSpan w:val="3"/>
            <w:tcBorders>
              <w:top w:val="single" w:color="auto" w:sz="4" w:space="0"/>
              <w:left w:val="single" w:color="auto" w:sz="4" w:space="0"/>
              <w:bottom w:val="single" w:color="auto" w:sz="4" w:space="0"/>
              <w:right w:val="single" w:color="auto" w:sz="4" w:space="0"/>
            </w:tcBorders>
            <w:vAlign w:val="center"/>
          </w:tcPr>
          <w:p w14:paraId="25F55D55">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934" w:type="dxa"/>
            <w:vMerge w:val="continue"/>
            <w:tcBorders>
              <w:top w:val="single" w:color="auto" w:sz="4" w:space="0"/>
              <w:left w:val="single" w:color="auto" w:sz="4" w:space="0"/>
              <w:bottom w:val="single" w:color="auto" w:sz="4" w:space="0"/>
              <w:right w:val="single" w:color="auto" w:sz="4" w:space="0"/>
            </w:tcBorders>
            <w:vAlign w:val="center"/>
          </w:tcPr>
          <w:p w14:paraId="21BC3194">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2040" w:type="dxa"/>
            <w:gridSpan w:val="5"/>
            <w:tcBorders>
              <w:top w:val="single" w:color="auto" w:sz="4" w:space="0"/>
              <w:left w:val="single" w:color="auto" w:sz="4" w:space="0"/>
              <w:bottom w:val="single" w:color="auto" w:sz="4" w:space="0"/>
              <w:right w:val="single" w:color="auto" w:sz="4" w:space="0"/>
            </w:tcBorders>
            <w:vAlign w:val="center"/>
          </w:tcPr>
          <w:p w14:paraId="1D4DEBD6">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高级职称人员</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17C9AF43">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12A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3362C7D7">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注册资金</w:t>
            </w:r>
          </w:p>
        </w:tc>
        <w:tc>
          <w:tcPr>
            <w:tcW w:w="2458" w:type="dxa"/>
            <w:gridSpan w:val="3"/>
            <w:tcBorders>
              <w:top w:val="single" w:color="auto" w:sz="4" w:space="0"/>
              <w:left w:val="single" w:color="auto" w:sz="4" w:space="0"/>
              <w:bottom w:val="single" w:color="auto" w:sz="4" w:space="0"/>
              <w:right w:val="single" w:color="auto" w:sz="4" w:space="0"/>
            </w:tcBorders>
            <w:vAlign w:val="center"/>
          </w:tcPr>
          <w:p w14:paraId="2C8BC048">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934" w:type="dxa"/>
            <w:vMerge w:val="continue"/>
            <w:tcBorders>
              <w:top w:val="single" w:color="auto" w:sz="4" w:space="0"/>
              <w:left w:val="single" w:color="auto" w:sz="4" w:space="0"/>
              <w:bottom w:val="single" w:color="auto" w:sz="4" w:space="0"/>
              <w:right w:val="single" w:color="auto" w:sz="4" w:space="0"/>
            </w:tcBorders>
            <w:vAlign w:val="center"/>
          </w:tcPr>
          <w:p w14:paraId="555C1737">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2040" w:type="dxa"/>
            <w:gridSpan w:val="5"/>
            <w:tcBorders>
              <w:top w:val="single" w:color="auto" w:sz="4" w:space="0"/>
              <w:left w:val="single" w:color="auto" w:sz="4" w:space="0"/>
              <w:bottom w:val="single" w:color="auto" w:sz="4" w:space="0"/>
              <w:right w:val="single" w:color="auto" w:sz="4" w:space="0"/>
            </w:tcBorders>
            <w:vAlign w:val="center"/>
          </w:tcPr>
          <w:p w14:paraId="1C290870">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中级职称人员</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25601225">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749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3DBB35C6">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开户银行</w:t>
            </w:r>
          </w:p>
        </w:tc>
        <w:tc>
          <w:tcPr>
            <w:tcW w:w="2458" w:type="dxa"/>
            <w:gridSpan w:val="3"/>
            <w:tcBorders>
              <w:top w:val="single" w:color="auto" w:sz="4" w:space="0"/>
              <w:left w:val="single" w:color="auto" w:sz="4" w:space="0"/>
              <w:bottom w:val="single" w:color="auto" w:sz="4" w:space="0"/>
              <w:right w:val="single" w:color="auto" w:sz="4" w:space="0"/>
            </w:tcBorders>
            <w:vAlign w:val="center"/>
          </w:tcPr>
          <w:p w14:paraId="50900C7A">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934" w:type="dxa"/>
            <w:vMerge w:val="continue"/>
            <w:tcBorders>
              <w:top w:val="single" w:color="auto" w:sz="4" w:space="0"/>
              <w:left w:val="single" w:color="auto" w:sz="4" w:space="0"/>
              <w:bottom w:val="single" w:color="auto" w:sz="4" w:space="0"/>
              <w:right w:val="single" w:color="auto" w:sz="4" w:space="0"/>
            </w:tcBorders>
            <w:vAlign w:val="center"/>
          </w:tcPr>
          <w:p w14:paraId="24350C41">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2040" w:type="dxa"/>
            <w:gridSpan w:val="5"/>
            <w:tcBorders>
              <w:top w:val="single" w:color="auto" w:sz="4" w:space="0"/>
              <w:left w:val="single" w:color="auto" w:sz="4" w:space="0"/>
              <w:bottom w:val="single" w:color="auto" w:sz="4" w:space="0"/>
              <w:right w:val="single" w:color="auto" w:sz="4" w:space="0"/>
            </w:tcBorders>
            <w:vAlign w:val="center"/>
          </w:tcPr>
          <w:p w14:paraId="3423E5C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初级职称人员</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C196254">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162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2EEFD6B5">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账号</w:t>
            </w:r>
          </w:p>
        </w:tc>
        <w:tc>
          <w:tcPr>
            <w:tcW w:w="2458" w:type="dxa"/>
            <w:gridSpan w:val="3"/>
            <w:tcBorders>
              <w:top w:val="single" w:color="auto" w:sz="4" w:space="0"/>
              <w:left w:val="single" w:color="auto" w:sz="4" w:space="0"/>
              <w:bottom w:val="single" w:color="auto" w:sz="4" w:space="0"/>
              <w:right w:val="single" w:color="auto" w:sz="4" w:space="0"/>
            </w:tcBorders>
            <w:vAlign w:val="center"/>
          </w:tcPr>
          <w:p w14:paraId="77BEBC80">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4934" w:type="dxa"/>
            <w:vMerge w:val="continue"/>
            <w:tcBorders>
              <w:top w:val="single" w:color="auto" w:sz="4" w:space="0"/>
              <w:left w:val="single" w:color="auto" w:sz="4" w:space="0"/>
              <w:bottom w:val="single" w:color="auto" w:sz="4" w:space="0"/>
              <w:right w:val="single" w:color="auto" w:sz="4" w:space="0"/>
            </w:tcBorders>
            <w:vAlign w:val="center"/>
          </w:tcPr>
          <w:p w14:paraId="2203BA0E">
            <w:pPr>
              <w:keepLines/>
              <w:pageBreakBefore w:val="0"/>
              <w:widowControl/>
              <w:kinsoku/>
              <w:wordWrap w:val="0"/>
              <w:overflowPunct/>
              <w:topLinePunct w:val="0"/>
              <w:autoSpaceDE/>
              <w:autoSpaceDN/>
              <w:bidi w:val="0"/>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2040" w:type="dxa"/>
            <w:gridSpan w:val="5"/>
            <w:tcBorders>
              <w:top w:val="single" w:color="auto" w:sz="4" w:space="0"/>
              <w:left w:val="single" w:color="auto" w:sz="4" w:space="0"/>
              <w:bottom w:val="single" w:color="auto" w:sz="4" w:space="0"/>
              <w:right w:val="single" w:color="auto" w:sz="4" w:space="0"/>
            </w:tcBorders>
            <w:vAlign w:val="center"/>
          </w:tcPr>
          <w:p w14:paraId="64F867D7">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w:t>
            </w:r>
          </w:p>
        </w:tc>
        <w:tc>
          <w:tcPr>
            <w:tcW w:w="2040" w:type="dxa"/>
            <w:gridSpan w:val="2"/>
            <w:tcBorders>
              <w:top w:val="single" w:color="auto" w:sz="4" w:space="0"/>
              <w:left w:val="single" w:color="auto" w:sz="4" w:space="0"/>
              <w:bottom w:val="single" w:color="auto" w:sz="4" w:space="0"/>
              <w:right w:val="single" w:color="auto" w:sz="4" w:space="0"/>
            </w:tcBorders>
            <w:vAlign w:val="center"/>
          </w:tcPr>
          <w:p w14:paraId="779BD54D">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05A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586B1E0C">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经营范围</w:t>
            </w:r>
          </w:p>
        </w:tc>
        <w:tc>
          <w:tcPr>
            <w:tcW w:w="7392" w:type="dxa"/>
            <w:gridSpan w:val="11"/>
            <w:tcBorders>
              <w:top w:val="single" w:color="auto" w:sz="4" w:space="0"/>
              <w:left w:val="single" w:color="auto" w:sz="4" w:space="0"/>
              <w:bottom w:val="single" w:color="auto" w:sz="4" w:space="0"/>
              <w:right w:val="single" w:color="auto" w:sz="4" w:space="0"/>
            </w:tcBorders>
            <w:vAlign w:val="center"/>
          </w:tcPr>
          <w:p w14:paraId="195F4F73">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1BC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99" w:type="dxa"/>
            <w:tcBorders>
              <w:top w:val="single" w:color="auto" w:sz="4" w:space="0"/>
              <w:left w:val="single" w:color="auto" w:sz="4" w:space="0"/>
              <w:bottom w:val="single" w:color="auto" w:sz="4" w:space="0"/>
              <w:right w:val="single" w:color="auto" w:sz="4" w:space="0"/>
            </w:tcBorders>
            <w:vAlign w:val="center"/>
          </w:tcPr>
          <w:p w14:paraId="27F681AF">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c>
          <w:tcPr>
            <w:tcW w:w="7392" w:type="dxa"/>
            <w:gridSpan w:val="11"/>
            <w:tcBorders>
              <w:top w:val="single" w:color="auto" w:sz="4" w:space="0"/>
              <w:left w:val="single" w:color="auto" w:sz="4" w:space="0"/>
              <w:bottom w:val="single" w:color="auto" w:sz="4" w:space="0"/>
              <w:right w:val="single" w:color="auto" w:sz="4" w:space="0"/>
            </w:tcBorders>
            <w:vAlign w:val="center"/>
          </w:tcPr>
          <w:p w14:paraId="7C184E21">
            <w:pPr>
              <w:keepLines/>
              <w:pageBreakBefore w:val="0"/>
              <w:kinsoku/>
              <w:wordWrap w:val="0"/>
              <w:overflowPunct/>
              <w:topLinePunct w:val="0"/>
              <w:autoSpaceDE/>
              <w:autoSpaceDN/>
              <w:bidi w:val="0"/>
              <w:jc w:val="center"/>
              <w:textAlignment w:val="auto"/>
              <w:rPr>
                <w:rFonts w:hint="eastAsia" w:ascii="宋体" w:hAnsi="宋体" w:eastAsia="宋体" w:cs="宋体"/>
                <w:color w:val="000000" w:themeColor="text1"/>
                <w:sz w:val="21"/>
                <w:szCs w:val="21"/>
                <w14:textFill>
                  <w14:solidFill>
                    <w14:schemeClr w14:val="tx1"/>
                  </w14:solidFill>
                </w14:textFill>
              </w:rPr>
            </w:pPr>
          </w:p>
        </w:tc>
      </w:tr>
    </w:tbl>
    <w:p w14:paraId="7A512506">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60EDB172">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3B2460B4">
      <w:pPr>
        <w:pStyle w:val="39"/>
        <w:keepLines/>
        <w:pageBreakBefore w:val="0"/>
        <w:kinsoku/>
        <w:wordWrap w:val="0"/>
        <w:overflowPunct/>
        <w:bidi w:val="0"/>
        <w:spacing w:before="0" w:beforeLines="0" w:beforeAutospacing="0" w:line="360" w:lineRule="auto"/>
        <w:jc w:val="center"/>
        <w:textAlignment w:val="auto"/>
        <w:outlineLvl w:val="0"/>
        <w:rPr>
          <w:rFonts w:hint="eastAsia" w:ascii="宋体" w:hAnsi="宋体" w:eastAsia="宋体" w:cs="宋体"/>
          <w:b/>
          <w:bCs w:val="0"/>
          <w:color w:val="000000" w:themeColor="text1"/>
          <w:spacing w:val="20"/>
          <w:kern w:val="2"/>
          <w:sz w:val="32"/>
          <w:szCs w:val="32"/>
          <w:lang w:val="en-US" w:eastAsia="zh-CN" w:bidi="ar-SA"/>
          <w14:textFill>
            <w14:solidFill>
              <w14:schemeClr w14:val="tx1"/>
            </w14:solidFill>
          </w14:textFill>
        </w:rPr>
      </w:pP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br w:type="page"/>
      </w: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t xml:space="preserve"> 4、项目管理机构</w:t>
      </w:r>
      <w:r>
        <w:rPr>
          <w:rFonts w:hint="eastAsia" w:ascii="宋体" w:hAnsi="宋体" w:eastAsia="宋体" w:cs="宋体"/>
          <w:b/>
          <w:bCs w:val="0"/>
          <w:color w:val="000000" w:themeColor="text1"/>
          <w:spacing w:val="20"/>
          <w:kern w:val="2"/>
          <w:sz w:val="32"/>
          <w:szCs w:val="32"/>
          <w:lang w:val="en-US" w:eastAsia="zh-CN" w:bidi="ar-SA"/>
          <w14:textFill>
            <w14:solidFill>
              <w14:schemeClr w14:val="tx1"/>
            </w14:solidFill>
          </w14:textFill>
        </w:rPr>
        <w:t xml:space="preserve"> </w:t>
      </w:r>
    </w:p>
    <w:p w14:paraId="011F178C">
      <w:pPr>
        <w:pStyle w:val="39"/>
        <w:keepLines/>
        <w:pageBreakBefore w:val="0"/>
        <w:kinsoku/>
        <w:wordWrap w:val="0"/>
        <w:overflowPunct/>
        <w:bidi w:val="0"/>
        <w:spacing w:before="0" w:beforeLines="0" w:beforeAutospacing="0" w:line="360" w:lineRule="auto"/>
        <w:jc w:val="center"/>
        <w:textAlignment w:val="auto"/>
        <w:outlineLvl w:val="0"/>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（一）项目管理机构组成表</w:t>
      </w:r>
    </w:p>
    <w:tbl>
      <w:tblPr>
        <w:tblStyle w:val="27"/>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22"/>
        <w:gridCol w:w="820"/>
        <w:gridCol w:w="1633"/>
        <w:gridCol w:w="896"/>
        <w:gridCol w:w="1299"/>
        <w:gridCol w:w="1085"/>
        <w:gridCol w:w="765"/>
      </w:tblGrid>
      <w:tr w14:paraId="02BA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38" w:type="dxa"/>
            <w:vMerge w:val="restart"/>
            <w:vAlign w:val="center"/>
          </w:tcPr>
          <w:p w14:paraId="27C3785B">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职务</w:t>
            </w:r>
          </w:p>
        </w:tc>
        <w:tc>
          <w:tcPr>
            <w:tcW w:w="822" w:type="dxa"/>
            <w:vMerge w:val="restart"/>
            <w:vAlign w:val="center"/>
          </w:tcPr>
          <w:p w14:paraId="3F6D642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姓名</w:t>
            </w:r>
          </w:p>
        </w:tc>
        <w:tc>
          <w:tcPr>
            <w:tcW w:w="820" w:type="dxa"/>
            <w:vMerge w:val="restart"/>
            <w:vAlign w:val="center"/>
          </w:tcPr>
          <w:p w14:paraId="5F4F297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职称</w:t>
            </w:r>
          </w:p>
        </w:tc>
        <w:tc>
          <w:tcPr>
            <w:tcW w:w="4913" w:type="dxa"/>
            <w:gridSpan w:val="4"/>
            <w:vAlign w:val="center"/>
          </w:tcPr>
          <w:p w14:paraId="20E520F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执业或职业资格证明</w:t>
            </w:r>
          </w:p>
        </w:tc>
        <w:tc>
          <w:tcPr>
            <w:tcW w:w="765" w:type="dxa"/>
            <w:vAlign w:val="center"/>
          </w:tcPr>
          <w:p w14:paraId="168559F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备注</w:t>
            </w:r>
          </w:p>
        </w:tc>
      </w:tr>
      <w:tr w14:paraId="0ADD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738" w:type="dxa"/>
            <w:vMerge w:val="continue"/>
            <w:vAlign w:val="center"/>
          </w:tcPr>
          <w:p w14:paraId="38F92770">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Merge w:val="continue"/>
            <w:vAlign w:val="center"/>
          </w:tcPr>
          <w:p w14:paraId="0362BAB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Merge w:val="continue"/>
            <w:vAlign w:val="center"/>
          </w:tcPr>
          <w:p w14:paraId="5290525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0ED8FA6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证书名称</w:t>
            </w:r>
          </w:p>
        </w:tc>
        <w:tc>
          <w:tcPr>
            <w:tcW w:w="896" w:type="dxa"/>
            <w:vAlign w:val="center"/>
          </w:tcPr>
          <w:p w14:paraId="61D78D6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级别</w:t>
            </w:r>
          </w:p>
        </w:tc>
        <w:tc>
          <w:tcPr>
            <w:tcW w:w="1299" w:type="dxa"/>
            <w:vAlign w:val="center"/>
          </w:tcPr>
          <w:p w14:paraId="347563A8">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证号</w:t>
            </w:r>
          </w:p>
        </w:tc>
        <w:tc>
          <w:tcPr>
            <w:tcW w:w="1085" w:type="dxa"/>
            <w:vAlign w:val="center"/>
          </w:tcPr>
          <w:p w14:paraId="59B9B2EC">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专业</w:t>
            </w:r>
          </w:p>
        </w:tc>
        <w:tc>
          <w:tcPr>
            <w:tcW w:w="765" w:type="dxa"/>
            <w:vAlign w:val="center"/>
          </w:tcPr>
          <w:p w14:paraId="1C83CCE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2FB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7B544FDB">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0A8B7CD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0FB0E4B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6279A1C6">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474F526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39065DF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558780A4">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0CBD755E">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284C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3F2DC11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11514929">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73A51B68">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50F7208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2FCFFB95">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1F76C47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35B098B9">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73057E8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51D6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590C632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1E8356D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3186BB36">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3B52DB30">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67792D68">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3F5E4AD2">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158A5C9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70D59300">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2B3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6C1179FE">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2A812BF8">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7D605EE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0AD56022">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4D6326F9">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2641646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34F74952">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24346D5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EAA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1B75E7A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7F16B08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427156C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74C4E8CC">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47C0D7B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656ECA09">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1C54CE80">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1A3C20E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4E0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6C97AD4E">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5C42F86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6DC84F6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2FA0523C">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51457C45">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5951F734">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16C99D3E">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15928EFB">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3584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0236ED1E">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05716E7C">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12EBE12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60728312">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178C80FE">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4C2A770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70B1466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2BBEA20C">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D64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4E074B8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0EA39026">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26D7653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5EB7C710">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1ED690B4">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0166E0C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0D375DB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11A5ED71">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010A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0535265B">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5BF844D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6E43C25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38E6DBA9">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098CDF12">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1B19FB16">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59B7526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0710F698">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7A1E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38" w:type="dxa"/>
            <w:vAlign w:val="center"/>
          </w:tcPr>
          <w:p w14:paraId="21F9D205">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03254EF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3EA76EB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33FF9E30">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580D2166">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07D368C8">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46029A6A">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6CBD99D2">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r w14:paraId="10DB8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38" w:type="dxa"/>
            <w:vAlign w:val="center"/>
          </w:tcPr>
          <w:p w14:paraId="135F4CF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2" w:type="dxa"/>
            <w:vAlign w:val="center"/>
          </w:tcPr>
          <w:p w14:paraId="0031CBD7">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20" w:type="dxa"/>
            <w:vAlign w:val="center"/>
          </w:tcPr>
          <w:p w14:paraId="10DC60BF">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633" w:type="dxa"/>
            <w:vAlign w:val="center"/>
          </w:tcPr>
          <w:p w14:paraId="3D5D2BD6">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896" w:type="dxa"/>
            <w:vAlign w:val="center"/>
          </w:tcPr>
          <w:p w14:paraId="04E5A083">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299" w:type="dxa"/>
            <w:vAlign w:val="center"/>
          </w:tcPr>
          <w:p w14:paraId="56AA81C5">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1085" w:type="dxa"/>
            <w:vAlign w:val="center"/>
          </w:tcPr>
          <w:p w14:paraId="75784F6D">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765" w:type="dxa"/>
            <w:vAlign w:val="center"/>
          </w:tcPr>
          <w:p w14:paraId="69EBA30B">
            <w:pPr>
              <w:keepLines/>
              <w:pageBreakBefore w:val="0"/>
              <w:kinsoku/>
              <w:wordWrap w:val="0"/>
              <w:overflowPunct/>
              <w:bidi w:val="0"/>
              <w:spacing w:line="360" w:lineRule="auto"/>
              <w:jc w:val="center"/>
              <w:textAlignment w:val="auto"/>
              <w:rPr>
                <w:rFonts w:hint="eastAsia" w:ascii="宋体" w:hAnsi="宋体" w:eastAsia="宋体" w:cs="宋体"/>
                <w:color w:val="000000" w:themeColor="text1"/>
                <w:sz w:val="21"/>
                <w:szCs w:val="21"/>
                <w14:textFill>
                  <w14:solidFill>
                    <w14:schemeClr w14:val="tx1"/>
                  </w14:solidFill>
                </w14:textFill>
              </w:rPr>
            </w:pPr>
          </w:p>
        </w:tc>
      </w:tr>
    </w:tbl>
    <w:p w14:paraId="684AA537">
      <w:pPr>
        <w:keepLines/>
        <w:pageBreakBefore w:val="0"/>
        <w:kinsoku/>
        <w:wordWrap w:val="0"/>
        <w:overflowPunct/>
        <w:bidi w:val="0"/>
        <w:spacing w:line="360" w:lineRule="auto"/>
        <w:ind w:firstLine="424"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本表后附所有人员证件、身份证复印件、社保证明等材料。</w:t>
      </w:r>
    </w:p>
    <w:p w14:paraId="2176E5EC">
      <w:pPr>
        <w:keepLines/>
        <w:pageBreakBefore w:val="0"/>
        <w:kinsoku/>
        <w:wordWrap w:val="0"/>
        <w:overflowPunct/>
        <w:bidi w:val="0"/>
        <w:spacing w:line="360" w:lineRule="auto"/>
        <w:ind w:firstLine="484"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p>
    <w:p w14:paraId="6FC0CF83">
      <w:pPr>
        <w:keepLines/>
        <w:pageBreakBefore w:val="0"/>
        <w:kinsoku/>
        <w:wordWrap w:val="0"/>
        <w:overflowPunct/>
        <w:bidi w:val="0"/>
        <w:spacing w:line="360" w:lineRule="auto"/>
        <w:ind w:firstLine="484"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p>
    <w:p w14:paraId="1A6CC32C">
      <w:pPr>
        <w:keepLines/>
        <w:pageBreakBefore w:val="0"/>
        <w:kinsoku/>
        <w:wordWrap w:val="0"/>
        <w:overflowPunct/>
        <w:bidi w:val="0"/>
        <w:spacing w:line="360" w:lineRule="auto"/>
        <w:ind w:firstLine="484" w:firstLineChars="200"/>
        <w:textAlignment w:val="auto"/>
        <w:rPr>
          <w:rFonts w:hint="eastAsia" w:ascii="宋体" w:hAnsi="宋体" w:eastAsia="宋体" w:cs="宋体"/>
          <w:color w:val="000000" w:themeColor="text1"/>
          <w:sz w:val="24"/>
          <w:lang w:val="en-US" w:eastAsia="zh-CN"/>
          <w14:textFill>
            <w14:solidFill>
              <w14:schemeClr w14:val="tx1"/>
            </w14:solidFill>
          </w14:textFill>
        </w:rPr>
      </w:pPr>
    </w:p>
    <w:p w14:paraId="45B988F0">
      <w:pPr>
        <w:pStyle w:val="26"/>
        <w:keepLines/>
        <w:pageBreakBefore w:val="0"/>
        <w:kinsoku/>
        <w:wordWrap w:val="0"/>
        <w:overflowPunct/>
        <w:bidi w:val="0"/>
        <w:textAlignment w:val="auto"/>
        <w:rPr>
          <w:rFonts w:hint="eastAsia" w:ascii="宋体" w:hAnsi="宋体" w:eastAsia="宋体" w:cs="宋体"/>
          <w:color w:val="000000" w:themeColor="text1"/>
          <w:sz w:val="24"/>
          <w:lang w:val="en-US" w:eastAsia="zh-CN"/>
          <w14:textFill>
            <w14:solidFill>
              <w14:schemeClr w14:val="tx1"/>
            </w14:solidFill>
          </w14:textFill>
        </w:rPr>
      </w:pPr>
    </w:p>
    <w:p w14:paraId="0726F6A9">
      <w:pPr>
        <w:pStyle w:val="26"/>
        <w:keepLines/>
        <w:pageBreakBefore w:val="0"/>
        <w:kinsoku/>
        <w:wordWrap w:val="0"/>
        <w:overflowPunct/>
        <w:bidi w:val="0"/>
        <w:textAlignment w:val="auto"/>
        <w:rPr>
          <w:rFonts w:hint="eastAsia" w:ascii="宋体" w:hAnsi="宋体" w:eastAsia="宋体" w:cs="宋体"/>
          <w:color w:val="000000" w:themeColor="text1"/>
          <w:sz w:val="24"/>
          <w:lang w:val="en-US" w:eastAsia="zh-CN"/>
          <w14:textFill>
            <w14:solidFill>
              <w14:schemeClr w14:val="tx1"/>
            </w14:solidFill>
          </w14:textFill>
        </w:rPr>
      </w:pPr>
    </w:p>
    <w:p w14:paraId="0AC9FD8C">
      <w:pPr>
        <w:pStyle w:val="26"/>
        <w:keepLines/>
        <w:pageBreakBefore w:val="0"/>
        <w:kinsoku/>
        <w:wordWrap w:val="0"/>
        <w:overflowPunct/>
        <w:bidi w:val="0"/>
        <w:textAlignment w:val="auto"/>
        <w:rPr>
          <w:rFonts w:hint="eastAsia" w:ascii="宋体" w:hAnsi="宋体" w:eastAsia="宋体" w:cs="宋体"/>
          <w:color w:val="000000" w:themeColor="text1"/>
          <w:sz w:val="24"/>
          <w:lang w:val="en-US" w:eastAsia="zh-CN"/>
          <w14:textFill>
            <w14:solidFill>
              <w14:schemeClr w14:val="tx1"/>
            </w14:solidFill>
          </w14:textFill>
        </w:rPr>
      </w:pPr>
    </w:p>
    <w:p w14:paraId="7D412696">
      <w:pPr>
        <w:pStyle w:val="31"/>
        <w:keepLines/>
        <w:pageBreakBefore w:val="0"/>
        <w:kinsoku/>
        <w:wordWrap w:val="0"/>
        <w:overflowPunct/>
        <w:bidi w:val="0"/>
        <w:textAlignment w:val="auto"/>
        <w:rPr>
          <w:rFonts w:hint="eastAsia" w:ascii="宋体" w:hAnsi="宋体" w:eastAsia="宋体" w:cs="宋体"/>
          <w:color w:val="000000" w:themeColor="text1"/>
          <w:lang w:val="en-US" w:eastAsia="zh-CN"/>
          <w14:textFill>
            <w14:solidFill>
              <w14:schemeClr w14:val="tx1"/>
            </w14:solidFill>
          </w14:textFill>
        </w:rPr>
      </w:pPr>
    </w:p>
    <w:p w14:paraId="4A557829">
      <w:pPr>
        <w:keepLines/>
        <w:pageBreakBefore w:val="0"/>
        <w:kinsoku/>
        <w:wordWrap w:val="0"/>
        <w:overflowPunct/>
        <w:bidi w:val="0"/>
        <w:spacing w:before="156" w:beforeLines="50" w:after="218" w:afterLines="70" w:line="420" w:lineRule="exact"/>
        <w:jc w:val="center"/>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二</w:t>
      </w:r>
      <w:r>
        <w:rPr>
          <w:rFonts w:hint="eastAsia" w:ascii="宋体" w:hAnsi="宋体" w:eastAsia="宋体" w:cs="宋体"/>
          <w:b w:val="0"/>
          <w:bCs/>
          <w:color w:val="000000" w:themeColor="text1"/>
          <w:sz w:val="24"/>
          <w:szCs w:val="24"/>
          <w14:textFill>
            <w14:solidFill>
              <w14:schemeClr w14:val="tx1"/>
            </w14:solidFill>
          </w14:textFill>
        </w:rPr>
        <w:t>）项目经理简历表</w:t>
      </w:r>
    </w:p>
    <w:tbl>
      <w:tblPr>
        <w:tblStyle w:val="27"/>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533"/>
        <w:gridCol w:w="198"/>
        <w:gridCol w:w="731"/>
        <w:gridCol w:w="222"/>
        <w:gridCol w:w="847"/>
        <w:gridCol w:w="397"/>
        <w:gridCol w:w="805"/>
        <w:gridCol w:w="152"/>
        <w:gridCol w:w="507"/>
        <w:gridCol w:w="746"/>
        <w:gridCol w:w="717"/>
        <w:gridCol w:w="295"/>
        <w:gridCol w:w="1175"/>
      </w:tblGrid>
      <w:tr w14:paraId="4B565A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62" w:type="dxa"/>
            <w:vAlign w:val="center"/>
          </w:tcPr>
          <w:p w14:paraId="3A305AD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姓  名</w:t>
            </w:r>
          </w:p>
        </w:tc>
        <w:tc>
          <w:tcPr>
            <w:tcW w:w="1462" w:type="dxa"/>
            <w:gridSpan w:val="3"/>
            <w:vAlign w:val="center"/>
          </w:tcPr>
          <w:p w14:paraId="63CCEA1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6" w:type="dxa"/>
            <w:gridSpan w:val="3"/>
            <w:vAlign w:val="center"/>
          </w:tcPr>
          <w:p w14:paraId="79055A8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性  别</w:t>
            </w:r>
          </w:p>
        </w:tc>
        <w:tc>
          <w:tcPr>
            <w:tcW w:w="1464" w:type="dxa"/>
            <w:gridSpan w:val="3"/>
            <w:vAlign w:val="center"/>
          </w:tcPr>
          <w:p w14:paraId="56AE0BF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3" w:type="dxa"/>
            <w:gridSpan w:val="2"/>
            <w:vAlign w:val="center"/>
          </w:tcPr>
          <w:p w14:paraId="598DE21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年  龄</w:t>
            </w:r>
          </w:p>
        </w:tc>
        <w:tc>
          <w:tcPr>
            <w:tcW w:w="1470" w:type="dxa"/>
            <w:gridSpan w:val="2"/>
            <w:vAlign w:val="center"/>
          </w:tcPr>
          <w:p w14:paraId="3582B40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4C46F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462" w:type="dxa"/>
            <w:vAlign w:val="center"/>
          </w:tcPr>
          <w:p w14:paraId="1E6AA4B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职  务</w:t>
            </w:r>
          </w:p>
        </w:tc>
        <w:tc>
          <w:tcPr>
            <w:tcW w:w="1462" w:type="dxa"/>
            <w:gridSpan w:val="3"/>
            <w:vAlign w:val="center"/>
          </w:tcPr>
          <w:p w14:paraId="0683DD7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6" w:type="dxa"/>
            <w:gridSpan w:val="3"/>
            <w:vAlign w:val="center"/>
          </w:tcPr>
          <w:p w14:paraId="455E173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职  称</w:t>
            </w:r>
          </w:p>
        </w:tc>
        <w:tc>
          <w:tcPr>
            <w:tcW w:w="1464" w:type="dxa"/>
            <w:gridSpan w:val="3"/>
            <w:vAlign w:val="center"/>
          </w:tcPr>
          <w:p w14:paraId="0B466A4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3" w:type="dxa"/>
            <w:gridSpan w:val="2"/>
            <w:vAlign w:val="center"/>
          </w:tcPr>
          <w:p w14:paraId="3DFB5A6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学  历</w:t>
            </w:r>
          </w:p>
        </w:tc>
        <w:tc>
          <w:tcPr>
            <w:tcW w:w="1470" w:type="dxa"/>
            <w:gridSpan w:val="2"/>
            <w:vAlign w:val="center"/>
          </w:tcPr>
          <w:p w14:paraId="0F32528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05FD8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2193" w:type="dxa"/>
            <w:gridSpan w:val="3"/>
            <w:vAlign w:val="center"/>
          </w:tcPr>
          <w:p w14:paraId="7F9B499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参加工作时间</w:t>
            </w:r>
          </w:p>
        </w:tc>
        <w:tc>
          <w:tcPr>
            <w:tcW w:w="2197" w:type="dxa"/>
            <w:gridSpan w:val="4"/>
            <w:vAlign w:val="center"/>
          </w:tcPr>
          <w:p w14:paraId="60107B2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2210" w:type="dxa"/>
            <w:gridSpan w:val="4"/>
            <w:vAlign w:val="center"/>
          </w:tcPr>
          <w:p w14:paraId="1C5A1AC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担任项目经理年限</w:t>
            </w:r>
          </w:p>
        </w:tc>
        <w:tc>
          <w:tcPr>
            <w:tcW w:w="2187" w:type="dxa"/>
            <w:gridSpan w:val="3"/>
            <w:vAlign w:val="center"/>
          </w:tcPr>
          <w:p w14:paraId="7883F7B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19219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3146" w:type="dxa"/>
            <w:gridSpan w:val="5"/>
            <w:vAlign w:val="center"/>
          </w:tcPr>
          <w:p w14:paraId="7E33407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建造师注册证书编号</w:t>
            </w:r>
          </w:p>
        </w:tc>
        <w:tc>
          <w:tcPr>
            <w:tcW w:w="2049" w:type="dxa"/>
            <w:gridSpan w:val="3"/>
            <w:vAlign w:val="center"/>
          </w:tcPr>
          <w:p w14:paraId="0240450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05" w:type="dxa"/>
            <w:gridSpan w:val="3"/>
            <w:vAlign w:val="center"/>
          </w:tcPr>
          <w:p w14:paraId="06BFF45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专  业</w:t>
            </w:r>
          </w:p>
        </w:tc>
        <w:tc>
          <w:tcPr>
            <w:tcW w:w="2187" w:type="dxa"/>
            <w:gridSpan w:val="3"/>
            <w:vAlign w:val="center"/>
          </w:tcPr>
          <w:p w14:paraId="40C3027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40E95A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787" w:type="dxa"/>
            <w:gridSpan w:val="14"/>
            <w:vAlign w:val="center"/>
          </w:tcPr>
          <w:p w14:paraId="68EB29F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在建和近五年已完工程项目情况</w:t>
            </w:r>
          </w:p>
        </w:tc>
      </w:tr>
      <w:tr w14:paraId="3166FB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995" w:type="dxa"/>
            <w:gridSpan w:val="2"/>
            <w:vAlign w:val="center"/>
          </w:tcPr>
          <w:p w14:paraId="395B80B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建设单位</w:t>
            </w:r>
          </w:p>
        </w:tc>
        <w:tc>
          <w:tcPr>
            <w:tcW w:w="1998" w:type="dxa"/>
            <w:gridSpan w:val="4"/>
            <w:vAlign w:val="center"/>
          </w:tcPr>
          <w:p w14:paraId="61AC5D5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项目名称</w:t>
            </w:r>
          </w:p>
        </w:tc>
        <w:tc>
          <w:tcPr>
            <w:tcW w:w="1354" w:type="dxa"/>
            <w:gridSpan w:val="3"/>
            <w:vAlign w:val="center"/>
          </w:tcPr>
          <w:p w14:paraId="0CB6A77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建设规模</w:t>
            </w:r>
          </w:p>
        </w:tc>
        <w:tc>
          <w:tcPr>
            <w:tcW w:w="1253" w:type="dxa"/>
            <w:gridSpan w:val="2"/>
            <w:vAlign w:val="center"/>
          </w:tcPr>
          <w:p w14:paraId="498C75C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开、竣工</w:t>
            </w:r>
          </w:p>
          <w:p w14:paraId="68474D4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日  期</w:t>
            </w:r>
          </w:p>
        </w:tc>
        <w:tc>
          <w:tcPr>
            <w:tcW w:w="1012" w:type="dxa"/>
            <w:gridSpan w:val="2"/>
            <w:vAlign w:val="center"/>
          </w:tcPr>
          <w:p w14:paraId="6353465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在建或</w:t>
            </w:r>
          </w:p>
          <w:p w14:paraId="5615E2F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已  完</w:t>
            </w:r>
          </w:p>
        </w:tc>
        <w:tc>
          <w:tcPr>
            <w:tcW w:w="1175" w:type="dxa"/>
            <w:vAlign w:val="center"/>
          </w:tcPr>
          <w:p w14:paraId="757A419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工程质量</w:t>
            </w:r>
          </w:p>
        </w:tc>
      </w:tr>
      <w:tr w14:paraId="7C2BE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1B2DA3C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51F85AB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4C1B3C3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0DAB972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1410F09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34C8738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0DBE6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367E506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3A76E05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57EA4B8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37A408A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69FD0A3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3391E8B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2BA28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3A37A68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0DD3747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262CB94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2BB0ECD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1E6CE1A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7FBA0D5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1CABF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14106EF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79BA6B4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5C22F68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2386F09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18B4019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2C3289B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50A21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68F6CD7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0DFA12D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329E10C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4EDC5A9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384CCBE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1834649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21D6F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1A25049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276C788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055FA89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7B3C7A2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0E9F3AE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658882A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6A7B8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7CE1246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77983C3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4F408E1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789FB15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79B334C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1958327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09B3A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02234E4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6EA84B0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36370EA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043656F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3A03E67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1EFEEDB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1C3921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95" w:type="dxa"/>
            <w:gridSpan w:val="2"/>
            <w:vAlign w:val="center"/>
          </w:tcPr>
          <w:p w14:paraId="3FD47C7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998" w:type="dxa"/>
            <w:gridSpan w:val="4"/>
            <w:vAlign w:val="center"/>
          </w:tcPr>
          <w:p w14:paraId="4095496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4" w:type="dxa"/>
            <w:gridSpan w:val="3"/>
            <w:vAlign w:val="center"/>
          </w:tcPr>
          <w:p w14:paraId="259F71C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253" w:type="dxa"/>
            <w:gridSpan w:val="2"/>
            <w:vAlign w:val="center"/>
          </w:tcPr>
          <w:p w14:paraId="14A35D0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012" w:type="dxa"/>
            <w:gridSpan w:val="2"/>
            <w:vAlign w:val="center"/>
          </w:tcPr>
          <w:p w14:paraId="5723C7C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75" w:type="dxa"/>
            <w:vAlign w:val="center"/>
          </w:tcPr>
          <w:p w14:paraId="5D3DEE7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bl>
    <w:p w14:paraId="609FF680">
      <w:pPr>
        <w:keepLines/>
        <w:pageBreakBefore w:val="0"/>
        <w:kinsoku/>
        <w:wordWrap w:val="0"/>
        <w:overflowPunct/>
        <w:bidi w:val="0"/>
        <w:spacing w:line="400" w:lineRule="exact"/>
        <w:ind w:left="632" w:hanging="636" w:hangingChars="300"/>
        <w:jc w:val="left"/>
        <w:textAlignment w:val="auto"/>
        <w:rPr>
          <w:rFonts w:hint="eastAsia" w:ascii="宋体" w:hAnsi="宋体" w:eastAsia="宋体" w:cs="宋体"/>
          <w:b w:val="0"/>
          <w:bCs/>
          <w:color w:val="000000" w:themeColor="text1"/>
          <w:sz w:val="36"/>
          <w:szCs w:val="36"/>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备注：本表后附项目经理相关证件及业绩证明材料等。</w:t>
      </w:r>
    </w:p>
    <w:p w14:paraId="20C579A1">
      <w:pPr>
        <w:keepLines/>
        <w:pageBreakBefore w:val="0"/>
        <w:kinsoku/>
        <w:wordWrap w:val="0"/>
        <w:overflowPunct/>
        <w:bidi w:val="0"/>
        <w:spacing w:line="400" w:lineRule="exact"/>
        <w:ind w:left="632" w:hanging="1086" w:hangingChars="300"/>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064A4DD4">
      <w:pPr>
        <w:keepLines/>
        <w:pageBreakBefore w:val="0"/>
        <w:kinsoku/>
        <w:wordWrap w:val="0"/>
        <w:overflowPunct/>
        <w:bidi w:val="0"/>
        <w:spacing w:line="400" w:lineRule="exact"/>
        <w:ind w:left="632" w:hanging="1086" w:hangingChars="300"/>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265FAC21">
      <w:pPr>
        <w:keepLines/>
        <w:pageBreakBefore w:val="0"/>
        <w:kinsoku/>
        <w:wordWrap w:val="0"/>
        <w:overflowPunct/>
        <w:bidi w:val="0"/>
        <w:spacing w:line="400" w:lineRule="exact"/>
        <w:ind w:left="632" w:hanging="1086" w:hangingChars="300"/>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14F8AEE6">
      <w:pPr>
        <w:keepLines/>
        <w:pageBreakBefore w:val="0"/>
        <w:kinsoku/>
        <w:wordWrap w:val="0"/>
        <w:overflowPunct/>
        <w:bidi w:val="0"/>
        <w:spacing w:line="400" w:lineRule="exact"/>
        <w:ind w:left="632" w:hanging="1086" w:hangingChars="300"/>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6A03AEE6">
      <w:pPr>
        <w:keepLines/>
        <w:pageBreakBefore w:val="0"/>
        <w:kinsoku/>
        <w:wordWrap w:val="0"/>
        <w:overflowPunct/>
        <w:bidi w:val="0"/>
        <w:spacing w:line="400" w:lineRule="exact"/>
        <w:ind w:left="632" w:hanging="1086" w:hangingChars="300"/>
        <w:jc w:val="center"/>
        <w:textAlignment w:val="auto"/>
        <w:rPr>
          <w:rFonts w:hint="eastAsia" w:ascii="宋体" w:hAnsi="宋体" w:eastAsia="宋体" w:cs="宋体"/>
          <w:b w:val="0"/>
          <w:bCs/>
          <w:color w:val="000000" w:themeColor="text1"/>
          <w:sz w:val="36"/>
          <w:szCs w:val="36"/>
          <w14:textFill>
            <w14:solidFill>
              <w14:schemeClr w14:val="tx1"/>
            </w14:solidFill>
          </w14:textFill>
        </w:rPr>
      </w:pPr>
    </w:p>
    <w:p w14:paraId="20B56083">
      <w:pPr>
        <w:keepLines/>
        <w:pageBreakBefore w:val="0"/>
        <w:kinsoku/>
        <w:wordWrap w:val="0"/>
        <w:overflowPunct/>
        <w:bidi w:val="0"/>
        <w:textAlignment w:val="auto"/>
        <w:rPr>
          <w:rFonts w:hint="eastAsia" w:ascii="宋体" w:hAnsi="宋体" w:eastAsia="宋体" w:cs="宋体"/>
          <w:b w:val="0"/>
          <w:bCs/>
          <w:color w:val="000000" w:themeColor="text1"/>
          <w:sz w:val="36"/>
          <w:szCs w:val="36"/>
          <w14:textFill>
            <w14:solidFill>
              <w14:schemeClr w14:val="tx1"/>
            </w14:solidFill>
          </w14:textFill>
        </w:rPr>
      </w:pPr>
      <w:r>
        <w:rPr>
          <w:rFonts w:hint="eastAsia" w:ascii="宋体" w:hAnsi="宋体" w:eastAsia="宋体" w:cs="宋体"/>
          <w:b w:val="0"/>
          <w:bCs/>
          <w:color w:val="000000" w:themeColor="text1"/>
          <w:sz w:val="36"/>
          <w:szCs w:val="36"/>
          <w14:textFill>
            <w14:solidFill>
              <w14:schemeClr w14:val="tx1"/>
            </w14:solidFill>
          </w14:textFill>
        </w:rPr>
        <w:br w:type="page"/>
      </w:r>
    </w:p>
    <w:p w14:paraId="7D4F7CE4">
      <w:pPr>
        <w:keepLines/>
        <w:pageBreakBefore w:val="0"/>
        <w:kinsoku/>
        <w:wordWrap w:val="0"/>
        <w:overflowPunct/>
        <w:bidi w:val="0"/>
        <w:spacing w:before="156" w:beforeLines="50" w:after="218" w:afterLines="70" w:line="420" w:lineRule="exact"/>
        <w:jc w:val="center"/>
        <w:textAlignment w:val="auto"/>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b w:val="0"/>
          <w:bCs/>
          <w:color w:val="000000" w:themeColor="text1"/>
          <w:sz w:val="24"/>
          <w:szCs w:val="24"/>
          <w:lang w:val="en-US" w:eastAsia="zh-CN"/>
          <w14:textFill>
            <w14:solidFill>
              <w14:schemeClr w14:val="tx1"/>
            </w14:solidFill>
          </w14:textFill>
        </w:rPr>
        <w:t>三</w:t>
      </w:r>
      <w:r>
        <w:rPr>
          <w:rFonts w:hint="eastAsia" w:ascii="宋体" w:hAnsi="宋体" w:eastAsia="宋体" w:cs="宋体"/>
          <w:b w:val="0"/>
          <w:bCs/>
          <w:color w:val="000000" w:themeColor="text1"/>
          <w:sz w:val="24"/>
          <w:szCs w:val="24"/>
          <w14:textFill>
            <w14:solidFill>
              <w14:schemeClr w14:val="tx1"/>
            </w14:solidFill>
          </w14:textFill>
        </w:rPr>
        <w:t>）技术负责人简历表</w:t>
      </w:r>
    </w:p>
    <w:tbl>
      <w:tblPr>
        <w:tblStyle w:val="27"/>
        <w:tblW w:w="878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534"/>
        <w:gridCol w:w="199"/>
        <w:gridCol w:w="731"/>
        <w:gridCol w:w="838"/>
        <w:gridCol w:w="628"/>
        <w:gridCol w:w="816"/>
        <w:gridCol w:w="647"/>
        <w:gridCol w:w="703"/>
        <w:gridCol w:w="216"/>
        <w:gridCol w:w="545"/>
        <w:gridCol w:w="345"/>
        <w:gridCol w:w="1121"/>
      </w:tblGrid>
      <w:tr w14:paraId="37758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4" w:type="dxa"/>
            <w:vAlign w:val="center"/>
          </w:tcPr>
          <w:p w14:paraId="48C31AD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姓  名</w:t>
            </w:r>
          </w:p>
        </w:tc>
        <w:tc>
          <w:tcPr>
            <w:tcW w:w="1464" w:type="dxa"/>
            <w:gridSpan w:val="3"/>
            <w:vAlign w:val="center"/>
          </w:tcPr>
          <w:p w14:paraId="3151CAB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6" w:type="dxa"/>
            <w:gridSpan w:val="2"/>
            <w:vAlign w:val="center"/>
          </w:tcPr>
          <w:p w14:paraId="52F2B83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性  别</w:t>
            </w:r>
          </w:p>
        </w:tc>
        <w:tc>
          <w:tcPr>
            <w:tcW w:w="1463" w:type="dxa"/>
            <w:gridSpan w:val="2"/>
            <w:vAlign w:val="center"/>
          </w:tcPr>
          <w:p w14:paraId="77D6CB9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4" w:type="dxa"/>
            <w:gridSpan w:val="3"/>
            <w:vAlign w:val="center"/>
          </w:tcPr>
          <w:p w14:paraId="049F913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年  龄</w:t>
            </w:r>
          </w:p>
        </w:tc>
        <w:tc>
          <w:tcPr>
            <w:tcW w:w="1466" w:type="dxa"/>
            <w:gridSpan w:val="2"/>
            <w:vAlign w:val="center"/>
          </w:tcPr>
          <w:p w14:paraId="1D0645E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5D975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464" w:type="dxa"/>
            <w:vAlign w:val="center"/>
          </w:tcPr>
          <w:p w14:paraId="263A6DB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职  务</w:t>
            </w:r>
          </w:p>
        </w:tc>
        <w:tc>
          <w:tcPr>
            <w:tcW w:w="1464" w:type="dxa"/>
            <w:gridSpan w:val="3"/>
            <w:vAlign w:val="center"/>
          </w:tcPr>
          <w:p w14:paraId="2A83BFD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6" w:type="dxa"/>
            <w:gridSpan w:val="2"/>
            <w:vAlign w:val="center"/>
          </w:tcPr>
          <w:p w14:paraId="043D031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职  称</w:t>
            </w:r>
          </w:p>
        </w:tc>
        <w:tc>
          <w:tcPr>
            <w:tcW w:w="1463" w:type="dxa"/>
            <w:gridSpan w:val="2"/>
            <w:vAlign w:val="center"/>
          </w:tcPr>
          <w:p w14:paraId="2FD4E89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64" w:type="dxa"/>
            <w:gridSpan w:val="3"/>
            <w:vAlign w:val="center"/>
          </w:tcPr>
          <w:p w14:paraId="1320C59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学  历</w:t>
            </w:r>
          </w:p>
        </w:tc>
        <w:tc>
          <w:tcPr>
            <w:tcW w:w="1466" w:type="dxa"/>
            <w:gridSpan w:val="2"/>
            <w:vAlign w:val="center"/>
          </w:tcPr>
          <w:p w14:paraId="17CA68C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72BEAA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97" w:type="dxa"/>
            <w:gridSpan w:val="3"/>
            <w:vAlign w:val="center"/>
          </w:tcPr>
          <w:p w14:paraId="02CA45B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参加工作时间</w:t>
            </w:r>
          </w:p>
        </w:tc>
        <w:tc>
          <w:tcPr>
            <w:tcW w:w="2197" w:type="dxa"/>
            <w:gridSpan w:val="3"/>
            <w:vAlign w:val="center"/>
          </w:tcPr>
          <w:p w14:paraId="07E8A8C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2382" w:type="dxa"/>
            <w:gridSpan w:val="4"/>
            <w:vAlign w:val="center"/>
          </w:tcPr>
          <w:p w14:paraId="6060471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担任技术负责人年限</w:t>
            </w:r>
          </w:p>
        </w:tc>
        <w:tc>
          <w:tcPr>
            <w:tcW w:w="2011" w:type="dxa"/>
            <w:gridSpan w:val="3"/>
            <w:vAlign w:val="center"/>
          </w:tcPr>
          <w:p w14:paraId="54CF778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68C294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787" w:type="dxa"/>
            <w:gridSpan w:val="13"/>
            <w:vAlign w:val="center"/>
          </w:tcPr>
          <w:p w14:paraId="4BA44CF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在建和近五年已完工程项目情况</w:t>
            </w:r>
          </w:p>
        </w:tc>
      </w:tr>
      <w:tr w14:paraId="650FB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316E4C2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建设单位</w:t>
            </w:r>
          </w:p>
        </w:tc>
        <w:tc>
          <w:tcPr>
            <w:tcW w:w="1768" w:type="dxa"/>
            <w:gridSpan w:val="3"/>
            <w:vAlign w:val="center"/>
          </w:tcPr>
          <w:p w14:paraId="0AB49B3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项目名称</w:t>
            </w:r>
          </w:p>
        </w:tc>
        <w:tc>
          <w:tcPr>
            <w:tcW w:w="1444" w:type="dxa"/>
            <w:gridSpan w:val="2"/>
            <w:vAlign w:val="center"/>
          </w:tcPr>
          <w:p w14:paraId="3A9F254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建设规模</w:t>
            </w:r>
          </w:p>
        </w:tc>
        <w:tc>
          <w:tcPr>
            <w:tcW w:w="1350" w:type="dxa"/>
            <w:gridSpan w:val="2"/>
            <w:vAlign w:val="center"/>
          </w:tcPr>
          <w:p w14:paraId="3E938E1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开、竣工</w:t>
            </w:r>
          </w:p>
          <w:p w14:paraId="1DE40B7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日  期</w:t>
            </w:r>
          </w:p>
        </w:tc>
        <w:tc>
          <w:tcPr>
            <w:tcW w:w="1106" w:type="dxa"/>
            <w:gridSpan w:val="3"/>
            <w:vAlign w:val="center"/>
          </w:tcPr>
          <w:p w14:paraId="72C8147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在建或</w:t>
            </w:r>
          </w:p>
          <w:p w14:paraId="5607991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已  完</w:t>
            </w:r>
          </w:p>
        </w:tc>
        <w:tc>
          <w:tcPr>
            <w:tcW w:w="1121" w:type="dxa"/>
            <w:vAlign w:val="center"/>
          </w:tcPr>
          <w:p w14:paraId="758F565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工程质量</w:t>
            </w:r>
          </w:p>
        </w:tc>
      </w:tr>
      <w:tr w14:paraId="34226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546F4C9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28E928E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45BFAD2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626B54D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237704A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063981E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796FD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551A8CE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7E603D7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75DAECB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4B2EA89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32296ED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13AC241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22B58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21572A5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2D79E28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65B83BB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6CAEEC1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6C548A6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2E50C48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41ACDD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716BA4E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5F51D93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74AA9DC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0F71365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174260B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615F7AE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5418B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3A375DB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47AB7EF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461B30E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612A051F">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66D900D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60693A0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03D89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56631D5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1EA4F67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1EA29BC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4D00E78E">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4204BE1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72826C0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0B9BB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7C5F21A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03AD430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002B72B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7B36FB29">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47EF09E8">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7566149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03434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0E6E1B85">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6631C9AD">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7FA9970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3B997B66">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58543403">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78416F07">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2C6F4B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0FA39AE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7E353F9B">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18DFDE7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5B623CD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5D61E89C">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6A9A01C0">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r w14:paraId="26560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998" w:type="dxa"/>
            <w:gridSpan w:val="2"/>
            <w:vAlign w:val="center"/>
          </w:tcPr>
          <w:p w14:paraId="2BBFF6D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768" w:type="dxa"/>
            <w:gridSpan w:val="3"/>
            <w:vAlign w:val="center"/>
          </w:tcPr>
          <w:p w14:paraId="44213DB4">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444" w:type="dxa"/>
            <w:gridSpan w:val="2"/>
            <w:vAlign w:val="center"/>
          </w:tcPr>
          <w:p w14:paraId="1201C21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350" w:type="dxa"/>
            <w:gridSpan w:val="2"/>
            <w:vAlign w:val="center"/>
          </w:tcPr>
          <w:p w14:paraId="5E78BA0A">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06" w:type="dxa"/>
            <w:gridSpan w:val="3"/>
            <w:vAlign w:val="center"/>
          </w:tcPr>
          <w:p w14:paraId="023350B2">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c>
          <w:tcPr>
            <w:tcW w:w="1121" w:type="dxa"/>
            <w:vAlign w:val="center"/>
          </w:tcPr>
          <w:p w14:paraId="0EA31541">
            <w:pPr>
              <w:keepLines/>
              <w:pageBreakBefore w:val="0"/>
              <w:kinsoku/>
              <w:wordWrap w:val="0"/>
              <w:overflowPunct/>
              <w:bidi w:val="0"/>
              <w:jc w:val="center"/>
              <w:textAlignment w:val="auto"/>
              <w:rPr>
                <w:rFonts w:hint="eastAsia" w:ascii="宋体" w:hAnsi="宋体" w:eastAsia="宋体" w:cs="宋体"/>
                <w:b w:val="0"/>
                <w:bCs/>
                <w:color w:val="000000" w:themeColor="text1"/>
                <w:sz w:val="21"/>
                <w:szCs w:val="21"/>
                <w14:textFill>
                  <w14:solidFill>
                    <w14:schemeClr w14:val="tx1"/>
                  </w14:solidFill>
                </w14:textFill>
              </w:rPr>
            </w:pPr>
          </w:p>
        </w:tc>
      </w:tr>
    </w:tbl>
    <w:p w14:paraId="34A7B92B">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0CB5BFE5">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67CC2DDF">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3691DA1F">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20F6C67B">
      <w:pPr>
        <w:pStyle w:val="26"/>
        <w:keepLines/>
        <w:pageBreakBefore w:val="0"/>
        <w:kinsoku/>
        <w:wordWrap w:val="0"/>
        <w:overflowPunct/>
        <w:bidi w:val="0"/>
        <w:textAlignment w:val="auto"/>
        <w:rPr>
          <w:rFonts w:hint="eastAsia" w:ascii="宋体" w:hAnsi="宋体" w:eastAsia="宋体" w:cs="宋体"/>
          <w:color w:val="auto"/>
        </w:rPr>
      </w:pPr>
      <w:r>
        <w:rPr>
          <w:rFonts w:hint="eastAsia" w:ascii="宋体" w:hAnsi="宋体" w:eastAsia="宋体" w:cs="宋体"/>
          <w:color w:val="auto"/>
        </w:rPr>
        <w:t>。</w:t>
      </w:r>
    </w:p>
    <w:p w14:paraId="27BD9DA8">
      <w:pPr>
        <w:keepLines/>
        <w:pageBreakBefore w:val="0"/>
        <w:kinsoku/>
        <w:wordWrap w:val="0"/>
        <w:overflowPunct/>
        <w:bidi w:val="0"/>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br w:type="page"/>
      </w:r>
    </w:p>
    <w:p w14:paraId="6CC08E47">
      <w:pPr>
        <w:keepLines/>
        <w:pageBreakBefore w:val="0"/>
        <w:numPr>
          <w:ilvl w:val="0"/>
          <w:numId w:val="0"/>
        </w:numPr>
        <w:kinsoku/>
        <w:wordWrap w:val="0"/>
        <w:overflowPunct/>
        <w:topLinePunct w:val="0"/>
        <w:autoSpaceDE/>
        <w:autoSpaceDN/>
        <w:bidi w:val="0"/>
        <w:spacing w:line="480" w:lineRule="exact"/>
        <w:ind w:left="210" w:leftChars="0"/>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t>5、供应商近年完成的类似项目情况表</w:t>
      </w:r>
    </w:p>
    <w:p w14:paraId="5416B9F6">
      <w:pPr>
        <w:pStyle w:val="7"/>
        <w:keepLines/>
        <w:pageBreakBefore w:val="0"/>
        <w:kinsoku/>
        <w:wordWrap w:val="0"/>
        <w:overflowPunct/>
        <w:topLinePunct w:val="0"/>
        <w:autoSpaceDE/>
        <w:autoSpaceDN/>
        <w:bidi w:val="0"/>
        <w:textAlignment w:val="auto"/>
        <w:rPr>
          <w:rFonts w:hint="eastAsia" w:ascii="宋体" w:hAnsi="宋体" w:eastAsia="宋体" w:cs="宋体"/>
          <w:color w:val="000000" w:themeColor="text1"/>
          <w14:textFill>
            <w14:solidFill>
              <w14:schemeClr w14:val="tx1"/>
            </w14:solidFill>
          </w14:textFill>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6250"/>
      </w:tblGrid>
      <w:tr w14:paraId="4DD9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18604ABE">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项目名称</w:t>
            </w:r>
          </w:p>
        </w:tc>
        <w:tc>
          <w:tcPr>
            <w:tcW w:w="6250" w:type="dxa"/>
            <w:noWrap w:val="0"/>
            <w:vAlign w:val="center"/>
          </w:tcPr>
          <w:p w14:paraId="1450DB59">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6DE3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04F6593A">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项目所在地</w:t>
            </w:r>
          </w:p>
        </w:tc>
        <w:tc>
          <w:tcPr>
            <w:tcW w:w="6250" w:type="dxa"/>
            <w:noWrap w:val="0"/>
            <w:vAlign w:val="center"/>
          </w:tcPr>
          <w:p w14:paraId="586DD7ED">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6961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49166705">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发包人名称</w:t>
            </w:r>
          </w:p>
        </w:tc>
        <w:tc>
          <w:tcPr>
            <w:tcW w:w="6250" w:type="dxa"/>
            <w:noWrap w:val="0"/>
            <w:vAlign w:val="center"/>
          </w:tcPr>
          <w:p w14:paraId="1B304515">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0C08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2F72678B">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发包人地址</w:t>
            </w:r>
          </w:p>
        </w:tc>
        <w:tc>
          <w:tcPr>
            <w:tcW w:w="6250" w:type="dxa"/>
            <w:noWrap w:val="0"/>
            <w:vAlign w:val="center"/>
          </w:tcPr>
          <w:p w14:paraId="1960575E">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2AEF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7E4CEC49">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发包人联系人及电话</w:t>
            </w:r>
          </w:p>
        </w:tc>
        <w:tc>
          <w:tcPr>
            <w:tcW w:w="6250" w:type="dxa"/>
            <w:noWrap w:val="0"/>
            <w:vAlign w:val="center"/>
          </w:tcPr>
          <w:p w14:paraId="39CA4CCF">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31DA6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27A41CD3">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合同价格</w:t>
            </w:r>
          </w:p>
        </w:tc>
        <w:tc>
          <w:tcPr>
            <w:tcW w:w="6250" w:type="dxa"/>
            <w:noWrap w:val="0"/>
            <w:vAlign w:val="center"/>
          </w:tcPr>
          <w:p w14:paraId="25EA2582">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0E09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0A8BA909">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开工日期</w:t>
            </w:r>
          </w:p>
        </w:tc>
        <w:tc>
          <w:tcPr>
            <w:tcW w:w="6250" w:type="dxa"/>
            <w:noWrap w:val="0"/>
            <w:vAlign w:val="center"/>
          </w:tcPr>
          <w:p w14:paraId="4FB34EC6">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1979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51BDA39D">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竣工日期</w:t>
            </w:r>
          </w:p>
        </w:tc>
        <w:tc>
          <w:tcPr>
            <w:tcW w:w="6250" w:type="dxa"/>
            <w:noWrap w:val="0"/>
            <w:vAlign w:val="center"/>
          </w:tcPr>
          <w:p w14:paraId="179AF1F4">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26A9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2E697F21">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承担的工作</w:t>
            </w:r>
          </w:p>
        </w:tc>
        <w:tc>
          <w:tcPr>
            <w:tcW w:w="6250" w:type="dxa"/>
            <w:noWrap w:val="0"/>
            <w:vAlign w:val="center"/>
          </w:tcPr>
          <w:p w14:paraId="3C6611EA">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73C8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30624AFA">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工程质量</w:t>
            </w:r>
          </w:p>
        </w:tc>
        <w:tc>
          <w:tcPr>
            <w:tcW w:w="6250" w:type="dxa"/>
            <w:noWrap w:val="0"/>
            <w:vAlign w:val="center"/>
          </w:tcPr>
          <w:p w14:paraId="65FB26BB">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2D4B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4C84C612">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项目经理</w:t>
            </w:r>
          </w:p>
        </w:tc>
        <w:tc>
          <w:tcPr>
            <w:tcW w:w="6250" w:type="dxa"/>
            <w:noWrap w:val="0"/>
            <w:vAlign w:val="center"/>
          </w:tcPr>
          <w:p w14:paraId="6199BDBB">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215B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5B1252B0">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技术负责人</w:t>
            </w:r>
          </w:p>
        </w:tc>
        <w:tc>
          <w:tcPr>
            <w:tcW w:w="6250" w:type="dxa"/>
            <w:noWrap w:val="0"/>
            <w:vAlign w:val="center"/>
          </w:tcPr>
          <w:p w14:paraId="54FF3DC8">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577D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53DF4173">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总监理工程师及电话</w:t>
            </w:r>
          </w:p>
        </w:tc>
        <w:tc>
          <w:tcPr>
            <w:tcW w:w="6250" w:type="dxa"/>
            <w:noWrap w:val="0"/>
            <w:vAlign w:val="center"/>
          </w:tcPr>
          <w:p w14:paraId="5E3365DD">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4BDE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637" w:type="dxa"/>
            <w:noWrap w:val="0"/>
            <w:vAlign w:val="center"/>
          </w:tcPr>
          <w:p w14:paraId="6730F75A">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项目描述</w:t>
            </w:r>
          </w:p>
        </w:tc>
        <w:tc>
          <w:tcPr>
            <w:tcW w:w="6250" w:type="dxa"/>
            <w:noWrap w:val="0"/>
            <w:vAlign w:val="center"/>
          </w:tcPr>
          <w:p w14:paraId="473D92B2">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r w14:paraId="681F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noWrap w:val="0"/>
            <w:vAlign w:val="center"/>
          </w:tcPr>
          <w:p w14:paraId="329633E7">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备注</w:t>
            </w:r>
          </w:p>
        </w:tc>
        <w:tc>
          <w:tcPr>
            <w:tcW w:w="6250" w:type="dxa"/>
            <w:noWrap w:val="0"/>
            <w:vAlign w:val="center"/>
          </w:tcPr>
          <w:p w14:paraId="5384925A">
            <w:pPr>
              <w:keepLines/>
              <w:pageBreakBefore w:val="0"/>
              <w:kinsoku/>
              <w:wordWrap w:val="0"/>
              <w:overflowPunct/>
              <w:bidi w:val="0"/>
              <w:snapToGrid w:val="0"/>
              <w:ind w:left="-42" w:leftChars="-20" w:right="-42" w:rightChars="-20"/>
              <w:jc w:val="center"/>
              <w:textAlignment w:val="auto"/>
              <w:rPr>
                <w:rFonts w:hint="eastAsia" w:ascii="宋体" w:hAnsi="宋体" w:eastAsia="宋体" w:cs="宋体"/>
                <w:kern w:val="0"/>
                <w:sz w:val="21"/>
                <w:szCs w:val="21"/>
                <w:highlight w:val="none"/>
              </w:rPr>
            </w:pPr>
          </w:p>
        </w:tc>
      </w:tr>
    </w:tbl>
    <w:p w14:paraId="36027A4F">
      <w:pPr>
        <w:keepLines/>
        <w:pageBreakBefore w:val="0"/>
        <w:kinsoku/>
        <w:wordWrap w:val="0"/>
        <w:overflowPunct/>
        <w:bidi w:val="0"/>
        <w:adjustRightInd w:val="0"/>
        <w:snapToGrid w:val="0"/>
        <w:spacing w:before="156" w:beforeLines="50" w:line="360" w:lineRule="auto"/>
        <w:ind w:firstLine="424" w:firstLineChars="200"/>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注：每个业绩表后附相关业绩证明材料，</w:t>
      </w:r>
      <w:r>
        <w:rPr>
          <w:rFonts w:hint="eastAsia" w:ascii="宋体" w:hAnsi="宋体" w:eastAsia="宋体" w:cs="宋体"/>
          <w:b w:val="0"/>
          <w:bCs/>
          <w:color w:val="000000" w:themeColor="text1"/>
          <w:sz w:val="21"/>
          <w:szCs w:val="21"/>
          <w14:textFill>
            <w14:solidFill>
              <w14:schemeClr w14:val="tx1"/>
            </w14:solidFill>
          </w14:textFill>
        </w:rPr>
        <w:t>每张表格只填写一个项目，</w:t>
      </w:r>
      <w:r>
        <w:rPr>
          <w:rFonts w:hint="eastAsia" w:ascii="宋体" w:hAnsi="宋体" w:eastAsia="宋体" w:cs="宋体"/>
          <w:b w:val="0"/>
          <w:bCs/>
          <w:kern w:val="0"/>
          <w:sz w:val="21"/>
          <w:szCs w:val="21"/>
          <w:highlight w:val="none"/>
        </w:rPr>
        <w:t>并标明序号。</w:t>
      </w:r>
    </w:p>
    <w:p w14:paraId="101B0749">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z w:val="18"/>
          <w:szCs w:val="18"/>
          <w14:textFill>
            <w14:solidFill>
              <w14:schemeClr w14:val="tx1"/>
            </w14:solidFill>
          </w14:textFill>
        </w:rPr>
      </w:pPr>
      <w:r>
        <w:rPr>
          <w:rFonts w:hint="eastAsia" w:ascii="宋体" w:hAnsi="宋体" w:eastAsia="宋体" w:cs="宋体"/>
          <w:b/>
          <w:color w:val="000000" w:themeColor="text1"/>
          <w:sz w:val="18"/>
          <w:szCs w:val="18"/>
          <w14:textFill>
            <w14:solidFill>
              <w14:schemeClr w14:val="tx1"/>
            </w14:solidFill>
          </w14:textFill>
        </w:rPr>
        <w:br w:type="page"/>
      </w:r>
    </w:p>
    <w:p w14:paraId="33F2E055">
      <w:pPr>
        <w:keepLines/>
        <w:pageBreakBefore w:val="0"/>
        <w:kinsoku/>
        <w:wordWrap w:val="0"/>
        <w:overflowPunct/>
        <w:topLinePunct w:val="0"/>
        <w:autoSpaceDE/>
        <w:autoSpaceDN/>
        <w:bidi w:val="0"/>
        <w:textAlignment w:val="auto"/>
        <w:rPr>
          <w:rFonts w:hint="eastAsia" w:ascii="宋体" w:hAnsi="宋体" w:eastAsia="宋体" w:cs="宋体"/>
          <w:b/>
          <w:color w:val="000000" w:themeColor="text1"/>
          <w:sz w:val="18"/>
          <w:szCs w:val="18"/>
          <w14:textFill>
            <w14:solidFill>
              <w14:schemeClr w14:val="tx1"/>
            </w14:solidFill>
          </w14:textFill>
        </w:rPr>
      </w:pPr>
    </w:p>
    <w:p w14:paraId="67144408">
      <w:pPr>
        <w:keepLines/>
        <w:pageBreakBefore w:val="0"/>
        <w:widowControl/>
        <w:tabs>
          <w:tab w:val="left" w:pos="730"/>
        </w:tabs>
        <w:kinsoku/>
        <w:wordWrap w:val="0"/>
        <w:overflowPunct/>
        <w:topLinePunct w:val="0"/>
        <w:autoSpaceDE/>
        <w:autoSpaceDN/>
        <w:bidi w:val="0"/>
        <w:snapToGrid w:val="0"/>
        <w:spacing w:line="600" w:lineRule="exact"/>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bookmarkStart w:id="403" w:name="_Toc468698249"/>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t>6、施工组织设计</w:t>
      </w:r>
    </w:p>
    <w:p w14:paraId="205C90B2">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val="0"/>
          <w:color w:val="000000" w:themeColor="text1"/>
          <w:sz w:val="24"/>
          <w14:textFill>
            <w14:solidFill>
              <w14:schemeClr w14:val="tx1"/>
            </w14:solidFill>
          </w14:textFill>
        </w:rPr>
      </w:pPr>
    </w:p>
    <w:p w14:paraId="3BF7C636">
      <w:pPr>
        <w:keepLines/>
        <w:pageBreakBefore w:val="0"/>
        <w:kinsoku/>
        <w:wordWrap w:val="0"/>
        <w:overflowPunct/>
        <w:topLinePunct w:val="0"/>
        <w:autoSpaceDE/>
        <w:autoSpaceDN/>
        <w:bidi w:val="0"/>
        <w:snapToGrid w:val="0"/>
        <w:spacing w:line="360" w:lineRule="auto"/>
        <w:ind w:firstLine="484" w:firstLineChars="200"/>
        <w:textAlignment w:val="auto"/>
        <w:rPr>
          <w:rFonts w:hint="eastAsia" w:ascii="宋体" w:hAnsi="宋体" w:eastAsia="宋体" w:cs="宋体"/>
          <w:b w:val="0"/>
          <w:bCs w:val="0"/>
          <w:color w:val="000000" w:themeColor="text1"/>
          <w:sz w:val="24"/>
          <w14:textFill>
            <w14:solidFill>
              <w14:schemeClr w14:val="tx1"/>
            </w14:solidFill>
          </w14:textFill>
        </w:rPr>
      </w:pPr>
      <w:r>
        <w:rPr>
          <w:rFonts w:hint="eastAsia" w:ascii="宋体" w:hAnsi="宋体" w:eastAsia="宋体" w:cs="宋体"/>
          <w:b w:val="0"/>
          <w:bCs w:val="0"/>
          <w:color w:val="000000" w:themeColor="text1"/>
          <w:sz w:val="24"/>
          <w14:textFill>
            <w14:solidFill>
              <w14:schemeClr w14:val="tx1"/>
            </w14:solidFill>
          </w14:textFill>
        </w:rPr>
        <w:t>报价人应根据磋商文件和对现场的勘察情况，采用文字并结合图表</w:t>
      </w:r>
      <w:r>
        <w:rPr>
          <w:rFonts w:hint="eastAsia" w:ascii="宋体" w:hAnsi="宋体" w:eastAsia="宋体" w:cs="宋体"/>
          <w:b w:val="0"/>
          <w:bCs w:val="0"/>
          <w:color w:val="000000" w:themeColor="text1"/>
          <w:sz w:val="24"/>
          <w:lang w:eastAsia="zh-CN"/>
          <w14:textFill>
            <w14:solidFill>
              <w14:schemeClr w14:val="tx1"/>
            </w14:solidFill>
          </w14:textFill>
        </w:rPr>
        <w:t>等</w:t>
      </w:r>
      <w:r>
        <w:rPr>
          <w:rFonts w:hint="eastAsia" w:ascii="宋体" w:hAnsi="宋体" w:eastAsia="宋体" w:cs="宋体"/>
          <w:b w:val="0"/>
          <w:bCs w:val="0"/>
          <w:color w:val="000000" w:themeColor="text1"/>
          <w:sz w:val="24"/>
          <w14:textFill>
            <w14:solidFill>
              <w14:schemeClr w14:val="tx1"/>
            </w14:solidFill>
          </w14:textFill>
        </w:rPr>
        <w:t>形式编制本工程的施工组织设计。</w:t>
      </w:r>
    </w:p>
    <w:p w14:paraId="55D61E36">
      <w:pPr>
        <w:pStyle w:val="32"/>
        <w:keepLines/>
        <w:pageBreakBefore w:val="0"/>
        <w:kinsoku/>
        <w:wordWrap w:val="0"/>
        <w:overflowPunct/>
        <w:topLinePunct w:val="0"/>
        <w:autoSpaceDE/>
        <w:autoSpaceDN/>
        <w:bidi w:val="0"/>
        <w:textAlignment w:val="auto"/>
        <w:rPr>
          <w:rFonts w:hint="eastAsia" w:ascii="宋体" w:hAnsi="宋体" w:eastAsia="宋体" w:cs="宋体"/>
          <w:color w:val="000000" w:themeColor="text1"/>
          <w:lang w:val="en-US" w:eastAsia="zh-CN"/>
          <w14:textFill>
            <w14:solidFill>
              <w14:schemeClr w14:val="tx1"/>
            </w14:solidFill>
          </w14:textFill>
        </w:rPr>
      </w:pPr>
    </w:p>
    <w:p w14:paraId="1D27F0C0">
      <w:pPr>
        <w:keepLines/>
        <w:pageBreakBefore w:val="0"/>
        <w:widowControl/>
        <w:tabs>
          <w:tab w:val="left" w:pos="730"/>
        </w:tabs>
        <w:kinsoku/>
        <w:wordWrap w:val="0"/>
        <w:overflowPunct/>
        <w:topLinePunct w:val="0"/>
        <w:autoSpaceDE/>
        <w:autoSpaceDN/>
        <w:bidi w:val="0"/>
        <w:snapToGrid w:val="0"/>
        <w:spacing w:line="600" w:lineRule="exact"/>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11FF7864">
      <w:pPr>
        <w:keepLines/>
        <w:pageBreakBefore w:val="0"/>
        <w:widowControl/>
        <w:tabs>
          <w:tab w:val="left" w:pos="730"/>
        </w:tabs>
        <w:kinsoku/>
        <w:wordWrap w:val="0"/>
        <w:overflowPunct/>
        <w:topLinePunct w:val="0"/>
        <w:autoSpaceDE/>
        <w:autoSpaceDN/>
        <w:bidi w:val="0"/>
        <w:snapToGrid w:val="0"/>
        <w:spacing w:line="600" w:lineRule="exact"/>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67FC6A97">
      <w:pPr>
        <w:keepLines/>
        <w:pageBreakBefore w:val="0"/>
        <w:widowControl/>
        <w:tabs>
          <w:tab w:val="left" w:pos="730"/>
        </w:tabs>
        <w:kinsoku/>
        <w:wordWrap w:val="0"/>
        <w:overflowPunct/>
        <w:topLinePunct w:val="0"/>
        <w:autoSpaceDE/>
        <w:autoSpaceDN/>
        <w:bidi w:val="0"/>
        <w:snapToGrid w:val="0"/>
        <w:spacing w:line="600" w:lineRule="exact"/>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p>
    <w:p w14:paraId="5880BA3A">
      <w:pPr>
        <w:keepLines/>
        <w:pageBreakBefore w:val="0"/>
        <w:widowControl/>
        <w:tabs>
          <w:tab w:val="left" w:pos="730"/>
        </w:tabs>
        <w:kinsoku/>
        <w:wordWrap w:val="0"/>
        <w:overflowPunct/>
        <w:topLinePunct w:val="0"/>
        <w:autoSpaceDE/>
        <w:autoSpaceDN/>
        <w:bidi w:val="0"/>
        <w:snapToGrid w:val="0"/>
        <w:spacing w:line="600" w:lineRule="exact"/>
        <w:jc w:val="center"/>
        <w:textAlignment w:val="auto"/>
        <w:rPr>
          <w:rFonts w:hint="eastAsia" w:ascii="宋体" w:hAnsi="宋体" w:eastAsia="宋体" w:cs="宋体"/>
          <w:b/>
          <w:bCs w:val="0"/>
          <w:color w:val="000000" w:themeColor="text1"/>
          <w:spacing w:val="20"/>
          <w:sz w:val="32"/>
          <w:szCs w:val="32"/>
          <w:lang w:val="en-US" w:eastAsia="zh-CN"/>
          <w14:textFill>
            <w14:solidFill>
              <w14:schemeClr w14:val="tx1"/>
            </w14:solidFill>
          </w14:textFill>
        </w:rPr>
      </w:pP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br w:type="page"/>
      </w:r>
    </w:p>
    <w:bookmarkEnd w:id="403"/>
    <w:p w14:paraId="2EBFC6F0">
      <w:pPr>
        <w:keepLines/>
        <w:pageBreakBefore w:val="0"/>
        <w:widowControl/>
        <w:tabs>
          <w:tab w:val="left" w:pos="730"/>
        </w:tabs>
        <w:kinsoku/>
        <w:wordWrap w:val="0"/>
        <w:overflowPunct/>
        <w:topLinePunct w:val="0"/>
        <w:autoSpaceDE/>
        <w:autoSpaceDN/>
        <w:bidi w:val="0"/>
        <w:snapToGrid w:val="0"/>
        <w:spacing w:line="600" w:lineRule="exact"/>
        <w:ind w:firstLine="362" w:firstLineChars="100"/>
        <w:jc w:val="center"/>
        <w:textAlignment w:val="auto"/>
        <w:rPr>
          <w:rFonts w:hint="eastAsia" w:ascii="宋体" w:hAnsi="宋体" w:eastAsia="宋体" w:cs="宋体"/>
          <w:b/>
          <w:bCs w:val="0"/>
          <w:color w:val="000000" w:themeColor="text1"/>
          <w:spacing w:val="20"/>
          <w:sz w:val="32"/>
          <w:szCs w:val="32"/>
          <w14:textFill>
            <w14:solidFill>
              <w14:schemeClr w14:val="tx1"/>
            </w14:solidFill>
          </w14:textFill>
        </w:rPr>
      </w:pPr>
      <w:r>
        <w:rPr>
          <w:rFonts w:hint="eastAsia" w:ascii="宋体" w:hAnsi="宋体" w:eastAsia="宋体" w:cs="宋体"/>
          <w:b/>
          <w:bCs w:val="0"/>
          <w:color w:val="000000" w:themeColor="text1"/>
          <w:spacing w:val="20"/>
          <w:sz w:val="32"/>
          <w:szCs w:val="32"/>
          <w:lang w:val="en-US" w:eastAsia="zh-CN"/>
          <w14:textFill>
            <w14:solidFill>
              <w14:schemeClr w14:val="tx1"/>
            </w14:solidFill>
          </w14:textFill>
        </w:rPr>
        <w:t>7、</w:t>
      </w:r>
      <w:r>
        <w:rPr>
          <w:rFonts w:hint="eastAsia" w:ascii="宋体" w:hAnsi="宋体" w:eastAsia="宋体" w:cs="宋体"/>
          <w:b/>
          <w:bCs w:val="0"/>
          <w:color w:val="000000" w:themeColor="text1"/>
          <w:spacing w:val="20"/>
          <w:sz w:val="32"/>
          <w:szCs w:val="32"/>
          <w14:textFill>
            <w14:solidFill>
              <w14:schemeClr w14:val="tx1"/>
            </w14:solidFill>
          </w14:textFill>
        </w:rPr>
        <w:t>供应商认为需要提供的其他证明文件</w:t>
      </w:r>
    </w:p>
    <w:p w14:paraId="77BD536F">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4457642D">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7A4A3BD6">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019944F4">
      <w:pPr>
        <w:pStyle w:val="17"/>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0E94C7E3">
      <w:pPr>
        <w:pStyle w:val="24"/>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159EFB82">
      <w:pPr>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6366DE29">
      <w:pPr>
        <w:pStyle w:val="17"/>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4A15AFA5">
      <w:pPr>
        <w:pStyle w:val="24"/>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7BC0830E">
      <w:pPr>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7EB2F8E4">
      <w:pPr>
        <w:pStyle w:val="17"/>
        <w:keepLines/>
        <w:pageBreakBefore w:val="0"/>
        <w:kinsoku/>
        <w:wordWrap w:val="0"/>
        <w:overflowPunct/>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1A8AE5A8">
      <w:pPr>
        <w:pStyle w:val="24"/>
        <w:keepLines/>
        <w:pageBreakBefore w:val="0"/>
        <w:kinsoku/>
        <w:wordWrap w:val="0"/>
        <w:overflowPunct/>
        <w:bidi w:val="0"/>
        <w:textAlignment w:val="auto"/>
        <w:rPr>
          <w:rFonts w:hint="eastAsia" w:ascii="宋体" w:hAnsi="宋体" w:eastAsia="宋体" w:cs="宋体"/>
        </w:rPr>
      </w:pPr>
    </w:p>
    <w:p w14:paraId="0A635B78">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12EEA22E">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380B5471">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34F6747F">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29E685FF">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0ED7B67E">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46ED85F2">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7CECDF86">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0574E383">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1878682C">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14:textFill>
            <w14:solidFill>
              <w14:schemeClr w14:val="tx1"/>
            </w14:solidFill>
          </w14:textFill>
        </w:rPr>
        <w:t>中小企业声明函格式</w:t>
      </w:r>
    </w:p>
    <w:p w14:paraId="16AEC0A5">
      <w:pPr>
        <w:keepLines/>
        <w:pageBreakBefore w:val="0"/>
        <w:kinsoku/>
        <w:wordWrap w:val="0"/>
        <w:overflowPunct/>
        <w:bidi w:val="0"/>
        <w:spacing w:line="360" w:lineRule="auto"/>
        <w:jc w:val="center"/>
        <w:textAlignment w:val="auto"/>
        <w:rPr>
          <w:rFonts w:hint="eastAsia" w:ascii="宋体" w:hAnsi="宋体" w:eastAsia="宋体" w:cs="宋体"/>
          <w:b/>
          <w:bCs/>
          <w:color w:val="000000" w:themeColor="text1"/>
          <w:spacing w:val="0"/>
          <w:sz w:val="32"/>
          <w:szCs w:val="32"/>
          <w:lang w:val="en-US"/>
          <w14:textFill>
            <w14:solidFill>
              <w14:schemeClr w14:val="tx1"/>
            </w14:solidFill>
          </w14:textFill>
        </w:rPr>
      </w:pPr>
      <w:bookmarkStart w:id="404" w:name="OLE_LINK13"/>
      <w:bookmarkStart w:id="405" w:name="OLE_LINK14"/>
      <w:r>
        <w:rPr>
          <w:rFonts w:hint="eastAsia" w:ascii="宋体" w:hAnsi="宋体" w:eastAsia="宋体" w:cs="宋体"/>
          <w:b/>
          <w:bCs/>
          <w:color w:val="000000" w:themeColor="text1"/>
          <w:spacing w:val="0"/>
          <w:sz w:val="32"/>
          <w:szCs w:val="32"/>
          <w:lang w:val="en-US" w:eastAsia="zh-CN"/>
          <w14:textFill>
            <w14:solidFill>
              <w14:schemeClr w14:val="tx1"/>
            </w14:solidFill>
          </w14:textFill>
        </w:rPr>
        <w:t>中小企业声明函（工程）</w:t>
      </w:r>
    </w:p>
    <w:p w14:paraId="22C5DBE3">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lang w:val="en-US" w:eastAsia="zh-CN"/>
          <w14:textFill>
            <w14:solidFill>
              <w14:schemeClr w14:val="tx1"/>
            </w14:solidFill>
          </w14:textFill>
        </w:rPr>
      </w:pPr>
    </w:p>
    <w:p w14:paraId="72D9047F">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0C8391A5">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1. </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（标的名称） </w:t>
      </w:r>
      <w:r>
        <w:rPr>
          <w:rFonts w:hint="eastAsia" w:ascii="宋体" w:hAnsi="宋体" w:eastAsia="宋体" w:cs="宋体"/>
          <w:b w:val="0"/>
          <w:bCs w:val="0"/>
          <w:color w:val="000000" w:themeColor="text1"/>
          <w:spacing w:val="0"/>
          <w:sz w:val="24"/>
          <w:lang w:val="en-US" w:eastAsia="zh-CN"/>
          <w14:textFill>
            <w14:solidFill>
              <w14:schemeClr w14:val="tx1"/>
            </w14:solidFill>
          </w14:textFill>
        </w:rPr>
        <w:t>，属于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（所属行业）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承建（承接）企业为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（企业名称）</w:t>
      </w:r>
      <w:r>
        <w:rPr>
          <w:rFonts w:hint="eastAsia" w:ascii="宋体" w:hAnsi="宋体" w:eastAsia="宋体" w:cs="宋体"/>
          <w:b w:val="0"/>
          <w:bCs w:val="0"/>
          <w:color w:val="000000" w:themeColor="text1"/>
          <w:spacing w:val="0"/>
          <w:sz w:val="24"/>
          <w:lang w:val="en-US" w:eastAsia="zh-CN"/>
          <w14:textFill>
            <w14:solidFill>
              <w14:schemeClr w14:val="tx1"/>
            </w14:solidFill>
          </w14:textFill>
        </w:rPr>
        <w:t>，从业人员</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人，营业收入为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万元，资产总额为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 ，属于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（中型企业、小型企业、微型企业）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w:t>
      </w:r>
    </w:p>
    <w:p w14:paraId="04FB57A6">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2. </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（标的名称）</w:t>
      </w: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（所属行业）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承建（承接）企业为（企业名称），从业人员</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人，营业收入为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万元，资产总额为</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pacing w:val="0"/>
          <w:sz w:val="24"/>
          <w:lang w:val="en-US" w:eastAsia="zh-CN"/>
          <w14:textFill>
            <w14:solidFill>
              <w14:schemeClr w14:val="tx1"/>
            </w14:solidFill>
          </w14:textFill>
        </w:rPr>
        <w:t>万元，属于</w:t>
      </w:r>
      <w:r>
        <w:rPr>
          <w:rFonts w:hint="eastAsia" w:ascii="宋体" w:hAnsi="宋体" w:eastAsia="宋体" w:cs="宋体"/>
          <w:b w:val="0"/>
          <w:bCs w:val="0"/>
          <w:color w:val="000000" w:themeColor="text1"/>
          <w:spacing w:val="0"/>
          <w:sz w:val="24"/>
          <w:u w:val="single"/>
          <w:lang w:val="en-US" w:eastAsia="zh-CN"/>
          <w14:textFill>
            <w14:solidFill>
              <w14:schemeClr w14:val="tx1"/>
            </w14:solidFill>
          </w14:textFill>
        </w:rPr>
        <w:t>（中型企业、小型企业、微型企业）</w:t>
      </w: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w:t>
      </w:r>
    </w:p>
    <w:p w14:paraId="134876C2">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 </w:t>
      </w:r>
    </w:p>
    <w:p w14:paraId="1978B03C">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以上企业，不属于大企业的分支机构，不存在控股股东为大企业的情形，也不存在与大企业的负责人为同一人的情形。 </w:t>
      </w:r>
    </w:p>
    <w:p w14:paraId="6DB111CD">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本企业对上述声明内容的真实性负责。如有虚假，将依法承担相应责任。 </w:t>
      </w:r>
    </w:p>
    <w:p w14:paraId="248B98C0">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lang w:val="en-US" w:eastAsia="zh-CN"/>
          <w14:textFill>
            <w14:solidFill>
              <w14:schemeClr w14:val="tx1"/>
            </w14:solidFill>
          </w14:textFill>
        </w:rPr>
      </w:pPr>
    </w:p>
    <w:p w14:paraId="6D8E0266">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lang w:val="en-US" w:eastAsia="zh-CN"/>
          <w14:textFill>
            <w14:solidFill>
              <w14:schemeClr w14:val="tx1"/>
            </w14:solidFill>
          </w14:textFill>
        </w:rPr>
      </w:pPr>
    </w:p>
    <w:p w14:paraId="5C571AF5">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 xml:space="preserve">企业名称（电子签章）： </w:t>
      </w:r>
    </w:p>
    <w:p w14:paraId="1688B694">
      <w:pPr>
        <w:keepLines/>
        <w:pageBreakBefore w:val="0"/>
        <w:kinsoku/>
        <w:wordWrap w:val="0"/>
        <w:overflowPunct/>
        <w:bidi w:val="0"/>
        <w:spacing w:line="360" w:lineRule="auto"/>
        <w:ind w:firstLine="5808" w:firstLineChars="2400"/>
        <w:textAlignment w:val="auto"/>
        <w:rPr>
          <w:rFonts w:hint="eastAsia" w:ascii="宋体" w:hAnsi="宋体" w:eastAsia="宋体" w:cs="宋体"/>
          <w:b w:val="0"/>
          <w:bCs w:val="0"/>
          <w:color w:val="000000" w:themeColor="text1"/>
          <w:spacing w:val="0"/>
          <w:sz w:val="24"/>
          <w:lang w:val="en-US"/>
          <w14:textFill>
            <w14:solidFill>
              <w14:schemeClr w14:val="tx1"/>
            </w14:solidFill>
          </w14:textFill>
        </w:rPr>
      </w:pPr>
      <w:r>
        <w:rPr>
          <w:rFonts w:hint="eastAsia" w:ascii="宋体" w:hAnsi="宋体" w:eastAsia="宋体" w:cs="宋体"/>
          <w:b w:val="0"/>
          <w:bCs w:val="0"/>
          <w:color w:val="000000" w:themeColor="text1"/>
          <w:spacing w:val="0"/>
          <w:sz w:val="24"/>
          <w:lang w:val="en-US" w:eastAsia="zh-CN"/>
          <w14:textFill>
            <w14:solidFill>
              <w14:schemeClr w14:val="tx1"/>
            </w14:solidFill>
          </w14:textFill>
        </w:rPr>
        <w:t>日 期：  年  月  日</w:t>
      </w:r>
    </w:p>
    <w:p w14:paraId="76E151F4">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p>
    <w:p w14:paraId="71E5A54D">
      <w:pPr>
        <w:keepLines/>
        <w:pageBreakBefore w:val="0"/>
        <w:kinsoku/>
        <w:wordWrap w:val="0"/>
        <w:overflowPunct/>
        <w:bidi w:val="0"/>
        <w:spacing w:line="360" w:lineRule="auto"/>
        <w:ind w:firstLine="484" w:firstLineChars="200"/>
        <w:textAlignment w:val="auto"/>
        <w:rPr>
          <w:rFonts w:hint="eastAsia" w:ascii="宋体" w:hAnsi="宋体" w:eastAsia="宋体" w:cs="宋体"/>
          <w:b w:val="0"/>
          <w:bCs w:val="0"/>
          <w:color w:val="000000" w:themeColor="text1"/>
          <w:spacing w:val="0"/>
          <w:sz w:val="24"/>
          <w14:textFill>
            <w14:solidFill>
              <w14:schemeClr w14:val="tx1"/>
            </w14:solidFill>
          </w14:textFill>
        </w:rPr>
      </w:pPr>
    </w:p>
    <w:p w14:paraId="668C3400">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color w:val="000000" w:themeColor="text1"/>
          <w:spacing w:val="0"/>
          <w:sz w:val="24"/>
          <w14:textFill>
            <w14:solidFill>
              <w14:schemeClr w14:val="tx1"/>
            </w14:solidFill>
          </w14:textFill>
        </w:rPr>
      </w:pPr>
      <w:r>
        <w:rPr>
          <w:rFonts w:hint="eastAsia" w:ascii="宋体" w:hAnsi="宋体" w:eastAsia="宋体" w:cs="宋体"/>
          <w:b w:val="0"/>
          <w:bCs w:val="0"/>
          <w:color w:val="000000" w:themeColor="text1"/>
          <w:spacing w:val="0"/>
          <w:sz w:val="24"/>
          <w14:textFill>
            <w14:solidFill>
              <w14:schemeClr w14:val="tx1"/>
            </w14:solidFill>
          </w14:textFill>
        </w:rPr>
        <w:t>注：从业人员、营业收入、资产总额填报上一年度数据,无一年度数据的新成立企业可不填报。</w:t>
      </w:r>
    </w:p>
    <w:p w14:paraId="26938344">
      <w:pPr>
        <w:keepLines/>
        <w:pageBreakBefore w:val="0"/>
        <w:tabs>
          <w:tab w:val="left" w:pos="1680"/>
        </w:tabs>
        <w:kinsoku/>
        <w:wordWrap w:val="0"/>
        <w:overflowPunct/>
        <w:topLinePunct w:val="0"/>
        <w:autoSpaceDE/>
        <w:autoSpaceDN/>
        <w:bidi w:val="0"/>
        <w:snapToGrid w:val="0"/>
        <w:spacing w:line="360" w:lineRule="auto"/>
        <w:jc w:val="center"/>
        <w:textAlignment w:val="auto"/>
        <w:rPr>
          <w:rFonts w:hint="eastAsia" w:ascii="宋体" w:hAnsi="宋体" w:eastAsia="宋体" w:cs="宋体"/>
          <w:b/>
          <w:color w:val="000000" w:themeColor="text1"/>
          <w:spacing w:val="0"/>
          <w:sz w:val="32"/>
          <w:szCs w:val="28"/>
          <w14:textFill>
            <w14:solidFill>
              <w14:schemeClr w14:val="tx1"/>
            </w14:solidFill>
          </w14:textFill>
        </w:rPr>
      </w:pPr>
    </w:p>
    <w:p w14:paraId="1CA2D7D0">
      <w:pPr>
        <w:pStyle w:val="24"/>
        <w:keepLines/>
        <w:pageBreakBefore w:val="0"/>
        <w:widowControl w:val="0"/>
        <w:kinsoku/>
        <w:wordWrap w:val="0"/>
        <w:overflowPunct/>
        <w:topLinePunct w:val="0"/>
        <w:autoSpaceDE/>
        <w:autoSpaceDN/>
        <w:bidi w:val="0"/>
        <w:adjustRightInd w:val="0"/>
        <w:snapToGrid w:val="0"/>
        <w:spacing w:before="0" w:beforeAutospacing="0" w:after="0" w:afterAutospacing="0" w:line="360" w:lineRule="auto"/>
        <w:jc w:val="center"/>
        <w:textAlignment w:val="auto"/>
        <w:rPr>
          <w:rFonts w:hint="eastAsia" w:ascii="宋体" w:hAnsi="宋体" w:eastAsia="宋体" w:cs="宋体"/>
          <w:b/>
          <w:bCs/>
          <w:color w:val="000000" w:themeColor="text1"/>
          <w:spacing w:val="0"/>
          <w:sz w:val="32"/>
          <w:szCs w:val="32"/>
          <w14:textFill>
            <w14:solidFill>
              <w14:schemeClr w14:val="tx1"/>
            </w14:solidFill>
          </w14:textFill>
        </w:rPr>
      </w:pPr>
    </w:p>
    <w:p w14:paraId="2667A69C">
      <w:pPr>
        <w:pStyle w:val="24"/>
        <w:keepLines/>
        <w:pageBreakBefore w:val="0"/>
        <w:widowControl w:val="0"/>
        <w:kinsoku/>
        <w:wordWrap w:val="0"/>
        <w:overflowPunct/>
        <w:topLinePunct w:val="0"/>
        <w:autoSpaceDE/>
        <w:autoSpaceDN/>
        <w:bidi w:val="0"/>
        <w:adjustRightInd w:val="0"/>
        <w:snapToGrid w:val="0"/>
        <w:spacing w:before="0" w:beforeAutospacing="0" w:after="0" w:afterAutospacing="0" w:line="360" w:lineRule="auto"/>
        <w:ind w:firstLine="644" w:firstLineChars="200"/>
        <w:jc w:val="center"/>
        <w:textAlignment w:val="auto"/>
        <w:rPr>
          <w:rFonts w:hint="eastAsia" w:ascii="宋体" w:hAnsi="宋体" w:eastAsia="宋体" w:cs="宋体"/>
          <w:b/>
          <w:bCs/>
          <w:color w:val="000000" w:themeColor="text1"/>
          <w:spacing w:val="0"/>
          <w:sz w:val="32"/>
          <w:szCs w:val="32"/>
          <w14:textFill>
            <w14:solidFill>
              <w14:schemeClr w14:val="tx1"/>
            </w14:solidFill>
          </w14:textFill>
        </w:rPr>
      </w:pPr>
      <w:r>
        <w:rPr>
          <w:rFonts w:hint="eastAsia" w:ascii="宋体" w:hAnsi="宋体" w:eastAsia="宋体" w:cs="宋体"/>
          <w:b/>
          <w:bCs/>
          <w:color w:val="000000" w:themeColor="text1"/>
          <w:spacing w:val="0"/>
          <w:sz w:val="32"/>
          <w:szCs w:val="32"/>
          <w14:textFill>
            <w14:solidFill>
              <w14:schemeClr w14:val="tx1"/>
            </w14:solidFill>
          </w14:textFill>
        </w:rPr>
        <w:t>监狱企业证明文件</w:t>
      </w:r>
    </w:p>
    <w:p w14:paraId="77CD9A25">
      <w:pPr>
        <w:keepLines/>
        <w:pageBreakBefore w:val="0"/>
        <w:kinsoku/>
        <w:wordWrap w:val="0"/>
        <w:overflowPunct/>
        <w:topLinePunct w:val="0"/>
        <w:autoSpaceDE/>
        <w:autoSpaceDN/>
        <w:bidi w:val="0"/>
        <w:spacing w:line="360" w:lineRule="auto"/>
        <w:ind w:firstLine="484" w:firstLineChars="200"/>
        <w:jc w:val="left"/>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监狱企业参加投标视同小微企业，提供由省级以上监狱管理局、戒毒管理局出具的属于监狱企业的证明文件。</w:t>
      </w:r>
    </w:p>
    <w:p w14:paraId="7D8B2D48">
      <w:pPr>
        <w:keepLines/>
        <w:pageBreakBefore w:val="0"/>
        <w:kinsoku/>
        <w:wordWrap w:val="0"/>
        <w:overflowPunct/>
        <w:topLinePunct w:val="0"/>
        <w:autoSpaceDE/>
        <w:autoSpaceDN/>
        <w:bidi w:val="0"/>
        <w:spacing w:line="360" w:lineRule="auto"/>
        <w:ind w:firstLine="644" w:firstLineChars="200"/>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p>
    <w:p w14:paraId="59875042">
      <w:pPr>
        <w:keepLines/>
        <w:pageBreakBefore w:val="0"/>
        <w:kinsoku/>
        <w:wordWrap w:val="0"/>
        <w:overflowPunct/>
        <w:topLinePunct w:val="0"/>
        <w:autoSpaceDE/>
        <w:autoSpaceDN/>
        <w:bidi w:val="0"/>
        <w:spacing w:line="360" w:lineRule="auto"/>
        <w:jc w:val="both"/>
        <w:textAlignment w:val="auto"/>
        <w:rPr>
          <w:rFonts w:hint="eastAsia" w:ascii="宋体" w:hAnsi="宋体" w:eastAsia="宋体" w:cs="宋体"/>
          <w:b/>
          <w:color w:val="000000" w:themeColor="text1"/>
          <w:spacing w:val="0"/>
          <w:sz w:val="32"/>
          <w:szCs w:val="32"/>
          <w14:textFill>
            <w14:solidFill>
              <w14:schemeClr w14:val="tx1"/>
            </w14:solidFill>
          </w14:textFill>
        </w:rPr>
      </w:pPr>
    </w:p>
    <w:p w14:paraId="0F99E02B">
      <w:pPr>
        <w:pStyle w:val="11"/>
        <w:keepLines/>
        <w:pageBreakBefore w:val="0"/>
        <w:kinsoku/>
        <w:wordWrap w:val="0"/>
        <w:overflowPunct/>
        <w:topLinePunct w:val="0"/>
        <w:autoSpaceDE/>
        <w:autoSpaceDN/>
        <w:bidi w:val="0"/>
        <w:textAlignment w:val="auto"/>
        <w:rPr>
          <w:rFonts w:hint="eastAsia" w:ascii="宋体" w:hAnsi="宋体" w:eastAsia="宋体" w:cs="宋体"/>
          <w:b/>
          <w:color w:val="000000" w:themeColor="text1"/>
          <w:spacing w:val="0"/>
          <w:sz w:val="32"/>
          <w:szCs w:val="32"/>
          <w14:textFill>
            <w14:solidFill>
              <w14:schemeClr w14:val="tx1"/>
            </w14:solidFill>
          </w14:textFill>
        </w:rPr>
      </w:pPr>
    </w:p>
    <w:p w14:paraId="07590C0C">
      <w:pPr>
        <w:pStyle w:val="22"/>
        <w:keepLines/>
        <w:pageBreakBefore w:val="0"/>
        <w:kinsoku/>
        <w:wordWrap w:val="0"/>
        <w:overflowPunct/>
        <w:topLinePunct w:val="0"/>
        <w:autoSpaceDE/>
        <w:autoSpaceDN/>
        <w:bidi w:val="0"/>
        <w:textAlignment w:val="auto"/>
        <w:rPr>
          <w:rFonts w:hint="eastAsia" w:ascii="宋体" w:hAnsi="宋体" w:eastAsia="宋体" w:cs="宋体"/>
          <w:color w:val="000000" w:themeColor="text1"/>
          <w14:textFill>
            <w14:solidFill>
              <w14:schemeClr w14:val="tx1"/>
            </w14:solidFill>
          </w14:textFill>
        </w:rPr>
      </w:pPr>
    </w:p>
    <w:bookmarkEnd w:id="404"/>
    <w:bookmarkEnd w:id="405"/>
    <w:p w14:paraId="18AE3966">
      <w:pPr>
        <w:keepLines/>
        <w:pageBreakBefore w:val="0"/>
        <w:kinsoku/>
        <w:wordWrap w:val="0"/>
        <w:overflowPunct/>
        <w:topLinePunct w:val="0"/>
        <w:autoSpaceDE/>
        <w:autoSpaceDN/>
        <w:bidi w:val="0"/>
        <w:spacing w:line="360" w:lineRule="auto"/>
        <w:ind w:left="0" w:leftChars="0" w:firstLine="0" w:firstLineChars="0"/>
        <w:jc w:val="center"/>
        <w:textAlignment w:val="auto"/>
        <w:rPr>
          <w:rFonts w:hint="eastAsia" w:ascii="宋体" w:hAnsi="宋体" w:eastAsia="宋体" w:cs="宋体"/>
          <w:b/>
          <w:color w:val="000000" w:themeColor="text1"/>
          <w:spacing w:val="0"/>
          <w:sz w:val="32"/>
          <w:szCs w:val="32"/>
          <w14:textFill>
            <w14:solidFill>
              <w14:schemeClr w14:val="tx1"/>
            </w14:solidFill>
          </w14:textFill>
        </w:rPr>
      </w:pPr>
      <w:r>
        <w:rPr>
          <w:rFonts w:hint="eastAsia" w:ascii="宋体" w:hAnsi="宋体" w:eastAsia="宋体" w:cs="宋体"/>
          <w:b/>
          <w:color w:val="000000" w:themeColor="text1"/>
          <w:spacing w:val="0"/>
          <w:sz w:val="32"/>
          <w:szCs w:val="32"/>
          <w14:textFill>
            <w14:solidFill>
              <w14:schemeClr w14:val="tx1"/>
            </w14:solidFill>
          </w14:textFill>
        </w:rPr>
        <w:t>残疾人福利性单位声明函格式（若有的话）</w:t>
      </w:r>
    </w:p>
    <w:p w14:paraId="79103F97">
      <w:pPr>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b/>
          <w:color w:val="000000" w:themeColor="text1"/>
          <w:spacing w:val="0"/>
          <w:sz w:val="24"/>
          <w:szCs w:val="24"/>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残疾人福利性单位声明函</w:t>
      </w:r>
    </w:p>
    <w:p w14:paraId="4C03118C">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C86C939">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本单位对上述声明的真实性负责。如有虚假，将依法承担相应责任。</w:t>
      </w:r>
    </w:p>
    <w:p w14:paraId="166BAF9D">
      <w:pPr>
        <w:keepLines/>
        <w:pageBreakBefore w:val="0"/>
        <w:tabs>
          <w:tab w:val="left" w:pos="4860"/>
        </w:tabs>
        <w:kinsoku/>
        <w:wordWrap w:val="0"/>
        <w:overflowPunct/>
        <w:topLinePunct w:val="0"/>
        <w:autoSpaceDE/>
        <w:autoSpaceDN/>
        <w:bidi w:val="0"/>
        <w:spacing w:line="360" w:lineRule="auto"/>
        <w:ind w:firstLine="484" w:firstLineChars="200"/>
        <w:jc w:val="center"/>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　　　　　　　　　　　　 </w:t>
      </w:r>
    </w:p>
    <w:p w14:paraId="09A52DD1">
      <w:pPr>
        <w:keepLines/>
        <w:pageBreakBefore w:val="0"/>
        <w:tabs>
          <w:tab w:val="left" w:pos="4860"/>
        </w:tabs>
        <w:kinsoku/>
        <w:wordWrap w:val="0"/>
        <w:overflowPunct/>
        <w:topLinePunct w:val="0"/>
        <w:autoSpaceDE/>
        <w:autoSpaceDN/>
        <w:bidi w:val="0"/>
        <w:spacing w:line="360" w:lineRule="auto"/>
        <w:ind w:firstLine="484" w:firstLineChars="200"/>
        <w:jc w:val="center"/>
        <w:textAlignment w:val="auto"/>
        <w:rPr>
          <w:rFonts w:hint="eastAsia" w:ascii="宋体" w:hAnsi="宋体" w:eastAsia="宋体" w:cs="宋体"/>
          <w:color w:val="000000" w:themeColor="text1"/>
          <w:spacing w:val="0"/>
          <w:sz w:val="24"/>
          <w:szCs w:val="24"/>
          <w14:textFill>
            <w14:solidFill>
              <w14:schemeClr w14:val="tx1"/>
            </w14:solidFill>
          </w14:textFill>
        </w:rPr>
      </w:pPr>
    </w:p>
    <w:p w14:paraId="078EEA68">
      <w:pPr>
        <w:keepLines/>
        <w:pageBreakBefore w:val="0"/>
        <w:tabs>
          <w:tab w:val="left" w:pos="4860"/>
        </w:tabs>
        <w:kinsoku/>
        <w:wordWrap w:val="0"/>
        <w:overflowPunct/>
        <w:topLinePunct w:val="0"/>
        <w:autoSpaceDE/>
        <w:autoSpaceDN/>
        <w:bidi w:val="0"/>
        <w:spacing w:line="360" w:lineRule="auto"/>
        <w:ind w:firstLine="484" w:firstLineChars="200"/>
        <w:jc w:val="center"/>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单位名称（法人电子签章）：</w:t>
      </w:r>
    </w:p>
    <w:p w14:paraId="27916FE4">
      <w:pPr>
        <w:keepLines/>
        <w:pageBreakBefore w:val="0"/>
        <w:tabs>
          <w:tab w:val="left" w:pos="4860"/>
        </w:tabs>
        <w:kinsoku/>
        <w:wordWrap w:val="0"/>
        <w:overflowPunct/>
        <w:topLinePunct w:val="0"/>
        <w:autoSpaceDE/>
        <w:autoSpaceDN/>
        <w:bidi w:val="0"/>
        <w:spacing w:line="360" w:lineRule="auto"/>
        <w:ind w:firstLine="484" w:firstLineChars="200"/>
        <w:jc w:val="center"/>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日  期：</w:t>
      </w:r>
    </w:p>
    <w:p w14:paraId="4A2CF1B5">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b/>
          <w:color w:val="000000" w:themeColor="text1"/>
          <w:spacing w:val="0"/>
          <w:sz w:val="24"/>
          <w:szCs w:val="24"/>
          <w14:textFill>
            <w14:solidFill>
              <w14:schemeClr w14:val="tx1"/>
            </w14:solidFill>
          </w14:textFill>
        </w:rPr>
      </w:pPr>
    </w:p>
    <w:p w14:paraId="4A1EE35E">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b/>
          <w:color w:val="000000" w:themeColor="text1"/>
          <w:spacing w:val="0"/>
          <w:sz w:val="32"/>
          <w:szCs w:val="32"/>
          <w:lang w:bidi="ar"/>
          <w14:textFill>
            <w14:solidFill>
              <w14:schemeClr w14:val="tx1"/>
            </w14:solidFill>
          </w14:textFill>
        </w:rPr>
      </w:pPr>
      <w:r>
        <w:rPr>
          <w:rFonts w:hint="eastAsia" w:ascii="宋体" w:hAnsi="宋体" w:eastAsia="宋体" w:cs="宋体"/>
          <w:b/>
          <w:color w:val="000000" w:themeColor="text1"/>
          <w:spacing w:val="0"/>
          <w:sz w:val="24"/>
          <w:szCs w:val="24"/>
          <w14:textFill>
            <w14:solidFill>
              <w14:schemeClr w14:val="tx1"/>
            </w14:solidFill>
          </w14:textFill>
        </w:rPr>
        <w:t>注：中标供应商为残疾人福利性单位的，采购代理机构随中标结果同时公告其《残疾人福利性单位声明函》</w:t>
      </w:r>
    </w:p>
    <w:p w14:paraId="32786D4E">
      <w:pPr>
        <w:keepLines/>
        <w:pageBreakBefore w:val="0"/>
        <w:kinsoku/>
        <w:wordWrap w:val="0"/>
        <w:overflowPunct/>
        <w:topLinePunct w:val="0"/>
        <w:autoSpaceDE/>
        <w:autoSpaceDN/>
        <w:bidi w:val="0"/>
        <w:spacing w:line="360" w:lineRule="auto"/>
        <w:ind w:firstLine="644" w:firstLineChars="200"/>
        <w:jc w:val="center"/>
        <w:textAlignment w:val="auto"/>
        <w:rPr>
          <w:rFonts w:hint="eastAsia" w:ascii="宋体" w:hAnsi="宋体" w:eastAsia="宋体" w:cs="宋体"/>
          <w:b/>
          <w:color w:val="000000" w:themeColor="text1"/>
          <w:spacing w:val="0"/>
          <w:sz w:val="32"/>
          <w:szCs w:val="32"/>
          <w:lang w:bidi="ar"/>
          <w14:textFill>
            <w14:solidFill>
              <w14:schemeClr w14:val="tx1"/>
            </w14:solidFill>
          </w14:textFill>
        </w:rPr>
      </w:pPr>
    </w:p>
    <w:p w14:paraId="28DB9054">
      <w:pPr>
        <w:keepLines/>
        <w:pageBreakBefore w:val="0"/>
        <w:kinsoku/>
        <w:wordWrap w:val="0"/>
        <w:overflowPunct/>
        <w:topLinePunct w:val="0"/>
        <w:autoSpaceDE/>
        <w:autoSpaceDN/>
        <w:bidi w:val="0"/>
        <w:spacing w:line="360" w:lineRule="auto"/>
        <w:ind w:firstLine="644" w:firstLineChars="200"/>
        <w:jc w:val="center"/>
        <w:textAlignment w:val="auto"/>
        <w:rPr>
          <w:rFonts w:hint="eastAsia" w:ascii="宋体" w:hAnsi="宋体" w:eastAsia="宋体" w:cs="宋体"/>
          <w:b/>
          <w:color w:val="000000" w:themeColor="text1"/>
          <w:spacing w:val="0"/>
          <w:sz w:val="32"/>
          <w:szCs w:val="32"/>
          <w:lang w:bidi="ar"/>
          <w14:textFill>
            <w14:solidFill>
              <w14:schemeClr w14:val="tx1"/>
            </w14:solidFill>
          </w14:textFill>
        </w:rPr>
      </w:pPr>
    </w:p>
    <w:p w14:paraId="7008FB59">
      <w:pPr>
        <w:keepLines/>
        <w:pageBreakBefore w:val="0"/>
        <w:kinsoku/>
        <w:wordWrap w:val="0"/>
        <w:overflowPunct/>
        <w:topLinePunct w:val="0"/>
        <w:autoSpaceDE/>
        <w:autoSpaceDN/>
        <w:bidi w:val="0"/>
        <w:spacing w:line="360" w:lineRule="auto"/>
        <w:ind w:firstLine="644" w:firstLineChars="200"/>
        <w:jc w:val="center"/>
        <w:textAlignment w:val="auto"/>
        <w:rPr>
          <w:rFonts w:hint="eastAsia" w:ascii="宋体" w:hAnsi="宋体" w:eastAsia="宋体" w:cs="宋体"/>
          <w:b/>
          <w:color w:val="000000" w:themeColor="text1"/>
          <w:spacing w:val="0"/>
          <w:sz w:val="32"/>
          <w:szCs w:val="32"/>
          <w:lang w:bidi="ar"/>
          <w14:textFill>
            <w14:solidFill>
              <w14:schemeClr w14:val="tx1"/>
            </w14:solidFill>
          </w14:textFill>
        </w:rPr>
      </w:pPr>
    </w:p>
    <w:p w14:paraId="6A8CD723">
      <w:pPr>
        <w:keepLines/>
        <w:pageBreakBefore w:val="0"/>
        <w:kinsoku/>
        <w:wordWrap w:val="0"/>
        <w:overflowPunct/>
        <w:topLinePunct w:val="0"/>
        <w:autoSpaceDE/>
        <w:autoSpaceDN/>
        <w:bidi w:val="0"/>
        <w:spacing w:line="360" w:lineRule="auto"/>
        <w:ind w:firstLine="644" w:firstLineChars="200"/>
        <w:jc w:val="center"/>
        <w:textAlignment w:val="auto"/>
        <w:rPr>
          <w:rFonts w:hint="eastAsia" w:ascii="宋体" w:hAnsi="宋体" w:eastAsia="宋体" w:cs="宋体"/>
          <w:b/>
          <w:color w:val="000000" w:themeColor="text1"/>
          <w:spacing w:val="0"/>
          <w:sz w:val="32"/>
          <w:szCs w:val="32"/>
          <w:lang w:bidi="ar"/>
          <w14:textFill>
            <w14:solidFill>
              <w14:schemeClr w14:val="tx1"/>
            </w14:solidFill>
          </w14:textFill>
        </w:rPr>
      </w:pPr>
    </w:p>
    <w:p w14:paraId="2C772EC1">
      <w:pPr>
        <w:keepLines/>
        <w:pageBreakBefore w:val="0"/>
        <w:kinsoku/>
        <w:wordWrap w:val="0"/>
        <w:overflowPunct/>
        <w:topLinePunct w:val="0"/>
        <w:autoSpaceDE/>
        <w:autoSpaceDN/>
        <w:bidi w:val="0"/>
        <w:spacing w:line="360" w:lineRule="auto"/>
        <w:ind w:firstLine="644" w:firstLineChars="200"/>
        <w:jc w:val="center"/>
        <w:textAlignment w:val="auto"/>
        <w:rPr>
          <w:rFonts w:hint="eastAsia" w:ascii="宋体" w:hAnsi="宋体" w:eastAsia="宋体" w:cs="宋体"/>
          <w:b/>
          <w:color w:val="000000" w:themeColor="text1"/>
          <w:spacing w:val="0"/>
          <w:sz w:val="32"/>
          <w:szCs w:val="32"/>
          <w:lang w:bidi="ar"/>
          <w14:textFill>
            <w14:solidFill>
              <w14:schemeClr w14:val="tx1"/>
            </w14:solidFill>
          </w14:textFill>
        </w:rPr>
      </w:pPr>
      <w:r>
        <w:rPr>
          <w:rFonts w:hint="eastAsia" w:ascii="宋体" w:hAnsi="宋体" w:eastAsia="宋体" w:cs="宋体"/>
          <w:b/>
          <w:color w:val="000000" w:themeColor="text1"/>
          <w:spacing w:val="0"/>
          <w:sz w:val="32"/>
          <w:szCs w:val="32"/>
          <w:lang w:bidi="ar"/>
          <w14:textFill>
            <w14:solidFill>
              <w14:schemeClr w14:val="tx1"/>
            </w14:solidFill>
          </w14:textFill>
        </w:rPr>
        <w:t>创新产品或创新服务明细表格式（若有的话）</w:t>
      </w:r>
    </w:p>
    <w:p w14:paraId="3C135B18">
      <w:pPr>
        <w:keepLines/>
        <w:pageBreakBefore w:val="0"/>
        <w:kinsoku/>
        <w:wordWrap w:val="0"/>
        <w:overflowPunct/>
        <w:topLinePunct w:val="0"/>
        <w:autoSpaceDE/>
        <w:autoSpaceDN/>
        <w:bidi w:val="0"/>
        <w:spacing w:line="360" w:lineRule="auto"/>
        <w:jc w:val="center"/>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创新产品或创新服务明细表</w:t>
      </w:r>
    </w:p>
    <w:p w14:paraId="0D2F41AF">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u w:val="single"/>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项目名称：</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p>
    <w:p w14:paraId="537CDC29">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u w:val="single"/>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项目编号：</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p>
    <w:p w14:paraId="08770080">
      <w:pPr>
        <w:keepLines/>
        <w:pageBreakBefore w:val="0"/>
        <w:kinsoku/>
        <w:wordWrap w:val="0"/>
        <w:overflowPunct/>
        <w:topLinePunct w:val="0"/>
        <w:autoSpaceDE/>
        <w:autoSpaceDN/>
        <w:bidi w:val="0"/>
        <w:spacing w:line="360" w:lineRule="auto"/>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响应人名称：</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p>
    <w:p w14:paraId="63B75137">
      <w:pPr>
        <w:keepLines/>
        <w:pageBreakBefore w:val="0"/>
        <w:kinsoku/>
        <w:wordWrap w:val="0"/>
        <w:overflowPunct/>
        <w:topLinePunct w:val="0"/>
        <w:autoSpaceDE/>
        <w:autoSpaceDN/>
        <w:bidi w:val="0"/>
        <w:spacing w:line="360" w:lineRule="auto"/>
        <w:ind w:left="8400" w:hanging="8470" w:hangingChars="3500"/>
        <w:jc w:val="lef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第</w:t>
      </w:r>
      <w:r>
        <w:rPr>
          <w:rFonts w:hint="eastAsia" w:ascii="宋体" w:hAnsi="宋体" w:eastAsia="宋体" w:cs="宋体"/>
          <w:color w:val="000000" w:themeColor="text1"/>
          <w:spacing w:val="0"/>
          <w:sz w:val="24"/>
          <w:szCs w:val="24"/>
          <w:u w:val="single"/>
          <w14:textFill>
            <w14:solidFill>
              <w14:schemeClr w14:val="tx1"/>
            </w14:solidFill>
          </w14:textFill>
        </w:rPr>
        <w:t xml:space="preserve">    </w:t>
      </w:r>
      <w:r>
        <w:rPr>
          <w:rFonts w:hint="eastAsia" w:ascii="宋体" w:hAnsi="宋体" w:eastAsia="宋体" w:cs="宋体"/>
          <w:color w:val="000000" w:themeColor="text1"/>
          <w:spacing w:val="0"/>
          <w:sz w:val="24"/>
          <w:szCs w:val="24"/>
          <w14:textFill>
            <w14:solidFill>
              <w14:schemeClr w14:val="tx1"/>
            </w14:solidFill>
          </w14:textFill>
        </w:rPr>
        <w:t>包        　　　　　　　　　　　　　　　　　　　   货币：人民币/元</w:t>
      </w:r>
    </w:p>
    <w:tbl>
      <w:tblPr>
        <w:tblStyle w:val="27"/>
        <w:tblW w:w="9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471"/>
        <w:gridCol w:w="1008"/>
        <w:gridCol w:w="1152"/>
        <w:gridCol w:w="1299"/>
        <w:gridCol w:w="719"/>
        <w:gridCol w:w="1152"/>
        <w:gridCol w:w="1666"/>
      </w:tblGrid>
      <w:tr w14:paraId="6A63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79" w:type="dxa"/>
            <w:vAlign w:val="center"/>
          </w:tcPr>
          <w:p w14:paraId="730A352F">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序号</w:t>
            </w:r>
          </w:p>
        </w:tc>
        <w:tc>
          <w:tcPr>
            <w:tcW w:w="1471" w:type="dxa"/>
            <w:vAlign w:val="center"/>
          </w:tcPr>
          <w:p w14:paraId="79DE4A91">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货物名称</w:t>
            </w:r>
          </w:p>
        </w:tc>
        <w:tc>
          <w:tcPr>
            <w:tcW w:w="1008" w:type="dxa"/>
            <w:vAlign w:val="center"/>
          </w:tcPr>
          <w:p w14:paraId="7CBA8F22">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品牌</w:t>
            </w:r>
          </w:p>
        </w:tc>
        <w:tc>
          <w:tcPr>
            <w:tcW w:w="1152" w:type="dxa"/>
            <w:tcBorders>
              <w:bottom w:val="single" w:color="auto" w:sz="4" w:space="0"/>
            </w:tcBorders>
            <w:vAlign w:val="center"/>
          </w:tcPr>
          <w:p w14:paraId="15D5202D">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规格型号</w:t>
            </w:r>
          </w:p>
        </w:tc>
        <w:tc>
          <w:tcPr>
            <w:tcW w:w="1299" w:type="dxa"/>
            <w:tcBorders>
              <w:bottom w:val="single" w:color="auto" w:sz="4" w:space="0"/>
            </w:tcBorders>
            <w:vAlign w:val="center"/>
          </w:tcPr>
          <w:p w14:paraId="633023FA">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产地及厂家</w:t>
            </w:r>
          </w:p>
        </w:tc>
        <w:tc>
          <w:tcPr>
            <w:tcW w:w="719" w:type="dxa"/>
            <w:tcBorders>
              <w:bottom w:val="single" w:color="auto" w:sz="4" w:space="0"/>
            </w:tcBorders>
            <w:vAlign w:val="center"/>
          </w:tcPr>
          <w:p w14:paraId="4BB725BA">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数量</w:t>
            </w:r>
          </w:p>
        </w:tc>
        <w:tc>
          <w:tcPr>
            <w:tcW w:w="1152" w:type="dxa"/>
            <w:tcBorders>
              <w:bottom w:val="single" w:color="auto" w:sz="4" w:space="0"/>
            </w:tcBorders>
            <w:vAlign w:val="center"/>
          </w:tcPr>
          <w:p w14:paraId="60C9C5DC">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单价</w:t>
            </w:r>
          </w:p>
        </w:tc>
        <w:tc>
          <w:tcPr>
            <w:tcW w:w="1666" w:type="dxa"/>
            <w:tcBorders>
              <w:bottom w:val="single" w:color="auto" w:sz="4" w:space="0"/>
            </w:tcBorders>
            <w:vAlign w:val="center"/>
          </w:tcPr>
          <w:p w14:paraId="25DAE3E5">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总价</w:t>
            </w:r>
          </w:p>
        </w:tc>
      </w:tr>
      <w:tr w14:paraId="378E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9" w:type="dxa"/>
            <w:vAlign w:val="center"/>
          </w:tcPr>
          <w:p w14:paraId="30CDDD36">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471" w:type="dxa"/>
            <w:vAlign w:val="center"/>
          </w:tcPr>
          <w:p w14:paraId="1CA3F852">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008" w:type="dxa"/>
            <w:vAlign w:val="center"/>
          </w:tcPr>
          <w:p w14:paraId="4E00EF7F">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152" w:type="dxa"/>
            <w:tcBorders>
              <w:top w:val="single" w:color="auto" w:sz="4" w:space="0"/>
              <w:bottom w:val="single" w:color="auto" w:sz="4" w:space="0"/>
            </w:tcBorders>
            <w:vAlign w:val="center"/>
          </w:tcPr>
          <w:p w14:paraId="4AAF7A95">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vertAlign w:val="superscript"/>
                <w14:textFill>
                  <w14:solidFill>
                    <w14:schemeClr w14:val="tx1"/>
                  </w14:solidFill>
                </w14:textFill>
              </w:rPr>
            </w:pPr>
          </w:p>
        </w:tc>
        <w:tc>
          <w:tcPr>
            <w:tcW w:w="1299" w:type="dxa"/>
            <w:tcBorders>
              <w:top w:val="single" w:color="auto" w:sz="4" w:space="0"/>
              <w:bottom w:val="single" w:color="auto" w:sz="4" w:space="0"/>
            </w:tcBorders>
            <w:vAlign w:val="center"/>
          </w:tcPr>
          <w:p w14:paraId="055E056D">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vertAlign w:val="superscript"/>
                <w14:textFill>
                  <w14:solidFill>
                    <w14:schemeClr w14:val="tx1"/>
                  </w14:solidFill>
                </w14:textFill>
              </w:rPr>
            </w:pPr>
          </w:p>
        </w:tc>
        <w:tc>
          <w:tcPr>
            <w:tcW w:w="719" w:type="dxa"/>
            <w:tcBorders>
              <w:top w:val="single" w:color="auto" w:sz="4" w:space="0"/>
            </w:tcBorders>
            <w:vAlign w:val="center"/>
          </w:tcPr>
          <w:p w14:paraId="1B093AFA">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152" w:type="dxa"/>
            <w:tcBorders>
              <w:top w:val="single" w:color="auto" w:sz="4" w:space="0"/>
            </w:tcBorders>
            <w:vAlign w:val="center"/>
          </w:tcPr>
          <w:p w14:paraId="3C0AC972">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666" w:type="dxa"/>
            <w:tcBorders>
              <w:top w:val="single" w:color="auto" w:sz="4" w:space="0"/>
            </w:tcBorders>
            <w:vAlign w:val="center"/>
          </w:tcPr>
          <w:p w14:paraId="518D82A6">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r>
      <w:tr w14:paraId="5D6D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9" w:type="dxa"/>
            <w:vAlign w:val="center"/>
          </w:tcPr>
          <w:p w14:paraId="596F0588">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471" w:type="dxa"/>
            <w:vAlign w:val="center"/>
          </w:tcPr>
          <w:p w14:paraId="21744041">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008" w:type="dxa"/>
            <w:vAlign w:val="center"/>
          </w:tcPr>
          <w:p w14:paraId="6736FB0C">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152" w:type="dxa"/>
            <w:tcBorders>
              <w:top w:val="single" w:color="auto" w:sz="4" w:space="0"/>
              <w:bottom w:val="single" w:color="auto" w:sz="4" w:space="0"/>
            </w:tcBorders>
            <w:vAlign w:val="center"/>
          </w:tcPr>
          <w:p w14:paraId="553A33E0">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vertAlign w:val="superscript"/>
                <w14:textFill>
                  <w14:solidFill>
                    <w14:schemeClr w14:val="tx1"/>
                  </w14:solidFill>
                </w14:textFill>
              </w:rPr>
            </w:pPr>
          </w:p>
        </w:tc>
        <w:tc>
          <w:tcPr>
            <w:tcW w:w="1299" w:type="dxa"/>
            <w:tcBorders>
              <w:top w:val="single" w:color="auto" w:sz="4" w:space="0"/>
              <w:bottom w:val="single" w:color="auto" w:sz="4" w:space="0"/>
            </w:tcBorders>
            <w:vAlign w:val="center"/>
          </w:tcPr>
          <w:p w14:paraId="6F37C7AB">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vertAlign w:val="superscript"/>
                <w14:textFill>
                  <w14:solidFill>
                    <w14:schemeClr w14:val="tx1"/>
                  </w14:solidFill>
                </w14:textFill>
              </w:rPr>
            </w:pPr>
          </w:p>
        </w:tc>
        <w:tc>
          <w:tcPr>
            <w:tcW w:w="719" w:type="dxa"/>
            <w:tcBorders>
              <w:top w:val="single" w:color="auto" w:sz="4" w:space="0"/>
            </w:tcBorders>
            <w:vAlign w:val="center"/>
          </w:tcPr>
          <w:p w14:paraId="5644DD47">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152" w:type="dxa"/>
            <w:tcBorders>
              <w:top w:val="single" w:color="auto" w:sz="4" w:space="0"/>
            </w:tcBorders>
            <w:vAlign w:val="center"/>
          </w:tcPr>
          <w:p w14:paraId="01272D00">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c>
          <w:tcPr>
            <w:tcW w:w="1666" w:type="dxa"/>
            <w:tcBorders>
              <w:top w:val="single" w:color="auto" w:sz="4" w:space="0"/>
            </w:tcBorders>
            <w:vAlign w:val="center"/>
          </w:tcPr>
          <w:p w14:paraId="143863C5">
            <w:pPr>
              <w:keepLines/>
              <w:pageBreakBefore w:val="0"/>
              <w:kinsoku/>
              <w:wordWrap w:val="0"/>
              <w:overflowPunct/>
              <w:topLinePunct w:val="0"/>
              <w:autoSpaceDE/>
              <w:autoSpaceDN/>
              <w:bidi w:val="0"/>
              <w:jc w:val="center"/>
              <w:textAlignment w:val="auto"/>
              <w:rPr>
                <w:rFonts w:hint="eastAsia" w:ascii="宋体" w:hAnsi="宋体" w:eastAsia="宋体" w:cs="宋体"/>
                <w:bCs/>
                <w:color w:val="000000" w:themeColor="text1"/>
                <w:spacing w:val="0"/>
                <w:szCs w:val="21"/>
                <w14:textFill>
                  <w14:solidFill>
                    <w14:schemeClr w14:val="tx1"/>
                  </w14:solidFill>
                </w14:textFill>
              </w:rPr>
            </w:pPr>
          </w:p>
        </w:tc>
      </w:tr>
      <w:tr w14:paraId="6BA6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146" w:type="dxa"/>
            <w:gridSpan w:val="8"/>
            <w:vAlign w:val="center"/>
          </w:tcPr>
          <w:p w14:paraId="3A3DFA26">
            <w:pPr>
              <w:keepLines/>
              <w:pageBreakBefore w:val="0"/>
              <w:kinsoku/>
              <w:wordWrap w:val="0"/>
              <w:overflowPunct/>
              <w:topLinePunct w:val="0"/>
              <w:autoSpaceDE/>
              <w:autoSpaceDN/>
              <w:bidi w:val="0"/>
              <w:textAlignment w:val="auto"/>
              <w:rPr>
                <w:rFonts w:hint="eastAsia" w:ascii="宋体" w:hAnsi="宋体" w:eastAsia="宋体" w:cs="宋体"/>
                <w:bCs/>
                <w:color w:val="000000" w:themeColor="text1"/>
                <w:spacing w:val="0"/>
                <w:szCs w:val="21"/>
                <w14:textFill>
                  <w14:solidFill>
                    <w14:schemeClr w14:val="tx1"/>
                  </w14:solidFill>
                </w14:textFill>
              </w:rPr>
            </w:pPr>
            <w:r>
              <w:rPr>
                <w:rFonts w:hint="eastAsia" w:ascii="宋体" w:hAnsi="宋体" w:eastAsia="宋体" w:cs="宋体"/>
                <w:bCs/>
                <w:color w:val="000000" w:themeColor="text1"/>
                <w:spacing w:val="0"/>
                <w:szCs w:val="21"/>
                <w14:textFill>
                  <w14:solidFill>
                    <w14:schemeClr w14:val="tx1"/>
                  </w14:solidFill>
                </w14:textFill>
              </w:rPr>
              <w:t>创新产品或创新服务价格合计：</w:t>
            </w:r>
          </w:p>
        </w:tc>
      </w:tr>
    </w:tbl>
    <w:p w14:paraId="022FAE1F">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说明： </w:t>
      </w:r>
    </w:p>
    <w:p w14:paraId="1C241C43">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（1）响应人如实填写表格，无相应内容可填的，填写“无”、“未测试”、“没有相应指标”等明确的回答文字，或用“/”来表示。</w:t>
      </w:r>
    </w:p>
    <w:p w14:paraId="6FE9F256">
      <w:pPr>
        <w:keepLines/>
        <w:pageBreakBefore w:val="0"/>
        <w:kinsoku/>
        <w:wordWrap w:val="0"/>
        <w:overflowPunct/>
        <w:topLinePunct w:val="0"/>
        <w:autoSpaceDE/>
        <w:autoSpaceDN/>
        <w:bidi w:val="0"/>
        <w:spacing w:line="360" w:lineRule="auto"/>
        <w:ind w:firstLine="484" w:firstLineChars="200"/>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（2）响应人响应产品包含创新产品或创新服务，需填写此表后，提供《山西省创新产品和服务推荐清单》。</w:t>
      </w:r>
    </w:p>
    <w:p w14:paraId="454F5791">
      <w:pPr>
        <w:keepLines/>
        <w:pageBreakBefore w:val="0"/>
        <w:kinsoku/>
        <w:wordWrap w:val="0"/>
        <w:overflowPunct/>
        <w:topLinePunct w:val="0"/>
        <w:autoSpaceDE/>
        <w:autoSpaceDN/>
        <w:bidi w:val="0"/>
        <w:spacing w:line="360" w:lineRule="auto"/>
        <w:ind w:left="8155" w:leftChars="1050" w:hanging="5929" w:hangingChars="2450"/>
        <w:jc w:val="right"/>
        <w:textAlignment w:val="auto"/>
        <w:rPr>
          <w:rFonts w:hint="eastAsia" w:ascii="宋体" w:hAnsi="宋体" w:eastAsia="宋体" w:cs="宋体"/>
          <w:color w:val="000000" w:themeColor="text1"/>
          <w:spacing w:val="0"/>
          <w:sz w:val="24"/>
          <w:szCs w:val="24"/>
          <w14:textFill>
            <w14:solidFill>
              <w14:schemeClr w14:val="tx1"/>
            </w14:solidFill>
          </w14:textFill>
        </w:rPr>
      </w:pPr>
    </w:p>
    <w:p w14:paraId="2409028F">
      <w:pPr>
        <w:keepLines/>
        <w:pageBreakBefore w:val="0"/>
        <w:kinsoku/>
        <w:wordWrap w:val="0"/>
        <w:overflowPunct/>
        <w:topLinePunct w:val="0"/>
        <w:autoSpaceDE/>
        <w:autoSpaceDN/>
        <w:bidi w:val="0"/>
        <w:spacing w:line="360" w:lineRule="auto"/>
        <w:ind w:left="8155" w:leftChars="1050" w:hanging="5929" w:hangingChars="2450"/>
        <w:jc w:val="right"/>
        <w:textAlignment w:val="auto"/>
        <w:rPr>
          <w:rFonts w:hint="eastAsia" w:ascii="宋体" w:hAnsi="宋体" w:eastAsia="宋体" w:cs="宋体"/>
          <w:color w:val="000000" w:themeColor="text1"/>
          <w:spacing w:val="0"/>
          <w:sz w:val="24"/>
          <w:szCs w:val="24"/>
          <w14:textFill>
            <w14:solidFill>
              <w14:schemeClr w14:val="tx1"/>
            </w14:solidFill>
          </w14:textFill>
        </w:rPr>
      </w:pPr>
    </w:p>
    <w:p w14:paraId="20164CCE">
      <w:pPr>
        <w:keepLines/>
        <w:pageBreakBefore w:val="0"/>
        <w:kinsoku/>
        <w:wordWrap w:val="0"/>
        <w:overflowPunct/>
        <w:topLinePunct w:val="0"/>
        <w:autoSpaceDE/>
        <w:autoSpaceDN/>
        <w:bidi w:val="0"/>
        <w:spacing w:line="360" w:lineRule="auto"/>
        <w:ind w:left="8155" w:leftChars="1050" w:hanging="5929" w:hangingChars="2450"/>
        <w:jc w:val="right"/>
        <w:textAlignment w:val="auto"/>
        <w:rPr>
          <w:rFonts w:hint="eastAsia" w:ascii="宋体" w:hAnsi="宋体" w:eastAsia="宋体" w:cs="宋体"/>
          <w:color w:val="000000" w:themeColor="text1"/>
          <w:spacing w:val="0"/>
          <w:sz w:val="24"/>
          <w:szCs w:val="24"/>
          <w14:textFill>
            <w14:solidFill>
              <w14:schemeClr w14:val="tx1"/>
            </w14:solidFill>
          </w14:textFill>
        </w:rPr>
      </w:pPr>
    </w:p>
    <w:p w14:paraId="0A9AC7FD">
      <w:pPr>
        <w:keepLines/>
        <w:pageBreakBefore w:val="0"/>
        <w:kinsoku/>
        <w:wordWrap w:val="0"/>
        <w:overflowPunct/>
        <w:topLinePunct w:val="0"/>
        <w:autoSpaceDE/>
        <w:autoSpaceDN/>
        <w:bidi w:val="0"/>
        <w:spacing w:line="360" w:lineRule="auto"/>
        <w:ind w:left="8155" w:leftChars="1050" w:hanging="5929" w:hangingChars="2450"/>
        <w:jc w:val="right"/>
        <w:textAlignment w:val="auto"/>
        <w:rPr>
          <w:rFonts w:hint="eastAsia" w:ascii="宋体" w:hAnsi="宋体" w:eastAsia="宋体" w:cs="宋体"/>
          <w:color w:val="000000" w:themeColor="text1"/>
          <w:spacing w:val="0"/>
          <w:sz w:val="24"/>
          <w:szCs w:val="24"/>
          <w14:textFill>
            <w14:solidFill>
              <w14:schemeClr w14:val="tx1"/>
            </w14:solidFill>
          </w14:textFill>
        </w:rPr>
      </w:pPr>
    </w:p>
    <w:p w14:paraId="05547088">
      <w:pPr>
        <w:keepLines/>
        <w:pageBreakBefore w:val="0"/>
        <w:kinsoku/>
        <w:wordWrap w:val="0"/>
        <w:overflowPunct/>
        <w:topLinePunct w:val="0"/>
        <w:autoSpaceDE/>
        <w:autoSpaceDN/>
        <w:bidi w:val="0"/>
        <w:spacing w:line="360" w:lineRule="auto"/>
        <w:ind w:left="8155" w:leftChars="1050" w:hanging="5929" w:hangingChars="2450"/>
        <w:jc w:val="right"/>
        <w:textAlignment w:val="auto"/>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 xml:space="preserve">响应人：（法人电子签章）        </w:t>
      </w:r>
    </w:p>
    <w:p w14:paraId="6E9E57FC">
      <w:pPr>
        <w:pStyle w:val="24"/>
        <w:keepLines/>
        <w:pageBreakBefore w:val="0"/>
        <w:widowControl w:val="0"/>
        <w:kinsoku/>
        <w:wordWrap w:val="0"/>
        <w:overflowPunct/>
        <w:topLinePunct w:val="0"/>
        <w:autoSpaceDE/>
        <w:autoSpaceDN/>
        <w:bidi w:val="0"/>
        <w:adjustRightInd w:val="0"/>
        <w:snapToGrid w:val="0"/>
        <w:spacing w:before="0" w:beforeAutospacing="0" w:after="0" w:afterAutospacing="0" w:line="360" w:lineRule="auto"/>
        <w:jc w:val="right"/>
        <w:textAlignment w:val="auto"/>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 xml:space="preserve">           年     月   日</w:t>
      </w:r>
    </w:p>
    <w:p w14:paraId="1360DE4C">
      <w:pPr>
        <w:pStyle w:val="8"/>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72570007">
      <w:pPr>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2C67D02E">
      <w:pPr>
        <w:pStyle w:val="11"/>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3EC68E9A">
      <w:pPr>
        <w:pStyle w:val="22"/>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24D73BBA">
      <w:pPr>
        <w:pStyle w:val="11"/>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03170247">
      <w:pPr>
        <w:pStyle w:val="22"/>
        <w:keepLines/>
        <w:pageBreakBefore w:val="0"/>
        <w:kinsoku/>
        <w:wordWrap w:val="0"/>
        <w:overflowPunct/>
        <w:topLinePunct w:val="0"/>
        <w:autoSpaceDE/>
        <w:autoSpaceDN/>
        <w:bidi w:val="0"/>
        <w:textAlignment w:val="auto"/>
        <w:rPr>
          <w:rFonts w:hint="eastAsia" w:ascii="宋体" w:hAnsi="宋体" w:eastAsia="宋体" w:cs="宋体"/>
          <w:color w:val="000000" w:themeColor="text1"/>
          <w:spacing w:val="0"/>
          <w14:textFill>
            <w14:solidFill>
              <w14:schemeClr w14:val="tx1"/>
            </w14:solidFill>
          </w14:textFill>
        </w:rPr>
      </w:pPr>
    </w:p>
    <w:p w14:paraId="29342EB3">
      <w:pPr>
        <w:keepLines/>
        <w:pageBreakBefore w:val="0"/>
        <w:tabs>
          <w:tab w:val="left" w:pos="315"/>
          <w:tab w:val="left" w:pos="8820"/>
        </w:tabs>
        <w:kinsoku/>
        <w:wordWrap w:val="0"/>
        <w:overflowPunct/>
        <w:topLinePunct w:val="0"/>
        <w:autoSpaceDE/>
        <w:autoSpaceDN/>
        <w:bidi w:val="0"/>
        <w:spacing w:line="360" w:lineRule="auto"/>
        <w:ind w:right="269" w:rightChars="127"/>
        <w:textAlignment w:val="auto"/>
        <w:rPr>
          <w:rFonts w:hint="eastAsia" w:ascii="宋体" w:hAnsi="宋体" w:eastAsia="宋体" w:cs="宋体"/>
          <w:color w:val="000000" w:themeColor="text1"/>
          <w14:textFill>
            <w14:solidFill>
              <w14:schemeClr w14:val="tx1"/>
            </w14:solidFill>
          </w14:textFill>
        </w:rPr>
      </w:pPr>
    </w:p>
    <w:sectPr>
      <w:headerReference r:id="rId7" w:type="first"/>
      <w:headerReference r:id="rId6" w:type="default"/>
      <w:footerReference r:id="rId8" w:type="default"/>
      <w:pgSz w:w="11906" w:h="16838"/>
      <w:pgMar w:top="1417" w:right="1361" w:bottom="1417" w:left="1417" w:header="850" w:footer="992" w:gutter="0"/>
      <w:pgNumType w:fmt="decimal"/>
      <w:cols w:space="0" w:num="1"/>
      <w:rtlGutter w:val="0"/>
      <w:docGrid w:type="linesAndChars" w:linePitch="318"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FEACA">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20C0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A6D90">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l5O8qAgAAVg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Dhl5O8qAgAAVgQAAA4AAAAAAAAAAQAgAAAAHwEAAGRycy9lMm9Eb2MueG1sUEsFBgAAAAAGAAYA&#10;WQEAALsFAAAAAA==&#10;">
              <v:fill on="f" focussize="0,0"/>
              <v:stroke on="f" weight="0.5pt"/>
              <v:imagedata o:title=""/>
              <o:lock v:ext="edit" aspectratio="f"/>
              <v:textbox inset="0mm,0mm,0mm,0mm" style="mso-fit-shape-to-text:t;">
                <w:txbxContent>
                  <w:p w14:paraId="142A6D90">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558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C3DD9C">
                          <w:pPr>
                            <w:pStyle w:val="17"/>
                          </w:pPr>
                          <w:r>
                            <w:fldChar w:fldCharType="begin"/>
                          </w:r>
                          <w:r>
                            <w:instrText xml:space="preserve"> PAGE  \* MERGEFORMAT </w:instrText>
                          </w:r>
                          <w:r>
                            <w:fldChar w:fldCharType="separate"/>
                          </w:r>
                          <w:r>
                            <w:t>107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h940sAgAAVg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6H3jSwCAABWBAAADgAAAAAAAAABACAAAAAfAQAAZHJzL2Uyb0RvYy54bWxQSwUGAAAAAAYA&#10;BgBZAQAAvQUAAAAA&#10;">
              <v:fill on="f" focussize="0,0"/>
              <v:stroke on="f" weight="0.5pt"/>
              <v:imagedata o:title=""/>
              <o:lock v:ext="edit" aspectratio="f"/>
              <v:textbox inset="0mm,0mm,0mm,0mm" style="mso-fit-shape-to-text:t;">
                <w:txbxContent>
                  <w:p w14:paraId="4CC3DD9C">
                    <w:pPr>
                      <w:pStyle w:val="17"/>
                    </w:pPr>
                    <w:r>
                      <w:fldChar w:fldCharType="begin"/>
                    </w:r>
                    <w:r>
                      <w:instrText xml:space="preserve"> PAGE  \* MERGEFORMAT </w:instrText>
                    </w:r>
                    <w:r>
                      <w:fldChar w:fldCharType="separate"/>
                    </w:r>
                    <w:r>
                      <w:t>107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C7F8C">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6F019">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A7D49">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0C3F7"/>
    <w:multiLevelType w:val="singleLevel"/>
    <w:tmpl w:val="9210C3F7"/>
    <w:lvl w:ilvl="0" w:tentative="0">
      <w:start w:val="1"/>
      <w:numFmt w:val="decimal"/>
      <w:pStyle w:val="15"/>
      <w:lvlText w:val="%1."/>
      <w:lvlJc w:val="left"/>
      <w:pPr>
        <w:tabs>
          <w:tab w:val="left" w:pos="2040"/>
        </w:tabs>
        <w:ind w:left="2040" w:hanging="360"/>
      </w:pPr>
    </w:lvl>
  </w:abstractNum>
  <w:abstractNum w:abstractNumId="1">
    <w:nsid w:val="2289E973"/>
    <w:multiLevelType w:val="singleLevel"/>
    <w:tmpl w:val="2289E973"/>
    <w:lvl w:ilvl="0" w:tentative="0">
      <w:start w:val="1"/>
      <w:numFmt w:val="decimal"/>
      <w:suff w:val="nothing"/>
      <w:lvlText w:val="%1、"/>
      <w:lvlJc w:val="left"/>
    </w:lvl>
  </w:abstractNum>
  <w:abstractNum w:abstractNumId="2">
    <w:nsid w:val="6FCDF417"/>
    <w:multiLevelType w:val="singleLevel"/>
    <w:tmpl w:val="6FCDF417"/>
    <w:lvl w:ilvl="0" w:tentative="0">
      <w:start w:val="2"/>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6"/>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mI4NjRjNmJhNDkyM2I3OTQ0OGZiNjgzYWJhYjcifQ=="/>
  </w:docVars>
  <w:rsids>
    <w:rsidRoot w:val="0661450D"/>
    <w:rsid w:val="005168E5"/>
    <w:rsid w:val="00D346DD"/>
    <w:rsid w:val="01130CFE"/>
    <w:rsid w:val="01615ED8"/>
    <w:rsid w:val="02794C9C"/>
    <w:rsid w:val="03764359"/>
    <w:rsid w:val="03E44CDA"/>
    <w:rsid w:val="04013771"/>
    <w:rsid w:val="04134C93"/>
    <w:rsid w:val="04DC387E"/>
    <w:rsid w:val="05CE0840"/>
    <w:rsid w:val="05D249DD"/>
    <w:rsid w:val="0661450D"/>
    <w:rsid w:val="067327FF"/>
    <w:rsid w:val="067D33B3"/>
    <w:rsid w:val="073C124A"/>
    <w:rsid w:val="07AF3996"/>
    <w:rsid w:val="085245E2"/>
    <w:rsid w:val="088F5D81"/>
    <w:rsid w:val="08B94263"/>
    <w:rsid w:val="09D37A01"/>
    <w:rsid w:val="09E702BC"/>
    <w:rsid w:val="09E81BCC"/>
    <w:rsid w:val="0A554DC9"/>
    <w:rsid w:val="0AAE30F8"/>
    <w:rsid w:val="0B297F03"/>
    <w:rsid w:val="0C3634C7"/>
    <w:rsid w:val="0E38608A"/>
    <w:rsid w:val="0E3C1CFB"/>
    <w:rsid w:val="0E3C43A7"/>
    <w:rsid w:val="0E7D7D71"/>
    <w:rsid w:val="0EB23F58"/>
    <w:rsid w:val="0F6470A3"/>
    <w:rsid w:val="0FAC4C5F"/>
    <w:rsid w:val="0FCD76AB"/>
    <w:rsid w:val="101C29CD"/>
    <w:rsid w:val="1163657F"/>
    <w:rsid w:val="11944CB9"/>
    <w:rsid w:val="1371067C"/>
    <w:rsid w:val="13961EAE"/>
    <w:rsid w:val="1433594E"/>
    <w:rsid w:val="14C23062"/>
    <w:rsid w:val="14FF7694"/>
    <w:rsid w:val="151E72AA"/>
    <w:rsid w:val="155E3968"/>
    <w:rsid w:val="15AF1412"/>
    <w:rsid w:val="16321CBF"/>
    <w:rsid w:val="175E51B5"/>
    <w:rsid w:val="17A7726A"/>
    <w:rsid w:val="17CB1623"/>
    <w:rsid w:val="183F7734"/>
    <w:rsid w:val="18537837"/>
    <w:rsid w:val="18EA0BBD"/>
    <w:rsid w:val="198F58A2"/>
    <w:rsid w:val="1A5B40A3"/>
    <w:rsid w:val="1A876E05"/>
    <w:rsid w:val="1AC34402"/>
    <w:rsid w:val="1B311EB0"/>
    <w:rsid w:val="1BCA1C54"/>
    <w:rsid w:val="1BF010DD"/>
    <w:rsid w:val="1C7D3C68"/>
    <w:rsid w:val="1CCE5ADF"/>
    <w:rsid w:val="1D172F4F"/>
    <w:rsid w:val="1D422440"/>
    <w:rsid w:val="1D7F67FE"/>
    <w:rsid w:val="1DAF6046"/>
    <w:rsid w:val="1DEF6D8A"/>
    <w:rsid w:val="1DF747E4"/>
    <w:rsid w:val="1E84014F"/>
    <w:rsid w:val="1E934E45"/>
    <w:rsid w:val="1EC90BEB"/>
    <w:rsid w:val="1EE765F0"/>
    <w:rsid w:val="1EEC4878"/>
    <w:rsid w:val="20056E0E"/>
    <w:rsid w:val="206E5CA6"/>
    <w:rsid w:val="2087320C"/>
    <w:rsid w:val="209C1366"/>
    <w:rsid w:val="20A6461F"/>
    <w:rsid w:val="20CE3AAC"/>
    <w:rsid w:val="21E758B6"/>
    <w:rsid w:val="22590C76"/>
    <w:rsid w:val="22643B2A"/>
    <w:rsid w:val="229628CB"/>
    <w:rsid w:val="229F4AC7"/>
    <w:rsid w:val="235D69C1"/>
    <w:rsid w:val="23C31532"/>
    <w:rsid w:val="24F9734D"/>
    <w:rsid w:val="259C38B9"/>
    <w:rsid w:val="26AB5818"/>
    <w:rsid w:val="27827A8F"/>
    <w:rsid w:val="28980E56"/>
    <w:rsid w:val="290C151F"/>
    <w:rsid w:val="2A074E26"/>
    <w:rsid w:val="2A783561"/>
    <w:rsid w:val="2BF57C61"/>
    <w:rsid w:val="2C050B52"/>
    <w:rsid w:val="2C0F7221"/>
    <w:rsid w:val="2C784B9C"/>
    <w:rsid w:val="2D670183"/>
    <w:rsid w:val="2D7D6BAE"/>
    <w:rsid w:val="2DE33AEA"/>
    <w:rsid w:val="2DEC5BA7"/>
    <w:rsid w:val="2E0F0EE1"/>
    <w:rsid w:val="2E985ADC"/>
    <w:rsid w:val="2E9D1A0C"/>
    <w:rsid w:val="2ED00512"/>
    <w:rsid w:val="2FB01059"/>
    <w:rsid w:val="309D61D2"/>
    <w:rsid w:val="321009B5"/>
    <w:rsid w:val="323C7DCD"/>
    <w:rsid w:val="324D4522"/>
    <w:rsid w:val="32790359"/>
    <w:rsid w:val="32CF55D6"/>
    <w:rsid w:val="32DB4C18"/>
    <w:rsid w:val="336E49E9"/>
    <w:rsid w:val="33AF020C"/>
    <w:rsid w:val="347C3F2B"/>
    <w:rsid w:val="362178A5"/>
    <w:rsid w:val="364B6D33"/>
    <w:rsid w:val="368B013C"/>
    <w:rsid w:val="373652B7"/>
    <w:rsid w:val="3758719F"/>
    <w:rsid w:val="378D51F2"/>
    <w:rsid w:val="378F0996"/>
    <w:rsid w:val="3967676C"/>
    <w:rsid w:val="39C40C73"/>
    <w:rsid w:val="3C310CC0"/>
    <w:rsid w:val="3C352E0B"/>
    <w:rsid w:val="3D427835"/>
    <w:rsid w:val="3D516EB9"/>
    <w:rsid w:val="3E500607"/>
    <w:rsid w:val="3ED90D1D"/>
    <w:rsid w:val="3F063939"/>
    <w:rsid w:val="3F8F64D8"/>
    <w:rsid w:val="404B72D3"/>
    <w:rsid w:val="406311E6"/>
    <w:rsid w:val="40721429"/>
    <w:rsid w:val="407E0883"/>
    <w:rsid w:val="40935C2D"/>
    <w:rsid w:val="40CD4DA2"/>
    <w:rsid w:val="421C20FC"/>
    <w:rsid w:val="427021F3"/>
    <w:rsid w:val="44846D60"/>
    <w:rsid w:val="457E6963"/>
    <w:rsid w:val="45A71D83"/>
    <w:rsid w:val="470152B5"/>
    <w:rsid w:val="47C55FB5"/>
    <w:rsid w:val="48FC232A"/>
    <w:rsid w:val="49F22E5E"/>
    <w:rsid w:val="4A1B48FF"/>
    <w:rsid w:val="4A357AE7"/>
    <w:rsid w:val="4A991310"/>
    <w:rsid w:val="4AA307DC"/>
    <w:rsid w:val="4B285784"/>
    <w:rsid w:val="4B5B013C"/>
    <w:rsid w:val="4B9844E6"/>
    <w:rsid w:val="4BE50AC4"/>
    <w:rsid w:val="4BE64DDA"/>
    <w:rsid w:val="4CAF134C"/>
    <w:rsid w:val="4CBF52D6"/>
    <w:rsid w:val="4CE17EC1"/>
    <w:rsid w:val="4D090A1F"/>
    <w:rsid w:val="4D27706F"/>
    <w:rsid w:val="4DC46141"/>
    <w:rsid w:val="4DF717D0"/>
    <w:rsid w:val="4E48655E"/>
    <w:rsid w:val="4ECF7B2F"/>
    <w:rsid w:val="4ED6284B"/>
    <w:rsid w:val="4F5062E7"/>
    <w:rsid w:val="4F5F2853"/>
    <w:rsid w:val="4F610FE6"/>
    <w:rsid w:val="50C94F27"/>
    <w:rsid w:val="51ED5DCB"/>
    <w:rsid w:val="51F46300"/>
    <w:rsid w:val="523072B3"/>
    <w:rsid w:val="5299079A"/>
    <w:rsid w:val="52B612EB"/>
    <w:rsid w:val="52D024F7"/>
    <w:rsid w:val="53157358"/>
    <w:rsid w:val="537C4CB4"/>
    <w:rsid w:val="53B809AC"/>
    <w:rsid w:val="53C4685F"/>
    <w:rsid w:val="543E05DD"/>
    <w:rsid w:val="5449029B"/>
    <w:rsid w:val="54B714CD"/>
    <w:rsid w:val="556A671B"/>
    <w:rsid w:val="55DF026B"/>
    <w:rsid w:val="561548D9"/>
    <w:rsid w:val="5665084A"/>
    <w:rsid w:val="56C24487"/>
    <w:rsid w:val="57146E88"/>
    <w:rsid w:val="57502B5B"/>
    <w:rsid w:val="57B22592"/>
    <w:rsid w:val="57BD5001"/>
    <w:rsid w:val="587A6C75"/>
    <w:rsid w:val="58917C05"/>
    <w:rsid w:val="58E01F15"/>
    <w:rsid w:val="59E12B3E"/>
    <w:rsid w:val="5A047410"/>
    <w:rsid w:val="5A0D3EDF"/>
    <w:rsid w:val="5AD07919"/>
    <w:rsid w:val="5B514734"/>
    <w:rsid w:val="5B6D486F"/>
    <w:rsid w:val="5B7C7912"/>
    <w:rsid w:val="5BCE18B7"/>
    <w:rsid w:val="5C7102E2"/>
    <w:rsid w:val="5D927F49"/>
    <w:rsid w:val="5DE17F99"/>
    <w:rsid w:val="5DF9FE55"/>
    <w:rsid w:val="5E7128C8"/>
    <w:rsid w:val="60155DA2"/>
    <w:rsid w:val="60367925"/>
    <w:rsid w:val="60DE31E0"/>
    <w:rsid w:val="61E61F0C"/>
    <w:rsid w:val="62EA1506"/>
    <w:rsid w:val="645D6968"/>
    <w:rsid w:val="64DD4BD5"/>
    <w:rsid w:val="64E5167D"/>
    <w:rsid w:val="650C68B5"/>
    <w:rsid w:val="65851B5E"/>
    <w:rsid w:val="65A45331"/>
    <w:rsid w:val="666C2F5C"/>
    <w:rsid w:val="66B70ABD"/>
    <w:rsid w:val="676270ED"/>
    <w:rsid w:val="68882CB0"/>
    <w:rsid w:val="68C901BB"/>
    <w:rsid w:val="69456FB5"/>
    <w:rsid w:val="698949C2"/>
    <w:rsid w:val="698B613D"/>
    <w:rsid w:val="6A7C02AC"/>
    <w:rsid w:val="6B2F1B41"/>
    <w:rsid w:val="6B5C79D9"/>
    <w:rsid w:val="6C545E76"/>
    <w:rsid w:val="6C5900D9"/>
    <w:rsid w:val="6DC742B3"/>
    <w:rsid w:val="6DDA4148"/>
    <w:rsid w:val="6E8120DF"/>
    <w:rsid w:val="6ED41EA1"/>
    <w:rsid w:val="6F5E3553"/>
    <w:rsid w:val="6FBB1BF5"/>
    <w:rsid w:val="700A670E"/>
    <w:rsid w:val="704D0FDF"/>
    <w:rsid w:val="70A50D9D"/>
    <w:rsid w:val="70D0476E"/>
    <w:rsid w:val="70F353BF"/>
    <w:rsid w:val="711A3A21"/>
    <w:rsid w:val="72C2716E"/>
    <w:rsid w:val="737F5DFC"/>
    <w:rsid w:val="738437CC"/>
    <w:rsid w:val="73FE67AB"/>
    <w:rsid w:val="74492FD5"/>
    <w:rsid w:val="74E03A67"/>
    <w:rsid w:val="74E808DE"/>
    <w:rsid w:val="75050D66"/>
    <w:rsid w:val="753643EF"/>
    <w:rsid w:val="753905B0"/>
    <w:rsid w:val="759F140B"/>
    <w:rsid w:val="75CA6AD3"/>
    <w:rsid w:val="76C53359"/>
    <w:rsid w:val="7706266E"/>
    <w:rsid w:val="772B3B04"/>
    <w:rsid w:val="779A7D6F"/>
    <w:rsid w:val="779F340C"/>
    <w:rsid w:val="77A97B5B"/>
    <w:rsid w:val="78522561"/>
    <w:rsid w:val="78E504F4"/>
    <w:rsid w:val="792366B3"/>
    <w:rsid w:val="793763EA"/>
    <w:rsid w:val="799D3BB7"/>
    <w:rsid w:val="7A596FBE"/>
    <w:rsid w:val="7DE828B4"/>
    <w:rsid w:val="7E254B3A"/>
    <w:rsid w:val="7E536360"/>
    <w:rsid w:val="7E5512D0"/>
    <w:rsid w:val="7ED00F2D"/>
    <w:rsid w:val="7EEF1E24"/>
    <w:rsid w:val="7F3D15CE"/>
    <w:rsid w:val="7F6F6FA7"/>
    <w:rsid w:val="99C375CB"/>
    <w:rsid w:val="EBE3DDF0"/>
    <w:rsid w:val="FDDAA85D"/>
    <w:rsid w:val="FE7F6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39" w:semiHidden="0" w:name="toc 1"/>
    <w:lsdException w:qFormat="1" w:unhideWhenUsed="0" w:uiPriority="3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qFormat="1" w:unhideWhenUsed="0" w:uiPriority="99" w:semiHidden="0" w:name="footnote text"/>
    <w:lsdException w:unhideWhenUsed="0" w:uiPriority="99" w:semiHidden="0" w:name="annotation text"/>
    <w:lsdException w:qFormat="1" w:uiPriority="99" w:semiHidden="0" w:name="header"/>
    <w:lsdException w:qFormat="1" w:uiPriority="99"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qFormat="1" w:unhideWhenUsed="0" w:uiPriority="0" w:semiHidden="0" w:name="envelope return"/>
    <w:lsdException w:qFormat="1"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qFormat="1" w:unhideWhenUsed="0" w:uiPriority="0"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qFormat="1" w:unhideWhenUsed="0" w:uiPriority="0"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qFormat="1" w:unhideWhenUsed="0" w:uiPriority="0" w:semiHidden="0" w:name="Body Text First Indent"/>
    <w:lsdException w:qFormat="1" w:unhideWhenUsed="0" w:uiPriority="99" w:name="Body Text First Indent 2"/>
    <w:lsdException w:unhideWhenUsed="0" w:uiPriority="99" w:semiHidden="0" w:name="Note Heading"/>
    <w:lsdException w:qFormat="1" w:unhideWhenUsed="0" w:uiPriority="0" w:semiHidden="0" w:name="Body Text 2"/>
    <w:lsdException w:unhideWhenUsed="0" w:uiPriority="99" w:semiHidden="0" w:name="Body Text 3"/>
    <w:lsdException w:qFormat="1" w:uiPriority="0"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qFormat="1"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0"/>
    <w:qFormat/>
    <w:uiPriority w:val="0"/>
    <w:pPr>
      <w:keepNext/>
      <w:keepLines/>
      <w:spacing w:before="340" w:after="330" w:line="360" w:lineRule="auto"/>
      <w:jc w:val="center"/>
      <w:outlineLvl w:val="0"/>
    </w:pPr>
    <w:rPr>
      <w:b/>
      <w:bCs/>
      <w:kern w:val="44"/>
      <w:sz w:val="28"/>
      <w:szCs w:val="44"/>
    </w:rPr>
  </w:style>
  <w:style w:type="paragraph" w:styleId="3">
    <w:name w:val="heading 2"/>
    <w:basedOn w:val="1"/>
    <w:next w:val="1"/>
    <w:link w:val="36"/>
    <w:unhideWhenUsed/>
    <w:qFormat/>
    <w:uiPriority w:val="0"/>
    <w:pPr>
      <w:keepNext/>
      <w:keepLines/>
      <w:spacing w:before="140" w:after="140" w:line="360" w:lineRule="auto"/>
      <w:ind w:left="200" w:leftChars="200"/>
      <w:jc w:val="left"/>
      <w:outlineLvl w:val="1"/>
    </w:pPr>
    <w:rPr>
      <w:rFonts w:ascii="Cambria" w:hAnsi="Cambria"/>
      <w:b/>
      <w:bCs/>
      <w:sz w:val="24"/>
      <w:szCs w:val="32"/>
    </w:rPr>
  </w:style>
  <w:style w:type="paragraph" w:styleId="4">
    <w:name w:val="heading 3"/>
    <w:basedOn w:val="1"/>
    <w:next w:val="1"/>
    <w:qFormat/>
    <w:uiPriority w:val="0"/>
    <w:pPr>
      <w:keepNext/>
      <w:keepLines/>
      <w:adjustRightInd w:val="0"/>
      <w:spacing w:before="260" w:after="260" w:line="416" w:lineRule="atLeast"/>
      <w:ind w:left="252"/>
      <w:jc w:val="left"/>
      <w:outlineLvl w:val="2"/>
    </w:pPr>
    <w:rPr>
      <w:rFonts w:ascii="Times New Roman" w:hAnsi="Times New Roman"/>
      <w:b/>
      <w:bCs/>
      <w:kern w:val="0"/>
      <w:sz w:val="32"/>
      <w:szCs w:val="32"/>
    </w:rPr>
  </w:style>
  <w:style w:type="paragraph" w:styleId="5">
    <w:name w:val="heading 4"/>
    <w:basedOn w:val="1"/>
    <w:next w:val="1"/>
    <w:qFormat/>
    <w:uiPriority w:val="99"/>
    <w:pPr>
      <w:keepNext/>
      <w:keepLines/>
      <w:adjustRightInd w:val="0"/>
      <w:spacing w:before="280" w:after="290" w:line="376" w:lineRule="atLeast"/>
      <w:ind w:left="252"/>
      <w:jc w:val="left"/>
      <w:outlineLvl w:val="3"/>
    </w:pPr>
    <w:rPr>
      <w:rFonts w:ascii="Arial" w:hAnsi="Arial" w:eastAsia="黑体"/>
      <w:b/>
      <w:bCs/>
      <w:kern w:val="0"/>
      <w:sz w:val="28"/>
      <w:szCs w:val="28"/>
    </w:rPr>
  </w:style>
  <w:style w:type="paragraph" w:styleId="6">
    <w:name w:val="heading 5"/>
    <w:basedOn w:val="1"/>
    <w:next w:val="1"/>
    <w:qFormat/>
    <w:uiPriority w:val="0"/>
    <w:pPr>
      <w:keepNext/>
      <w:keepLines/>
      <w:widowControl/>
      <w:spacing w:before="120" w:after="120" w:line="360" w:lineRule="auto"/>
      <w:ind w:firstLine="499"/>
      <w:jc w:val="left"/>
      <w:outlineLvl w:val="4"/>
    </w:pPr>
    <w:rPr>
      <w:rFonts w:ascii="宋体" w:hAnsi="宋体" w:cs="宋体"/>
      <w:b/>
      <w:kern w:val="0"/>
      <w:sz w:val="24"/>
      <w:szCs w:val="20"/>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0"/>
    <w:pPr>
      <w:ind w:left="420" w:leftChars="200"/>
    </w:pPr>
  </w:style>
  <w:style w:type="paragraph" w:styleId="8">
    <w:name w:val="Normal Indent"/>
    <w:basedOn w:val="1"/>
    <w:qFormat/>
    <w:uiPriority w:val="0"/>
    <w:pPr>
      <w:widowControl/>
      <w:ind w:firstLine="420"/>
      <w:jc w:val="left"/>
    </w:pPr>
    <w:rPr>
      <w:kern w:val="0"/>
      <w:sz w:val="20"/>
      <w:szCs w:val="20"/>
    </w:rPr>
  </w:style>
  <w:style w:type="paragraph" w:styleId="9">
    <w:name w:val="caption"/>
    <w:basedOn w:val="1"/>
    <w:next w:val="1"/>
    <w:qFormat/>
    <w:uiPriority w:val="0"/>
    <w:rPr>
      <w:rFonts w:ascii="Arial" w:hAnsi="Arial" w:eastAsia="黑体" w:cs="Arial"/>
      <w:sz w:val="20"/>
      <w:szCs w:val="20"/>
    </w:rPr>
  </w:style>
  <w:style w:type="paragraph" w:styleId="10">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1">
    <w:name w:val="Body Text"/>
    <w:basedOn w:val="1"/>
    <w:qFormat/>
    <w:uiPriority w:val="0"/>
    <w:pPr>
      <w:spacing w:line="0" w:lineRule="atLeast"/>
    </w:pPr>
    <w:rPr>
      <w:sz w:val="30"/>
      <w:szCs w:val="20"/>
    </w:rPr>
  </w:style>
  <w:style w:type="paragraph" w:styleId="12">
    <w:name w:val="Body Text Indent"/>
    <w:basedOn w:val="1"/>
    <w:next w:val="13"/>
    <w:qFormat/>
    <w:uiPriority w:val="99"/>
    <w:pPr>
      <w:adjustRightInd w:val="0"/>
      <w:spacing w:after="120" w:line="360" w:lineRule="atLeast"/>
      <w:ind w:left="420" w:leftChars="200"/>
      <w:jc w:val="left"/>
    </w:pPr>
    <w:rPr>
      <w:rFonts w:ascii="Times New Roman" w:hAnsi="Times New Roman"/>
      <w:kern w:val="0"/>
      <w:sz w:val="24"/>
      <w:szCs w:val="20"/>
    </w:rPr>
  </w:style>
  <w:style w:type="paragraph" w:styleId="13">
    <w:name w:val="envelope return"/>
    <w:basedOn w:val="1"/>
    <w:qFormat/>
    <w:uiPriority w:val="0"/>
    <w:pPr>
      <w:snapToGrid w:val="0"/>
    </w:pPr>
    <w:rPr>
      <w:rFonts w:ascii="Arial" w:hAnsi="Arial"/>
    </w:rPr>
  </w:style>
  <w:style w:type="paragraph" w:styleId="14">
    <w:name w:val="Plain Text"/>
    <w:basedOn w:val="1"/>
    <w:next w:val="15"/>
    <w:qFormat/>
    <w:uiPriority w:val="0"/>
    <w:rPr>
      <w:rFonts w:ascii="宋体" w:hAnsi="Courier New"/>
      <w:szCs w:val="21"/>
    </w:rPr>
  </w:style>
  <w:style w:type="paragraph" w:styleId="15">
    <w:name w:val="List Number 5"/>
    <w:basedOn w:val="1"/>
    <w:qFormat/>
    <w:uiPriority w:val="0"/>
    <w:pPr>
      <w:numPr>
        <w:ilvl w:val="0"/>
        <w:numId w:val="1"/>
      </w:numPr>
    </w:pPr>
  </w:style>
  <w:style w:type="paragraph" w:styleId="16">
    <w:name w:val="Body Text Indent 2"/>
    <w:basedOn w:val="1"/>
    <w:unhideWhenUsed/>
    <w:qFormat/>
    <w:uiPriority w:val="0"/>
    <w:pPr>
      <w:spacing w:after="120" w:line="480" w:lineRule="auto"/>
      <w:ind w:left="420" w:leftChars="200"/>
    </w:pPr>
  </w:style>
  <w:style w:type="paragraph" w:styleId="17">
    <w:name w:val="footer"/>
    <w:basedOn w:val="1"/>
    <w:next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footnote text"/>
    <w:basedOn w:val="1"/>
    <w:qFormat/>
    <w:uiPriority w:val="99"/>
    <w:pPr>
      <w:snapToGrid w:val="0"/>
      <w:jc w:val="left"/>
    </w:pPr>
    <w:rPr>
      <w:sz w:val="18"/>
      <w:szCs w:val="18"/>
    </w:rPr>
  </w:style>
  <w:style w:type="paragraph" w:styleId="21">
    <w:name w:val="toc 2"/>
    <w:basedOn w:val="1"/>
    <w:next w:val="1"/>
    <w:qFormat/>
    <w:uiPriority w:val="39"/>
    <w:pPr>
      <w:ind w:left="420" w:leftChars="200"/>
    </w:pPr>
    <w:rPr>
      <w:rFonts w:ascii="Times New Roman" w:hAnsi="Times New Roman"/>
      <w:szCs w:val="24"/>
    </w:rPr>
  </w:style>
  <w:style w:type="paragraph" w:styleId="22">
    <w:name w:val="Body Text 2"/>
    <w:basedOn w:val="1"/>
    <w:qFormat/>
    <w:uiPriority w:val="0"/>
    <w:pPr>
      <w:spacing w:line="440" w:lineRule="exact"/>
    </w:pPr>
    <w:rPr>
      <w:rFonts w:ascii="宋体" w:hAnsi="宋体"/>
      <w:sz w:val="24"/>
    </w:rPr>
  </w:style>
  <w:style w:type="paragraph" w:styleId="2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宋体" w:hAnsi="宋体"/>
      <w:kern w:val="0"/>
      <w:sz w:val="24"/>
    </w:rPr>
  </w:style>
  <w:style w:type="paragraph" w:styleId="24">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11"/>
    <w:qFormat/>
    <w:uiPriority w:val="0"/>
    <w:pPr>
      <w:spacing w:after="120"/>
      <w:ind w:firstLine="420" w:firstLineChars="100"/>
    </w:pPr>
  </w:style>
  <w:style w:type="paragraph" w:styleId="26">
    <w:name w:val="Body Text First Indent 2"/>
    <w:basedOn w:val="12"/>
    <w:semiHidden/>
    <w:qFormat/>
    <w:uiPriority w:val="99"/>
    <w:pPr>
      <w:widowControl/>
      <w:adjustRightInd/>
      <w:spacing w:line="240" w:lineRule="auto"/>
      <w:ind w:left="200" w:firstLine="420" w:firstLineChars="200"/>
      <w:jc w:val="both"/>
    </w:pPr>
    <w:rPr>
      <w:rFonts w:ascii="Calibri" w:hAnsi="Calibri"/>
      <w:sz w:val="21"/>
      <w:szCs w:val="21"/>
    </w:rPr>
  </w:style>
  <w:style w:type="table" w:styleId="28">
    <w:name w:val="Table Grid"/>
    <w:basedOn w:val="27"/>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otnote reference"/>
    <w:basedOn w:val="29"/>
    <w:qFormat/>
    <w:uiPriority w:val="99"/>
    <w:rPr>
      <w:rFonts w:cs="Times New Roman"/>
      <w:vertAlign w:val="superscript"/>
    </w:rPr>
  </w:style>
  <w:style w:type="paragraph" w:customStyle="1" w:styleId="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Body Text 21"/>
    <w:basedOn w:val="1"/>
    <w:qFormat/>
    <w:uiPriority w:val="0"/>
    <w:pPr>
      <w:spacing w:line="480" w:lineRule="auto"/>
    </w:pPr>
    <w:rPr>
      <w:sz w:val="20"/>
    </w:rPr>
  </w:style>
  <w:style w:type="paragraph" w:customStyle="1" w:styleId="33">
    <w:name w:val="正文段"/>
    <w:basedOn w:val="1"/>
    <w:qFormat/>
    <w:uiPriority w:val="0"/>
    <w:pPr>
      <w:widowControl/>
      <w:snapToGrid w:val="0"/>
      <w:spacing w:afterLines="50"/>
      <w:ind w:firstLine="200" w:firstLineChars="200"/>
    </w:pPr>
    <w:rPr>
      <w:rFonts w:ascii="Times New Roman" w:hAnsi="Times New Roman" w:cs="Times New Roman"/>
      <w:sz w:val="24"/>
    </w:rPr>
  </w:style>
  <w:style w:type="paragraph" w:customStyle="1" w:styleId="34">
    <w:name w:val="xl3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35">
    <w:name w:val="样式1"/>
    <w:basedOn w:val="1"/>
    <w:qFormat/>
    <w:uiPriority w:val="0"/>
    <w:pPr>
      <w:adjustRightInd w:val="0"/>
    </w:pPr>
    <w:rPr>
      <w:rFonts w:ascii="宋体" w:hAnsi="宋体"/>
      <w:kern w:val="0"/>
      <w:szCs w:val="21"/>
    </w:rPr>
  </w:style>
  <w:style w:type="character" w:customStyle="1" w:styleId="36">
    <w:name w:val="标题 2 Char"/>
    <w:basedOn w:val="29"/>
    <w:link w:val="3"/>
    <w:qFormat/>
    <w:uiPriority w:val="0"/>
    <w:rPr>
      <w:rFonts w:ascii="Cambria" w:hAnsi="Cambria"/>
      <w:b/>
      <w:bCs/>
      <w:sz w:val="24"/>
      <w:szCs w:val="32"/>
    </w:rPr>
  </w:style>
  <w:style w:type="character" w:customStyle="1" w:styleId="37">
    <w:name w:val="font112"/>
    <w:basedOn w:val="29"/>
    <w:qFormat/>
    <w:uiPriority w:val="0"/>
    <w:rPr>
      <w:rFonts w:hint="eastAsia" w:ascii="宋体" w:hAnsi="宋体" w:eastAsia="宋体" w:cs="宋体"/>
      <w:color w:val="000000"/>
      <w:sz w:val="24"/>
      <w:szCs w:val="24"/>
      <w:u w:val="single"/>
    </w:rPr>
  </w:style>
  <w:style w:type="paragraph" w:customStyle="1" w:styleId="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40">
    <w:name w:val="标题 1 Char"/>
    <w:link w:val="2"/>
    <w:qFormat/>
    <w:uiPriority w:val="99"/>
    <w:rPr>
      <w:b/>
      <w:bCs/>
      <w:kern w:val="44"/>
      <w:sz w:val="28"/>
      <w:szCs w:val="44"/>
    </w:rPr>
  </w:style>
  <w:style w:type="paragraph" w:customStyle="1" w:styleId="41">
    <w:name w:val="Heading2"/>
    <w:basedOn w:val="1"/>
    <w:qFormat/>
    <w:uiPriority w:val="0"/>
    <w:pPr>
      <w:spacing w:before="100" w:beforeAutospacing="1" w:after="100" w:afterAutospacing="1"/>
    </w:pPr>
    <w:rPr>
      <w:rFonts w:ascii="宋体" w:hAnsi="宋体"/>
      <w:b/>
      <w:color w:val="000000"/>
      <w:sz w:val="36"/>
      <w:szCs w:val="36"/>
    </w:rPr>
  </w:style>
  <w:style w:type="character" w:customStyle="1" w:styleId="42">
    <w:name w:val="font81"/>
    <w:basedOn w:val="29"/>
    <w:qFormat/>
    <w:uiPriority w:val="0"/>
    <w:rPr>
      <w:rFonts w:hint="default" w:ascii="Times New Roman" w:hAnsi="Times New Roman" w:cs="Times New Roman"/>
      <w:color w:val="000000"/>
      <w:sz w:val="20"/>
      <w:szCs w:val="20"/>
      <w:u w:val="none"/>
    </w:rPr>
  </w:style>
  <w:style w:type="character" w:customStyle="1" w:styleId="43">
    <w:name w:val="font121"/>
    <w:basedOn w:val="29"/>
    <w:qFormat/>
    <w:uiPriority w:val="0"/>
    <w:rPr>
      <w:rFonts w:hint="eastAsia" w:ascii="宋体" w:hAnsi="宋体" w:eastAsia="宋体" w:cs="宋体"/>
      <w:color w:val="000000"/>
      <w:sz w:val="18"/>
      <w:szCs w:val="18"/>
      <w:u w:val="none"/>
      <w:vertAlign w:val="superscript"/>
    </w:rPr>
  </w:style>
  <w:style w:type="character" w:customStyle="1" w:styleId="44">
    <w:name w:val="font91"/>
    <w:basedOn w:val="29"/>
    <w:qFormat/>
    <w:uiPriority w:val="0"/>
    <w:rPr>
      <w:rFonts w:hint="eastAsia" w:ascii="宋体" w:hAnsi="宋体" w:eastAsia="宋体" w:cs="宋体"/>
      <w:color w:val="000000"/>
      <w:sz w:val="20"/>
      <w:szCs w:val="20"/>
      <w:u w:val="none"/>
      <w:vertAlign w:val="superscript"/>
    </w:rPr>
  </w:style>
  <w:style w:type="character" w:customStyle="1" w:styleId="45">
    <w:name w:val="font131"/>
    <w:basedOn w:val="29"/>
    <w:qFormat/>
    <w:uiPriority w:val="0"/>
    <w:rPr>
      <w:rFonts w:hint="eastAsia" w:ascii="宋体" w:hAnsi="宋体" w:eastAsia="宋体" w:cs="宋体"/>
      <w:b/>
      <w:bCs/>
      <w:color w:val="000000"/>
      <w:sz w:val="22"/>
      <w:szCs w:val="22"/>
      <w:u w:val="none"/>
    </w:rPr>
  </w:style>
  <w:style w:type="character" w:customStyle="1" w:styleId="46">
    <w:name w:val="font101"/>
    <w:basedOn w:val="29"/>
    <w:qFormat/>
    <w:uiPriority w:val="0"/>
    <w:rPr>
      <w:rFonts w:hint="default" w:ascii="Times New Roman" w:hAnsi="Times New Roman" w:cs="Times New Roman"/>
      <w:color w:val="000000"/>
      <w:sz w:val="20"/>
      <w:szCs w:val="20"/>
      <w:u w:val="none"/>
    </w:rPr>
  </w:style>
  <w:style w:type="character" w:customStyle="1" w:styleId="47">
    <w:name w:val="font141"/>
    <w:basedOn w:val="29"/>
    <w:qFormat/>
    <w:uiPriority w:val="0"/>
    <w:rPr>
      <w:rFonts w:hint="eastAsia" w:ascii="宋体" w:hAnsi="宋体" w:eastAsia="宋体" w:cs="宋体"/>
      <w:color w:val="000000"/>
      <w:sz w:val="18"/>
      <w:szCs w:val="18"/>
      <w:u w:val="none"/>
      <w:vertAlign w:val="superscript"/>
    </w:rPr>
  </w:style>
  <w:style w:type="character" w:customStyle="1" w:styleId="48">
    <w:name w:val="font71"/>
    <w:basedOn w:val="29"/>
    <w:qFormat/>
    <w:uiPriority w:val="0"/>
    <w:rPr>
      <w:rFonts w:hint="default" w:ascii="Times New Roman" w:hAnsi="Times New Roman" w:cs="Times New Roman"/>
      <w:color w:val="000000"/>
      <w:sz w:val="20"/>
      <w:szCs w:val="20"/>
      <w:u w:val="none"/>
    </w:rPr>
  </w:style>
  <w:style w:type="character" w:customStyle="1" w:styleId="49">
    <w:name w:val="font31"/>
    <w:basedOn w:val="29"/>
    <w:qFormat/>
    <w:uiPriority w:val="0"/>
    <w:rPr>
      <w:rFonts w:hint="eastAsia" w:ascii="宋体" w:hAnsi="宋体" w:eastAsia="宋体" w:cs="宋体"/>
      <w:color w:val="000000"/>
      <w:sz w:val="20"/>
      <w:szCs w:val="20"/>
      <w:u w:val="none"/>
    </w:rPr>
  </w:style>
  <w:style w:type="paragraph" w:customStyle="1" w:styleId="50">
    <w:name w:val="一级条标题"/>
    <w:basedOn w:val="51"/>
    <w:qFormat/>
    <w:uiPriority w:val="0"/>
    <w:pPr>
      <w:spacing w:line="240" w:lineRule="auto"/>
      <w:ind w:left="420"/>
      <w:outlineLvl w:val="2"/>
    </w:pPr>
  </w:style>
  <w:style w:type="paragraph" w:customStyle="1" w:styleId="51">
    <w:name w:val="章标题"/>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3">
    <w:name w:val="NormalCharacter"/>
    <w:semiHidden/>
    <w:qFormat/>
    <w:uiPriority w:val="0"/>
  </w:style>
  <w:style w:type="paragraph" w:customStyle="1" w:styleId="54">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55">
    <w:name w:val="Table Text"/>
    <w:basedOn w:val="1"/>
    <w:semiHidden/>
    <w:qFormat/>
    <w:uiPriority w:val="0"/>
    <w:rPr>
      <w:rFonts w:ascii="宋体" w:hAnsi="宋体" w:eastAsia="宋体" w:cs="宋体"/>
      <w:sz w:val="20"/>
      <w:szCs w:val="2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3669</Words>
  <Characters>3986</Characters>
  <Lines>0</Lines>
  <Paragraphs>0</Paragraphs>
  <TotalTime>38</TotalTime>
  <ScaleCrop>false</ScaleCrop>
  <LinksUpToDate>false</LinksUpToDate>
  <CharactersWithSpaces>4340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2022-03-29T14:56:00Z</dcterms:created>
  <dc:creator>Lenovo</dc:creator>
  <cp:lastModifiedBy>发奋图强</cp:lastModifiedBy>
  <cp:lastPrinted>2024-09-25T09:12:00Z</cp:lastPrinted>
  <dcterms:modified xsi:type="dcterms:W3CDTF">2026-05-22T08:32:28Z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039E7106314B4940951C9F6FCAE38601_13</vt:lpwstr>
  </property>
  <property fmtid="{D5CDD505-2E9C-101B-9397-08002B2CF9AE}" pid="4" name="KSOTemplateDocerSaveRecord">
    <vt:lpwstr>eyJoZGlkIjoiYTdhNmI4NjRjNmJhNDkyM2I3OTQ0OGZiNjgzYWJhYjciLCJ1c2VySWQiOiI1ODUyMDk1NTUifQ==</vt:lpwstr>
  </property>
</Properties>
</file>