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FB75B">
      <w:pPr>
        <w:jc w:val="right"/>
        <w:rPr>
          <w:rFonts w:hint="eastAsia" w:ascii="仿宋" w:hAnsi="仿宋" w:eastAsia="仿宋" w:cs="仿宋"/>
          <w:b/>
          <w:bCs/>
          <w:color w:val="auto"/>
          <w:kern w:val="0"/>
          <w:sz w:val="44"/>
          <w:szCs w:val="44"/>
          <w:highlight w:val="none"/>
        </w:rPr>
      </w:pPr>
      <w:bookmarkStart w:id="0" w:name="_Toc21015"/>
      <w:bookmarkStart w:id="1" w:name="_Toc21215"/>
      <w:bookmarkStart w:id="2" w:name="_Toc515647757"/>
      <w:bookmarkStart w:id="3" w:name="_Toc216582805"/>
      <w:bookmarkStart w:id="4" w:name="_Toc520356143"/>
      <w:r>
        <w:rPr>
          <w:rFonts w:hint="eastAsia" w:ascii="仿宋" w:hAnsi="仿宋" w:eastAsia="仿宋" w:cs="仿宋"/>
          <w:b/>
          <w:bCs/>
          <w:kern w:val="0"/>
          <w:sz w:val="28"/>
          <w:szCs w:val="28"/>
          <w:lang w:eastAsia="zh-CN"/>
        </w:rPr>
        <w:t>公开</w:t>
      </w:r>
      <w:r>
        <w:rPr>
          <w:rFonts w:hint="eastAsia" w:ascii="仿宋" w:hAnsi="仿宋" w:eastAsia="仿宋" w:cs="仿宋"/>
          <w:b/>
          <w:bCs/>
          <w:kern w:val="0"/>
          <w:sz w:val="28"/>
          <w:szCs w:val="28"/>
          <w:lang w:val="en-US" w:eastAsia="zh-CN"/>
        </w:rPr>
        <w:t xml:space="preserve">                  </w:t>
      </w:r>
    </w:p>
    <w:p w14:paraId="0790D203">
      <w:pPr>
        <w:ind w:left="520" w:hanging="520" w:hangingChars="100"/>
        <w:jc w:val="center"/>
        <w:rPr>
          <w:rFonts w:hint="eastAsia" w:ascii="仿宋" w:hAnsi="仿宋" w:eastAsia="仿宋" w:cs="仿宋"/>
          <w:b/>
          <w:bCs/>
          <w:kern w:val="0"/>
          <w:sz w:val="28"/>
          <w:szCs w:val="28"/>
        </w:rPr>
      </w:pPr>
      <w:r>
        <w:rPr>
          <w:rFonts w:hint="eastAsia" w:ascii="仿宋" w:hAnsi="仿宋" w:eastAsia="仿宋" w:cs="仿宋"/>
          <w:b/>
          <w:bCs/>
          <w:color w:val="auto"/>
          <w:kern w:val="0"/>
          <w:sz w:val="52"/>
          <w:szCs w:val="52"/>
          <w:highlight w:val="none"/>
          <w:lang w:eastAsia="zh-CN"/>
        </w:rPr>
        <w:t>莎车县乡村振兴建设（安全优质饮水工程）项目</w:t>
      </w:r>
    </w:p>
    <w:p w14:paraId="034F0CEB">
      <w:pPr>
        <w:jc w:val="both"/>
        <w:rPr>
          <w:rFonts w:hint="eastAsia" w:ascii="仿宋" w:hAnsi="仿宋" w:eastAsia="仿宋" w:cs="仿宋"/>
          <w:b/>
          <w:bCs/>
          <w:kern w:val="0"/>
          <w:sz w:val="28"/>
          <w:szCs w:val="28"/>
        </w:rPr>
      </w:pPr>
    </w:p>
    <w:p w14:paraId="36BA625D">
      <w:pPr>
        <w:jc w:val="center"/>
        <w:rPr>
          <w:rFonts w:hint="default" w:ascii="仿宋" w:hAnsi="仿宋" w:eastAsia="仿宋" w:cs="仿宋"/>
          <w:b/>
          <w:sz w:val="44"/>
          <w:szCs w:val="44"/>
          <w:lang w:val="en-US" w:eastAsia="zh-CN"/>
        </w:rPr>
      </w:pPr>
      <w:r>
        <w:rPr>
          <w:rFonts w:hint="eastAsia" w:ascii="仿宋" w:hAnsi="仿宋" w:eastAsia="仿宋" w:cs="仿宋"/>
          <w:b/>
          <w:bCs/>
          <w:kern w:val="0"/>
          <w:sz w:val="28"/>
          <w:szCs w:val="28"/>
        </w:rPr>
        <w:t>项目编号：</w:t>
      </w:r>
      <w:r>
        <w:rPr>
          <w:rFonts w:hint="eastAsia" w:ascii="仿宋" w:hAnsi="仿宋" w:eastAsia="仿宋" w:cs="仿宋"/>
          <w:b/>
          <w:bCs/>
          <w:kern w:val="0"/>
          <w:sz w:val="28"/>
          <w:szCs w:val="28"/>
          <w:lang w:val="en-US" w:eastAsia="zh-CN"/>
        </w:rPr>
        <w:t>金喀政采字【2026】XJJZKC-001</w:t>
      </w:r>
    </w:p>
    <w:p w14:paraId="1C58A273">
      <w:pPr>
        <w:pStyle w:val="9"/>
        <w:rPr>
          <w:rFonts w:hint="eastAsia"/>
        </w:rPr>
      </w:pPr>
    </w:p>
    <w:p w14:paraId="765555C6">
      <w:pPr>
        <w:rPr>
          <w:rFonts w:hint="eastAsia"/>
        </w:rPr>
      </w:pPr>
    </w:p>
    <w:p w14:paraId="2FB58D33">
      <w:pPr>
        <w:spacing w:line="240" w:lineRule="atLeast"/>
        <w:ind w:left="1079" w:leftChars="257" w:hanging="540"/>
        <w:jc w:val="center"/>
        <w:rPr>
          <w:rFonts w:hint="eastAsia" w:ascii="仿宋" w:hAnsi="仿宋" w:eastAsia="仿宋" w:cs="仿宋"/>
          <w:b/>
          <w:bCs/>
          <w:color w:val="auto"/>
          <w:kern w:val="0"/>
          <w:sz w:val="56"/>
          <w:szCs w:val="56"/>
          <w:highlight w:val="none"/>
        </w:rPr>
      </w:pPr>
      <w:r>
        <w:rPr>
          <w:rFonts w:hint="eastAsia" w:ascii="仿宋" w:hAnsi="仿宋" w:eastAsia="仿宋" w:cs="仿宋"/>
          <w:b/>
          <w:bCs/>
          <w:color w:val="auto"/>
          <w:kern w:val="0"/>
          <w:sz w:val="72"/>
          <w:szCs w:val="72"/>
          <w:highlight w:val="none"/>
        </w:rPr>
        <w:t>招</w:t>
      </w:r>
      <w:r>
        <w:rPr>
          <w:rFonts w:hint="eastAsia" w:ascii="仿宋" w:hAnsi="仿宋" w:eastAsia="仿宋" w:cs="仿宋"/>
          <w:b/>
          <w:bCs/>
          <w:color w:val="auto"/>
          <w:kern w:val="0"/>
          <w:sz w:val="72"/>
          <w:szCs w:val="72"/>
          <w:highlight w:val="none"/>
          <w:lang w:val="en-US" w:eastAsia="zh-CN"/>
        </w:rPr>
        <w:t xml:space="preserve"> </w:t>
      </w:r>
      <w:r>
        <w:rPr>
          <w:rFonts w:hint="eastAsia" w:ascii="仿宋" w:hAnsi="仿宋" w:eastAsia="仿宋" w:cs="仿宋"/>
          <w:b/>
          <w:bCs/>
          <w:color w:val="auto"/>
          <w:kern w:val="0"/>
          <w:sz w:val="72"/>
          <w:szCs w:val="72"/>
          <w:highlight w:val="none"/>
        </w:rPr>
        <w:t>标</w:t>
      </w:r>
      <w:r>
        <w:rPr>
          <w:rFonts w:hint="eastAsia" w:ascii="仿宋" w:hAnsi="仿宋" w:eastAsia="仿宋" w:cs="仿宋"/>
          <w:b/>
          <w:bCs/>
          <w:color w:val="auto"/>
          <w:kern w:val="0"/>
          <w:sz w:val="72"/>
          <w:szCs w:val="72"/>
          <w:highlight w:val="none"/>
          <w:lang w:val="en-US" w:eastAsia="zh-CN"/>
        </w:rPr>
        <w:t xml:space="preserve"> </w:t>
      </w:r>
      <w:r>
        <w:rPr>
          <w:rFonts w:hint="eastAsia" w:ascii="仿宋" w:hAnsi="仿宋" w:eastAsia="仿宋" w:cs="仿宋"/>
          <w:b/>
          <w:bCs/>
          <w:color w:val="auto"/>
          <w:kern w:val="0"/>
          <w:sz w:val="72"/>
          <w:szCs w:val="72"/>
          <w:highlight w:val="none"/>
        </w:rPr>
        <w:t>文</w:t>
      </w:r>
      <w:r>
        <w:rPr>
          <w:rFonts w:hint="eastAsia" w:ascii="仿宋" w:hAnsi="仿宋" w:eastAsia="仿宋" w:cs="仿宋"/>
          <w:b/>
          <w:bCs/>
          <w:color w:val="auto"/>
          <w:kern w:val="0"/>
          <w:sz w:val="72"/>
          <w:szCs w:val="72"/>
          <w:highlight w:val="none"/>
          <w:lang w:val="en-US" w:eastAsia="zh-CN"/>
        </w:rPr>
        <w:t xml:space="preserve"> </w:t>
      </w:r>
      <w:r>
        <w:rPr>
          <w:rFonts w:hint="eastAsia" w:ascii="仿宋" w:hAnsi="仿宋" w:eastAsia="仿宋" w:cs="仿宋"/>
          <w:b/>
          <w:bCs/>
          <w:color w:val="auto"/>
          <w:kern w:val="0"/>
          <w:sz w:val="72"/>
          <w:szCs w:val="72"/>
          <w:highlight w:val="none"/>
        </w:rPr>
        <w:t>件</w:t>
      </w:r>
    </w:p>
    <w:p w14:paraId="21AC6B3D">
      <w:pPr>
        <w:pStyle w:val="26"/>
        <w:rPr>
          <w:rFonts w:hint="eastAsia" w:ascii="仿宋" w:hAnsi="仿宋" w:eastAsia="仿宋" w:cs="仿宋"/>
          <w:b/>
          <w:color w:val="auto"/>
          <w:sz w:val="52"/>
          <w:highlight w:val="none"/>
        </w:rPr>
      </w:pPr>
    </w:p>
    <w:p w14:paraId="1921510A">
      <w:pPr>
        <w:pStyle w:val="12"/>
        <w:rPr>
          <w:rFonts w:hint="eastAsia"/>
        </w:rPr>
      </w:pPr>
    </w:p>
    <w:tbl>
      <w:tblPr>
        <w:tblStyle w:val="41"/>
        <w:tblpPr w:leftFromText="180" w:rightFromText="180" w:vertAnchor="text" w:horzAnchor="page" w:tblpX="1947" w:tblpY="617"/>
        <w:tblOverlap w:val="never"/>
        <w:tblW w:w="85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3"/>
        <w:gridCol w:w="5946"/>
      </w:tblGrid>
      <w:tr w14:paraId="6144C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653" w:type="dxa"/>
            <w:vAlign w:val="top"/>
          </w:tcPr>
          <w:p w14:paraId="1472916A">
            <w:pPr>
              <w:keepNext w:val="0"/>
              <w:keepLines w:val="0"/>
              <w:suppressLineNumbers w:val="0"/>
              <w:spacing w:before="0" w:beforeAutospacing="0" w:after="0" w:afterAutospacing="0"/>
              <w:ind w:left="204" w:leftChars="0" w:right="0" w:rightChars="0" w:hanging="204" w:hangingChars="73"/>
              <w:jc w:val="distribute"/>
              <w:rPr>
                <w:rFonts w:ascii="仿宋" w:hAnsi="仿宋" w:eastAsia="仿宋" w:cs="仿宋"/>
                <w:b/>
                <w:bCs/>
                <w:sz w:val="28"/>
                <w:szCs w:val="28"/>
              </w:rPr>
            </w:pPr>
            <w:r>
              <w:rPr>
                <w:rFonts w:hint="eastAsia" w:ascii="仿宋" w:hAnsi="仿宋" w:eastAsia="仿宋" w:cs="仿宋"/>
                <w:b/>
                <w:bCs/>
                <w:sz w:val="28"/>
                <w:szCs w:val="28"/>
              </w:rPr>
              <w:t>采购人：</w:t>
            </w:r>
          </w:p>
        </w:tc>
        <w:tc>
          <w:tcPr>
            <w:tcW w:w="5946" w:type="dxa"/>
            <w:vAlign w:val="top"/>
          </w:tcPr>
          <w:p w14:paraId="1552B397">
            <w:pPr>
              <w:keepNext w:val="0"/>
              <w:keepLines w:val="0"/>
              <w:suppressLineNumbers w:val="0"/>
              <w:spacing w:before="0" w:beforeAutospacing="0" w:after="0" w:afterAutospacing="0"/>
              <w:ind w:left="204" w:leftChars="0" w:right="0" w:rightChars="0" w:hanging="204" w:hangingChars="73"/>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莎车县住房和城乡建设局</w:t>
            </w:r>
          </w:p>
        </w:tc>
      </w:tr>
      <w:tr w14:paraId="1B9B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653" w:type="dxa"/>
            <w:vAlign w:val="top"/>
          </w:tcPr>
          <w:p w14:paraId="20E6B803">
            <w:pPr>
              <w:keepNext w:val="0"/>
              <w:keepLines w:val="0"/>
              <w:suppressLineNumbers w:val="0"/>
              <w:spacing w:before="0" w:beforeAutospacing="0" w:after="0" w:afterAutospacing="0"/>
              <w:ind w:left="204" w:leftChars="0" w:right="0" w:rightChars="0" w:hanging="204" w:hangingChars="73"/>
              <w:jc w:val="distribute"/>
              <w:rPr>
                <w:rFonts w:ascii="仿宋" w:hAnsi="仿宋" w:eastAsia="仿宋" w:cs="仿宋"/>
                <w:b/>
                <w:bCs/>
                <w:sz w:val="28"/>
                <w:szCs w:val="28"/>
              </w:rPr>
            </w:pPr>
            <w:r>
              <w:rPr>
                <w:rFonts w:hint="eastAsia" w:ascii="仿宋" w:hAnsi="仿宋" w:eastAsia="仿宋" w:cs="仿宋"/>
                <w:b/>
                <w:bCs/>
                <w:sz w:val="28"/>
                <w:szCs w:val="28"/>
              </w:rPr>
              <w:t>联系人：</w:t>
            </w:r>
          </w:p>
        </w:tc>
        <w:tc>
          <w:tcPr>
            <w:tcW w:w="5946" w:type="dxa"/>
            <w:vAlign w:val="top"/>
          </w:tcPr>
          <w:p w14:paraId="6F105E65">
            <w:pPr>
              <w:keepNext w:val="0"/>
              <w:keepLines w:val="0"/>
              <w:suppressLineNumbers w:val="0"/>
              <w:spacing w:before="0" w:beforeAutospacing="0" w:after="0" w:afterAutospacing="0"/>
              <w:ind w:left="204" w:leftChars="0" w:right="0" w:rightChars="0" w:hanging="204" w:hangingChars="73"/>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尹逊磊</w:t>
            </w:r>
          </w:p>
        </w:tc>
      </w:tr>
      <w:tr w14:paraId="37FD7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653" w:type="dxa"/>
            <w:vAlign w:val="top"/>
          </w:tcPr>
          <w:p w14:paraId="57CAF4F0">
            <w:pPr>
              <w:keepNext w:val="0"/>
              <w:keepLines w:val="0"/>
              <w:suppressLineNumbers w:val="0"/>
              <w:spacing w:before="0" w:beforeAutospacing="0" w:after="0" w:afterAutospacing="0"/>
              <w:ind w:left="204" w:leftChars="0" w:right="0" w:rightChars="0" w:hanging="204" w:hangingChars="73"/>
              <w:jc w:val="distribute"/>
              <w:rPr>
                <w:rFonts w:ascii="仿宋" w:hAnsi="仿宋" w:eastAsia="仿宋" w:cs="仿宋"/>
                <w:b/>
                <w:bCs/>
                <w:sz w:val="28"/>
                <w:szCs w:val="28"/>
              </w:rPr>
            </w:pPr>
            <w:r>
              <w:rPr>
                <w:rFonts w:hint="eastAsia" w:ascii="仿宋" w:hAnsi="仿宋" w:eastAsia="仿宋" w:cs="仿宋"/>
                <w:b/>
                <w:bCs/>
                <w:sz w:val="28"/>
                <w:szCs w:val="28"/>
                <w:highlight w:val="none"/>
              </w:rPr>
              <w:t>联系电话：</w:t>
            </w:r>
          </w:p>
        </w:tc>
        <w:tc>
          <w:tcPr>
            <w:tcW w:w="5946" w:type="dxa"/>
            <w:vAlign w:val="top"/>
          </w:tcPr>
          <w:p w14:paraId="5AE3D7AB">
            <w:pPr>
              <w:keepNext w:val="0"/>
              <w:keepLines w:val="0"/>
              <w:suppressLineNumbers w:val="0"/>
              <w:spacing w:before="0" w:beforeAutospacing="0" w:after="0" w:afterAutospacing="0"/>
              <w:ind w:left="204" w:leftChars="0" w:right="0" w:rightChars="0" w:hanging="204" w:hangingChars="73"/>
              <w:jc w:val="lef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0998-6612058</w:t>
            </w:r>
          </w:p>
        </w:tc>
      </w:tr>
      <w:tr w14:paraId="176F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653" w:type="dxa"/>
            <w:vAlign w:val="top"/>
          </w:tcPr>
          <w:p w14:paraId="7E83CA4C">
            <w:pPr>
              <w:keepNext w:val="0"/>
              <w:keepLines w:val="0"/>
              <w:suppressLineNumbers w:val="0"/>
              <w:spacing w:before="0" w:beforeAutospacing="0" w:after="0" w:afterAutospacing="0"/>
              <w:ind w:left="204" w:leftChars="0" w:right="0" w:rightChars="0" w:hanging="204" w:hangingChars="73"/>
              <w:jc w:val="distribute"/>
              <w:rPr>
                <w:rFonts w:ascii="仿宋" w:hAnsi="仿宋" w:eastAsia="仿宋" w:cs="仿宋"/>
                <w:b/>
                <w:bCs/>
                <w:sz w:val="28"/>
                <w:szCs w:val="28"/>
              </w:rPr>
            </w:pPr>
            <w:r>
              <w:rPr>
                <w:rFonts w:hint="eastAsia" w:ascii="仿宋" w:hAnsi="仿宋" w:eastAsia="仿宋" w:cs="仿宋"/>
                <w:b/>
                <w:bCs/>
                <w:sz w:val="28"/>
                <w:szCs w:val="28"/>
              </w:rPr>
              <w:t>地址：</w:t>
            </w:r>
          </w:p>
        </w:tc>
        <w:tc>
          <w:tcPr>
            <w:tcW w:w="5946" w:type="dxa"/>
            <w:vAlign w:val="top"/>
          </w:tcPr>
          <w:p w14:paraId="1298FC08">
            <w:pPr>
              <w:keepNext w:val="0"/>
              <w:keepLines w:val="0"/>
              <w:suppressLineNumbers w:val="0"/>
              <w:spacing w:before="0" w:beforeAutospacing="0" w:after="0" w:afterAutospacing="0"/>
              <w:ind w:left="204" w:leftChars="0" w:right="0" w:rightChars="0" w:hanging="204" w:hangingChars="73"/>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莎车县</w:t>
            </w:r>
            <w:r>
              <w:rPr>
                <w:rFonts w:hint="eastAsia" w:ascii="仿宋" w:hAnsi="仿宋" w:eastAsia="仿宋" w:cs="仿宋"/>
                <w:b/>
                <w:bCs/>
                <w:sz w:val="28"/>
                <w:szCs w:val="28"/>
                <w:lang w:eastAsia="zh-CN"/>
              </w:rPr>
              <w:t>团结西路25号院内</w:t>
            </w:r>
          </w:p>
        </w:tc>
      </w:tr>
      <w:tr w14:paraId="5F8D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653" w:type="dxa"/>
            <w:vAlign w:val="top"/>
          </w:tcPr>
          <w:p w14:paraId="0E40C765">
            <w:pPr>
              <w:keepNext w:val="0"/>
              <w:keepLines w:val="0"/>
              <w:suppressLineNumbers w:val="0"/>
              <w:spacing w:before="0" w:beforeAutospacing="0" w:after="0" w:afterAutospacing="0"/>
              <w:ind w:left="146" w:leftChars="0" w:right="0" w:rightChars="0" w:hanging="146" w:hangingChars="73"/>
              <w:jc w:val="distribute"/>
              <w:rPr>
                <w:rFonts w:ascii="仿宋" w:hAnsi="仿宋" w:eastAsia="仿宋" w:cs="仿宋"/>
                <w:b/>
                <w:bCs/>
                <w:sz w:val="20"/>
                <w:szCs w:val="22"/>
              </w:rPr>
            </w:pPr>
          </w:p>
        </w:tc>
        <w:tc>
          <w:tcPr>
            <w:tcW w:w="5946" w:type="dxa"/>
            <w:vAlign w:val="top"/>
          </w:tcPr>
          <w:p w14:paraId="09173C38">
            <w:pPr>
              <w:keepNext w:val="0"/>
              <w:keepLines w:val="0"/>
              <w:suppressLineNumbers w:val="0"/>
              <w:spacing w:before="0" w:beforeAutospacing="0" w:after="0" w:afterAutospacing="0"/>
              <w:ind w:left="204" w:leftChars="0" w:right="0" w:rightChars="0" w:hanging="204" w:hangingChars="73"/>
              <w:jc w:val="left"/>
              <w:rPr>
                <w:rFonts w:hint="eastAsia" w:ascii="仿宋" w:hAnsi="仿宋" w:eastAsia="仿宋" w:cs="仿宋"/>
                <w:b/>
                <w:bCs/>
                <w:sz w:val="28"/>
                <w:szCs w:val="28"/>
                <w:lang w:eastAsia="zh-CN"/>
              </w:rPr>
            </w:pPr>
          </w:p>
        </w:tc>
      </w:tr>
      <w:tr w14:paraId="56F9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653" w:type="dxa"/>
            <w:vAlign w:val="top"/>
          </w:tcPr>
          <w:p w14:paraId="366E80DD">
            <w:pPr>
              <w:keepNext w:val="0"/>
              <w:keepLines w:val="0"/>
              <w:suppressLineNumbers w:val="0"/>
              <w:spacing w:before="0" w:beforeAutospacing="0" w:after="0" w:afterAutospacing="0"/>
              <w:ind w:left="204" w:leftChars="0" w:right="0" w:rightChars="0" w:hanging="204" w:hangingChars="73"/>
              <w:jc w:val="distribute"/>
              <w:rPr>
                <w:rFonts w:ascii="仿宋" w:hAnsi="仿宋" w:eastAsia="仿宋" w:cs="仿宋"/>
                <w:b/>
                <w:bCs/>
                <w:sz w:val="20"/>
                <w:szCs w:val="22"/>
              </w:rPr>
            </w:pPr>
            <w:r>
              <w:rPr>
                <w:rFonts w:hint="eastAsia" w:ascii="仿宋" w:hAnsi="仿宋" w:eastAsia="仿宋" w:cs="仿宋"/>
                <w:b/>
                <w:bCs/>
                <w:sz w:val="28"/>
                <w:szCs w:val="28"/>
              </w:rPr>
              <w:t>代理机构：</w:t>
            </w:r>
          </w:p>
        </w:tc>
        <w:tc>
          <w:tcPr>
            <w:tcW w:w="5946" w:type="dxa"/>
            <w:vAlign w:val="top"/>
          </w:tcPr>
          <w:p w14:paraId="53EAFF17">
            <w:pPr>
              <w:keepNext w:val="0"/>
              <w:keepLines w:val="0"/>
              <w:suppressLineNumbers w:val="0"/>
              <w:spacing w:before="0" w:beforeAutospacing="0" w:after="0" w:afterAutospacing="0"/>
              <w:ind w:left="204" w:leftChars="0" w:right="0" w:rightChars="0" w:hanging="204" w:hangingChars="73"/>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新疆金正建设工程管理有限公司</w:t>
            </w:r>
          </w:p>
        </w:tc>
      </w:tr>
      <w:tr w14:paraId="5771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653" w:type="dxa"/>
            <w:vAlign w:val="top"/>
          </w:tcPr>
          <w:p w14:paraId="0451233C">
            <w:pPr>
              <w:keepNext w:val="0"/>
              <w:keepLines w:val="0"/>
              <w:suppressLineNumbers w:val="0"/>
              <w:spacing w:before="0" w:beforeAutospacing="0" w:after="0" w:afterAutospacing="0"/>
              <w:ind w:left="2441" w:leftChars="0" w:right="0" w:rightChars="0" w:hanging="2441" w:hangingChars="872"/>
              <w:jc w:val="distribute"/>
              <w:rPr>
                <w:rFonts w:ascii="仿宋" w:hAnsi="仿宋" w:eastAsia="仿宋" w:cs="仿宋"/>
                <w:b/>
                <w:bCs/>
                <w:sz w:val="28"/>
                <w:szCs w:val="28"/>
              </w:rPr>
            </w:pPr>
            <w:r>
              <w:rPr>
                <w:rFonts w:hint="eastAsia" w:ascii="仿宋" w:hAnsi="仿宋" w:eastAsia="仿宋" w:cs="仿宋"/>
                <w:b/>
                <w:bCs/>
                <w:sz w:val="28"/>
                <w:szCs w:val="28"/>
              </w:rPr>
              <w:t>联系人：</w:t>
            </w:r>
          </w:p>
        </w:tc>
        <w:tc>
          <w:tcPr>
            <w:tcW w:w="5946" w:type="dxa"/>
            <w:vAlign w:val="top"/>
          </w:tcPr>
          <w:p w14:paraId="4FF59745">
            <w:pPr>
              <w:keepNext w:val="0"/>
              <w:keepLines w:val="0"/>
              <w:suppressLineNumbers w:val="0"/>
              <w:spacing w:before="0" w:beforeAutospacing="0" w:after="0" w:afterAutospacing="0"/>
              <w:ind w:left="204" w:leftChars="0" w:right="0" w:rightChars="0" w:hanging="204" w:hangingChars="73"/>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布威热比古丽.麦麦提热伊木</w:t>
            </w:r>
          </w:p>
        </w:tc>
      </w:tr>
      <w:tr w14:paraId="7DA5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2653" w:type="dxa"/>
            <w:vAlign w:val="top"/>
          </w:tcPr>
          <w:p w14:paraId="50F1732B">
            <w:pPr>
              <w:keepNext w:val="0"/>
              <w:keepLines w:val="0"/>
              <w:suppressLineNumbers w:val="0"/>
              <w:spacing w:before="0" w:beforeAutospacing="0" w:after="0" w:afterAutospacing="0"/>
              <w:ind w:left="204" w:leftChars="0" w:right="0" w:rightChars="0" w:hanging="204" w:hangingChars="73"/>
              <w:jc w:val="distribute"/>
              <w:rPr>
                <w:rFonts w:ascii="仿宋" w:hAnsi="仿宋" w:eastAsia="仿宋" w:cs="仿宋"/>
                <w:b/>
                <w:bCs/>
                <w:sz w:val="20"/>
                <w:szCs w:val="22"/>
              </w:rPr>
            </w:pPr>
            <w:r>
              <w:rPr>
                <w:rFonts w:hint="eastAsia" w:ascii="仿宋" w:hAnsi="仿宋" w:eastAsia="仿宋" w:cs="仿宋"/>
                <w:b/>
                <w:bCs/>
                <w:sz w:val="28"/>
                <w:szCs w:val="28"/>
              </w:rPr>
              <w:t>联系电话：</w:t>
            </w:r>
          </w:p>
        </w:tc>
        <w:tc>
          <w:tcPr>
            <w:tcW w:w="5946" w:type="dxa"/>
            <w:vAlign w:val="top"/>
          </w:tcPr>
          <w:p w14:paraId="254C70C3">
            <w:pPr>
              <w:keepNext w:val="0"/>
              <w:keepLines w:val="0"/>
              <w:suppressLineNumbers w:val="0"/>
              <w:spacing w:before="0" w:beforeAutospacing="0" w:after="0" w:afterAutospacing="0"/>
              <w:ind w:left="204" w:leftChars="0" w:right="0" w:rightChars="0" w:hanging="204" w:hangingChars="73"/>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18399604428</w:t>
            </w:r>
          </w:p>
        </w:tc>
      </w:tr>
      <w:tr w14:paraId="069C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653" w:type="dxa"/>
            <w:vAlign w:val="top"/>
          </w:tcPr>
          <w:p w14:paraId="1F13F8D3">
            <w:pPr>
              <w:keepNext w:val="0"/>
              <w:keepLines w:val="0"/>
              <w:suppressLineNumbers w:val="0"/>
              <w:spacing w:before="0" w:beforeAutospacing="0" w:after="0" w:afterAutospacing="0"/>
              <w:ind w:left="204" w:leftChars="0" w:right="0" w:rightChars="0" w:hanging="204" w:hangingChars="73"/>
              <w:jc w:val="distribute"/>
              <w:rPr>
                <w:rFonts w:ascii="仿宋" w:hAnsi="仿宋" w:eastAsia="仿宋" w:cs="仿宋"/>
                <w:sz w:val="20"/>
                <w:szCs w:val="22"/>
              </w:rPr>
            </w:pPr>
            <w:r>
              <w:rPr>
                <w:rFonts w:hint="eastAsia" w:ascii="仿宋" w:hAnsi="仿宋" w:eastAsia="仿宋" w:cs="仿宋"/>
                <w:b/>
                <w:bCs/>
                <w:sz w:val="28"/>
                <w:szCs w:val="28"/>
              </w:rPr>
              <w:t>代理机构地址：</w:t>
            </w:r>
          </w:p>
        </w:tc>
        <w:tc>
          <w:tcPr>
            <w:tcW w:w="5946" w:type="dxa"/>
            <w:vAlign w:val="top"/>
          </w:tcPr>
          <w:p w14:paraId="2A90E46A">
            <w:pPr>
              <w:keepNext w:val="0"/>
              <w:keepLines w:val="0"/>
              <w:suppressLineNumbers w:val="0"/>
              <w:spacing w:before="0" w:beforeAutospacing="0" w:after="0" w:afterAutospacing="0"/>
              <w:ind w:left="0" w:right="0" w:rightChars="0"/>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乌鲁木齐市水磨沟区南湖南路66号水清木华A栋6层</w:t>
            </w:r>
          </w:p>
        </w:tc>
      </w:tr>
    </w:tbl>
    <w:p w14:paraId="21A65BF1">
      <w:pPr>
        <w:spacing w:line="240" w:lineRule="atLeast"/>
        <w:jc w:val="both"/>
        <w:rPr>
          <w:rFonts w:hint="eastAsia" w:ascii="仿宋" w:hAnsi="仿宋" w:eastAsia="仿宋" w:cs="仿宋"/>
          <w:b/>
          <w:color w:val="auto"/>
          <w:sz w:val="32"/>
          <w:highlight w:val="none"/>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0045A063">
      <w:pPr>
        <w:spacing w:line="240" w:lineRule="atLeast"/>
        <w:jc w:val="both"/>
        <w:rPr>
          <w:rFonts w:hint="eastAsia" w:ascii="仿宋" w:hAnsi="仿宋" w:eastAsia="仿宋" w:cs="仿宋"/>
          <w:b/>
          <w:color w:val="auto"/>
          <w:sz w:val="32"/>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71E048AC">
      <w:pPr>
        <w:spacing w:line="240" w:lineRule="atLeast"/>
        <w:jc w:val="both"/>
        <w:rPr>
          <w:rFonts w:hint="eastAsia" w:ascii="仿宋" w:hAnsi="仿宋" w:eastAsia="仿宋" w:cs="仿宋"/>
          <w:b/>
          <w:color w:val="auto"/>
          <w:sz w:val="32"/>
          <w:highlight w:val="none"/>
        </w:rPr>
      </w:pPr>
    </w:p>
    <w:p w14:paraId="74F40730">
      <w:pPr>
        <w:spacing w:line="240" w:lineRule="atLeast"/>
        <w:ind w:left="1079" w:leftChars="257" w:hanging="54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目  录</w:t>
      </w:r>
    </w:p>
    <w:p w14:paraId="69A972B7">
      <w:pPr>
        <w:spacing w:line="240" w:lineRule="atLeast"/>
        <w:ind w:left="1079" w:leftChars="257" w:hanging="540"/>
        <w:jc w:val="center"/>
        <w:rPr>
          <w:rFonts w:hint="eastAsia" w:ascii="仿宋" w:hAnsi="仿宋" w:eastAsia="仿宋" w:cs="仿宋"/>
          <w:b/>
          <w:color w:val="auto"/>
          <w:sz w:val="32"/>
          <w:highlight w:val="none"/>
        </w:rPr>
      </w:pPr>
    </w:p>
    <w:p w14:paraId="67D740C3">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color w:val="auto"/>
          <w:kern w:val="0"/>
          <w:szCs w:val="21"/>
          <w:highlight w:val="none"/>
        </w:rPr>
        <w:instrText xml:space="preserve"> TOC \o "1-3" \h \z \u </w:instrText>
      </w:r>
      <w:r>
        <w:rPr>
          <w:rFonts w:hint="eastAsia" w:ascii="仿宋" w:hAnsi="仿宋" w:eastAsia="仿宋" w:cs="仿宋"/>
          <w:color w:val="auto"/>
          <w:kern w:val="0"/>
          <w:szCs w:val="21"/>
          <w:highlight w:val="none"/>
        </w:rPr>
        <w:fldChar w:fldCharType="separate"/>
      </w: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_Toc10846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eastAsia="zh-CN"/>
        </w:rPr>
        <w:t>第一章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投标人须知</w:t>
      </w:r>
      <w:r>
        <w:tab/>
      </w:r>
      <w:r>
        <w:fldChar w:fldCharType="begin"/>
      </w:r>
      <w:r>
        <w:instrText xml:space="preserve"> PAGEREF _Toc10846 \h </w:instrText>
      </w:r>
      <w:r>
        <w:fldChar w:fldCharType="separate"/>
      </w:r>
      <w:r>
        <w:t>1</w:t>
      </w:r>
      <w:r>
        <w:fldChar w:fldCharType="end"/>
      </w:r>
      <w:r>
        <w:rPr>
          <w:rFonts w:hint="eastAsia" w:ascii="仿宋" w:hAnsi="仿宋" w:eastAsia="仿宋" w:cs="仿宋"/>
          <w:color w:val="auto"/>
          <w:kern w:val="0"/>
          <w:szCs w:val="21"/>
          <w:highlight w:val="none"/>
        </w:rPr>
        <w:fldChar w:fldCharType="end"/>
      </w:r>
    </w:p>
    <w:p w14:paraId="625A8BF8">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_Toc12395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一   总 则</w:t>
      </w:r>
      <w:r>
        <w:tab/>
      </w:r>
      <w:r>
        <w:fldChar w:fldCharType="begin"/>
      </w:r>
      <w:r>
        <w:instrText xml:space="preserve"> PAGEREF _Toc12395 \h </w:instrText>
      </w:r>
      <w:r>
        <w:fldChar w:fldCharType="separate"/>
      </w:r>
      <w:r>
        <w:t>1</w:t>
      </w:r>
      <w:r>
        <w:fldChar w:fldCharType="end"/>
      </w:r>
      <w:r>
        <w:rPr>
          <w:rFonts w:hint="eastAsia" w:ascii="仿宋" w:hAnsi="仿宋" w:eastAsia="仿宋" w:cs="仿宋"/>
          <w:color w:val="auto"/>
          <w:kern w:val="0"/>
          <w:szCs w:val="21"/>
          <w:highlight w:val="none"/>
        </w:rPr>
        <w:fldChar w:fldCharType="end"/>
      </w:r>
    </w:p>
    <w:p w14:paraId="4800CFC6">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_Toc32608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1.采购人、采购代理机构及投标人</w:t>
      </w:r>
      <w:r>
        <w:tab/>
      </w:r>
      <w:r>
        <w:fldChar w:fldCharType="begin"/>
      </w:r>
      <w:r>
        <w:instrText xml:space="preserve"> PAGEREF _Toc32608 \h </w:instrText>
      </w:r>
      <w:r>
        <w:fldChar w:fldCharType="separate"/>
      </w:r>
      <w:r>
        <w:t>1</w:t>
      </w:r>
      <w:r>
        <w:fldChar w:fldCharType="end"/>
      </w:r>
      <w:r>
        <w:rPr>
          <w:rFonts w:hint="eastAsia" w:ascii="仿宋" w:hAnsi="仿宋" w:eastAsia="仿宋" w:cs="仿宋"/>
          <w:color w:val="auto"/>
          <w:kern w:val="0"/>
          <w:szCs w:val="21"/>
          <w:highlight w:val="none"/>
        </w:rPr>
        <w:fldChar w:fldCharType="end"/>
      </w:r>
    </w:p>
    <w:p w14:paraId="1267F5F9">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_Toc6303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2.资金来源</w:t>
      </w:r>
      <w:r>
        <w:tab/>
      </w:r>
      <w:r>
        <w:fldChar w:fldCharType="begin"/>
      </w:r>
      <w:r>
        <w:instrText xml:space="preserve"> PAGEREF _Toc6303 \h </w:instrText>
      </w:r>
      <w:r>
        <w:fldChar w:fldCharType="separate"/>
      </w:r>
      <w:r>
        <w:t>2</w:t>
      </w:r>
      <w:r>
        <w:fldChar w:fldCharType="end"/>
      </w:r>
      <w:r>
        <w:rPr>
          <w:rFonts w:hint="eastAsia" w:ascii="仿宋" w:hAnsi="仿宋" w:eastAsia="仿宋" w:cs="仿宋"/>
          <w:color w:val="auto"/>
          <w:kern w:val="0"/>
          <w:szCs w:val="21"/>
          <w:highlight w:val="none"/>
        </w:rPr>
        <w:fldChar w:fldCharType="end"/>
      </w:r>
    </w:p>
    <w:p w14:paraId="5320205D">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_Toc32314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3.投标费用</w:t>
      </w:r>
      <w:r>
        <w:tab/>
      </w:r>
      <w:r>
        <w:fldChar w:fldCharType="begin"/>
      </w:r>
      <w:r>
        <w:instrText xml:space="preserve"> PAGEREF _Toc32314 \h </w:instrText>
      </w:r>
      <w:r>
        <w:fldChar w:fldCharType="separate"/>
      </w:r>
      <w:r>
        <w:t>2</w:t>
      </w:r>
      <w:r>
        <w:fldChar w:fldCharType="end"/>
      </w:r>
      <w:r>
        <w:rPr>
          <w:rFonts w:hint="eastAsia" w:ascii="仿宋" w:hAnsi="仿宋" w:eastAsia="仿宋" w:cs="仿宋"/>
          <w:color w:val="auto"/>
          <w:kern w:val="0"/>
          <w:szCs w:val="21"/>
          <w:highlight w:val="none"/>
        </w:rPr>
        <w:fldChar w:fldCharType="end"/>
      </w:r>
    </w:p>
    <w:p w14:paraId="3ABA3307">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_Toc11856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4.适用法律</w:t>
      </w:r>
      <w:r>
        <w:tab/>
      </w:r>
      <w:r>
        <w:fldChar w:fldCharType="begin"/>
      </w:r>
      <w:r>
        <w:instrText xml:space="preserve"> PAGEREF _Toc11856 \h </w:instrText>
      </w:r>
      <w:r>
        <w:fldChar w:fldCharType="separate"/>
      </w:r>
      <w:r>
        <w:t>2</w:t>
      </w:r>
      <w:r>
        <w:fldChar w:fldCharType="end"/>
      </w:r>
      <w:r>
        <w:rPr>
          <w:rFonts w:hint="eastAsia" w:ascii="仿宋" w:hAnsi="仿宋" w:eastAsia="仿宋" w:cs="仿宋"/>
          <w:color w:val="auto"/>
          <w:kern w:val="0"/>
          <w:szCs w:val="21"/>
          <w:highlight w:val="none"/>
        </w:rPr>
        <w:fldChar w:fldCharType="end"/>
      </w:r>
    </w:p>
    <w:p w14:paraId="273E8880">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_Toc23692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二   招标文件</w:t>
      </w:r>
      <w:r>
        <w:tab/>
      </w:r>
      <w:r>
        <w:fldChar w:fldCharType="begin"/>
      </w:r>
      <w:r>
        <w:instrText xml:space="preserve"> PAGEREF _Toc23692 \h </w:instrText>
      </w:r>
      <w:r>
        <w:fldChar w:fldCharType="separate"/>
      </w:r>
      <w:r>
        <w:t>2</w:t>
      </w:r>
      <w:r>
        <w:fldChar w:fldCharType="end"/>
      </w:r>
      <w:r>
        <w:rPr>
          <w:rFonts w:hint="eastAsia" w:ascii="仿宋" w:hAnsi="仿宋" w:eastAsia="仿宋" w:cs="仿宋"/>
          <w:color w:val="auto"/>
          <w:kern w:val="0"/>
          <w:szCs w:val="21"/>
          <w:highlight w:val="none"/>
        </w:rPr>
        <w:fldChar w:fldCharType="end"/>
      </w:r>
    </w:p>
    <w:p w14:paraId="65B6C0B1">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_Toc13010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5.招标文件构成</w:t>
      </w:r>
      <w:r>
        <w:tab/>
      </w:r>
      <w:r>
        <w:fldChar w:fldCharType="begin"/>
      </w:r>
      <w:r>
        <w:instrText xml:space="preserve"> PAGEREF _Toc13010 \h </w:instrText>
      </w:r>
      <w:r>
        <w:fldChar w:fldCharType="separate"/>
      </w:r>
      <w:r>
        <w:t>2</w:t>
      </w:r>
      <w:r>
        <w:fldChar w:fldCharType="end"/>
      </w:r>
      <w:r>
        <w:rPr>
          <w:rFonts w:hint="eastAsia" w:ascii="仿宋" w:hAnsi="仿宋" w:eastAsia="仿宋" w:cs="仿宋"/>
          <w:color w:val="auto"/>
          <w:kern w:val="0"/>
          <w:szCs w:val="21"/>
          <w:highlight w:val="none"/>
        </w:rPr>
        <w:fldChar w:fldCharType="end"/>
      </w:r>
    </w:p>
    <w:p w14:paraId="5DA74527">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_Toc30655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6.招标文件的澄清与修改</w:t>
      </w:r>
      <w:r>
        <w:tab/>
      </w:r>
      <w:r>
        <w:fldChar w:fldCharType="begin"/>
      </w:r>
      <w:r>
        <w:instrText xml:space="preserve"> PAGEREF _Toc30655 \h </w:instrText>
      </w:r>
      <w:r>
        <w:fldChar w:fldCharType="separate"/>
      </w:r>
      <w:r>
        <w:t>3</w:t>
      </w:r>
      <w:r>
        <w:fldChar w:fldCharType="end"/>
      </w:r>
      <w:r>
        <w:rPr>
          <w:rFonts w:hint="eastAsia" w:ascii="仿宋" w:hAnsi="仿宋" w:eastAsia="仿宋" w:cs="仿宋"/>
          <w:color w:val="auto"/>
          <w:kern w:val="0"/>
          <w:szCs w:val="21"/>
          <w:highlight w:val="none"/>
        </w:rPr>
        <w:fldChar w:fldCharType="end"/>
      </w:r>
    </w:p>
    <w:p w14:paraId="04DE9155">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_Toc20906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7.投标截止时间的顺延</w:t>
      </w:r>
      <w:r>
        <w:tab/>
      </w:r>
      <w:r>
        <w:fldChar w:fldCharType="begin"/>
      </w:r>
      <w:r>
        <w:instrText xml:space="preserve"> PAGEREF _Toc20906 \h </w:instrText>
      </w:r>
      <w:r>
        <w:fldChar w:fldCharType="separate"/>
      </w:r>
      <w:r>
        <w:t>3</w:t>
      </w:r>
      <w:r>
        <w:fldChar w:fldCharType="end"/>
      </w:r>
      <w:r>
        <w:rPr>
          <w:rFonts w:hint="eastAsia" w:ascii="仿宋" w:hAnsi="仿宋" w:eastAsia="仿宋" w:cs="仿宋"/>
          <w:color w:val="auto"/>
          <w:kern w:val="0"/>
          <w:szCs w:val="21"/>
          <w:highlight w:val="none"/>
        </w:rPr>
        <w:fldChar w:fldCharType="end"/>
      </w:r>
    </w:p>
    <w:p w14:paraId="4471D7D4">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_Toc2562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三   投标文件的编制</w:t>
      </w:r>
      <w:r>
        <w:tab/>
      </w:r>
      <w:r>
        <w:fldChar w:fldCharType="begin"/>
      </w:r>
      <w:r>
        <w:instrText xml:space="preserve"> PAGEREF _Toc2562 \h </w:instrText>
      </w:r>
      <w:r>
        <w:fldChar w:fldCharType="separate"/>
      </w:r>
      <w:r>
        <w:t>3</w:t>
      </w:r>
      <w:r>
        <w:fldChar w:fldCharType="end"/>
      </w:r>
      <w:r>
        <w:rPr>
          <w:rFonts w:hint="eastAsia" w:ascii="仿宋" w:hAnsi="仿宋" w:eastAsia="仿宋" w:cs="仿宋"/>
          <w:color w:val="auto"/>
          <w:kern w:val="0"/>
          <w:szCs w:val="21"/>
          <w:highlight w:val="none"/>
        </w:rPr>
        <w:fldChar w:fldCharType="end"/>
      </w:r>
    </w:p>
    <w:p w14:paraId="132ACF63">
      <w:pPr>
        <w:pStyle w:val="15"/>
        <w:tabs>
          <w:tab w:val="right" w:pos="3600"/>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_Toc3615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8.</w:t>
      </w:r>
      <w:r>
        <w:rPr>
          <w:rFonts w:hint="eastAsia" w:ascii="仿宋" w:hAnsi="仿宋" w:eastAsia="仿宋" w:cs="仿宋"/>
          <w:highlight w:val="none"/>
        </w:rPr>
        <w:tab/>
      </w:r>
      <w:r>
        <w:rPr>
          <w:rFonts w:hint="eastAsia" w:ascii="仿宋" w:hAnsi="仿宋" w:eastAsia="仿宋" w:cs="仿宋"/>
          <w:highlight w:val="none"/>
        </w:rPr>
        <w:t>投标范围及投标文件中标准和计量单位的使用</w:t>
      </w:r>
      <w:r>
        <w:tab/>
      </w:r>
      <w:r>
        <w:fldChar w:fldCharType="begin"/>
      </w:r>
      <w:r>
        <w:instrText xml:space="preserve"> PAGEREF _Toc3615 \h </w:instrText>
      </w:r>
      <w:r>
        <w:fldChar w:fldCharType="separate"/>
      </w:r>
      <w:r>
        <w:t>3</w:t>
      </w:r>
      <w:r>
        <w:fldChar w:fldCharType="end"/>
      </w:r>
      <w:r>
        <w:rPr>
          <w:rFonts w:hint="eastAsia" w:ascii="仿宋" w:hAnsi="仿宋" w:eastAsia="仿宋" w:cs="仿宋"/>
          <w:color w:val="auto"/>
          <w:kern w:val="0"/>
          <w:szCs w:val="21"/>
          <w:highlight w:val="none"/>
        </w:rPr>
        <w:fldChar w:fldCharType="end"/>
      </w:r>
    </w:p>
    <w:p w14:paraId="13A36B2B">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_Toc15369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9.</w:t>
      </w:r>
      <w:r>
        <w:rPr>
          <w:rFonts w:hint="eastAsia" w:ascii="仿宋" w:hAnsi="仿宋" w:eastAsia="仿宋" w:cs="仿宋"/>
          <w:highlight w:val="none"/>
          <w:lang w:val="en-US" w:eastAsia="zh-CN"/>
        </w:rPr>
        <w:t xml:space="preserve"> </w:t>
      </w:r>
      <w:r>
        <w:rPr>
          <w:rFonts w:hint="eastAsia" w:ascii="仿宋" w:hAnsi="仿宋" w:eastAsia="仿宋" w:cs="仿宋"/>
          <w:highlight w:val="none"/>
        </w:rPr>
        <w:t>投标文件构成</w:t>
      </w:r>
      <w:r>
        <w:tab/>
      </w:r>
      <w:r>
        <w:fldChar w:fldCharType="begin"/>
      </w:r>
      <w:r>
        <w:instrText xml:space="preserve"> PAGEREF _Toc15369 \h </w:instrText>
      </w:r>
      <w:r>
        <w:fldChar w:fldCharType="separate"/>
      </w:r>
      <w:r>
        <w:t>3</w:t>
      </w:r>
      <w:r>
        <w:fldChar w:fldCharType="end"/>
      </w:r>
      <w:r>
        <w:rPr>
          <w:rFonts w:hint="eastAsia" w:ascii="仿宋" w:hAnsi="仿宋" w:eastAsia="仿宋" w:cs="仿宋"/>
          <w:color w:val="auto"/>
          <w:kern w:val="0"/>
          <w:szCs w:val="21"/>
          <w:highlight w:val="none"/>
        </w:rPr>
        <w:fldChar w:fldCharType="end"/>
      </w:r>
    </w:p>
    <w:p w14:paraId="754BC316">
      <w:pPr>
        <w:pStyle w:val="15"/>
        <w:tabs>
          <w:tab w:val="right" w:pos="3600"/>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_Toc32373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10.</w:t>
      </w:r>
      <w:r>
        <w:rPr>
          <w:rFonts w:hint="eastAsia" w:ascii="仿宋" w:hAnsi="仿宋" w:eastAsia="仿宋" w:cs="仿宋"/>
          <w:highlight w:val="none"/>
        </w:rPr>
        <w:tab/>
      </w:r>
      <w:r>
        <w:rPr>
          <w:rFonts w:hint="eastAsia" w:ascii="仿宋" w:hAnsi="仿宋" w:eastAsia="仿宋" w:cs="仿宋"/>
          <w:highlight w:val="none"/>
        </w:rPr>
        <w:t>证明投标标的的合格性和符合招标文件规定的技术文件</w:t>
      </w:r>
      <w:r>
        <w:rPr>
          <w:rFonts w:hint="eastAsia" w:ascii="仿宋" w:hAnsi="仿宋" w:eastAsia="仿宋" w:cs="仿宋"/>
          <w:highlight w:val="none"/>
          <w:lang w:eastAsia="zh-CN"/>
        </w:rPr>
        <w:t>。</w:t>
      </w:r>
      <w:r>
        <w:tab/>
      </w:r>
      <w:r>
        <w:fldChar w:fldCharType="begin"/>
      </w:r>
      <w:r>
        <w:instrText xml:space="preserve"> PAGEREF _Toc32373 \h </w:instrText>
      </w:r>
      <w:r>
        <w:fldChar w:fldCharType="separate"/>
      </w:r>
      <w:r>
        <w:t>3</w:t>
      </w:r>
      <w:r>
        <w:fldChar w:fldCharType="end"/>
      </w:r>
      <w:r>
        <w:rPr>
          <w:rFonts w:hint="eastAsia" w:ascii="仿宋" w:hAnsi="仿宋" w:eastAsia="仿宋" w:cs="仿宋"/>
          <w:color w:val="auto"/>
          <w:kern w:val="0"/>
          <w:szCs w:val="21"/>
          <w:highlight w:val="none"/>
        </w:rPr>
        <w:fldChar w:fldCharType="end"/>
      </w:r>
    </w:p>
    <w:p w14:paraId="5CA55708">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_Toc8675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11.投标报价</w:t>
      </w:r>
      <w:r>
        <w:tab/>
      </w:r>
      <w:r>
        <w:fldChar w:fldCharType="begin"/>
      </w:r>
      <w:r>
        <w:instrText xml:space="preserve"> PAGEREF _Toc8675 \h </w:instrText>
      </w:r>
      <w:r>
        <w:fldChar w:fldCharType="separate"/>
      </w:r>
      <w:r>
        <w:t>4</w:t>
      </w:r>
      <w:r>
        <w:fldChar w:fldCharType="end"/>
      </w:r>
      <w:r>
        <w:rPr>
          <w:rFonts w:hint="eastAsia" w:ascii="仿宋" w:hAnsi="仿宋" w:eastAsia="仿宋" w:cs="仿宋"/>
          <w:color w:val="auto"/>
          <w:kern w:val="0"/>
          <w:szCs w:val="21"/>
          <w:highlight w:val="none"/>
        </w:rPr>
        <w:fldChar w:fldCharType="end"/>
      </w:r>
    </w:p>
    <w:p w14:paraId="25C8913A">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_Toc18931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12.投标保证金</w:t>
      </w:r>
      <w:r>
        <w:tab/>
      </w:r>
      <w:r>
        <w:fldChar w:fldCharType="begin"/>
      </w:r>
      <w:r>
        <w:instrText xml:space="preserve"> PAGEREF _Toc18931 \h </w:instrText>
      </w:r>
      <w:r>
        <w:fldChar w:fldCharType="separate"/>
      </w:r>
      <w:r>
        <w:t>4</w:t>
      </w:r>
      <w:r>
        <w:fldChar w:fldCharType="end"/>
      </w:r>
      <w:r>
        <w:rPr>
          <w:rFonts w:hint="eastAsia" w:ascii="仿宋" w:hAnsi="仿宋" w:eastAsia="仿宋" w:cs="仿宋"/>
          <w:color w:val="auto"/>
          <w:kern w:val="0"/>
          <w:szCs w:val="21"/>
          <w:highlight w:val="none"/>
        </w:rPr>
        <w:fldChar w:fldCharType="end"/>
      </w:r>
    </w:p>
    <w:p w14:paraId="45E19D49">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_Toc25444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13.投标有效期</w:t>
      </w:r>
      <w:r>
        <w:tab/>
      </w:r>
      <w:r>
        <w:fldChar w:fldCharType="begin"/>
      </w:r>
      <w:r>
        <w:instrText xml:space="preserve"> PAGEREF _Toc25444 \h </w:instrText>
      </w:r>
      <w:r>
        <w:fldChar w:fldCharType="separate"/>
      </w:r>
      <w:r>
        <w:t>5</w:t>
      </w:r>
      <w:r>
        <w:fldChar w:fldCharType="end"/>
      </w:r>
      <w:r>
        <w:rPr>
          <w:rFonts w:hint="eastAsia" w:ascii="仿宋" w:hAnsi="仿宋" w:eastAsia="仿宋" w:cs="仿宋"/>
          <w:color w:val="auto"/>
          <w:kern w:val="0"/>
          <w:szCs w:val="21"/>
          <w:highlight w:val="none"/>
        </w:rPr>
        <w:fldChar w:fldCharType="end"/>
      </w:r>
    </w:p>
    <w:p w14:paraId="194740AE">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_Toc18464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14.投标文件的签署及规定</w:t>
      </w:r>
      <w:r>
        <w:tab/>
      </w:r>
      <w:r>
        <w:fldChar w:fldCharType="begin"/>
      </w:r>
      <w:r>
        <w:instrText xml:space="preserve"> PAGEREF _Toc18464 \h </w:instrText>
      </w:r>
      <w:r>
        <w:fldChar w:fldCharType="separate"/>
      </w:r>
      <w:r>
        <w:t>5</w:t>
      </w:r>
      <w:r>
        <w:fldChar w:fldCharType="end"/>
      </w:r>
      <w:r>
        <w:rPr>
          <w:rFonts w:hint="eastAsia" w:ascii="仿宋" w:hAnsi="仿宋" w:eastAsia="仿宋" w:cs="仿宋"/>
          <w:color w:val="auto"/>
          <w:kern w:val="0"/>
          <w:szCs w:val="21"/>
          <w:highlight w:val="none"/>
        </w:rPr>
        <w:fldChar w:fldCharType="end"/>
      </w:r>
    </w:p>
    <w:p w14:paraId="17B660D4">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_Toc5362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四   投标文件的递交</w:t>
      </w:r>
      <w:r>
        <w:tab/>
      </w:r>
      <w:r>
        <w:fldChar w:fldCharType="begin"/>
      </w:r>
      <w:r>
        <w:instrText xml:space="preserve"> PAGEREF _Toc5362 \h </w:instrText>
      </w:r>
      <w:r>
        <w:fldChar w:fldCharType="separate"/>
      </w:r>
      <w:r>
        <w:t>5</w:t>
      </w:r>
      <w:r>
        <w:fldChar w:fldCharType="end"/>
      </w:r>
      <w:r>
        <w:rPr>
          <w:rFonts w:hint="eastAsia" w:ascii="仿宋" w:hAnsi="仿宋" w:eastAsia="仿宋" w:cs="仿宋"/>
          <w:color w:val="auto"/>
          <w:kern w:val="0"/>
          <w:szCs w:val="21"/>
          <w:highlight w:val="none"/>
        </w:rPr>
        <w:fldChar w:fldCharType="end"/>
      </w:r>
    </w:p>
    <w:p w14:paraId="24335D22">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_Toc21210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15.投标文件的密封和标记</w:t>
      </w:r>
      <w:r>
        <w:tab/>
      </w:r>
      <w:r>
        <w:fldChar w:fldCharType="begin"/>
      </w:r>
      <w:r>
        <w:instrText xml:space="preserve"> PAGEREF _Toc21210 \h </w:instrText>
      </w:r>
      <w:r>
        <w:fldChar w:fldCharType="separate"/>
      </w:r>
      <w:r>
        <w:t>5</w:t>
      </w:r>
      <w:r>
        <w:fldChar w:fldCharType="end"/>
      </w:r>
      <w:r>
        <w:rPr>
          <w:rFonts w:hint="eastAsia" w:ascii="仿宋" w:hAnsi="仿宋" w:eastAsia="仿宋" w:cs="仿宋"/>
          <w:color w:val="auto"/>
          <w:kern w:val="0"/>
          <w:szCs w:val="21"/>
          <w:highlight w:val="none"/>
        </w:rPr>
        <w:fldChar w:fldCharType="end"/>
      </w:r>
    </w:p>
    <w:p w14:paraId="232209DB">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_Toc11196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16.投标截止</w:t>
      </w:r>
      <w:r>
        <w:tab/>
      </w:r>
      <w:r>
        <w:fldChar w:fldCharType="begin"/>
      </w:r>
      <w:r>
        <w:instrText xml:space="preserve"> PAGEREF _Toc11196 \h </w:instrText>
      </w:r>
      <w:r>
        <w:fldChar w:fldCharType="separate"/>
      </w:r>
      <w:r>
        <w:t>5</w:t>
      </w:r>
      <w:r>
        <w:fldChar w:fldCharType="end"/>
      </w:r>
      <w:r>
        <w:rPr>
          <w:rFonts w:hint="eastAsia" w:ascii="仿宋" w:hAnsi="仿宋" w:eastAsia="仿宋" w:cs="仿宋"/>
          <w:color w:val="auto"/>
          <w:kern w:val="0"/>
          <w:szCs w:val="21"/>
          <w:highlight w:val="none"/>
        </w:rPr>
        <w:fldChar w:fldCharType="end"/>
      </w:r>
    </w:p>
    <w:p w14:paraId="788043DD">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_Toc10804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17.投标文件的接收、修改与撤回</w:t>
      </w:r>
      <w:r>
        <w:tab/>
      </w:r>
      <w:r>
        <w:fldChar w:fldCharType="begin"/>
      </w:r>
      <w:r>
        <w:instrText xml:space="preserve"> PAGEREF _Toc10804 \h </w:instrText>
      </w:r>
      <w:r>
        <w:fldChar w:fldCharType="separate"/>
      </w:r>
      <w:r>
        <w:t>5</w:t>
      </w:r>
      <w:r>
        <w:fldChar w:fldCharType="end"/>
      </w:r>
      <w:r>
        <w:rPr>
          <w:rFonts w:hint="eastAsia" w:ascii="仿宋" w:hAnsi="仿宋" w:eastAsia="仿宋" w:cs="仿宋"/>
          <w:color w:val="auto"/>
          <w:kern w:val="0"/>
          <w:szCs w:val="21"/>
          <w:highlight w:val="none"/>
        </w:rPr>
        <w:fldChar w:fldCharType="end"/>
      </w:r>
    </w:p>
    <w:p w14:paraId="7B39710B">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_Toc4258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五   开标及评标</w:t>
      </w:r>
      <w:r>
        <w:tab/>
      </w:r>
      <w:r>
        <w:fldChar w:fldCharType="begin"/>
      </w:r>
      <w:r>
        <w:instrText xml:space="preserve"> PAGEREF _Toc4258 \h </w:instrText>
      </w:r>
      <w:r>
        <w:fldChar w:fldCharType="separate"/>
      </w:r>
      <w:r>
        <w:t>6</w:t>
      </w:r>
      <w:r>
        <w:fldChar w:fldCharType="end"/>
      </w:r>
      <w:r>
        <w:rPr>
          <w:rFonts w:hint="eastAsia" w:ascii="仿宋" w:hAnsi="仿宋" w:eastAsia="仿宋" w:cs="仿宋"/>
          <w:color w:val="auto"/>
          <w:kern w:val="0"/>
          <w:szCs w:val="21"/>
          <w:highlight w:val="none"/>
        </w:rPr>
        <w:fldChar w:fldCharType="end"/>
      </w:r>
    </w:p>
    <w:p w14:paraId="41B59D58">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_Toc66 </w:instrText>
      </w:r>
      <w:r>
        <w:rPr>
          <w:rFonts w:hint="eastAsia" w:ascii="仿宋" w:hAnsi="仿宋" w:eastAsia="仿宋" w:cs="仿宋"/>
          <w:kern w:val="0"/>
          <w:szCs w:val="21"/>
          <w:highlight w:val="none"/>
        </w:rPr>
        <w:fldChar w:fldCharType="separate"/>
      </w:r>
      <w:r>
        <w:rPr>
          <w:rFonts w:hint="eastAsia" w:ascii="仿宋" w:hAnsi="仿宋" w:eastAsia="仿宋" w:cs="仿宋"/>
        </w:rPr>
        <w:t xml:space="preserve">18. </w:t>
      </w:r>
      <w:r>
        <w:rPr>
          <w:rFonts w:hint="eastAsia" w:ascii="仿宋" w:hAnsi="仿宋" w:eastAsia="仿宋" w:cs="仿宋"/>
          <w:highlight w:val="none"/>
        </w:rPr>
        <w:t>开标</w:t>
      </w:r>
      <w:r>
        <w:tab/>
      </w:r>
      <w:r>
        <w:fldChar w:fldCharType="begin"/>
      </w:r>
      <w:r>
        <w:instrText xml:space="preserve"> PAGEREF _Toc66 \h </w:instrText>
      </w:r>
      <w:r>
        <w:fldChar w:fldCharType="separate"/>
      </w:r>
      <w:r>
        <w:t>6</w:t>
      </w:r>
      <w:r>
        <w:fldChar w:fldCharType="end"/>
      </w:r>
      <w:r>
        <w:rPr>
          <w:rFonts w:hint="eastAsia" w:ascii="仿宋" w:hAnsi="仿宋" w:eastAsia="仿宋" w:cs="仿宋"/>
          <w:color w:val="auto"/>
          <w:kern w:val="0"/>
          <w:szCs w:val="21"/>
          <w:highlight w:val="none"/>
        </w:rPr>
        <w:fldChar w:fldCharType="end"/>
      </w:r>
    </w:p>
    <w:p w14:paraId="36DC891B">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_Toc12117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19.资格审查及组建评标委员会</w:t>
      </w:r>
      <w:r>
        <w:tab/>
      </w:r>
      <w:r>
        <w:fldChar w:fldCharType="begin"/>
      </w:r>
      <w:r>
        <w:instrText xml:space="preserve"> PAGEREF _Toc12117 \h </w:instrText>
      </w:r>
      <w:r>
        <w:fldChar w:fldCharType="separate"/>
      </w:r>
      <w:r>
        <w:t>7</w:t>
      </w:r>
      <w:r>
        <w:fldChar w:fldCharType="end"/>
      </w:r>
      <w:r>
        <w:rPr>
          <w:rFonts w:hint="eastAsia" w:ascii="仿宋" w:hAnsi="仿宋" w:eastAsia="仿宋" w:cs="仿宋"/>
          <w:color w:val="auto"/>
          <w:kern w:val="0"/>
          <w:szCs w:val="21"/>
          <w:highlight w:val="none"/>
        </w:rPr>
        <w:fldChar w:fldCharType="end"/>
      </w:r>
    </w:p>
    <w:p w14:paraId="21CABE7A">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_Toc13367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20.投标文件符合性审查与澄清</w:t>
      </w:r>
      <w:r>
        <w:tab/>
      </w:r>
      <w:r>
        <w:fldChar w:fldCharType="begin"/>
      </w:r>
      <w:r>
        <w:instrText xml:space="preserve"> PAGEREF _Toc13367 \h </w:instrText>
      </w:r>
      <w:r>
        <w:fldChar w:fldCharType="separate"/>
      </w:r>
      <w:r>
        <w:t>9</w:t>
      </w:r>
      <w:r>
        <w:fldChar w:fldCharType="end"/>
      </w:r>
      <w:r>
        <w:rPr>
          <w:rFonts w:hint="eastAsia" w:ascii="仿宋" w:hAnsi="仿宋" w:eastAsia="仿宋" w:cs="仿宋"/>
          <w:color w:val="auto"/>
          <w:kern w:val="0"/>
          <w:szCs w:val="21"/>
          <w:highlight w:val="none"/>
        </w:rPr>
        <w:fldChar w:fldCharType="end"/>
      </w:r>
    </w:p>
    <w:p w14:paraId="0E83E1D7">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_Toc2932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21.投标偏离</w:t>
      </w:r>
      <w:r>
        <w:tab/>
      </w:r>
      <w:r>
        <w:fldChar w:fldCharType="begin"/>
      </w:r>
      <w:r>
        <w:instrText xml:space="preserve"> PAGEREF _Toc2932 \h </w:instrText>
      </w:r>
      <w:r>
        <w:fldChar w:fldCharType="separate"/>
      </w:r>
      <w:r>
        <w:t>10</w:t>
      </w:r>
      <w:r>
        <w:fldChar w:fldCharType="end"/>
      </w:r>
      <w:r>
        <w:rPr>
          <w:rFonts w:hint="eastAsia" w:ascii="仿宋" w:hAnsi="仿宋" w:eastAsia="仿宋" w:cs="仿宋"/>
          <w:color w:val="auto"/>
          <w:kern w:val="0"/>
          <w:szCs w:val="21"/>
          <w:highlight w:val="none"/>
        </w:rPr>
        <w:fldChar w:fldCharType="end"/>
      </w:r>
    </w:p>
    <w:p w14:paraId="5E6513A9">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_Toc16258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22.投标无效</w:t>
      </w:r>
      <w:r>
        <w:tab/>
      </w:r>
      <w:r>
        <w:fldChar w:fldCharType="begin"/>
      </w:r>
      <w:r>
        <w:instrText xml:space="preserve"> PAGEREF _Toc16258 \h </w:instrText>
      </w:r>
      <w:r>
        <w:fldChar w:fldCharType="separate"/>
      </w:r>
      <w:r>
        <w:t>10</w:t>
      </w:r>
      <w:r>
        <w:fldChar w:fldCharType="end"/>
      </w:r>
      <w:r>
        <w:rPr>
          <w:rFonts w:hint="eastAsia" w:ascii="仿宋" w:hAnsi="仿宋" w:eastAsia="仿宋" w:cs="仿宋"/>
          <w:color w:val="auto"/>
          <w:kern w:val="0"/>
          <w:szCs w:val="21"/>
          <w:highlight w:val="none"/>
        </w:rPr>
        <w:fldChar w:fldCharType="end"/>
      </w:r>
    </w:p>
    <w:p w14:paraId="5BCF172E">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_Toc29628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23.比较与评价</w:t>
      </w:r>
      <w:r>
        <w:tab/>
      </w:r>
      <w:r>
        <w:fldChar w:fldCharType="begin"/>
      </w:r>
      <w:r>
        <w:instrText xml:space="preserve"> PAGEREF _Toc29628 \h </w:instrText>
      </w:r>
      <w:r>
        <w:fldChar w:fldCharType="separate"/>
      </w:r>
      <w:r>
        <w:t>10</w:t>
      </w:r>
      <w:r>
        <w:fldChar w:fldCharType="end"/>
      </w:r>
      <w:r>
        <w:rPr>
          <w:rFonts w:hint="eastAsia" w:ascii="仿宋" w:hAnsi="仿宋" w:eastAsia="仿宋" w:cs="仿宋"/>
          <w:color w:val="auto"/>
          <w:kern w:val="0"/>
          <w:szCs w:val="21"/>
          <w:highlight w:val="none"/>
        </w:rPr>
        <w:fldChar w:fldCharType="end"/>
      </w:r>
    </w:p>
    <w:p w14:paraId="32AC7328">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_Toc11472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24.废标</w:t>
      </w:r>
      <w:r>
        <w:tab/>
      </w:r>
      <w:r>
        <w:fldChar w:fldCharType="begin"/>
      </w:r>
      <w:r>
        <w:instrText xml:space="preserve"> PAGEREF _Toc11472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14:paraId="3D7A5929">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_Toc27519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25.保密原则</w:t>
      </w:r>
      <w:r>
        <w:tab/>
      </w:r>
      <w:r>
        <w:fldChar w:fldCharType="begin"/>
      </w:r>
      <w:r>
        <w:instrText xml:space="preserve"> PAGEREF _Toc27519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14:paraId="2FBBEA65">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_Toc28699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六   确定中标</w:t>
      </w:r>
      <w:r>
        <w:tab/>
      </w:r>
      <w:r>
        <w:fldChar w:fldCharType="begin"/>
      </w:r>
      <w:r>
        <w:instrText xml:space="preserve"> PAGEREF _Toc28699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14:paraId="16BCADBB">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_Toc25853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26.中标候选人的确定原则及标准</w:t>
      </w:r>
      <w:r>
        <w:tab/>
      </w:r>
      <w:r>
        <w:fldChar w:fldCharType="begin"/>
      </w:r>
      <w:r>
        <w:instrText xml:space="preserve"> PAGEREF _Toc25853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14:paraId="0735DDC4">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_Toc28716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27.确定中标候选人和中标人</w:t>
      </w:r>
      <w:r>
        <w:tab/>
      </w:r>
      <w:r>
        <w:fldChar w:fldCharType="begin"/>
      </w:r>
      <w:r>
        <w:instrText xml:space="preserve"> PAGEREF _Toc28716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14:paraId="1B90586B">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_Toc31568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28.采购任务取消</w:t>
      </w:r>
      <w:r>
        <w:tab/>
      </w:r>
      <w:r>
        <w:fldChar w:fldCharType="begin"/>
      </w:r>
      <w:r>
        <w:instrText xml:space="preserve"> PAGEREF _Toc31568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14:paraId="0BDA5D03">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_Toc21821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29.中标通知书和招标结果通知书</w:t>
      </w:r>
      <w:r>
        <w:tab/>
      </w:r>
      <w:r>
        <w:fldChar w:fldCharType="begin"/>
      </w:r>
      <w:r>
        <w:instrText xml:space="preserve"> PAGEREF _Toc21821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14:paraId="75843BA1">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_Toc4374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30.签订合同</w:t>
      </w:r>
      <w:r>
        <w:tab/>
      </w:r>
      <w:r>
        <w:fldChar w:fldCharType="begin"/>
      </w:r>
      <w:r>
        <w:instrText xml:space="preserve"> PAGEREF _Toc4374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14:paraId="21AF5202">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_Toc3487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32.中标服务费</w:t>
      </w:r>
      <w:r>
        <w:tab/>
      </w:r>
      <w:r>
        <w:fldChar w:fldCharType="begin"/>
      </w:r>
      <w:r>
        <w:instrText xml:space="preserve"> PAGEREF _Toc3487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14:paraId="2DD6534A">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_Toc8437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33.政府采购信用担保</w:t>
      </w:r>
      <w:r>
        <w:tab/>
      </w:r>
      <w:r>
        <w:fldChar w:fldCharType="begin"/>
      </w:r>
      <w:r>
        <w:instrText xml:space="preserve"> PAGEREF _Toc8437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14:paraId="133B33D1">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_Toc16525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34.廉洁自律规定</w:t>
      </w:r>
      <w:r>
        <w:tab/>
      </w:r>
      <w:r>
        <w:fldChar w:fldCharType="begin"/>
      </w:r>
      <w:r>
        <w:instrText xml:space="preserve"> PAGEREF _Toc16525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14:paraId="0304674B">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_Toc14252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35.人员回避</w:t>
      </w:r>
      <w:r>
        <w:tab/>
      </w:r>
      <w:r>
        <w:fldChar w:fldCharType="begin"/>
      </w:r>
      <w:r>
        <w:instrText xml:space="preserve"> PAGEREF _Toc14252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14:paraId="7DC58825">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_Toc26767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36.质疑与</w:t>
      </w:r>
      <w:r>
        <w:rPr>
          <w:rFonts w:hint="eastAsia" w:ascii="仿宋" w:hAnsi="仿宋" w:eastAsia="仿宋" w:cs="仿宋"/>
          <w:highlight w:val="none"/>
          <w:lang w:eastAsia="zh-CN"/>
        </w:rPr>
        <w:t>投诉</w:t>
      </w:r>
      <w:r>
        <w:tab/>
      </w:r>
      <w:r>
        <w:fldChar w:fldCharType="begin"/>
      </w:r>
      <w:r>
        <w:instrText xml:space="preserve"> PAGEREF _Toc26767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14:paraId="63A02C5C">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_Toc2901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附件1：履约保证金保函（格式）</w:t>
      </w:r>
      <w:r>
        <w:tab/>
      </w:r>
      <w:r>
        <w:fldChar w:fldCharType="begin"/>
      </w:r>
      <w:r>
        <w:instrText xml:space="preserve"> PAGEREF _Toc2901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14:paraId="26B9EFF4">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_Toc23077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附件2：履约担保函格式</w:t>
      </w:r>
      <w:r>
        <w:tab/>
      </w:r>
      <w:r>
        <w:fldChar w:fldCharType="begin"/>
      </w:r>
      <w:r>
        <w:instrText xml:space="preserve"> PAGEREF _Toc23077 \h </w:instrText>
      </w:r>
      <w:r>
        <w:fldChar w:fldCharType="separate"/>
      </w:r>
      <w:r>
        <w:t>18</w:t>
      </w:r>
      <w:r>
        <w:fldChar w:fldCharType="end"/>
      </w:r>
      <w:r>
        <w:rPr>
          <w:rFonts w:hint="eastAsia" w:ascii="仿宋" w:hAnsi="仿宋" w:eastAsia="仿宋" w:cs="仿宋"/>
          <w:color w:val="auto"/>
          <w:kern w:val="0"/>
          <w:szCs w:val="21"/>
          <w:highlight w:val="none"/>
        </w:rPr>
        <w:fldChar w:fldCharType="end"/>
      </w:r>
    </w:p>
    <w:p w14:paraId="36826B27">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_Toc509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（采用政府采购信用担保形式时使用）</w:t>
      </w:r>
      <w:r>
        <w:tab/>
      </w:r>
      <w:r>
        <w:fldChar w:fldCharType="begin"/>
      </w:r>
      <w:r>
        <w:instrText xml:space="preserve"> PAGEREF _Toc509 \h </w:instrText>
      </w:r>
      <w:r>
        <w:fldChar w:fldCharType="separate"/>
      </w:r>
      <w:r>
        <w:t>18</w:t>
      </w:r>
      <w:r>
        <w:fldChar w:fldCharType="end"/>
      </w:r>
      <w:r>
        <w:rPr>
          <w:rFonts w:hint="eastAsia" w:ascii="仿宋" w:hAnsi="仿宋" w:eastAsia="仿宋" w:cs="仿宋"/>
          <w:color w:val="auto"/>
          <w:kern w:val="0"/>
          <w:szCs w:val="21"/>
          <w:highlight w:val="none"/>
        </w:rPr>
        <w:fldChar w:fldCharType="end"/>
      </w:r>
    </w:p>
    <w:p w14:paraId="149D6D7F">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_Toc24718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eastAsia="zh-CN"/>
        </w:rPr>
        <w:t>第</w:t>
      </w:r>
      <w:r>
        <w:rPr>
          <w:rFonts w:hint="eastAsia" w:ascii="仿宋" w:hAnsi="仿宋" w:eastAsia="仿宋" w:cs="仿宋"/>
          <w:highlight w:val="none"/>
          <w:lang w:val="en-US" w:eastAsia="zh-CN"/>
        </w:rPr>
        <w:t xml:space="preserve">2章    </w:t>
      </w:r>
      <w:r>
        <w:rPr>
          <w:rFonts w:hint="eastAsia" w:ascii="仿宋" w:hAnsi="仿宋" w:eastAsia="仿宋" w:cs="仿宋"/>
          <w:highlight w:val="none"/>
        </w:rPr>
        <w:t>投标文件格式</w:t>
      </w:r>
      <w:r>
        <w:tab/>
      </w:r>
      <w:r>
        <w:fldChar w:fldCharType="begin"/>
      </w:r>
      <w:r>
        <w:instrText xml:space="preserve"> PAGEREF _Toc24718 \h </w:instrText>
      </w:r>
      <w:r>
        <w:fldChar w:fldCharType="separate"/>
      </w:r>
      <w:r>
        <w:t>20</w:t>
      </w:r>
      <w:r>
        <w:fldChar w:fldCharType="end"/>
      </w:r>
      <w:r>
        <w:rPr>
          <w:rFonts w:hint="eastAsia" w:ascii="仿宋" w:hAnsi="仿宋" w:eastAsia="仿宋" w:cs="仿宋"/>
          <w:color w:val="auto"/>
          <w:kern w:val="0"/>
          <w:szCs w:val="21"/>
          <w:highlight w:val="none"/>
        </w:rPr>
        <w:fldChar w:fldCharType="end"/>
      </w:r>
    </w:p>
    <w:p w14:paraId="30C51004">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_Toc18883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第一部分 开标一览表及资格证明文件</w:t>
      </w:r>
      <w:r>
        <w:tab/>
      </w:r>
      <w:r>
        <w:fldChar w:fldCharType="begin"/>
      </w:r>
      <w:r>
        <w:instrText xml:space="preserve"> PAGEREF _Toc18883 \h </w:instrText>
      </w:r>
      <w:r>
        <w:fldChar w:fldCharType="separate"/>
      </w:r>
      <w:r>
        <w:t>20</w:t>
      </w:r>
      <w:r>
        <w:fldChar w:fldCharType="end"/>
      </w:r>
      <w:r>
        <w:rPr>
          <w:rFonts w:hint="eastAsia" w:ascii="仿宋" w:hAnsi="仿宋" w:eastAsia="仿宋" w:cs="仿宋"/>
          <w:color w:val="auto"/>
          <w:kern w:val="0"/>
          <w:szCs w:val="21"/>
          <w:highlight w:val="none"/>
        </w:rPr>
        <w:fldChar w:fldCharType="end"/>
      </w:r>
    </w:p>
    <w:p w14:paraId="5AD7C053">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_Toc10716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  开标一览表（投标文件格式一）</w:t>
      </w:r>
      <w:r>
        <w:tab/>
      </w:r>
      <w:r>
        <w:fldChar w:fldCharType="begin"/>
      </w:r>
      <w:r>
        <w:instrText xml:space="preserve"> PAGEREF _Toc10716 \h </w:instrText>
      </w:r>
      <w:r>
        <w:fldChar w:fldCharType="separate"/>
      </w:r>
      <w:r>
        <w:t>22</w:t>
      </w:r>
      <w:r>
        <w:fldChar w:fldCharType="end"/>
      </w:r>
      <w:r>
        <w:rPr>
          <w:rFonts w:hint="eastAsia" w:ascii="仿宋" w:hAnsi="仿宋" w:eastAsia="仿宋" w:cs="仿宋"/>
          <w:color w:val="auto"/>
          <w:kern w:val="0"/>
          <w:szCs w:val="21"/>
          <w:highlight w:val="none"/>
        </w:rPr>
        <w:fldChar w:fldCharType="end"/>
      </w:r>
    </w:p>
    <w:p w14:paraId="7C27FC26">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_Toc30486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 xml:space="preserve">2  </w:t>
      </w:r>
      <w:r>
        <w:rPr>
          <w:rFonts w:hint="eastAsia" w:ascii="仿宋" w:hAnsi="仿宋" w:eastAsia="仿宋" w:cs="仿宋"/>
          <w:highlight w:val="none"/>
          <w:lang w:eastAsia="zh-CN"/>
        </w:rPr>
        <w:t>法人或者非法人组织的营业执照等证明文件或自然人的身份证明</w:t>
      </w:r>
      <w:r>
        <w:tab/>
      </w:r>
      <w:r>
        <w:fldChar w:fldCharType="begin"/>
      </w:r>
      <w:r>
        <w:instrText xml:space="preserve"> PAGEREF _Toc30486 \h </w:instrText>
      </w:r>
      <w:r>
        <w:fldChar w:fldCharType="separate"/>
      </w:r>
      <w:r>
        <w:t>23</w:t>
      </w:r>
      <w:r>
        <w:fldChar w:fldCharType="end"/>
      </w:r>
      <w:r>
        <w:rPr>
          <w:rFonts w:hint="eastAsia" w:ascii="仿宋" w:hAnsi="仿宋" w:eastAsia="仿宋" w:cs="仿宋"/>
          <w:color w:val="auto"/>
          <w:kern w:val="0"/>
          <w:szCs w:val="21"/>
          <w:highlight w:val="none"/>
        </w:rPr>
        <w:fldChar w:fldCharType="end"/>
      </w:r>
    </w:p>
    <w:p w14:paraId="056C4134">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_Toc17606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 xml:space="preserve">3  </w:t>
      </w:r>
      <w:r>
        <w:rPr>
          <w:rFonts w:hint="eastAsia" w:ascii="仿宋" w:hAnsi="仿宋" w:eastAsia="仿宋" w:cs="仿宋"/>
          <w:szCs w:val="24"/>
        </w:rPr>
        <w:t>法定代表人资格证明书或法人授权委托书及被授权人身份证</w:t>
      </w:r>
      <w:r>
        <w:rPr>
          <w:rFonts w:hint="eastAsia" w:ascii="仿宋" w:hAnsi="仿宋" w:eastAsia="仿宋" w:cs="仿宋"/>
          <w:szCs w:val="24"/>
          <w:lang w:eastAsia="zh-CN"/>
        </w:rPr>
        <w:t>（</w:t>
      </w:r>
      <w:r>
        <w:rPr>
          <w:rFonts w:hint="eastAsia" w:ascii="仿宋" w:hAnsi="仿宋" w:eastAsia="仿宋" w:cs="仿宋"/>
          <w:highlight w:val="none"/>
        </w:rPr>
        <w:t>投标文件格式二，自然人投标的无需提供</w:t>
      </w:r>
      <w:r>
        <w:rPr>
          <w:rFonts w:hint="eastAsia" w:ascii="仿宋" w:hAnsi="仿宋" w:eastAsia="仿宋" w:cs="仿宋"/>
          <w:highlight w:val="none"/>
          <w:lang w:eastAsia="zh-CN"/>
        </w:rPr>
        <w:t>）</w:t>
      </w:r>
      <w:r>
        <w:tab/>
      </w:r>
      <w:r>
        <w:fldChar w:fldCharType="begin"/>
      </w:r>
      <w:r>
        <w:instrText xml:space="preserve"> PAGEREF _Toc17606 \h </w:instrText>
      </w:r>
      <w:r>
        <w:fldChar w:fldCharType="separate"/>
      </w:r>
      <w:r>
        <w:t>24</w:t>
      </w:r>
      <w:r>
        <w:fldChar w:fldCharType="end"/>
      </w:r>
      <w:r>
        <w:rPr>
          <w:rFonts w:hint="eastAsia" w:ascii="仿宋" w:hAnsi="仿宋" w:eastAsia="仿宋" w:cs="仿宋"/>
          <w:color w:val="auto"/>
          <w:kern w:val="0"/>
          <w:szCs w:val="21"/>
          <w:highlight w:val="none"/>
        </w:rPr>
        <w:fldChar w:fldCharType="end"/>
      </w:r>
    </w:p>
    <w:p w14:paraId="6135EFFA">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_Toc466 </w:instrText>
      </w:r>
      <w:r>
        <w:rPr>
          <w:rFonts w:hint="eastAsia" w:ascii="仿宋" w:hAnsi="仿宋" w:eastAsia="仿宋" w:cs="仿宋"/>
          <w:kern w:val="0"/>
          <w:szCs w:val="21"/>
          <w:highlight w:val="none"/>
        </w:rPr>
        <w:fldChar w:fldCharType="separate"/>
      </w:r>
      <w:r>
        <w:rPr>
          <w:rFonts w:hint="eastAsia" w:ascii="仿宋" w:hAnsi="仿宋" w:eastAsia="仿宋" w:cs="仿宋"/>
          <w:szCs w:val="24"/>
        </w:rPr>
        <w:t>3.1法定代表人身份证明</w:t>
      </w:r>
      <w:r>
        <w:tab/>
      </w:r>
      <w:r>
        <w:fldChar w:fldCharType="begin"/>
      </w:r>
      <w:r>
        <w:instrText xml:space="preserve"> PAGEREF _Toc466 \h </w:instrText>
      </w:r>
      <w:r>
        <w:fldChar w:fldCharType="separate"/>
      </w:r>
      <w:r>
        <w:t>24</w:t>
      </w:r>
      <w:r>
        <w:fldChar w:fldCharType="end"/>
      </w:r>
      <w:r>
        <w:rPr>
          <w:rFonts w:hint="eastAsia" w:ascii="仿宋" w:hAnsi="仿宋" w:eastAsia="仿宋" w:cs="仿宋"/>
          <w:color w:val="auto"/>
          <w:kern w:val="0"/>
          <w:szCs w:val="21"/>
          <w:highlight w:val="none"/>
        </w:rPr>
        <w:fldChar w:fldCharType="end"/>
      </w:r>
    </w:p>
    <w:p w14:paraId="7920B36D">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_Toc17864 </w:instrText>
      </w:r>
      <w:r>
        <w:rPr>
          <w:rFonts w:hint="eastAsia" w:ascii="仿宋" w:hAnsi="仿宋" w:eastAsia="仿宋" w:cs="仿宋"/>
          <w:kern w:val="0"/>
          <w:szCs w:val="21"/>
          <w:highlight w:val="none"/>
        </w:rPr>
        <w:fldChar w:fldCharType="separate"/>
      </w:r>
      <w:r>
        <w:rPr>
          <w:rFonts w:hint="eastAsia" w:ascii="仿宋" w:hAnsi="仿宋" w:eastAsia="仿宋" w:cs="仿宋"/>
          <w:szCs w:val="24"/>
        </w:rPr>
        <w:t>3.2法定代表人授权委托书</w:t>
      </w:r>
      <w:r>
        <w:tab/>
      </w:r>
      <w:r>
        <w:fldChar w:fldCharType="begin"/>
      </w:r>
      <w:r>
        <w:instrText xml:space="preserve"> PAGEREF _Toc17864 \h </w:instrText>
      </w:r>
      <w:r>
        <w:fldChar w:fldCharType="separate"/>
      </w:r>
      <w:r>
        <w:t>25</w:t>
      </w:r>
      <w:r>
        <w:fldChar w:fldCharType="end"/>
      </w:r>
      <w:r>
        <w:rPr>
          <w:rFonts w:hint="eastAsia" w:ascii="仿宋" w:hAnsi="仿宋" w:eastAsia="仿宋" w:cs="仿宋"/>
          <w:color w:val="auto"/>
          <w:kern w:val="0"/>
          <w:szCs w:val="21"/>
          <w:highlight w:val="none"/>
        </w:rPr>
        <w:fldChar w:fldCharType="end"/>
      </w:r>
    </w:p>
    <w:p w14:paraId="580ADCEA">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_Toc69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 xml:space="preserve">4  </w:t>
      </w:r>
      <w:r>
        <w:rPr>
          <w:rFonts w:hint="eastAsia" w:ascii="仿宋" w:hAnsi="仿宋" w:eastAsia="仿宋" w:cs="仿宋"/>
          <w:highlight w:val="none"/>
          <w:lang w:eastAsia="zh-CN"/>
        </w:rPr>
        <w:t>近期（投标截止日期前六个月内任意一个月）依法缴纳社会保障金的缴费证明或银行出具的“银行电子缴纳社会保障金付款凭证”（新成立公司提供相关证明文件）</w:t>
      </w:r>
      <w:r>
        <w:tab/>
      </w:r>
      <w:r>
        <w:fldChar w:fldCharType="begin"/>
      </w:r>
      <w:r>
        <w:instrText xml:space="preserve"> PAGEREF _Toc69 \h </w:instrText>
      </w:r>
      <w:r>
        <w:fldChar w:fldCharType="separate"/>
      </w:r>
      <w:r>
        <w:t>26</w:t>
      </w:r>
      <w:r>
        <w:fldChar w:fldCharType="end"/>
      </w:r>
      <w:r>
        <w:rPr>
          <w:rFonts w:hint="eastAsia" w:ascii="仿宋" w:hAnsi="仿宋" w:eastAsia="仿宋" w:cs="仿宋"/>
          <w:color w:val="auto"/>
          <w:kern w:val="0"/>
          <w:szCs w:val="21"/>
          <w:highlight w:val="none"/>
        </w:rPr>
        <w:fldChar w:fldCharType="end"/>
      </w:r>
    </w:p>
    <w:p w14:paraId="61C3558B">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_Toc5786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5  近期（投标截止日期前六个月内任意一个月）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r>
        <w:tab/>
      </w:r>
      <w:r>
        <w:fldChar w:fldCharType="begin"/>
      </w:r>
      <w:r>
        <w:instrText xml:space="preserve"> PAGEREF _Toc5786 \h </w:instrText>
      </w:r>
      <w:r>
        <w:fldChar w:fldCharType="separate"/>
      </w:r>
      <w:r>
        <w:t>27</w:t>
      </w:r>
      <w:r>
        <w:fldChar w:fldCharType="end"/>
      </w:r>
      <w:r>
        <w:rPr>
          <w:rFonts w:hint="eastAsia" w:ascii="仿宋" w:hAnsi="仿宋" w:eastAsia="仿宋" w:cs="仿宋"/>
          <w:color w:val="auto"/>
          <w:kern w:val="0"/>
          <w:szCs w:val="21"/>
          <w:highlight w:val="none"/>
        </w:rPr>
        <w:fldChar w:fldCharType="end"/>
      </w:r>
    </w:p>
    <w:p w14:paraId="624CCAC3">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_Toc14186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6 提供2025年完整的财务审计报告（成立未满十二个月的新公司可提供近三个月内任意一个月的银行资信证明）；</w:t>
      </w:r>
      <w:r>
        <w:tab/>
      </w:r>
      <w:r>
        <w:fldChar w:fldCharType="begin"/>
      </w:r>
      <w:r>
        <w:instrText xml:space="preserve"> PAGEREF _Toc14186 \h </w:instrText>
      </w:r>
      <w:r>
        <w:fldChar w:fldCharType="separate"/>
      </w:r>
      <w:r>
        <w:t>28</w:t>
      </w:r>
      <w:r>
        <w:fldChar w:fldCharType="end"/>
      </w:r>
      <w:r>
        <w:rPr>
          <w:rFonts w:hint="eastAsia" w:ascii="仿宋" w:hAnsi="仿宋" w:eastAsia="仿宋" w:cs="仿宋"/>
          <w:color w:val="auto"/>
          <w:kern w:val="0"/>
          <w:szCs w:val="21"/>
          <w:highlight w:val="none"/>
        </w:rPr>
        <w:fldChar w:fldCharType="end"/>
      </w:r>
    </w:p>
    <w:p w14:paraId="10DF4933">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_Toc18946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7  凡拟参加本次招标项目的供应商，如在“信用中国”网站（https://www.creditchina.gov.cn/）被列入失信被执行人、重大税收违法失信主体名单、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w:t>
      </w:r>
      <w:r>
        <w:tab/>
      </w:r>
      <w:r>
        <w:fldChar w:fldCharType="begin"/>
      </w:r>
      <w:r>
        <w:instrText xml:space="preserve"> PAGEREF _Toc18946 \h </w:instrText>
      </w:r>
      <w:r>
        <w:fldChar w:fldCharType="separate"/>
      </w:r>
      <w:r>
        <w:t>29</w:t>
      </w:r>
      <w:r>
        <w:fldChar w:fldCharType="end"/>
      </w:r>
      <w:r>
        <w:rPr>
          <w:rFonts w:hint="eastAsia" w:ascii="仿宋" w:hAnsi="仿宋" w:eastAsia="仿宋" w:cs="仿宋"/>
          <w:color w:val="auto"/>
          <w:kern w:val="0"/>
          <w:szCs w:val="21"/>
          <w:highlight w:val="none"/>
        </w:rPr>
        <w:fldChar w:fldCharType="end"/>
      </w:r>
    </w:p>
    <w:p w14:paraId="7D1131A4">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_Toc4562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8  供应商具备履行合同所必需的设备和专业技术能力的证明材料（投标格式三）</w:t>
      </w:r>
      <w:r>
        <w:tab/>
      </w:r>
      <w:r>
        <w:fldChar w:fldCharType="begin"/>
      </w:r>
      <w:r>
        <w:instrText xml:space="preserve"> PAGEREF _Toc4562 \h </w:instrText>
      </w:r>
      <w:r>
        <w:fldChar w:fldCharType="separate"/>
      </w:r>
      <w:r>
        <w:t>29</w:t>
      </w:r>
      <w:r>
        <w:fldChar w:fldCharType="end"/>
      </w:r>
      <w:r>
        <w:rPr>
          <w:rFonts w:hint="eastAsia" w:ascii="仿宋" w:hAnsi="仿宋" w:eastAsia="仿宋" w:cs="仿宋"/>
          <w:color w:val="auto"/>
          <w:kern w:val="0"/>
          <w:szCs w:val="21"/>
          <w:highlight w:val="none"/>
        </w:rPr>
        <w:fldChar w:fldCharType="end"/>
      </w:r>
    </w:p>
    <w:p w14:paraId="57FA5F69">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_Toc24458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8.1</w:t>
      </w:r>
      <w:r>
        <w:rPr>
          <w:rFonts w:hint="eastAsia" w:ascii="仿宋" w:hAnsi="仿宋" w:eastAsia="仿宋" w:cs="仿宋"/>
          <w:kern w:val="0"/>
          <w:highlight w:val="none"/>
          <w:lang w:val="en-US" w:eastAsia="zh-CN"/>
        </w:rPr>
        <w:t>具备履行合同所必需的设备和专业技术能力的承诺</w:t>
      </w:r>
      <w:r>
        <w:tab/>
      </w:r>
      <w:r>
        <w:fldChar w:fldCharType="begin"/>
      </w:r>
      <w:r>
        <w:instrText xml:space="preserve"> PAGEREF _Toc24458 \h </w:instrText>
      </w:r>
      <w:r>
        <w:fldChar w:fldCharType="separate"/>
      </w:r>
      <w:r>
        <w:t>30</w:t>
      </w:r>
      <w:r>
        <w:fldChar w:fldCharType="end"/>
      </w:r>
      <w:r>
        <w:rPr>
          <w:rFonts w:hint="eastAsia" w:ascii="仿宋" w:hAnsi="仿宋" w:eastAsia="仿宋" w:cs="仿宋"/>
          <w:color w:val="auto"/>
          <w:kern w:val="0"/>
          <w:szCs w:val="21"/>
          <w:highlight w:val="none"/>
        </w:rPr>
        <w:fldChar w:fldCharType="end"/>
      </w:r>
    </w:p>
    <w:p w14:paraId="31F1DA1A">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_Toc23323 </w:instrText>
      </w:r>
      <w:r>
        <w:rPr>
          <w:rFonts w:hint="eastAsia" w:ascii="仿宋" w:hAnsi="仿宋" w:eastAsia="仿宋" w:cs="仿宋"/>
          <w:kern w:val="0"/>
          <w:szCs w:val="21"/>
          <w:highlight w:val="none"/>
        </w:rPr>
        <w:fldChar w:fldCharType="separate"/>
      </w:r>
      <w:r>
        <w:rPr>
          <w:rFonts w:hint="eastAsia" w:ascii="仿宋" w:hAnsi="仿宋" w:eastAsia="仿宋" w:cs="仿宋"/>
          <w:kern w:val="0"/>
          <w:lang w:val="en-US" w:eastAsia="zh-CN"/>
        </w:rPr>
        <w:t>8.2具备履行合同所必须的设备表</w:t>
      </w:r>
      <w:r>
        <w:tab/>
      </w:r>
      <w:r>
        <w:fldChar w:fldCharType="begin"/>
      </w:r>
      <w:r>
        <w:instrText xml:space="preserve"> PAGEREF _Toc23323 \h </w:instrText>
      </w:r>
      <w:r>
        <w:fldChar w:fldCharType="separate"/>
      </w:r>
      <w:r>
        <w:t>31</w:t>
      </w:r>
      <w:r>
        <w:fldChar w:fldCharType="end"/>
      </w:r>
      <w:r>
        <w:rPr>
          <w:rFonts w:hint="eastAsia" w:ascii="仿宋" w:hAnsi="仿宋" w:eastAsia="仿宋" w:cs="仿宋"/>
          <w:color w:val="auto"/>
          <w:kern w:val="0"/>
          <w:szCs w:val="21"/>
          <w:highlight w:val="none"/>
        </w:rPr>
        <w:fldChar w:fldCharType="end"/>
      </w:r>
    </w:p>
    <w:p w14:paraId="1791A5E2">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_Toc32169 </w:instrText>
      </w:r>
      <w:r>
        <w:rPr>
          <w:rFonts w:hint="eastAsia" w:ascii="仿宋" w:hAnsi="仿宋" w:eastAsia="仿宋" w:cs="仿宋"/>
          <w:kern w:val="0"/>
          <w:szCs w:val="21"/>
          <w:highlight w:val="none"/>
        </w:rPr>
        <w:fldChar w:fldCharType="separate"/>
      </w:r>
      <w:r>
        <w:rPr>
          <w:rFonts w:hint="eastAsia" w:ascii="仿宋" w:hAnsi="仿宋" w:eastAsia="仿宋" w:cs="仿宋"/>
          <w:kern w:val="0"/>
          <w:lang w:val="en-US" w:eastAsia="zh-CN"/>
        </w:rPr>
        <w:t>8.3具备履行合同所必须的专业技术能力</w:t>
      </w:r>
      <w:r>
        <w:tab/>
      </w:r>
      <w:r>
        <w:fldChar w:fldCharType="begin"/>
      </w:r>
      <w:r>
        <w:instrText xml:space="preserve"> PAGEREF _Toc32169 \h </w:instrText>
      </w:r>
      <w:r>
        <w:fldChar w:fldCharType="separate"/>
      </w:r>
      <w:r>
        <w:t>32</w:t>
      </w:r>
      <w:r>
        <w:fldChar w:fldCharType="end"/>
      </w:r>
      <w:r>
        <w:rPr>
          <w:rFonts w:hint="eastAsia" w:ascii="仿宋" w:hAnsi="仿宋" w:eastAsia="仿宋" w:cs="仿宋"/>
          <w:color w:val="auto"/>
          <w:kern w:val="0"/>
          <w:szCs w:val="21"/>
          <w:highlight w:val="none"/>
        </w:rPr>
        <w:fldChar w:fldCharType="end"/>
      </w:r>
    </w:p>
    <w:p w14:paraId="55794DD1">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_Toc19434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 xml:space="preserve">9  </w:t>
      </w:r>
      <w:r>
        <w:rPr>
          <w:rFonts w:hint="eastAsia" w:ascii="仿宋" w:hAnsi="仿宋" w:eastAsia="仿宋" w:cs="仿宋"/>
        </w:rPr>
        <w:t>针对本次项目《反商业贿赂承诺书》</w:t>
      </w:r>
      <w:r>
        <w:rPr>
          <w:rFonts w:hint="eastAsia" w:ascii="仿宋" w:hAnsi="仿宋" w:eastAsia="仿宋" w:cs="仿宋"/>
          <w:highlight w:val="none"/>
          <w:lang w:val="en-US" w:eastAsia="zh-CN"/>
        </w:rPr>
        <w:t>；</w:t>
      </w:r>
      <w:r>
        <w:tab/>
      </w:r>
      <w:r>
        <w:fldChar w:fldCharType="begin"/>
      </w:r>
      <w:r>
        <w:instrText xml:space="preserve"> PAGEREF _Toc19434 \h </w:instrText>
      </w:r>
      <w:r>
        <w:fldChar w:fldCharType="separate"/>
      </w:r>
      <w:r>
        <w:t>33</w:t>
      </w:r>
      <w:r>
        <w:fldChar w:fldCharType="end"/>
      </w:r>
      <w:r>
        <w:rPr>
          <w:rFonts w:hint="eastAsia" w:ascii="仿宋" w:hAnsi="仿宋" w:eastAsia="仿宋" w:cs="仿宋"/>
          <w:color w:val="auto"/>
          <w:kern w:val="0"/>
          <w:szCs w:val="21"/>
          <w:highlight w:val="none"/>
        </w:rPr>
        <w:fldChar w:fldCharType="end"/>
      </w:r>
    </w:p>
    <w:p w14:paraId="0CDE2C82">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_Toc7767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 xml:space="preserve">10  </w:t>
      </w:r>
      <w:r>
        <w:rPr>
          <w:rFonts w:hint="eastAsia" w:ascii="仿宋" w:hAnsi="仿宋" w:eastAsia="仿宋" w:cs="仿宋"/>
          <w:highlight w:val="none"/>
        </w:rPr>
        <w:t>参加政府采购活动前3年内在经营活动中没有重大违法记录的书面声明</w:t>
      </w:r>
      <w:r>
        <w:rPr>
          <w:rFonts w:hint="eastAsia" w:ascii="仿宋" w:hAnsi="仿宋" w:eastAsia="仿宋" w:cs="仿宋"/>
          <w:highlight w:val="none"/>
          <w:lang w:eastAsia="zh-CN"/>
        </w:rPr>
        <w:t>；</w:t>
      </w:r>
      <w:r>
        <w:tab/>
      </w:r>
      <w:r>
        <w:fldChar w:fldCharType="begin"/>
      </w:r>
      <w:r>
        <w:instrText xml:space="preserve"> PAGEREF _Toc7767 \h </w:instrText>
      </w:r>
      <w:r>
        <w:fldChar w:fldCharType="separate"/>
      </w:r>
      <w:r>
        <w:t>33</w:t>
      </w:r>
      <w:r>
        <w:fldChar w:fldCharType="end"/>
      </w:r>
      <w:r>
        <w:rPr>
          <w:rFonts w:hint="eastAsia" w:ascii="仿宋" w:hAnsi="仿宋" w:eastAsia="仿宋" w:cs="仿宋"/>
          <w:color w:val="auto"/>
          <w:kern w:val="0"/>
          <w:szCs w:val="21"/>
          <w:highlight w:val="none"/>
        </w:rPr>
        <w:fldChar w:fldCharType="end"/>
      </w:r>
    </w:p>
    <w:p w14:paraId="5449FCDA">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_Toc4786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11</w:t>
      </w:r>
      <w:r>
        <w:rPr>
          <w:rFonts w:hint="eastAsia" w:ascii="仿宋" w:hAnsi="仿宋" w:eastAsia="仿宋" w:cs="仿宋"/>
          <w:highlight w:val="none"/>
        </w:rPr>
        <w:t xml:space="preserve"> </w:t>
      </w:r>
      <w:r>
        <w:rPr>
          <w:rFonts w:hint="eastAsia" w:ascii="仿宋" w:hAnsi="仿宋" w:eastAsia="仿宋" w:cs="仿宋"/>
          <w:highlight w:val="none"/>
          <w:lang w:val="en-US" w:eastAsia="zh-CN"/>
        </w:rPr>
        <w:t xml:space="preserve"> </w:t>
      </w:r>
      <w:r>
        <w:rPr>
          <w:rFonts w:hint="eastAsia" w:ascii="仿宋" w:hAnsi="仿宋" w:eastAsia="仿宋" w:cs="仿宋"/>
        </w:rPr>
        <w:t>投标保证金缴纳凭证或投标担保函</w:t>
      </w:r>
      <w:r>
        <w:tab/>
      </w:r>
      <w:r>
        <w:fldChar w:fldCharType="begin"/>
      </w:r>
      <w:r>
        <w:instrText xml:space="preserve"> PAGEREF _Toc4786 \h </w:instrText>
      </w:r>
      <w:r>
        <w:fldChar w:fldCharType="separate"/>
      </w:r>
      <w:r>
        <w:t>34</w:t>
      </w:r>
      <w:r>
        <w:fldChar w:fldCharType="end"/>
      </w:r>
      <w:r>
        <w:rPr>
          <w:rFonts w:hint="eastAsia" w:ascii="仿宋" w:hAnsi="仿宋" w:eastAsia="仿宋" w:cs="仿宋"/>
          <w:color w:val="auto"/>
          <w:kern w:val="0"/>
          <w:szCs w:val="21"/>
          <w:highlight w:val="none"/>
        </w:rPr>
        <w:fldChar w:fldCharType="end"/>
      </w:r>
    </w:p>
    <w:p w14:paraId="3616F4A0">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_Toc18730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 xml:space="preserve">12  </w:t>
      </w:r>
      <w:r>
        <w:rPr>
          <w:rFonts w:hint="eastAsia" w:ascii="仿宋" w:hAnsi="仿宋" w:eastAsia="仿宋" w:cs="仿宋"/>
          <w:highlight w:val="none"/>
        </w:rPr>
        <w:t>投标人须知资料表要求的其他资格证明文件</w:t>
      </w:r>
      <w:r>
        <w:tab/>
      </w:r>
      <w:r>
        <w:fldChar w:fldCharType="begin"/>
      </w:r>
      <w:r>
        <w:instrText xml:space="preserve"> PAGEREF _Toc18730 \h </w:instrText>
      </w:r>
      <w:r>
        <w:fldChar w:fldCharType="separate"/>
      </w:r>
      <w:r>
        <w:t>36</w:t>
      </w:r>
      <w:r>
        <w:fldChar w:fldCharType="end"/>
      </w:r>
      <w:r>
        <w:rPr>
          <w:rFonts w:hint="eastAsia" w:ascii="仿宋" w:hAnsi="仿宋" w:eastAsia="仿宋" w:cs="仿宋"/>
          <w:color w:val="auto"/>
          <w:kern w:val="0"/>
          <w:szCs w:val="21"/>
          <w:highlight w:val="none"/>
        </w:rPr>
        <w:fldChar w:fldCharType="end"/>
      </w:r>
    </w:p>
    <w:p w14:paraId="620D2ADE">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_Toc10204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第二部分  商务及技术文件</w:t>
      </w:r>
      <w:r>
        <w:tab/>
      </w:r>
      <w:r>
        <w:fldChar w:fldCharType="begin"/>
      </w:r>
      <w:r>
        <w:instrText xml:space="preserve"> PAGEREF _Toc10204 \h </w:instrText>
      </w:r>
      <w:r>
        <w:fldChar w:fldCharType="separate"/>
      </w:r>
      <w:r>
        <w:t>37</w:t>
      </w:r>
      <w:r>
        <w:fldChar w:fldCharType="end"/>
      </w:r>
      <w:r>
        <w:rPr>
          <w:rFonts w:hint="eastAsia" w:ascii="仿宋" w:hAnsi="仿宋" w:eastAsia="仿宋" w:cs="仿宋"/>
          <w:color w:val="auto"/>
          <w:kern w:val="0"/>
          <w:szCs w:val="21"/>
          <w:highlight w:val="none"/>
        </w:rPr>
        <w:fldChar w:fldCharType="end"/>
      </w:r>
    </w:p>
    <w:p w14:paraId="101287F7">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_Toc3944 </w:instrText>
      </w:r>
      <w:r>
        <w:rPr>
          <w:rFonts w:hint="eastAsia" w:ascii="仿宋" w:hAnsi="仿宋" w:eastAsia="仿宋" w:cs="仿宋"/>
          <w:kern w:val="0"/>
          <w:szCs w:val="21"/>
          <w:highlight w:val="none"/>
        </w:rPr>
        <w:fldChar w:fldCharType="separate"/>
      </w:r>
      <w:r>
        <w:rPr>
          <w:rFonts w:hint="eastAsia" w:ascii="仿宋" w:hAnsi="仿宋" w:eastAsia="仿宋" w:cs="仿宋"/>
          <w:szCs w:val="24"/>
        </w:rPr>
        <w:t>1   投标书（投标文件格式</w:t>
      </w:r>
      <w:r>
        <w:rPr>
          <w:rFonts w:hint="eastAsia" w:ascii="仿宋" w:hAnsi="仿宋" w:eastAsia="仿宋" w:cs="仿宋"/>
          <w:szCs w:val="24"/>
          <w:lang w:eastAsia="zh-CN"/>
        </w:rPr>
        <w:t>五</w:t>
      </w:r>
      <w:r>
        <w:rPr>
          <w:rFonts w:hint="eastAsia" w:ascii="仿宋" w:hAnsi="仿宋" w:eastAsia="仿宋" w:cs="仿宋"/>
          <w:szCs w:val="24"/>
        </w:rPr>
        <w:t>）</w:t>
      </w:r>
      <w:r>
        <w:tab/>
      </w:r>
      <w:r>
        <w:fldChar w:fldCharType="begin"/>
      </w:r>
      <w:r>
        <w:instrText xml:space="preserve"> PAGEREF _Toc3944 \h </w:instrText>
      </w:r>
      <w:r>
        <w:fldChar w:fldCharType="separate"/>
      </w:r>
      <w:r>
        <w:t>38</w:t>
      </w:r>
      <w:r>
        <w:fldChar w:fldCharType="end"/>
      </w:r>
      <w:r>
        <w:rPr>
          <w:rFonts w:hint="eastAsia" w:ascii="仿宋" w:hAnsi="仿宋" w:eastAsia="仿宋" w:cs="仿宋"/>
          <w:color w:val="auto"/>
          <w:kern w:val="0"/>
          <w:szCs w:val="21"/>
          <w:highlight w:val="none"/>
        </w:rPr>
        <w:fldChar w:fldCharType="end"/>
      </w:r>
    </w:p>
    <w:p w14:paraId="211A7F8D">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_Toc28682 </w:instrText>
      </w:r>
      <w:r>
        <w:rPr>
          <w:rFonts w:hint="eastAsia" w:ascii="仿宋" w:hAnsi="仿宋" w:eastAsia="仿宋" w:cs="仿宋"/>
          <w:kern w:val="0"/>
          <w:szCs w:val="21"/>
          <w:highlight w:val="none"/>
        </w:rPr>
        <w:fldChar w:fldCharType="separate"/>
      </w:r>
      <w:r>
        <w:rPr>
          <w:rFonts w:hint="eastAsia" w:ascii="仿宋" w:hAnsi="仿宋" w:eastAsia="仿宋" w:cs="仿宋"/>
        </w:rPr>
        <w:t>2   投标保证金缴纳凭证或投标担保函</w:t>
      </w:r>
      <w:r>
        <w:tab/>
      </w:r>
      <w:r>
        <w:fldChar w:fldCharType="begin"/>
      </w:r>
      <w:r>
        <w:instrText xml:space="preserve"> PAGEREF _Toc28682 \h </w:instrText>
      </w:r>
      <w:r>
        <w:fldChar w:fldCharType="separate"/>
      </w:r>
      <w:r>
        <w:t>39</w:t>
      </w:r>
      <w:r>
        <w:fldChar w:fldCharType="end"/>
      </w:r>
      <w:r>
        <w:rPr>
          <w:rFonts w:hint="eastAsia" w:ascii="仿宋" w:hAnsi="仿宋" w:eastAsia="仿宋" w:cs="仿宋"/>
          <w:color w:val="auto"/>
          <w:kern w:val="0"/>
          <w:szCs w:val="21"/>
          <w:highlight w:val="none"/>
        </w:rPr>
        <w:fldChar w:fldCharType="end"/>
      </w:r>
    </w:p>
    <w:p w14:paraId="44420717">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_Toc25022 </w:instrText>
      </w:r>
      <w:r>
        <w:rPr>
          <w:rFonts w:hint="eastAsia" w:ascii="仿宋" w:hAnsi="仿宋" w:eastAsia="仿宋" w:cs="仿宋"/>
          <w:kern w:val="0"/>
          <w:szCs w:val="21"/>
          <w:highlight w:val="none"/>
        </w:rPr>
        <w:fldChar w:fldCharType="separate"/>
      </w:r>
      <w:r>
        <w:rPr>
          <w:rFonts w:hint="eastAsia" w:ascii="仿宋" w:hAnsi="仿宋" w:eastAsia="仿宋" w:cs="仿宋"/>
          <w:szCs w:val="24"/>
        </w:rPr>
        <w:t xml:space="preserve">3   </w:t>
      </w:r>
      <w:r>
        <w:rPr>
          <w:rFonts w:hint="eastAsia" w:ascii="仿宋" w:hAnsi="仿宋" w:eastAsia="仿宋" w:cs="仿宋"/>
          <w:szCs w:val="24"/>
          <w:lang w:val="en-US" w:eastAsia="zh-CN"/>
        </w:rPr>
        <w:t>投标</w:t>
      </w:r>
      <w:r>
        <w:rPr>
          <w:rFonts w:hint="eastAsia" w:ascii="仿宋" w:hAnsi="仿宋" w:eastAsia="仿宋" w:cs="仿宋"/>
          <w:szCs w:val="24"/>
        </w:rPr>
        <w:t>分项报价表（</w:t>
      </w:r>
      <w:r>
        <w:rPr>
          <w:rFonts w:hint="eastAsia" w:ascii="仿宋" w:hAnsi="仿宋" w:eastAsia="仿宋" w:cs="仿宋"/>
          <w:szCs w:val="24"/>
          <w:lang w:val="en-US" w:eastAsia="zh-CN"/>
        </w:rPr>
        <w:t>招标</w:t>
      </w:r>
      <w:r>
        <w:rPr>
          <w:rFonts w:hint="eastAsia" w:ascii="仿宋" w:hAnsi="仿宋" w:eastAsia="仿宋" w:cs="仿宋"/>
          <w:szCs w:val="24"/>
        </w:rPr>
        <w:t>文件格式七）</w:t>
      </w:r>
      <w:r>
        <w:tab/>
      </w:r>
      <w:r>
        <w:fldChar w:fldCharType="begin"/>
      </w:r>
      <w:r>
        <w:instrText xml:space="preserve"> PAGEREF _Toc25022 \h </w:instrText>
      </w:r>
      <w:r>
        <w:fldChar w:fldCharType="separate"/>
      </w:r>
      <w:r>
        <w:t>41</w:t>
      </w:r>
      <w:r>
        <w:fldChar w:fldCharType="end"/>
      </w:r>
      <w:r>
        <w:rPr>
          <w:rFonts w:hint="eastAsia" w:ascii="仿宋" w:hAnsi="仿宋" w:eastAsia="仿宋" w:cs="仿宋"/>
          <w:color w:val="auto"/>
          <w:kern w:val="0"/>
          <w:szCs w:val="21"/>
          <w:highlight w:val="none"/>
        </w:rPr>
        <w:fldChar w:fldCharType="end"/>
      </w:r>
    </w:p>
    <w:p w14:paraId="2B074D45">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_Toc1416 </w:instrText>
      </w:r>
      <w:r>
        <w:rPr>
          <w:rFonts w:hint="eastAsia" w:ascii="仿宋" w:hAnsi="仿宋" w:eastAsia="仿宋" w:cs="仿宋"/>
          <w:kern w:val="0"/>
          <w:szCs w:val="21"/>
          <w:highlight w:val="none"/>
        </w:rPr>
        <w:fldChar w:fldCharType="separate"/>
      </w:r>
      <w:r>
        <w:rPr>
          <w:rFonts w:hint="eastAsia" w:ascii="仿宋" w:hAnsi="仿宋" w:eastAsia="仿宋" w:cs="仿宋"/>
          <w:szCs w:val="24"/>
        </w:rPr>
        <w:t xml:space="preserve">4   </w:t>
      </w:r>
      <w:r>
        <w:rPr>
          <w:rFonts w:hint="eastAsia" w:ascii="仿宋" w:hAnsi="仿宋" w:eastAsia="仿宋" w:cs="仿宋"/>
          <w:szCs w:val="24"/>
          <w:lang w:eastAsia="zh-CN"/>
        </w:rPr>
        <w:t>服务</w:t>
      </w:r>
      <w:r>
        <w:rPr>
          <w:rFonts w:hint="eastAsia" w:ascii="仿宋" w:hAnsi="仿宋" w:eastAsia="仿宋" w:cs="仿宋"/>
          <w:szCs w:val="24"/>
        </w:rPr>
        <w:t>说明一览表（投标文件格式八）</w:t>
      </w:r>
      <w:r>
        <w:tab/>
      </w:r>
      <w:r>
        <w:fldChar w:fldCharType="begin"/>
      </w:r>
      <w:r>
        <w:instrText xml:space="preserve"> PAGEREF _Toc1416 \h </w:instrText>
      </w:r>
      <w:r>
        <w:fldChar w:fldCharType="separate"/>
      </w:r>
      <w:r>
        <w:t>42</w:t>
      </w:r>
      <w:r>
        <w:fldChar w:fldCharType="end"/>
      </w:r>
      <w:r>
        <w:rPr>
          <w:rFonts w:hint="eastAsia" w:ascii="仿宋" w:hAnsi="仿宋" w:eastAsia="仿宋" w:cs="仿宋"/>
          <w:color w:val="auto"/>
          <w:kern w:val="0"/>
          <w:szCs w:val="21"/>
          <w:highlight w:val="none"/>
        </w:rPr>
        <w:fldChar w:fldCharType="end"/>
      </w:r>
    </w:p>
    <w:p w14:paraId="27AE320D">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_Toc21613 </w:instrText>
      </w:r>
      <w:r>
        <w:rPr>
          <w:rFonts w:hint="eastAsia" w:ascii="仿宋" w:hAnsi="仿宋" w:eastAsia="仿宋" w:cs="仿宋"/>
          <w:kern w:val="0"/>
          <w:szCs w:val="21"/>
          <w:highlight w:val="none"/>
        </w:rPr>
        <w:fldChar w:fldCharType="separate"/>
      </w:r>
      <w:r>
        <w:rPr>
          <w:rFonts w:hint="eastAsia" w:ascii="仿宋" w:hAnsi="仿宋" w:eastAsia="仿宋" w:cs="仿宋"/>
          <w:szCs w:val="24"/>
        </w:rPr>
        <w:t>5   技术规格偏离表（投标文件格式九）</w:t>
      </w:r>
      <w:r>
        <w:tab/>
      </w:r>
      <w:r>
        <w:fldChar w:fldCharType="begin"/>
      </w:r>
      <w:r>
        <w:instrText xml:space="preserve"> PAGEREF _Toc21613 \h </w:instrText>
      </w:r>
      <w:r>
        <w:fldChar w:fldCharType="separate"/>
      </w:r>
      <w:r>
        <w:t>43</w:t>
      </w:r>
      <w:r>
        <w:fldChar w:fldCharType="end"/>
      </w:r>
      <w:r>
        <w:rPr>
          <w:rFonts w:hint="eastAsia" w:ascii="仿宋" w:hAnsi="仿宋" w:eastAsia="仿宋" w:cs="仿宋"/>
          <w:color w:val="auto"/>
          <w:kern w:val="0"/>
          <w:szCs w:val="21"/>
          <w:highlight w:val="none"/>
        </w:rPr>
        <w:fldChar w:fldCharType="end"/>
      </w:r>
    </w:p>
    <w:p w14:paraId="1432EAD6">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_Toc2597 </w:instrText>
      </w:r>
      <w:r>
        <w:rPr>
          <w:rFonts w:hint="eastAsia" w:ascii="仿宋" w:hAnsi="仿宋" w:eastAsia="仿宋" w:cs="仿宋"/>
          <w:kern w:val="0"/>
          <w:szCs w:val="21"/>
          <w:highlight w:val="none"/>
        </w:rPr>
        <w:fldChar w:fldCharType="separate"/>
      </w:r>
      <w:r>
        <w:rPr>
          <w:rFonts w:hint="eastAsia" w:ascii="仿宋" w:hAnsi="仿宋" w:eastAsia="仿宋" w:cs="仿宋"/>
          <w:szCs w:val="24"/>
        </w:rPr>
        <w:t>6   商务条款偏离表（投标文件格式十）</w:t>
      </w:r>
      <w:r>
        <w:tab/>
      </w:r>
      <w:r>
        <w:fldChar w:fldCharType="begin"/>
      </w:r>
      <w:r>
        <w:instrText xml:space="preserve"> PAGEREF _Toc2597 \h </w:instrText>
      </w:r>
      <w:r>
        <w:fldChar w:fldCharType="separate"/>
      </w:r>
      <w:r>
        <w:t>44</w:t>
      </w:r>
      <w:r>
        <w:fldChar w:fldCharType="end"/>
      </w:r>
      <w:r>
        <w:rPr>
          <w:rFonts w:hint="eastAsia" w:ascii="仿宋" w:hAnsi="仿宋" w:eastAsia="仿宋" w:cs="仿宋"/>
          <w:color w:val="auto"/>
          <w:kern w:val="0"/>
          <w:szCs w:val="21"/>
          <w:highlight w:val="none"/>
        </w:rPr>
        <w:fldChar w:fldCharType="end"/>
      </w:r>
    </w:p>
    <w:p w14:paraId="7FCC81BE">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_Toc20020 </w:instrText>
      </w:r>
      <w:r>
        <w:rPr>
          <w:rFonts w:hint="eastAsia" w:ascii="仿宋" w:hAnsi="仿宋" w:eastAsia="仿宋" w:cs="仿宋"/>
          <w:kern w:val="0"/>
          <w:szCs w:val="21"/>
          <w:highlight w:val="none"/>
        </w:rPr>
        <w:fldChar w:fldCharType="separate"/>
      </w:r>
      <w:r>
        <w:rPr>
          <w:rFonts w:hint="eastAsia" w:ascii="仿宋" w:hAnsi="仿宋" w:eastAsia="仿宋" w:cs="仿宋"/>
          <w:kern w:val="0"/>
          <w:szCs w:val="24"/>
          <w:lang w:val="en-US" w:eastAsia="zh-CN" w:bidi="ar-SA"/>
        </w:rPr>
        <w:t>7 中小企业声明函</w:t>
      </w:r>
      <w:r>
        <w:tab/>
      </w:r>
      <w:r>
        <w:fldChar w:fldCharType="begin"/>
      </w:r>
      <w:r>
        <w:instrText xml:space="preserve"> PAGEREF _Toc20020 \h </w:instrText>
      </w:r>
      <w:r>
        <w:fldChar w:fldCharType="separate"/>
      </w:r>
      <w:r>
        <w:t>45</w:t>
      </w:r>
      <w:r>
        <w:fldChar w:fldCharType="end"/>
      </w:r>
      <w:r>
        <w:rPr>
          <w:rFonts w:hint="eastAsia" w:ascii="仿宋" w:hAnsi="仿宋" w:eastAsia="仿宋" w:cs="仿宋"/>
          <w:color w:val="auto"/>
          <w:kern w:val="0"/>
          <w:szCs w:val="21"/>
          <w:highlight w:val="none"/>
        </w:rPr>
        <w:fldChar w:fldCharType="end"/>
      </w:r>
    </w:p>
    <w:p w14:paraId="264A55DE">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_Toc11539 </w:instrText>
      </w:r>
      <w:r>
        <w:rPr>
          <w:rFonts w:hint="eastAsia" w:ascii="仿宋" w:hAnsi="仿宋" w:eastAsia="仿宋" w:cs="仿宋"/>
          <w:kern w:val="0"/>
          <w:szCs w:val="21"/>
          <w:highlight w:val="none"/>
        </w:rPr>
        <w:fldChar w:fldCharType="separate"/>
      </w:r>
      <w:r>
        <w:rPr>
          <w:rFonts w:hint="eastAsia" w:ascii="仿宋" w:hAnsi="仿宋" w:eastAsia="仿宋" w:cs="仿宋"/>
          <w:kern w:val="0"/>
          <w:szCs w:val="24"/>
          <w:lang w:val="en-US" w:eastAsia="zh-CN" w:bidi="ar-SA"/>
        </w:rPr>
        <w:t>7-1、中小企业声明函（工程、服务）</w:t>
      </w:r>
      <w:r>
        <w:tab/>
      </w:r>
      <w:r>
        <w:fldChar w:fldCharType="begin"/>
      </w:r>
      <w:r>
        <w:instrText xml:space="preserve"> PAGEREF _Toc11539 \h </w:instrText>
      </w:r>
      <w:r>
        <w:fldChar w:fldCharType="separate"/>
      </w:r>
      <w:r>
        <w:t>45</w:t>
      </w:r>
      <w:r>
        <w:fldChar w:fldCharType="end"/>
      </w:r>
      <w:r>
        <w:rPr>
          <w:rFonts w:hint="eastAsia" w:ascii="仿宋" w:hAnsi="仿宋" w:eastAsia="仿宋" w:cs="仿宋"/>
          <w:color w:val="auto"/>
          <w:kern w:val="0"/>
          <w:szCs w:val="21"/>
          <w:highlight w:val="none"/>
        </w:rPr>
        <w:fldChar w:fldCharType="end"/>
      </w:r>
    </w:p>
    <w:p w14:paraId="2DD01FF8">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_Toc16194 </w:instrText>
      </w:r>
      <w:r>
        <w:rPr>
          <w:rFonts w:hint="eastAsia" w:ascii="仿宋" w:hAnsi="仿宋" w:eastAsia="仿宋" w:cs="仿宋"/>
          <w:kern w:val="0"/>
          <w:szCs w:val="21"/>
          <w:highlight w:val="none"/>
        </w:rPr>
        <w:fldChar w:fldCharType="separate"/>
      </w:r>
      <w:r>
        <w:rPr>
          <w:rFonts w:hint="eastAsia" w:ascii="仿宋" w:hAnsi="仿宋" w:eastAsia="仿宋" w:cs="仿宋"/>
          <w:szCs w:val="24"/>
          <w:lang w:val="en-US" w:eastAsia="zh-CN"/>
        </w:rPr>
        <w:t>7.2  残疾人福利性单位声明函（投标文件格式十二）</w:t>
      </w:r>
      <w:r>
        <w:tab/>
      </w:r>
      <w:r>
        <w:fldChar w:fldCharType="begin"/>
      </w:r>
      <w:r>
        <w:instrText xml:space="preserve"> PAGEREF _Toc16194 \h </w:instrText>
      </w:r>
      <w:r>
        <w:fldChar w:fldCharType="separate"/>
      </w:r>
      <w:r>
        <w:t>46</w:t>
      </w:r>
      <w:r>
        <w:fldChar w:fldCharType="end"/>
      </w:r>
      <w:r>
        <w:rPr>
          <w:rFonts w:hint="eastAsia" w:ascii="仿宋" w:hAnsi="仿宋" w:eastAsia="仿宋" w:cs="仿宋"/>
          <w:color w:val="auto"/>
          <w:kern w:val="0"/>
          <w:szCs w:val="21"/>
          <w:highlight w:val="none"/>
        </w:rPr>
        <w:fldChar w:fldCharType="end"/>
      </w:r>
    </w:p>
    <w:p w14:paraId="7130ADB1">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_Toc11387 </w:instrText>
      </w:r>
      <w:r>
        <w:rPr>
          <w:rFonts w:hint="eastAsia" w:ascii="仿宋" w:hAnsi="仿宋" w:eastAsia="仿宋" w:cs="仿宋"/>
          <w:kern w:val="0"/>
          <w:szCs w:val="21"/>
          <w:highlight w:val="none"/>
        </w:rPr>
        <w:fldChar w:fldCharType="separate"/>
      </w:r>
      <w:r>
        <w:rPr>
          <w:rFonts w:hint="eastAsia" w:ascii="仿宋" w:hAnsi="仿宋" w:eastAsia="仿宋" w:cs="仿宋"/>
        </w:rPr>
        <w:t>8   投标人关联单位的说明</w:t>
      </w:r>
      <w:r>
        <w:rPr>
          <w:rFonts w:hint="eastAsia" w:ascii="仿宋" w:hAnsi="仿宋" w:eastAsia="仿宋" w:cs="仿宋"/>
          <w:lang w:eastAsia="zh-CN"/>
        </w:rPr>
        <w:t>（</w:t>
      </w:r>
      <w:r>
        <w:rPr>
          <w:rFonts w:hint="eastAsia" w:ascii="仿宋" w:hAnsi="仿宋" w:eastAsia="仿宋" w:cs="仿宋"/>
          <w:lang w:val="en-US" w:eastAsia="zh-CN"/>
        </w:rPr>
        <w:t>格式自拟</w:t>
      </w:r>
      <w:r>
        <w:rPr>
          <w:rFonts w:hint="eastAsia" w:ascii="仿宋" w:hAnsi="仿宋" w:eastAsia="仿宋" w:cs="仿宋"/>
          <w:lang w:eastAsia="zh-CN"/>
        </w:rPr>
        <w:t>）</w:t>
      </w:r>
      <w:r>
        <w:tab/>
      </w:r>
      <w:r>
        <w:fldChar w:fldCharType="begin"/>
      </w:r>
      <w:r>
        <w:instrText xml:space="preserve"> PAGEREF _Toc11387 \h </w:instrText>
      </w:r>
      <w:r>
        <w:fldChar w:fldCharType="separate"/>
      </w:r>
      <w:r>
        <w:t>47</w:t>
      </w:r>
      <w:r>
        <w:fldChar w:fldCharType="end"/>
      </w:r>
      <w:r>
        <w:rPr>
          <w:rFonts w:hint="eastAsia" w:ascii="仿宋" w:hAnsi="仿宋" w:eastAsia="仿宋" w:cs="仿宋"/>
          <w:color w:val="auto"/>
          <w:kern w:val="0"/>
          <w:szCs w:val="21"/>
          <w:highlight w:val="none"/>
        </w:rPr>
        <w:fldChar w:fldCharType="end"/>
      </w:r>
    </w:p>
    <w:p w14:paraId="3C71468C">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_Toc10480 </w:instrText>
      </w:r>
      <w:r>
        <w:rPr>
          <w:rFonts w:hint="eastAsia" w:ascii="仿宋" w:hAnsi="仿宋" w:eastAsia="仿宋" w:cs="仿宋"/>
          <w:kern w:val="0"/>
          <w:szCs w:val="21"/>
          <w:highlight w:val="none"/>
        </w:rPr>
        <w:fldChar w:fldCharType="separate"/>
      </w:r>
      <w:r>
        <w:rPr>
          <w:rFonts w:hint="eastAsia" w:ascii="仿宋" w:hAnsi="仿宋" w:eastAsia="仿宋" w:cs="仿宋"/>
          <w:szCs w:val="24"/>
        </w:rPr>
        <w:t>9  投标文件还应包括投标人须知第10条的所有技术文件</w:t>
      </w:r>
      <w:r>
        <w:tab/>
      </w:r>
      <w:r>
        <w:fldChar w:fldCharType="begin"/>
      </w:r>
      <w:r>
        <w:instrText xml:space="preserve"> PAGEREF _Toc10480 \h </w:instrText>
      </w:r>
      <w:r>
        <w:fldChar w:fldCharType="separate"/>
      </w:r>
      <w:r>
        <w:t>48</w:t>
      </w:r>
      <w:r>
        <w:fldChar w:fldCharType="end"/>
      </w:r>
      <w:r>
        <w:rPr>
          <w:rFonts w:hint="eastAsia" w:ascii="仿宋" w:hAnsi="仿宋" w:eastAsia="仿宋" w:cs="仿宋"/>
          <w:color w:val="auto"/>
          <w:kern w:val="0"/>
          <w:szCs w:val="21"/>
          <w:highlight w:val="none"/>
        </w:rPr>
        <w:fldChar w:fldCharType="end"/>
      </w:r>
    </w:p>
    <w:p w14:paraId="1109234C">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_Toc6368 </w:instrText>
      </w:r>
      <w:r>
        <w:rPr>
          <w:rFonts w:hint="eastAsia" w:ascii="仿宋" w:hAnsi="仿宋" w:eastAsia="仿宋" w:cs="仿宋"/>
          <w:kern w:val="0"/>
          <w:szCs w:val="21"/>
          <w:highlight w:val="none"/>
        </w:rPr>
        <w:fldChar w:fldCharType="separate"/>
      </w:r>
      <w:r>
        <w:rPr>
          <w:rFonts w:hint="eastAsia" w:ascii="仿宋" w:hAnsi="仿宋" w:eastAsia="仿宋" w:cs="仿宋"/>
          <w:bCs/>
          <w:szCs w:val="32"/>
          <w:lang w:eastAsia="zh-CN"/>
        </w:rPr>
        <w:t>第</w:t>
      </w:r>
      <w:r>
        <w:rPr>
          <w:rFonts w:hint="eastAsia" w:ascii="仿宋" w:hAnsi="仿宋" w:eastAsia="仿宋" w:cs="仿宋"/>
          <w:bCs/>
          <w:szCs w:val="32"/>
          <w:lang w:val="en-US" w:eastAsia="zh-CN"/>
        </w:rPr>
        <w:t xml:space="preserve">3章  </w:t>
      </w:r>
      <w:r>
        <w:rPr>
          <w:rFonts w:hint="eastAsia" w:ascii="仿宋" w:hAnsi="仿宋" w:eastAsia="仿宋" w:cs="仿宋"/>
          <w:bCs/>
          <w:szCs w:val="32"/>
        </w:rPr>
        <w:t>投标邀请</w:t>
      </w:r>
      <w:r>
        <w:tab/>
      </w:r>
      <w:r>
        <w:fldChar w:fldCharType="begin"/>
      </w:r>
      <w:r>
        <w:instrText xml:space="preserve"> PAGEREF _Toc6368 \h </w:instrText>
      </w:r>
      <w:r>
        <w:fldChar w:fldCharType="separate"/>
      </w:r>
      <w:r>
        <w:t>50</w:t>
      </w:r>
      <w:r>
        <w:fldChar w:fldCharType="end"/>
      </w:r>
      <w:r>
        <w:rPr>
          <w:rFonts w:hint="eastAsia" w:ascii="仿宋" w:hAnsi="仿宋" w:eastAsia="仿宋" w:cs="仿宋"/>
          <w:color w:val="auto"/>
          <w:kern w:val="0"/>
          <w:szCs w:val="21"/>
          <w:highlight w:val="none"/>
        </w:rPr>
        <w:fldChar w:fldCharType="end"/>
      </w:r>
    </w:p>
    <w:p w14:paraId="3CB87BCC">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_Toc17430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eastAsia="zh-CN"/>
        </w:rPr>
        <w:t>莎车县乡村振兴建设（安全优质饮水工程）项目</w:t>
      </w:r>
      <w:r>
        <w:rPr>
          <w:rFonts w:hint="eastAsia" w:ascii="仿宋" w:hAnsi="仿宋" w:eastAsia="仿宋" w:cs="仿宋"/>
          <w:highlight w:val="none"/>
        </w:rPr>
        <w:t>招标公告</w:t>
      </w:r>
      <w:r>
        <w:tab/>
      </w:r>
      <w:r>
        <w:fldChar w:fldCharType="begin"/>
      </w:r>
      <w:r>
        <w:instrText xml:space="preserve"> PAGEREF _Toc17430 \h </w:instrText>
      </w:r>
      <w:r>
        <w:fldChar w:fldCharType="separate"/>
      </w:r>
      <w:r>
        <w:t>50</w:t>
      </w:r>
      <w:r>
        <w:fldChar w:fldCharType="end"/>
      </w:r>
      <w:r>
        <w:rPr>
          <w:rFonts w:hint="eastAsia" w:ascii="仿宋" w:hAnsi="仿宋" w:eastAsia="仿宋" w:cs="仿宋"/>
          <w:color w:val="auto"/>
          <w:kern w:val="0"/>
          <w:szCs w:val="21"/>
          <w:highlight w:val="none"/>
        </w:rPr>
        <w:fldChar w:fldCharType="end"/>
      </w:r>
    </w:p>
    <w:p w14:paraId="0F5F4501">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_Toc4242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一、项目基本情况</w:t>
      </w:r>
      <w:r>
        <w:tab/>
      </w:r>
      <w:r>
        <w:fldChar w:fldCharType="begin"/>
      </w:r>
      <w:r>
        <w:instrText xml:space="preserve"> PAGEREF _Toc4242 \h </w:instrText>
      </w:r>
      <w:r>
        <w:fldChar w:fldCharType="separate"/>
      </w:r>
      <w:r>
        <w:t>50</w:t>
      </w:r>
      <w:r>
        <w:fldChar w:fldCharType="end"/>
      </w:r>
      <w:r>
        <w:rPr>
          <w:rFonts w:hint="eastAsia" w:ascii="仿宋" w:hAnsi="仿宋" w:eastAsia="仿宋" w:cs="仿宋"/>
          <w:color w:val="auto"/>
          <w:kern w:val="0"/>
          <w:szCs w:val="21"/>
          <w:highlight w:val="none"/>
        </w:rPr>
        <w:fldChar w:fldCharType="end"/>
      </w:r>
    </w:p>
    <w:p w14:paraId="0B691FA5">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_Toc17204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二、申请人的资格要求：</w:t>
      </w:r>
      <w:r>
        <w:tab/>
      </w:r>
      <w:r>
        <w:fldChar w:fldCharType="begin"/>
      </w:r>
      <w:r>
        <w:instrText xml:space="preserve"> PAGEREF _Toc17204 \h </w:instrText>
      </w:r>
      <w:r>
        <w:fldChar w:fldCharType="separate"/>
      </w:r>
      <w:r>
        <w:t>50</w:t>
      </w:r>
      <w:r>
        <w:fldChar w:fldCharType="end"/>
      </w:r>
      <w:r>
        <w:rPr>
          <w:rFonts w:hint="eastAsia" w:ascii="仿宋" w:hAnsi="仿宋" w:eastAsia="仿宋" w:cs="仿宋"/>
          <w:color w:val="auto"/>
          <w:kern w:val="0"/>
          <w:szCs w:val="21"/>
          <w:highlight w:val="none"/>
        </w:rPr>
        <w:fldChar w:fldCharType="end"/>
      </w:r>
    </w:p>
    <w:p w14:paraId="6F316694">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_Toc7100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三、获取招标文件</w:t>
      </w:r>
      <w:r>
        <w:tab/>
      </w:r>
      <w:r>
        <w:fldChar w:fldCharType="begin"/>
      </w:r>
      <w:r>
        <w:instrText xml:space="preserve"> PAGEREF _Toc7100 \h </w:instrText>
      </w:r>
      <w:r>
        <w:fldChar w:fldCharType="separate"/>
      </w:r>
      <w:r>
        <w:t>52</w:t>
      </w:r>
      <w:r>
        <w:fldChar w:fldCharType="end"/>
      </w:r>
      <w:r>
        <w:rPr>
          <w:rFonts w:hint="eastAsia" w:ascii="仿宋" w:hAnsi="仿宋" w:eastAsia="仿宋" w:cs="仿宋"/>
          <w:color w:val="auto"/>
          <w:kern w:val="0"/>
          <w:szCs w:val="21"/>
          <w:highlight w:val="none"/>
        </w:rPr>
        <w:fldChar w:fldCharType="end"/>
      </w:r>
    </w:p>
    <w:p w14:paraId="35432701">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_Toc22220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四、提交投标文件截止时间、开标时间和地点</w:t>
      </w:r>
      <w:r>
        <w:tab/>
      </w:r>
      <w:r>
        <w:fldChar w:fldCharType="begin"/>
      </w:r>
      <w:r>
        <w:instrText xml:space="preserve"> PAGEREF _Toc22220 \h </w:instrText>
      </w:r>
      <w:r>
        <w:fldChar w:fldCharType="separate"/>
      </w:r>
      <w:r>
        <w:t>52</w:t>
      </w:r>
      <w:r>
        <w:fldChar w:fldCharType="end"/>
      </w:r>
      <w:r>
        <w:rPr>
          <w:rFonts w:hint="eastAsia" w:ascii="仿宋" w:hAnsi="仿宋" w:eastAsia="仿宋" w:cs="仿宋"/>
          <w:color w:val="auto"/>
          <w:kern w:val="0"/>
          <w:szCs w:val="21"/>
          <w:highlight w:val="none"/>
        </w:rPr>
        <w:fldChar w:fldCharType="end"/>
      </w:r>
    </w:p>
    <w:p w14:paraId="0E165214">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_Toc21967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lang w:val="en-US" w:eastAsia="zh-CN"/>
        </w:rPr>
        <w:t>五、公告期限</w:t>
      </w:r>
      <w:r>
        <w:tab/>
      </w:r>
      <w:r>
        <w:fldChar w:fldCharType="begin"/>
      </w:r>
      <w:r>
        <w:instrText xml:space="preserve"> PAGEREF _Toc21967 \h </w:instrText>
      </w:r>
      <w:r>
        <w:fldChar w:fldCharType="separate"/>
      </w:r>
      <w:r>
        <w:t>52</w:t>
      </w:r>
      <w:r>
        <w:fldChar w:fldCharType="end"/>
      </w:r>
      <w:r>
        <w:rPr>
          <w:rFonts w:hint="eastAsia" w:ascii="仿宋" w:hAnsi="仿宋" w:eastAsia="仿宋" w:cs="仿宋"/>
          <w:color w:val="auto"/>
          <w:kern w:val="0"/>
          <w:szCs w:val="21"/>
          <w:highlight w:val="none"/>
        </w:rPr>
        <w:fldChar w:fldCharType="end"/>
      </w:r>
    </w:p>
    <w:p w14:paraId="4524A17E">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_Toc3486 </w:instrText>
      </w:r>
      <w:r>
        <w:rPr>
          <w:rFonts w:hint="eastAsia" w:ascii="仿宋" w:hAnsi="仿宋" w:eastAsia="仿宋" w:cs="仿宋"/>
          <w:kern w:val="0"/>
          <w:szCs w:val="21"/>
          <w:highlight w:val="none"/>
        </w:rPr>
        <w:fldChar w:fldCharType="separate"/>
      </w:r>
      <w:r>
        <w:rPr>
          <w:rFonts w:hint="eastAsia" w:ascii="仿宋" w:hAnsi="仿宋" w:eastAsia="仿宋" w:cs="仿宋"/>
          <w:szCs w:val="24"/>
        </w:rPr>
        <w:t xml:space="preserve">六、 </w:t>
      </w:r>
      <w:r>
        <w:rPr>
          <w:rFonts w:hint="eastAsia" w:ascii="仿宋" w:hAnsi="仿宋" w:eastAsia="仿宋" w:cs="仿宋"/>
          <w:szCs w:val="24"/>
          <w:highlight w:val="none"/>
        </w:rPr>
        <w:t>其他补充事宜</w:t>
      </w:r>
      <w:r>
        <w:tab/>
      </w:r>
      <w:r>
        <w:fldChar w:fldCharType="begin"/>
      </w:r>
      <w:r>
        <w:instrText xml:space="preserve"> PAGEREF _Toc3486 \h </w:instrText>
      </w:r>
      <w:r>
        <w:fldChar w:fldCharType="separate"/>
      </w:r>
      <w:r>
        <w:t>52</w:t>
      </w:r>
      <w:r>
        <w:fldChar w:fldCharType="end"/>
      </w:r>
      <w:r>
        <w:rPr>
          <w:rFonts w:hint="eastAsia" w:ascii="仿宋" w:hAnsi="仿宋" w:eastAsia="仿宋" w:cs="仿宋"/>
          <w:color w:val="auto"/>
          <w:kern w:val="0"/>
          <w:szCs w:val="21"/>
          <w:highlight w:val="none"/>
        </w:rPr>
        <w:fldChar w:fldCharType="end"/>
      </w:r>
    </w:p>
    <w:p w14:paraId="5E0737F4">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_Toc14169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lang w:val="en-US" w:eastAsia="zh-CN"/>
        </w:rPr>
        <w:t>七、</w:t>
      </w:r>
      <w:r>
        <w:rPr>
          <w:rFonts w:hint="eastAsia" w:ascii="仿宋" w:hAnsi="仿宋" w:eastAsia="仿宋" w:cs="仿宋"/>
          <w:kern w:val="2"/>
          <w:szCs w:val="24"/>
          <w:lang w:val="en-US" w:eastAsia="zh-CN" w:bidi="ar-SA"/>
        </w:rPr>
        <w:t>凡对本次招标提出询问，请按以下方式联系</w:t>
      </w:r>
      <w:r>
        <w:tab/>
      </w:r>
      <w:r>
        <w:fldChar w:fldCharType="begin"/>
      </w:r>
      <w:r>
        <w:instrText xml:space="preserve"> PAGEREF _Toc14169 \h </w:instrText>
      </w:r>
      <w:r>
        <w:fldChar w:fldCharType="separate"/>
      </w:r>
      <w:r>
        <w:t>54</w:t>
      </w:r>
      <w:r>
        <w:fldChar w:fldCharType="end"/>
      </w:r>
      <w:r>
        <w:rPr>
          <w:rFonts w:hint="eastAsia" w:ascii="仿宋" w:hAnsi="仿宋" w:eastAsia="仿宋" w:cs="仿宋"/>
          <w:color w:val="auto"/>
          <w:kern w:val="0"/>
          <w:szCs w:val="21"/>
          <w:highlight w:val="none"/>
        </w:rPr>
        <w:fldChar w:fldCharType="end"/>
      </w:r>
    </w:p>
    <w:p w14:paraId="3729740B">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_Toc14241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第4章 投标人须知资料表</w:t>
      </w:r>
      <w:r>
        <w:tab/>
      </w:r>
      <w:r>
        <w:fldChar w:fldCharType="begin"/>
      </w:r>
      <w:r>
        <w:instrText xml:space="preserve"> PAGEREF _Toc14241 \h </w:instrText>
      </w:r>
      <w:r>
        <w:fldChar w:fldCharType="separate"/>
      </w:r>
      <w:r>
        <w:t>55</w:t>
      </w:r>
      <w:r>
        <w:fldChar w:fldCharType="end"/>
      </w:r>
      <w:r>
        <w:rPr>
          <w:rFonts w:hint="eastAsia" w:ascii="仿宋" w:hAnsi="仿宋" w:eastAsia="仿宋" w:cs="仿宋"/>
          <w:color w:val="auto"/>
          <w:kern w:val="0"/>
          <w:szCs w:val="21"/>
          <w:highlight w:val="none"/>
        </w:rPr>
        <w:fldChar w:fldCharType="end"/>
      </w:r>
    </w:p>
    <w:p w14:paraId="2583FD35">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_Toc11148 </w:instrText>
      </w:r>
      <w:r>
        <w:rPr>
          <w:rFonts w:hint="eastAsia" w:ascii="仿宋" w:hAnsi="仿宋" w:eastAsia="仿宋" w:cs="仿宋"/>
          <w:kern w:val="0"/>
          <w:szCs w:val="21"/>
          <w:highlight w:val="none"/>
        </w:rPr>
        <w:fldChar w:fldCharType="separate"/>
      </w:r>
      <w:r>
        <w:rPr>
          <w:rFonts w:hint="eastAsia" w:ascii="仿宋" w:hAnsi="仿宋" w:eastAsia="仿宋" w:cs="仿宋"/>
        </w:rPr>
        <w:t>第5章 货物需求一览表及技术规格</w:t>
      </w:r>
      <w:r>
        <w:tab/>
      </w:r>
      <w:r>
        <w:fldChar w:fldCharType="begin"/>
      </w:r>
      <w:r>
        <w:instrText xml:space="preserve"> PAGEREF _Toc11148 \h </w:instrText>
      </w:r>
      <w:r>
        <w:fldChar w:fldCharType="separate"/>
      </w:r>
      <w:r>
        <w:t>65</w:t>
      </w:r>
      <w:r>
        <w:fldChar w:fldCharType="end"/>
      </w:r>
      <w:r>
        <w:rPr>
          <w:rFonts w:hint="eastAsia" w:ascii="仿宋" w:hAnsi="仿宋" w:eastAsia="仿宋" w:cs="仿宋"/>
          <w:color w:val="auto"/>
          <w:kern w:val="0"/>
          <w:szCs w:val="21"/>
          <w:highlight w:val="none"/>
        </w:rPr>
        <w:fldChar w:fldCharType="end"/>
      </w:r>
    </w:p>
    <w:p w14:paraId="0BE3EA7C">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_Toc27122 </w:instrText>
      </w:r>
      <w:r>
        <w:rPr>
          <w:rFonts w:hint="eastAsia" w:ascii="仿宋" w:hAnsi="仿宋" w:eastAsia="仿宋" w:cs="仿宋"/>
          <w:kern w:val="0"/>
          <w:szCs w:val="21"/>
          <w:highlight w:val="none"/>
        </w:rPr>
        <w:fldChar w:fldCharType="separate"/>
      </w:r>
      <w:r>
        <w:rPr>
          <w:rFonts w:hint="eastAsia" w:ascii="仿宋" w:hAnsi="仿宋" w:eastAsia="仿宋" w:cs="仿宋"/>
          <w:szCs w:val="18"/>
          <w:lang w:val="en-US" w:eastAsia="zh-CN"/>
        </w:rPr>
        <w:t>第6章  评标方法和标准</w:t>
      </w:r>
      <w:r>
        <w:tab/>
      </w:r>
      <w:r>
        <w:fldChar w:fldCharType="begin"/>
      </w:r>
      <w:r>
        <w:instrText xml:space="preserve"> PAGEREF _Toc27122 \h </w:instrText>
      </w:r>
      <w:r>
        <w:fldChar w:fldCharType="separate"/>
      </w:r>
      <w:r>
        <w:t>70</w:t>
      </w:r>
      <w:r>
        <w:fldChar w:fldCharType="end"/>
      </w:r>
      <w:r>
        <w:rPr>
          <w:rFonts w:hint="eastAsia" w:ascii="仿宋" w:hAnsi="仿宋" w:eastAsia="仿宋" w:cs="仿宋"/>
          <w:color w:val="auto"/>
          <w:kern w:val="0"/>
          <w:szCs w:val="21"/>
          <w:highlight w:val="none"/>
        </w:rPr>
        <w:fldChar w:fldCharType="end"/>
      </w:r>
    </w:p>
    <w:p w14:paraId="5E95F149">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_Toc14078 </w:instrText>
      </w:r>
      <w:r>
        <w:rPr>
          <w:rFonts w:hint="eastAsia" w:ascii="仿宋" w:hAnsi="仿宋" w:eastAsia="仿宋" w:cs="仿宋"/>
          <w:kern w:val="0"/>
          <w:szCs w:val="21"/>
          <w:highlight w:val="none"/>
        </w:rPr>
        <w:fldChar w:fldCharType="separate"/>
      </w:r>
      <w:r>
        <w:rPr>
          <w:rFonts w:hint="default" w:ascii="宋体" w:hAnsi="宋体" w:eastAsia="宋体" w:cs="宋体"/>
          <w:bCs/>
          <w:spacing w:val="0"/>
          <w:w w:val="99"/>
          <w:szCs w:val="22"/>
        </w:rPr>
        <w:t xml:space="preserve">1. </w:t>
      </w:r>
      <w:r>
        <w:rPr>
          <w:rFonts w:hint="eastAsia" w:ascii="仿宋" w:hAnsi="仿宋" w:eastAsia="仿宋" w:cs="仿宋"/>
          <w:szCs w:val="24"/>
          <w:highlight w:val="none"/>
        </w:rPr>
        <w:t>总则</w:t>
      </w:r>
      <w:r>
        <w:tab/>
      </w:r>
      <w:r>
        <w:fldChar w:fldCharType="begin"/>
      </w:r>
      <w:r>
        <w:instrText xml:space="preserve"> PAGEREF _Toc14078 \h </w:instrText>
      </w:r>
      <w:r>
        <w:fldChar w:fldCharType="separate"/>
      </w:r>
      <w:r>
        <w:t>70</w:t>
      </w:r>
      <w:r>
        <w:fldChar w:fldCharType="end"/>
      </w:r>
      <w:r>
        <w:rPr>
          <w:rFonts w:hint="eastAsia" w:ascii="仿宋" w:hAnsi="仿宋" w:eastAsia="仿宋" w:cs="仿宋"/>
          <w:color w:val="auto"/>
          <w:kern w:val="0"/>
          <w:szCs w:val="21"/>
          <w:highlight w:val="none"/>
        </w:rPr>
        <w:fldChar w:fldCharType="end"/>
      </w:r>
    </w:p>
    <w:p w14:paraId="66A4401B">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_Toc29456 </w:instrText>
      </w:r>
      <w:r>
        <w:rPr>
          <w:rFonts w:hint="eastAsia" w:ascii="仿宋" w:hAnsi="仿宋" w:eastAsia="仿宋" w:cs="仿宋"/>
          <w:kern w:val="0"/>
          <w:szCs w:val="21"/>
          <w:highlight w:val="none"/>
        </w:rPr>
        <w:fldChar w:fldCharType="separate"/>
      </w:r>
      <w:r>
        <w:rPr>
          <w:rFonts w:hint="default" w:ascii="宋体" w:hAnsi="宋体" w:eastAsia="宋体" w:cs="宋体"/>
          <w:bCs/>
          <w:spacing w:val="0"/>
          <w:w w:val="99"/>
          <w:szCs w:val="22"/>
          <w:lang w:val="en-US" w:eastAsia="zh-CN"/>
        </w:rPr>
        <w:t xml:space="preserve">2. </w:t>
      </w:r>
      <w:r>
        <w:rPr>
          <w:rFonts w:hint="eastAsia" w:ascii="仿宋" w:hAnsi="仿宋" w:eastAsia="仿宋" w:cs="仿宋"/>
          <w:szCs w:val="24"/>
          <w:highlight w:val="none"/>
          <w:lang w:val="en-US" w:eastAsia="zh-CN"/>
        </w:rPr>
        <w:t>开标程序</w:t>
      </w:r>
      <w:r>
        <w:tab/>
      </w:r>
      <w:r>
        <w:fldChar w:fldCharType="begin"/>
      </w:r>
      <w:r>
        <w:instrText xml:space="preserve"> PAGEREF _Toc29456 \h </w:instrText>
      </w:r>
      <w:r>
        <w:fldChar w:fldCharType="separate"/>
      </w:r>
      <w:r>
        <w:t>70</w:t>
      </w:r>
      <w:r>
        <w:fldChar w:fldCharType="end"/>
      </w:r>
      <w:r>
        <w:rPr>
          <w:rFonts w:hint="eastAsia" w:ascii="仿宋" w:hAnsi="仿宋" w:eastAsia="仿宋" w:cs="仿宋"/>
          <w:color w:val="auto"/>
          <w:kern w:val="0"/>
          <w:szCs w:val="21"/>
          <w:highlight w:val="none"/>
        </w:rPr>
        <w:fldChar w:fldCharType="end"/>
      </w:r>
    </w:p>
    <w:p w14:paraId="17E8EE61">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_Toc24939 </w:instrText>
      </w:r>
      <w:r>
        <w:rPr>
          <w:rFonts w:hint="eastAsia" w:ascii="仿宋" w:hAnsi="仿宋" w:eastAsia="仿宋" w:cs="仿宋"/>
          <w:kern w:val="0"/>
          <w:szCs w:val="21"/>
          <w:highlight w:val="none"/>
        </w:rPr>
        <w:fldChar w:fldCharType="separate"/>
      </w:r>
      <w:r>
        <w:rPr>
          <w:rFonts w:hint="default" w:ascii="宋体" w:hAnsi="宋体" w:eastAsia="宋体" w:cs="宋体"/>
          <w:bCs/>
          <w:spacing w:val="0"/>
          <w:w w:val="99"/>
          <w:szCs w:val="22"/>
        </w:rPr>
        <w:t xml:space="preserve">3. </w:t>
      </w:r>
      <w:r>
        <w:rPr>
          <w:rFonts w:hint="eastAsia" w:ascii="仿宋" w:hAnsi="仿宋" w:eastAsia="仿宋" w:cs="仿宋"/>
          <w:szCs w:val="24"/>
          <w:highlight w:val="none"/>
        </w:rPr>
        <w:t>评标</w:t>
      </w:r>
      <w:r>
        <w:rPr>
          <w:rFonts w:hint="eastAsia" w:ascii="仿宋" w:hAnsi="仿宋" w:eastAsia="仿宋" w:cs="仿宋"/>
          <w:szCs w:val="24"/>
          <w:highlight w:val="none"/>
          <w:lang w:eastAsia="zh-CN"/>
        </w:rPr>
        <w:t>程序</w:t>
      </w:r>
      <w:r>
        <w:tab/>
      </w:r>
      <w:r>
        <w:fldChar w:fldCharType="begin"/>
      </w:r>
      <w:r>
        <w:instrText xml:space="preserve"> PAGEREF _Toc24939 \h </w:instrText>
      </w:r>
      <w:r>
        <w:fldChar w:fldCharType="separate"/>
      </w:r>
      <w:r>
        <w:t>70</w:t>
      </w:r>
      <w:r>
        <w:fldChar w:fldCharType="end"/>
      </w:r>
      <w:r>
        <w:rPr>
          <w:rFonts w:hint="eastAsia" w:ascii="仿宋" w:hAnsi="仿宋" w:eastAsia="仿宋" w:cs="仿宋"/>
          <w:color w:val="auto"/>
          <w:kern w:val="0"/>
          <w:szCs w:val="21"/>
          <w:highlight w:val="none"/>
        </w:rPr>
        <w:fldChar w:fldCharType="end"/>
      </w:r>
    </w:p>
    <w:p w14:paraId="18202B9D">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_Toc18970 </w:instrText>
      </w:r>
      <w:r>
        <w:rPr>
          <w:rFonts w:hint="eastAsia" w:ascii="仿宋" w:hAnsi="仿宋" w:eastAsia="仿宋" w:cs="仿宋"/>
          <w:kern w:val="0"/>
          <w:szCs w:val="21"/>
          <w:highlight w:val="none"/>
        </w:rPr>
        <w:fldChar w:fldCharType="separate"/>
      </w:r>
      <w:r>
        <w:rPr>
          <w:rFonts w:hint="default" w:ascii="宋体" w:hAnsi="宋体" w:eastAsia="宋体" w:cs="宋体"/>
          <w:bCs/>
          <w:spacing w:val="0"/>
          <w:w w:val="99"/>
          <w:szCs w:val="22"/>
        </w:rPr>
        <w:t xml:space="preserve">4. </w:t>
      </w:r>
      <w:r>
        <w:rPr>
          <w:rFonts w:hint="eastAsia" w:ascii="仿宋" w:hAnsi="仿宋" w:eastAsia="仿宋" w:cs="仿宋"/>
          <w:szCs w:val="24"/>
          <w:highlight w:val="none"/>
        </w:rPr>
        <w:t>定标程序</w:t>
      </w:r>
      <w:r>
        <w:tab/>
      </w:r>
      <w:r>
        <w:fldChar w:fldCharType="begin"/>
      </w:r>
      <w:r>
        <w:instrText xml:space="preserve"> PAGEREF _Toc18970 \h </w:instrText>
      </w:r>
      <w:r>
        <w:fldChar w:fldCharType="separate"/>
      </w:r>
      <w:r>
        <w:t>73</w:t>
      </w:r>
      <w:r>
        <w:fldChar w:fldCharType="end"/>
      </w:r>
      <w:r>
        <w:rPr>
          <w:rFonts w:hint="eastAsia" w:ascii="仿宋" w:hAnsi="仿宋" w:eastAsia="仿宋" w:cs="仿宋"/>
          <w:color w:val="auto"/>
          <w:kern w:val="0"/>
          <w:szCs w:val="21"/>
          <w:highlight w:val="none"/>
        </w:rPr>
        <w:fldChar w:fldCharType="end"/>
      </w:r>
    </w:p>
    <w:p w14:paraId="144AFE4D">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_Toc25212 </w:instrText>
      </w:r>
      <w:r>
        <w:rPr>
          <w:rFonts w:hint="eastAsia" w:ascii="仿宋" w:hAnsi="仿宋" w:eastAsia="仿宋" w:cs="仿宋"/>
          <w:kern w:val="0"/>
          <w:szCs w:val="21"/>
          <w:highlight w:val="none"/>
        </w:rPr>
        <w:fldChar w:fldCharType="separate"/>
      </w:r>
      <w:r>
        <w:rPr>
          <w:rFonts w:hint="default" w:ascii="宋体" w:hAnsi="宋体" w:eastAsia="宋体" w:cs="宋体"/>
          <w:bCs/>
          <w:spacing w:val="0"/>
          <w:w w:val="99"/>
          <w:szCs w:val="22"/>
        </w:rPr>
        <w:t xml:space="preserve">5. </w:t>
      </w:r>
      <w:r>
        <w:rPr>
          <w:rFonts w:hint="eastAsia" w:ascii="仿宋" w:hAnsi="仿宋" w:eastAsia="仿宋" w:cs="仿宋"/>
          <w:szCs w:val="24"/>
          <w:highlight w:val="none"/>
        </w:rPr>
        <w:t>评标细则及标准（综合评分法）</w:t>
      </w:r>
      <w:r>
        <w:tab/>
      </w:r>
      <w:r>
        <w:fldChar w:fldCharType="begin"/>
      </w:r>
      <w:r>
        <w:instrText xml:space="preserve"> PAGEREF _Toc25212 \h </w:instrText>
      </w:r>
      <w:r>
        <w:fldChar w:fldCharType="separate"/>
      </w:r>
      <w:r>
        <w:t>73</w:t>
      </w:r>
      <w:r>
        <w:fldChar w:fldCharType="end"/>
      </w:r>
      <w:r>
        <w:rPr>
          <w:rFonts w:hint="eastAsia" w:ascii="仿宋" w:hAnsi="仿宋" w:eastAsia="仿宋" w:cs="仿宋"/>
          <w:color w:val="auto"/>
          <w:kern w:val="0"/>
          <w:szCs w:val="21"/>
          <w:highlight w:val="none"/>
        </w:rPr>
        <w:fldChar w:fldCharType="end"/>
      </w:r>
    </w:p>
    <w:p w14:paraId="1E615B35">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_Toc6387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lang w:val="en-US" w:eastAsia="zh-CN"/>
        </w:rPr>
        <w:t>6.投标无效的情形：</w:t>
      </w:r>
      <w:r>
        <w:tab/>
      </w:r>
      <w:r>
        <w:fldChar w:fldCharType="begin"/>
      </w:r>
      <w:r>
        <w:instrText xml:space="preserve"> PAGEREF _Toc6387 \h </w:instrText>
      </w:r>
      <w:r>
        <w:fldChar w:fldCharType="separate"/>
      </w:r>
      <w:r>
        <w:t>74</w:t>
      </w:r>
      <w:r>
        <w:fldChar w:fldCharType="end"/>
      </w:r>
      <w:r>
        <w:rPr>
          <w:rFonts w:hint="eastAsia" w:ascii="仿宋" w:hAnsi="仿宋" w:eastAsia="仿宋" w:cs="仿宋"/>
          <w:color w:val="auto"/>
          <w:kern w:val="0"/>
          <w:szCs w:val="21"/>
          <w:highlight w:val="none"/>
        </w:rPr>
        <w:fldChar w:fldCharType="end"/>
      </w:r>
    </w:p>
    <w:p w14:paraId="1D7C4A76">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_Toc20969 </w:instrText>
      </w:r>
      <w:r>
        <w:rPr>
          <w:rFonts w:hint="eastAsia" w:ascii="仿宋" w:hAnsi="仿宋" w:eastAsia="仿宋" w:cs="仿宋"/>
          <w:kern w:val="0"/>
          <w:szCs w:val="21"/>
          <w:highlight w:val="none"/>
        </w:rPr>
        <w:fldChar w:fldCharType="separate"/>
      </w:r>
      <w:r>
        <w:rPr>
          <w:rFonts w:hint="eastAsia" w:ascii="仿宋" w:hAnsi="仿宋" w:eastAsia="仿宋" w:cs="仿宋"/>
          <w:bCs/>
          <w:spacing w:val="5"/>
          <w:szCs w:val="31"/>
        </w:rPr>
        <w:t>第7章</w:t>
      </w:r>
      <w:r>
        <w:rPr>
          <w:rFonts w:hint="eastAsia" w:ascii="仿宋" w:hAnsi="仿宋" w:eastAsia="仿宋" w:cs="仿宋"/>
          <w:spacing w:val="5"/>
          <w:szCs w:val="31"/>
        </w:rPr>
        <w:t xml:space="preserve"> </w:t>
      </w:r>
      <w:r>
        <w:rPr>
          <w:rFonts w:hint="eastAsia" w:ascii="仿宋" w:hAnsi="仿宋" w:eastAsia="仿宋" w:cs="仿宋"/>
          <w:bCs/>
          <w:spacing w:val="5"/>
          <w:szCs w:val="31"/>
        </w:rPr>
        <w:t>政府采购合同</w:t>
      </w:r>
      <w:r>
        <w:tab/>
      </w:r>
      <w:r>
        <w:fldChar w:fldCharType="begin"/>
      </w:r>
      <w:r>
        <w:instrText xml:space="preserve"> PAGEREF _Toc20969 \h </w:instrText>
      </w:r>
      <w:r>
        <w:fldChar w:fldCharType="separate"/>
      </w:r>
      <w:r>
        <w:t>86</w:t>
      </w:r>
      <w:r>
        <w:fldChar w:fldCharType="end"/>
      </w:r>
      <w:r>
        <w:rPr>
          <w:rFonts w:hint="eastAsia" w:ascii="仿宋" w:hAnsi="仿宋" w:eastAsia="仿宋" w:cs="仿宋"/>
          <w:color w:val="auto"/>
          <w:kern w:val="0"/>
          <w:szCs w:val="21"/>
          <w:highlight w:val="none"/>
        </w:rPr>
        <w:fldChar w:fldCharType="end"/>
      </w:r>
    </w:p>
    <w:p w14:paraId="54D357CD">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_Toc16491 </w:instrText>
      </w:r>
      <w:r>
        <w:rPr>
          <w:rFonts w:hint="eastAsia" w:ascii="仿宋" w:hAnsi="仿宋" w:eastAsia="仿宋" w:cs="仿宋"/>
          <w:kern w:val="0"/>
          <w:szCs w:val="21"/>
          <w:highlight w:val="none"/>
        </w:rPr>
        <w:fldChar w:fldCharType="separate"/>
      </w:r>
      <w:r>
        <w:rPr>
          <w:rFonts w:hint="eastAsia" w:ascii="黑体" w:hAnsi="黑体" w:eastAsia="黑体"/>
          <w:bCs w:val="0"/>
          <w:szCs w:val="28"/>
        </w:rPr>
        <w:t xml:space="preserve">第一节 </w:t>
      </w:r>
      <w:r>
        <w:rPr>
          <w:rFonts w:hint="eastAsia" w:ascii="黑体" w:hAnsi="华文中宋" w:eastAsia="黑体"/>
          <w:bCs w:val="0"/>
          <w:szCs w:val="28"/>
        </w:rPr>
        <w:t>政府采购合同协议书</w:t>
      </w:r>
      <w:r>
        <w:tab/>
      </w:r>
      <w:r>
        <w:fldChar w:fldCharType="begin"/>
      </w:r>
      <w:r>
        <w:instrText xml:space="preserve"> PAGEREF _Toc16491 \h </w:instrText>
      </w:r>
      <w:r>
        <w:fldChar w:fldCharType="separate"/>
      </w:r>
      <w:r>
        <w:t>88</w:t>
      </w:r>
      <w:r>
        <w:fldChar w:fldCharType="end"/>
      </w:r>
      <w:r>
        <w:rPr>
          <w:rFonts w:hint="eastAsia" w:ascii="仿宋" w:hAnsi="仿宋" w:eastAsia="仿宋" w:cs="仿宋"/>
          <w:color w:val="auto"/>
          <w:kern w:val="0"/>
          <w:szCs w:val="21"/>
          <w:highlight w:val="none"/>
        </w:rPr>
        <w:fldChar w:fldCharType="end"/>
      </w:r>
    </w:p>
    <w:p w14:paraId="1856D967">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_Toc23908 </w:instrText>
      </w:r>
      <w:r>
        <w:rPr>
          <w:rFonts w:hint="eastAsia" w:ascii="仿宋" w:hAnsi="仿宋" w:eastAsia="仿宋" w:cs="仿宋"/>
          <w:kern w:val="0"/>
          <w:szCs w:val="21"/>
          <w:highlight w:val="none"/>
        </w:rPr>
        <w:fldChar w:fldCharType="separate"/>
      </w:r>
      <w:r>
        <w:rPr>
          <w:rFonts w:hint="eastAsia" w:ascii="黑体" w:hAnsi="黑体" w:eastAsia="黑体"/>
          <w:bCs w:val="0"/>
          <w:szCs w:val="28"/>
        </w:rPr>
        <w:t>第二节 政府采购合同通用条款</w:t>
      </w:r>
      <w:r>
        <w:tab/>
      </w:r>
      <w:r>
        <w:fldChar w:fldCharType="begin"/>
      </w:r>
      <w:r>
        <w:instrText xml:space="preserve"> PAGEREF _Toc23908 \h </w:instrText>
      </w:r>
      <w:r>
        <w:fldChar w:fldCharType="separate"/>
      </w:r>
      <w:r>
        <w:t>93</w:t>
      </w:r>
      <w:r>
        <w:fldChar w:fldCharType="end"/>
      </w:r>
      <w:r>
        <w:rPr>
          <w:rFonts w:hint="eastAsia" w:ascii="仿宋" w:hAnsi="仿宋" w:eastAsia="仿宋" w:cs="仿宋"/>
          <w:color w:val="auto"/>
          <w:kern w:val="0"/>
          <w:szCs w:val="21"/>
          <w:highlight w:val="none"/>
        </w:rPr>
        <w:fldChar w:fldCharType="end"/>
      </w:r>
    </w:p>
    <w:p w14:paraId="391E5C31">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_Toc28394 </w:instrText>
      </w:r>
      <w:r>
        <w:rPr>
          <w:rFonts w:hint="eastAsia" w:ascii="仿宋" w:hAnsi="仿宋" w:eastAsia="仿宋" w:cs="仿宋"/>
          <w:kern w:val="0"/>
          <w:szCs w:val="21"/>
          <w:highlight w:val="none"/>
        </w:rPr>
        <w:fldChar w:fldCharType="separate"/>
      </w:r>
      <w:r>
        <w:rPr>
          <w:rFonts w:hint="eastAsia" w:ascii="黑体" w:hAnsi="华文中宋" w:eastAsia="黑体"/>
          <w:bCs w:val="0"/>
          <w:szCs w:val="28"/>
        </w:rPr>
        <w:t>第三节 政府采购合同专用条款</w:t>
      </w:r>
      <w:r>
        <w:tab/>
      </w:r>
      <w:r>
        <w:fldChar w:fldCharType="begin"/>
      </w:r>
      <w:r>
        <w:instrText xml:space="preserve"> PAGEREF _Toc28394 \h </w:instrText>
      </w:r>
      <w:r>
        <w:fldChar w:fldCharType="separate"/>
      </w:r>
      <w:r>
        <w:t>100</w:t>
      </w:r>
      <w:r>
        <w:fldChar w:fldCharType="end"/>
      </w:r>
      <w:r>
        <w:rPr>
          <w:rFonts w:hint="eastAsia" w:ascii="仿宋" w:hAnsi="仿宋" w:eastAsia="仿宋" w:cs="仿宋"/>
          <w:color w:val="auto"/>
          <w:kern w:val="0"/>
          <w:szCs w:val="21"/>
          <w:highlight w:val="none"/>
        </w:rPr>
        <w:fldChar w:fldCharType="end"/>
      </w:r>
    </w:p>
    <w:p w14:paraId="3B0757F7">
      <w:pPr>
        <w:numPr>
          <w:ilvl w:val="0"/>
          <w:numId w:val="0"/>
        </w:numPr>
        <w:tabs>
          <w:tab w:val="left" w:pos="0"/>
        </w:tabs>
        <w:spacing w:before="0" w:after="0" w:line="240" w:lineRule="atLeast"/>
        <w:ind w:leftChars="0"/>
        <w:jc w:val="both"/>
        <w:outlineLvl w:val="9"/>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fldChar w:fldCharType="end"/>
      </w:r>
      <w:r>
        <w:rPr>
          <w:rFonts w:hint="eastAsia" w:ascii="仿宋" w:hAnsi="仿宋" w:eastAsia="仿宋" w:cs="仿宋"/>
          <w:color w:val="auto"/>
          <w:kern w:val="0"/>
          <w:szCs w:val="21"/>
          <w:highlight w:val="none"/>
          <w:lang w:val="en-US" w:eastAsia="zh-CN"/>
        </w:rPr>
        <w:t xml:space="preserve">                        </w:t>
      </w:r>
    </w:p>
    <w:p w14:paraId="4EFEB6B0">
      <w:pPr>
        <w:numPr>
          <w:ilvl w:val="0"/>
          <w:numId w:val="0"/>
        </w:numPr>
        <w:tabs>
          <w:tab w:val="left" w:pos="0"/>
        </w:tabs>
        <w:spacing w:before="0" w:after="0" w:line="240" w:lineRule="atLeast"/>
        <w:ind w:firstLine="1890" w:firstLineChars="900"/>
        <w:jc w:val="both"/>
        <w:outlineLvl w:val="9"/>
        <w:rPr>
          <w:rFonts w:hint="eastAsia" w:ascii="仿宋" w:hAnsi="仿宋" w:eastAsia="仿宋" w:cs="仿宋"/>
          <w:color w:val="auto"/>
          <w:highlight w:val="none"/>
          <w:lang w:eastAsia="zh-CN"/>
        </w:rPr>
      </w:pPr>
    </w:p>
    <w:p w14:paraId="14DB47B1">
      <w:pPr>
        <w:numPr>
          <w:ilvl w:val="0"/>
          <w:numId w:val="0"/>
        </w:numPr>
        <w:tabs>
          <w:tab w:val="left" w:pos="0"/>
        </w:tabs>
        <w:spacing w:before="0" w:after="0" w:line="240" w:lineRule="atLeast"/>
        <w:jc w:val="both"/>
        <w:outlineLvl w:val="9"/>
        <w:rPr>
          <w:rFonts w:hint="eastAsia" w:ascii="仿宋" w:hAnsi="仿宋" w:eastAsia="仿宋" w:cs="仿宋"/>
          <w:color w:val="auto"/>
          <w:highlight w:val="none"/>
          <w:lang w:eastAsia="zh-CN"/>
        </w:rPr>
      </w:pPr>
    </w:p>
    <w:bookmarkEnd w:id="0"/>
    <w:bookmarkEnd w:id="1"/>
    <w:bookmarkEnd w:id="2"/>
    <w:bookmarkEnd w:id="3"/>
    <w:bookmarkEnd w:id="4"/>
    <w:p w14:paraId="706AB7E2">
      <w:pPr>
        <w:pStyle w:val="2"/>
        <w:numPr>
          <w:ilvl w:val="0"/>
          <w:numId w:val="0"/>
        </w:numPr>
        <w:tabs>
          <w:tab w:val="left" w:pos="0"/>
        </w:tabs>
        <w:spacing w:before="0" w:after="0" w:line="240" w:lineRule="atLeast"/>
        <w:ind w:firstLine="2880" w:firstLineChars="900"/>
        <w:jc w:val="both"/>
        <w:rPr>
          <w:rFonts w:hint="eastAsia" w:ascii="仿宋" w:hAnsi="仿宋" w:eastAsia="仿宋" w:cs="仿宋"/>
          <w:color w:val="auto"/>
          <w:highlight w:val="none"/>
          <w:lang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bookmarkStart w:id="5" w:name="_Toc520356144"/>
      <w:bookmarkStart w:id="6" w:name="_Toc32189"/>
      <w:bookmarkStart w:id="7" w:name="_Toc32623"/>
      <w:bookmarkStart w:id="8" w:name="_Toc515647758"/>
    </w:p>
    <w:p w14:paraId="28F6A323">
      <w:pPr>
        <w:pStyle w:val="2"/>
        <w:numPr>
          <w:ilvl w:val="0"/>
          <w:numId w:val="0"/>
        </w:numPr>
        <w:tabs>
          <w:tab w:val="left" w:pos="0"/>
        </w:tabs>
        <w:spacing w:before="0" w:after="0" w:line="240" w:lineRule="atLeast"/>
        <w:ind w:firstLine="2880" w:firstLineChars="900"/>
        <w:jc w:val="both"/>
        <w:rPr>
          <w:rFonts w:hint="eastAsia" w:ascii="仿宋" w:hAnsi="仿宋" w:eastAsia="仿宋" w:cs="仿宋"/>
          <w:color w:val="auto"/>
          <w:highlight w:val="none"/>
        </w:rPr>
      </w:pPr>
      <w:bookmarkStart w:id="9" w:name="_Toc10846"/>
      <w:r>
        <w:rPr>
          <w:rFonts w:hint="eastAsia" w:ascii="仿宋" w:hAnsi="仿宋" w:eastAsia="仿宋" w:cs="仿宋"/>
          <w:color w:val="auto"/>
          <w:highlight w:val="none"/>
          <w:lang w:eastAsia="zh-CN"/>
        </w:rPr>
        <w:t>第一章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投标人须知</w:t>
      </w:r>
      <w:bookmarkEnd w:id="9"/>
    </w:p>
    <w:p w14:paraId="192FE5FE">
      <w:pPr>
        <w:pStyle w:val="3"/>
        <w:spacing w:before="0" w:line="240" w:lineRule="atLeast"/>
        <w:ind w:firstLine="3640" w:firstLineChars="1300"/>
        <w:jc w:val="both"/>
        <w:rPr>
          <w:rFonts w:hint="eastAsia" w:ascii="仿宋" w:hAnsi="仿宋" w:eastAsia="仿宋" w:cs="仿宋"/>
          <w:color w:val="auto"/>
          <w:sz w:val="28"/>
          <w:highlight w:val="none"/>
        </w:rPr>
      </w:pPr>
      <w:bookmarkStart w:id="10" w:name="_Toc12395"/>
      <w:r>
        <w:rPr>
          <w:rFonts w:hint="eastAsia" w:ascii="仿宋" w:hAnsi="仿宋" w:eastAsia="仿宋" w:cs="仿宋"/>
          <w:color w:val="auto"/>
          <w:sz w:val="28"/>
          <w:highlight w:val="none"/>
        </w:rPr>
        <w:t>一   总 则</w:t>
      </w:r>
      <w:bookmarkEnd w:id="10"/>
    </w:p>
    <w:p w14:paraId="20777646">
      <w:pPr>
        <w:pStyle w:val="4"/>
        <w:spacing w:before="0" w:after="0" w:line="240" w:lineRule="atLeast"/>
        <w:rPr>
          <w:rFonts w:hint="eastAsia" w:ascii="仿宋" w:hAnsi="仿宋" w:eastAsia="仿宋" w:cs="仿宋"/>
          <w:color w:val="auto"/>
          <w:highlight w:val="none"/>
          <w:u w:val="none"/>
        </w:rPr>
      </w:pPr>
      <w:bookmarkStart w:id="11" w:name="_Toc32608"/>
      <w:r>
        <w:rPr>
          <w:rFonts w:hint="eastAsia" w:ascii="仿宋" w:hAnsi="仿宋" w:eastAsia="仿宋" w:cs="仿宋"/>
          <w:color w:val="auto"/>
          <w:highlight w:val="none"/>
          <w:u w:val="none"/>
        </w:rPr>
        <w:t>1.采购人、采购代理机构及</w:t>
      </w:r>
      <w:bookmarkEnd w:id="5"/>
      <w:r>
        <w:rPr>
          <w:rFonts w:hint="eastAsia" w:ascii="仿宋" w:hAnsi="仿宋" w:eastAsia="仿宋" w:cs="仿宋"/>
          <w:color w:val="auto"/>
          <w:highlight w:val="none"/>
          <w:u w:val="none"/>
        </w:rPr>
        <w:t>投标人</w:t>
      </w:r>
      <w:bookmarkEnd w:id="6"/>
      <w:bookmarkEnd w:id="7"/>
      <w:bookmarkEnd w:id="8"/>
      <w:bookmarkEnd w:id="11"/>
    </w:p>
    <w:p w14:paraId="7E1BA9C8">
      <w:pPr>
        <w:numPr>
          <w:ilvl w:val="1"/>
          <w:numId w:val="2"/>
        </w:numPr>
        <w:tabs>
          <w:tab w:val="left" w:pos="0"/>
          <w:tab w:val="clear" w:pos="900"/>
        </w:tabs>
        <w:spacing w:line="240" w:lineRule="atLeast"/>
        <w:ind w:hanging="898"/>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采购人：是指依法开展政府采购活动的国家机关、事业单位、团体组织。</w:t>
      </w:r>
    </w:p>
    <w:p w14:paraId="22C03E19">
      <w:pPr>
        <w:tabs>
          <w:tab w:val="left" w:pos="0"/>
        </w:tabs>
        <w:spacing w:line="240" w:lineRule="atLeast"/>
        <w:ind w:left="9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本项目的采购人见</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w:t>
      </w:r>
    </w:p>
    <w:p w14:paraId="746ACE28">
      <w:pPr>
        <w:numPr>
          <w:ilvl w:val="1"/>
          <w:numId w:val="2"/>
        </w:numPr>
        <w:tabs>
          <w:tab w:val="left" w:pos="0"/>
          <w:tab w:val="clear" w:pos="900"/>
        </w:tabs>
        <w:spacing w:line="240" w:lineRule="atLeast"/>
        <w:ind w:hanging="898"/>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采购代理机构：是指在集中采购机构或从事采购代理业务的社会中介机构。本项目的采购代理机构见</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w:t>
      </w:r>
    </w:p>
    <w:p w14:paraId="64C7A2C9">
      <w:pPr>
        <w:numPr>
          <w:ilvl w:val="1"/>
          <w:numId w:val="2"/>
        </w:numPr>
        <w:spacing w:line="240" w:lineRule="atLeast"/>
        <w:ind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投标人：是指向采购人提供货物、工程或者服务的法人、非法人组织或者自然人。本项目的投标人及其投标货物须满足以下条件：</w:t>
      </w:r>
    </w:p>
    <w:p w14:paraId="571B5EC3">
      <w:pPr>
        <w:spacing w:line="240" w:lineRule="atLeast"/>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在中华人民共和国境内注册，能够独立承担民事责任，有生产或供应能力的本国供应商。</w:t>
      </w:r>
    </w:p>
    <w:p w14:paraId="46E25E4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1.3.2  具备《中华人民共和国政府采购法》第二十二条关于供应商条件的规定，遵守本项目采购人本级和上级财政部门政府采购的有关规定。</w:t>
      </w:r>
    </w:p>
    <w:p w14:paraId="53FB5A9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1.3.3   以采购代理机构认可的方式获得了本项目的招标文件。</w:t>
      </w:r>
    </w:p>
    <w:p w14:paraId="657F1D0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1.3.4   符合</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中规定的其他要求。</w:t>
      </w:r>
    </w:p>
    <w:p w14:paraId="77EA53C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1.3.5   若</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中写明允许采购进口产品，投标人应保证所投产品可履行合法通关手续进入中国关境内。</w:t>
      </w:r>
    </w:p>
    <w:p w14:paraId="0947A1D0">
      <w:pPr>
        <w:spacing w:line="240" w:lineRule="atLeast"/>
        <w:ind w:left="898" w:leftChars="428"/>
        <w:rPr>
          <w:rFonts w:hint="eastAsia" w:ascii="仿宋" w:hAnsi="仿宋" w:eastAsia="仿宋" w:cs="仿宋"/>
          <w:color w:val="auto"/>
          <w:sz w:val="24"/>
          <w:highlight w:val="none"/>
        </w:rPr>
      </w:pPr>
      <w:r>
        <w:rPr>
          <w:rFonts w:hint="eastAsia" w:ascii="仿宋" w:hAnsi="仿宋" w:eastAsia="仿宋" w:cs="仿宋"/>
          <w:color w:val="auto"/>
          <w:sz w:val="24"/>
          <w:highlight w:val="none"/>
        </w:rPr>
        <w:t>若</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中未写明允许采购进口产品，如投标人所投产品为进口产品，其投标将被认定为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6729D678">
      <w:pPr>
        <w:spacing w:line="240" w:lineRule="atLeast"/>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1.3.6  若</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中写明专门面向中小企业采购的，如投标人为非中小企业</w:t>
      </w:r>
      <w:r>
        <w:rPr>
          <w:rFonts w:hint="eastAsia" w:ascii="仿宋" w:hAnsi="仿宋" w:eastAsia="仿宋" w:cs="仿宋"/>
          <w:color w:val="auto"/>
          <w:sz w:val="24"/>
          <w:highlight w:val="none"/>
          <w:lang w:eastAsia="zh-CN"/>
        </w:rPr>
        <w:t>（工程、服务）或</w:t>
      </w:r>
      <w:r>
        <w:rPr>
          <w:rFonts w:hint="eastAsia" w:ascii="仿宋" w:hAnsi="仿宋" w:eastAsia="仿宋" w:cs="仿宋"/>
          <w:color w:val="auto"/>
          <w:sz w:val="24"/>
          <w:highlight w:val="none"/>
        </w:rPr>
        <w:t>所投产品为非中小企业产品</w:t>
      </w:r>
      <w:r>
        <w:rPr>
          <w:rFonts w:hint="eastAsia" w:ascii="仿宋" w:hAnsi="仿宋" w:eastAsia="仿宋" w:cs="仿宋"/>
          <w:color w:val="auto"/>
          <w:sz w:val="24"/>
          <w:highlight w:val="none"/>
          <w:lang w:eastAsia="zh-CN"/>
        </w:rPr>
        <w:t>（货物）</w:t>
      </w:r>
      <w:r>
        <w:rPr>
          <w:rFonts w:hint="eastAsia" w:ascii="仿宋" w:hAnsi="仿宋" w:eastAsia="仿宋" w:cs="仿宋"/>
          <w:color w:val="auto"/>
          <w:sz w:val="24"/>
          <w:highlight w:val="none"/>
        </w:rPr>
        <w:t>，其投标将被认定为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5E00620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     如</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中允许联合体投标，对联合体规定如下：</w:t>
      </w:r>
    </w:p>
    <w:p w14:paraId="2F042B7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1.4.1   两个以上供应商可以组成一个投标联合体，以一个投标人的身份投标。</w:t>
      </w:r>
    </w:p>
    <w:p w14:paraId="68F0A82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1.4.2   联合体各方均应符合《中华人民共和国政府采购法》第二十二条规定的条件。</w:t>
      </w:r>
    </w:p>
    <w:p w14:paraId="116A33B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1.4.3   采购人根据采购项目对投标人的特殊要求，联合体中至少应当有一方符合相关规定。</w:t>
      </w:r>
    </w:p>
    <w:p w14:paraId="0BBC55E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1.4.4   联合体各方应签订共同投标协议，明确约定联合体各方承担的工作和相应的责任，并将共同投标协议连同作为投标文件第一部分的内容提交。</w:t>
      </w:r>
    </w:p>
    <w:p w14:paraId="3BA6F48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1.4.5   大中型企业、其他自然人、法人或者非法人组织与小型、微型企业组成联合体共同参加投标，共同投标协议中应写明小型、微型企业的协议合同金额占共同投标协议投标总金额的比例。</w:t>
      </w:r>
    </w:p>
    <w:p w14:paraId="5160E4C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1.4.6  联合体中有同类资质的供应商按照联合体分工承担相同工作的，按照较低的资质等级确定联合体的资质等级。</w:t>
      </w:r>
    </w:p>
    <w:p w14:paraId="13DE176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453D180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1.4.8   对联合体投标的其他资格要求见</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w:t>
      </w:r>
    </w:p>
    <w:p w14:paraId="18A96D2F">
      <w:pPr>
        <w:spacing w:line="240" w:lineRule="atLeast"/>
        <w:ind w:left="900" w:hanging="900" w:hangingChars="375"/>
        <w:rPr>
          <w:rFonts w:hint="eastAsia" w:ascii="仿宋" w:hAnsi="仿宋" w:eastAsia="仿宋" w:cs="仿宋"/>
          <w:color w:val="auto"/>
          <w:sz w:val="24"/>
          <w:highlight w:val="none"/>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仿宋" w:hAnsi="仿宋" w:eastAsia="仿宋" w:cs="仿宋"/>
          <w:color w:val="auto"/>
          <w:sz w:val="24"/>
          <w:highlight w:val="none"/>
        </w:rPr>
        <w:t>1.5    单位负责人为同一人或者存在直接控股、管理关系的不同供应商，其相</w:t>
      </w:r>
    </w:p>
    <w:p w14:paraId="7549764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关投标将被认定为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646A1DB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    为本项目提供过整体设计、规范编制或者项目管理、监理、检测等服务的供应商，不得再参加本项目上述服务以外的其他采购活动。否则其投标将被认定为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716D986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投标人在投标过程中不得向采购人提供、给予任何有价值的物品，影响其正常决策行为。一经发现，其将被认定为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4D422B54">
      <w:pPr>
        <w:pStyle w:val="4"/>
        <w:spacing w:before="0" w:after="0" w:line="240" w:lineRule="atLeast"/>
        <w:rPr>
          <w:rFonts w:hint="eastAsia" w:ascii="仿宋" w:hAnsi="仿宋" w:eastAsia="仿宋" w:cs="仿宋"/>
          <w:color w:val="auto"/>
          <w:highlight w:val="none"/>
          <w:u w:val="none"/>
        </w:rPr>
      </w:pPr>
      <w:bookmarkStart w:id="12" w:name="_Toc5286"/>
      <w:bookmarkStart w:id="13" w:name="_Toc6303"/>
      <w:bookmarkStart w:id="14" w:name="_Toc515647759"/>
      <w:bookmarkStart w:id="15" w:name="_Toc12139"/>
      <w:r>
        <w:rPr>
          <w:rFonts w:hint="eastAsia" w:ascii="仿宋" w:hAnsi="仿宋" w:eastAsia="仿宋" w:cs="仿宋"/>
          <w:color w:val="auto"/>
          <w:highlight w:val="none"/>
          <w:u w:val="none"/>
        </w:rPr>
        <w:t>2.资金来源</w:t>
      </w:r>
      <w:bookmarkEnd w:id="12"/>
      <w:bookmarkEnd w:id="13"/>
      <w:bookmarkEnd w:id="14"/>
      <w:bookmarkEnd w:id="15"/>
    </w:p>
    <w:p w14:paraId="409F7A1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本项目的采购人已获得足以支付本次招标后所签订的合同项下的资金（包括财政性资金和本项目采购中无法与财政性资金分割的非财政性资金）。</w:t>
      </w:r>
    </w:p>
    <w:p w14:paraId="0EF7AA1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    项目预算金额和分项或分包最高限价</w:t>
      </w:r>
      <w:r>
        <w:rPr>
          <w:rFonts w:hint="eastAsia" w:ascii="仿宋" w:hAnsi="仿宋" w:eastAsia="仿宋" w:cs="仿宋"/>
          <w:color w:val="auto"/>
          <w:sz w:val="24"/>
          <w:highlight w:val="none"/>
          <w:u w:val="single"/>
        </w:rPr>
        <w:t>见投标人须知资料表</w:t>
      </w:r>
      <w:r>
        <w:rPr>
          <w:rFonts w:hint="eastAsia" w:ascii="仿宋" w:hAnsi="仿宋" w:eastAsia="仿宋" w:cs="仿宋"/>
          <w:color w:val="auto"/>
          <w:sz w:val="24"/>
          <w:highlight w:val="none"/>
        </w:rPr>
        <w:t>。</w:t>
      </w:r>
    </w:p>
    <w:p w14:paraId="7B63F97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2.3    投标人报价超过招标文件规定的预算金额或者分项、分包最高限价的，其投标将被认定为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1B5BB631">
      <w:pPr>
        <w:pStyle w:val="4"/>
        <w:spacing w:before="0" w:after="0" w:line="240" w:lineRule="atLeast"/>
        <w:rPr>
          <w:rFonts w:hint="eastAsia" w:ascii="仿宋" w:hAnsi="仿宋" w:eastAsia="仿宋" w:cs="仿宋"/>
          <w:color w:val="auto"/>
          <w:highlight w:val="none"/>
          <w:u w:val="none"/>
        </w:rPr>
      </w:pPr>
      <w:bookmarkStart w:id="16" w:name="_Toc15936"/>
      <w:bookmarkStart w:id="17" w:name="_Toc20526"/>
      <w:bookmarkStart w:id="18" w:name="_Toc515647760"/>
      <w:bookmarkStart w:id="19" w:name="_Toc520356145"/>
      <w:bookmarkStart w:id="20" w:name="_Toc32314"/>
      <w:r>
        <w:rPr>
          <w:rFonts w:hint="eastAsia" w:ascii="仿宋" w:hAnsi="仿宋" w:eastAsia="仿宋" w:cs="仿宋"/>
          <w:color w:val="auto"/>
          <w:highlight w:val="none"/>
          <w:u w:val="none"/>
        </w:rPr>
        <w:t>3.投标费用</w:t>
      </w:r>
      <w:bookmarkEnd w:id="16"/>
      <w:bookmarkEnd w:id="17"/>
      <w:bookmarkEnd w:id="18"/>
      <w:bookmarkEnd w:id="19"/>
      <w:bookmarkEnd w:id="20"/>
    </w:p>
    <w:p w14:paraId="5ED1BC0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不论投标的结果如何，投标人应承担所有与准备和参加投标有关的费用。</w:t>
      </w:r>
    </w:p>
    <w:p w14:paraId="4FD3DE0A">
      <w:pPr>
        <w:pStyle w:val="4"/>
        <w:spacing w:before="0" w:after="0" w:line="240" w:lineRule="atLeast"/>
        <w:rPr>
          <w:rFonts w:hint="eastAsia" w:ascii="仿宋" w:hAnsi="仿宋" w:eastAsia="仿宋" w:cs="仿宋"/>
          <w:color w:val="auto"/>
          <w:highlight w:val="none"/>
          <w:u w:val="none"/>
        </w:rPr>
      </w:pPr>
      <w:bookmarkStart w:id="21" w:name="_Toc11856"/>
      <w:bookmarkStart w:id="22" w:name="_Toc6116"/>
      <w:bookmarkStart w:id="23" w:name="_Toc4463"/>
      <w:bookmarkStart w:id="24" w:name="_Toc515647761"/>
      <w:r>
        <w:rPr>
          <w:rFonts w:hint="eastAsia" w:ascii="仿宋" w:hAnsi="仿宋" w:eastAsia="仿宋" w:cs="仿宋"/>
          <w:color w:val="auto"/>
          <w:highlight w:val="none"/>
          <w:u w:val="none"/>
        </w:rPr>
        <w:t>4.适用法律</w:t>
      </w:r>
      <w:bookmarkEnd w:id="21"/>
      <w:bookmarkEnd w:id="22"/>
      <w:bookmarkEnd w:id="23"/>
      <w:bookmarkEnd w:id="24"/>
    </w:p>
    <w:p w14:paraId="617DE81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本项目采购人、采购代理机构、投标人、评标委员会的相关行为均受《中华人民共和国政府采购法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中华人民共和国政府采购法实施条例</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政府采购货物和服务招标投标管理办法》（财政部第 </w:t>
      </w:r>
      <w:r>
        <w:rPr>
          <w:rFonts w:hint="eastAsia" w:ascii="仿宋" w:hAnsi="仿宋" w:eastAsia="仿宋" w:cs="仿宋"/>
          <w:color w:val="auto"/>
          <w:sz w:val="24"/>
          <w:highlight w:val="none"/>
          <w:lang w:val="en-US" w:eastAsia="zh-CN"/>
        </w:rPr>
        <w:t>87</w:t>
      </w:r>
      <w:r>
        <w:rPr>
          <w:rFonts w:hint="eastAsia" w:ascii="仿宋" w:hAnsi="仿宋" w:eastAsia="仿宋" w:cs="仿宋"/>
          <w:color w:val="auto"/>
          <w:sz w:val="24"/>
          <w:highlight w:val="none"/>
        </w:rPr>
        <w:t xml:space="preserve"> 号令）</w:t>
      </w:r>
      <w:r>
        <w:rPr>
          <w:rFonts w:hint="eastAsia" w:ascii="仿宋" w:hAnsi="仿宋" w:eastAsia="仿宋" w:cs="仿宋"/>
          <w:color w:val="auto"/>
          <w:sz w:val="24"/>
          <w:highlight w:val="none"/>
          <w:lang w:val="en-US" w:eastAsia="zh-CN"/>
        </w:rPr>
        <w:t>等</w:t>
      </w:r>
      <w:r>
        <w:rPr>
          <w:rFonts w:hint="eastAsia" w:ascii="仿宋" w:hAnsi="仿宋" w:eastAsia="仿宋" w:cs="仿宋"/>
          <w:color w:val="auto"/>
          <w:sz w:val="24"/>
          <w:highlight w:val="none"/>
        </w:rPr>
        <w:t>本项目本级和上级财政部门政府采购有关规定的约束，其权利受到上述法律法规的保护。</w:t>
      </w:r>
    </w:p>
    <w:p w14:paraId="3D7AF64F">
      <w:pPr>
        <w:spacing w:line="240" w:lineRule="atLeast"/>
        <w:rPr>
          <w:rFonts w:hint="eastAsia" w:ascii="仿宋" w:hAnsi="仿宋" w:eastAsia="仿宋" w:cs="仿宋"/>
          <w:color w:val="auto"/>
          <w:sz w:val="24"/>
          <w:highlight w:val="none"/>
        </w:rPr>
      </w:pPr>
    </w:p>
    <w:p w14:paraId="048C069F">
      <w:pPr>
        <w:pStyle w:val="3"/>
        <w:spacing w:before="0" w:line="240" w:lineRule="atLeast"/>
        <w:ind w:left="1079" w:leftChars="257" w:hanging="540"/>
        <w:rPr>
          <w:rFonts w:hint="eastAsia" w:ascii="仿宋" w:hAnsi="仿宋" w:eastAsia="仿宋" w:cs="仿宋"/>
          <w:color w:val="auto"/>
          <w:sz w:val="28"/>
          <w:highlight w:val="none"/>
        </w:rPr>
      </w:pPr>
      <w:bookmarkStart w:id="25" w:name="_Toc23692"/>
      <w:bookmarkStart w:id="26" w:name="_Toc4365"/>
      <w:bookmarkStart w:id="27" w:name="_Toc520356146"/>
      <w:bookmarkStart w:id="28" w:name="_Toc216582806"/>
      <w:bookmarkStart w:id="29" w:name="_Toc515647762"/>
      <w:bookmarkStart w:id="30" w:name="_Toc21566"/>
      <w:r>
        <w:rPr>
          <w:rFonts w:hint="eastAsia" w:ascii="仿宋" w:hAnsi="仿宋" w:eastAsia="仿宋" w:cs="仿宋"/>
          <w:color w:val="auto"/>
          <w:sz w:val="28"/>
          <w:highlight w:val="none"/>
        </w:rPr>
        <w:t>二   招标文件</w:t>
      </w:r>
      <w:bookmarkEnd w:id="25"/>
      <w:bookmarkEnd w:id="26"/>
      <w:bookmarkEnd w:id="27"/>
      <w:bookmarkEnd w:id="28"/>
      <w:bookmarkEnd w:id="29"/>
      <w:bookmarkEnd w:id="30"/>
    </w:p>
    <w:p w14:paraId="064E41EC">
      <w:pPr>
        <w:pStyle w:val="9"/>
        <w:rPr>
          <w:rFonts w:hint="eastAsia" w:ascii="仿宋" w:hAnsi="仿宋" w:eastAsia="仿宋" w:cs="仿宋"/>
          <w:color w:val="auto"/>
          <w:highlight w:val="none"/>
        </w:rPr>
      </w:pPr>
    </w:p>
    <w:p w14:paraId="4B9FA164">
      <w:pPr>
        <w:pStyle w:val="4"/>
        <w:spacing w:before="0" w:after="0" w:line="240" w:lineRule="atLeast"/>
        <w:rPr>
          <w:rFonts w:hint="eastAsia" w:ascii="仿宋" w:hAnsi="仿宋" w:eastAsia="仿宋" w:cs="仿宋"/>
          <w:color w:val="auto"/>
          <w:highlight w:val="none"/>
          <w:u w:val="none"/>
        </w:rPr>
      </w:pPr>
      <w:bookmarkStart w:id="31" w:name="_Toc25743"/>
      <w:bookmarkStart w:id="32" w:name="_Toc515647763"/>
      <w:bookmarkStart w:id="33" w:name="_Toc520356147"/>
      <w:bookmarkStart w:id="34" w:name="_Toc14084"/>
      <w:bookmarkStart w:id="35" w:name="_Toc13010"/>
      <w:r>
        <w:rPr>
          <w:rFonts w:hint="eastAsia" w:ascii="仿宋" w:hAnsi="仿宋" w:eastAsia="仿宋" w:cs="仿宋"/>
          <w:color w:val="auto"/>
          <w:highlight w:val="none"/>
          <w:u w:val="none"/>
        </w:rPr>
        <w:t>5.招标文件构成</w:t>
      </w:r>
      <w:bookmarkEnd w:id="31"/>
      <w:bookmarkEnd w:id="32"/>
      <w:bookmarkEnd w:id="33"/>
      <w:bookmarkEnd w:id="34"/>
      <w:bookmarkEnd w:id="35"/>
    </w:p>
    <w:p w14:paraId="546FE70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招标文件分为三册共7章，内容如下：</w:t>
      </w:r>
    </w:p>
    <w:p w14:paraId="5D74E3B1">
      <w:pPr>
        <w:spacing w:line="240" w:lineRule="atLeast"/>
        <w:ind w:left="1078" w:leftChars="428" w:hanging="180" w:hangingChars="75"/>
        <w:rPr>
          <w:rFonts w:hint="eastAsia" w:ascii="仿宋" w:hAnsi="仿宋" w:eastAsia="仿宋" w:cs="仿宋"/>
          <w:color w:val="auto"/>
          <w:sz w:val="24"/>
          <w:highlight w:val="none"/>
        </w:rPr>
      </w:pPr>
      <w:r>
        <w:rPr>
          <w:rFonts w:hint="eastAsia" w:ascii="仿宋" w:hAnsi="仿宋" w:eastAsia="仿宋" w:cs="仿宋"/>
          <w:color w:val="auto"/>
          <w:sz w:val="24"/>
          <w:highlight w:val="none"/>
        </w:rPr>
        <w:t>第一册</w:t>
      </w:r>
    </w:p>
    <w:p w14:paraId="3A3F7AEB">
      <w:pPr>
        <w:numPr>
          <w:ilvl w:val="0"/>
          <w:numId w:val="3"/>
        </w:numPr>
        <w:tabs>
          <w:tab w:val="left" w:pos="0"/>
        </w:tabs>
        <w:spacing w:line="240" w:lineRule="atLeast"/>
        <w:ind w:hanging="82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投标人须知</w:t>
      </w:r>
    </w:p>
    <w:p w14:paraId="7E329E2C">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投标文件格式</w:t>
      </w:r>
    </w:p>
    <w:p w14:paraId="0CC8830B">
      <w:p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第二册</w:t>
      </w:r>
    </w:p>
    <w:p w14:paraId="18A862DE">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投标邀请</w:t>
      </w:r>
    </w:p>
    <w:p w14:paraId="224C0FCF">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投标人须知资料表</w:t>
      </w:r>
    </w:p>
    <w:p w14:paraId="64784C83">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货物需求一览表及技术规格</w:t>
      </w:r>
    </w:p>
    <w:p w14:paraId="2164566A">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评标方法和标准</w:t>
      </w:r>
    </w:p>
    <w:p w14:paraId="4B518199">
      <w:pPr>
        <w:spacing w:line="240" w:lineRule="atLeast"/>
        <w:ind w:left="901"/>
        <w:rPr>
          <w:rFonts w:hint="eastAsia" w:ascii="仿宋" w:hAnsi="仿宋" w:eastAsia="仿宋" w:cs="仿宋"/>
          <w:color w:val="auto"/>
          <w:sz w:val="24"/>
          <w:highlight w:val="none"/>
        </w:rPr>
      </w:pPr>
      <w:r>
        <w:rPr>
          <w:rFonts w:hint="eastAsia" w:ascii="仿宋" w:hAnsi="仿宋" w:eastAsia="仿宋" w:cs="仿宋"/>
          <w:color w:val="auto"/>
          <w:sz w:val="24"/>
          <w:highlight w:val="none"/>
        </w:rPr>
        <w:t>第三册</w:t>
      </w:r>
    </w:p>
    <w:p w14:paraId="5918E167">
      <w:pPr>
        <w:numPr>
          <w:ilvl w:val="0"/>
          <w:numId w:val="3"/>
        </w:numPr>
        <w:spacing w:line="240" w:lineRule="atLeast"/>
        <w:ind w:left="718" w:leftChars="342"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政府采购合同格式</w:t>
      </w:r>
    </w:p>
    <w:p w14:paraId="0E8348D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如本文件的前后内容不一致，以最后描述为准。</w:t>
      </w:r>
    </w:p>
    <w:p w14:paraId="3ED0E41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25B08455">
      <w:pPr>
        <w:pStyle w:val="4"/>
        <w:spacing w:before="0" w:after="0" w:line="240" w:lineRule="atLeast"/>
        <w:rPr>
          <w:rFonts w:hint="eastAsia" w:ascii="仿宋" w:hAnsi="仿宋" w:eastAsia="仿宋" w:cs="仿宋"/>
          <w:color w:val="auto"/>
          <w:highlight w:val="none"/>
          <w:u w:val="none"/>
        </w:rPr>
      </w:pPr>
      <w:bookmarkStart w:id="36" w:name="_Toc515904805"/>
      <w:bookmarkStart w:id="37" w:name="_Toc520356148"/>
      <w:bookmarkStart w:id="38" w:name="_Toc30655"/>
      <w:bookmarkStart w:id="39" w:name="_Toc26044"/>
      <w:bookmarkStart w:id="40" w:name="_Toc9232"/>
      <w:r>
        <w:rPr>
          <w:rFonts w:hint="eastAsia" w:ascii="仿宋" w:hAnsi="仿宋" w:eastAsia="仿宋" w:cs="仿宋"/>
          <w:color w:val="auto"/>
          <w:highlight w:val="none"/>
          <w:u w:val="none"/>
        </w:rPr>
        <w:t>6.招标文件的澄清</w:t>
      </w:r>
      <w:bookmarkEnd w:id="36"/>
      <w:bookmarkEnd w:id="37"/>
      <w:r>
        <w:rPr>
          <w:rFonts w:hint="eastAsia" w:ascii="仿宋" w:hAnsi="仿宋" w:eastAsia="仿宋" w:cs="仿宋"/>
          <w:color w:val="auto"/>
          <w:highlight w:val="none"/>
          <w:u w:val="none"/>
        </w:rPr>
        <w:t>与修改</w:t>
      </w:r>
      <w:bookmarkEnd w:id="38"/>
      <w:bookmarkEnd w:id="39"/>
      <w:bookmarkEnd w:id="40"/>
    </w:p>
    <w:p w14:paraId="10FC0B4B">
      <w:pPr>
        <w:pStyle w:val="9"/>
        <w:ind w:left="840" w:hanging="840" w:hangingChars="350"/>
        <w:rPr>
          <w:rFonts w:hint="eastAsia" w:ascii="仿宋" w:hAnsi="仿宋" w:eastAsia="仿宋" w:cs="仿宋"/>
          <w:color w:val="auto"/>
          <w:szCs w:val="24"/>
          <w:highlight w:val="none"/>
        </w:rPr>
      </w:pPr>
      <w:r>
        <w:rPr>
          <w:rFonts w:hint="eastAsia" w:ascii="仿宋" w:hAnsi="仿宋" w:eastAsia="仿宋" w:cs="仿宋"/>
          <w:color w:val="auto"/>
          <w:szCs w:val="24"/>
          <w:highlight w:val="none"/>
        </w:rPr>
        <w:t>6.1    为了保证对招标文件的澄清和修改满足法律的时限要求，任何要求对招标文件进行澄清的投标人，均应在投标截止期十五日前，以书面形式将澄清要求通知采购人或采购代理机构。</w:t>
      </w:r>
    </w:p>
    <w:p w14:paraId="645679A4">
      <w:pPr>
        <w:pStyle w:val="9"/>
        <w:ind w:left="840" w:hanging="840" w:hangingChars="350"/>
        <w:rPr>
          <w:rFonts w:hint="eastAsia" w:ascii="仿宋" w:hAnsi="仿宋" w:eastAsia="仿宋" w:cs="仿宋"/>
          <w:color w:val="auto"/>
          <w:szCs w:val="24"/>
          <w:highlight w:val="none"/>
        </w:rPr>
      </w:pPr>
      <w:bookmarkStart w:id="41" w:name="_Toc520356149"/>
      <w:bookmarkStart w:id="42" w:name="_Ref467378678"/>
      <w:bookmarkStart w:id="43" w:name="_Toc515904806"/>
      <w:r>
        <w:rPr>
          <w:rFonts w:hint="eastAsia" w:ascii="仿宋" w:hAnsi="仿宋" w:eastAsia="仿宋" w:cs="仿宋"/>
          <w:color w:val="auto"/>
          <w:szCs w:val="24"/>
          <w:highlight w:val="none"/>
        </w:rPr>
        <w:t>6.2</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14:paraId="3E39CCB7">
      <w:pPr>
        <w:pStyle w:val="9"/>
        <w:ind w:left="840" w:hanging="840" w:hangingChars="350"/>
        <w:rPr>
          <w:rFonts w:hint="eastAsia" w:ascii="仿宋" w:hAnsi="仿宋" w:eastAsia="仿宋" w:cs="仿宋"/>
          <w:color w:val="auto"/>
          <w:szCs w:val="24"/>
          <w:highlight w:val="none"/>
        </w:rPr>
      </w:pPr>
      <w:r>
        <w:rPr>
          <w:rFonts w:hint="eastAsia" w:ascii="仿宋" w:hAnsi="仿宋" w:eastAsia="仿宋" w:cs="仿宋"/>
          <w:color w:val="auto"/>
          <w:szCs w:val="24"/>
          <w:highlight w:val="none"/>
        </w:rPr>
        <w:t>6.3</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14:paraId="2D92D24A">
      <w:pPr>
        <w:pStyle w:val="4"/>
        <w:tabs>
          <w:tab w:val="left" w:pos="900"/>
        </w:tabs>
        <w:spacing w:before="0" w:after="0" w:line="240" w:lineRule="atLeast"/>
        <w:rPr>
          <w:rFonts w:hint="eastAsia" w:ascii="仿宋" w:hAnsi="仿宋" w:eastAsia="仿宋" w:cs="仿宋"/>
          <w:color w:val="auto"/>
          <w:highlight w:val="none"/>
          <w:u w:val="none"/>
        </w:rPr>
      </w:pPr>
      <w:bookmarkStart w:id="44" w:name="_Toc20906"/>
      <w:bookmarkStart w:id="45" w:name="_Toc14569"/>
      <w:bookmarkStart w:id="46" w:name="_Toc25635"/>
      <w:r>
        <w:rPr>
          <w:rFonts w:hint="eastAsia" w:ascii="仿宋" w:hAnsi="仿宋" w:eastAsia="仿宋" w:cs="仿宋"/>
          <w:color w:val="auto"/>
          <w:highlight w:val="none"/>
          <w:u w:val="none"/>
        </w:rPr>
        <w:t>7</w:t>
      </w:r>
      <w:bookmarkEnd w:id="41"/>
      <w:bookmarkEnd w:id="42"/>
      <w:bookmarkEnd w:id="43"/>
      <w:r>
        <w:rPr>
          <w:rFonts w:hint="eastAsia" w:ascii="仿宋" w:hAnsi="仿宋" w:eastAsia="仿宋" w:cs="仿宋"/>
          <w:color w:val="auto"/>
          <w:highlight w:val="none"/>
          <w:u w:val="none"/>
        </w:rPr>
        <w:t>.投标截止时间的顺延</w:t>
      </w:r>
      <w:bookmarkEnd w:id="44"/>
      <w:bookmarkEnd w:id="45"/>
      <w:bookmarkEnd w:id="46"/>
    </w:p>
    <w:p w14:paraId="5E7FDC9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为使投标人准备投标时有足够的时间对招标文件的澄清或者修改部分进行研究，采购人将依法决定是否顺延投标截止时间。</w:t>
      </w:r>
    </w:p>
    <w:p w14:paraId="01546988">
      <w:pPr>
        <w:spacing w:line="240" w:lineRule="atLeast"/>
        <w:ind w:left="900" w:hanging="900" w:hangingChars="375"/>
        <w:rPr>
          <w:rFonts w:hint="eastAsia" w:ascii="仿宋" w:hAnsi="仿宋" w:eastAsia="仿宋" w:cs="仿宋"/>
          <w:color w:val="auto"/>
          <w:sz w:val="24"/>
          <w:highlight w:val="none"/>
        </w:rPr>
      </w:pPr>
    </w:p>
    <w:p w14:paraId="7F6181E0">
      <w:pPr>
        <w:pStyle w:val="3"/>
        <w:tabs>
          <w:tab w:val="left" w:pos="900"/>
        </w:tabs>
        <w:spacing w:before="0" w:line="240" w:lineRule="atLeast"/>
        <w:ind w:left="1079" w:leftChars="257" w:hanging="540"/>
        <w:rPr>
          <w:rFonts w:hint="eastAsia" w:ascii="仿宋" w:hAnsi="仿宋" w:eastAsia="仿宋" w:cs="仿宋"/>
          <w:color w:val="auto"/>
          <w:sz w:val="28"/>
          <w:highlight w:val="none"/>
        </w:rPr>
      </w:pPr>
      <w:bookmarkStart w:id="47" w:name="_Toc516367020"/>
      <w:bookmarkStart w:id="48" w:name="_Toc520356150"/>
      <w:bookmarkStart w:id="49" w:name="_Toc30808"/>
      <w:bookmarkStart w:id="50" w:name="_Toc515647766"/>
      <w:bookmarkStart w:id="51" w:name="_Toc2562"/>
      <w:bookmarkStart w:id="52" w:name="_Toc7636"/>
      <w:bookmarkStart w:id="53" w:name="_Toc216582807"/>
      <w:r>
        <w:rPr>
          <w:rFonts w:hint="eastAsia" w:ascii="仿宋" w:hAnsi="仿宋" w:eastAsia="仿宋" w:cs="仿宋"/>
          <w:color w:val="auto"/>
          <w:sz w:val="28"/>
          <w:highlight w:val="none"/>
        </w:rPr>
        <w:t>三   投标文件</w:t>
      </w:r>
      <w:bookmarkEnd w:id="47"/>
      <w:r>
        <w:rPr>
          <w:rFonts w:hint="eastAsia" w:ascii="仿宋" w:hAnsi="仿宋" w:eastAsia="仿宋" w:cs="仿宋"/>
          <w:color w:val="auto"/>
          <w:sz w:val="28"/>
          <w:highlight w:val="none"/>
        </w:rPr>
        <w:t>的编制</w:t>
      </w:r>
      <w:bookmarkEnd w:id="48"/>
      <w:bookmarkEnd w:id="49"/>
      <w:bookmarkEnd w:id="50"/>
      <w:bookmarkEnd w:id="51"/>
      <w:bookmarkEnd w:id="52"/>
      <w:bookmarkEnd w:id="53"/>
    </w:p>
    <w:p w14:paraId="661CB08F">
      <w:pPr>
        <w:pStyle w:val="9"/>
        <w:rPr>
          <w:rFonts w:hint="eastAsia" w:ascii="仿宋" w:hAnsi="仿宋" w:eastAsia="仿宋" w:cs="仿宋"/>
          <w:color w:val="auto"/>
          <w:highlight w:val="none"/>
        </w:rPr>
      </w:pPr>
    </w:p>
    <w:p w14:paraId="2CB238D5">
      <w:pPr>
        <w:pStyle w:val="4"/>
        <w:tabs>
          <w:tab w:val="left" w:pos="900"/>
        </w:tabs>
        <w:spacing w:before="0" w:after="0" w:line="240" w:lineRule="atLeast"/>
        <w:rPr>
          <w:rFonts w:hint="eastAsia" w:ascii="仿宋" w:hAnsi="仿宋" w:eastAsia="仿宋" w:cs="仿宋"/>
          <w:color w:val="auto"/>
          <w:highlight w:val="none"/>
          <w:u w:val="none"/>
        </w:rPr>
      </w:pPr>
      <w:bookmarkStart w:id="54" w:name="_Toc3615"/>
      <w:bookmarkStart w:id="55" w:name="_Toc3553"/>
      <w:bookmarkStart w:id="56" w:name="_Toc7786"/>
      <w:bookmarkStart w:id="57" w:name="_Toc515647767"/>
      <w:bookmarkStart w:id="58" w:name="_Toc520356151"/>
      <w:bookmarkStart w:id="59" w:name="_Toc516367021"/>
      <w:r>
        <w:rPr>
          <w:rFonts w:hint="eastAsia" w:ascii="仿宋" w:hAnsi="仿宋" w:eastAsia="仿宋" w:cs="仿宋"/>
          <w:color w:val="auto"/>
          <w:highlight w:val="none"/>
          <w:u w:val="none"/>
        </w:rPr>
        <w:t>8.</w:t>
      </w:r>
      <w:r>
        <w:rPr>
          <w:rFonts w:hint="eastAsia" w:ascii="仿宋" w:hAnsi="仿宋" w:eastAsia="仿宋" w:cs="仿宋"/>
          <w:color w:val="auto"/>
          <w:highlight w:val="none"/>
          <w:u w:val="none"/>
        </w:rPr>
        <w:tab/>
      </w:r>
      <w:r>
        <w:rPr>
          <w:rFonts w:hint="eastAsia" w:ascii="仿宋" w:hAnsi="仿宋" w:eastAsia="仿宋" w:cs="仿宋"/>
          <w:color w:val="auto"/>
          <w:highlight w:val="none"/>
          <w:u w:val="none"/>
        </w:rPr>
        <w:t>投标范围及投标文件中标准和计量单位的使用</w:t>
      </w:r>
      <w:bookmarkEnd w:id="54"/>
      <w:bookmarkEnd w:id="55"/>
      <w:bookmarkEnd w:id="56"/>
      <w:bookmarkEnd w:id="57"/>
      <w:bookmarkEnd w:id="58"/>
      <w:bookmarkEnd w:id="59"/>
    </w:p>
    <w:p w14:paraId="589A9B6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项目有分包的，投标人可对招标文件其中某一个或几个分包货物进行投标，除非在</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中另有规定。</w:t>
      </w:r>
    </w:p>
    <w:p w14:paraId="676ABB6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8.2     投标人应当对所投分包招标文件中“服务需求”所列的所有内容进行投标，如仅响应某一包中的部分内容，其该包投标将被认定为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503611E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8.3     无论招标文件第5章货物需求一览表及技术规格中是否要求，投标人所投货物均应符合国家强制性标准。</w:t>
      </w:r>
    </w:p>
    <w:p w14:paraId="38697E8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8.4     除招标文件中有特殊要求外，投标文件中所使用的计量单位，应采用中华人民共和国法定计量单位。</w:t>
      </w:r>
    </w:p>
    <w:p w14:paraId="0ADECA08">
      <w:pPr>
        <w:pStyle w:val="4"/>
        <w:tabs>
          <w:tab w:val="left" w:pos="900"/>
        </w:tabs>
        <w:spacing w:before="0" w:after="0" w:line="240" w:lineRule="atLeast"/>
        <w:rPr>
          <w:rFonts w:hint="eastAsia" w:ascii="仿宋" w:hAnsi="仿宋" w:eastAsia="仿宋" w:cs="仿宋"/>
          <w:color w:val="auto"/>
          <w:highlight w:val="none"/>
          <w:u w:val="none"/>
        </w:rPr>
      </w:pPr>
      <w:bookmarkStart w:id="60" w:name="_Toc516367022"/>
      <w:bookmarkStart w:id="61" w:name="_Ref467306195"/>
      <w:bookmarkStart w:id="62" w:name="_Ref467306676"/>
      <w:bookmarkStart w:id="63" w:name="_Toc520356152"/>
      <w:bookmarkStart w:id="64" w:name="_Toc15369"/>
      <w:bookmarkStart w:id="65" w:name="_Toc28307"/>
      <w:bookmarkStart w:id="66" w:name="_Toc10364"/>
      <w:bookmarkStart w:id="67" w:name="_Toc515647768"/>
      <w:r>
        <w:rPr>
          <w:rFonts w:hint="eastAsia" w:ascii="仿宋" w:hAnsi="仿宋" w:eastAsia="仿宋" w:cs="仿宋"/>
          <w:color w:val="auto"/>
          <w:highlight w:val="none"/>
          <w:u w:val="none"/>
        </w:rPr>
        <w:t>9.</w:t>
      </w:r>
      <w:r>
        <w:rPr>
          <w:rFonts w:hint="eastAsia" w:ascii="仿宋" w:hAnsi="仿宋" w:eastAsia="仿宋" w:cs="仿宋"/>
          <w:color w:val="auto"/>
          <w:highlight w:val="none"/>
          <w:u w:val="none"/>
          <w:lang w:val="en-US" w:eastAsia="zh-CN"/>
        </w:rPr>
        <w:t xml:space="preserve"> </w:t>
      </w:r>
      <w:r>
        <w:rPr>
          <w:rFonts w:hint="eastAsia" w:ascii="仿宋" w:hAnsi="仿宋" w:eastAsia="仿宋" w:cs="仿宋"/>
          <w:color w:val="auto"/>
          <w:highlight w:val="none"/>
          <w:u w:val="none"/>
        </w:rPr>
        <w:t>投标文件</w:t>
      </w:r>
      <w:bookmarkEnd w:id="60"/>
      <w:bookmarkEnd w:id="61"/>
      <w:bookmarkEnd w:id="62"/>
      <w:r>
        <w:rPr>
          <w:rFonts w:hint="eastAsia" w:ascii="仿宋" w:hAnsi="仿宋" w:eastAsia="仿宋" w:cs="仿宋"/>
          <w:color w:val="auto"/>
          <w:highlight w:val="none"/>
          <w:u w:val="none"/>
        </w:rPr>
        <w:t>构成</w:t>
      </w:r>
      <w:bookmarkEnd w:id="63"/>
      <w:bookmarkEnd w:id="64"/>
      <w:bookmarkEnd w:id="65"/>
      <w:bookmarkEnd w:id="66"/>
      <w:bookmarkEnd w:id="67"/>
    </w:p>
    <w:p w14:paraId="3D0D84F4">
      <w:pPr>
        <w:tabs>
          <w:tab w:val="left" w:pos="900"/>
          <w:tab w:val="left" w:pos="5580"/>
        </w:tabs>
        <w:spacing w:line="240" w:lineRule="atLeast"/>
        <w:ind w:left="960" w:hanging="960" w:hangingChars="400"/>
        <w:jc w:val="left"/>
        <w:rPr>
          <w:rFonts w:hint="eastAsia" w:ascii="仿宋" w:hAnsi="仿宋" w:eastAsia="仿宋" w:cs="仿宋"/>
          <w:color w:val="auto"/>
          <w:sz w:val="24"/>
          <w:highlight w:val="none"/>
          <w:u w:val="single"/>
        </w:rPr>
      </w:pPr>
      <w:bookmarkStart w:id="68" w:name="_Ref467052588"/>
      <w:r>
        <w:rPr>
          <w:rFonts w:hint="eastAsia" w:ascii="仿宋" w:hAnsi="仿宋" w:eastAsia="仿宋" w:cs="仿宋"/>
          <w:color w:val="auto"/>
          <w:sz w:val="24"/>
          <w:highlight w:val="none"/>
        </w:rPr>
        <w:t xml:space="preserve">9.1     </w:t>
      </w:r>
      <w:r>
        <w:rPr>
          <w:rFonts w:hint="eastAsia" w:ascii="仿宋" w:hAnsi="仿宋" w:eastAsia="仿宋" w:cs="仿宋"/>
          <w:color w:val="auto"/>
          <w:sz w:val="24"/>
          <w:highlight w:val="none"/>
          <w:u w:val="single"/>
        </w:rPr>
        <w:t>投标人应完整地按招标文件提供的投标文件格式及要求</w:t>
      </w:r>
      <w:r>
        <w:rPr>
          <w:rFonts w:hint="eastAsia" w:ascii="仿宋" w:hAnsi="仿宋" w:eastAsia="仿宋" w:cs="仿宋"/>
          <w:color w:val="auto"/>
          <w:sz w:val="24"/>
          <w:highlight w:val="none"/>
          <w:u w:val="single"/>
          <w:lang w:eastAsia="zh-CN"/>
        </w:rPr>
        <w:t>编</w:t>
      </w:r>
      <w:r>
        <w:rPr>
          <w:rFonts w:hint="eastAsia" w:ascii="仿宋" w:hAnsi="仿宋" w:eastAsia="仿宋" w:cs="仿宋"/>
          <w:color w:val="auto"/>
          <w:sz w:val="24"/>
          <w:highlight w:val="none"/>
          <w:u w:val="single"/>
        </w:rPr>
        <w:t>写投标文件</w:t>
      </w:r>
      <w:r>
        <w:rPr>
          <w:rFonts w:hint="eastAsia" w:ascii="仿宋" w:hAnsi="仿宋" w:eastAsia="仿宋" w:cs="仿宋"/>
          <w:color w:val="auto"/>
          <w:sz w:val="24"/>
          <w:highlight w:val="none"/>
          <w:u w:val="single"/>
          <w:lang w:eastAsia="zh-CN"/>
        </w:rPr>
        <w:t>（未提供格式的，格式自拟）</w:t>
      </w:r>
      <w:r>
        <w:rPr>
          <w:rFonts w:hint="eastAsia" w:ascii="仿宋" w:hAnsi="仿宋" w:eastAsia="仿宋" w:cs="仿宋"/>
          <w:color w:val="auto"/>
          <w:sz w:val="24"/>
          <w:highlight w:val="none"/>
          <w:u w:val="single"/>
        </w:rPr>
        <w:t>，投标文件应包括“开标一览表及资格证明文件”和“商务及技术文件”两部分</w:t>
      </w:r>
      <w:r>
        <w:rPr>
          <w:rFonts w:hint="eastAsia" w:ascii="仿宋" w:hAnsi="仿宋" w:eastAsia="仿宋" w:cs="仿宋"/>
          <w:color w:val="auto"/>
          <w:sz w:val="24"/>
          <w:highlight w:val="none"/>
          <w:u w:val="single"/>
          <w:lang w:eastAsia="zh-CN"/>
        </w:rPr>
        <w:t>，分别在政采云系统相应模块上传</w:t>
      </w:r>
      <w:r>
        <w:rPr>
          <w:rFonts w:hint="eastAsia" w:ascii="仿宋" w:hAnsi="仿宋" w:eastAsia="仿宋" w:cs="仿宋"/>
          <w:color w:val="auto"/>
          <w:sz w:val="24"/>
          <w:highlight w:val="none"/>
          <w:u w:val="single"/>
        </w:rPr>
        <w:t>。</w:t>
      </w:r>
    </w:p>
    <w:p w14:paraId="3E592C4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9.2    上述文件应按照招标文件规定的格式填写、签署和盖章。</w:t>
      </w:r>
    </w:p>
    <w:bookmarkEnd w:id="68"/>
    <w:p w14:paraId="0564D11A">
      <w:pPr>
        <w:pStyle w:val="4"/>
        <w:tabs>
          <w:tab w:val="left" w:pos="900"/>
        </w:tabs>
        <w:spacing w:before="0" w:after="0" w:line="240" w:lineRule="atLeast"/>
        <w:rPr>
          <w:rFonts w:hint="eastAsia" w:ascii="仿宋" w:hAnsi="仿宋" w:eastAsia="仿宋" w:cs="仿宋"/>
          <w:color w:val="auto"/>
          <w:highlight w:val="none"/>
          <w:u w:val="none"/>
          <w:lang w:eastAsia="zh-CN"/>
        </w:rPr>
      </w:pPr>
      <w:bookmarkStart w:id="69" w:name="_Toc515647769"/>
      <w:bookmarkStart w:id="70" w:name="_Toc10379"/>
      <w:bookmarkStart w:id="71" w:name="_Toc4601"/>
      <w:bookmarkStart w:id="72" w:name="_Toc516367023"/>
      <w:bookmarkStart w:id="73" w:name="_Toc520356153"/>
      <w:bookmarkStart w:id="74" w:name="_Toc32373"/>
      <w:r>
        <w:rPr>
          <w:rFonts w:hint="eastAsia" w:ascii="仿宋" w:hAnsi="仿宋" w:eastAsia="仿宋" w:cs="仿宋"/>
          <w:color w:val="auto"/>
          <w:highlight w:val="none"/>
          <w:u w:val="none"/>
        </w:rPr>
        <w:t>10.</w:t>
      </w:r>
      <w:r>
        <w:rPr>
          <w:rFonts w:hint="eastAsia" w:ascii="仿宋" w:hAnsi="仿宋" w:eastAsia="仿宋" w:cs="仿宋"/>
          <w:color w:val="auto"/>
          <w:highlight w:val="none"/>
          <w:u w:val="none"/>
        </w:rPr>
        <w:tab/>
      </w:r>
      <w:r>
        <w:rPr>
          <w:rFonts w:hint="eastAsia" w:ascii="仿宋" w:hAnsi="仿宋" w:eastAsia="仿宋" w:cs="仿宋"/>
          <w:color w:val="auto"/>
          <w:highlight w:val="none"/>
          <w:u w:val="none"/>
        </w:rPr>
        <w:t>证明投标标的的合格性和符合招标文件规定的技术文件</w:t>
      </w:r>
      <w:bookmarkEnd w:id="69"/>
      <w:bookmarkEnd w:id="70"/>
      <w:bookmarkEnd w:id="71"/>
      <w:bookmarkEnd w:id="72"/>
      <w:bookmarkEnd w:id="73"/>
      <w:r>
        <w:rPr>
          <w:rFonts w:hint="eastAsia" w:ascii="仿宋" w:hAnsi="仿宋" w:eastAsia="仿宋" w:cs="仿宋"/>
          <w:color w:val="auto"/>
          <w:highlight w:val="none"/>
          <w:u w:val="none"/>
          <w:lang w:eastAsia="zh-CN"/>
        </w:rPr>
        <w:t>。</w:t>
      </w:r>
      <w:bookmarkEnd w:id="74"/>
    </w:p>
    <w:p w14:paraId="20C2B55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投标人应提交证明文件，证明其投标内容符合招标文件规定。该证明文件是投标文件的一部分。</w:t>
      </w:r>
    </w:p>
    <w:p w14:paraId="33412C57">
      <w:pPr>
        <w:spacing w:line="240" w:lineRule="atLeast"/>
        <w:ind w:left="900" w:hanging="900" w:hangingChars="375"/>
        <w:rPr>
          <w:rFonts w:hint="eastAsia" w:ascii="仿宋" w:hAnsi="仿宋" w:eastAsia="仿宋" w:cs="仿宋"/>
          <w:color w:val="auto"/>
          <w:sz w:val="24"/>
          <w:highlight w:val="none"/>
        </w:rPr>
      </w:pPr>
      <w:bookmarkStart w:id="75" w:name="_Ref467306244"/>
      <w:r>
        <w:rPr>
          <w:rFonts w:hint="eastAsia" w:ascii="仿宋" w:hAnsi="仿宋" w:eastAsia="仿宋" w:cs="仿宋"/>
          <w:color w:val="auto"/>
          <w:sz w:val="24"/>
          <w:highlight w:val="none"/>
        </w:rPr>
        <w:t>10.2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上款所述的证明文件，可以是文字资料、图纸和数据，</w:t>
      </w:r>
      <w:bookmarkEnd w:id="75"/>
      <w:r>
        <w:rPr>
          <w:rFonts w:hint="eastAsia" w:ascii="仿宋" w:hAnsi="仿宋" w:eastAsia="仿宋" w:cs="仿宋"/>
          <w:color w:val="auto"/>
          <w:sz w:val="24"/>
          <w:highlight w:val="none"/>
        </w:rPr>
        <w:t>它包括：</w:t>
      </w:r>
    </w:p>
    <w:p w14:paraId="7B87508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货物主要技术指标和性能的详细说明；</w:t>
      </w:r>
    </w:p>
    <w:p w14:paraId="64E45B9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货物从买方开始使用至招标文件规定的保质期内正常、连续地使用所必须的备件和专用工具清单，包括备件和专用工具的货源及现行价格；</w:t>
      </w:r>
    </w:p>
    <w:p w14:paraId="599659E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10.2.3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对照招标文件技术规格，逐条说明所提供货物及伴随的工程和服务已对招标文件的技术规格做出了实质性的响应，或申明与技术规格条文的偏差和例外。</w:t>
      </w:r>
    </w:p>
    <w:p w14:paraId="7F96571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7632DB7F">
      <w:pPr>
        <w:pStyle w:val="4"/>
        <w:spacing w:before="0" w:after="0" w:line="240" w:lineRule="atLeast"/>
        <w:rPr>
          <w:rFonts w:hint="eastAsia" w:ascii="仿宋" w:hAnsi="仿宋" w:eastAsia="仿宋" w:cs="仿宋"/>
          <w:color w:val="auto"/>
          <w:highlight w:val="none"/>
          <w:u w:val="none"/>
        </w:rPr>
      </w:pPr>
      <w:bookmarkStart w:id="76" w:name="_Toc8675"/>
      <w:bookmarkStart w:id="77" w:name="_Toc520356155"/>
      <w:bookmarkStart w:id="78" w:name="_Toc515647770"/>
      <w:bookmarkStart w:id="79" w:name="_Toc2248"/>
      <w:bookmarkStart w:id="80" w:name="_Toc23231"/>
      <w:r>
        <w:rPr>
          <w:rFonts w:hint="eastAsia" w:ascii="仿宋" w:hAnsi="仿宋" w:eastAsia="仿宋" w:cs="仿宋"/>
          <w:color w:val="auto"/>
          <w:highlight w:val="none"/>
          <w:u w:val="none"/>
        </w:rPr>
        <w:t>11.投标报价</w:t>
      </w:r>
      <w:bookmarkEnd w:id="76"/>
      <w:bookmarkEnd w:id="77"/>
      <w:bookmarkEnd w:id="78"/>
      <w:bookmarkEnd w:id="79"/>
      <w:bookmarkEnd w:id="80"/>
    </w:p>
    <w:p w14:paraId="0BBD4A3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6E30AA9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投标人应在投标分项报价表上标明投标货物及相关服务的单价（如适用）和总价，并由法定代表人或其授权代表签署。</w:t>
      </w:r>
    </w:p>
    <w:p w14:paraId="5A2EEF7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投标分项报价表上的价格应按下列方式填写：</w:t>
      </w:r>
    </w:p>
    <w:p w14:paraId="2229EA2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11.3.1  投标货物（包括备品备件、专用工具等）的出厂价（包括已在中国国内的进口货物完税后的仓库交货价、展室交货价或货架交货价），投标货物安装、调试、检验、技术服务和培训等费用；</w:t>
      </w:r>
    </w:p>
    <w:p w14:paraId="2D91190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11.3.2  货物运至最终目的地的运输费和保险费用。</w:t>
      </w:r>
    </w:p>
    <w:p w14:paraId="5DA028C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投标人所报的各分项投标单价在合同履行过程中是固定不变的，不得以任何理由予以变更。任何包含价格调整要求的投标，其投标将被认定为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2AF5F5F1">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11.5</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每种货物只能有一个投标报价。采购人不接受具有附加条件的报价。</w:t>
      </w:r>
    </w:p>
    <w:p w14:paraId="5137EE11">
      <w:pPr>
        <w:pStyle w:val="4"/>
        <w:spacing w:before="0" w:after="0" w:line="240" w:lineRule="atLeast"/>
        <w:rPr>
          <w:rFonts w:hint="eastAsia" w:ascii="仿宋" w:hAnsi="仿宋" w:eastAsia="仿宋" w:cs="仿宋"/>
          <w:color w:val="auto"/>
          <w:highlight w:val="none"/>
          <w:u w:val="none"/>
        </w:rPr>
      </w:pPr>
      <w:bookmarkStart w:id="81" w:name="_Toc11514"/>
      <w:bookmarkStart w:id="82" w:name="_Ref467306513"/>
      <w:bookmarkStart w:id="83" w:name="_Toc18931"/>
      <w:bookmarkStart w:id="84" w:name="_Toc520356156"/>
      <w:bookmarkStart w:id="85" w:name="_Toc17788"/>
      <w:bookmarkStart w:id="86" w:name="_Toc515647771"/>
      <w:r>
        <w:rPr>
          <w:rFonts w:hint="eastAsia" w:ascii="仿宋" w:hAnsi="仿宋" w:eastAsia="仿宋" w:cs="仿宋"/>
          <w:color w:val="auto"/>
          <w:highlight w:val="none"/>
          <w:u w:val="none"/>
        </w:rPr>
        <w:t>12.投标保证金</w:t>
      </w:r>
      <w:bookmarkEnd w:id="81"/>
      <w:bookmarkEnd w:id="82"/>
      <w:bookmarkEnd w:id="83"/>
      <w:bookmarkEnd w:id="84"/>
      <w:bookmarkEnd w:id="85"/>
      <w:bookmarkEnd w:id="86"/>
    </w:p>
    <w:p w14:paraId="55274452">
      <w:pPr>
        <w:spacing w:line="240" w:lineRule="atLeast"/>
        <w:ind w:left="900" w:hanging="900" w:hangingChars="375"/>
        <w:rPr>
          <w:rFonts w:hint="eastAsia" w:ascii="仿宋" w:hAnsi="仿宋" w:eastAsia="仿宋" w:cs="仿宋"/>
          <w:color w:val="auto"/>
          <w:sz w:val="24"/>
          <w:highlight w:val="none"/>
        </w:rPr>
      </w:pPr>
      <w:bookmarkStart w:id="87" w:name="_Ref467306302"/>
      <w:r>
        <w:rPr>
          <w:rFonts w:hint="eastAsia" w:ascii="仿宋" w:hAnsi="仿宋" w:eastAsia="仿宋" w:cs="仿宋"/>
          <w:color w:val="auto"/>
          <w:sz w:val="24"/>
          <w:highlight w:val="none"/>
        </w:rPr>
        <w:t>12.1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投标人应提交</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中规定的投标保证金</w:t>
      </w:r>
      <w:bookmarkEnd w:id="87"/>
      <w:r>
        <w:rPr>
          <w:rFonts w:hint="eastAsia" w:ascii="仿宋" w:hAnsi="仿宋" w:eastAsia="仿宋" w:cs="仿宋"/>
          <w:color w:val="auto"/>
          <w:sz w:val="24"/>
          <w:highlight w:val="none"/>
        </w:rPr>
        <w:t>，并作为其投标的一部分。</w:t>
      </w:r>
    </w:p>
    <w:p w14:paraId="25A161B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投标人存在下列情形的，投标保证金不予退还：</w:t>
      </w:r>
    </w:p>
    <w:p w14:paraId="38452A2E">
      <w:pPr>
        <w:pStyle w:val="16"/>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（1）在投标有效期内，撤销投标的；</w:t>
      </w:r>
    </w:p>
    <w:p w14:paraId="65A35A01">
      <w:pPr>
        <w:pStyle w:val="16"/>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（2）中标后不按本须知第30条的规定与采购人签订合同的；</w:t>
      </w:r>
    </w:p>
    <w:p w14:paraId="36172DBE">
      <w:pPr>
        <w:pStyle w:val="16"/>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（3）中标后不按本须知第31条的规定提交履约保证金的；</w:t>
      </w:r>
    </w:p>
    <w:p w14:paraId="4CCF55BC">
      <w:pPr>
        <w:pStyle w:val="16"/>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（4）中标后不按本须知第32条的规定缴纳中标服务费的；</w:t>
      </w:r>
    </w:p>
    <w:p w14:paraId="094A2FB5">
      <w:pPr>
        <w:pStyle w:val="16"/>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（5）存在其他违法违规行为的。</w:t>
      </w:r>
    </w:p>
    <w:p w14:paraId="1B39FB55">
      <w:pPr>
        <w:spacing w:line="240" w:lineRule="atLeast"/>
        <w:ind w:left="900" w:hanging="900" w:hangingChars="375"/>
        <w:rPr>
          <w:rFonts w:hint="eastAsia" w:ascii="仿宋" w:hAnsi="仿宋" w:eastAsia="仿宋" w:cs="仿宋"/>
          <w:color w:val="auto"/>
          <w:sz w:val="24"/>
          <w:highlight w:val="none"/>
        </w:rPr>
      </w:pPr>
      <w:bookmarkStart w:id="88" w:name="_Ref467306336"/>
      <w:r>
        <w:rPr>
          <w:rFonts w:hint="eastAsia" w:ascii="仿宋" w:hAnsi="仿宋" w:eastAsia="仿宋" w:cs="仿宋"/>
          <w:color w:val="auto"/>
          <w:sz w:val="24"/>
          <w:highlight w:val="none"/>
        </w:rPr>
        <w:t>12.3</w:t>
      </w:r>
      <w:r>
        <w:rPr>
          <w:rFonts w:hint="eastAsia" w:ascii="仿宋" w:hAnsi="仿宋" w:eastAsia="仿宋" w:cs="仿宋"/>
          <w:color w:val="auto"/>
          <w:sz w:val="24"/>
          <w:highlight w:val="none"/>
        </w:rPr>
        <w:tab/>
      </w:r>
      <w:bookmarkEnd w:id="88"/>
      <w:r>
        <w:rPr>
          <w:rFonts w:hint="eastAsia" w:ascii="仿宋" w:hAnsi="仿宋" w:eastAsia="仿宋" w:cs="仿宋"/>
          <w:color w:val="auto"/>
          <w:sz w:val="24"/>
          <w:highlight w:val="none"/>
        </w:rPr>
        <w:t>政府采购信用担保试点范围内的项目，接受符合财政部门规定的政府采购投标担保函原件。</w:t>
      </w:r>
    </w:p>
    <w:p w14:paraId="5C8F047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投标人未按本须知第12.1和12.3条规定提交投标保证金的，其投标将被认定为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5DBDEC38">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12.4.1  采用电汇形式的，一般可以实时入账。</w:t>
      </w:r>
    </w:p>
    <w:p w14:paraId="50388530">
      <w:pPr>
        <w:spacing w:line="240" w:lineRule="atLeast"/>
        <w:ind w:left="960" w:hanging="960" w:hanging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12.4.2  采用支票形式的，投标人则应充分考虑支票入账时间，以确保投标保证金能按时进入指定账户。根据银行信息交换和付款时间，支票从递交至实际入账一般需要4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5个工作日。如投标人未及时提交支票或支票不符合银行委托收款要求（如污损、折叠、胶装等），导致投标保证金不能按时进入指定账户的，将按照招标文件的第22.2条相关规定处理。</w:t>
      </w:r>
    </w:p>
    <w:p w14:paraId="037DC3E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12.5   联合体投标的，可以由联合体中的一方或者共同提交投标保证金。以一方名义提交投标保证金的，对联合体各方均具有约束力。</w:t>
      </w:r>
    </w:p>
    <w:p w14:paraId="0ADB8271">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投标保证金的退还</w:t>
      </w:r>
    </w:p>
    <w:p w14:paraId="4C626AD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12.6.1  中标人应在与采购人签订合同之日起5个工作日内，及时联系保证金收受机构办理投标保证金无息退还手续。</w:t>
      </w:r>
    </w:p>
    <w:p w14:paraId="5FF3C72A">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12.6.2  未中标投标人的投标保证金将在中标通知书发出之日暨中标结果公告公布之日起5个工作日内无息退还。投标人应及时联系保证金收受机构办理退还投标保证金手续。</w:t>
      </w:r>
    </w:p>
    <w:p w14:paraId="01AEEB99">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12.6.3  政府采购投标担保函不予退回。</w:t>
      </w:r>
    </w:p>
    <w:p w14:paraId="6AC07F6F">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12.7    因投标人自身原因导致无法及时退还的，采购人或采购代理机构将不承担相应责任。</w:t>
      </w:r>
    </w:p>
    <w:p w14:paraId="28016938">
      <w:pPr>
        <w:pStyle w:val="4"/>
        <w:spacing w:before="0" w:after="0" w:line="240" w:lineRule="atLeast"/>
        <w:rPr>
          <w:rFonts w:hint="eastAsia" w:ascii="仿宋" w:hAnsi="仿宋" w:eastAsia="仿宋" w:cs="仿宋"/>
          <w:color w:val="auto"/>
          <w:highlight w:val="none"/>
          <w:u w:val="none"/>
        </w:rPr>
      </w:pPr>
      <w:bookmarkStart w:id="89" w:name="_Toc515647772"/>
      <w:bookmarkStart w:id="90" w:name="_Toc32569"/>
      <w:bookmarkStart w:id="91" w:name="_Toc25444"/>
      <w:bookmarkStart w:id="92" w:name="_Toc23590"/>
      <w:bookmarkStart w:id="93" w:name="_Toc520356157"/>
      <w:r>
        <w:rPr>
          <w:rFonts w:hint="eastAsia" w:ascii="仿宋" w:hAnsi="仿宋" w:eastAsia="仿宋" w:cs="仿宋"/>
          <w:color w:val="auto"/>
          <w:highlight w:val="none"/>
          <w:u w:val="none"/>
        </w:rPr>
        <w:t>13.投标有效期</w:t>
      </w:r>
      <w:bookmarkEnd w:id="89"/>
      <w:bookmarkEnd w:id="90"/>
      <w:bookmarkEnd w:id="91"/>
      <w:bookmarkEnd w:id="92"/>
      <w:bookmarkEnd w:id="93"/>
    </w:p>
    <w:p w14:paraId="213F962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投标应在</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中规定时间内保持有效。投标有效期不满足要求的投标，其投标将被认定为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7847EB8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05B935C5">
      <w:pPr>
        <w:pStyle w:val="4"/>
        <w:spacing w:before="0" w:after="0" w:line="240" w:lineRule="atLeast"/>
        <w:rPr>
          <w:rFonts w:hint="eastAsia" w:ascii="仿宋" w:hAnsi="仿宋" w:eastAsia="仿宋" w:cs="仿宋"/>
          <w:color w:val="auto"/>
          <w:highlight w:val="none"/>
          <w:u w:val="none"/>
        </w:rPr>
      </w:pPr>
      <w:bookmarkStart w:id="94" w:name="_Toc520356158"/>
      <w:bookmarkStart w:id="95" w:name="_Toc18464"/>
      <w:bookmarkStart w:id="96" w:name="_Toc515647773"/>
      <w:bookmarkStart w:id="97" w:name="_Toc493"/>
      <w:bookmarkStart w:id="98" w:name="_Toc17074"/>
      <w:r>
        <w:rPr>
          <w:rFonts w:hint="eastAsia" w:ascii="仿宋" w:hAnsi="仿宋" w:eastAsia="仿宋" w:cs="仿宋"/>
          <w:color w:val="auto"/>
          <w:highlight w:val="none"/>
          <w:u w:val="none"/>
        </w:rPr>
        <w:t>14.投标文件的签署</w:t>
      </w:r>
      <w:bookmarkEnd w:id="94"/>
      <w:r>
        <w:rPr>
          <w:rFonts w:hint="eastAsia" w:ascii="仿宋" w:hAnsi="仿宋" w:eastAsia="仿宋" w:cs="仿宋"/>
          <w:color w:val="auto"/>
          <w:highlight w:val="none"/>
          <w:u w:val="none"/>
        </w:rPr>
        <w:t>及规定</w:t>
      </w:r>
      <w:bookmarkEnd w:id="95"/>
      <w:bookmarkEnd w:id="96"/>
      <w:bookmarkEnd w:id="97"/>
      <w:bookmarkEnd w:id="98"/>
    </w:p>
    <w:p w14:paraId="744D0D3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投标人应按投标人须知资料表中的规定，准备和上传投标文件资格证明文件、商务和技术文件加密电子投标文件。</w:t>
      </w:r>
    </w:p>
    <w:p w14:paraId="5B2D957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文件需使用CA加密设备通过政采云电子投标客户端制作投标文件，并由投标人的法定代表人或经其正式委托代理人按招标文件规定在投标文件上电子签章。委托代理人须持有书面的“法定代表人授权委托书”（投标文件格式二），并将其附在投标文件中。</w:t>
      </w:r>
    </w:p>
    <w:p w14:paraId="24F47BC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14.3    开标完成后，如采购人需要提供纸质版投标文件，投标人应按照招标人要求提供相应份数的纸质投标文件，纸质版投标文件应与电子版投标文件一致，纸质投标文件采用双面打印、不可拆装的胶订方式装订。</w:t>
      </w:r>
    </w:p>
    <w:p w14:paraId="2AC8C534">
      <w:pPr>
        <w:spacing w:line="240" w:lineRule="atLeast"/>
        <w:ind w:left="900" w:hanging="900" w:hangingChars="375"/>
        <w:rPr>
          <w:rFonts w:hint="eastAsia" w:ascii="仿宋" w:hAnsi="仿宋" w:eastAsia="仿宋" w:cs="仿宋"/>
          <w:color w:val="auto"/>
          <w:sz w:val="24"/>
          <w:highlight w:val="none"/>
        </w:rPr>
      </w:pPr>
    </w:p>
    <w:p w14:paraId="7273DC96">
      <w:pPr>
        <w:pStyle w:val="3"/>
        <w:spacing w:before="0" w:line="240" w:lineRule="atLeast"/>
        <w:ind w:left="1079" w:leftChars="257" w:hanging="540"/>
        <w:rPr>
          <w:rFonts w:hint="eastAsia" w:ascii="仿宋" w:hAnsi="仿宋" w:eastAsia="仿宋" w:cs="仿宋"/>
          <w:color w:val="auto"/>
          <w:sz w:val="24"/>
          <w:highlight w:val="none"/>
        </w:rPr>
      </w:pPr>
      <w:bookmarkStart w:id="99" w:name="_Toc16865"/>
      <w:bookmarkStart w:id="100" w:name="_Toc5362"/>
      <w:bookmarkStart w:id="101" w:name="_Toc515647774"/>
      <w:bookmarkStart w:id="102" w:name="_Toc11179"/>
      <w:bookmarkStart w:id="103" w:name="_Toc216582808"/>
      <w:bookmarkStart w:id="104" w:name="_Toc520356159"/>
      <w:r>
        <w:rPr>
          <w:rFonts w:hint="eastAsia" w:ascii="仿宋" w:hAnsi="仿宋" w:eastAsia="仿宋" w:cs="仿宋"/>
          <w:color w:val="auto"/>
          <w:sz w:val="24"/>
          <w:highlight w:val="none"/>
        </w:rPr>
        <w:t>四   投标文件的递交</w:t>
      </w:r>
      <w:bookmarkEnd w:id="99"/>
      <w:bookmarkEnd w:id="100"/>
      <w:bookmarkEnd w:id="101"/>
      <w:bookmarkEnd w:id="102"/>
      <w:bookmarkEnd w:id="103"/>
      <w:bookmarkEnd w:id="104"/>
    </w:p>
    <w:p w14:paraId="325EEF33">
      <w:pPr>
        <w:pStyle w:val="9"/>
        <w:rPr>
          <w:rFonts w:hint="eastAsia" w:ascii="仿宋" w:hAnsi="仿宋" w:eastAsia="仿宋" w:cs="仿宋"/>
          <w:color w:val="auto"/>
          <w:highlight w:val="none"/>
        </w:rPr>
      </w:pPr>
    </w:p>
    <w:p w14:paraId="00BFAB78">
      <w:pPr>
        <w:pStyle w:val="4"/>
        <w:spacing w:before="0" w:after="0" w:line="240" w:lineRule="atLeast"/>
        <w:rPr>
          <w:rFonts w:hint="eastAsia" w:ascii="仿宋" w:hAnsi="仿宋" w:eastAsia="仿宋" w:cs="仿宋"/>
          <w:color w:val="auto"/>
          <w:highlight w:val="none"/>
          <w:u w:val="none"/>
        </w:rPr>
      </w:pPr>
      <w:bookmarkStart w:id="105" w:name="_Toc520356160"/>
      <w:bookmarkStart w:id="106" w:name="_Toc21645"/>
      <w:bookmarkStart w:id="107" w:name="_Toc32337"/>
      <w:bookmarkStart w:id="108" w:name="_Toc21210"/>
      <w:bookmarkStart w:id="109" w:name="_Toc515647775"/>
      <w:r>
        <w:rPr>
          <w:rFonts w:hint="eastAsia" w:ascii="仿宋" w:hAnsi="仿宋" w:eastAsia="仿宋" w:cs="仿宋"/>
          <w:color w:val="auto"/>
          <w:highlight w:val="none"/>
          <w:u w:val="none"/>
        </w:rPr>
        <w:t>15.投标文件的密封和标记</w:t>
      </w:r>
      <w:bookmarkEnd w:id="105"/>
      <w:bookmarkEnd w:id="106"/>
      <w:bookmarkEnd w:id="107"/>
      <w:bookmarkEnd w:id="108"/>
      <w:bookmarkEnd w:id="109"/>
    </w:p>
    <w:p w14:paraId="686669F2">
      <w:pPr>
        <w:spacing w:line="240" w:lineRule="atLeas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15.1 </w:t>
      </w:r>
      <w:r>
        <w:rPr>
          <w:rFonts w:hint="eastAsia" w:ascii="仿宋" w:hAnsi="仿宋" w:eastAsia="仿宋" w:cs="仿宋"/>
          <w:b/>
          <w:bCs/>
          <w:color w:val="auto"/>
          <w:sz w:val="24"/>
          <w:u w:val="single"/>
        </w:rPr>
        <w:t>为方便</w:t>
      </w:r>
      <w:r>
        <w:rPr>
          <w:rFonts w:hint="eastAsia" w:ascii="仿宋" w:hAnsi="仿宋" w:eastAsia="仿宋" w:cs="仿宋"/>
          <w:b/>
          <w:bCs/>
          <w:color w:val="auto"/>
          <w:sz w:val="24"/>
          <w:u w:val="single"/>
          <w:lang w:val="en-US" w:eastAsia="zh-CN"/>
        </w:rPr>
        <w:t>评审</w:t>
      </w:r>
      <w:r>
        <w:rPr>
          <w:rFonts w:hint="eastAsia" w:ascii="仿宋" w:hAnsi="仿宋" w:eastAsia="仿宋" w:cs="仿宋"/>
          <w:b/>
          <w:bCs/>
          <w:color w:val="auto"/>
          <w:sz w:val="24"/>
          <w:u w:val="single"/>
        </w:rPr>
        <w:t>及进行资格审查，</w:t>
      </w:r>
      <w:r>
        <w:rPr>
          <w:rFonts w:hint="eastAsia" w:ascii="仿宋" w:hAnsi="仿宋" w:eastAsia="仿宋" w:cs="仿宋"/>
          <w:b/>
          <w:bCs/>
          <w:color w:val="auto"/>
          <w:sz w:val="24"/>
          <w:u w:val="single"/>
          <w:lang w:val="en-US" w:eastAsia="zh-CN"/>
        </w:rPr>
        <w:t>供应商须在响应截止时间前完成在系统上递交电子响应文件。供应商的电子响应文件是经过CA证书加密后上传提交的，任何单位或个人均无法在响应截止时间（即开标时间）之前查看或篡改，不存在泄密风险。（严格按照政采云电子投标流程制作并上传电子响应文件）</w:t>
      </w:r>
      <w:r>
        <w:rPr>
          <w:rFonts w:hint="eastAsia" w:ascii="仿宋" w:hAnsi="仿宋" w:eastAsia="仿宋" w:cs="仿宋"/>
          <w:b/>
          <w:bCs/>
          <w:color w:val="auto"/>
          <w:sz w:val="24"/>
        </w:rPr>
        <w:t>。</w:t>
      </w:r>
    </w:p>
    <w:p w14:paraId="2A5C79B5">
      <w:pPr>
        <w:pStyle w:val="4"/>
        <w:spacing w:before="0" w:after="0" w:line="240" w:lineRule="atLeast"/>
        <w:rPr>
          <w:rFonts w:hint="eastAsia" w:ascii="仿宋" w:hAnsi="仿宋" w:eastAsia="仿宋" w:cs="仿宋"/>
          <w:color w:val="auto"/>
          <w:highlight w:val="none"/>
          <w:u w:val="none"/>
        </w:rPr>
      </w:pPr>
      <w:bookmarkStart w:id="110" w:name="_Toc515647776"/>
      <w:bookmarkStart w:id="111" w:name="_Toc520356161"/>
      <w:bookmarkStart w:id="112" w:name="_Toc12751"/>
      <w:bookmarkStart w:id="113" w:name="_Toc11196"/>
      <w:bookmarkStart w:id="114" w:name="_Toc9840"/>
      <w:r>
        <w:rPr>
          <w:rFonts w:hint="eastAsia" w:ascii="仿宋" w:hAnsi="仿宋" w:eastAsia="仿宋" w:cs="仿宋"/>
          <w:color w:val="auto"/>
          <w:highlight w:val="none"/>
          <w:u w:val="none"/>
        </w:rPr>
        <w:t>16.投标截止</w:t>
      </w:r>
      <w:bookmarkEnd w:id="110"/>
      <w:bookmarkEnd w:id="111"/>
      <w:bookmarkEnd w:id="112"/>
      <w:bookmarkEnd w:id="113"/>
      <w:bookmarkEnd w:id="114"/>
    </w:p>
    <w:p w14:paraId="6007EE7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投标人应在</w:t>
      </w:r>
      <w:r>
        <w:rPr>
          <w:rFonts w:hint="eastAsia" w:ascii="仿宋" w:hAnsi="仿宋" w:eastAsia="仿宋" w:cs="仿宋"/>
          <w:color w:val="auto"/>
          <w:sz w:val="24"/>
          <w:highlight w:val="none"/>
          <w:u w:val="single"/>
        </w:rPr>
        <w:t>投标人须知资料表中</w:t>
      </w:r>
      <w:r>
        <w:rPr>
          <w:rFonts w:hint="eastAsia" w:ascii="仿宋" w:hAnsi="仿宋" w:eastAsia="仿宋" w:cs="仿宋"/>
          <w:color w:val="auto"/>
          <w:sz w:val="24"/>
          <w:highlight w:val="none"/>
        </w:rPr>
        <w:t>规定的截止时间前，将投标文件上传至新疆维吾尔自治区政府采购网。</w:t>
      </w:r>
    </w:p>
    <w:p w14:paraId="29DF228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采购人和采购代理机构有权按本须知的规定，延迟投标截止时间。在此情况下，采购人、采购代理机构和投标人受投标截止时间制约的所有权利和义务均应延长至新的截止时间。</w:t>
      </w:r>
    </w:p>
    <w:p w14:paraId="0110778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采购人和采购代理机构将拒绝接收在投标截止时间后送达的投标文件。</w:t>
      </w:r>
    </w:p>
    <w:p w14:paraId="03081D2E">
      <w:pPr>
        <w:pStyle w:val="4"/>
        <w:spacing w:before="0" w:after="0" w:line="240" w:lineRule="atLeast"/>
        <w:rPr>
          <w:rFonts w:hint="eastAsia" w:ascii="仿宋" w:hAnsi="仿宋" w:eastAsia="仿宋" w:cs="仿宋"/>
          <w:color w:val="auto"/>
          <w:highlight w:val="none"/>
          <w:u w:val="none"/>
        </w:rPr>
      </w:pPr>
      <w:bookmarkStart w:id="115" w:name="_Toc515647777"/>
      <w:bookmarkStart w:id="116" w:name="_Toc24275"/>
      <w:bookmarkStart w:id="117" w:name="_Toc10804"/>
      <w:bookmarkStart w:id="118" w:name="_Toc520356162"/>
      <w:bookmarkStart w:id="119" w:name="_Toc18537"/>
      <w:r>
        <w:rPr>
          <w:rFonts w:hint="eastAsia" w:ascii="仿宋" w:hAnsi="仿宋" w:eastAsia="仿宋" w:cs="仿宋"/>
          <w:color w:val="auto"/>
          <w:highlight w:val="none"/>
          <w:u w:val="none"/>
        </w:rPr>
        <w:t>17.投标文件的接收、修改与撤回</w:t>
      </w:r>
      <w:bookmarkEnd w:id="115"/>
      <w:bookmarkEnd w:id="116"/>
      <w:bookmarkEnd w:id="117"/>
      <w:bookmarkEnd w:id="118"/>
      <w:bookmarkEnd w:id="119"/>
    </w:p>
    <w:p w14:paraId="7CE605F7">
      <w:pPr>
        <w:spacing w:line="240" w:lineRule="atLeast"/>
        <w:ind w:left="900" w:hanging="900" w:hangingChars="375"/>
        <w:rPr>
          <w:rFonts w:hint="eastAsia" w:ascii="仿宋" w:hAnsi="仿宋" w:eastAsia="仿宋" w:cs="仿宋"/>
          <w:color w:val="auto"/>
          <w:sz w:val="24"/>
          <w:highlight w:val="none"/>
        </w:rPr>
      </w:pPr>
      <w:bookmarkStart w:id="120" w:name="_Toc28398"/>
      <w:bookmarkStart w:id="121" w:name="_Toc216582809"/>
      <w:bookmarkStart w:id="122" w:name="_Toc12436"/>
      <w:bookmarkStart w:id="123" w:name="_Toc520356163"/>
      <w:bookmarkStart w:id="124" w:name="_Toc515647778"/>
      <w:r>
        <w:rPr>
          <w:rFonts w:hint="eastAsia" w:ascii="仿宋" w:hAnsi="仿宋" w:eastAsia="仿宋" w:cs="仿宋"/>
          <w:color w:val="auto"/>
          <w:sz w:val="24"/>
          <w:highlight w:val="none"/>
        </w:rPr>
        <w:t>17.1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在投标截止时间后投标人将无法上传投标文件。</w:t>
      </w:r>
    </w:p>
    <w:p w14:paraId="676D611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上传投标文件以后，在投标截止时间前投标人可随时进行修改或撤回投标文件。</w:t>
      </w:r>
    </w:p>
    <w:p w14:paraId="515E22F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在投标截止时间之后，采购人和采购代理机构不接受投标人主动对其投标文件做任何修改。</w:t>
      </w:r>
    </w:p>
    <w:p w14:paraId="1F56AAE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采购人和采购代理机构对所接收电子投标文件概不退回。</w:t>
      </w:r>
    </w:p>
    <w:p w14:paraId="6EE0E19F">
      <w:pPr>
        <w:pStyle w:val="26"/>
        <w:rPr>
          <w:rFonts w:hint="eastAsia" w:ascii="仿宋" w:hAnsi="仿宋" w:eastAsia="仿宋" w:cs="仿宋"/>
          <w:color w:val="auto"/>
          <w:highlight w:val="none"/>
        </w:rPr>
      </w:pPr>
    </w:p>
    <w:p w14:paraId="40A51F3E">
      <w:pPr>
        <w:pStyle w:val="3"/>
        <w:spacing w:before="0" w:line="240" w:lineRule="atLeast"/>
        <w:ind w:left="1079" w:leftChars="257" w:hanging="540"/>
        <w:rPr>
          <w:rFonts w:hint="eastAsia" w:ascii="仿宋" w:hAnsi="仿宋" w:eastAsia="仿宋" w:cs="仿宋"/>
          <w:color w:val="auto"/>
          <w:sz w:val="24"/>
          <w:highlight w:val="none"/>
        </w:rPr>
      </w:pPr>
      <w:bookmarkStart w:id="125" w:name="_Toc4258"/>
      <w:r>
        <w:rPr>
          <w:rFonts w:hint="eastAsia" w:ascii="仿宋" w:hAnsi="仿宋" w:eastAsia="仿宋" w:cs="仿宋"/>
          <w:color w:val="auto"/>
          <w:sz w:val="24"/>
          <w:highlight w:val="none"/>
        </w:rPr>
        <w:t>五   开标及评标</w:t>
      </w:r>
      <w:bookmarkEnd w:id="120"/>
      <w:bookmarkEnd w:id="121"/>
      <w:bookmarkEnd w:id="122"/>
      <w:bookmarkEnd w:id="123"/>
      <w:bookmarkEnd w:id="124"/>
      <w:bookmarkEnd w:id="125"/>
    </w:p>
    <w:p w14:paraId="21B5C74C">
      <w:pPr>
        <w:pStyle w:val="4"/>
        <w:numPr>
          <w:ilvl w:val="0"/>
          <w:numId w:val="4"/>
        </w:numPr>
        <w:spacing w:line="240" w:lineRule="atLeast"/>
        <w:rPr>
          <w:rFonts w:hint="eastAsia" w:ascii="仿宋" w:hAnsi="仿宋" w:eastAsia="仿宋" w:cs="仿宋"/>
          <w:color w:val="auto"/>
          <w:highlight w:val="none"/>
        </w:rPr>
      </w:pPr>
      <w:bookmarkStart w:id="126" w:name="_Toc66"/>
      <w:bookmarkStart w:id="127" w:name="_Toc7186"/>
      <w:bookmarkStart w:id="128" w:name="_Toc25345"/>
      <w:bookmarkStart w:id="129" w:name="_Toc515647779"/>
      <w:bookmarkStart w:id="130" w:name="_Toc520356164"/>
      <w:r>
        <w:rPr>
          <w:rFonts w:hint="eastAsia" w:ascii="仿宋" w:hAnsi="仿宋" w:eastAsia="仿宋" w:cs="仿宋"/>
          <w:color w:val="auto"/>
          <w:highlight w:val="none"/>
          <w:u w:val="none"/>
        </w:rPr>
        <w:t>开标</w:t>
      </w:r>
      <w:bookmarkEnd w:id="126"/>
      <w:bookmarkEnd w:id="127"/>
      <w:bookmarkEnd w:id="128"/>
      <w:bookmarkEnd w:id="129"/>
      <w:bookmarkEnd w:id="130"/>
    </w:p>
    <w:p w14:paraId="136B7871">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18.1  </w:t>
      </w:r>
      <w:r>
        <w:rPr>
          <w:rFonts w:hint="eastAsia" w:ascii="仿宋" w:hAnsi="仿宋" w:eastAsia="仿宋" w:cs="仿宋"/>
          <w:color w:val="auto"/>
          <w:sz w:val="24"/>
          <w:highlight w:val="none"/>
        </w:rPr>
        <w:t>采购人和采购代理机构将按投标人须知资料表中规定的开标时间和地点组织公开开标。</w:t>
      </w:r>
    </w:p>
    <w:p w14:paraId="2AEFFC78">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18.2  </w:t>
      </w:r>
      <w:r>
        <w:rPr>
          <w:rFonts w:hint="eastAsia" w:ascii="仿宋" w:hAnsi="仿宋" w:eastAsia="仿宋" w:cs="仿宋"/>
          <w:color w:val="auto"/>
          <w:sz w:val="24"/>
          <w:highlight w:val="none"/>
        </w:rPr>
        <w:t>在线签收投标文件，投标人不足3家的，不得开标。</w:t>
      </w:r>
    </w:p>
    <w:p w14:paraId="4B58D2C8">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投标人解密投标文件，解密时长为30分钟，供应商应使用与加密时使用的同一把CA锁进行解密操作，如出现非供应商自身原因造成的无法解密，</w:t>
      </w:r>
      <w:r>
        <w:rPr>
          <w:rFonts w:hint="eastAsia" w:ascii="仿宋" w:hAnsi="仿宋" w:eastAsia="仿宋" w:cs="仿宋"/>
          <w:color w:val="auto"/>
          <w:sz w:val="24"/>
          <w:highlight w:val="none"/>
          <w:lang w:eastAsia="zh-CN"/>
        </w:rPr>
        <w:t>由</w:t>
      </w:r>
      <w:r>
        <w:rPr>
          <w:rFonts w:hint="eastAsia" w:ascii="仿宋" w:hAnsi="仿宋" w:eastAsia="仿宋" w:cs="仿宋"/>
          <w:color w:val="auto"/>
          <w:sz w:val="24"/>
          <w:highlight w:val="none"/>
        </w:rPr>
        <w:t>采购代理机构使用备用投标文件进行解密操作。</w:t>
      </w:r>
    </w:p>
    <w:p w14:paraId="7BAC9D42">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w:t>
      </w:r>
      <w:bookmarkStart w:id="131" w:name="_Toc520356165"/>
      <w:r>
        <w:rPr>
          <w:rFonts w:hint="eastAsia" w:ascii="仿宋" w:hAnsi="仿宋" w:eastAsia="仿宋" w:cs="仿宋"/>
          <w:color w:val="auto"/>
          <w:sz w:val="24"/>
          <w:highlight w:val="none"/>
        </w:rPr>
        <w:t>组织评审委员会以不记名投票的形式选定评审委员会主任，并宣读评标会纪律，对评标委员会进行通讯工具管制及宣读相关法律法规。</w:t>
      </w:r>
    </w:p>
    <w:p w14:paraId="105F26F1">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xml:space="preserve">  由代理公司工作人员开启报价文件并由供应商代表在线CA签字确认，报价确认时段限制为10分钟，由评审委员会进行报价评审及政策价格认定。</w:t>
      </w:r>
    </w:p>
    <w:p w14:paraId="6BCFDD8D">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18.6  采购代理机构将对开标过程进行记录，由参加开标的相关工作人员签字确认，并存档备查。</w:t>
      </w:r>
    </w:p>
    <w:p w14:paraId="553347DB">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18.7  投标人代表对开标过程和开标记录有疑义，以及认为采购人、采购代理机构相关工作人员有需要回避的情形的，应当场提出询问或者回避申请。</w:t>
      </w:r>
    </w:p>
    <w:p w14:paraId="35ED15C1">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电子开标的相关注意事项：</w:t>
      </w:r>
    </w:p>
    <w:p w14:paraId="05BF3D52">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18.8.1本项目为电子招投标，供应商需要使用CA加密设备，凡参加本项目可自主通过新疆CA申领渠道“新疆政务通”申请政采云平台可使用的CA设备，如原有兵团或公共资源使用的CA，可与新疆CA联系，申请增加电子证书即可，无需重复申领。</w:t>
      </w:r>
    </w:p>
    <w:p w14:paraId="4D707E1B">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18.8.2本项目实行网上投标，采用电子投标文件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供应商须使用CA加密设备通过政采云电子投标客户端制作投标文件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。若供应商参与投标，自行承担投标一切费用。</w:t>
      </w:r>
    </w:p>
    <w:p w14:paraId="22D149CC">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18.8.3各供应商应在开标前确保成为新疆维吾尔自治区政府采购网正式注册入库供应商，并完成CA数字证书申领。因未注册入库、未办理CA数字证书等原因造成无法投标或投标失败等后果由供应商自行承担。</w:t>
      </w:r>
    </w:p>
    <w:p w14:paraId="2451F7FE">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18.8.4供应商将政采云电子交易客户端下载、安装完成后，可通过账号密码或CA登录客户端进行投标文件制作。在使用政采云投标客户端时，建议使用WIN7及以上操作系统。客户端请至新疆政府采购网（http://www.ccgp-xinjiang.gov.c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下载专区查看，如有问题可拨打政采云客户服务热线</w:t>
      </w:r>
      <w:r>
        <w:rPr>
          <w:rFonts w:hint="eastAsia" w:ascii="仿宋" w:hAnsi="仿宋" w:eastAsia="仿宋" w:cs="仿宋"/>
          <w:color w:val="auto"/>
          <w:sz w:val="24"/>
          <w:highlight w:val="none"/>
          <w:lang w:eastAsia="zh-CN"/>
        </w:rPr>
        <w:t>95763</w:t>
      </w:r>
      <w:r>
        <w:rPr>
          <w:rFonts w:hint="eastAsia" w:ascii="仿宋" w:hAnsi="仿宋" w:eastAsia="仿宋" w:cs="仿宋"/>
          <w:color w:val="auto"/>
          <w:sz w:val="24"/>
          <w:highlight w:val="none"/>
        </w:rPr>
        <w:t>进行咨询。</w:t>
      </w:r>
    </w:p>
    <w:p w14:paraId="1AD8F053">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18.8.5供应商在开标时须使用制作加密电子投标文件所使用的CA锁及电脑，电脑须提前配置好浏览器（建议使用谷歌浏览器），以便开标时解锁。</w:t>
      </w:r>
    </w:p>
    <w:p w14:paraId="44DD4A43">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18.8.6投标保证金缴纳及确认时间：凡拟参加本次招标项目的供应商，必须在开标前将投标保证金汇入指定账户。投标保证金汇款凭证上用途栏应注明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招标项目名称+标项号+投标保证金。</w:t>
      </w:r>
    </w:p>
    <w:p w14:paraId="5C023ADB">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18.8.7供应商对不见面开评标系统的技术操作咨询，可通过https://edu.zcygov.cn/luban/xinjiang-e-biding自助查询，也可在政采云帮助中心常见问题解答和操作流程讲解视频中自助查询，网址为：https://service.zcygov.cn/#/help，“项目采购”—“操作流程</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电子招投标”—“政府采购项目电子交易管理操作指南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2EEA9DE1">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18.8.8政采云线上获取招标文件方法：供应商登</w:t>
      </w:r>
      <w:r>
        <w:rPr>
          <w:rFonts w:hint="eastAsia" w:ascii="仿宋" w:hAnsi="仿宋" w:eastAsia="仿宋" w:cs="仿宋"/>
          <w:color w:val="auto"/>
          <w:sz w:val="24"/>
          <w:highlight w:val="none"/>
          <w:lang w:val="en-US" w:eastAsia="zh-CN"/>
        </w:rPr>
        <w:t>录</w:t>
      </w:r>
      <w:r>
        <w:rPr>
          <w:rFonts w:hint="eastAsia" w:ascii="仿宋" w:hAnsi="仿宋" w:eastAsia="仿宋" w:cs="仿宋"/>
          <w:color w:val="auto"/>
          <w:sz w:val="24"/>
          <w:highlight w:val="none"/>
        </w:rPr>
        <w:t>政采云平台http://www.zcygov.cn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在线申请获取采购文件（登录政府采购云平台 → 项目采购 → 获取采购文件 → 申请，如有操作性问题，可与政采云在线客服进行咨询，咨询电话：</w:t>
      </w:r>
      <w:r>
        <w:rPr>
          <w:rFonts w:hint="eastAsia" w:ascii="仿宋" w:hAnsi="仿宋" w:eastAsia="仿宋" w:cs="仿宋"/>
          <w:color w:val="auto"/>
          <w:sz w:val="24"/>
          <w:highlight w:val="none"/>
          <w:lang w:eastAsia="zh-CN"/>
        </w:rPr>
        <w:t>95763</w:t>
      </w:r>
      <w:r>
        <w:rPr>
          <w:rFonts w:hint="eastAsia" w:ascii="仿宋" w:hAnsi="仿宋" w:eastAsia="仿宋" w:cs="仿宋"/>
          <w:color w:val="auto"/>
          <w:sz w:val="24"/>
          <w:highlight w:val="none"/>
        </w:rPr>
        <w:t>）</w:t>
      </w:r>
    </w:p>
    <w:p w14:paraId="3567814C">
      <w:pPr>
        <w:pStyle w:val="26"/>
        <w:rPr>
          <w:rFonts w:hint="eastAsia" w:ascii="仿宋" w:hAnsi="仿宋" w:eastAsia="仿宋" w:cs="仿宋"/>
          <w:color w:val="auto"/>
          <w:highlight w:val="none"/>
        </w:rPr>
      </w:pPr>
    </w:p>
    <w:p w14:paraId="0E302160">
      <w:pPr>
        <w:pStyle w:val="4"/>
        <w:spacing w:before="0" w:after="0" w:line="240" w:lineRule="atLeast"/>
        <w:rPr>
          <w:rFonts w:hint="eastAsia" w:ascii="仿宋" w:hAnsi="仿宋" w:eastAsia="仿宋" w:cs="仿宋"/>
          <w:color w:val="auto"/>
          <w:highlight w:val="none"/>
          <w:u w:val="none"/>
        </w:rPr>
      </w:pPr>
      <w:bookmarkStart w:id="132" w:name="_Toc21372"/>
      <w:bookmarkStart w:id="133" w:name="_Toc12117"/>
      <w:bookmarkStart w:id="134" w:name="_Toc19296"/>
      <w:bookmarkStart w:id="135" w:name="_Toc515647780"/>
      <w:r>
        <w:rPr>
          <w:rFonts w:hint="eastAsia" w:ascii="仿宋" w:hAnsi="仿宋" w:eastAsia="仿宋" w:cs="仿宋"/>
          <w:color w:val="auto"/>
          <w:highlight w:val="none"/>
          <w:u w:val="none"/>
        </w:rPr>
        <w:t>19.</w:t>
      </w:r>
      <w:bookmarkEnd w:id="131"/>
      <w:r>
        <w:rPr>
          <w:rFonts w:hint="eastAsia" w:ascii="仿宋" w:hAnsi="仿宋" w:eastAsia="仿宋" w:cs="仿宋"/>
          <w:color w:val="auto"/>
          <w:highlight w:val="none"/>
          <w:u w:val="none"/>
        </w:rPr>
        <w:t>资格审查及组建评标委员会</w:t>
      </w:r>
      <w:bookmarkEnd w:id="132"/>
      <w:bookmarkEnd w:id="133"/>
      <w:bookmarkEnd w:id="134"/>
      <w:bookmarkEnd w:id="135"/>
    </w:p>
    <w:p w14:paraId="5C9E0AA6">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19.1    采购人或采购代理机构依据法律法规和招标文件中规定的内容，对投标人及其货物的资格进行审查，未通过资格审查的投标人不进入评标；通过资格审查的投标人少于不足三家的，不得评标。</w:t>
      </w:r>
    </w:p>
    <w:p w14:paraId="798BB36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合格投标人开标时需提供的资格证明文件：</w:t>
      </w:r>
    </w:p>
    <w:p w14:paraId="768428D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b/>
          <w:bCs/>
          <w:sz w:val="24"/>
          <w:highlight w:val="none"/>
        </w:rPr>
      </w:pPr>
      <w:r>
        <w:rPr>
          <w:rFonts w:hint="eastAsia" w:ascii="仿宋" w:hAnsi="仿宋" w:eastAsia="仿宋" w:cs="仿宋"/>
          <w:b/>
          <w:bCs/>
          <w:sz w:val="24"/>
          <w:highlight w:val="none"/>
        </w:rPr>
        <w:t xml:space="preserve">投标人必须符合《中华人民共和国政府采购法》第二十二条的相关规定； </w:t>
      </w:r>
    </w:p>
    <w:p w14:paraId="6BB2622B">
      <w:pPr>
        <w:keepNext w:val="0"/>
        <w:keepLines w:val="0"/>
        <w:suppressLineNumbers w:val="0"/>
        <w:tabs>
          <w:tab w:val="left" w:pos="5580"/>
        </w:tabs>
        <w:spacing w:before="0" w:beforeAutospacing="0" w:after="0" w:afterAutospacing="0" w:line="360" w:lineRule="auto"/>
        <w:ind w:left="0" w:right="0" w:firstLine="480"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合格有效的营业执照（三证合一）副本（原件、复印件、影印件均可）或电子营业执照打印件（需加盖公章）或同等法律效力的证明文件（发证机关或公证机关出具的证明材料原件）；法人或者非法人组织营业执照等证明文件复印件（须加盖本单位公章）或自然人的身份证明复印件；</w:t>
      </w:r>
    </w:p>
    <w:p w14:paraId="19CAE375">
      <w:pPr>
        <w:keepNext w:val="0"/>
        <w:keepLines w:val="0"/>
        <w:suppressLineNumbers w:val="0"/>
        <w:tabs>
          <w:tab w:val="left" w:pos="5580"/>
        </w:tabs>
        <w:spacing w:before="0" w:beforeAutospacing="0" w:after="0" w:afterAutospacing="0" w:line="360" w:lineRule="auto"/>
        <w:ind w:left="0" w:right="0" w:firstLine="480"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2.法定代表人身份证明或法定代表人授权委托书及被授权人身份证； </w:t>
      </w:r>
    </w:p>
    <w:p w14:paraId="67550707">
      <w:pPr>
        <w:keepNext w:val="0"/>
        <w:keepLines w:val="0"/>
        <w:suppressLineNumbers w:val="0"/>
        <w:tabs>
          <w:tab w:val="left" w:pos="5580"/>
        </w:tabs>
        <w:spacing w:before="0" w:beforeAutospacing="0" w:after="0" w:afterAutospacing="0" w:line="360" w:lineRule="auto"/>
        <w:ind w:left="0" w:right="0" w:firstLine="480"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3.近期（投标截止日期前六个月内任意一个月）依法缴纳社会保障金的缴费证明或银行出具的“银行电子缴纳社会保障金付款凭证”（新成立公司提供相关证明文件） ；</w:t>
      </w:r>
    </w:p>
    <w:p w14:paraId="4E8FCE1B">
      <w:pPr>
        <w:keepNext w:val="0"/>
        <w:keepLines w:val="0"/>
        <w:suppressLineNumbers w:val="0"/>
        <w:tabs>
          <w:tab w:val="left" w:pos="5580"/>
        </w:tabs>
        <w:spacing w:before="0" w:beforeAutospacing="0" w:after="0" w:afterAutospacing="0" w:line="360" w:lineRule="auto"/>
        <w:ind w:left="0" w:right="0" w:firstLine="480"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近期（投标截止日期前六个月内任意一个月）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p>
    <w:p w14:paraId="322FC4F5">
      <w:pPr>
        <w:keepNext w:val="0"/>
        <w:keepLines w:val="0"/>
        <w:suppressLineNumbers w:val="0"/>
        <w:tabs>
          <w:tab w:val="left" w:pos="5580"/>
        </w:tabs>
        <w:spacing w:before="0" w:beforeAutospacing="0" w:after="0" w:afterAutospacing="0" w:line="360" w:lineRule="auto"/>
        <w:ind w:left="0" w:right="0" w:firstLine="480"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w:t>
      </w:r>
      <w:r>
        <w:rPr>
          <w:rFonts w:hint="eastAsia" w:ascii="仿宋" w:hAnsi="仿宋" w:eastAsia="仿宋" w:cs="仿宋"/>
          <w:b/>
          <w:bCs/>
          <w:color w:val="auto"/>
          <w:sz w:val="24"/>
          <w:szCs w:val="24"/>
          <w:highlight w:val="none"/>
          <w:lang w:val="en-US" w:eastAsia="zh-CN"/>
        </w:rPr>
        <w:t>提供2025年完整的财务审计报告（成立未满十二个月的新公司可提供近三个月内任意一个月的银行资信证明）；</w:t>
      </w:r>
      <w:r>
        <w:rPr>
          <w:rFonts w:hint="eastAsia" w:ascii="仿宋" w:hAnsi="仿宋" w:eastAsia="仿宋" w:cs="仿宋"/>
          <w:b/>
          <w:bCs/>
          <w:color w:val="auto"/>
          <w:sz w:val="24"/>
          <w:szCs w:val="24"/>
          <w:highlight w:val="none"/>
          <w:lang w:val="en-US" w:eastAsia="zh-CN"/>
        </w:rPr>
        <w:br w:type="textWrapping"/>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sz w:val="24"/>
          <w:szCs w:val="24"/>
          <w:lang w:val="en-US" w:eastAsia="zh-CN"/>
        </w:rPr>
        <w:t>6.凡拟参加本次招标项目的供应商，如在“信用中国”网站（https://www.creditchina.gov.cn/）被列入失信被执行人、重大税收违法失信主体名单、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w:t>
      </w:r>
    </w:p>
    <w:p w14:paraId="00A99D7A">
      <w:pPr>
        <w:keepNext w:val="0"/>
        <w:keepLines w:val="0"/>
        <w:suppressLineNumbers w:val="0"/>
        <w:tabs>
          <w:tab w:val="left" w:pos="5580"/>
        </w:tabs>
        <w:spacing w:before="0" w:beforeAutospacing="0" w:after="0" w:afterAutospacing="0" w:line="360" w:lineRule="auto"/>
        <w:ind w:left="0" w:right="0" w:firstLine="480"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7.提供参加政府采购活动前3年内在经营活动中没有重大违法记录的书面声明；</w:t>
      </w:r>
    </w:p>
    <w:p w14:paraId="5C82D4FB">
      <w:pPr>
        <w:keepNext w:val="0"/>
        <w:keepLines w:val="0"/>
        <w:suppressLineNumbers w:val="0"/>
        <w:tabs>
          <w:tab w:val="left" w:pos="5580"/>
        </w:tabs>
        <w:spacing w:before="0" w:beforeAutospacing="0" w:after="0" w:afterAutospacing="0" w:line="360" w:lineRule="auto"/>
        <w:ind w:left="0" w:right="0" w:firstLine="480"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8.提供针对本次项目《反商业贿赂承诺书》；</w:t>
      </w:r>
    </w:p>
    <w:p w14:paraId="53DFAE4A">
      <w:pPr>
        <w:keepNext w:val="0"/>
        <w:keepLines w:val="0"/>
        <w:suppressLineNumbers w:val="0"/>
        <w:tabs>
          <w:tab w:val="left" w:pos="5580"/>
        </w:tabs>
        <w:spacing w:before="0" w:beforeAutospacing="0" w:after="0" w:afterAutospacing="0" w:line="360" w:lineRule="auto"/>
        <w:ind w:left="0" w:right="0" w:firstLine="480"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9.必须具有履行合同所必需的设备和专业技术能力；</w:t>
      </w:r>
    </w:p>
    <w:p w14:paraId="6445B2DC">
      <w:pPr>
        <w:pStyle w:val="9"/>
        <w:rPr>
          <w:rFonts w:hint="eastAsia"/>
          <w:b/>
          <w:bCs/>
          <w:lang w:val="en-US" w:eastAsia="zh-CN"/>
        </w:rPr>
      </w:pPr>
      <w:r>
        <w:rPr>
          <w:rFonts w:hint="eastAsia" w:ascii="仿宋" w:hAnsi="仿宋" w:eastAsia="仿宋" w:cs="仿宋"/>
          <w:b/>
          <w:bCs/>
          <w:sz w:val="24"/>
          <w:szCs w:val="24"/>
          <w:lang w:val="en-US" w:eastAsia="zh-CN"/>
        </w:rPr>
        <w:t>10.本项目不接受联合体投标；</w:t>
      </w:r>
    </w:p>
    <w:p w14:paraId="40F4BF86">
      <w:pPr>
        <w:spacing w:line="240" w:lineRule="atLeast"/>
        <w:ind w:left="857" w:leftChars="2" w:hanging="853"/>
        <w:rPr>
          <w:rFonts w:hint="eastAsia" w:ascii="仿宋" w:hAnsi="仿宋" w:eastAsia="仿宋" w:cs="仿宋"/>
          <w:color w:val="auto"/>
          <w:sz w:val="24"/>
          <w:highlight w:val="none"/>
        </w:rPr>
      </w:pPr>
      <w:r>
        <w:rPr>
          <w:rFonts w:hint="eastAsia" w:ascii="仿宋" w:hAnsi="仿宋" w:eastAsia="仿宋" w:cs="仿宋"/>
          <w:color w:val="auto"/>
          <w:sz w:val="24"/>
          <w:highlight w:val="none"/>
        </w:rPr>
        <w:t>19.2   采购人或采购代理机构将在开标前1个工作日至投标截止后1小时的期间内查询投标人的信用记录。投标人存在不良信用记录的，其投标将被认定为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37BAC9AB">
      <w:pPr>
        <w:pStyle w:val="11"/>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19.2.1 不良信用记录指：凡拟参加本次招标项目的供应商，如在“信用中国”网站（https://www.creditchina.gov.cn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被列入失信被执行人、重大税收违法失信主体名单（信用服务</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重点领域严重失信主体名单查询</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搜索栏输入单位全称）、中国政府采购网（https://www.ccgp.gov.cn/search/cr</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严重违法失信行为信息记录名单（尚在处罚期内的）、“国家企业信用信息公示系统（https://www.gsxt.gov.cn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”列入经营异常名录信息、严重违法失信名单（黑名单）信息的，将拒绝其参加本次招标活动（以采购代理机构或采购人查询为准）</w:t>
      </w:r>
    </w:p>
    <w:p w14:paraId="48A49984">
      <w:pPr>
        <w:spacing w:line="240" w:lineRule="atLeast"/>
        <w:ind w:left="849" w:leftChars="401" w:hanging="7" w:hangingChars="3"/>
        <w:rPr>
          <w:rFonts w:hint="eastAsia" w:ascii="仿宋" w:hAnsi="仿宋" w:eastAsia="仿宋" w:cs="仿宋"/>
          <w:color w:val="auto"/>
          <w:sz w:val="24"/>
          <w:highlight w:val="none"/>
        </w:rPr>
      </w:pPr>
      <w:r>
        <w:rPr>
          <w:rFonts w:hint="eastAsia" w:ascii="仿宋" w:hAnsi="仿宋" w:eastAsia="仿宋" w:cs="仿宋"/>
          <w:color w:val="auto"/>
          <w:sz w:val="24"/>
          <w:highlight w:val="none"/>
        </w:rPr>
        <w:t>以联合体形式参加投标的，联合体任何成员存在以上不良信用记录的，联合体投标将被认定为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61D9C0FF">
      <w:pPr>
        <w:pStyle w:val="9"/>
        <w:ind w:left="850" w:hanging="849" w:hangingChars="354"/>
        <w:jc w:val="both"/>
        <w:rPr>
          <w:rFonts w:hint="eastAsia" w:ascii="仿宋" w:hAnsi="仿宋" w:eastAsia="仿宋" w:cs="仿宋"/>
          <w:color w:val="auto"/>
          <w:highlight w:val="none"/>
        </w:rPr>
      </w:pPr>
      <w:r>
        <w:rPr>
          <w:rFonts w:hint="eastAsia" w:ascii="仿宋" w:hAnsi="仿宋" w:eastAsia="仿宋" w:cs="仿宋"/>
          <w:color w:val="auto"/>
          <w:highlight w:val="none"/>
        </w:rPr>
        <w:t>19.2.2 查询及记录方式：采购人或采购代理机构经办人将查询网页打印、签字并存档备查。投标人不良信用记录以采购人或采购代理机构查询结果为准。</w:t>
      </w:r>
    </w:p>
    <w:p w14:paraId="1AD4C8EE">
      <w:pPr>
        <w:pStyle w:val="9"/>
        <w:ind w:left="850" w:leftChars="405" w:firstLine="0"/>
        <w:jc w:val="both"/>
        <w:rPr>
          <w:rFonts w:hint="eastAsia" w:ascii="仿宋" w:hAnsi="仿宋" w:eastAsia="仿宋" w:cs="仿宋"/>
          <w:color w:val="auto"/>
          <w:highlight w:val="none"/>
        </w:rPr>
      </w:pPr>
      <w:r>
        <w:rPr>
          <w:rFonts w:hint="eastAsia" w:ascii="仿宋" w:hAnsi="仿宋" w:eastAsia="仿宋" w:cs="仿宋"/>
          <w:color w:val="auto"/>
          <w:highlight w:val="none"/>
        </w:rPr>
        <w:t>在本招标文件规定的查询时间之后，网站信息发生的任何变更均不再作为评标依据。</w:t>
      </w:r>
    </w:p>
    <w:p w14:paraId="0D641598">
      <w:pPr>
        <w:pStyle w:val="9"/>
        <w:ind w:left="850" w:leftChars="405" w:firstLine="0"/>
        <w:jc w:val="both"/>
        <w:rPr>
          <w:rFonts w:hint="eastAsia" w:ascii="仿宋" w:hAnsi="仿宋" w:eastAsia="仿宋" w:cs="仿宋"/>
          <w:color w:val="auto"/>
          <w:highlight w:val="none"/>
        </w:rPr>
      </w:pPr>
      <w:r>
        <w:rPr>
          <w:rFonts w:hint="eastAsia" w:ascii="仿宋" w:hAnsi="仿宋" w:eastAsia="仿宋" w:cs="仿宋"/>
          <w:color w:val="auto"/>
          <w:highlight w:val="none"/>
        </w:rPr>
        <w:t>投标人自行提供的与网站信息不一致的其他证明材料亦不作为资格审查依据。</w:t>
      </w:r>
    </w:p>
    <w:p w14:paraId="051499D8">
      <w:pPr>
        <w:spacing w:line="240" w:lineRule="atLeast"/>
        <w:ind w:left="850" w:hanging="849" w:hangingChars="354"/>
        <w:rPr>
          <w:rFonts w:hint="default"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19.3   按照《中华人民共和国政府采购法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中华人民共和国政府采购法实施条例》及本项目本级和上级财政部门的有关规定依法组建的评标委员会，负责评标工作。</w:t>
      </w:r>
      <w:bookmarkStart w:id="136" w:name="_Toc520356166"/>
    </w:p>
    <w:p w14:paraId="03DBF663">
      <w:pPr>
        <w:pStyle w:val="4"/>
        <w:spacing w:before="0" w:after="0" w:line="240" w:lineRule="atLeast"/>
        <w:rPr>
          <w:rFonts w:hint="eastAsia" w:ascii="仿宋" w:hAnsi="仿宋" w:eastAsia="仿宋" w:cs="仿宋"/>
          <w:b w:val="0"/>
          <w:bCs/>
          <w:color w:val="auto"/>
          <w:highlight w:val="none"/>
          <w:bdr w:val="single" w:color="auto" w:sz="4" w:space="0"/>
        </w:rPr>
      </w:pPr>
      <w:bookmarkStart w:id="137" w:name="_Toc28479"/>
      <w:bookmarkStart w:id="138" w:name="_Toc515647781"/>
      <w:bookmarkStart w:id="139" w:name="_Toc13367"/>
      <w:bookmarkStart w:id="140" w:name="_Toc19949"/>
      <w:r>
        <w:rPr>
          <w:rFonts w:hint="eastAsia" w:ascii="仿宋" w:hAnsi="仿宋" w:eastAsia="仿宋" w:cs="仿宋"/>
          <w:color w:val="auto"/>
          <w:highlight w:val="none"/>
          <w:u w:val="none"/>
        </w:rPr>
        <w:t>20.投标文件</w:t>
      </w:r>
      <w:bookmarkEnd w:id="136"/>
      <w:r>
        <w:rPr>
          <w:rFonts w:hint="eastAsia" w:ascii="仿宋" w:hAnsi="仿宋" w:eastAsia="仿宋" w:cs="仿宋"/>
          <w:color w:val="auto"/>
          <w:highlight w:val="none"/>
          <w:u w:val="none"/>
        </w:rPr>
        <w:t>符合性审查与澄清</w:t>
      </w:r>
      <w:bookmarkEnd w:id="137"/>
      <w:bookmarkEnd w:id="138"/>
      <w:bookmarkEnd w:id="139"/>
      <w:bookmarkEnd w:id="140"/>
    </w:p>
    <w:p w14:paraId="340E28F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20.1   符合性审查是指依据招标文件的规定，从投标文件的有效性和完整性对招标文件的响应程度进行审查，以确定是否对招标文件的实质性要求做出响应。</w:t>
      </w:r>
      <w:bookmarkStart w:id="141" w:name="_Hlt522424701"/>
      <w:bookmarkEnd w:id="141"/>
      <w:bookmarkStart w:id="142" w:name="_Toc520356167"/>
    </w:p>
    <w:p w14:paraId="340154A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投标文件的澄清</w:t>
      </w:r>
    </w:p>
    <w:p w14:paraId="3676810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w:t>
      </w:r>
      <w:r>
        <w:rPr>
          <w:rFonts w:hint="eastAsia" w:ascii="仿宋" w:hAnsi="仿宋" w:eastAsia="仿宋" w:cs="仿宋"/>
          <w:color w:val="auto"/>
          <w:sz w:val="24"/>
          <w:highlight w:val="none"/>
          <w:lang w:eastAsia="zh-CN"/>
        </w:rPr>
        <w:t>做必要</w:t>
      </w:r>
      <w:r>
        <w:rPr>
          <w:rFonts w:hint="eastAsia" w:ascii="仿宋" w:hAnsi="仿宋" w:eastAsia="仿宋" w:cs="仿宋"/>
          <w:color w:val="auto"/>
          <w:sz w:val="24"/>
          <w:highlight w:val="none"/>
        </w:rPr>
        <w:t>的澄清、说明或补正。投标人的澄清、说明或补正应在评标委员会规定的时间内以书面方式进行，需进行CA签字确认，并不得超出投标文件范围或者改变投标文件的实质性内容。</w:t>
      </w:r>
    </w:p>
    <w:p w14:paraId="28AFF6A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20.2.2  投标人</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rPr>
        <w:t>澄清、说明或补正将作为投标文件的一部分。</w:t>
      </w:r>
    </w:p>
    <w:p w14:paraId="50B9E8E1">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20.3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投标文件报价出现前后不一致的，按照下列规定修正：</w:t>
      </w:r>
    </w:p>
    <w:p w14:paraId="5C7C3249">
      <w:pPr>
        <w:spacing w:line="240" w:lineRule="atLeast"/>
        <w:ind w:left="1020" w:hanging="1020" w:hangingChars="425"/>
        <w:rPr>
          <w:rFonts w:hint="eastAsia" w:ascii="仿宋" w:hAnsi="仿宋" w:eastAsia="仿宋" w:cs="仿宋"/>
          <w:color w:val="auto"/>
          <w:sz w:val="24"/>
          <w:highlight w:val="none"/>
        </w:rPr>
      </w:pPr>
      <w:r>
        <w:rPr>
          <w:rFonts w:hint="eastAsia" w:ascii="仿宋" w:hAnsi="仿宋" w:eastAsia="仿宋" w:cs="仿宋"/>
          <w:color w:val="auto"/>
          <w:sz w:val="24"/>
          <w:highlight w:val="none"/>
        </w:rPr>
        <w:t>　　   （一）投标文件中开标一览表（报价表）内容与投标文件中相应内容不一致的，以开标一览表（报价表）为准；</w:t>
      </w:r>
    </w:p>
    <w:p w14:paraId="66F3231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（二）大写金额和小写金额不一致的，以大写金额为准；</w:t>
      </w:r>
    </w:p>
    <w:p w14:paraId="47D787D4">
      <w:pPr>
        <w:spacing w:line="240" w:lineRule="atLeast"/>
        <w:ind w:left="1020" w:hanging="1020" w:hangingChars="425"/>
        <w:rPr>
          <w:rFonts w:hint="eastAsia" w:ascii="仿宋" w:hAnsi="仿宋" w:eastAsia="仿宋" w:cs="仿宋"/>
          <w:color w:val="auto"/>
          <w:sz w:val="24"/>
          <w:highlight w:val="none"/>
        </w:rPr>
      </w:pPr>
      <w:r>
        <w:rPr>
          <w:rFonts w:hint="eastAsia" w:ascii="仿宋" w:hAnsi="仿宋" w:eastAsia="仿宋" w:cs="仿宋"/>
          <w:color w:val="auto"/>
          <w:sz w:val="24"/>
          <w:highlight w:val="none"/>
        </w:rPr>
        <w:t>　   　（三）单价金额小数点或者百分比有明显错位的，以开标一览表的总价为准，并修改单价；</w:t>
      </w:r>
    </w:p>
    <w:p w14:paraId="04DF73B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（四）总价金额与按单价汇总金额不一致的，以单价金额计算结果为准。</w:t>
      </w:r>
    </w:p>
    <w:p w14:paraId="1BE411F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同时出现两种以上不一致的，按照前款规定的顺序修正。修正后的报价按照第20.2条的规定经投标人确认后产生约束力，投标人不确认的，其投标将被认定为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71F4ABDB">
      <w:pPr>
        <w:spacing w:line="240" w:lineRule="atLeast"/>
        <w:ind w:left="735" w:leftChars="35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对不同文字文本投标文件的解释发生异议的，以中文文本为准。</w:t>
      </w:r>
    </w:p>
    <w:p w14:paraId="1C449F4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20.4   如一个分包内只有一种产品，不同投标人所投产品为同一品牌的，按如下方式处理：</w:t>
      </w:r>
    </w:p>
    <w:p w14:paraId="6C7992B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20.4.1  如本项目使用最低评标价法，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 xml:space="preserve">。 </w:t>
      </w:r>
    </w:p>
    <w:p w14:paraId="1D6BC01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3C1B86A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20.5   如一个分包内包含多种产品的，采购人或采购代理机构将在</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中载明核心产品，多家投标人提供的核心产品品牌相同的，按第20.4条规定处理。</w:t>
      </w:r>
    </w:p>
    <w:p w14:paraId="0A98655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14:paraId="24BAC75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如采购人所采购产品为政府强制采购的节能产品，投标人所投产品的品牌及型号必须为清单中有效期内产品并提供证明文件，否则其投标将被认定为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56C1B7B5">
      <w:pPr>
        <w:pStyle w:val="4"/>
        <w:spacing w:before="0" w:after="0" w:line="240" w:lineRule="atLeast"/>
        <w:rPr>
          <w:rFonts w:hint="eastAsia" w:ascii="仿宋" w:hAnsi="仿宋" w:eastAsia="仿宋" w:cs="仿宋"/>
          <w:color w:val="auto"/>
          <w:highlight w:val="none"/>
          <w:u w:val="none"/>
        </w:rPr>
      </w:pPr>
      <w:bookmarkStart w:id="143" w:name="_Toc2932"/>
      <w:bookmarkStart w:id="144" w:name="_Toc515647782"/>
      <w:bookmarkStart w:id="145" w:name="_Toc9469"/>
      <w:bookmarkStart w:id="146" w:name="_Toc6364"/>
      <w:r>
        <w:rPr>
          <w:rFonts w:hint="eastAsia" w:ascii="仿宋" w:hAnsi="仿宋" w:eastAsia="仿宋" w:cs="仿宋"/>
          <w:color w:val="auto"/>
          <w:highlight w:val="none"/>
          <w:u w:val="none"/>
        </w:rPr>
        <w:t>21.投标偏离</w:t>
      </w:r>
      <w:bookmarkEnd w:id="143"/>
      <w:bookmarkEnd w:id="144"/>
      <w:bookmarkEnd w:id="145"/>
      <w:bookmarkEnd w:id="146"/>
    </w:p>
    <w:p w14:paraId="177FA6FB">
      <w:pPr>
        <w:spacing w:line="240" w:lineRule="atLeast"/>
        <w:ind w:left="847" w:leftChars="99" w:hanging="640" w:hangingChars="267"/>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评标委员会可以接受投标文件中不构成实质性偏离的不正规或不一致。</w:t>
      </w:r>
    </w:p>
    <w:p w14:paraId="3D7F3685">
      <w:pPr>
        <w:pStyle w:val="4"/>
        <w:spacing w:before="0" w:after="0" w:line="240" w:lineRule="atLeast"/>
        <w:rPr>
          <w:rFonts w:hint="eastAsia" w:ascii="仿宋" w:hAnsi="仿宋" w:eastAsia="仿宋" w:cs="仿宋"/>
          <w:color w:val="auto"/>
          <w:highlight w:val="none"/>
          <w:u w:val="none"/>
        </w:rPr>
      </w:pPr>
      <w:bookmarkStart w:id="147" w:name="_Toc515647783"/>
      <w:bookmarkStart w:id="148" w:name="_Toc16258"/>
      <w:bookmarkStart w:id="149" w:name="_Toc4950"/>
      <w:bookmarkStart w:id="150" w:name="_Toc6092"/>
      <w:r>
        <w:rPr>
          <w:rFonts w:hint="eastAsia" w:ascii="仿宋" w:hAnsi="仿宋" w:eastAsia="仿宋" w:cs="仿宋"/>
          <w:color w:val="auto"/>
          <w:highlight w:val="none"/>
          <w:u w:val="none"/>
        </w:rPr>
        <w:t>22.投标</w:t>
      </w:r>
      <w:bookmarkEnd w:id="147"/>
      <w:r>
        <w:rPr>
          <w:rFonts w:hint="eastAsia" w:ascii="仿宋" w:hAnsi="仿宋" w:eastAsia="仿宋" w:cs="仿宋"/>
          <w:color w:val="auto"/>
          <w:highlight w:val="none"/>
          <w:u w:val="none"/>
        </w:rPr>
        <w:t>无效</w:t>
      </w:r>
      <w:bookmarkEnd w:id="148"/>
      <w:bookmarkEnd w:id="149"/>
      <w:bookmarkEnd w:id="150"/>
    </w:p>
    <w:p w14:paraId="4A059288">
      <w:pPr>
        <w:spacing w:line="240" w:lineRule="atLeast"/>
        <w:ind w:left="852" w:leftChars="-23"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。投标人不得通过修正或撤销不符合要求的偏离，从而使其投标成为实质上响应的投标。</w:t>
      </w:r>
    </w:p>
    <w:p w14:paraId="08629F7B">
      <w:pPr>
        <w:spacing w:line="240" w:lineRule="atLeast"/>
        <w:ind w:left="791" w:leftChars="377"/>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评标委员会决定投标的响应性只根据招标文件要求、投标文件内容及财政主管部门指定相关信息发布媒体。</w:t>
      </w:r>
    </w:p>
    <w:p w14:paraId="397C20C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如发现下列情况之一的，其投标将被认定为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以下情形应当在招标文件中规定，并以醒目的方式标明</w:t>
      </w:r>
      <w:r>
        <w:rPr>
          <w:rFonts w:hint="eastAsia" w:ascii="仿宋" w:hAnsi="仿宋" w:eastAsia="仿宋" w:cs="仿宋"/>
          <w:color w:val="auto"/>
          <w:sz w:val="24"/>
          <w:highlight w:val="none"/>
        </w:rPr>
        <w:t>）</w:t>
      </w:r>
    </w:p>
    <w:p w14:paraId="4242517B">
      <w:pPr>
        <w:numPr>
          <w:ilvl w:val="0"/>
          <w:numId w:val="5"/>
        </w:numPr>
        <w:spacing w:line="240" w:lineRule="atLeast"/>
        <w:ind w:left="1080" w:leftChars="429"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未按招标文件规定的形式和金额提交投标保证金的；</w:t>
      </w:r>
    </w:p>
    <w:p w14:paraId="43B593D0">
      <w:pPr>
        <w:numPr>
          <w:ilvl w:val="0"/>
          <w:numId w:val="5"/>
        </w:numPr>
        <w:spacing w:line="240" w:lineRule="atLeast"/>
        <w:ind w:left="1080" w:leftChars="429"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未按照招标文件规定要求签署、盖章的；</w:t>
      </w:r>
    </w:p>
    <w:p w14:paraId="07E1E739">
      <w:pPr>
        <w:numPr>
          <w:ilvl w:val="0"/>
          <w:numId w:val="5"/>
        </w:numPr>
        <w:spacing w:line="240" w:lineRule="atLeast"/>
        <w:ind w:left="1080" w:leftChars="429"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未满足招标文件中技术条款的实质性要求；</w:t>
      </w:r>
    </w:p>
    <w:p w14:paraId="48622965">
      <w:pPr>
        <w:numPr>
          <w:ilvl w:val="0"/>
          <w:numId w:val="5"/>
        </w:numPr>
        <w:spacing w:line="240" w:lineRule="atLeast"/>
        <w:ind w:left="1080" w:leftChars="429"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与其他投标人串通投标，或者与招标人串通投标；</w:t>
      </w:r>
    </w:p>
    <w:p w14:paraId="42F32788">
      <w:pPr>
        <w:numPr>
          <w:ilvl w:val="0"/>
          <w:numId w:val="5"/>
        </w:numPr>
        <w:spacing w:line="240" w:lineRule="atLeast"/>
        <w:ind w:left="1080" w:leftChars="429"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属于招标文件规定的其他投标无效情形；</w:t>
      </w:r>
    </w:p>
    <w:p w14:paraId="5B15EEED">
      <w:pPr>
        <w:numPr>
          <w:ilvl w:val="0"/>
          <w:numId w:val="5"/>
        </w:numPr>
        <w:spacing w:line="240" w:lineRule="atLeast"/>
        <w:ind w:left="1080" w:leftChars="429"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评标委员会认为投标人的报价明显低于其他通过符合性检查投标人的报价，有可能影响履约的，且投标人未按照规定证明其报价合理性的；</w:t>
      </w:r>
    </w:p>
    <w:p w14:paraId="7DFEA33C">
      <w:pPr>
        <w:numPr>
          <w:ilvl w:val="0"/>
          <w:numId w:val="5"/>
        </w:numPr>
        <w:spacing w:line="240" w:lineRule="atLeast"/>
        <w:ind w:left="1080" w:leftChars="429"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投标文件含有采购人不能接受的附加条件的；</w:t>
      </w:r>
    </w:p>
    <w:p w14:paraId="2DC220CF">
      <w:pPr>
        <w:numPr>
          <w:ilvl w:val="0"/>
          <w:numId w:val="5"/>
        </w:numPr>
        <w:tabs>
          <w:tab w:val="left" w:pos="0"/>
        </w:tabs>
        <w:spacing w:line="240" w:lineRule="atLeast"/>
        <w:ind w:left="1080" w:leftChars="429"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不符合法规和招标文件中规定的其他实质性要求的。</w:t>
      </w:r>
    </w:p>
    <w:p w14:paraId="0E15D70A">
      <w:pPr>
        <w:pStyle w:val="4"/>
        <w:spacing w:before="0" w:after="0" w:line="240" w:lineRule="atLeast"/>
        <w:rPr>
          <w:rFonts w:hint="eastAsia" w:ascii="仿宋" w:hAnsi="仿宋" w:eastAsia="仿宋" w:cs="仿宋"/>
          <w:b/>
          <w:color w:val="auto"/>
          <w:highlight w:val="none"/>
          <w:u w:val="none"/>
        </w:rPr>
      </w:pPr>
      <w:bookmarkStart w:id="151" w:name="_Toc515647784"/>
      <w:bookmarkStart w:id="152" w:name="_Toc13652"/>
      <w:bookmarkStart w:id="153" w:name="_Toc29628"/>
      <w:bookmarkStart w:id="154" w:name="_Toc22941"/>
      <w:r>
        <w:rPr>
          <w:rFonts w:hint="eastAsia" w:ascii="仿宋" w:hAnsi="仿宋" w:eastAsia="仿宋" w:cs="仿宋"/>
          <w:b/>
          <w:color w:val="auto"/>
          <w:highlight w:val="none"/>
          <w:u w:val="none"/>
          <w:lang w:val="en-US" w:eastAsia="zh-CN"/>
        </w:rPr>
        <w:t>23.</w:t>
      </w:r>
      <w:bookmarkEnd w:id="142"/>
      <w:r>
        <w:rPr>
          <w:rFonts w:hint="eastAsia" w:ascii="仿宋" w:hAnsi="仿宋" w:eastAsia="仿宋" w:cs="仿宋"/>
          <w:b/>
          <w:color w:val="auto"/>
          <w:highlight w:val="none"/>
          <w:u w:val="none"/>
          <w:lang w:val="en-US" w:eastAsia="zh-CN"/>
        </w:rPr>
        <w:t>比较与评价</w:t>
      </w:r>
      <w:bookmarkEnd w:id="151"/>
      <w:bookmarkEnd w:id="152"/>
      <w:bookmarkEnd w:id="153"/>
      <w:bookmarkEnd w:id="154"/>
    </w:p>
    <w:p w14:paraId="62756B8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经符合性审查合格的投标文件，评标委员会将根据招标文件确定的评标方法和标准，对其技术部分和商务部分作进一步的比较和评价。</w:t>
      </w:r>
    </w:p>
    <w:p w14:paraId="07DF699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23.2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评标严格按照招标文件的要求和条件进行。根据实际情况，在</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中规定采用下列一种评标方法，详细评标标准见招标文件第六章：</w:t>
      </w:r>
    </w:p>
    <w:p w14:paraId="1A957A63">
      <w:pPr>
        <w:pStyle w:val="16"/>
        <w:spacing w:line="240" w:lineRule="atLeast"/>
        <w:ind w:left="899" w:leftChars="342" w:hanging="1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最低评标价法，是指投标文件满足招标文件全部实质性要求，且投标报价最低的投标人为中标候选人的评标方法。</w:t>
      </w:r>
    </w:p>
    <w:p w14:paraId="53664F6F">
      <w:pPr>
        <w:spacing w:line="240" w:lineRule="atLeast"/>
        <w:ind w:left="901"/>
        <w:rPr>
          <w:rFonts w:hint="eastAsia" w:ascii="仿宋" w:hAnsi="仿宋" w:eastAsia="仿宋" w:cs="仿宋"/>
          <w:b/>
          <w:bCs/>
          <w:color w:val="auto"/>
          <w:sz w:val="24"/>
          <w:highlight w:val="yellow"/>
        </w:rPr>
      </w:pPr>
      <w:r>
        <w:rPr>
          <w:rFonts w:hint="eastAsia" w:ascii="仿宋" w:hAnsi="仿宋" w:eastAsia="仿宋" w:cs="仿宋"/>
          <w:color w:val="auto"/>
          <w:sz w:val="24"/>
          <w:szCs w:val="24"/>
          <w:highlight w:val="none"/>
        </w:rPr>
        <w:t>（2） 综合评分法，是指投标文件满足招标文件全部实质性要求，且按照评审因素的量化指标评审得分最高的投标人为中标候选人的评标方法。</w:t>
      </w:r>
    </w:p>
    <w:p w14:paraId="76E49BBB">
      <w:pPr>
        <w:pStyle w:val="16"/>
        <w:spacing w:line="240" w:lineRule="atLeast"/>
        <w:ind w:left="900" w:hanging="900" w:hangingChars="375"/>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rPr>
        <w:t>23.3   根据《政府采购促进中小企业发展</w:t>
      </w:r>
      <w:r>
        <w:rPr>
          <w:rFonts w:hint="eastAsia" w:ascii="仿宋" w:hAnsi="仿宋" w:eastAsia="仿宋" w:cs="仿宋"/>
          <w:color w:val="auto"/>
          <w:sz w:val="24"/>
          <w:szCs w:val="24"/>
          <w:highlight w:val="none"/>
          <w:lang w:eastAsia="zh-CN"/>
        </w:rPr>
        <w:t>管理</w:t>
      </w:r>
      <w:r>
        <w:rPr>
          <w:rFonts w:hint="eastAsia" w:ascii="仿宋" w:hAnsi="仿宋" w:eastAsia="仿宋" w:cs="仿宋"/>
          <w:color w:val="auto"/>
          <w:sz w:val="24"/>
          <w:szCs w:val="24"/>
          <w:highlight w:val="none"/>
        </w:rPr>
        <w:t>办法》（财库</w:t>
      </w:r>
      <w:r>
        <w:rPr>
          <w:rFonts w:hint="eastAsia" w:ascii="仿宋" w:hAnsi="仿宋" w:eastAsia="仿宋" w:cs="仿宋"/>
          <w:color w:val="auto"/>
          <w:sz w:val="24"/>
          <w:szCs w:val="24"/>
          <w:highlight w:val="none"/>
          <w:lang w:eastAsia="zh-CN"/>
        </w:rPr>
        <w:t>〔2020〕46号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《关于进一步加大政府采购支持中小企业力度的通知》</w:t>
      </w:r>
      <w:r>
        <w:rPr>
          <w:rFonts w:hint="eastAsia" w:ascii="仿宋" w:hAnsi="仿宋" w:eastAsia="仿宋" w:cs="仿宋"/>
          <w:color w:val="auto"/>
          <w:sz w:val="24"/>
          <w:szCs w:val="24"/>
          <w:highlight w:val="none"/>
        </w:rPr>
        <w:t>（财库</w:t>
      </w:r>
      <w:r>
        <w:rPr>
          <w:rFonts w:hint="eastAsia" w:ascii="仿宋" w:hAnsi="仿宋" w:eastAsia="仿宋" w:cs="仿宋"/>
          <w:color w:val="auto"/>
          <w:sz w:val="24"/>
          <w:szCs w:val="24"/>
          <w:highlight w:val="none"/>
          <w:lang w:eastAsia="zh-CN"/>
        </w:rPr>
        <w:t>〔2022〕19号</w:t>
      </w:r>
      <w:r>
        <w:rPr>
          <w:rFonts w:hint="eastAsia" w:ascii="仿宋" w:hAnsi="仿宋" w:eastAsia="仿宋" w:cs="仿宋"/>
          <w:color w:val="auto"/>
          <w:sz w:val="24"/>
          <w:szCs w:val="24"/>
          <w:highlight w:val="none"/>
        </w:rPr>
        <w:t>）、《财政部 司法部关于政府采购支持监狱企业发展有关问题的通知》（财库〔2014〕68号）和《三部门联合发布关于促进残疾人就业政府采购政策的通知》（</w:t>
      </w:r>
      <w:bookmarkStart w:id="155" w:name="sendNo"/>
      <w:r>
        <w:rPr>
          <w:rFonts w:hint="eastAsia" w:ascii="仿宋" w:hAnsi="仿宋" w:eastAsia="仿宋" w:cs="仿宋"/>
          <w:bCs/>
          <w:color w:val="auto"/>
          <w:sz w:val="24"/>
          <w:szCs w:val="24"/>
          <w:highlight w:val="none"/>
        </w:rPr>
        <w:t>财库〔</w:t>
      </w:r>
      <w:bookmarkEnd w:id="155"/>
      <w:r>
        <w:rPr>
          <w:rFonts w:hint="eastAsia" w:ascii="仿宋" w:hAnsi="仿宋" w:eastAsia="仿宋" w:cs="仿宋"/>
          <w:bCs/>
          <w:color w:val="auto"/>
          <w:sz w:val="24"/>
          <w:szCs w:val="24"/>
          <w:highlight w:val="none"/>
        </w:rPr>
        <w:t>2017〕141号</w:t>
      </w:r>
      <w:r>
        <w:rPr>
          <w:rFonts w:hint="eastAsia" w:ascii="仿宋" w:hAnsi="仿宋" w:eastAsia="仿宋" w:cs="仿宋"/>
          <w:color w:val="auto"/>
          <w:sz w:val="24"/>
          <w:szCs w:val="24"/>
          <w:highlight w:val="none"/>
        </w:rPr>
        <w:t>）的规定，对满足价格扣除条件且在投标文件中提交了《</w:t>
      </w:r>
      <w:r>
        <w:rPr>
          <w:rFonts w:hint="eastAsia" w:ascii="仿宋" w:hAnsi="仿宋" w:eastAsia="仿宋" w:cs="仿宋"/>
          <w:color w:val="auto"/>
          <w:sz w:val="24"/>
          <w:szCs w:val="24"/>
          <w:highlight w:val="none"/>
          <w:lang w:eastAsia="zh-CN"/>
        </w:rPr>
        <w:t>中小企业声明函</w:t>
      </w:r>
      <w:r>
        <w:rPr>
          <w:rFonts w:hint="eastAsia" w:ascii="仿宋" w:hAnsi="仿宋" w:eastAsia="仿宋" w:cs="仿宋"/>
          <w:color w:val="auto"/>
          <w:sz w:val="24"/>
          <w:szCs w:val="24"/>
          <w:highlight w:val="none"/>
        </w:rPr>
        <w:t>》或省级以上监狱管理局、戒毒管理局（含新疆生产建设兵团）出具的属于监狱企业的证明文件的投标人，其投标报价扣除</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%后参与评审。具体办法详见招标文件第6章。</w:t>
      </w:r>
    </w:p>
    <w:p w14:paraId="04971780">
      <w:pPr>
        <w:pStyle w:val="4"/>
        <w:spacing w:before="0" w:after="0" w:line="240" w:lineRule="atLeast"/>
        <w:rPr>
          <w:rFonts w:hint="eastAsia" w:ascii="仿宋" w:hAnsi="仿宋" w:eastAsia="仿宋" w:cs="仿宋"/>
          <w:color w:val="auto"/>
          <w:highlight w:val="none"/>
          <w:u w:val="none"/>
        </w:rPr>
      </w:pPr>
      <w:bookmarkStart w:id="156" w:name="_Toc520356168"/>
      <w:bookmarkStart w:id="157" w:name="_Toc11472"/>
      <w:bookmarkStart w:id="158" w:name="_Toc515647785"/>
      <w:bookmarkStart w:id="159" w:name="_Toc9378"/>
      <w:bookmarkStart w:id="160" w:name="_Toc20227"/>
      <w:r>
        <w:rPr>
          <w:rFonts w:hint="eastAsia" w:ascii="仿宋" w:hAnsi="仿宋" w:eastAsia="仿宋" w:cs="仿宋"/>
          <w:color w:val="auto"/>
          <w:highlight w:val="none"/>
          <w:u w:val="none"/>
        </w:rPr>
        <w:t>24</w:t>
      </w:r>
      <w:bookmarkEnd w:id="156"/>
      <w:r>
        <w:rPr>
          <w:rFonts w:hint="eastAsia" w:ascii="仿宋" w:hAnsi="仿宋" w:eastAsia="仿宋" w:cs="仿宋"/>
          <w:color w:val="auto"/>
          <w:highlight w:val="none"/>
          <w:u w:val="none"/>
        </w:rPr>
        <w:t>.废标</w:t>
      </w:r>
      <w:bookmarkEnd w:id="157"/>
      <w:bookmarkEnd w:id="158"/>
      <w:bookmarkEnd w:id="159"/>
      <w:bookmarkEnd w:id="160"/>
    </w:p>
    <w:p w14:paraId="7AF28F53">
      <w:pPr>
        <w:spacing w:line="240" w:lineRule="atLeast"/>
        <w:ind w:left="897" w:leftChars="399" w:hanging="60" w:hangingChars="2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出现下列情形之一，将导致项目废标： </w:t>
      </w:r>
    </w:p>
    <w:p w14:paraId="5F5895A9">
      <w:pPr>
        <w:spacing w:line="240" w:lineRule="atLeast"/>
        <w:ind w:left="900" w:hanging="900" w:hangingChars="375"/>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b/>
          <w:bCs/>
          <w:color w:val="auto"/>
          <w:sz w:val="24"/>
          <w:highlight w:val="none"/>
        </w:rPr>
        <w:t>（1）符合专业条件的供应商或者对招标文件做实质性响应的供应商不足三家；</w:t>
      </w:r>
    </w:p>
    <w:p w14:paraId="44E50D5C">
      <w:pPr>
        <w:spacing w:line="240" w:lineRule="atLeast"/>
        <w:ind w:left="900" w:hanging="900" w:hangingChars="3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（2）出现影响采购公正的违法、违规行为的；</w:t>
      </w:r>
    </w:p>
    <w:p w14:paraId="2FD4E085">
      <w:pPr>
        <w:spacing w:line="240" w:lineRule="atLeast"/>
        <w:ind w:firstLine="840" w:firstLineChars="35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（3）投标人的报价均超过了采购预算，采购人不能支付的；</w:t>
      </w:r>
    </w:p>
    <w:p w14:paraId="1DBD4E90">
      <w:pPr>
        <w:spacing w:line="240" w:lineRule="atLeast"/>
        <w:ind w:firstLine="840" w:firstLineChars="35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（4）因重大变故，采购任务取消的。</w:t>
      </w:r>
      <w:r>
        <w:rPr>
          <w:rFonts w:hint="eastAsia" w:ascii="仿宋" w:hAnsi="仿宋" w:eastAsia="仿宋" w:cs="仿宋"/>
          <w:color w:val="auto"/>
          <w:sz w:val="24"/>
          <w:highlight w:val="none"/>
        </w:rPr>
        <w:t xml:space="preserve">   </w:t>
      </w:r>
    </w:p>
    <w:p w14:paraId="7F96ED88">
      <w:pPr>
        <w:pStyle w:val="4"/>
        <w:spacing w:before="0" w:after="0" w:line="240" w:lineRule="atLeast"/>
        <w:rPr>
          <w:rFonts w:hint="eastAsia" w:ascii="仿宋" w:hAnsi="仿宋" w:eastAsia="仿宋" w:cs="仿宋"/>
          <w:color w:val="auto"/>
          <w:highlight w:val="none"/>
          <w:u w:val="none"/>
        </w:rPr>
      </w:pPr>
      <w:bookmarkStart w:id="161" w:name="_Toc27519"/>
      <w:bookmarkStart w:id="162" w:name="_Toc515647786"/>
      <w:bookmarkStart w:id="163" w:name="_Toc24972"/>
      <w:bookmarkStart w:id="164" w:name="_Toc31289"/>
      <w:bookmarkStart w:id="165" w:name="_Toc520356169"/>
      <w:r>
        <w:rPr>
          <w:rFonts w:hint="eastAsia" w:ascii="仿宋" w:hAnsi="仿宋" w:eastAsia="仿宋" w:cs="仿宋"/>
          <w:color w:val="auto"/>
          <w:highlight w:val="none"/>
          <w:u w:val="none"/>
        </w:rPr>
        <w:t>25.保密原则</w:t>
      </w:r>
      <w:bookmarkEnd w:id="161"/>
      <w:bookmarkEnd w:id="162"/>
      <w:bookmarkEnd w:id="163"/>
      <w:bookmarkEnd w:id="164"/>
    </w:p>
    <w:p w14:paraId="747B1A7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评标将在严格保密的情况下进行。</w:t>
      </w:r>
    </w:p>
    <w:p w14:paraId="781B62B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政府采购评审专家应当遵守评审工作纪律，不得泄露评审文件、评审情况和评审中获悉的商业秘密。</w:t>
      </w:r>
    </w:p>
    <w:p w14:paraId="11803DE1">
      <w:pPr>
        <w:pStyle w:val="3"/>
        <w:spacing w:before="0" w:line="240" w:lineRule="atLeast"/>
        <w:ind w:left="1079" w:leftChars="257" w:hanging="540"/>
        <w:rPr>
          <w:rFonts w:hint="eastAsia" w:ascii="仿宋" w:hAnsi="仿宋" w:eastAsia="仿宋" w:cs="仿宋"/>
          <w:color w:val="auto"/>
          <w:sz w:val="24"/>
          <w:highlight w:val="none"/>
        </w:rPr>
      </w:pPr>
      <w:bookmarkStart w:id="166" w:name="_Toc216582810"/>
      <w:bookmarkStart w:id="167" w:name="_Toc12143"/>
      <w:bookmarkStart w:id="168" w:name="_Toc28699"/>
      <w:bookmarkStart w:id="169" w:name="_Toc515647787"/>
      <w:bookmarkStart w:id="170" w:name="_Toc23904"/>
      <w:r>
        <w:rPr>
          <w:rFonts w:hint="eastAsia" w:ascii="仿宋" w:hAnsi="仿宋" w:eastAsia="仿宋" w:cs="仿宋"/>
          <w:color w:val="auto"/>
          <w:sz w:val="24"/>
          <w:highlight w:val="none"/>
        </w:rPr>
        <w:t xml:space="preserve">六   </w:t>
      </w:r>
      <w:bookmarkEnd w:id="165"/>
      <w:r>
        <w:rPr>
          <w:rFonts w:hint="eastAsia" w:ascii="仿宋" w:hAnsi="仿宋" w:eastAsia="仿宋" w:cs="仿宋"/>
          <w:color w:val="auto"/>
          <w:sz w:val="24"/>
          <w:highlight w:val="none"/>
        </w:rPr>
        <w:t>确定中标</w:t>
      </w:r>
      <w:bookmarkEnd w:id="166"/>
      <w:bookmarkEnd w:id="167"/>
      <w:bookmarkEnd w:id="168"/>
      <w:bookmarkEnd w:id="169"/>
      <w:bookmarkEnd w:id="170"/>
    </w:p>
    <w:p w14:paraId="3FA030C4">
      <w:pPr>
        <w:pStyle w:val="9"/>
        <w:rPr>
          <w:rFonts w:hint="eastAsia" w:ascii="仿宋" w:hAnsi="仿宋" w:eastAsia="仿宋" w:cs="仿宋"/>
          <w:color w:val="auto"/>
          <w:highlight w:val="none"/>
        </w:rPr>
      </w:pPr>
    </w:p>
    <w:p w14:paraId="563F8A45">
      <w:pPr>
        <w:pStyle w:val="4"/>
        <w:spacing w:before="0" w:after="0" w:line="240" w:lineRule="atLeast"/>
        <w:rPr>
          <w:rFonts w:hint="eastAsia" w:ascii="仿宋" w:hAnsi="仿宋" w:eastAsia="仿宋" w:cs="仿宋"/>
          <w:color w:val="auto"/>
          <w:highlight w:val="none"/>
          <w:u w:val="none"/>
        </w:rPr>
      </w:pPr>
      <w:bookmarkStart w:id="171" w:name="_Toc23762"/>
      <w:bookmarkStart w:id="172" w:name="_Toc515647788"/>
      <w:bookmarkStart w:id="173" w:name="_Ref467307010"/>
      <w:bookmarkStart w:id="174" w:name="_Toc25853"/>
      <w:bookmarkStart w:id="175" w:name="_Toc520356170"/>
      <w:bookmarkStart w:id="176" w:name="_Toc23617"/>
      <w:r>
        <w:rPr>
          <w:rFonts w:hint="eastAsia" w:ascii="仿宋" w:hAnsi="仿宋" w:eastAsia="仿宋" w:cs="仿宋"/>
          <w:color w:val="auto"/>
          <w:highlight w:val="none"/>
          <w:u w:val="none"/>
        </w:rPr>
        <w:t>26.中标候选人的确定原则及标准</w:t>
      </w:r>
      <w:bookmarkEnd w:id="171"/>
      <w:bookmarkEnd w:id="172"/>
      <w:bookmarkEnd w:id="173"/>
      <w:bookmarkEnd w:id="174"/>
      <w:bookmarkEnd w:id="175"/>
      <w:bookmarkEnd w:id="176"/>
    </w:p>
    <w:p w14:paraId="2817F29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除第28条规定外，对实质上响应招标文件的投标人按下列方法进行排序，确定投标候选人：</w:t>
      </w:r>
    </w:p>
    <w:p w14:paraId="40A5F8E9">
      <w:pPr>
        <w:spacing w:line="240" w:lineRule="atLeast"/>
        <w:ind w:left="901"/>
        <w:rPr>
          <w:rFonts w:hint="eastAsia" w:ascii="仿宋" w:hAnsi="仿宋" w:eastAsia="仿宋" w:cs="仿宋"/>
          <w:color w:val="auto"/>
          <w:sz w:val="24"/>
          <w:highlight w:val="none"/>
        </w:rPr>
      </w:pPr>
      <w:bookmarkStart w:id="177" w:name="_Toc520356171"/>
      <w:bookmarkStart w:id="178" w:name="_Toc515647789"/>
      <w:r>
        <w:rPr>
          <w:rFonts w:hint="eastAsia" w:ascii="仿宋" w:hAnsi="仿宋" w:eastAsia="仿宋" w:cs="仿宋"/>
          <w:color w:val="auto"/>
          <w:sz w:val="24"/>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14:paraId="416EB2BC">
      <w:pPr>
        <w:spacing w:line="240" w:lineRule="atLeast"/>
        <w:ind w:left="901"/>
        <w:rPr>
          <w:rFonts w:hint="eastAsia" w:ascii="仿宋" w:hAnsi="仿宋" w:eastAsia="仿宋" w:cs="仿宋"/>
          <w:color w:val="auto"/>
          <w:sz w:val="24"/>
          <w:highlight w:val="none"/>
        </w:rPr>
      </w:pPr>
      <w:r>
        <w:rPr>
          <w:rFonts w:hint="eastAsia" w:ascii="仿宋" w:hAnsi="仿宋" w:eastAsia="仿宋" w:cs="仿宋"/>
          <w:color w:val="auto"/>
          <w:sz w:val="24"/>
          <w:highlight w:val="none"/>
        </w:rPr>
        <w:t>（2）采用综合评分法的，评标结果按评审后得分由高到低顺序排列。得分相同的，按修正和扣除后的投标报价由低到高顺序排列。得分与投标报价均相同的处理方式详见招标文件第6章。</w:t>
      </w:r>
    </w:p>
    <w:p w14:paraId="4FA865F1">
      <w:pPr>
        <w:pStyle w:val="4"/>
        <w:tabs>
          <w:tab w:val="left" w:pos="900"/>
        </w:tabs>
        <w:spacing w:before="0" w:after="0" w:line="240" w:lineRule="atLeast"/>
        <w:rPr>
          <w:rFonts w:hint="eastAsia" w:ascii="仿宋" w:hAnsi="仿宋" w:eastAsia="仿宋" w:cs="仿宋"/>
          <w:color w:val="auto"/>
          <w:highlight w:val="none"/>
          <w:u w:val="none"/>
        </w:rPr>
      </w:pPr>
      <w:bookmarkStart w:id="179" w:name="_Toc23951"/>
      <w:bookmarkStart w:id="180" w:name="_Toc9653"/>
      <w:bookmarkStart w:id="181" w:name="_Toc28716"/>
      <w:r>
        <w:rPr>
          <w:rFonts w:hint="eastAsia" w:ascii="仿宋" w:hAnsi="仿宋" w:eastAsia="仿宋" w:cs="仿宋"/>
          <w:color w:val="auto"/>
          <w:highlight w:val="none"/>
          <w:u w:val="none"/>
        </w:rPr>
        <w:t>27</w:t>
      </w:r>
      <w:bookmarkEnd w:id="177"/>
      <w:r>
        <w:rPr>
          <w:rFonts w:hint="eastAsia" w:ascii="仿宋" w:hAnsi="仿宋" w:eastAsia="仿宋" w:cs="仿宋"/>
          <w:color w:val="auto"/>
          <w:highlight w:val="none"/>
          <w:u w:val="none"/>
        </w:rPr>
        <w:t>.确定中标候选人和中标人</w:t>
      </w:r>
      <w:bookmarkEnd w:id="178"/>
      <w:bookmarkEnd w:id="179"/>
      <w:bookmarkEnd w:id="180"/>
      <w:bookmarkEnd w:id="181"/>
    </w:p>
    <w:p w14:paraId="58DFA7D2">
      <w:pPr>
        <w:spacing w:line="240" w:lineRule="atLeast"/>
        <w:ind w:left="900" w:hanging="900" w:hangingChars="375"/>
        <w:rPr>
          <w:rFonts w:hint="eastAsia" w:ascii="仿宋" w:hAnsi="仿宋" w:eastAsia="仿宋" w:cs="仿宋"/>
          <w:color w:val="auto"/>
          <w:sz w:val="24"/>
          <w:highlight w:val="yellow"/>
          <w:lang w:eastAsia="zh-CN"/>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评标委员会将根据评标标准，按</w:t>
      </w:r>
      <w:r>
        <w:rPr>
          <w:rFonts w:hint="eastAsia" w:ascii="仿宋" w:hAnsi="仿宋" w:eastAsia="仿宋" w:cs="仿宋"/>
          <w:color w:val="auto"/>
          <w:sz w:val="24"/>
          <w:highlight w:val="none"/>
          <w:u w:val="single"/>
        </w:rPr>
        <w:t>投标人须知资料表中</w:t>
      </w:r>
      <w:r>
        <w:rPr>
          <w:rFonts w:hint="eastAsia" w:ascii="仿宋" w:hAnsi="仿宋" w:eastAsia="仿宋" w:cs="仿宋"/>
          <w:color w:val="auto"/>
          <w:sz w:val="24"/>
          <w:highlight w:val="none"/>
        </w:rPr>
        <w:t>规定数量推荐中标候选人；</w:t>
      </w:r>
      <w:r>
        <w:rPr>
          <w:rFonts w:hint="eastAsia" w:ascii="仿宋" w:hAnsi="仿宋" w:eastAsia="仿宋" w:cs="仿宋"/>
          <w:color w:val="auto"/>
          <w:sz w:val="24"/>
          <w:highlight w:val="none"/>
          <w:lang w:val="en-US" w:eastAsia="zh-CN"/>
        </w:rPr>
        <w:t>评审委员会</w:t>
      </w:r>
      <w:r>
        <w:rPr>
          <w:rFonts w:hint="eastAsia" w:ascii="仿宋" w:hAnsi="仿宋" w:eastAsia="仿宋" w:cs="仿宋"/>
          <w:b/>
          <w:bCs/>
          <w:color w:val="auto"/>
          <w:sz w:val="24"/>
          <w:highlight w:val="none"/>
          <w:lang w:val="en-US" w:eastAsia="zh-CN"/>
        </w:rPr>
        <w:t>应当根据综合评分情况，按照评审得分由高到低顺序推荐3名以上成交候选供应商</w:t>
      </w:r>
      <w:r>
        <w:rPr>
          <w:rFonts w:hint="eastAsia" w:ascii="仿宋" w:hAnsi="仿宋" w:eastAsia="仿宋" w:cs="仿宋"/>
          <w:color w:val="auto"/>
          <w:sz w:val="24"/>
          <w:highlight w:val="none"/>
        </w:rPr>
        <w:t>或根据采购人的委托，直接确定中标人。</w:t>
      </w:r>
    </w:p>
    <w:p w14:paraId="36280F87">
      <w:pPr>
        <w:pStyle w:val="4"/>
        <w:tabs>
          <w:tab w:val="left" w:pos="900"/>
        </w:tabs>
        <w:spacing w:before="0" w:after="0" w:line="240" w:lineRule="atLeast"/>
        <w:rPr>
          <w:rFonts w:hint="eastAsia" w:ascii="仿宋" w:hAnsi="仿宋" w:eastAsia="仿宋" w:cs="仿宋"/>
          <w:color w:val="auto"/>
          <w:highlight w:val="none"/>
          <w:u w:val="none"/>
        </w:rPr>
      </w:pPr>
      <w:bookmarkStart w:id="182" w:name="_Toc520356173"/>
      <w:bookmarkStart w:id="183" w:name="_Ref467306874"/>
      <w:bookmarkStart w:id="184" w:name="_Toc8389"/>
      <w:bookmarkStart w:id="185" w:name="_Toc28562"/>
      <w:bookmarkStart w:id="186" w:name="_Toc515647790"/>
      <w:bookmarkStart w:id="187" w:name="_Toc31568"/>
      <w:r>
        <w:rPr>
          <w:rFonts w:hint="eastAsia" w:ascii="仿宋" w:hAnsi="仿宋" w:eastAsia="仿宋" w:cs="仿宋"/>
          <w:color w:val="auto"/>
          <w:highlight w:val="none"/>
          <w:u w:val="none"/>
        </w:rPr>
        <w:t>28.</w:t>
      </w:r>
      <w:bookmarkEnd w:id="182"/>
      <w:bookmarkEnd w:id="183"/>
      <w:r>
        <w:rPr>
          <w:rFonts w:hint="eastAsia" w:ascii="仿宋" w:hAnsi="仿宋" w:eastAsia="仿宋" w:cs="仿宋"/>
          <w:color w:val="auto"/>
          <w:highlight w:val="none"/>
          <w:u w:val="none"/>
        </w:rPr>
        <w:t>采购任务取消</w:t>
      </w:r>
      <w:bookmarkEnd w:id="184"/>
      <w:bookmarkEnd w:id="185"/>
      <w:bookmarkEnd w:id="186"/>
      <w:bookmarkEnd w:id="187"/>
    </w:p>
    <w:p w14:paraId="1053ED5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因重大变故采购任务取消时，采购人有权拒绝任何投标人中标，且对受影响的投标人不承担任何责任。</w:t>
      </w:r>
      <w:bookmarkStart w:id="188" w:name="_Toc520356174"/>
    </w:p>
    <w:p w14:paraId="355985C6">
      <w:pPr>
        <w:pStyle w:val="4"/>
        <w:spacing w:before="0" w:after="0" w:line="240" w:lineRule="atLeast"/>
        <w:rPr>
          <w:rFonts w:hint="eastAsia" w:ascii="仿宋" w:hAnsi="仿宋" w:eastAsia="仿宋" w:cs="仿宋"/>
          <w:color w:val="auto"/>
          <w:highlight w:val="none"/>
          <w:u w:val="none"/>
        </w:rPr>
      </w:pPr>
      <w:bookmarkStart w:id="189" w:name="_Toc30170"/>
      <w:bookmarkStart w:id="190" w:name="_Toc21821"/>
      <w:bookmarkStart w:id="191" w:name="_Toc31099"/>
      <w:bookmarkStart w:id="192" w:name="_Toc515647791"/>
      <w:r>
        <w:rPr>
          <w:rFonts w:hint="eastAsia" w:ascii="仿宋" w:hAnsi="仿宋" w:eastAsia="仿宋" w:cs="仿宋"/>
          <w:color w:val="auto"/>
          <w:highlight w:val="none"/>
          <w:u w:val="none"/>
        </w:rPr>
        <w:t>29.中标通知书</w:t>
      </w:r>
      <w:bookmarkEnd w:id="188"/>
      <w:r>
        <w:rPr>
          <w:rFonts w:hint="eastAsia" w:ascii="仿宋" w:hAnsi="仿宋" w:eastAsia="仿宋" w:cs="仿宋"/>
          <w:color w:val="auto"/>
          <w:highlight w:val="none"/>
          <w:u w:val="none"/>
        </w:rPr>
        <w:t>和招标结果通知书</w:t>
      </w:r>
      <w:bookmarkEnd w:id="189"/>
      <w:bookmarkEnd w:id="190"/>
      <w:bookmarkEnd w:id="191"/>
      <w:bookmarkEnd w:id="192"/>
    </w:p>
    <w:p w14:paraId="56D6FB6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29.1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在投标有效期内，中标人确定后，采购人或者采购代理机构发布中标公告，同时以书面形式向中标人发出中标通知书。</w:t>
      </w:r>
    </w:p>
    <w:p w14:paraId="752D131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29.2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中标通知书是合同的组成部分。</w:t>
      </w:r>
    </w:p>
    <w:p w14:paraId="0035110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29.3    招标结果通知书和中标通知书同时发出。招标结果通知书中将告知未通过资格审查的投标人未通过的原因；采用综合评分法评审的，还将告知未中标人本人的评审得分和排序。</w:t>
      </w:r>
    </w:p>
    <w:p w14:paraId="463083EA">
      <w:pPr>
        <w:pStyle w:val="4"/>
        <w:spacing w:before="0" w:after="0" w:line="240" w:lineRule="atLeast"/>
        <w:rPr>
          <w:rFonts w:hint="eastAsia" w:ascii="仿宋" w:hAnsi="仿宋" w:eastAsia="仿宋" w:cs="仿宋"/>
          <w:color w:val="auto"/>
          <w:highlight w:val="none"/>
          <w:u w:val="none"/>
        </w:rPr>
      </w:pPr>
      <w:bookmarkStart w:id="193" w:name="_Toc790"/>
      <w:bookmarkStart w:id="194" w:name="_Toc520356175"/>
      <w:bookmarkStart w:id="195" w:name="_Toc515647792"/>
      <w:bookmarkStart w:id="196" w:name="_Ref467307204"/>
      <w:bookmarkStart w:id="197" w:name="_Toc7779"/>
      <w:bookmarkStart w:id="198" w:name="_Toc4374"/>
      <w:bookmarkStart w:id="199" w:name="_Ref467306377"/>
      <w:bookmarkStart w:id="200" w:name="_Ref467307062"/>
      <w:bookmarkStart w:id="201" w:name="_Ref467306978"/>
      <w:r>
        <w:rPr>
          <w:rFonts w:hint="eastAsia" w:ascii="仿宋" w:hAnsi="仿宋" w:eastAsia="仿宋" w:cs="仿宋"/>
          <w:color w:val="auto"/>
          <w:highlight w:val="none"/>
          <w:u w:val="none"/>
        </w:rPr>
        <w:t>30.签订合同</w:t>
      </w:r>
      <w:bookmarkEnd w:id="193"/>
      <w:bookmarkEnd w:id="194"/>
      <w:bookmarkEnd w:id="195"/>
      <w:bookmarkEnd w:id="196"/>
      <w:bookmarkEnd w:id="197"/>
      <w:bookmarkEnd w:id="198"/>
      <w:bookmarkEnd w:id="199"/>
      <w:bookmarkEnd w:id="200"/>
      <w:bookmarkEnd w:id="201"/>
    </w:p>
    <w:p w14:paraId="7645BDB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30.1</w:t>
      </w:r>
      <w:r>
        <w:rPr>
          <w:rFonts w:hint="eastAsia" w:ascii="仿宋" w:hAnsi="仿宋" w:eastAsia="仿宋" w:cs="仿宋"/>
          <w:color w:val="auto"/>
          <w:sz w:val="24"/>
          <w:highlight w:val="none"/>
        </w:rPr>
        <w:tab/>
      </w:r>
      <w:r>
        <w:rPr>
          <w:rFonts w:hint="eastAsia" w:ascii="仿宋" w:hAnsi="仿宋" w:eastAsia="仿宋" w:cs="仿宋"/>
          <w:b/>
          <w:bCs/>
          <w:color w:val="auto"/>
          <w:sz w:val="24"/>
          <w:highlight w:val="none"/>
        </w:rPr>
        <w:t>中标人</w:t>
      </w:r>
      <w:r>
        <w:rPr>
          <w:rFonts w:hint="eastAsia" w:ascii="仿宋" w:hAnsi="仿宋" w:eastAsia="仿宋" w:cs="仿宋"/>
          <w:b/>
          <w:bCs/>
          <w:color w:val="auto"/>
          <w:sz w:val="24"/>
          <w:highlight w:val="none"/>
          <w:lang w:eastAsia="zh-CN"/>
        </w:rPr>
        <w:t>须在成交</w:t>
      </w:r>
      <w:r>
        <w:rPr>
          <w:rFonts w:hint="eastAsia" w:ascii="仿宋" w:hAnsi="仿宋" w:eastAsia="仿宋" w:cs="仿宋"/>
          <w:b/>
          <w:bCs/>
          <w:color w:val="auto"/>
          <w:sz w:val="24"/>
          <w:highlight w:val="none"/>
        </w:rPr>
        <w:t>通知书</w:t>
      </w:r>
      <w:r>
        <w:rPr>
          <w:rFonts w:hint="eastAsia" w:ascii="仿宋" w:hAnsi="仿宋" w:eastAsia="仿宋" w:cs="仿宋"/>
          <w:b/>
          <w:bCs/>
          <w:color w:val="auto"/>
          <w:sz w:val="24"/>
          <w:highlight w:val="none"/>
          <w:lang w:eastAsia="zh-CN"/>
        </w:rPr>
        <w:t>发出</w:t>
      </w:r>
      <w:r>
        <w:rPr>
          <w:rFonts w:hint="eastAsia" w:ascii="仿宋" w:hAnsi="仿宋" w:eastAsia="仿宋" w:cs="仿宋"/>
          <w:b/>
          <w:bCs/>
          <w:color w:val="auto"/>
          <w:sz w:val="24"/>
          <w:highlight w:val="none"/>
          <w:lang w:val="en-US" w:eastAsia="zh-CN"/>
        </w:rPr>
        <w:t>后30</w:t>
      </w:r>
      <w:r>
        <w:rPr>
          <w:rFonts w:hint="eastAsia" w:ascii="仿宋" w:hAnsi="仿宋" w:eastAsia="仿宋" w:cs="仿宋"/>
          <w:b/>
          <w:bCs/>
          <w:color w:val="auto"/>
          <w:sz w:val="24"/>
          <w:highlight w:val="none"/>
          <w:lang w:eastAsia="zh-CN"/>
        </w:rPr>
        <w:t>日内签订政府采购合同</w:t>
      </w:r>
      <w:r>
        <w:rPr>
          <w:rFonts w:hint="eastAsia" w:ascii="仿宋" w:hAnsi="仿宋" w:eastAsia="仿宋" w:cs="仿宋"/>
          <w:b/>
          <w:bCs/>
          <w:color w:val="auto"/>
          <w:sz w:val="24"/>
          <w:highlight w:val="none"/>
        </w:rPr>
        <w:t>。</w:t>
      </w:r>
    </w:p>
    <w:p w14:paraId="59E11CB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30.2</w:t>
      </w:r>
      <w:r>
        <w:rPr>
          <w:rFonts w:hint="eastAsia" w:ascii="仿宋" w:hAnsi="仿宋" w:eastAsia="仿宋" w:cs="仿宋"/>
          <w:color w:val="auto"/>
          <w:sz w:val="24"/>
          <w:highlight w:val="none"/>
        </w:rPr>
        <w:tab/>
      </w:r>
      <w:bookmarkStart w:id="202" w:name="_Ref467306425"/>
      <w:bookmarkStart w:id="203" w:name="_Toc520356176"/>
      <w:bookmarkStart w:id="204" w:name="_Ref467307090"/>
      <w:r>
        <w:rPr>
          <w:rFonts w:hint="eastAsia" w:ascii="仿宋" w:hAnsi="仿宋" w:eastAsia="仿宋" w:cs="仿宋"/>
          <w:color w:val="auto"/>
          <w:sz w:val="24"/>
          <w:highlight w:val="none"/>
        </w:rPr>
        <w:t>招标文件、中标人的投标文件及其澄清文件等，均为签订合同的依据。</w:t>
      </w:r>
    </w:p>
    <w:p w14:paraId="6B0D0B3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30.3   中标人拒绝与采购人签订合同的，采购人可以按照评审报告推荐的中标候选人名单排序，确定下一中标候选人为中标人，也可以重新开展政府采购活动。</w:t>
      </w:r>
    </w:p>
    <w:p w14:paraId="3538161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30.4   当出现法规规定的</w:t>
      </w:r>
      <w:r>
        <w:rPr>
          <w:rFonts w:hint="eastAsia" w:ascii="仿宋" w:hAnsi="仿宋" w:eastAsia="仿宋" w:cs="仿宋"/>
          <w:b/>
          <w:color w:val="auto"/>
          <w:sz w:val="24"/>
          <w:highlight w:val="none"/>
        </w:rPr>
        <w:t>中标无效或中标结果无效</w:t>
      </w:r>
      <w:r>
        <w:rPr>
          <w:rFonts w:hint="eastAsia" w:ascii="仿宋" w:hAnsi="仿宋" w:eastAsia="仿宋" w:cs="仿宋"/>
          <w:color w:val="auto"/>
          <w:sz w:val="24"/>
          <w:highlight w:val="none"/>
        </w:rPr>
        <w:t>情形时，采购人可与排名下一位的中标候选人另行签订合同，或依法重新开展采购活动。</w:t>
      </w:r>
    </w:p>
    <w:bookmarkEnd w:id="202"/>
    <w:bookmarkEnd w:id="203"/>
    <w:bookmarkEnd w:id="204"/>
    <w:p w14:paraId="19C00DF6">
      <w:pPr>
        <w:pStyle w:val="4"/>
        <w:spacing w:before="0" w:after="0" w:line="240" w:lineRule="atLeast"/>
        <w:rPr>
          <w:rFonts w:hint="eastAsia" w:ascii="仿宋" w:hAnsi="仿宋" w:eastAsia="仿宋" w:cs="仿宋"/>
          <w:color w:val="auto"/>
          <w:highlight w:val="none"/>
          <w:u w:val="none"/>
        </w:rPr>
      </w:pPr>
      <w:bookmarkStart w:id="205" w:name="_Toc29408"/>
      <w:bookmarkStart w:id="206" w:name="_Toc3090"/>
      <w:bookmarkStart w:id="207" w:name="_Toc3487"/>
      <w:bookmarkStart w:id="208" w:name="_Toc515647794"/>
      <w:r>
        <w:rPr>
          <w:rFonts w:hint="eastAsia" w:ascii="仿宋" w:hAnsi="仿宋" w:eastAsia="仿宋" w:cs="仿宋"/>
          <w:color w:val="auto"/>
          <w:highlight w:val="none"/>
          <w:u w:val="none"/>
        </w:rPr>
        <w:t>32.中标服务费</w:t>
      </w:r>
      <w:bookmarkEnd w:id="205"/>
      <w:bookmarkEnd w:id="206"/>
      <w:bookmarkEnd w:id="207"/>
      <w:bookmarkEnd w:id="208"/>
    </w:p>
    <w:p w14:paraId="41860F58">
      <w:pPr>
        <w:spacing w:line="240" w:lineRule="atLeast"/>
        <w:ind w:left="840" w:leftChars="200" w:hanging="420" w:hanging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中标人须按照</w:t>
      </w:r>
      <w:r>
        <w:rPr>
          <w:rFonts w:hint="eastAsia" w:ascii="仿宋" w:hAnsi="仿宋" w:eastAsia="仿宋" w:cs="仿宋"/>
          <w:color w:val="auto"/>
          <w:sz w:val="24"/>
          <w:highlight w:val="none"/>
          <w:u w:val="single"/>
        </w:rPr>
        <w:t>投标须知资料表</w:t>
      </w:r>
      <w:r>
        <w:rPr>
          <w:rFonts w:hint="eastAsia" w:ascii="仿宋" w:hAnsi="仿宋" w:eastAsia="仿宋" w:cs="仿宋"/>
          <w:color w:val="auto"/>
          <w:sz w:val="24"/>
          <w:highlight w:val="none"/>
        </w:rPr>
        <w:t>规定，向采购代理机构支付中标服务费。</w:t>
      </w:r>
    </w:p>
    <w:p w14:paraId="39B2BD07">
      <w:pPr>
        <w:pStyle w:val="4"/>
        <w:spacing w:before="0" w:after="0" w:line="240" w:lineRule="atLeast"/>
        <w:rPr>
          <w:rFonts w:hint="eastAsia" w:ascii="仿宋" w:hAnsi="仿宋" w:eastAsia="仿宋" w:cs="仿宋"/>
          <w:color w:val="auto"/>
          <w:highlight w:val="none"/>
          <w:u w:val="none"/>
        </w:rPr>
      </w:pPr>
      <w:bookmarkStart w:id="209" w:name="_Toc6923"/>
      <w:bookmarkStart w:id="210" w:name="_Toc7049"/>
      <w:bookmarkStart w:id="211" w:name="_Toc515647795"/>
      <w:bookmarkStart w:id="212" w:name="_Toc8437"/>
      <w:r>
        <w:rPr>
          <w:rFonts w:hint="eastAsia" w:ascii="仿宋" w:hAnsi="仿宋" w:eastAsia="仿宋" w:cs="仿宋"/>
          <w:color w:val="auto"/>
          <w:highlight w:val="none"/>
          <w:u w:val="none"/>
        </w:rPr>
        <w:t>33.政府采购信用担保</w:t>
      </w:r>
      <w:bookmarkEnd w:id="209"/>
      <w:bookmarkEnd w:id="210"/>
      <w:bookmarkEnd w:id="211"/>
      <w:bookmarkEnd w:id="212"/>
    </w:p>
    <w:p w14:paraId="2B8D397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33.1   本项目是否属于信用担保试点范围见</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w:t>
      </w:r>
    </w:p>
    <w:p w14:paraId="77A33968">
      <w:pPr>
        <w:spacing w:line="240" w:lineRule="atLeast"/>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33.2   如属于政府采购信用担保试点范围内，中小型企业投标人可以自由按照财政部门的规定，采用投标担保、履约担保和融资担保。</w:t>
      </w:r>
    </w:p>
    <w:p w14:paraId="5BAB710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33.2.1 投标人递交的投标担保函和履约担保函应符合本招标文件的规定。</w:t>
      </w:r>
    </w:p>
    <w:p w14:paraId="3909ABC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33.2.2 中标人可以采取融资担保的形式为政府采购项目履约进行融资。</w:t>
      </w:r>
    </w:p>
    <w:p w14:paraId="76AD9041">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33.2.3 合格的政府采购专业信用担保机构名单见</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w:t>
      </w:r>
    </w:p>
    <w:p w14:paraId="1735CAAC">
      <w:pPr>
        <w:pStyle w:val="4"/>
        <w:spacing w:before="0" w:after="0" w:line="240" w:lineRule="atLeast"/>
        <w:rPr>
          <w:rFonts w:hint="eastAsia" w:ascii="仿宋" w:hAnsi="仿宋" w:eastAsia="仿宋" w:cs="仿宋"/>
          <w:color w:val="auto"/>
          <w:highlight w:val="none"/>
          <w:u w:val="none"/>
        </w:rPr>
      </w:pPr>
      <w:bookmarkStart w:id="213" w:name="_Toc515647796"/>
      <w:bookmarkStart w:id="214" w:name="_Toc16525"/>
      <w:bookmarkStart w:id="215" w:name="_Toc2133"/>
      <w:bookmarkStart w:id="216" w:name="_Toc23999"/>
      <w:r>
        <w:rPr>
          <w:rFonts w:hint="eastAsia" w:ascii="仿宋" w:hAnsi="仿宋" w:eastAsia="仿宋" w:cs="仿宋"/>
          <w:color w:val="auto"/>
          <w:highlight w:val="none"/>
          <w:u w:val="none"/>
        </w:rPr>
        <w:t>34.廉洁自律规定</w:t>
      </w:r>
      <w:bookmarkEnd w:id="213"/>
      <w:bookmarkEnd w:id="214"/>
      <w:bookmarkEnd w:id="215"/>
      <w:bookmarkEnd w:id="216"/>
    </w:p>
    <w:p w14:paraId="6036375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34.1   采购代理机构工作人员不得以不正当手段获取政府采购代理业务，不得与采购人、供应商恶意串通操纵政府采购活动。</w:t>
      </w:r>
    </w:p>
    <w:p w14:paraId="109D6A0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34.2   采购代理机构工作人员不得接受采购人或者供应商组织的宴请、旅游、娱乐，不得收受礼品、现金、有价证券等，不得向采购人或者供应商报销应当由个人承担的费用。</w:t>
      </w:r>
    </w:p>
    <w:p w14:paraId="2428E6D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34.3   为强化采购代理机构内部监督机制，供应商可按</w:t>
      </w:r>
      <w:r>
        <w:rPr>
          <w:rFonts w:hint="eastAsia" w:ascii="仿宋" w:hAnsi="仿宋" w:eastAsia="仿宋" w:cs="仿宋"/>
          <w:color w:val="auto"/>
          <w:sz w:val="24"/>
          <w:highlight w:val="none"/>
          <w:u w:val="single"/>
        </w:rPr>
        <w:t>投标人须知资料表中的</w:t>
      </w:r>
      <w:r>
        <w:rPr>
          <w:rFonts w:hint="eastAsia" w:ascii="仿宋" w:hAnsi="仿宋" w:eastAsia="仿宋" w:cs="仿宋"/>
          <w:color w:val="auto"/>
          <w:sz w:val="24"/>
          <w:highlight w:val="none"/>
        </w:rPr>
        <w:t>监督电话和邮箱，反映采购代理机构的廉洁自律等问题。</w:t>
      </w:r>
    </w:p>
    <w:p w14:paraId="4C466015">
      <w:pPr>
        <w:pStyle w:val="4"/>
        <w:spacing w:before="0" w:after="0" w:line="240" w:lineRule="atLeast"/>
        <w:rPr>
          <w:rFonts w:hint="eastAsia" w:ascii="仿宋" w:hAnsi="仿宋" w:eastAsia="仿宋" w:cs="仿宋"/>
          <w:color w:val="auto"/>
          <w:highlight w:val="none"/>
          <w:u w:val="none"/>
        </w:rPr>
      </w:pPr>
      <w:bookmarkStart w:id="217" w:name="_Toc515647797"/>
      <w:bookmarkStart w:id="218" w:name="_Toc11586"/>
      <w:bookmarkStart w:id="219" w:name="_Toc14252"/>
      <w:bookmarkStart w:id="220" w:name="_Toc25480"/>
      <w:r>
        <w:rPr>
          <w:rFonts w:hint="eastAsia" w:ascii="仿宋" w:hAnsi="仿宋" w:eastAsia="仿宋" w:cs="仿宋"/>
          <w:color w:val="auto"/>
          <w:highlight w:val="none"/>
          <w:u w:val="none"/>
        </w:rPr>
        <w:t>35.人员回避</w:t>
      </w:r>
      <w:bookmarkEnd w:id="217"/>
      <w:bookmarkEnd w:id="218"/>
      <w:bookmarkEnd w:id="219"/>
      <w:bookmarkEnd w:id="220"/>
    </w:p>
    <w:p w14:paraId="7297E7F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投标人认为采购人员及其相关人员有法律法规所列与其他供应商有利害关系的，可以向采购人或采购代理机构书面提出回避申请，并说明理由。</w:t>
      </w:r>
    </w:p>
    <w:p w14:paraId="2FD894B6">
      <w:pPr>
        <w:pStyle w:val="4"/>
        <w:spacing w:before="0" w:after="0" w:line="240" w:lineRule="atLeast"/>
        <w:rPr>
          <w:rFonts w:hint="eastAsia" w:ascii="仿宋" w:hAnsi="仿宋" w:eastAsia="仿宋" w:cs="仿宋"/>
          <w:color w:val="auto"/>
          <w:highlight w:val="none"/>
          <w:u w:val="none"/>
          <w:lang w:eastAsia="zh-CN"/>
        </w:rPr>
      </w:pPr>
      <w:bookmarkStart w:id="221" w:name="_Toc515647798"/>
      <w:bookmarkStart w:id="222" w:name="_Toc1148"/>
      <w:bookmarkStart w:id="223" w:name="_Toc11115"/>
      <w:bookmarkStart w:id="224" w:name="_Toc26767"/>
      <w:r>
        <w:rPr>
          <w:rFonts w:hint="eastAsia" w:ascii="仿宋" w:hAnsi="仿宋" w:eastAsia="仿宋" w:cs="仿宋"/>
          <w:color w:val="auto"/>
          <w:highlight w:val="none"/>
          <w:u w:val="none"/>
        </w:rPr>
        <w:t>36.质疑与</w:t>
      </w:r>
      <w:bookmarkEnd w:id="221"/>
      <w:bookmarkEnd w:id="222"/>
      <w:bookmarkEnd w:id="223"/>
      <w:r>
        <w:rPr>
          <w:rFonts w:hint="eastAsia" w:ascii="仿宋" w:hAnsi="仿宋" w:eastAsia="仿宋" w:cs="仿宋"/>
          <w:color w:val="auto"/>
          <w:highlight w:val="none"/>
          <w:u w:val="none"/>
          <w:lang w:eastAsia="zh-CN"/>
        </w:rPr>
        <w:t>投诉</w:t>
      </w:r>
      <w:bookmarkEnd w:id="224"/>
    </w:p>
    <w:p w14:paraId="11FF37F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36.1  供应商认为采购文件、采购过程、中标或者成交结果使自己的权益受到损害的，可以在知道或者应知其权益受到损害之日起7个工作日内，以书面形式向采购人、采购代理机构提出质疑。</w:t>
      </w:r>
    </w:p>
    <w:p w14:paraId="460D9B0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供应商需在法定质疑期内一次性提出针对同一采购程序环节的质疑。</w:t>
      </w:r>
    </w:p>
    <w:p w14:paraId="5CAF036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36.2  提出质疑的供应商（以下简称质疑供应商）应当是参与所质疑项目采购活动的供应商。</w:t>
      </w:r>
    </w:p>
    <w:p w14:paraId="0E2E89E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05927D6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36.3</w:t>
      </w:r>
      <w:r>
        <w:rPr>
          <w:rFonts w:hint="eastAsia" w:ascii="仿宋" w:hAnsi="仿宋" w:eastAsia="仿宋" w:cs="仿宋"/>
          <w:color w:val="auto"/>
          <w:sz w:val="24"/>
          <w:highlight w:val="none"/>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50C433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代理人提出质疑和投诉，应当提交供应商签署的授权委托书。</w:t>
      </w:r>
    </w:p>
    <w:p w14:paraId="5942D36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36.</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供应商提出质疑应当提交质疑函和必要的证明材料。质疑函应当包括下列内容：</w:t>
      </w:r>
    </w:p>
    <w:p w14:paraId="3625CCE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（一）供应商的姓名或者名称、地址、邮编、联系人及联系电话；</w:t>
      </w:r>
    </w:p>
    <w:p w14:paraId="1C177F2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（二）质疑项目的名称、编号；</w:t>
      </w:r>
    </w:p>
    <w:p w14:paraId="3FD48E0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（三）具体、明确的质疑事项和与质疑事项相关的请求；</w:t>
      </w:r>
    </w:p>
    <w:p w14:paraId="57C88F1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（四）事实依据；</w:t>
      </w:r>
    </w:p>
    <w:p w14:paraId="396946E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（五）必要的法律依据；</w:t>
      </w:r>
    </w:p>
    <w:p w14:paraId="4E5FA0E1">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（六）提出质疑的日期。</w:t>
      </w:r>
    </w:p>
    <w:p w14:paraId="3D364CA2">
      <w:pPr>
        <w:spacing w:line="240" w:lineRule="auto"/>
        <w:ind w:left="480"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供应商为自然人的，应当由本人签字；供应商为法人或者其他组织的，应当由法定代表人、主要负责人，或者其授权代表签字或者盖章，并加盖公章。</w:t>
      </w:r>
    </w:p>
    <w:p w14:paraId="6538BDE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36.</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xml:space="preserve">  质疑的处理和答复</w:t>
      </w:r>
    </w:p>
    <w:p w14:paraId="6EDFEB4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36.</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 xml:space="preserve">  采购人、采购代理机构不得拒收质疑供应商在法定质疑期内发出的质疑函，应当在收到质疑函后7个工作日内作出答复，并以书面形式通知质疑供应商和其他有关供应商。</w:t>
      </w:r>
    </w:p>
    <w:p w14:paraId="5874E20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36.</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 xml:space="preserve"> 供应商对评审过程、中标或者成交结果提出质疑的，采购人、采购代理机构可以</w:t>
      </w:r>
      <w:r>
        <w:rPr>
          <w:rFonts w:hint="eastAsia" w:ascii="仿宋" w:hAnsi="仿宋" w:eastAsia="仿宋" w:cs="仿宋"/>
          <w:color w:val="auto"/>
          <w:sz w:val="24"/>
          <w:highlight w:val="none"/>
          <w:lang w:eastAsia="zh-CN"/>
        </w:rPr>
        <w:t>组织</w:t>
      </w:r>
      <w:r>
        <w:rPr>
          <w:rFonts w:hint="eastAsia" w:ascii="仿宋" w:hAnsi="仿宋" w:eastAsia="仿宋" w:cs="仿宋"/>
          <w:color w:val="auto"/>
          <w:sz w:val="24"/>
          <w:highlight w:val="none"/>
        </w:rPr>
        <w:t>评标委员会、竞争性谈判小组、询价小组或者竞争性磋商小组协助答复质疑。</w:t>
      </w:r>
    </w:p>
    <w:p w14:paraId="6AD30FC1">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36.</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 xml:space="preserve">  采购人、采购代理机构认为供应商质疑不成立，或者成立但未对中标、成交结果构成影响的，继续开展采购活动；认为供应商质疑成立且影响或者可能影响中标、成交结果的，按照下列情况处理：</w:t>
      </w:r>
    </w:p>
    <w:p w14:paraId="18AFEAE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（一）对采购文件提出的质疑，依法通过澄清或者修改可以继续开展采购活动的，澄清或者修改采购文件后继续开展采购活动；否则应当修改采购文件后重新开展采购活动。</w:t>
      </w:r>
    </w:p>
    <w:p w14:paraId="21BB2D2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对采购过程、中标或者成交结果提出的质疑，合格供应商符合法定数量时，可以从合格的中标或者成交候选人中另行确定中标、成交供应商的，应当依法另行确定中标、成交供应商；否则应当重新开展采购活动。</w:t>
      </w:r>
    </w:p>
    <w:p w14:paraId="30429D7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质疑答复导致中标、成交结果改变的，采购人或者采购代理机构应当将有关情况书面报告本级财政部门。</w:t>
      </w:r>
    </w:p>
    <w:p w14:paraId="1019CE1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36.</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质疑答复应当包括下列内容：</w:t>
      </w:r>
    </w:p>
    <w:p w14:paraId="4D03E83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（一）质疑供应商的姓名或者名称；</w:t>
      </w:r>
    </w:p>
    <w:p w14:paraId="19FCDF6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（二）收到质疑函的日期、质疑项目名称及编号；</w:t>
      </w:r>
    </w:p>
    <w:p w14:paraId="3C069AD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（三）质疑事项、质疑答复的具体内容、事实依据和法律依据；</w:t>
      </w:r>
    </w:p>
    <w:p w14:paraId="12691C9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（四）告知质疑供应商依法投诉的权利；</w:t>
      </w:r>
    </w:p>
    <w:p w14:paraId="280FBB4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（五）质疑答复人名称；</w:t>
      </w:r>
    </w:p>
    <w:p w14:paraId="63F8791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（六）答复质疑的日期。</w:t>
      </w:r>
    </w:p>
    <w:p w14:paraId="2F95C818">
      <w:pPr>
        <w:spacing w:line="240" w:lineRule="atLeast"/>
        <w:ind w:left="900" w:hanging="900" w:hangingChars="375"/>
        <w:rPr>
          <w:rFonts w:hint="eastAsia" w:ascii="仿宋" w:hAnsi="仿宋" w:eastAsia="仿宋" w:cs="仿宋"/>
          <w:b/>
          <w:color w:val="auto"/>
          <w:sz w:val="24"/>
          <w:highlight w:val="none"/>
        </w:rPr>
      </w:pPr>
      <w:r>
        <w:rPr>
          <w:rFonts w:hint="eastAsia" w:ascii="仿宋" w:hAnsi="仿宋" w:eastAsia="仿宋" w:cs="仿宋"/>
          <w:color w:val="auto"/>
          <w:sz w:val="24"/>
          <w:highlight w:val="none"/>
        </w:rPr>
        <w:t>　　质疑答复的内容不得涉及商业秘密。</w:t>
      </w:r>
    </w:p>
    <w:p w14:paraId="59600B6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36.10</w:t>
      </w:r>
      <w:r>
        <w:rPr>
          <w:rFonts w:hint="eastAsia" w:ascii="仿宋" w:hAnsi="仿宋" w:eastAsia="仿宋" w:cs="仿宋"/>
          <w:color w:val="auto"/>
          <w:sz w:val="24"/>
          <w:highlight w:val="none"/>
        </w:rPr>
        <w:t>质疑供应商对采购人、采购代理机构的答复不满意，或者采购人、采购代理机构未在规定时间内作出答复的，可以在答复期满后15个工作日内向财政部门提起投诉。</w:t>
      </w:r>
    </w:p>
    <w:p w14:paraId="54DB87F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36.11</w:t>
      </w:r>
      <w:r>
        <w:rPr>
          <w:rFonts w:hint="eastAsia" w:ascii="仿宋" w:hAnsi="仿宋" w:eastAsia="仿宋" w:cs="仿宋"/>
          <w:color w:val="auto"/>
          <w:sz w:val="24"/>
          <w:highlight w:val="none"/>
        </w:rPr>
        <w:t>投诉人投诉时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应当提交投诉书和必要的证明材料，并按照被投诉采购人、采购代理机构（以下简称被投诉人）和与投诉事项有关的供应商数量提供投诉书的副本。投诉书应当包括下列内容：</w:t>
      </w:r>
    </w:p>
    <w:p w14:paraId="5842D7F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（一）投诉人和被投诉人的姓名或者名称、通讯地址、邮编、联系人及联系电话；</w:t>
      </w:r>
    </w:p>
    <w:p w14:paraId="404554A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（二）质疑和质疑答复情况说明及相关证明材料；</w:t>
      </w:r>
    </w:p>
    <w:p w14:paraId="02FB01E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（三）具体、明确的投诉事项和与投诉事项相关的投诉请求；</w:t>
      </w:r>
    </w:p>
    <w:p w14:paraId="401201D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（四）事实依据；</w:t>
      </w:r>
    </w:p>
    <w:p w14:paraId="3C6F09E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（五）法律依据；</w:t>
      </w:r>
    </w:p>
    <w:p w14:paraId="5418D02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（六）提起投诉的日期。</w:t>
      </w:r>
    </w:p>
    <w:p w14:paraId="66435CB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投诉人为自然人的，应当由本人签字；投诉人为法人或者其他组织的，应当由法定代表人、主要负责人，或者其授权代表签字或者盖章，并加盖公章。</w:t>
      </w:r>
    </w:p>
    <w:p w14:paraId="026679A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36.12</w:t>
      </w:r>
      <w:r>
        <w:rPr>
          <w:rFonts w:hint="eastAsia" w:ascii="仿宋" w:hAnsi="仿宋" w:eastAsia="仿宋" w:cs="仿宋"/>
          <w:color w:val="auto"/>
          <w:sz w:val="24"/>
          <w:highlight w:val="none"/>
        </w:rPr>
        <w:t>投诉人应当根据</w:t>
      </w:r>
      <w:r>
        <w:rPr>
          <w:rFonts w:hint="eastAsia" w:ascii="仿宋" w:hAnsi="仿宋" w:eastAsia="仿宋" w:cs="仿宋"/>
          <w:color w:val="auto"/>
          <w:sz w:val="24"/>
          <w:highlight w:val="none"/>
          <w:lang w:eastAsia="zh-CN"/>
        </w:rPr>
        <w:t>《政府采购质疑与投诉</w:t>
      </w:r>
      <w:r>
        <w:rPr>
          <w:rFonts w:hint="eastAsia" w:ascii="仿宋" w:hAnsi="仿宋" w:eastAsia="仿宋" w:cs="仿宋"/>
          <w:color w:val="auto"/>
          <w:sz w:val="24"/>
          <w:highlight w:val="none"/>
        </w:rPr>
        <w:t>办法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第七条第二款规定的信息内容，并按照其规定的方式提起投诉。</w:t>
      </w:r>
    </w:p>
    <w:p w14:paraId="66562C4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投诉人提起投诉应当符合下列条件：</w:t>
      </w:r>
    </w:p>
    <w:p w14:paraId="12FE629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（一）提起投诉前已依法进行质疑；</w:t>
      </w:r>
    </w:p>
    <w:p w14:paraId="3A9584A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（二）投诉书内容符合本办法的规定；</w:t>
      </w:r>
    </w:p>
    <w:p w14:paraId="09504E9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（三）在投诉有效期限内提起投诉；</w:t>
      </w:r>
    </w:p>
    <w:p w14:paraId="33B648A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（四）同一投诉事项未经财政部门投诉处理；</w:t>
      </w:r>
    </w:p>
    <w:p w14:paraId="77BDB83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（五）财政部规定的其他条件。</w:t>
      </w:r>
    </w:p>
    <w:p w14:paraId="3E44E72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36.13</w:t>
      </w:r>
      <w:r>
        <w:rPr>
          <w:rFonts w:hint="eastAsia" w:ascii="仿宋" w:hAnsi="仿宋" w:eastAsia="仿宋" w:cs="仿宋"/>
          <w:color w:val="auto"/>
          <w:sz w:val="24"/>
          <w:highlight w:val="none"/>
        </w:rPr>
        <w:t>供应商投诉的事项不得超出已质疑事项的范围，但基于质疑答复内容提出的投诉事项除外。</w:t>
      </w:r>
    </w:p>
    <w:p w14:paraId="6B44A8D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36.14</w:t>
      </w:r>
      <w:r>
        <w:rPr>
          <w:rFonts w:hint="eastAsia" w:ascii="仿宋" w:hAnsi="仿宋" w:eastAsia="仿宋" w:cs="仿宋"/>
          <w:color w:val="auto"/>
          <w:sz w:val="24"/>
          <w:highlight w:val="none"/>
        </w:rPr>
        <w:t>投诉处理</w:t>
      </w:r>
    </w:p>
    <w:p w14:paraId="70E6170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36.15</w:t>
      </w:r>
      <w:r>
        <w:rPr>
          <w:rFonts w:hint="eastAsia" w:ascii="仿宋" w:hAnsi="仿宋" w:eastAsia="仿宋" w:cs="仿宋"/>
          <w:color w:val="auto"/>
          <w:sz w:val="24"/>
          <w:highlight w:val="none"/>
        </w:rPr>
        <w:t>财政部门收到投诉书后，应当在5个工作日内进行审查，审查后按照下列情况处理：</w:t>
      </w:r>
    </w:p>
    <w:p w14:paraId="441A4E4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（一）投诉书内容不符合</w:t>
      </w:r>
      <w:r>
        <w:rPr>
          <w:rFonts w:hint="eastAsia" w:ascii="仿宋" w:hAnsi="仿宋" w:eastAsia="仿宋" w:cs="仿宋"/>
          <w:color w:val="auto"/>
          <w:sz w:val="24"/>
          <w:highlight w:val="none"/>
          <w:lang w:eastAsia="zh-CN"/>
        </w:rPr>
        <w:t>《政府采购质疑与投诉</w:t>
      </w:r>
      <w:r>
        <w:rPr>
          <w:rFonts w:hint="eastAsia" w:ascii="仿宋" w:hAnsi="仿宋" w:eastAsia="仿宋" w:cs="仿宋"/>
          <w:color w:val="auto"/>
          <w:sz w:val="24"/>
          <w:highlight w:val="none"/>
        </w:rPr>
        <w:t>办法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第十八条规定的，应当在收到投诉书5个工作日内一次性书面通知投诉人补正。补正通知应当载明需要补正的事项和合理的补正期限。未按照补正期限进行补正或者补正后仍不符合规定的，不予受理。</w:t>
      </w:r>
    </w:p>
    <w:p w14:paraId="6D229AA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（二）投诉不符合本办法第十九条规定条件的，应当在3个工作日内书面告知投诉人不予受理，并说明理由。</w:t>
      </w:r>
    </w:p>
    <w:p w14:paraId="3F89B31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（三）投诉不属于本部门管辖的，应当在3个工作日内书面告知投诉人向有管辖权的部门提起投诉。</w:t>
      </w:r>
    </w:p>
    <w:p w14:paraId="7E639AD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（四）投诉符合</w:t>
      </w:r>
      <w:r>
        <w:rPr>
          <w:rFonts w:hint="eastAsia" w:ascii="仿宋" w:hAnsi="仿宋" w:eastAsia="仿宋" w:cs="仿宋"/>
          <w:color w:val="auto"/>
          <w:sz w:val="24"/>
          <w:highlight w:val="none"/>
          <w:lang w:eastAsia="zh-CN"/>
        </w:rPr>
        <w:t>《政府采购质疑与投诉</w:t>
      </w:r>
      <w:r>
        <w:rPr>
          <w:rFonts w:hint="eastAsia" w:ascii="仿宋" w:hAnsi="仿宋" w:eastAsia="仿宋" w:cs="仿宋"/>
          <w:color w:val="auto"/>
          <w:sz w:val="24"/>
          <w:highlight w:val="none"/>
        </w:rPr>
        <w:t>办法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第十八条、第十九条规定的，自收到投诉书之日起即为受理，并在收到投诉后8个工作日内向被投诉人和其他与投诉事项有关的当事人发出投诉答复通知书及投诉书副本。</w:t>
      </w:r>
    </w:p>
    <w:p w14:paraId="1D95EBE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36.16</w:t>
      </w:r>
      <w:r>
        <w:rPr>
          <w:rFonts w:hint="eastAsia" w:ascii="仿宋" w:hAnsi="仿宋" w:eastAsia="仿宋" w:cs="仿宋"/>
          <w:color w:val="auto"/>
          <w:sz w:val="24"/>
          <w:highlight w:val="none"/>
        </w:rPr>
        <w:t>被投诉人和其他与投诉事项有关的当事人应当在收到投诉答复通知书及投诉书副本之日起5个工作日内，以书面形式向财政部门作出说明，并提交相关证据、依据和其他有关材料。</w:t>
      </w:r>
    </w:p>
    <w:p w14:paraId="2A575C4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36.17</w:t>
      </w:r>
      <w:r>
        <w:rPr>
          <w:rFonts w:hint="eastAsia" w:ascii="仿宋" w:hAnsi="仿宋" w:eastAsia="仿宋" w:cs="仿宋"/>
          <w:color w:val="auto"/>
          <w:sz w:val="24"/>
          <w:highlight w:val="none"/>
        </w:rPr>
        <w:t xml:space="preserve"> 财政部门处理投诉事项原则上采用书面审查的方式。财政部门认为有必要时，可以进行调查取证或者组织质证。</w:t>
      </w:r>
    </w:p>
    <w:p w14:paraId="457BBB5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财政部门可以根据法律、法规规定或者职责权限，委托相关单位或者第三方开展调查取证、检验、检测、鉴定。</w:t>
      </w:r>
    </w:p>
    <w:p w14:paraId="15F2EBC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质证应当通知相关当事人到场，并制作质证笔录。质证笔录应当由当事人签字确认。</w:t>
      </w:r>
    </w:p>
    <w:p w14:paraId="5540952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36.18</w:t>
      </w:r>
      <w:r>
        <w:rPr>
          <w:rFonts w:hint="eastAsia" w:ascii="仿宋" w:hAnsi="仿宋" w:eastAsia="仿宋" w:cs="仿宋"/>
          <w:color w:val="auto"/>
          <w:sz w:val="24"/>
          <w:highlight w:val="none"/>
        </w:rPr>
        <w:t xml:space="preserve"> 财政部门依法进行调查取证时，投诉人、被投诉人以及与投诉事项有关的单位及人员应当如实反映情况，并提供财政部门所需要的相关材料。</w:t>
      </w:r>
    </w:p>
    <w:p w14:paraId="612F691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36.19</w:t>
      </w:r>
      <w:r>
        <w:rPr>
          <w:rFonts w:hint="eastAsia" w:ascii="仿宋" w:hAnsi="仿宋" w:eastAsia="仿宋" w:cs="仿宋"/>
          <w:color w:val="auto"/>
          <w:sz w:val="24"/>
          <w:highlight w:val="none"/>
        </w:rPr>
        <w:t xml:space="preserve"> 应当由投诉人承担举证责任的投诉事项，投诉人未提供相关证据、依据和其他有关材料的，视为该投诉事项不成立；被投诉人未按照投诉答复通知书要求提交相关证据、依据和其他有关材料的，视同其放弃说明权利，依法承担不利后果。</w:t>
      </w:r>
    </w:p>
    <w:p w14:paraId="223B44F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36.20</w:t>
      </w:r>
      <w:r>
        <w:rPr>
          <w:rFonts w:hint="eastAsia" w:ascii="仿宋" w:hAnsi="仿宋" w:eastAsia="仿宋" w:cs="仿宋"/>
          <w:color w:val="auto"/>
          <w:sz w:val="24"/>
          <w:highlight w:val="none"/>
        </w:rPr>
        <w:t>财政部门应当自收到投诉之日起30个工作日内，对投诉事项作出处理决定。</w:t>
      </w:r>
    </w:p>
    <w:p w14:paraId="3832CCA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36.21</w:t>
      </w:r>
      <w:r>
        <w:rPr>
          <w:rFonts w:hint="eastAsia" w:ascii="仿宋" w:hAnsi="仿宋" w:eastAsia="仿宋" w:cs="仿宋"/>
          <w:color w:val="auto"/>
          <w:sz w:val="24"/>
          <w:highlight w:val="none"/>
        </w:rPr>
        <w:t xml:space="preserve"> 财政部门处理投诉事项，需要检验、检测、鉴定、专家评审以及需要投诉人补正材料的，所需时间不计算在投诉处理期限内。</w:t>
      </w:r>
    </w:p>
    <w:p w14:paraId="020D019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前款所称所需时间，是指财政部门向相关单位、第三方、投诉人发出相关文书、补正通知之日至收到相关反馈文书或材料之日。</w:t>
      </w:r>
    </w:p>
    <w:p w14:paraId="32C4AC9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财政部门向相关单位、第三方开展检验、检测、鉴定、专家评审的，应当将所需时间告知投诉人。</w:t>
      </w:r>
    </w:p>
    <w:p w14:paraId="0729C94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36.22</w:t>
      </w:r>
      <w:r>
        <w:rPr>
          <w:rFonts w:hint="eastAsia" w:ascii="仿宋" w:hAnsi="仿宋" w:eastAsia="仿宋" w:cs="仿宋"/>
          <w:color w:val="auto"/>
          <w:sz w:val="24"/>
          <w:highlight w:val="none"/>
        </w:rPr>
        <w:t xml:space="preserve"> 财政部门在处理投诉事项期间，可以视具体情况书面通知采购人和采购代理机构暂停采购活动，暂停采购活动时间最长不得超过30日。</w:t>
      </w:r>
    </w:p>
    <w:p w14:paraId="25D4F11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采购人和采购代理机构收到暂停采购活动通知后应当立即中止采购活动，在法定的暂停期限结束前或者财政部门发出恢复采购活动通知前，不得进行该项采购活动。</w:t>
      </w:r>
    </w:p>
    <w:p w14:paraId="35E8C1B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36.23</w:t>
      </w:r>
      <w:r>
        <w:rPr>
          <w:rFonts w:hint="eastAsia" w:ascii="仿宋" w:hAnsi="仿宋" w:eastAsia="仿宋" w:cs="仿宋"/>
          <w:color w:val="auto"/>
          <w:sz w:val="24"/>
          <w:highlight w:val="none"/>
        </w:rPr>
        <w:t xml:space="preserve"> 投诉处理过程中，有下列情形之一的，财政部门应当驳回投诉：</w:t>
      </w:r>
    </w:p>
    <w:p w14:paraId="31F73FD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（一）受理后发现投诉不符合法定受理条件；</w:t>
      </w:r>
    </w:p>
    <w:p w14:paraId="2FB2190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（二）投诉事项缺乏事实依据，投诉事项不成立；</w:t>
      </w:r>
    </w:p>
    <w:p w14:paraId="3D7EE8E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（三）投诉人捏造事实或者提供虚假材料；</w:t>
      </w:r>
    </w:p>
    <w:p w14:paraId="3D1579C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（四）投诉人以非法手段取得证明材料。证据来源的合法性存在明显疑问，投诉人无法证明其取得方式合法的，视为以非法手段取得证明材料。</w:t>
      </w:r>
    </w:p>
    <w:p w14:paraId="3724070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36.24</w:t>
      </w:r>
      <w:r>
        <w:rPr>
          <w:rFonts w:hint="eastAsia" w:ascii="仿宋" w:hAnsi="仿宋" w:eastAsia="仿宋" w:cs="仿宋"/>
          <w:color w:val="auto"/>
          <w:sz w:val="24"/>
          <w:highlight w:val="none"/>
        </w:rPr>
        <w:t xml:space="preserve"> 财政部门受理投诉后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投诉人书面申请撤回投诉的，财政部门应当终止投诉处理程序，并书面告知相关当事人。</w:t>
      </w:r>
    </w:p>
    <w:p w14:paraId="1DC26CD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36.25</w:t>
      </w:r>
      <w:r>
        <w:rPr>
          <w:rFonts w:hint="eastAsia" w:ascii="仿宋" w:hAnsi="仿宋" w:eastAsia="仿宋" w:cs="仿宋"/>
          <w:color w:val="auto"/>
          <w:sz w:val="24"/>
          <w:highlight w:val="none"/>
        </w:rPr>
        <w:t xml:space="preserve"> 投诉人对采购文件提起的投诉事项，财政部门经查证属实的，应当认定投诉事项成立。经认定成立的投诉事项不影响采购结果的，继续开展采购活动；影响或者可能影响采购结果的，财政部门按照下列情况处理：</w:t>
      </w:r>
    </w:p>
    <w:p w14:paraId="14ED6861">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（一）未确定中标或者成交供应商的，责令重新开展采购活动。</w:t>
      </w:r>
    </w:p>
    <w:p w14:paraId="7EA3F70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（二）已确定中标或者成交供应商但尚未签订政府采购合同的，认定中标或者成交结果无效，责令重新开展采购活动。</w:t>
      </w:r>
    </w:p>
    <w:p w14:paraId="79DCCBF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（三）政府采购合同已经签订但尚未履行的，撤销合同，责令重新开展采购活动。</w:t>
      </w:r>
    </w:p>
    <w:p w14:paraId="360A970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（四）政府采购合同已经履行，给他人造成损失的，相关当事人可依法提起诉讼，由责任人承担赔偿责任。</w:t>
      </w:r>
    </w:p>
    <w:p w14:paraId="26B2B7B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36.26</w:t>
      </w:r>
      <w:r>
        <w:rPr>
          <w:rFonts w:hint="eastAsia" w:ascii="仿宋" w:hAnsi="仿宋" w:eastAsia="仿宋" w:cs="仿宋"/>
          <w:color w:val="auto"/>
          <w:sz w:val="24"/>
          <w:highlight w:val="none"/>
        </w:rPr>
        <w:t>投诉人对采购过程或者采购结果提起的投诉事项，财政部门经查证属实的，应当认定投诉事项成立。经认定成立的投诉事项不影响采购结果的，继续开展采购活动；影响或者可能影响采购结果的，财政部门按照下列情况处理：</w:t>
      </w:r>
    </w:p>
    <w:p w14:paraId="5F90A1C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（一）未确定中标或者成交供应商的，责令重新开展采购活动。</w:t>
      </w:r>
    </w:p>
    <w:p w14:paraId="2FC238C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否则责令重新开展采购活动。</w:t>
      </w:r>
    </w:p>
    <w:p w14:paraId="4C9DDA9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三）政府采购合同已经签订但尚未履行的，撤销合同。合格供应商符合法定数量时，可以从合格的中标或者成交候选人中另行确定中标或者成交供应商的，应当要求采购人依法另行确定中标、成交供应商；否则责令重新开展采购活动。</w:t>
      </w:r>
    </w:p>
    <w:p w14:paraId="7618C3D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（四）政府采购合同已经履行，给他人造成损失的，相关当事人可依法提起诉讼</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由责任人承担赔偿责任。</w:t>
      </w:r>
    </w:p>
    <w:p w14:paraId="47EC50E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投诉人对废标行为提起的投诉事项成立的，财政部门应当认定废标行为无效。</w:t>
      </w:r>
    </w:p>
    <w:p w14:paraId="5D6CDC9F">
      <w:pPr>
        <w:bidi w:val="0"/>
        <w:rPr>
          <w:rFonts w:hint="eastAsia" w:ascii="仿宋" w:hAnsi="仿宋" w:eastAsia="仿宋" w:cs="仿宋"/>
          <w:b/>
          <w:bCs/>
          <w:color w:val="auto"/>
          <w:sz w:val="24"/>
          <w:szCs w:val="24"/>
          <w:highlight w:val="none"/>
        </w:rPr>
      </w:pPr>
      <w:bookmarkStart w:id="225" w:name="_Toc4181"/>
      <w:bookmarkStart w:id="226" w:name="_Toc23384"/>
      <w:bookmarkStart w:id="227" w:name="_Toc9437"/>
      <w:bookmarkStart w:id="228" w:name="_Toc25636"/>
      <w:bookmarkStart w:id="229" w:name="_Toc3796"/>
      <w:bookmarkStart w:id="230" w:name="_Toc12088"/>
      <w:bookmarkStart w:id="231" w:name="_Toc27601"/>
      <w:bookmarkStart w:id="232" w:name="_Toc12693"/>
      <w:bookmarkStart w:id="233" w:name="_Toc19910"/>
      <w:bookmarkStart w:id="234" w:name="_Toc14893"/>
      <w:bookmarkStart w:id="235" w:name="_Toc14412"/>
      <w:bookmarkStart w:id="236" w:name="_Toc32049"/>
      <w:bookmarkStart w:id="237" w:name="_Toc10326"/>
      <w:bookmarkStart w:id="238" w:name="_Toc29525"/>
      <w:bookmarkStart w:id="239" w:name="_Toc16553"/>
      <w:bookmarkStart w:id="240" w:name="_Toc30093"/>
      <w:bookmarkStart w:id="241" w:name="_Toc13698"/>
      <w:bookmarkStart w:id="242" w:name="_Toc11297"/>
      <w:bookmarkStart w:id="243" w:name="_Toc23411"/>
      <w:bookmarkStart w:id="244" w:name="_Toc8353"/>
      <w:bookmarkStart w:id="245" w:name="_Toc29320"/>
    </w:p>
    <w:p w14:paraId="1512E7AE">
      <w:pPr>
        <w:bidi w:val="0"/>
        <w:rPr>
          <w:rFonts w:hint="eastAsia" w:ascii="仿宋" w:hAnsi="仿宋" w:eastAsia="仿宋" w:cs="仿宋"/>
          <w:b/>
          <w:bCs/>
          <w:color w:val="auto"/>
          <w:sz w:val="24"/>
          <w:szCs w:val="24"/>
          <w:highlight w:val="none"/>
        </w:rPr>
      </w:pPr>
    </w:p>
    <w:p w14:paraId="634B3EA0">
      <w:pPr>
        <w:bidi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质疑函范本</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7672370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一、质疑供应商基本信息</w:t>
      </w:r>
    </w:p>
    <w:p w14:paraId="4EC399F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3D19EA4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邮编：</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6EC3CA4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403883D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29420B8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6F3E47A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0B7E62E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二、质疑项目基本情况</w:t>
      </w:r>
    </w:p>
    <w:p w14:paraId="6E0BD9B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30BEA67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770B592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129F9EF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5497517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三、质疑事项具体内容</w:t>
      </w:r>
    </w:p>
    <w:p w14:paraId="260E753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03D1EFA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事实依据： </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62160BA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230F1615">
      <w:pPr>
        <w:spacing w:line="240" w:lineRule="atLeast"/>
        <w:ind w:left="900" w:hanging="900" w:hangingChars="375"/>
        <w:rPr>
          <w:rFonts w:hint="eastAsia" w:ascii="仿宋" w:hAnsi="仿宋" w:eastAsia="仿宋" w:cs="仿宋"/>
          <w:color w:val="auto"/>
          <w:sz w:val="24"/>
          <w:highlight w:val="none"/>
        </w:rPr>
      </w:pPr>
    </w:p>
    <w:p w14:paraId="18509E2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2B85CFD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4912CE5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质疑事项2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1E6BE76E">
      <w:pPr>
        <w:pStyle w:val="26"/>
        <w:rPr>
          <w:rFonts w:hint="eastAsia" w:ascii="仿宋" w:hAnsi="仿宋" w:eastAsia="仿宋" w:cs="仿宋"/>
          <w:color w:val="auto"/>
          <w:highlight w:val="none"/>
        </w:rPr>
      </w:pPr>
    </w:p>
    <w:p w14:paraId="43C9972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四、与质疑事项相关的质疑请求</w:t>
      </w:r>
    </w:p>
    <w:p w14:paraId="23243BE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78BCB60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E7A80A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签章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公章：                      </w:t>
      </w:r>
    </w:p>
    <w:p w14:paraId="043BD82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653E8F65">
      <w:pPr>
        <w:pStyle w:val="3"/>
        <w:spacing w:before="0" w:line="240" w:lineRule="atLeast"/>
        <w:jc w:val="both"/>
        <w:rPr>
          <w:rFonts w:hint="eastAsia" w:ascii="仿宋" w:hAnsi="仿宋" w:eastAsia="仿宋" w:cs="仿宋"/>
          <w:color w:val="auto"/>
          <w:szCs w:val="24"/>
          <w:highlight w:val="none"/>
        </w:rPr>
      </w:pPr>
      <w:r>
        <w:rPr>
          <w:rFonts w:hint="eastAsia" w:ascii="仿宋" w:hAnsi="仿宋" w:eastAsia="仿宋" w:cs="仿宋"/>
          <w:color w:val="auto"/>
          <w:sz w:val="24"/>
          <w:highlight w:val="none"/>
        </w:rPr>
        <w:br w:type="page"/>
      </w:r>
      <w:bookmarkStart w:id="246" w:name="_Toc515647799"/>
      <w:bookmarkStart w:id="247" w:name="_Toc21748"/>
      <w:bookmarkStart w:id="248" w:name="_Toc2901"/>
      <w:bookmarkStart w:id="249" w:name="_Toc16186"/>
      <w:bookmarkStart w:id="250" w:name="_Toc9814"/>
      <w:r>
        <w:rPr>
          <w:rFonts w:hint="eastAsia" w:ascii="仿宋" w:hAnsi="仿宋" w:eastAsia="仿宋" w:cs="仿宋"/>
          <w:color w:val="auto"/>
          <w:szCs w:val="24"/>
          <w:highlight w:val="none"/>
        </w:rPr>
        <w:t>附件1：履约保证金保函（格式）</w:t>
      </w:r>
      <w:bookmarkEnd w:id="246"/>
      <w:bookmarkEnd w:id="247"/>
      <w:bookmarkEnd w:id="248"/>
      <w:bookmarkEnd w:id="249"/>
      <w:bookmarkEnd w:id="250"/>
    </w:p>
    <w:p w14:paraId="509FC6E4">
      <w:pPr>
        <w:spacing w:line="240" w:lineRule="atLeast"/>
        <w:ind w:left="900" w:hanging="787" w:hangingChars="375"/>
        <w:rPr>
          <w:rFonts w:hint="eastAsia" w:ascii="仿宋" w:hAnsi="仿宋" w:eastAsia="仿宋" w:cs="仿宋"/>
          <w:color w:val="auto"/>
          <w:szCs w:val="24"/>
          <w:highlight w:val="none"/>
        </w:rPr>
      </w:pPr>
    </w:p>
    <w:p w14:paraId="2A51CAA7">
      <w:pPr>
        <w:pStyle w:val="16"/>
        <w:spacing w:line="240" w:lineRule="atLeast"/>
        <w:ind w:left="1079" w:leftChars="257" w:hanging="54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（中标后开具）</w:t>
      </w:r>
    </w:p>
    <w:p w14:paraId="5C039EE1">
      <w:pPr>
        <w:pStyle w:val="16"/>
        <w:spacing w:line="240" w:lineRule="atLeast"/>
        <w:ind w:left="1079" w:leftChars="257" w:hanging="540"/>
        <w:rPr>
          <w:rFonts w:hint="eastAsia" w:ascii="仿宋" w:hAnsi="仿宋" w:eastAsia="仿宋" w:cs="仿宋"/>
          <w:b/>
          <w:color w:val="auto"/>
          <w:sz w:val="24"/>
          <w:highlight w:val="none"/>
        </w:rPr>
      </w:pPr>
    </w:p>
    <w:p w14:paraId="24B5FAB1">
      <w:pPr>
        <w:pStyle w:val="16"/>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w:t>
      </w:r>
      <w:r>
        <w:rPr>
          <w:rFonts w:hint="eastAsia" w:ascii="仿宋" w:hAnsi="仿宋" w:eastAsia="仿宋" w:cs="仿宋"/>
          <w:i/>
          <w:color w:val="auto"/>
          <w:sz w:val="24"/>
          <w:highlight w:val="none"/>
          <w:u w:val="single"/>
        </w:rPr>
        <w:t>买方名称</w:t>
      </w:r>
      <w:r>
        <w:rPr>
          <w:rFonts w:hint="eastAsia" w:ascii="仿宋" w:hAnsi="仿宋" w:eastAsia="仿宋" w:cs="仿宋"/>
          <w:i/>
          <w:color w:val="auto"/>
          <w:sz w:val="24"/>
          <w:highlight w:val="none"/>
          <w:u w:val="single"/>
          <w:lang w:eastAsia="zh-CN"/>
        </w:rPr>
        <w:t>）</w:t>
      </w:r>
    </w:p>
    <w:p w14:paraId="306BF403">
      <w:pPr>
        <w:pStyle w:val="16"/>
        <w:spacing w:line="240" w:lineRule="atLeast"/>
        <w:ind w:left="1079"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号合同履约保函</w:t>
      </w:r>
    </w:p>
    <w:p w14:paraId="56ED6CA6">
      <w:pPr>
        <w:pStyle w:val="16"/>
        <w:spacing w:line="240" w:lineRule="atLeast"/>
        <w:ind w:left="1079" w:leftChars="257" w:hanging="540"/>
        <w:jc w:val="center"/>
        <w:rPr>
          <w:rFonts w:hint="eastAsia" w:ascii="仿宋" w:hAnsi="仿宋" w:eastAsia="仿宋" w:cs="仿宋"/>
          <w:color w:val="auto"/>
          <w:sz w:val="24"/>
          <w:highlight w:val="none"/>
        </w:rPr>
      </w:pPr>
    </w:p>
    <w:p w14:paraId="3F7A9E39">
      <w:pPr>
        <w:pStyle w:val="16"/>
        <w:spacing w:line="240" w:lineRule="atLeast"/>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本保函作为贵方与</w:t>
      </w:r>
      <w:r>
        <w:rPr>
          <w:rFonts w:hint="eastAsia" w:ascii="仿宋" w:hAnsi="仿宋" w:eastAsia="仿宋" w:cs="仿宋"/>
          <w:color w:val="auto"/>
          <w:sz w:val="24"/>
          <w:highlight w:val="none"/>
          <w:lang w:eastAsia="zh-CN"/>
        </w:rPr>
        <w:t>（</w:t>
      </w:r>
      <w:r>
        <w:rPr>
          <w:rFonts w:hint="eastAsia" w:ascii="仿宋" w:hAnsi="仿宋" w:eastAsia="仿宋" w:cs="仿宋"/>
          <w:i/>
          <w:color w:val="auto"/>
          <w:sz w:val="24"/>
          <w:highlight w:val="none"/>
          <w:u w:val="single"/>
        </w:rPr>
        <w:t>卖方名称</w:t>
      </w:r>
      <w:r>
        <w:rPr>
          <w:rFonts w:hint="eastAsia" w:ascii="仿宋" w:hAnsi="仿宋" w:eastAsia="仿宋" w:cs="仿宋"/>
          <w:i/>
          <w:color w:val="auto"/>
          <w:sz w:val="24"/>
          <w:highlight w:val="none"/>
          <w:u w:val="single"/>
          <w:lang w:eastAsia="zh-CN"/>
        </w:rPr>
        <w:t>）（</w:t>
      </w:r>
      <w:r>
        <w:rPr>
          <w:rFonts w:hint="eastAsia" w:ascii="仿宋" w:hAnsi="仿宋" w:eastAsia="仿宋" w:cs="仿宋"/>
          <w:color w:val="auto"/>
          <w:sz w:val="24"/>
          <w:highlight w:val="none"/>
        </w:rPr>
        <w:t>以下简称卖方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以下简称项目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项下提供</w:t>
      </w:r>
      <w:r>
        <w:rPr>
          <w:rFonts w:hint="eastAsia" w:ascii="仿宋" w:hAnsi="仿宋" w:eastAsia="仿宋" w:cs="仿宋"/>
          <w:color w:val="auto"/>
          <w:sz w:val="24"/>
          <w:highlight w:val="none"/>
          <w:lang w:eastAsia="zh-CN"/>
        </w:rPr>
        <w:t>（</w:t>
      </w:r>
      <w:r>
        <w:rPr>
          <w:rFonts w:hint="eastAsia" w:ascii="仿宋" w:hAnsi="仿宋" w:eastAsia="仿宋" w:cs="仿宋"/>
          <w:i/>
          <w:color w:val="auto"/>
          <w:sz w:val="24"/>
          <w:highlight w:val="none"/>
          <w:u w:val="single"/>
          <w:lang w:eastAsia="zh-CN"/>
        </w:rPr>
        <w:t>服务</w:t>
      </w:r>
      <w:r>
        <w:rPr>
          <w:rFonts w:hint="eastAsia" w:ascii="仿宋" w:hAnsi="仿宋" w:eastAsia="仿宋" w:cs="仿宋"/>
          <w:i/>
          <w:color w:val="auto"/>
          <w:sz w:val="24"/>
          <w:highlight w:val="none"/>
          <w:u w:val="single"/>
        </w:rPr>
        <w:t>名称</w:t>
      </w:r>
      <w:r>
        <w:rPr>
          <w:rFonts w:hint="eastAsia" w:ascii="仿宋" w:hAnsi="仿宋" w:eastAsia="仿宋" w:cs="仿宋"/>
          <w:i/>
          <w:color w:val="auto"/>
          <w:sz w:val="24"/>
          <w:highlight w:val="none"/>
          <w:u w:val="single"/>
          <w:lang w:eastAsia="zh-CN"/>
        </w:rPr>
        <w:t>）（</w:t>
      </w:r>
      <w:r>
        <w:rPr>
          <w:rFonts w:hint="eastAsia" w:ascii="仿宋" w:hAnsi="仿宋" w:eastAsia="仿宋" w:cs="仿宋"/>
          <w:color w:val="auto"/>
          <w:sz w:val="24"/>
          <w:highlight w:val="none"/>
        </w:rPr>
        <w:t>以下简称货物</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签订的</w:t>
      </w:r>
      <w:r>
        <w:rPr>
          <w:rFonts w:hint="eastAsia" w:ascii="仿宋" w:hAnsi="仿宋" w:eastAsia="仿宋" w:cs="仿宋"/>
          <w:color w:val="auto"/>
          <w:sz w:val="24"/>
          <w:highlight w:val="none"/>
          <w:lang w:eastAsia="zh-CN"/>
        </w:rPr>
        <w:t>（</w:t>
      </w:r>
      <w:r>
        <w:rPr>
          <w:rFonts w:hint="eastAsia" w:ascii="仿宋" w:hAnsi="仿宋" w:eastAsia="仿宋" w:cs="仿宋"/>
          <w:i/>
          <w:color w:val="auto"/>
          <w:sz w:val="24"/>
          <w:highlight w:val="none"/>
          <w:u w:val="single"/>
        </w:rPr>
        <w:t>合同号</w:t>
      </w:r>
      <w:r>
        <w:rPr>
          <w:rFonts w:hint="eastAsia" w:ascii="仿宋" w:hAnsi="仿宋" w:eastAsia="仿宋" w:cs="仿宋"/>
          <w:i/>
          <w:color w:val="auto"/>
          <w:sz w:val="24"/>
          <w:highlight w:val="none"/>
          <w:u w:val="single"/>
          <w:lang w:eastAsia="zh-CN"/>
        </w:rPr>
        <w:t>）</w:t>
      </w:r>
      <w:r>
        <w:rPr>
          <w:rFonts w:hint="eastAsia" w:ascii="仿宋" w:hAnsi="仿宋" w:eastAsia="仿宋" w:cs="仿宋"/>
          <w:color w:val="auto"/>
          <w:sz w:val="24"/>
          <w:highlight w:val="none"/>
        </w:rPr>
        <w:t>号合同的履约保函。</w:t>
      </w:r>
    </w:p>
    <w:p w14:paraId="393F1397">
      <w:pPr>
        <w:pStyle w:val="16"/>
        <w:spacing w:line="240" w:lineRule="atLeast"/>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i/>
          <w:color w:val="auto"/>
          <w:sz w:val="24"/>
          <w:highlight w:val="none"/>
          <w:u w:val="single"/>
        </w:rPr>
        <w:t>出具保函的银行名称</w:t>
      </w:r>
      <w:r>
        <w:rPr>
          <w:rFonts w:hint="eastAsia" w:ascii="仿宋" w:hAnsi="仿宋" w:eastAsia="仿宋" w:cs="仿宋"/>
          <w:i/>
          <w:color w:val="auto"/>
          <w:sz w:val="24"/>
          <w:highlight w:val="none"/>
          <w:u w:val="single"/>
          <w:lang w:eastAsia="zh-CN"/>
        </w:rPr>
        <w:t>）（</w:t>
      </w:r>
      <w:r>
        <w:rPr>
          <w:rFonts w:hint="eastAsia" w:ascii="仿宋" w:hAnsi="仿宋" w:eastAsia="仿宋" w:cs="仿宋"/>
          <w:color w:val="auto"/>
          <w:sz w:val="24"/>
          <w:highlight w:val="none"/>
        </w:rPr>
        <w:t>以下简称银行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无条件地、不可撤销地具结保证本行、其继承人和受让人无追索地向贵方以</w:t>
      </w:r>
      <w:r>
        <w:rPr>
          <w:rFonts w:hint="eastAsia" w:ascii="仿宋" w:hAnsi="仿宋" w:eastAsia="仿宋" w:cs="仿宋"/>
          <w:color w:val="auto"/>
          <w:sz w:val="24"/>
          <w:highlight w:val="none"/>
          <w:lang w:eastAsia="zh-CN"/>
        </w:rPr>
        <w:t>（</w:t>
      </w:r>
      <w:r>
        <w:rPr>
          <w:rFonts w:hint="eastAsia" w:ascii="仿宋" w:hAnsi="仿宋" w:eastAsia="仿宋" w:cs="仿宋"/>
          <w:i/>
          <w:color w:val="auto"/>
          <w:sz w:val="24"/>
          <w:highlight w:val="none"/>
          <w:u w:val="single"/>
        </w:rPr>
        <w:t>货币名称</w:t>
      </w:r>
      <w:r>
        <w:rPr>
          <w:rFonts w:hint="eastAsia" w:ascii="仿宋" w:hAnsi="仿宋" w:eastAsia="仿宋" w:cs="仿宋"/>
          <w:i/>
          <w:color w:val="auto"/>
          <w:sz w:val="24"/>
          <w:highlight w:val="none"/>
          <w:u w:val="single"/>
          <w:lang w:eastAsia="zh-CN"/>
        </w:rPr>
        <w:t>）</w:t>
      </w:r>
      <w:r>
        <w:rPr>
          <w:rFonts w:hint="eastAsia" w:ascii="仿宋" w:hAnsi="仿宋" w:eastAsia="仿宋" w:cs="仿宋"/>
          <w:color w:val="auto"/>
          <w:sz w:val="24"/>
          <w:highlight w:val="none"/>
        </w:rPr>
        <w:t>支付总额不超过</w:t>
      </w:r>
      <w:r>
        <w:rPr>
          <w:rFonts w:hint="eastAsia" w:ascii="仿宋" w:hAnsi="仿宋" w:eastAsia="仿宋" w:cs="仿宋"/>
          <w:color w:val="auto"/>
          <w:sz w:val="24"/>
          <w:highlight w:val="none"/>
          <w:lang w:eastAsia="zh-CN"/>
        </w:rPr>
        <w:t>（</w:t>
      </w:r>
      <w:r>
        <w:rPr>
          <w:rFonts w:hint="eastAsia" w:ascii="仿宋" w:hAnsi="仿宋" w:eastAsia="仿宋" w:cs="仿宋"/>
          <w:i/>
          <w:color w:val="auto"/>
          <w:sz w:val="24"/>
          <w:highlight w:val="none"/>
          <w:u w:val="single"/>
        </w:rPr>
        <w:t>货币数量</w:t>
      </w:r>
      <w:r>
        <w:rPr>
          <w:rFonts w:hint="eastAsia" w:ascii="仿宋" w:hAnsi="仿宋" w:eastAsia="仿宋" w:cs="仿宋"/>
          <w:i/>
          <w:color w:val="auto"/>
          <w:sz w:val="24"/>
          <w:highlight w:val="none"/>
          <w:u w:val="single"/>
          <w:lang w:eastAsia="zh-CN"/>
        </w:rPr>
        <w:t>），</w:t>
      </w:r>
      <w:r>
        <w:rPr>
          <w:rFonts w:hint="eastAsia" w:ascii="仿宋" w:hAnsi="仿宋" w:eastAsia="仿宋" w:cs="仿宋"/>
          <w:color w:val="auto"/>
          <w:sz w:val="24"/>
          <w:highlight w:val="none"/>
        </w:rPr>
        <w:t>即相当于合同价格的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并以此约定如下</w:t>
      </w:r>
      <w:r>
        <w:rPr>
          <w:rFonts w:hint="eastAsia" w:ascii="仿宋" w:hAnsi="仿宋" w:eastAsia="仿宋" w:cs="仿宋"/>
          <w:color w:val="auto"/>
          <w:sz w:val="24"/>
          <w:highlight w:val="none"/>
          <w:lang w:eastAsia="zh-CN"/>
        </w:rPr>
        <w:t>：</w:t>
      </w:r>
    </w:p>
    <w:p w14:paraId="63290EC6">
      <w:pPr>
        <w:pStyle w:val="16"/>
        <w:spacing w:line="240" w:lineRule="atLeast"/>
        <w:ind w:left="539" w:leftChars="257"/>
        <w:rPr>
          <w:rFonts w:hint="eastAsia" w:ascii="仿宋" w:hAnsi="仿宋" w:eastAsia="仿宋" w:cs="仿宋"/>
          <w:color w:val="auto"/>
          <w:sz w:val="24"/>
          <w:highlight w:val="none"/>
        </w:rPr>
      </w:pPr>
      <w:r>
        <w:rPr>
          <w:rFonts w:hint="eastAsia" w:ascii="仿宋" w:hAnsi="仿宋" w:eastAsia="仿宋" w:cs="仿宋"/>
          <w:color w:val="auto"/>
          <w:sz w:val="24"/>
          <w:highlight w:val="none"/>
        </w:rPr>
        <w:t>1.只要贵方确定卖方未能忠实地履行所有合同文件的规定和双方此后一致 同意的修改、补充和变动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包括更改和/或修补贵方认为有缺陷的货物</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以下简称违约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无论卖方有任何反对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本行将凭贵方关于卖方违约说明的书面通知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立即按贵方提出的累计总额不超过上述金额的</w:t>
      </w:r>
      <w:r>
        <w:rPr>
          <w:rFonts w:hint="eastAsia" w:ascii="仿宋" w:hAnsi="仿宋" w:eastAsia="仿宋" w:cs="仿宋"/>
          <w:color w:val="auto"/>
          <w:sz w:val="24"/>
          <w:highlight w:val="none"/>
          <w:lang w:eastAsia="zh-CN"/>
        </w:rPr>
        <w:t>款项</w:t>
      </w:r>
      <w:r>
        <w:rPr>
          <w:rFonts w:hint="eastAsia" w:ascii="仿宋" w:hAnsi="仿宋" w:eastAsia="仿宋" w:cs="仿宋"/>
          <w:color w:val="auto"/>
          <w:sz w:val="24"/>
          <w:highlight w:val="none"/>
        </w:rPr>
        <w:t>按贵方通知规定的方</w:t>
      </w:r>
      <w:r>
        <w:rPr>
          <w:rFonts w:hint="eastAsia" w:ascii="仿宋" w:hAnsi="仿宋" w:eastAsia="仿宋" w:cs="仿宋"/>
          <w:color w:val="auto"/>
          <w:sz w:val="24"/>
          <w:highlight w:val="none"/>
          <w:lang w:eastAsia="zh-CN"/>
        </w:rPr>
        <w:t>式支</w:t>
      </w:r>
      <w:r>
        <w:rPr>
          <w:rFonts w:hint="eastAsia" w:ascii="仿宋" w:hAnsi="仿宋" w:eastAsia="仿宋" w:cs="仿宋"/>
          <w:color w:val="auto"/>
          <w:sz w:val="24"/>
          <w:highlight w:val="none"/>
        </w:rPr>
        <w:t>付给贵方。</w:t>
      </w:r>
    </w:p>
    <w:p w14:paraId="66925195">
      <w:pPr>
        <w:pStyle w:val="16"/>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6125316D">
      <w:pPr>
        <w:pStyle w:val="16"/>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3.本保函的条款构成本行无条件的、不可撤销的直接责任。对即将履行的合同条款的任何变更、贵方在时间上的宽限</w:t>
      </w:r>
      <w:r>
        <w:rPr>
          <w:rFonts w:hint="eastAsia" w:ascii="仿宋" w:hAnsi="仿宋" w:eastAsia="仿宋" w:cs="仿宋"/>
          <w:color w:val="auto"/>
          <w:sz w:val="24"/>
          <w:highlight w:val="none"/>
          <w:lang w:eastAsia="zh-CN"/>
        </w:rPr>
        <w:t>，或</w:t>
      </w:r>
      <w:r>
        <w:rPr>
          <w:rFonts w:hint="eastAsia" w:ascii="仿宋" w:hAnsi="仿宋" w:eastAsia="仿宋" w:cs="仿宋"/>
          <w:color w:val="auto"/>
          <w:sz w:val="24"/>
          <w:highlight w:val="none"/>
        </w:rPr>
        <w:t>由贵方采取的如果没有本款可能免除本行责任的任何其它行为，均不能解除或免除本行在本保函项下的责任。</w:t>
      </w:r>
    </w:p>
    <w:p w14:paraId="30DE7FD5">
      <w:pPr>
        <w:pStyle w:val="16"/>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4.本保函在本合同规定的保证期期满前完全有效。</w:t>
      </w:r>
    </w:p>
    <w:p w14:paraId="6840E874">
      <w:pPr>
        <w:pStyle w:val="16"/>
        <w:spacing w:line="240" w:lineRule="atLeast"/>
        <w:ind w:left="1079" w:leftChars="257" w:hanging="540"/>
        <w:rPr>
          <w:rFonts w:hint="eastAsia" w:ascii="仿宋" w:hAnsi="仿宋" w:eastAsia="仿宋" w:cs="仿宋"/>
          <w:color w:val="auto"/>
          <w:sz w:val="24"/>
          <w:highlight w:val="none"/>
        </w:rPr>
      </w:pPr>
    </w:p>
    <w:p w14:paraId="5D1FEE0C">
      <w:pPr>
        <w:pStyle w:val="16"/>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谨启</w:t>
      </w:r>
    </w:p>
    <w:p w14:paraId="144080E8">
      <w:pPr>
        <w:pStyle w:val="16"/>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出具保函银行名称：</w:t>
      </w:r>
      <w:r>
        <w:rPr>
          <w:rFonts w:hint="eastAsia" w:ascii="仿宋" w:hAnsi="仿宋" w:eastAsia="仿宋" w:cs="仿宋"/>
          <w:color w:val="auto"/>
          <w:sz w:val="24"/>
          <w:highlight w:val="none"/>
          <w:u w:val="single"/>
        </w:rPr>
        <w:t xml:space="preserve">                             </w:t>
      </w:r>
    </w:p>
    <w:p w14:paraId="303B56CA">
      <w:pPr>
        <w:pStyle w:val="16"/>
        <w:spacing w:line="240" w:lineRule="atLeast"/>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签字人姓名和职务：</w:t>
      </w:r>
      <w:r>
        <w:rPr>
          <w:rFonts w:hint="eastAsia" w:ascii="仿宋" w:hAnsi="仿宋" w:eastAsia="仿宋" w:cs="仿宋"/>
          <w:color w:val="auto"/>
          <w:sz w:val="24"/>
          <w:highlight w:val="none"/>
          <w:u w:val="single"/>
        </w:rPr>
        <w:t xml:space="preserve">                             </w:t>
      </w:r>
    </w:p>
    <w:p w14:paraId="3FDD7424">
      <w:pPr>
        <w:pStyle w:val="16"/>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签字人签名：</w:t>
      </w:r>
      <w:r>
        <w:rPr>
          <w:rFonts w:hint="eastAsia" w:ascii="仿宋" w:hAnsi="仿宋" w:eastAsia="仿宋" w:cs="仿宋"/>
          <w:color w:val="auto"/>
          <w:sz w:val="24"/>
          <w:highlight w:val="none"/>
          <w:u w:val="single"/>
        </w:rPr>
        <w:t xml:space="preserve">                                   </w:t>
      </w:r>
    </w:p>
    <w:p w14:paraId="5602C1E6">
      <w:pPr>
        <w:pStyle w:val="16"/>
        <w:spacing w:line="240" w:lineRule="atLeast"/>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公章：</w:t>
      </w:r>
      <w:r>
        <w:rPr>
          <w:rFonts w:hint="eastAsia" w:ascii="仿宋" w:hAnsi="仿宋" w:eastAsia="仿宋" w:cs="仿宋"/>
          <w:color w:val="auto"/>
          <w:sz w:val="24"/>
          <w:highlight w:val="none"/>
          <w:u w:val="single"/>
        </w:rPr>
        <w:t xml:space="preserve">                                         </w:t>
      </w:r>
    </w:p>
    <w:p w14:paraId="2ABF8BC9">
      <w:pPr>
        <w:pStyle w:val="3"/>
        <w:spacing w:before="0" w:line="240" w:lineRule="atLeast"/>
        <w:ind w:left="1079" w:leftChars="257" w:hanging="540"/>
        <w:rPr>
          <w:rFonts w:hint="eastAsia" w:ascii="仿宋" w:hAnsi="仿宋" w:eastAsia="仿宋" w:cs="仿宋"/>
          <w:color w:val="auto"/>
          <w:szCs w:val="24"/>
          <w:highlight w:val="none"/>
        </w:rPr>
      </w:pPr>
      <w:r>
        <w:rPr>
          <w:rFonts w:hint="eastAsia" w:ascii="仿宋" w:hAnsi="仿宋" w:eastAsia="仿宋" w:cs="仿宋"/>
          <w:color w:val="auto"/>
          <w:highlight w:val="none"/>
        </w:rPr>
        <w:br w:type="page"/>
      </w:r>
      <w:bookmarkStart w:id="251" w:name="_Toc6548"/>
      <w:bookmarkStart w:id="252" w:name="_Toc23077"/>
      <w:bookmarkStart w:id="253" w:name="_Toc515647800"/>
      <w:bookmarkStart w:id="254" w:name="_Toc10951"/>
      <w:r>
        <w:rPr>
          <w:rFonts w:hint="eastAsia" w:ascii="仿宋" w:hAnsi="仿宋" w:eastAsia="仿宋" w:cs="仿宋"/>
          <w:color w:val="auto"/>
          <w:szCs w:val="24"/>
          <w:highlight w:val="none"/>
        </w:rPr>
        <w:t>附件2：履约担保函格式</w:t>
      </w:r>
      <w:bookmarkEnd w:id="251"/>
      <w:bookmarkEnd w:id="252"/>
      <w:bookmarkEnd w:id="253"/>
      <w:bookmarkEnd w:id="254"/>
    </w:p>
    <w:p w14:paraId="1BFF3DBE">
      <w:pPr>
        <w:pStyle w:val="3"/>
        <w:spacing w:before="0" w:line="240" w:lineRule="atLeast"/>
        <w:ind w:left="1079" w:leftChars="257" w:hanging="540"/>
        <w:rPr>
          <w:rFonts w:hint="eastAsia" w:ascii="仿宋" w:hAnsi="仿宋" w:eastAsia="仿宋" w:cs="仿宋"/>
          <w:b w:val="0"/>
          <w:color w:val="auto"/>
          <w:highlight w:val="none"/>
        </w:rPr>
      </w:pPr>
      <w:bookmarkStart w:id="255" w:name="_Toc162"/>
      <w:bookmarkStart w:id="256" w:name="_Toc509"/>
      <w:bookmarkStart w:id="257" w:name="_Toc13962"/>
      <w:bookmarkStart w:id="258" w:name="_Toc515647801"/>
      <w:r>
        <w:rPr>
          <w:rFonts w:hint="eastAsia" w:ascii="仿宋" w:hAnsi="仿宋" w:eastAsia="仿宋" w:cs="仿宋"/>
          <w:color w:val="auto"/>
          <w:szCs w:val="24"/>
          <w:highlight w:val="none"/>
        </w:rPr>
        <w:t>（采用政府采购信用担保形式时使用）</w:t>
      </w:r>
      <w:bookmarkEnd w:id="255"/>
      <w:bookmarkEnd w:id="256"/>
      <w:bookmarkEnd w:id="257"/>
      <w:bookmarkEnd w:id="258"/>
    </w:p>
    <w:p w14:paraId="76733C60">
      <w:pPr>
        <w:spacing w:line="240" w:lineRule="atLeast"/>
        <w:ind w:left="1079" w:leftChars="257" w:hanging="540"/>
        <w:rPr>
          <w:rFonts w:hint="eastAsia" w:ascii="仿宋" w:hAnsi="仿宋" w:eastAsia="仿宋" w:cs="仿宋"/>
          <w:b/>
          <w:color w:val="auto"/>
          <w:kern w:val="0"/>
          <w:sz w:val="24"/>
          <w:szCs w:val="20"/>
          <w:highlight w:val="none"/>
        </w:rPr>
      </w:pPr>
    </w:p>
    <w:p w14:paraId="3B8D667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政府采购履约担保函（项目用）</w:t>
      </w:r>
    </w:p>
    <w:p w14:paraId="26C6B274">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编号：</w:t>
      </w:r>
    </w:p>
    <w:p w14:paraId="2ED5EFCD">
      <w:pPr>
        <w:rPr>
          <w:rFonts w:hint="eastAsia" w:ascii="仿宋" w:hAnsi="仿宋" w:eastAsia="仿宋" w:cs="仿宋"/>
          <w:color w:val="auto"/>
          <w:sz w:val="24"/>
          <w:highlight w:val="none"/>
        </w:rPr>
      </w:pPr>
    </w:p>
    <w:p w14:paraId="4685AB99">
      <w:pP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w:t>
      </w:r>
    </w:p>
    <w:p w14:paraId="2F59F4D0">
      <w:pPr>
        <w:rPr>
          <w:rFonts w:hint="eastAsia" w:ascii="仿宋" w:hAnsi="仿宋" w:eastAsia="仿宋" w:cs="仿宋"/>
          <w:color w:val="auto"/>
          <w:sz w:val="24"/>
          <w:highlight w:val="none"/>
        </w:rPr>
      </w:pPr>
    </w:p>
    <w:p w14:paraId="05D81983">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鉴于你方与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（以下简称供应商）于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eastAsia="zh-CN"/>
        </w:rPr>
        <w:t>签订</w:t>
      </w:r>
      <w:r>
        <w:rPr>
          <w:rFonts w:hint="eastAsia" w:ascii="仿宋" w:hAnsi="仿宋" w:eastAsia="仿宋" w:cs="仿宋"/>
          <w:color w:val="auto"/>
          <w:sz w:val="24"/>
          <w:highlight w:val="none"/>
        </w:rPr>
        <w:t>编号为   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政府采购合同》（以下简称主合同），且依据该合同的约定，供应商应在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71BEFAA7">
      <w:pP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日前向你方交纳履约保证金，且可以履约担保函的形式交纳履约保证金。应供应商的申请，我方以保证的方式向你方提供如下履约保证金担保：</w:t>
      </w:r>
    </w:p>
    <w:p w14:paraId="403FAB8F">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一、保证责任的情形及保证金额</w:t>
      </w:r>
    </w:p>
    <w:p w14:paraId="5AAD8AAD">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（一）在供应商出现下列情形之一时，我方承担保证责任：</w:t>
      </w:r>
    </w:p>
    <w:p w14:paraId="6E50E12C">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将中标项目转让给他人，或者在投标文件中未说明，且未经采购招标</w:t>
      </w:r>
      <w:r>
        <w:rPr>
          <w:rFonts w:hint="eastAsia" w:ascii="仿宋" w:hAnsi="仿宋" w:eastAsia="仿宋" w:cs="仿宋"/>
          <w:color w:val="auto"/>
          <w:sz w:val="24"/>
          <w:highlight w:val="none"/>
          <w:lang w:eastAsia="zh-CN"/>
        </w:rPr>
        <w:t>机构</w:t>
      </w:r>
      <w:r>
        <w:rPr>
          <w:rFonts w:hint="eastAsia" w:ascii="仿宋" w:hAnsi="仿宋" w:eastAsia="仿宋" w:cs="仿宋"/>
          <w:color w:val="auto"/>
          <w:sz w:val="24"/>
          <w:highlight w:val="none"/>
        </w:rPr>
        <w:t>同意，将中标项目分包给他人的；</w:t>
      </w:r>
    </w:p>
    <w:p w14:paraId="2CB9BAEB">
      <w:pP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主合同约定的应当缴纳履约保证金的情形</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p>
    <w:p w14:paraId="7FF0895E">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（1）未按主合同约定的质量、数量和期限供应货物/提供服务/完成工程的；</w:t>
      </w:r>
    </w:p>
    <w:p w14:paraId="165DDD17">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w:t>
      </w:r>
    </w:p>
    <w:p w14:paraId="329A74A5">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（二）我方的保证范围是主合同约定的合同价款总额的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%数额为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），币种为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。（即主合同履约保证金金额）</w:t>
      </w:r>
    </w:p>
    <w:p w14:paraId="2022EA52">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二、保证的方式及保证期间</w:t>
      </w:r>
    </w:p>
    <w:p w14:paraId="5ACC618C">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我方保证的方式为：连带责任保证。</w:t>
      </w:r>
    </w:p>
    <w:p w14:paraId="0F721899">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我方保证的期间为：自本合同生效之日起至供应商按照主合同约定的供货/完工期限届满后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w:t>
      </w:r>
    </w:p>
    <w:p w14:paraId="763A01FD">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如果供应商未按主合同约定向贵方供应货物/提供服务/完成工程的，由我方在保证金额内向你方支付上述款项。</w:t>
      </w:r>
    </w:p>
    <w:p w14:paraId="73A58D4E">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三、承担保证责任的程序</w:t>
      </w:r>
    </w:p>
    <w:p w14:paraId="569B7DE6">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你方要求我方承担保证责任的，应在本保函保证期间内向我方发出书面索赔通知。索赔通知应写明要求索赔的金额，支付款项应到达</w:t>
      </w:r>
      <w:r>
        <w:rPr>
          <w:rFonts w:hint="eastAsia" w:ascii="仿宋" w:hAnsi="仿宋" w:eastAsia="仿宋" w:cs="仿宋"/>
          <w:color w:val="auto"/>
          <w:sz w:val="24"/>
          <w:highlight w:val="none"/>
          <w:lang w:eastAsia="zh-CN"/>
        </w:rPr>
        <w:t>的账号</w:t>
      </w:r>
      <w:r>
        <w:rPr>
          <w:rFonts w:hint="eastAsia" w:ascii="仿宋" w:hAnsi="仿宋" w:eastAsia="仿宋" w:cs="仿宋"/>
          <w:color w:val="auto"/>
          <w:sz w:val="24"/>
          <w:highlight w:val="none"/>
        </w:rPr>
        <w:t>。并附有证明供应商违约事实的证明材料。</w:t>
      </w:r>
    </w:p>
    <w:p w14:paraId="69B5C396">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如果你方与供应商因</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质量问题产生争议，你方还需同时提供</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部门出具的质量检测报告，或经诉讼（仲裁）程序裁决后的裁决书、调解书，本保证人即按照检测结果或裁决书、调解书决定是否承担保证责任。</w:t>
      </w:r>
    </w:p>
    <w:p w14:paraId="7534A8C9">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 xml:space="preserve"> 我方收到你方的书面索赔通知及相应证明材料，在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工作日内进行核定后按照本保函的承诺承担保证责任。</w:t>
      </w:r>
    </w:p>
    <w:p w14:paraId="07BEC4E8">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四、保证责任的终止</w:t>
      </w:r>
    </w:p>
    <w:p w14:paraId="348F371A">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保证期间届满你方未向我方书面主张保证责任的，自保证期间届满次日起，我方保证责任自动终止。保证期间届满前，主合同约定的</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\工程\服务全部验收合格的，自验收合</w:t>
      </w:r>
      <w:r>
        <w:rPr>
          <w:rFonts w:hint="eastAsia" w:ascii="仿宋" w:hAnsi="仿宋" w:eastAsia="仿宋" w:cs="仿宋"/>
          <w:color w:val="auto"/>
          <w:sz w:val="24"/>
          <w:highlight w:val="none"/>
          <w:lang w:eastAsia="zh-CN"/>
        </w:rPr>
        <w:t>格之</w:t>
      </w:r>
      <w:r>
        <w:rPr>
          <w:rFonts w:hint="eastAsia" w:ascii="仿宋" w:hAnsi="仿宋" w:eastAsia="仿宋" w:cs="仿宋"/>
          <w:color w:val="auto"/>
          <w:sz w:val="24"/>
          <w:highlight w:val="none"/>
        </w:rPr>
        <w:t>日起，我方保证责任自动终止。</w:t>
      </w:r>
    </w:p>
    <w:p w14:paraId="6079F40A">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我方按照本保函向你方履行了保证责任后，自我方向你方支付款项（支付款项从我方账户划出）之日起，保证责任即终止。</w:t>
      </w:r>
    </w:p>
    <w:p w14:paraId="316CD4FC">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按照法律法规的规定或出现应终止我方保证责任的</w:t>
      </w:r>
      <w:r>
        <w:rPr>
          <w:rFonts w:hint="eastAsia" w:ascii="仿宋" w:hAnsi="仿宋" w:eastAsia="仿宋" w:cs="仿宋"/>
          <w:color w:val="auto"/>
          <w:sz w:val="24"/>
          <w:highlight w:val="none"/>
          <w:lang w:eastAsia="zh-CN"/>
        </w:rPr>
        <w:t>其他情形的</w:t>
      </w:r>
      <w:r>
        <w:rPr>
          <w:rFonts w:hint="eastAsia" w:ascii="仿宋" w:hAnsi="仿宋" w:eastAsia="仿宋" w:cs="仿宋"/>
          <w:color w:val="auto"/>
          <w:sz w:val="24"/>
          <w:highlight w:val="none"/>
        </w:rPr>
        <w:t>，我方在本保函项下的保证责任亦终止。</w:t>
      </w:r>
    </w:p>
    <w:p w14:paraId="3F0C02BB">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4285F2DF">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五、免责条款</w:t>
      </w:r>
    </w:p>
    <w:p w14:paraId="67329757">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因你方违反主合同约定致使供应商不能履行义务的，我方不承担保证责任。</w:t>
      </w:r>
    </w:p>
    <w:p w14:paraId="0A962207">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依照法律法规的规定或你方与供应商的另行约定，全部或者部分免除供应商应缴纳的保证金义务的，我方亦免除相应的保证责任。</w:t>
      </w:r>
    </w:p>
    <w:p w14:paraId="23D94273">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因不可抗力造成供应商不能履行供货义务的，我方不承担保证责任。</w:t>
      </w:r>
    </w:p>
    <w:p w14:paraId="3499A57E">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六、争议的解决</w:t>
      </w:r>
    </w:p>
    <w:p w14:paraId="67B108E2">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因本保函发生的纠纷，由你我双方协商解决，协商不成的，通过诉讼程序解决，诉讼管辖地法院为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法院。</w:t>
      </w:r>
    </w:p>
    <w:p w14:paraId="131C0AA8">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七、保函的生效</w:t>
      </w:r>
    </w:p>
    <w:p w14:paraId="63B9C21D">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本保函自我方加盖公章之日起生效。</w:t>
      </w:r>
    </w:p>
    <w:p w14:paraId="62B75557">
      <w:pPr>
        <w:rPr>
          <w:rFonts w:hint="eastAsia" w:ascii="仿宋" w:hAnsi="仿宋" w:eastAsia="仿宋" w:cs="仿宋"/>
          <w:color w:val="auto"/>
          <w:sz w:val="24"/>
          <w:highlight w:val="none"/>
        </w:rPr>
      </w:pPr>
    </w:p>
    <w:p w14:paraId="0EB12A6C">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CCF80FD">
      <w:pPr>
        <w:ind w:firstLine="5400" w:firstLineChars="2250"/>
        <w:rPr>
          <w:rFonts w:hint="eastAsia" w:ascii="仿宋" w:hAnsi="仿宋" w:eastAsia="仿宋" w:cs="仿宋"/>
          <w:color w:val="auto"/>
          <w:sz w:val="24"/>
          <w:highlight w:val="none"/>
        </w:rPr>
      </w:pPr>
      <w:r>
        <w:rPr>
          <w:rFonts w:hint="eastAsia" w:ascii="仿宋" w:hAnsi="仿宋" w:eastAsia="仿宋" w:cs="仿宋"/>
          <w:color w:val="auto"/>
          <w:sz w:val="24"/>
          <w:highlight w:val="none"/>
        </w:rPr>
        <w:t>保证人：（公章）</w:t>
      </w:r>
    </w:p>
    <w:p w14:paraId="28EF85ED">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7CE4577">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11F00365">
      <w:pPr>
        <w:pStyle w:val="9"/>
        <w:spacing w:line="240" w:lineRule="atLeast"/>
        <w:ind w:firstLine="0"/>
        <w:rPr>
          <w:rFonts w:hint="eastAsia" w:ascii="仿宋" w:hAnsi="仿宋" w:eastAsia="仿宋" w:cs="仿宋"/>
          <w:color w:val="auto"/>
          <w:kern w:val="2"/>
          <w:szCs w:val="24"/>
          <w:highlight w:val="none"/>
        </w:rPr>
      </w:pPr>
      <w:r>
        <w:rPr>
          <w:rFonts w:hint="eastAsia" w:ascii="仿宋" w:hAnsi="仿宋" w:eastAsia="仿宋" w:cs="仿宋"/>
          <w:b/>
          <w:color w:val="auto"/>
          <w:highlight w:val="none"/>
        </w:rPr>
        <w:br w:type="page"/>
      </w:r>
    </w:p>
    <w:p w14:paraId="160C813F">
      <w:pPr>
        <w:pStyle w:val="2"/>
        <w:bidi w:val="0"/>
        <w:rPr>
          <w:rFonts w:hint="eastAsia" w:ascii="仿宋" w:hAnsi="仿宋" w:eastAsia="仿宋" w:cs="仿宋"/>
          <w:color w:val="auto"/>
          <w:highlight w:val="none"/>
        </w:rPr>
      </w:pPr>
      <w:bookmarkStart w:id="259" w:name="_Toc702"/>
      <w:bookmarkStart w:id="260" w:name="_Toc515647802"/>
      <w:bookmarkStart w:id="261" w:name="_Toc216582812"/>
      <w:bookmarkStart w:id="262" w:name="_Toc728"/>
      <w:bookmarkStart w:id="263" w:name="_Toc24718"/>
      <w:r>
        <w:rPr>
          <w:rFonts w:hint="eastAsia" w:ascii="仿宋" w:hAnsi="仿宋" w:eastAsia="仿宋" w:cs="仿宋"/>
          <w:color w:val="auto"/>
          <w:highlight w:val="none"/>
          <w:lang w:eastAsia="zh-CN"/>
        </w:rPr>
        <w:t>第</w:t>
      </w:r>
      <w:r>
        <w:rPr>
          <w:rFonts w:hint="eastAsia" w:ascii="仿宋" w:hAnsi="仿宋" w:eastAsia="仿宋" w:cs="仿宋"/>
          <w:color w:val="auto"/>
          <w:highlight w:val="none"/>
          <w:lang w:val="en-US" w:eastAsia="zh-CN"/>
        </w:rPr>
        <w:t xml:space="preserve">2章    </w:t>
      </w:r>
      <w:r>
        <w:rPr>
          <w:rFonts w:hint="eastAsia" w:ascii="仿宋" w:hAnsi="仿宋" w:eastAsia="仿宋" w:cs="仿宋"/>
          <w:color w:val="auto"/>
          <w:highlight w:val="none"/>
        </w:rPr>
        <w:t>投标文件格式</w:t>
      </w:r>
      <w:bookmarkEnd w:id="259"/>
      <w:bookmarkEnd w:id="260"/>
      <w:bookmarkEnd w:id="261"/>
      <w:bookmarkEnd w:id="262"/>
      <w:bookmarkEnd w:id="263"/>
    </w:p>
    <w:p w14:paraId="3DCD7385">
      <w:pPr>
        <w:spacing w:line="240" w:lineRule="atLeast"/>
        <w:ind w:left="735" w:leftChars="350" w:firstLine="120" w:firstLineChars="50"/>
        <w:rPr>
          <w:rFonts w:hint="eastAsia" w:ascii="仿宋" w:hAnsi="仿宋" w:eastAsia="仿宋" w:cs="仿宋"/>
          <w:color w:val="auto"/>
          <w:sz w:val="24"/>
          <w:highlight w:val="none"/>
        </w:rPr>
      </w:pPr>
    </w:p>
    <w:p w14:paraId="6B0BD328">
      <w:pPr>
        <w:pStyle w:val="3"/>
        <w:spacing w:before="0" w:line="240" w:lineRule="atLeast"/>
        <w:ind w:left="1079" w:leftChars="257" w:hanging="540"/>
        <w:rPr>
          <w:rFonts w:hint="eastAsia" w:ascii="仿宋" w:hAnsi="仿宋" w:eastAsia="仿宋" w:cs="仿宋"/>
          <w:color w:val="auto"/>
          <w:sz w:val="24"/>
          <w:highlight w:val="none"/>
        </w:rPr>
      </w:pPr>
      <w:bookmarkStart w:id="264" w:name="_Toc18694"/>
      <w:bookmarkStart w:id="265" w:name="_Toc18883"/>
      <w:bookmarkStart w:id="266" w:name="_Toc18974"/>
      <w:bookmarkStart w:id="267" w:name="_Toc515647803"/>
      <w:r>
        <w:rPr>
          <w:rFonts w:hint="eastAsia" w:ascii="仿宋" w:hAnsi="仿宋" w:eastAsia="仿宋" w:cs="仿宋"/>
          <w:color w:val="auto"/>
          <w:sz w:val="24"/>
          <w:highlight w:val="none"/>
        </w:rPr>
        <w:t>第一部分 开标一览表及资格证明文件</w:t>
      </w:r>
      <w:bookmarkEnd w:id="264"/>
      <w:bookmarkEnd w:id="265"/>
      <w:bookmarkEnd w:id="266"/>
      <w:bookmarkEnd w:id="267"/>
    </w:p>
    <w:p w14:paraId="1DF728F4">
      <w:pPr>
        <w:spacing w:line="240" w:lineRule="atLeast"/>
        <w:ind w:left="708" w:hanging="708" w:hangingChars="295"/>
        <w:jc w:val="center"/>
        <w:rPr>
          <w:rFonts w:hint="eastAsia" w:ascii="仿宋" w:hAnsi="仿宋" w:eastAsia="仿宋" w:cs="仿宋"/>
          <w:color w:val="auto"/>
          <w:sz w:val="24"/>
          <w:highlight w:val="none"/>
        </w:rPr>
      </w:pPr>
    </w:p>
    <w:p w14:paraId="040FDCDC">
      <w:pPr>
        <w:tabs>
          <w:tab w:val="left" w:pos="5580"/>
        </w:tabs>
        <w:spacing w:line="360" w:lineRule="auto"/>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开标一览表（见投标文件格式一）</w:t>
      </w:r>
      <w:r>
        <w:rPr>
          <w:rFonts w:hint="eastAsia" w:ascii="仿宋" w:hAnsi="仿宋" w:eastAsia="仿宋" w:cs="仿宋"/>
          <w:color w:val="auto"/>
          <w:sz w:val="24"/>
          <w:highlight w:val="none"/>
          <w:lang w:eastAsia="zh-CN"/>
        </w:rPr>
        <w:t>；</w:t>
      </w:r>
    </w:p>
    <w:p w14:paraId="7B984EC8">
      <w:pPr>
        <w:tabs>
          <w:tab w:val="left" w:pos="5580"/>
        </w:tabs>
        <w:spacing w:line="360" w:lineRule="auto"/>
        <w:ind w:left="1" w:firstLine="564" w:firstLineChars="235"/>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合格有效的营业执照（三证合一）副本（原件、复印件、影印件均可）或电子营业执照打印件（需加盖公章）或同等法律效力的证明文件（发证机关或公证机关出具的证明材料原件）；法人或者非法人组织营业执照等证明文件复印件（须加盖本单</w:t>
      </w:r>
      <w:r>
        <w:rPr>
          <w:rFonts w:hint="eastAsia" w:ascii="仿宋" w:hAnsi="仿宋" w:eastAsia="仿宋" w:cs="仿宋"/>
          <w:color w:val="auto"/>
          <w:sz w:val="24"/>
          <w:highlight w:val="none"/>
          <w:lang w:eastAsia="zh-CN"/>
        </w:rPr>
        <w:t>位公</w:t>
      </w:r>
      <w:r>
        <w:rPr>
          <w:rFonts w:hint="eastAsia" w:ascii="仿宋" w:hAnsi="仿宋" w:eastAsia="仿宋" w:cs="仿宋"/>
          <w:color w:val="auto"/>
          <w:sz w:val="24"/>
          <w:highlight w:val="none"/>
        </w:rPr>
        <w:t>章）或自然人的身份证明复印件</w:t>
      </w:r>
      <w:r>
        <w:rPr>
          <w:rFonts w:hint="eastAsia" w:ascii="仿宋" w:hAnsi="仿宋" w:eastAsia="仿宋" w:cs="仿宋"/>
          <w:color w:val="auto"/>
          <w:sz w:val="24"/>
          <w:highlight w:val="none"/>
          <w:lang w:val="en-US" w:eastAsia="zh-CN"/>
        </w:rPr>
        <w:t>,</w:t>
      </w:r>
    </w:p>
    <w:p w14:paraId="05B5C362">
      <w:pPr>
        <w:tabs>
          <w:tab w:val="left" w:pos="5580"/>
        </w:tabs>
        <w:spacing w:line="360" w:lineRule="auto"/>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法定代表人身份证明或法定代表人授权委托书及被授权人身份证； </w:t>
      </w:r>
    </w:p>
    <w:p w14:paraId="3169E078">
      <w:pPr>
        <w:tabs>
          <w:tab w:val="left" w:pos="5580"/>
        </w:tabs>
        <w:spacing w:line="360" w:lineRule="auto"/>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近期（投标截止日期前六个月内任意一个月）依法缴纳社会保障金的缴费证明或银行出具的“银行电子缴纳社会保障金付款凭证”（新成立公司提供相关证明文件）</w:t>
      </w:r>
      <w:r>
        <w:rPr>
          <w:rFonts w:hint="eastAsia" w:ascii="仿宋" w:hAnsi="仿宋" w:eastAsia="仿宋" w:cs="仿宋"/>
          <w:color w:val="auto"/>
          <w:sz w:val="24"/>
          <w:highlight w:val="none"/>
        </w:rPr>
        <w:t xml:space="preserve"> ；</w:t>
      </w:r>
    </w:p>
    <w:p w14:paraId="3B5D62CF">
      <w:pPr>
        <w:tabs>
          <w:tab w:val="left" w:pos="5580"/>
        </w:tabs>
        <w:spacing w:line="360" w:lineRule="auto"/>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近期（</w:t>
      </w:r>
      <w:r>
        <w:rPr>
          <w:rFonts w:hint="eastAsia" w:ascii="仿宋" w:hAnsi="仿宋" w:eastAsia="仿宋" w:cs="仿宋"/>
          <w:color w:val="auto"/>
          <w:sz w:val="24"/>
          <w:highlight w:val="none"/>
          <w:lang w:eastAsia="zh-CN"/>
        </w:rPr>
        <w:t>投标截止日期前六个月内任意一个月</w:t>
      </w:r>
      <w:r>
        <w:rPr>
          <w:rFonts w:hint="eastAsia" w:ascii="仿宋" w:hAnsi="仿宋" w:eastAsia="仿宋" w:cs="仿宋"/>
          <w:color w:val="auto"/>
          <w:sz w:val="24"/>
          <w:highlight w:val="none"/>
        </w:rPr>
        <w:t>）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p>
    <w:p w14:paraId="7A9919DC">
      <w:pPr>
        <w:tabs>
          <w:tab w:val="left" w:pos="5580"/>
        </w:tabs>
        <w:spacing w:line="360" w:lineRule="auto"/>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6.提供2025年完整的财务审计报告（成立未满十二个月的新公司可提供近三个月内任意一个月的银行资信证明）；</w:t>
      </w:r>
    </w:p>
    <w:p w14:paraId="49B2DED6">
      <w:pPr>
        <w:tabs>
          <w:tab w:val="left" w:pos="5580"/>
        </w:tabs>
        <w:spacing w:line="360" w:lineRule="auto"/>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凡拟参加本次招标项目的供应商，如在“信用中国”网站（https://www.creditchina.gov.cn/）被列入失信被执行人、重大税收违法失信主体名单、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w:t>
      </w:r>
    </w:p>
    <w:p w14:paraId="5B57B1BC">
      <w:pPr>
        <w:tabs>
          <w:tab w:val="left" w:pos="5580"/>
        </w:tabs>
        <w:spacing w:line="360" w:lineRule="auto"/>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8.提供参加政府采购活动前3年内在经营活动中没有重大违法记录的书面声明；</w:t>
      </w:r>
    </w:p>
    <w:p w14:paraId="2508F21B">
      <w:pPr>
        <w:tabs>
          <w:tab w:val="left" w:pos="5580"/>
        </w:tabs>
        <w:spacing w:line="360" w:lineRule="auto"/>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9.提供针对本次项目《反商业贿赂承诺书》；</w:t>
      </w:r>
    </w:p>
    <w:p w14:paraId="5960DF2A">
      <w:pPr>
        <w:tabs>
          <w:tab w:val="left" w:pos="5580"/>
        </w:tabs>
        <w:spacing w:line="360" w:lineRule="auto"/>
        <w:ind w:left="1" w:firstLine="564" w:firstLineChars="235"/>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r>
        <w:rPr>
          <w:rFonts w:hint="default" w:ascii="仿宋" w:hAnsi="仿宋" w:eastAsia="仿宋" w:cs="仿宋"/>
          <w:color w:val="auto"/>
          <w:sz w:val="24"/>
          <w:highlight w:val="none"/>
          <w:lang w:val="en-US" w:eastAsia="zh-CN"/>
        </w:rPr>
        <w:t>必须具有履行合同所必需的设备和专业技术能力；</w:t>
      </w:r>
    </w:p>
    <w:p w14:paraId="238575A8">
      <w:pPr>
        <w:tabs>
          <w:tab w:val="left" w:pos="5580"/>
        </w:tabs>
        <w:spacing w:line="360" w:lineRule="auto"/>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11.本项目不接受联合体投标；</w:t>
      </w:r>
    </w:p>
    <w:p w14:paraId="5D5FD6D9">
      <w:pPr>
        <w:tabs>
          <w:tab w:val="left" w:pos="5580"/>
        </w:tabs>
        <w:spacing w:line="360" w:lineRule="auto"/>
        <w:ind w:left="478" w:leftChars="228"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12.投标保证金缴纳证明或保函；</w:t>
      </w:r>
      <w:r>
        <w:rPr>
          <w:rFonts w:hint="eastAsia" w:ascii="仿宋" w:hAnsi="仿宋" w:eastAsia="仿宋" w:cs="仿宋"/>
          <w:color w:val="auto"/>
          <w:sz w:val="24"/>
          <w:highlight w:val="none"/>
          <w:lang w:val="en-US" w:eastAsia="zh-CN"/>
        </w:rPr>
        <w:br w:type="textWrapping"/>
      </w:r>
      <w:r>
        <w:rPr>
          <w:rFonts w:hint="eastAsia" w:ascii="仿宋" w:hAnsi="仿宋" w:eastAsia="仿宋" w:cs="仿宋"/>
          <w:color w:val="auto"/>
          <w:sz w:val="24"/>
          <w:highlight w:val="none"/>
          <w:lang w:val="en-US" w:eastAsia="zh-CN"/>
        </w:rPr>
        <w:t>13.投标人须提供承诺书，承诺将合同金额的 30% 用于向中小企业采购，其中向小微企业采购比例不少于中小企业采购额的 60%。（格式自拟）</w:t>
      </w:r>
    </w:p>
    <w:p w14:paraId="331CFF77">
      <w:pPr>
        <w:tabs>
          <w:tab w:val="left" w:pos="5580"/>
        </w:tabs>
        <w:spacing w:line="240" w:lineRule="atLeast"/>
        <w:ind w:left="1" w:firstLine="564" w:firstLineChars="235"/>
        <w:rPr>
          <w:rFonts w:hint="eastAsia" w:ascii="仿宋" w:hAnsi="仿宋" w:eastAsia="仿宋" w:cs="仿宋"/>
          <w:b/>
          <w:bCs/>
          <w:kern w:val="2"/>
          <w:sz w:val="24"/>
          <w:szCs w:val="24"/>
          <w:lang w:val="en-US" w:eastAsia="zh-CN" w:bidi="ar"/>
        </w:rPr>
      </w:pPr>
    </w:p>
    <w:p w14:paraId="53E47E34">
      <w:pPr>
        <w:tabs>
          <w:tab w:val="left" w:pos="5580"/>
        </w:tabs>
        <w:spacing w:line="240" w:lineRule="atLeast"/>
        <w:ind w:left="1" w:firstLine="564" w:firstLineChars="235"/>
        <w:rPr>
          <w:rFonts w:hint="eastAsia" w:ascii="仿宋" w:hAnsi="仿宋" w:eastAsia="仿宋" w:cs="仿宋"/>
          <w:color w:val="auto"/>
          <w:sz w:val="24"/>
          <w:highlight w:val="none"/>
        </w:rPr>
      </w:pPr>
    </w:p>
    <w:p w14:paraId="4C3C84C2">
      <w:pPr>
        <w:tabs>
          <w:tab w:val="left" w:pos="5580"/>
        </w:tabs>
        <w:spacing w:line="240" w:lineRule="atLeast"/>
        <w:ind w:left="1" w:firstLine="564" w:firstLineChars="235"/>
        <w:rPr>
          <w:rFonts w:hint="eastAsia" w:ascii="仿宋" w:hAnsi="仿宋" w:eastAsia="仿宋" w:cs="仿宋"/>
          <w:color w:val="auto"/>
          <w:sz w:val="24"/>
          <w:highlight w:val="none"/>
        </w:rPr>
      </w:pPr>
    </w:p>
    <w:p w14:paraId="477985FE">
      <w:pPr>
        <w:tabs>
          <w:tab w:val="left" w:pos="5580"/>
        </w:tabs>
        <w:spacing w:line="240" w:lineRule="atLeast"/>
        <w:ind w:left="1" w:firstLine="564" w:firstLineChars="235"/>
        <w:rPr>
          <w:rFonts w:hint="eastAsia" w:ascii="仿宋" w:hAnsi="仿宋" w:eastAsia="仿宋" w:cs="仿宋"/>
          <w:color w:val="auto"/>
          <w:sz w:val="24"/>
          <w:highlight w:val="none"/>
        </w:rPr>
      </w:pPr>
    </w:p>
    <w:p w14:paraId="33382764">
      <w:pPr>
        <w:pStyle w:val="3"/>
        <w:bidi w:val="0"/>
        <w:spacing w:before="0" w:line="240" w:lineRule="auto"/>
        <w:jc w:val="center"/>
        <w:rPr>
          <w:rFonts w:hint="eastAsia" w:ascii="仿宋" w:hAnsi="仿宋" w:eastAsia="仿宋" w:cs="仿宋"/>
          <w:color w:val="auto"/>
          <w:sz w:val="24"/>
          <w:highlight w:val="none"/>
        </w:rPr>
        <w:sectPr>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268" w:name="_Toc515647804"/>
      <w:bookmarkStart w:id="269" w:name="_Toc30524"/>
      <w:bookmarkStart w:id="270" w:name="_Toc16568"/>
    </w:p>
    <w:p w14:paraId="1E7EC98A">
      <w:pPr>
        <w:pStyle w:val="3"/>
        <w:bidi w:val="0"/>
        <w:spacing w:before="0" w:line="240" w:lineRule="auto"/>
        <w:jc w:val="center"/>
        <w:rPr>
          <w:rFonts w:hint="eastAsia" w:ascii="仿宋" w:hAnsi="仿宋" w:eastAsia="仿宋" w:cs="仿宋"/>
          <w:color w:val="auto"/>
          <w:sz w:val="24"/>
          <w:highlight w:val="none"/>
        </w:rPr>
      </w:pPr>
      <w:bookmarkStart w:id="271" w:name="_Toc10716"/>
      <w:r>
        <w:rPr>
          <w:rFonts w:hint="eastAsia" w:ascii="仿宋" w:hAnsi="仿宋" w:eastAsia="仿宋" w:cs="仿宋"/>
          <w:color w:val="auto"/>
          <w:sz w:val="24"/>
          <w:highlight w:val="none"/>
        </w:rPr>
        <w:t>1  开标一览表（投标文件格式一）</w:t>
      </w:r>
      <w:bookmarkEnd w:id="268"/>
      <w:bookmarkEnd w:id="269"/>
      <w:bookmarkEnd w:id="270"/>
      <w:bookmarkEnd w:id="271"/>
    </w:p>
    <w:p w14:paraId="58D4D74F">
      <w:pPr>
        <w:pStyle w:val="16"/>
        <w:tabs>
          <w:tab w:val="left" w:pos="5580"/>
        </w:tabs>
        <w:spacing w:line="240" w:lineRule="atLeast"/>
        <w:ind w:left="268" w:leftChars="128"/>
        <w:rPr>
          <w:rFonts w:hint="eastAsia" w:ascii="仿宋" w:hAnsi="仿宋" w:eastAsia="仿宋" w:cs="仿宋"/>
          <w:color w:val="auto"/>
          <w:sz w:val="24"/>
          <w:highlight w:val="none"/>
        </w:rPr>
      </w:pPr>
    </w:p>
    <w:p w14:paraId="2000D9DE">
      <w:pPr>
        <w:pStyle w:val="16"/>
        <w:tabs>
          <w:tab w:val="left" w:pos="5580"/>
        </w:tabs>
        <w:spacing w:line="240" w:lineRule="atLeast"/>
        <w:ind w:left="268" w:leftChars="128"/>
        <w:rPr>
          <w:rFonts w:hint="eastAsia" w:ascii="仿宋" w:hAnsi="仿宋" w:eastAsia="仿宋" w:cs="仿宋"/>
          <w:color w:val="auto"/>
          <w:sz w:val="24"/>
          <w:szCs w:val="24"/>
          <w:highlight w:val="none"/>
        </w:rPr>
      </w:pPr>
    </w:p>
    <w:p w14:paraId="19A27606">
      <w:pPr>
        <w:pStyle w:val="9"/>
        <w:tabs>
          <w:tab w:val="left" w:pos="5580"/>
        </w:tabs>
        <w:spacing w:line="240" w:lineRule="atLeast"/>
        <w:ind w:left="1079" w:leftChars="257" w:hanging="540"/>
        <w:jc w:val="center"/>
        <w:rPr>
          <w:rFonts w:hint="eastAsia" w:ascii="仿宋" w:hAnsi="仿宋" w:eastAsia="仿宋" w:cs="仿宋"/>
          <w:b/>
          <w:color w:val="auto"/>
          <w:highlight w:val="none"/>
        </w:rPr>
      </w:pPr>
      <w:bookmarkStart w:id="272" w:name="_Hlt520356241"/>
      <w:bookmarkEnd w:id="272"/>
      <w:bookmarkStart w:id="273" w:name="_Toc494296984"/>
      <w:bookmarkStart w:id="274" w:name="_Toc216582813"/>
      <w:bookmarkStart w:id="275" w:name="_Ref467988698"/>
      <w:bookmarkStart w:id="276" w:name="_Toc520356217"/>
      <w:bookmarkStart w:id="277" w:name="_Toc480942349"/>
      <w:r>
        <w:rPr>
          <w:rFonts w:hint="eastAsia" w:ascii="仿宋" w:hAnsi="仿宋" w:eastAsia="仿宋" w:cs="仿宋"/>
          <w:b/>
          <w:color w:val="auto"/>
          <w:highlight w:val="none"/>
        </w:rPr>
        <w:t>开标一览表</w:t>
      </w:r>
      <w:bookmarkEnd w:id="273"/>
      <w:r>
        <w:rPr>
          <w:rFonts w:hint="eastAsia" w:ascii="仿宋" w:hAnsi="仿宋" w:eastAsia="仿宋" w:cs="仿宋"/>
          <w:b/>
          <w:color w:val="auto"/>
          <w:highlight w:val="none"/>
        </w:rPr>
        <w:cr/>
      </w:r>
    </w:p>
    <w:p w14:paraId="09FA9235">
      <w:pPr>
        <w:pStyle w:val="9"/>
        <w:tabs>
          <w:tab w:val="left" w:pos="5580"/>
        </w:tabs>
        <w:spacing w:line="240" w:lineRule="atLeast"/>
        <w:ind w:left="1079" w:leftChars="257" w:hanging="540"/>
        <w:rPr>
          <w:rFonts w:hint="eastAsia" w:ascii="仿宋" w:hAnsi="仿宋" w:eastAsia="仿宋" w:cs="仿宋"/>
          <w:color w:val="auto"/>
          <w:highlight w:val="none"/>
        </w:rPr>
      </w:pPr>
    </w:p>
    <w:p w14:paraId="5121D817">
      <w:pPr>
        <w:tabs>
          <w:tab w:val="left" w:pos="1800"/>
          <w:tab w:val="left" w:pos="5580"/>
        </w:tabs>
        <w:spacing w:line="240" w:lineRule="atLeast"/>
        <w:ind w:left="1079" w:leftChars="257" w:right="-867"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招标编号：                 包号：         </w:t>
      </w:r>
    </w:p>
    <w:p w14:paraId="3EC526E3">
      <w:pPr>
        <w:tabs>
          <w:tab w:val="left" w:pos="1800"/>
          <w:tab w:val="left" w:pos="5580"/>
        </w:tabs>
        <w:spacing w:line="240" w:lineRule="atLeast"/>
        <w:ind w:left="1079" w:leftChars="257" w:right="-867"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报价单位：人民币</w:t>
      </w:r>
      <w:r>
        <w:rPr>
          <w:rFonts w:hint="eastAsia" w:ascii="仿宋" w:hAnsi="仿宋" w:eastAsia="仿宋" w:cs="仿宋"/>
          <w:b/>
          <w:color w:val="auto"/>
          <w:sz w:val="24"/>
          <w:highlight w:val="none"/>
        </w:rPr>
        <w:t>万元</w:t>
      </w:r>
    </w:p>
    <w:tbl>
      <w:tblPr>
        <w:tblStyle w:val="40"/>
        <w:tblW w:w="9155" w:type="dxa"/>
        <w:tblInd w:w="-61" w:type="dxa"/>
        <w:tblLayout w:type="fixed"/>
        <w:tblCellMar>
          <w:top w:w="0" w:type="dxa"/>
          <w:left w:w="0" w:type="dxa"/>
          <w:bottom w:w="0" w:type="dxa"/>
          <w:right w:w="0" w:type="dxa"/>
        </w:tblCellMar>
      </w:tblPr>
      <w:tblGrid>
        <w:gridCol w:w="1420"/>
        <w:gridCol w:w="2340"/>
        <w:gridCol w:w="1518"/>
        <w:gridCol w:w="1250"/>
        <w:gridCol w:w="1498"/>
        <w:gridCol w:w="1129"/>
      </w:tblGrid>
      <w:tr w14:paraId="41661353">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14:paraId="31ADFD2C">
            <w:pPr>
              <w:keepNext w:val="0"/>
              <w:keepLines w:val="0"/>
              <w:suppressLineNumbers w:val="0"/>
              <w:tabs>
                <w:tab w:val="left" w:pos="5580"/>
              </w:tabs>
              <w:spacing w:before="0" w:beforeAutospacing="0" w:after="0" w:afterAutospacing="0" w:line="240" w:lineRule="atLeast"/>
              <w:ind w:left="0" w:right="-19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14:paraId="78DB0B18">
            <w:pPr>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投标总价</w:t>
            </w:r>
          </w:p>
        </w:tc>
        <w:tc>
          <w:tcPr>
            <w:tcW w:w="1518" w:type="dxa"/>
            <w:tcBorders>
              <w:top w:val="single" w:color="auto" w:sz="8" w:space="0"/>
              <w:left w:val="nil"/>
              <w:bottom w:val="single" w:color="auto" w:sz="8" w:space="0"/>
              <w:right w:val="single" w:color="auto" w:sz="4" w:space="0"/>
            </w:tcBorders>
            <w:noWrap w:val="0"/>
            <w:vAlign w:val="center"/>
          </w:tcPr>
          <w:p w14:paraId="23D47282">
            <w:pPr>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1250" w:type="dxa"/>
            <w:tcBorders>
              <w:top w:val="single" w:color="auto" w:sz="8" w:space="0"/>
              <w:left w:val="nil"/>
              <w:bottom w:val="single" w:color="auto" w:sz="8" w:space="0"/>
              <w:right w:val="single" w:color="auto" w:sz="4" w:space="0"/>
            </w:tcBorders>
            <w:noWrap w:val="0"/>
            <w:vAlign w:val="center"/>
          </w:tcPr>
          <w:p w14:paraId="2EC78B7F">
            <w:pPr>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履约期限</w:t>
            </w:r>
          </w:p>
        </w:tc>
        <w:tc>
          <w:tcPr>
            <w:tcW w:w="1498" w:type="dxa"/>
            <w:tcBorders>
              <w:top w:val="single" w:color="auto" w:sz="8" w:space="0"/>
              <w:left w:val="nil"/>
              <w:bottom w:val="single" w:color="auto" w:sz="8" w:space="0"/>
              <w:right w:val="single" w:color="auto" w:sz="4" w:space="0"/>
            </w:tcBorders>
            <w:noWrap w:val="0"/>
            <w:vAlign w:val="center"/>
          </w:tcPr>
          <w:p w14:paraId="21AA86E9">
            <w:pPr>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履约地点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14:paraId="2A581A9B">
            <w:pPr>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3F8D5FC0">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14:paraId="564C0C39">
            <w:pPr>
              <w:keepNext w:val="0"/>
              <w:keepLines w:val="0"/>
              <w:suppressLineNumbers w:val="0"/>
              <w:tabs>
                <w:tab w:val="left" w:pos="5580"/>
              </w:tabs>
              <w:spacing w:before="0" w:beforeAutospacing="0" w:after="0" w:afterAutospacing="0" w:line="240" w:lineRule="atLeast"/>
              <w:ind w:left="1079" w:leftChars="257" w:right="0" w:hanging="540"/>
              <w:jc w:val="center"/>
              <w:rPr>
                <w:rFonts w:hint="eastAsia" w:ascii="仿宋" w:hAnsi="仿宋" w:eastAsia="仿宋" w:cs="仿宋"/>
                <w:color w:val="auto"/>
                <w:sz w:val="24"/>
                <w:highlight w:val="none"/>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14:paraId="7D9C0F67">
            <w:pPr>
              <w:keepNext w:val="0"/>
              <w:keepLines w:val="0"/>
              <w:suppressLineNumbers w:val="0"/>
              <w:tabs>
                <w:tab w:val="left" w:pos="5580"/>
              </w:tabs>
              <w:spacing w:before="0" w:beforeAutospacing="0" w:after="0" w:afterAutospacing="0" w:line="240" w:lineRule="atLeast"/>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p w14:paraId="4D338E7F">
            <w:pPr>
              <w:keepNext w:val="0"/>
              <w:keepLines w:val="0"/>
              <w:suppressLineNumbers w:val="0"/>
              <w:tabs>
                <w:tab w:val="left" w:pos="5580"/>
              </w:tabs>
              <w:spacing w:before="0" w:beforeAutospacing="0" w:after="0" w:afterAutospacing="0" w:line="240" w:lineRule="atLeast"/>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1518" w:type="dxa"/>
            <w:tcBorders>
              <w:top w:val="single" w:color="auto" w:sz="8" w:space="0"/>
              <w:left w:val="nil"/>
              <w:bottom w:val="single" w:color="auto" w:sz="4" w:space="0"/>
              <w:right w:val="single" w:color="auto" w:sz="4" w:space="0"/>
            </w:tcBorders>
            <w:noWrap w:val="0"/>
            <w:vAlign w:val="center"/>
          </w:tcPr>
          <w:p w14:paraId="1C344B9A">
            <w:pPr>
              <w:keepNext w:val="0"/>
              <w:keepLines w:val="0"/>
              <w:suppressLineNumbers w:val="0"/>
              <w:tabs>
                <w:tab w:val="left" w:pos="5580"/>
              </w:tabs>
              <w:spacing w:before="0" w:beforeAutospacing="0" w:after="0" w:afterAutospacing="0" w:line="240" w:lineRule="atLeast"/>
              <w:ind w:left="1079" w:leftChars="257" w:right="0" w:hanging="540"/>
              <w:jc w:val="center"/>
              <w:rPr>
                <w:rFonts w:hint="eastAsia" w:ascii="仿宋" w:hAnsi="仿宋" w:eastAsia="仿宋" w:cs="仿宋"/>
                <w:color w:val="auto"/>
                <w:sz w:val="24"/>
                <w:highlight w:val="none"/>
              </w:rPr>
            </w:pPr>
          </w:p>
        </w:tc>
        <w:tc>
          <w:tcPr>
            <w:tcW w:w="1250" w:type="dxa"/>
            <w:tcBorders>
              <w:top w:val="single" w:color="auto" w:sz="8" w:space="0"/>
              <w:left w:val="nil"/>
              <w:bottom w:val="single" w:color="auto" w:sz="4" w:space="0"/>
              <w:right w:val="single" w:color="auto" w:sz="4" w:space="0"/>
            </w:tcBorders>
            <w:noWrap w:val="0"/>
            <w:vAlign w:val="center"/>
          </w:tcPr>
          <w:p w14:paraId="65F88025">
            <w:pPr>
              <w:keepNext w:val="0"/>
              <w:keepLines w:val="0"/>
              <w:suppressLineNumbers w:val="0"/>
              <w:tabs>
                <w:tab w:val="left" w:pos="5580"/>
              </w:tabs>
              <w:spacing w:before="0" w:beforeAutospacing="0" w:after="0" w:afterAutospacing="0" w:line="240" w:lineRule="atLeast"/>
              <w:ind w:left="1079" w:leftChars="257" w:right="0" w:hanging="540"/>
              <w:jc w:val="center"/>
              <w:rPr>
                <w:rFonts w:hint="eastAsia" w:ascii="仿宋" w:hAnsi="仿宋" w:eastAsia="仿宋" w:cs="仿宋"/>
                <w:color w:val="auto"/>
                <w:sz w:val="24"/>
                <w:highlight w:val="none"/>
              </w:rPr>
            </w:pPr>
          </w:p>
        </w:tc>
        <w:tc>
          <w:tcPr>
            <w:tcW w:w="1498" w:type="dxa"/>
            <w:tcBorders>
              <w:top w:val="single" w:color="auto" w:sz="8" w:space="0"/>
              <w:left w:val="nil"/>
              <w:bottom w:val="single" w:color="auto" w:sz="4" w:space="0"/>
              <w:right w:val="single" w:color="auto" w:sz="4" w:space="0"/>
            </w:tcBorders>
            <w:noWrap w:val="0"/>
            <w:vAlign w:val="center"/>
          </w:tcPr>
          <w:p w14:paraId="399DCA09">
            <w:pPr>
              <w:keepNext w:val="0"/>
              <w:keepLines w:val="0"/>
              <w:suppressLineNumbers w:val="0"/>
              <w:tabs>
                <w:tab w:val="left" w:pos="5580"/>
              </w:tabs>
              <w:spacing w:before="0" w:beforeAutospacing="0" w:after="0" w:afterAutospacing="0" w:line="240" w:lineRule="atLeast"/>
              <w:ind w:left="1079" w:leftChars="257" w:right="0" w:hanging="540"/>
              <w:jc w:val="center"/>
              <w:rPr>
                <w:rFonts w:hint="eastAsia" w:ascii="仿宋" w:hAnsi="仿宋" w:eastAsia="仿宋" w:cs="仿宋"/>
                <w:color w:val="auto"/>
                <w:sz w:val="24"/>
                <w:highlight w:val="none"/>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14:paraId="45779376">
            <w:pPr>
              <w:keepNext w:val="0"/>
              <w:keepLines w:val="0"/>
              <w:suppressLineNumbers w:val="0"/>
              <w:tabs>
                <w:tab w:val="left" w:pos="5580"/>
              </w:tabs>
              <w:spacing w:before="0" w:beforeAutospacing="0" w:after="0" w:afterAutospacing="0" w:line="240" w:lineRule="atLeast"/>
              <w:ind w:left="1079" w:leftChars="257" w:right="0" w:hanging="540"/>
              <w:jc w:val="center"/>
              <w:rPr>
                <w:rFonts w:hint="eastAsia" w:ascii="仿宋" w:hAnsi="仿宋" w:eastAsia="仿宋" w:cs="仿宋"/>
                <w:color w:val="auto"/>
                <w:sz w:val="24"/>
                <w:highlight w:val="none"/>
                <w:lang w:eastAsia="zh-CN"/>
              </w:rPr>
            </w:pPr>
          </w:p>
        </w:tc>
      </w:tr>
    </w:tbl>
    <w:p w14:paraId="361D112F">
      <w:pPr>
        <w:pStyle w:val="16"/>
        <w:tabs>
          <w:tab w:val="left" w:pos="5580"/>
        </w:tabs>
        <w:spacing w:line="240" w:lineRule="atLeast"/>
        <w:ind w:left="1079" w:leftChars="257" w:hanging="540"/>
        <w:rPr>
          <w:rFonts w:hint="eastAsia" w:ascii="仿宋" w:hAnsi="仿宋" w:eastAsia="仿宋" w:cs="仿宋"/>
          <w:color w:val="auto"/>
          <w:sz w:val="24"/>
          <w:highlight w:val="none"/>
        </w:rPr>
      </w:pPr>
    </w:p>
    <w:p w14:paraId="463A916C">
      <w:pPr>
        <w:pStyle w:val="16"/>
        <w:tabs>
          <w:tab w:val="left" w:pos="5580"/>
        </w:tabs>
        <w:spacing w:line="240" w:lineRule="atLeast"/>
        <w:ind w:left="1079" w:leftChars="257" w:hanging="540"/>
        <w:rPr>
          <w:rFonts w:hint="eastAsia" w:ascii="仿宋" w:hAnsi="仿宋" w:eastAsia="仿宋" w:cs="仿宋"/>
          <w:color w:val="auto"/>
          <w:sz w:val="24"/>
          <w:highlight w:val="none"/>
          <w:u w:val="single"/>
        </w:rPr>
      </w:pPr>
    </w:p>
    <w:p w14:paraId="4C11DE0A">
      <w:pPr>
        <w:pStyle w:val="16"/>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2A7D89FC">
      <w:pPr>
        <w:pStyle w:val="16"/>
        <w:tabs>
          <w:tab w:val="left" w:pos="5580"/>
        </w:tabs>
        <w:spacing w:line="240" w:lineRule="atLeast"/>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法定代表人或委托代</w:t>
      </w:r>
      <w:r>
        <w:rPr>
          <w:rFonts w:hint="eastAsia" w:ascii="仿宋" w:hAnsi="仿宋" w:eastAsia="仿宋" w:cs="仿宋"/>
          <w:color w:val="auto"/>
          <w:sz w:val="24"/>
          <w:highlight w:val="none"/>
          <w:lang w:eastAsia="zh-CN"/>
        </w:rPr>
        <w:t>理人（</w:t>
      </w:r>
      <w:r>
        <w:rPr>
          <w:rFonts w:hint="eastAsia" w:ascii="仿宋" w:hAnsi="仿宋" w:eastAsia="仿宋" w:cs="仿宋"/>
          <w:color w:val="auto"/>
          <w:sz w:val="24"/>
          <w:highlight w:val="none"/>
          <w:lang w:val="en-US" w:eastAsia="zh-CN"/>
        </w:rPr>
        <w:t>CA</w:t>
      </w: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ab/>
      </w:r>
    </w:p>
    <w:p w14:paraId="419957D7">
      <w:pPr>
        <w:pStyle w:val="16"/>
        <w:tabs>
          <w:tab w:val="left" w:pos="5580"/>
        </w:tabs>
        <w:spacing w:line="240" w:lineRule="atLeast"/>
        <w:ind w:left="1079" w:leftChars="257" w:hanging="540"/>
        <w:rPr>
          <w:rFonts w:hint="eastAsia" w:ascii="仿宋" w:hAnsi="仿宋" w:eastAsia="仿宋" w:cs="仿宋"/>
          <w:color w:val="auto"/>
          <w:sz w:val="24"/>
          <w:highlight w:val="none"/>
        </w:rPr>
      </w:pPr>
    </w:p>
    <w:p w14:paraId="11A15546">
      <w:pPr>
        <w:pStyle w:val="16"/>
        <w:tabs>
          <w:tab w:val="left" w:pos="5580"/>
        </w:tabs>
        <w:spacing w:line="240" w:lineRule="atLeast"/>
        <w:ind w:left="1079" w:leftChars="257" w:hanging="540"/>
        <w:rPr>
          <w:rFonts w:hint="eastAsia" w:ascii="仿宋" w:hAnsi="仿宋" w:eastAsia="仿宋" w:cs="仿宋"/>
          <w:color w:val="auto"/>
          <w:sz w:val="24"/>
          <w:highlight w:val="none"/>
        </w:rPr>
      </w:pPr>
    </w:p>
    <w:p w14:paraId="070A9762">
      <w:pPr>
        <w:pStyle w:val="16"/>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1、此表应按</w:t>
      </w:r>
      <w:r>
        <w:rPr>
          <w:rFonts w:hint="eastAsia" w:ascii="仿宋" w:hAnsi="仿宋" w:eastAsia="仿宋" w:cs="仿宋"/>
          <w:color w:val="auto"/>
          <w:sz w:val="24"/>
          <w:highlight w:val="none"/>
          <w:lang w:val="en-US" w:eastAsia="zh-CN"/>
        </w:rPr>
        <w:t>招标文件</w:t>
      </w:r>
      <w:r>
        <w:rPr>
          <w:rFonts w:hint="eastAsia" w:ascii="仿宋" w:hAnsi="仿宋" w:eastAsia="仿宋" w:cs="仿宋"/>
          <w:color w:val="auto"/>
          <w:sz w:val="24"/>
          <w:highlight w:val="none"/>
        </w:rPr>
        <w:t>的规定</w:t>
      </w:r>
      <w:r>
        <w:rPr>
          <w:rFonts w:hint="eastAsia" w:ascii="仿宋" w:hAnsi="仿宋" w:eastAsia="仿宋" w:cs="仿宋"/>
          <w:color w:val="auto"/>
          <w:sz w:val="24"/>
          <w:highlight w:val="none"/>
          <w:lang w:val="en-US" w:eastAsia="zh-CN"/>
        </w:rPr>
        <w:t>填写</w:t>
      </w:r>
      <w:r>
        <w:rPr>
          <w:rFonts w:hint="eastAsia" w:ascii="仿宋" w:hAnsi="仿宋" w:eastAsia="仿宋" w:cs="仿宋"/>
          <w:color w:val="auto"/>
          <w:sz w:val="24"/>
          <w:highlight w:val="none"/>
        </w:rPr>
        <w:t>。</w:t>
      </w:r>
    </w:p>
    <w:p w14:paraId="718B647F">
      <w:pPr>
        <w:pStyle w:val="16"/>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此表中，每包的投标总价应和投标分项报价表的总价相一致。</w:t>
      </w:r>
    </w:p>
    <w:p w14:paraId="5529A425">
      <w:pPr>
        <w:rPr>
          <w:rFonts w:hint="eastAsia" w:ascii="仿宋" w:hAnsi="仿宋" w:eastAsia="仿宋" w:cs="仿宋"/>
          <w:b/>
          <w:color w:val="auto"/>
          <w:sz w:val="24"/>
          <w:highlight w:val="none"/>
        </w:rPr>
      </w:pPr>
      <w:r>
        <w:rPr>
          <w:rFonts w:hint="eastAsia" w:ascii="仿宋" w:hAnsi="仿宋" w:eastAsia="仿宋" w:cs="仿宋"/>
          <w:color w:val="auto"/>
          <w:sz w:val="24"/>
          <w:highlight w:val="none"/>
        </w:rPr>
        <w:br w:type="page"/>
      </w:r>
    </w:p>
    <w:p w14:paraId="6E9E0520">
      <w:pPr>
        <w:pStyle w:val="16"/>
        <w:tabs>
          <w:tab w:val="left" w:pos="5580"/>
        </w:tabs>
        <w:spacing w:line="240" w:lineRule="atLeast"/>
        <w:ind w:left="1079" w:leftChars="257" w:hanging="540"/>
        <w:jc w:val="center"/>
        <w:rPr>
          <w:rFonts w:hint="eastAsia" w:ascii="仿宋" w:hAnsi="仿宋" w:eastAsia="仿宋" w:cs="仿宋"/>
          <w:b/>
          <w:color w:val="auto"/>
          <w:sz w:val="24"/>
          <w:highlight w:val="none"/>
        </w:rPr>
      </w:pPr>
    </w:p>
    <w:p w14:paraId="5E93747A">
      <w:pPr>
        <w:pStyle w:val="3"/>
        <w:spacing w:before="0" w:line="240" w:lineRule="atLeast"/>
        <w:ind w:left="1079" w:leftChars="257" w:hanging="540"/>
        <w:rPr>
          <w:rFonts w:hint="eastAsia" w:ascii="仿宋" w:hAnsi="仿宋" w:eastAsia="仿宋" w:cs="仿宋"/>
          <w:color w:val="auto"/>
          <w:sz w:val="24"/>
          <w:highlight w:val="none"/>
        </w:rPr>
      </w:pPr>
      <w:bookmarkStart w:id="278" w:name="_Toc17577"/>
      <w:bookmarkStart w:id="279" w:name="_Toc515647805"/>
      <w:bookmarkStart w:id="280" w:name="_Toc29899"/>
      <w:bookmarkStart w:id="281" w:name="_Toc30486"/>
      <w:r>
        <w:rPr>
          <w:rFonts w:hint="eastAsia" w:ascii="仿宋" w:hAnsi="仿宋" w:eastAsia="仿宋" w:cs="仿宋"/>
          <w:color w:val="auto"/>
          <w:sz w:val="24"/>
          <w:highlight w:val="none"/>
        </w:rPr>
        <w:t xml:space="preserve">2  </w:t>
      </w:r>
      <w:bookmarkEnd w:id="278"/>
      <w:bookmarkEnd w:id="279"/>
      <w:bookmarkEnd w:id="280"/>
      <w:r>
        <w:rPr>
          <w:rFonts w:hint="eastAsia" w:ascii="仿宋" w:hAnsi="仿宋" w:eastAsia="仿宋" w:cs="仿宋"/>
          <w:color w:val="auto"/>
          <w:sz w:val="24"/>
          <w:highlight w:val="none"/>
          <w:lang w:eastAsia="zh-CN"/>
        </w:rPr>
        <w:t>法人或者非法人组织的营业执照等证明文件或自然人的身份证明</w:t>
      </w:r>
      <w:bookmarkEnd w:id="281"/>
    </w:p>
    <w:p w14:paraId="1C9BB072">
      <w:pPr>
        <w:pStyle w:val="16"/>
        <w:tabs>
          <w:tab w:val="left" w:pos="5580"/>
        </w:tabs>
        <w:spacing w:line="240" w:lineRule="atLeast"/>
        <w:ind w:left="1079" w:leftChars="257" w:hanging="540"/>
        <w:jc w:val="center"/>
        <w:rPr>
          <w:rFonts w:hint="eastAsia" w:ascii="仿宋" w:hAnsi="仿宋" w:eastAsia="仿宋" w:cs="仿宋"/>
          <w:b/>
          <w:color w:val="auto"/>
          <w:sz w:val="24"/>
          <w:highlight w:val="none"/>
        </w:rPr>
      </w:pPr>
    </w:p>
    <w:p w14:paraId="6EB6FD9D">
      <w:pPr>
        <w:pStyle w:val="16"/>
        <w:tabs>
          <w:tab w:val="left" w:pos="5580"/>
        </w:tabs>
        <w:spacing w:line="240" w:lineRule="atLeast"/>
        <w:ind w:left="1079" w:leftChars="257" w:hanging="540"/>
        <w:rPr>
          <w:rFonts w:hint="eastAsia" w:ascii="仿宋" w:hAnsi="仿宋" w:eastAsia="仿宋" w:cs="仿宋"/>
          <w:b/>
          <w:color w:val="auto"/>
          <w:sz w:val="24"/>
          <w:highlight w:val="none"/>
        </w:rPr>
      </w:pPr>
    </w:p>
    <w:p w14:paraId="16D9CC1B">
      <w:pPr>
        <w:pStyle w:val="16"/>
        <w:tabs>
          <w:tab w:val="left" w:pos="5580"/>
        </w:tabs>
        <w:spacing w:line="240" w:lineRule="atLeast"/>
        <w:ind w:left="1079" w:leftChars="257" w:hanging="540"/>
        <w:rPr>
          <w:rFonts w:hint="eastAsia" w:ascii="仿宋" w:hAnsi="仿宋" w:eastAsia="仿宋" w:cs="仿宋"/>
          <w:b/>
          <w:color w:val="auto"/>
          <w:sz w:val="24"/>
          <w:highlight w:val="none"/>
        </w:rPr>
      </w:pPr>
    </w:p>
    <w:p w14:paraId="6408A5A5">
      <w:pPr>
        <w:pStyle w:val="16"/>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说明：1.提供有效的营业执照复印件，复印件上应加盖本单位章。</w:t>
      </w:r>
    </w:p>
    <w:p w14:paraId="002AEC21">
      <w:pPr>
        <w:pStyle w:val="16"/>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2.投标人为自然人的，应提供身份证明的复印件。</w:t>
      </w:r>
    </w:p>
    <w:p w14:paraId="311E0D7A">
      <w:pPr>
        <w:pStyle w:val="16"/>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3.联合体投标应提供联合体各方满足以上要求的证明文件。</w:t>
      </w:r>
    </w:p>
    <w:p w14:paraId="7ADB07DE">
      <w:pPr>
        <w:pStyle w:val="16"/>
        <w:tabs>
          <w:tab w:val="left" w:pos="5580"/>
        </w:tabs>
        <w:spacing w:line="240" w:lineRule="atLeast"/>
        <w:ind w:left="1079" w:leftChars="257" w:hanging="540"/>
        <w:rPr>
          <w:rFonts w:hint="eastAsia" w:ascii="仿宋" w:hAnsi="仿宋" w:eastAsia="仿宋" w:cs="仿宋"/>
          <w:color w:val="auto"/>
          <w:sz w:val="24"/>
          <w:highlight w:val="none"/>
        </w:rPr>
      </w:pPr>
    </w:p>
    <w:p w14:paraId="4879B6F0">
      <w:pPr>
        <w:pStyle w:val="16"/>
        <w:tabs>
          <w:tab w:val="left" w:pos="5580"/>
        </w:tabs>
        <w:spacing w:line="240" w:lineRule="atLeast"/>
        <w:ind w:left="1079"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73FE15E">
      <w:pPr>
        <w:pStyle w:val="3"/>
        <w:spacing w:before="0" w:line="240" w:lineRule="atLeast"/>
        <w:ind w:left="1079" w:leftChars="257" w:hanging="540"/>
        <w:rPr>
          <w:rFonts w:hint="eastAsia" w:ascii="仿宋" w:hAnsi="仿宋" w:eastAsia="仿宋" w:cs="仿宋"/>
          <w:sz w:val="24"/>
          <w:szCs w:val="24"/>
        </w:rPr>
      </w:pPr>
      <w:bookmarkStart w:id="282" w:name="_Toc17606"/>
      <w:bookmarkStart w:id="283" w:name="_Toc1083"/>
      <w:bookmarkStart w:id="284" w:name="_Toc22472"/>
      <w:bookmarkStart w:id="285" w:name="_Toc515647807"/>
      <w:r>
        <w:rPr>
          <w:rFonts w:hint="eastAsia" w:ascii="仿宋" w:hAnsi="仿宋" w:eastAsia="仿宋" w:cs="仿宋"/>
          <w:color w:val="auto"/>
          <w:sz w:val="24"/>
          <w:highlight w:val="none"/>
        </w:rPr>
        <w:t xml:space="preserve">3  </w:t>
      </w:r>
      <w:r>
        <w:rPr>
          <w:rFonts w:hint="eastAsia" w:ascii="仿宋" w:hAnsi="仿宋" w:eastAsia="仿宋" w:cs="仿宋"/>
          <w:sz w:val="24"/>
          <w:szCs w:val="24"/>
        </w:rPr>
        <w:t>法定代表人资格证明书或法人授权委托书及被授权人身份证</w:t>
      </w:r>
      <w:r>
        <w:rPr>
          <w:rFonts w:hint="eastAsia" w:ascii="仿宋" w:hAnsi="仿宋" w:eastAsia="仿宋" w:cs="仿宋"/>
          <w:sz w:val="24"/>
          <w:szCs w:val="24"/>
          <w:lang w:eastAsia="zh-CN"/>
        </w:rPr>
        <w:t>（</w:t>
      </w:r>
      <w:r>
        <w:rPr>
          <w:rFonts w:hint="eastAsia" w:ascii="仿宋" w:hAnsi="仿宋" w:eastAsia="仿宋" w:cs="仿宋"/>
          <w:color w:val="auto"/>
          <w:sz w:val="24"/>
          <w:highlight w:val="none"/>
        </w:rPr>
        <w:t>投标文件格式二，自然人投标的无需提供</w:t>
      </w:r>
      <w:r>
        <w:rPr>
          <w:rFonts w:hint="eastAsia" w:ascii="仿宋" w:hAnsi="仿宋" w:eastAsia="仿宋" w:cs="仿宋"/>
          <w:color w:val="auto"/>
          <w:sz w:val="24"/>
          <w:highlight w:val="none"/>
          <w:lang w:eastAsia="zh-CN"/>
        </w:rPr>
        <w:t>）</w:t>
      </w:r>
      <w:bookmarkEnd w:id="282"/>
      <w:bookmarkEnd w:id="283"/>
      <w:bookmarkEnd w:id="284"/>
      <w:bookmarkEnd w:id="285"/>
    </w:p>
    <w:p w14:paraId="3DEC3141">
      <w:pPr>
        <w:pStyle w:val="3"/>
        <w:spacing w:before="0" w:line="240" w:lineRule="atLeast"/>
        <w:ind w:left="1079" w:leftChars="257" w:hanging="540"/>
        <w:rPr>
          <w:rFonts w:hint="eastAsia" w:ascii="仿宋" w:hAnsi="仿宋" w:eastAsia="仿宋" w:cs="仿宋"/>
          <w:sz w:val="24"/>
          <w:szCs w:val="24"/>
        </w:rPr>
      </w:pPr>
      <w:bookmarkStart w:id="286" w:name="_Toc466"/>
      <w:r>
        <w:rPr>
          <w:rFonts w:hint="eastAsia" w:ascii="仿宋" w:hAnsi="仿宋" w:eastAsia="仿宋" w:cs="仿宋"/>
          <w:sz w:val="24"/>
          <w:szCs w:val="24"/>
        </w:rPr>
        <w:t>3.1法定代表人身份证明</w:t>
      </w:r>
      <w:bookmarkEnd w:id="286"/>
    </w:p>
    <w:p w14:paraId="7CEAFB6E">
      <w:pPr>
        <w:rPr>
          <w:rFonts w:hint="eastAsia" w:ascii="仿宋" w:hAnsi="仿宋" w:eastAsia="仿宋" w:cs="仿宋"/>
          <w:sz w:val="24"/>
        </w:rPr>
      </w:pPr>
      <w:r>
        <w:rPr>
          <w:rFonts w:hint="eastAsia" w:ascii="仿宋" w:hAnsi="仿宋" w:eastAsia="仿宋" w:cs="仿宋"/>
          <w:sz w:val="24"/>
        </w:rPr>
        <w:t xml:space="preserve">               同志，现任我单位          职务，为法定代表人，特此</w:t>
      </w:r>
      <w:r>
        <w:rPr>
          <w:rFonts w:hint="eastAsia" w:ascii="仿宋" w:hAnsi="仿宋" w:eastAsia="仿宋" w:cs="仿宋"/>
          <w:sz w:val="24"/>
          <w:lang w:eastAsia="zh-CN"/>
        </w:rPr>
        <w:t>声明</w:t>
      </w:r>
      <w:r>
        <w:rPr>
          <w:rFonts w:hint="eastAsia" w:ascii="仿宋" w:hAnsi="仿宋" w:eastAsia="仿宋" w:cs="仿宋"/>
          <w:sz w:val="24"/>
        </w:rPr>
        <w:t>。</w:t>
      </w:r>
    </w:p>
    <w:p w14:paraId="22313921">
      <w:pPr>
        <w:ind w:firstLine="240" w:firstLineChars="100"/>
        <w:rPr>
          <w:rFonts w:hint="eastAsia" w:ascii="仿宋" w:hAnsi="仿宋" w:eastAsia="仿宋" w:cs="仿宋"/>
          <w:sz w:val="24"/>
        </w:rPr>
      </w:pPr>
      <w:r>
        <w:rPr>
          <w:rFonts w:hint="eastAsia" w:ascii="仿宋" w:hAnsi="仿宋" w:eastAsia="仿宋" w:cs="仿宋"/>
          <w:sz w:val="24"/>
        </w:rPr>
        <w:t xml:space="preserve">签发日期：                  单位：         </w:t>
      </w:r>
    </w:p>
    <w:p w14:paraId="3F70161E">
      <w:pPr>
        <w:ind w:firstLine="240" w:firstLineChars="100"/>
        <w:rPr>
          <w:rFonts w:hint="eastAsia" w:ascii="仿宋" w:hAnsi="仿宋" w:eastAsia="仿宋" w:cs="仿宋"/>
          <w:sz w:val="24"/>
        </w:rPr>
      </w:pPr>
      <w:r>
        <w:rPr>
          <w:rFonts w:hint="eastAsia" w:ascii="仿宋" w:hAnsi="仿宋" w:eastAsia="仿宋" w:cs="仿宋"/>
          <w:sz w:val="24"/>
        </w:rPr>
        <w:t>附：代表人性别：            年龄：           身份证号码：</w:t>
      </w:r>
    </w:p>
    <w:p w14:paraId="6C8DA747">
      <w:pPr>
        <w:ind w:firstLine="240" w:firstLineChars="100"/>
        <w:rPr>
          <w:rFonts w:hint="eastAsia" w:ascii="仿宋" w:hAnsi="仿宋" w:eastAsia="仿宋" w:cs="仿宋"/>
          <w:sz w:val="24"/>
        </w:rPr>
      </w:pPr>
      <w:r>
        <w:rPr>
          <w:rFonts w:hint="eastAsia" w:ascii="仿宋" w:hAnsi="仿宋" w:eastAsia="仿宋" w:cs="仿宋"/>
          <w:sz w:val="24"/>
        </w:rPr>
        <w:t>联系电话：</w:t>
      </w:r>
    </w:p>
    <w:p w14:paraId="192B790B">
      <w:pPr>
        <w:ind w:firstLine="240" w:firstLineChars="100"/>
        <w:rPr>
          <w:rFonts w:hint="eastAsia" w:ascii="仿宋" w:hAnsi="仿宋" w:eastAsia="仿宋" w:cs="仿宋"/>
          <w:sz w:val="24"/>
        </w:rPr>
      </w:pPr>
      <w:r>
        <w:rPr>
          <w:rFonts w:hint="eastAsia" w:ascii="仿宋" w:hAnsi="仿宋" w:eastAsia="仿宋" w:cs="仿宋"/>
          <w:sz w:val="24"/>
        </w:rPr>
        <w:t>营业执照号码：              经济性质：</w:t>
      </w:r>
    </w:p>
    <w:p w14:paraId="1A13FD58">
      <w:pPr>
        <w:rPr>
          <w:rFonts w:hint="eastAsia" w:ascii="仿宋" w:hAnsi="仿宋" w:eastAsia="仿宋" w:cs="仿宋"/>
          <w:sz w:val="24"/>
        </w:rPr>
      </w:pPr>
      <w:r>
        <w:rPr>
          <w:rFonts w:hint="eastAsia" w:ascii="仿宋" w:hAnsi="仿宋" w:eastAsia="仿宋" w:cs="仿宋"/>
          <w:sz w:val="24"/>
        </w:rPr>
        <w:t>说明：</w:t>
      </w:r>
    </w:p>
    <w:p w14:paraId="20D16299">
      <w:pPr>
        <w:ind w:firstLine="240" w:firstLineChars="100"/>
        <w:rPr>
          <w:rFonts w:hint="eastAsia" w:ascii="仿宋" w:hAnsi="仿宋" w:eastAsia="仿宋" w:cs="仿宋"/>
          <w:sz w:val="24"/>
        </w:rPr>
      </w:pPr>
      <w:r>
        <w:rPr>
          <w:rFonts w:hint="eastAsia" w:ascii="仿宋" w:hAnsi="仿宋" w:eastAsia="仿宋" w:cs="仿宋"/>
          <w:sz w:val="24"/>
          <w:lang w:eastAsia="zh-CN"/>
        </w:rPr>
        <w:t>1.</w:t>
      </w:r>
      <w:r>
        <w:rPr>
          <w:rFonts w:hint="eastAsia" w:ascii="仿宋" w:hAnsi="仿宋" w:eastAsia="仿宋" w:cs="仿宋"/>
          <w:sz w:val="24"/>
        </w:rPr>
        <w:t>法定代表人为企业事业单位、国家机关、社会团体的主要行政负责人。</w:t>
      </w:r>
    </w:p>
    <w:p w14:paraId="12433537">
      <w:pPr>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eastAsia="zh-CN"/>
        </w:rPr>
        <w:t>2.</w:t>
      </w:r>
      <w:r>
        <w:rPr>
          <w:rFonts w:hint="eastAsia" w:ascii="仿宋" w:hAnsi="仿宋" w:eastAsia="仿宋" w:cs="仿宋"/>
          <w:sz w:val="24"/>
        </w:rPr>
        <w:t>内容必须填写真实、清楚、涂改无效，不得转让。</w:t>
      </w:r>
    </w:p>
    <w:p w14:paraId="50B82BEC">
      <w:pPr>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eastAsia="zh-CN"/>
        </w:rPr>
        <w:t>（</w:t>
      </w:r>
      <w:r>
        <w:rPr>
          <w:rFonts w:hint="eastAsia" w:ascii="仿宋" w:hAnsi="仿宋" w:eastAsia="仿宋" w:cs="仿宋"/>
          <w:sz w:val="24"/>
        </w:rPr>
        <w:t>为避免废标，请供应商务必提供本附件</w:t>
      </w:r>
      <w:r>
        <w:rPr>
          <w:rFonts w:hint="eastAsia" w:ascii="仿宋" w:hAnsi="仿宋" w:eastAsia="仿宋" w:cs="仿宋"/>
          <w:sz w:val="24"/>
          <w:lang w:eastAsia="zh-CN"/>
        </w:rPr>
        <w:t>）</w:t>
      </w:r>
    </w:p>
    <w:p w14:paraId="15C30B93">
      <w:pPr>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10795</wp:posOffset>
                </wp:positionV>
                <wp:extent cx="4281805" cy="1375410"/>
                <wp:effectExtent l="4445" t="4445" r="19050" b="10795"/>
                <wp:wrapNone/>
                <wp:docPr id="14" name="流程图: 可选过程 14"/>
                <wp:cNvGraphicFramePr/>
                <a:graphic xmlns:a="http://schemas.openxmlformats.org/drawingml/2006/main">
                  <a:graphicData uri="http://schemas.microsoft.com/office/word/2010/wordprocessingShape">
                    <wps:wsp>
                      <wps:cNvSpPr/>
                      <wps:spPr>
                        <a:xfrm>
                          <a:off x="0" y="0"/>
                          <a:ext cx="428180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F7473F5">
                            <w:pPr>
                              <w:jc w:val="center"/>
                              <w:rPr>
                                <w:rFonts w:hAnsi="宋体"/>
                                <w:szCs w:val="21"/>
                              </w:rPr>
                            </w:pPr>
                          </w:p>
                          <w:p w14:paraId="012242D6">
                            <w:pPr>
                              <w:jc w:val="center"/>
                              <w:rPr>
                                <w:rFonts w:hAnsi="宋体"/>
                                <w:szCs w:val="21"/>
                              </w:rPr>
                            </w:pPr>
                          </w:p>
                          <w:p w14:paraId="55A38881">
                            <w:pPr>
                              <w:jc w:val="center"/>
                              <w:rPr>
                                <w:rFonts w:hAnsi="宋体"/>
                                <w:szCs w:val="21"/>
                              </w:rPr>
                            </w:pPr>
                          </w:p>
                          <w:p w14:paraId="3BFAA498">
                            <w:pPr>
                              <w:jc w:val="center"/>
                              <w:rPr>
                                <w:szCs w:val="21"/>
                              </w:rPr>
                            </w:pPr>
                            <w:r>
                              <w:rPr>
                                <w:rFonts w:hint="eastAsia" w:hAnsi="宋体"/>
                                <w:szCs w:val="21"/>
                              </w:rPr>
                              <w:t>法定代表人身份证复印件正反面</w:t>
                            </w:r>
                          </w:p>
                        </w:txbxContent>
                      </wps:txbx>
                      <wps:bodyPr vert="horz" wrap="square" anchor="t" anchorCtr="0" upright="1"/>
                    </wps:wsp>
                  </a:graphicData>
                </a:graphic>
              </wp:anchor>
            </w:drawing>
          </mc:Choice>
          <mc:Fallback>
            <w:pict>
              <v:shape id="_x0000_s1026" o:spid="_x0000_s1026" o:spt="176" type="#_x0000_t176" style="position:absolute;left:0pt;margin-left:12.15pt;margin-top:0.85pt;height:108.3pt;width:337.15pt;z-index:251661312;mso-width-relative:page;mso-height-relative:page;" fillcolor="#FFFFFF" filled="t" stroked="t" coordsize="21600,21600" o:gfxdata="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uBLTjWAAAACAEAAA8AAAAAAAAA&#10;AQAgAAAAIgAAAGRycy9kb3ducmV2LnhtbFBLAQIUABQAAAAIAIdO4kBZ4P3jTAIAAJMEAAAOAAAA&#10;AAAAAAEAIAAAACUBAABkcnMvZTJvRG9jLnhtbFBLBQYAAAAABgAGAFkBAADjBQAAAAA=&#10;">
                <v:fill on="t" focussize="0,0"/>
                <v:stroke color="#000000" joinstyle="miter"/>
                <v:imagedata o:title=""/>
                <o:lock v:ext="edit" aspectratio="f"/>
                <v:textbox>
                  <w:txbxContent>
                    <w:p w14:paraId="6F7473F5">
                      <w:pPr>
                        <w:jc w:val="center"/>
                        <w:rPr>
                          <w:rFonts w:hAnsi="宋体"/>
                          <w:szCs w:val="21"/>
                        </w:rPr>
                      </w:pPr>
                    </w:p>
                    <w:p w14:paraId="012242D6">
                      <w:pPr>
                        <w:jc w:val="center"/>
                        <w:rPr>
                          <w:rFonts w:hAnsi="宋体"/>
                          <w:szCs w:val="21"/>
                        </w:rPr>
                      </w:pPr>
                    </w:p>
                    <w:p w14:paraId="55A38881">
                      <w:pPr>
                        <w:jc w:val="center"/>
                        <w:rPr>
                          <w:rFonts w:hAnsi="宋体"/>
                          <w:szCs w:val="21"/>
                        </w:rPr>
                      </w:pPr>
                    </w:p>
                    <w:p w14:paraId="3BFAA498">
                      <w:pPr>
                        <w:jc w:val="center"/>
                        <w:rPr>
                          <w:szCs w:val="21"/>
                        </w:rPr>
                      </w:pPr>
                      <w:r>
                        <w:rPr>
                          <w:rFonts w:hint="eastAsia" w:hAnsi="宋体"/>
                          <w:szCs w:val="21"/>
                        </w:rPr>
                        <w:t>法定代表人身份证复印件正反面</w:t>
                      </w:r>
                    </w:p>
                  </w:txbxContent>
                </v:textbox>
              </v:shape>
            </w:pict>
          </mc:Fallback>
        </mc:AlternateContent>
      </w:r>
    </w:p>
    <w:p w14:paraId="0BB26BA3">
      <w:pPr>
        <w:rPr>
          <w:rFonts w:hint="eastAsia" w:ascii="仿宋" w:hAnsi="仿宋" w:eastAsia="仿宋" w:cs="仿宋"/>
          <w:sz w:val="24"/>
        </w:rPr>
      </w:pPr>
    </w:p>
    <w:p w14:paraId="68AFDBF3">
      <w:pPr>
        <w:rPr>
          <w:rFonts w:hint="eastAsia" w:ascii="仿宋" w:hAnsi="仿宋" w:eastAsia="仿宋" w:cs="仿宋"/>
          <w:sz w:val="24"/>
        </w:rPr>
      </w:pPr>
    </w:p>
    <w:p w14:paraId="5044ECAE">
      <w:pPr>
        <w:autoSpaceDE w:val="0"/>
        <w:autoSpaceDN w:val="0"/>
        <w:adjustRightInd w:val="0"/>
        <w:ind w:right="246"/>
        <w:rPr>
          <w:rFonts w:hint="eastAsia" w:ascii="仿宋" w:hAnsi="仿宋" w:eastAsia="仿宋" w:cs="仿宋"/>
          <w:sz w:val="24"/>
        </w:rPr>
      </w:pPr>
    </w:p>
    <w:p w14:paraId="273394F2">
      <w:pPr>
        <w:autoSpaceDE w:val="0"/>
        <w:autoSpaceDN w:val="0"/>
        <w:adjustRightInd w:val="0"/>
        <w:ind w:right="246" w:firstLine="784" w:firstLineChars="327"/>
        <w:rPr>
          <w:rFonts w:hint="eastAsia" w:ascii="仿宋" w:hAnsi="仿宋" w:eastAsia="仿宋" w:cs="仿宋"/>
          <w:sz w:val="24"/>
        </w:rPr>
      </w:pPr>
      <w:r>
        <w:rPr>
          <w:rFonts w:hint="eastAsia" w:ascii="仿宋" w:hAnsi="仿宋" w:eastAsia="仿宋" w:cs="仿宋"/>
          <w:sz w:val="24"/>
        </w:rPr>
        <w:t xml:space="preserve">供应商（盖章）：                              </w:t>
      </w:r>
    </w:p>
    <w:p w14:paraId="07FDE70B">
      <w:pPr>
        <w:adjustRightInd w:val="0"/>
        <w:snapToGrid w:val="0"/>
        <w:ind w:firstLine="784" w:firstLineChars="327"/>
        <w:rPr>
          <w:rFonts w:hint="eastAsia" w:ascii="仿宋" w:hAnsi="仿宋" w:eastAsia="仿宋" w:cs="仿宋"/>
          <w:sz w:val="24"/>
        </w:rPr>
      </w:pPr>
    </w:p>
    <w:p w14:paraId="405FAF9C">
      <w:pPr>
        <w:adjustRightInd w:val="0"/>
        <w:snapToGrid w:val="0"/>
        <w:ind w:firstLine="784" w:firstLineChars="327"/>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eastAsia="zh-CN"/>
        </w:rPr>
        <w:t>（</w:t>
      </w:r>
      <w:r>
        <w:rPr>
          <w:rFonts w:hint="eastAsia" w:ascii="仿宋" w:hAnsi="仿宋" w:eastAsia="仿宋" w:cs="仿宋"/>
          <w:sz w:val="24"/>
        </w:rPr>
        <w:t>签/章</w:t>
      </w:r>
      <w:r>
        <w:rPr>
          <w:rFonts w:hint="eastAsia" w:ascii="仿宋" w:hAnsi="仿宋" w:eastAsia="仿宋" w:cs="仿宋"/>
          <w:sz w:val="24"/>
          <w:lang w:eastAsia="zh-CN"/>
        </w:rPr>
        <w:t>）</w:t>
      </w:r>
      <w:r>
        <w:rPr>
          <w:rFonts w:hint="eastAsia" w:ascii="仿宋" w:hAnsi="仿宋" w:eastAsia="仿宋" w:cs="仿宋"/>
          <w:sz w:val="24"/>
        </w:rPr>
        <w:t xml:space="preserve">： </w:t>
      </w:r>
    </w:p>
    <w:p w14:paraId="588A5C4D">
      <w:pPr>
        <w:pStyle w:val="16"/>
        <w:tabs>
          <w:tab w:val="left" w:pos="5370"/>
        </w:tabs>
        <w:spacing w:line="240" w:lineRule="atLeast"/>
        <w:ind w:left="1155" w:leftChars="371" w:hanging="376" w:hangingChars="157"/>
        <w:rPr>
          <w:rFonts w:hint="eastAsia" w:ascii="仿宋" w:hAnsi="仿宋" w:eastAsia="仿宋" w:cs="仿宋"/>
          <w:sz w:val="24"/>
          <w:szCs w:val="24"/>
        </w:rPr>
      </w:pPr>
    </w:p>
    <w:p w14:paraId="43F1C511">
      <w:pPr>
        <w:pStyle w:val="16"/>
        <w:tabs>
          <w:tab w:val="left" w:pos="5370"/>
        </w:tabs>
        <w:spacing w:line="240" w:lineRule="atLeast"/>
        <w:ind w:left="1155" w:leftChars="371" w:hanging="376" w:hangingChars="157"/>
        <w:rPr>
          <w:rFonts w:hint="eastAsia" w:ascii="仿宋" w:hAnsi="仿宋" w:eastAsia="仿宋" w:cs="仿宋"/>
          <w:sz w:val="24"/>
          <w:szCs w:val="24"/>
        </w:rPr>
      </w:pPr>
    </w:p>
    <w:p w14:paraId="6D6E6828">
      <w:pPr>
        <w:pStyle w:val="16"/>
        <w:tabs>
          <w:tab w:val="left" w:pos="5370"/>
        </w:tabs>
        <w:spacing w:line="240" w:lineRule="atLeast"/>
        <w:ind w:left="1155" w:leftChars="371" w:hanging="376" w:hangingChars="157"/>
        <w:rPr>
          <w:rFonts w:hint="eastAsia" w:ascii="仿宋" w:hAnsi="仿宋" w:eastAsia="仿宋" w:cs="仿宋"/>
          <w:sz w:val="24"/>
        </w:rPr>
      </w:pPr>
      <w:r>
        <w:rPr>
          <w:rFonts w:hint="eastAsia" w:ascii="仿宋" w:hAnsi="仿宋" w:eastAsia="仿宋" w:cs="仿宋"/>
          <w:sz w:val="24"/>
          <w:szCs w:val="24"/>
        </w:rPr>
        <w:t>供应商</w:t>
      </w:r>
      <w:r>
        <w:rPr>
          <w:rFonts w:hint="eastAsia" w:ascii="仿宋" w:hAnsi="仿宋" w:eastAsia="仿宋" w:cs="仿宋"/>
          <w:sz w:val="24"/>
          <w:szCs w:val="24"/>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sz w:val="24"/>
          <w:szCs w:val="24"/>
          <w:u w:val="single"/>
        </w:rPr>
        <w:tab/>
      </w:r>
      <w:r>
        <w:rPr>
          <w:rFonts w:hint="eastAsia" w:ascii="仿宋" w:hAnsi="仿宋" w:eastAsia="仿宋" w:cs="仿宋"/>
          <w:sz w:val="24"/>
        </w:rPr>
        <w:t xml:space="preserve"> </w:t>
      </w:r>
    </w:p>
    <w:p w14:paraId="09D2C56E">
      <w:pPr>
        <w:adjustRightInd w:val="0"/>
        <w:snapToGrid w:val="0"/>
        <w:ind w:firstLine="784" w:firstLineChars="327"/>
        <w:rPr>
          <w:rFonts w:hint="eastAsia" w:ascii="仿宋" w:hAnsi="仿宋" w:eastAsia="仿宋" w:cs="仿宋"/>
          <w:sz w:val="24"/>
        </w:rPr>
      </w:pPr>
      <w:r>
        <w:rPr>
          <w:rFonts w:hint="eastAsia" w:ascii="仿宋" w:hAnsi="仿宋" w:eastAsia="仿宋" w:cs="仿宋"/>
          <w:sz w:val="24"/>
        </w:rPr>
        <w:t xml:space="preserve">                  </w:t>
      </w:r>
    </w:p>
    <w:p w14:paraId="2CE2B94E">
      <w:pPr>
        <w:adjustRightInd w:val="0"/>
        <w:snapToGrid w:val="0"/>
        <w:ind w:firstLine="784" w:firstLineChars="327"/>
        <w:rPr>
          <w:rFonts w:hint="eastAsia" w:ascii="仿宋" w:hAnsi="仿宋" w:eastAsia="仿宋" w:cs="仿宋"/>
          <w:sz w:val="24"/>
        </w:rPr>
      </w:pPr>
      <w:r>
        <w:rPr>
          <w:rFonts w:hint="eastAsia" w:ascii="仿宋" w:hAnsi="仿宋" w:eastAsia="仿宋" w:cs="仿宋"/>
          <w:sz w:val="24"/>
        </w:rPr>
        <w:t xml:space="preserve">日期：                                       </w:t>
      </w:r>
    </w:p>
    <w:p w14:paraId="513E7684">
      <w:pPr>
        <w:pStyle w:val="16"/>
        <w:tabs>
          <w:tab w:val="left" w:pos="5580"/>
        </w:tabs>
        <w:rPr>
          <w:rFonts w:hint="eastAsia" w:ascii="仿宋" w:hAnsi="仿宋" w:eastAsia="仿宋" w:cs="仿宋"/>
          <w:sz w:val="24"/>
          <w:szCs w:val="24"/>
        </w:rPr>
      </w:pPr>
      <w:r>
        <w:rPr>
          <w:rFonts w:hint="eastAsia" w:ascii="仿宋" w:hAnsi="仿宋" w:eastAsia="仿宋" w:cs="仿宋"/>
          <w:sz w:val="24"/>
          <w:szCs w:val="24"/>
        </w:rPr>
        <w:t>说明：1.提供有效的营业执照等证明文件复印件，复印件上应加盖本单位章。</w:t>
      </w:r>
    </w:p>
    <w:p w14:paraId="7C0201D3">
      <w:pPr>
        <w:pStyle w:val="16"/>
        <w:tabs>
          <w:tab w:val="left" w:pos="5580"/>
        </w:tabs>
        <w:ind w:left="1079" w:leftChars="257" w:hanging="540"/>
        <w:rPr>
          <w:rFonts w:hint="eastAsia" w:ascii="仿宋" w:hAnsi="仿宋" w:eastAsia="仿宋" w:cs="仿宋"/>
          <w:sz w:val="24"/>
          <w:szCs w:val="24"/>
        </w:rPr>
      </w:pPr>
      <w:r>
        <w:rPr>
          <w:rFonts w:hint="eastAsia" w:ascii="仿宋" w:hAnsi="仿宋" w:eastAsia="仿宋" w:cs="仿宋"/>
          <w:sz w:val="24"/>
          <w:szCs w:val="24"/>
        </w:rPr>
        <w:t xml:space="preserve">  2. 供应商为自然人的，应提供身份证明的复印件。</w:t>
      </w:r>
    </w:p>
    <w:p w14:paraId="02A3B322">
      <w:pPr>
        <w:pStyle w:val="16"/>
        <w:tabs>
          <w:tab w:val="left" w:pos="5580"/>
        </w:tabs>
        <w:ind w:left="1079" w:leftChars="257" w:hanging="540"/>
        <w:rPr>
          <w:rFonts w:hint="eastAsia" w:ascii="仿宋" w:hAnsi="仿宋" w:eastAsia="仿宋" w:cs="仿宋"/>
          <w:sz w:val="24"/>
          <w:szCs w:val="24"/>
        </w:rPr>
      </w:pPr>
      <w:r>
        <w:rPr>
          <w:rFonts w:hint="eastAsia" w:ascii="仿宋" w:hAnsi="仿宋" w:eastAsia="仿宋" w:cs="仿宋"/>
          <w:sz w:val="24"/>
          <w:szCs w:val="24"/>
        </w:rPr>
        <w:t xml:space="preserve">  3.联合体</w:t>
      </w:r>
      <w:r>
        <w:rPr>
          <w:rFonts w:hint="eastAsia" w:ascii="仿宋" w:hAnsi="仿宋" w:eastAsia="仿宋" w:cs="仿宋"/>
          <w:sz w:val="24"/>
          <w:szCs w:val="24"/>
          <w:lang w:eastAsia="zh-CN"/>
        </w:rPr>
        <w:t>投标</w:t>
      </w:r>
      <w:r>
        <w:rPr>
          <w:rFonts w:hint="eastAsia" w:ascii="仿宋" w:hAnsi="仿宋" w:eastAsia="仿宋" w:cs="仿宋"/>
          <w:sz w:val="24"/>
          <w:szCs w:val="24"/>
        </w:rPr>
        <w:t>应提供联合体各方满足以上要求的证明文件。</w:t>
      </w:r>
      <w:bookmarkStart w:id="287" w:name="_Toc5436"/>
      <w:bookmarkStart w:id="288" w:name="_Toc21867"/>
      <w:bookmarkStart w:id="289" w:name="_Toc16635"/>
      <w:bookmarkStart w:id="290" w:name="_Toc4082"/>
      <w:bookmarkStart w:id="291" w:name="_Toc16640"/>
      <w:bookmarkStart w:id="292" w:name="_Toc7748"/>
      <w:bookmarkStart w:id="293" w:name="_Toc6829"/>
      <w:bookmarkStart w:id="294" w:name="_Toc14483"/>
      <w:bookmarkStart w:id="295" w:name="_Toc4926"/>
      <w:bookmarkStart w:id="296" w:name="_Toc27943"/>
      <w:bookmarkStart w:id="297" w:name="_Toc17981"/>
      <w:bookmarkStart w:id="298" w:name="_Toc13107"/>
      <w:bookmarkStart w:id="299" w:name="_Toc8491"/>
    </w:p>
    <w:p w14:paraId="255C4C05">
      <w:pPr>
        <w:rPr>
          <w:rFonts w:hint="eastAsia" w:ascii="仿宋" w:hAnsi="仿宋" w:eastAsia="仿宋" w:cs="仿宋"/>
          <w:sz w:val="24"/>
        </w:rPr>
      </w:pPr>
      <w:r>
        <w:rPr>
          <w:rFonts w:hint="eastAsia" w:ascii="仿宋" w:hAnsi="仿宋" w:eastAsia="仿宋" w:cs="仿宋"/>
          <w:sz w:val="24"/>
        </w:rPr>
        <w:br w:type="page"/>
      </w:r>
    </w:p>
    <w:p w14:paraId="363F114D">
      <w:pPr>
        <w:pStyle w:val="16"/>
        <w:tabs>
          <w:tab w:val="left" w:pos="5580"/>
        </w:tabs>
        <w:ind w:left="1079" w:leftChars="257" w:hanging="540"/>
        <w:rPr>
          <w:rFonts w:hint="eastAsia" w:ascii="仿宋" w:hAnsi="仿宋" w:eastAsia="仿宋" w:cs="仿宋"/>
          <w:sz w:val="24"/>
          <w:szCs w:val="24"/>
        </w:rPr>
      </w:pPr>
    </w:p>
    <w:p w14:paraId="33ED3216">
      <w:pPr>
        <w:pStyle w:val="3"/>
        <w:spacing w:before="0" w:line="240" w:lineRule="atLeast"/>
        <w:ind w:left="1079" w:leftChars="257" w:hanging="540"/>
        <w:rPr>
          <w:rFonts w:hint="eastAsia" w:ascii="仿宋" w:hAnsi="仿宋" w:eastAsia="仿宋" w:cs="仿宋"/>
          <w:sz w:val="24"/>
          <w:szCs w:val="24"/>
        </w:rPr>
      </w:pPr>
      <w:bookmarkStart w:id="300" w:name="_Toc17864"/>
      <w:r>
        <w:rPr>
          <w:rFonts w:hint="eastAsia" w:ascii="仿宋" w:hAnsi="仿宋" w:eastAsia="仿宋" w:cs="仿宋"/>
          <w:sz w:val="24"/>
          <w:szCs w:val="24"/>
        </w:rPr>
        <w:t>3.2法定代表人授权委托书</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3CC2B030">
      <w:pPr>
        <w:pStyle w:val="16"/>
        <w:tabs>
          <w:tab w:val="left" w:pos="5580"/>
        </w:tabs>
        <w:spacing w:line="240" w:lineRule="atLeast"/>
        <w:rPr>
          <w:rFonts w:hint="eastAsia" w:ascii="仿宋" w:hAnsi="仿宋" w:eastAsia="仿宋" w:cs="仿宋"/>
          <w:sz w:val="24"/>
          <w:szCs w:val="24"/>
        </w:rPr>
      </w:pPr>
      <w:r>
        <w:rPr>
          <w:rFonts w:hint="eastAsia" w:ascii="仿宋" w:hAnsi="仿宋" w:eastAsia="仿宋" w:cs="仿宋"/>
          <w:sz w:val="24"/>
          <w:szCs w:val="24"/>
        </w:rPr>
        <w:cr/>
      </w:r>
      <w:r>
        <w:rPr>
          <w:rFonts w:hint="eastAsia" w:ascii="仿宋" w:hAnsi="仿宋" w:eastAsia="仿宋" w:cs="仿宋"/>
          <w:sz w:val="24"/>
          <w:szCs w:val="24"/>
        </w:rPr>
        <w:t xml:space="preserve">    本授权书声明：注册于（国家或地区的名称）的（供应商）的在下面签字的（法人代表姓名、职务）代表我单位授权（单位名称）的在下面签字的（被授权人的姓名、职务）为我单位的合法代理人，就（项目名称）的</w:t>
      </w:r>
      <w:r>
        <w:rPr>
          <w:rFonts w:hint="eastAsia" w:ascii="仿宋" w:hAnsi="仿宋" w:eastAsia="仿宋" w:cs="仿宋"/>
          <w:sz w:val="24"/>
          <w:szCs w:val="24"/>
          <w:lang w:eastAsia="zh-CN"/>
        </w:rPr>
        <w:t>投标</w:t>
      </w:r>
      <w:r>
        <w:rPr>
          <w:rFonts w:hint="eastAsia" w:ascii="仿宋" w:hAnsi="仿宋" w:eastAsia="仿宋" w:cs="仿宋"/>
          <w:sz w:val="24"/>
          <w:szCs w:val="24"/>
        </w:rPr>
        <w:t>，以我单位名义处理一切与之有关的事务。　　</w:t>
      </w:r>
    </w:p>
    <w:p w14:paraId="771120F7">
      <w:pPr>
        <w:pStyle w:val="16"/>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w:t>本授权书于           年     月     日签字生效</w:t>
      </w:r>
      <w:r>
        <w:rPr>
          <w:rFonts w:hint="eastAsia" w:ascii="仿宋" w:hAnsi="仿宋" w:eastAsia="仿宋" w:cs="仿宋"/>
          <w:sz w:val="24"/>
          <w:szCs w:val="24"/>
          <w:lang w:eastAsia="zh-CN"/>
        </w:rPr>
        <w:t>，</w:t>
      </w:r>
      <w:r>
        <w:rPr>
          <w:rFonts w:hint="eastAsia" w:ascii="仿宋" w:hAnsi="仿宋" w:eastAsia="仿宋" w:cs="仿宋"/>
          <w:sz w:val="24"/>
          <w:szCs w:val="24"/>
        </w:rPr>
        <w:t>特此声明。</w:t>
      </w:r>
    </w:p>
    <w:p w14:paraId="3D25046B">
      <w:pPr>
        <w:pStyle w:val="16"/>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135890</wp:posOffset>
                </wp:positionV>
                <wp:extent cx="4618355" cy="1405890"/>
                <wp:effectExtent l="4445" t="5080" r="6350" b="17780"/>
                <wp:wrapNone/>
                <wp:docPr id="19" name="流程图: 可选过程 19"/>
                <wp:cNvGraphicFramePr/>
                <a:graphic xmlns:a="http://schemas.openxmlformats.org/drawingml/2006/main">
                  <a:graphicData uri="http://schemas.microsoft.com/office/word/2010/wordprocessingShape">
                    <wps:wsp>
                      <wps:cNvSpPr/>
                      <wps:spPr>
                        <a:xfrm>
                          <a:off x="0" y="0"/>
                          <a:ext cx="461835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195D80C">
                            <w:pPr>
                              <w:jc w:val="center"/>
                              <w:rPr>
                                <w:rFonts w:hAnsi="宋体"/>
                              </w:rPr>
                            </w:pPr>
                          </w:p>
                          <w:p w14:paraId="37AF1862">
                            <w:pPr>
                              <w:jc w:val="center"/>
                              <w:rPr>
                                <w:rFonts w:hAnsi="宋体"/>
                              </w:rPr>
                            </w:pPr>
                          </w:p>
                          <w:p w14:paraId="5C10431D">
                            <w:pPr>
                              <w:jc w:val="center"/>
                              <w:rPr>
                                <w:rFonts w:hAnsi="宋体"/>
                              </w:rPr>
                            </w:pPr>
                          </w:p>
                          <w:p w14:paraId="3FD283DD">
                            <w:pPr>
                              <w:jc w:val="center"/>
                            </w:pPr>
                            <w:r>
                              <w:rPr>
                                <w:rFonts w:hint="eastAsia" w:hAnsi="宋体"/>
                              </w:rPr>
                              <w:t>授权委托人身份证复印件正反面</w:t>
                            </w:r>
                          </w:p>
                        </w:txbxContent>
                      </wps:txbx>
                      <wps:bodyPr vert="horz" wrap="square" anchor="t" anchorCtr="0" upright="1"/>
                    </wps:wsp>
                  </a:graphicData>
                </a:graphic>
              </wp:anchor>
            </w:drawing>
          </mc:Choice>
          <mc:Fallback>
            <w:pict>
              <v:shape id="_x0000_s1026" o:spid="_x0000_s1026" o:spt="176" type="#_x0000_t176" style="position:absolute;left:0pt;margin-left:1.65pt;margin-top:10.7pt;height:110.7pt;width:363.65pt;z-index:251662336;mso-width-relative:page;mso-height-relative:page;" fillcolor="#FFFFFF" filled="t" stroked="t" coordsize="21600,21600" o:gfxdata="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NAYi+1gAAAAgBAAAPAAAA&#10;AAAAAAEAIAAAACIAAABkcnMvZG93bnJldi54bWxQSwECFAAUAAAACACHTuJA/To0DFACAACTBAAA&#10;DgAAAAAAAAABACAAAAAlAQAAZHJzL2Uyb0RvYy54bWxQSwUGAAAAAAYABgBZAQAA5wUAAAAA&#10;">
                <v:fill on="t" focussize="0,0"/>
                <v:stroke color="#000000" joinstyle="miter"/>
                <v:imagedata o:title=""/>
                <o:lock v:ext="edit" aspectratio="f"/>
                <v:textbox>
                  <w:txbxContent>
                    <w:p w14:paraId="1195D80C">
                      <w:pPr>
                        <w:jc w:val="center"/>
                        <w:rPr>
                          <w:rFonts w:hAnsi="宋体"/>
                        </w:rPr>
                      </w:pPr>
                    </w:p>
                    <w:p w14:paraId="37AF1862">
                      <w:pPr>
                        <w:jc w:val="center"/>
                        <w:rPr>
                          <w:rFonts w:hAnsi="宋体"/>
                        </w:rPr>
                      </w:pPr>
                    </w:p>
                    <w:p w14:paraId="5C10431D">
                      <w:pPr>
                        <w:jc w:val="center"/>
                        <w:rPr>
                          <w:rFonts w:hAnsi="宋体"/>
                        </w:rPr>
                      </w:pPr>
                    </w:p>
                    <w:p w14:paraId="3FD283DD">
                      <w:pPr>
                        <w:jc w:val="center"/>
                      </w:pPr>
                      <w:r>
                        <w:rPr>
                          <w:rFonts w:hint="eastAsia" w:hAnsi="宋体"/>
                        </w:rPr>
                        <w:t>授权委托人身份证复印件正反面</w:t>
                      </w:r>
                    </w:p>
                  </w:txbxContent>
                </v:textbox>
              </v:shape>
            </w:pict>
          </mc:Fallback>
        </mc:AlternateContent>
      </w:r>
    </w:p>
    <w:p w14:paraId="523710C7">
      <w:pPr>
        <w:pStyle w:val="16"/>
        <w:tabs>
          <w:tab w:val="left" w:pos="5580"/>
        </w:tabs>
        <w:spacing w:line="240" w:lineRule="atLeast"/>
        <w:ind w:left="1079" w:leftChars="257" w:hanging="540"/>
        <w:rPr>
          <w:rFonts w:hint="eastAsia" w:ascii="仿宋" w:hAnsi="仿宋" w:eastAsia="仿宋" w:cs="仿宋"/>
          <w:sz w:val="24"/>
          <w:szCs w:val="24"/>
        </w:rPr>
      </w:pPr>
    </w:p>
    <w:p w14:paraId="3B8B1A3E">
      <w:pPr>
        <w:pStyle w:val="16"/>
        <w:tabs>
          <w:tab w:val="left" w:pos="5580"/>
        </w:tabs>
        <w:spacing w:line="240" w:lineRule="atLeast"/>
        <w:rPr>
          <w:rFonts w:hint="eastAsia" w:ascii="仿宋" w:hAnsi="仿宋" w:eastAsia="仿宋" w:cs="仿宋"/>
          <w:sz w:val="24"/>
          <w:szCs w:val="24"/>
        </w:rPr>
      </w:pPr>
    </w:p>
    <w:p w14:paraId="44072184">
      <w:pPr>
        <w:pStyle w:val="16"/>
        <w:tabs>
          <w:tab w:val="left" w:pos="5580"/>
        </w:tabs>
        <w:spacing w:line="240" w:lineRule="atLeast"/>
        <w:rPr>
          <w:rFonts w:hint="eastAsia" w:ascii="仿宋" w:hAnsi="仿宋" w:eastAsia="仿宋" w:cs="仿宋"/>
          <w:sz w:val="24"/>
          <w:szCs w:val="24"/>
        </w:rPr>
      </w:pPr>
    </w:p>
    <w:p w14:paraId="599DB15E">
      <w:pPr>
        <w:pStyle w:val="16"/>
        <w:tabs>
          <w:tab w:val="left" w:pos="5580"/>
        </w:tabs>
        <w:spacing w:line="240" w:lineRule="atLeast"/>
        <w:rPr>
          <w:rFonts w:hint="eastAsia" w:ascii="仿宋" w:hAnsi="仿宋" w:eastAsia="仿宋" w:cs="仿宋"/>
          <w:sz w:val="24"/>
          <w:szCs w:val="24"/>
        </w:rPr>
      </w:pPr>
    </w:p>
    <w:p w14:paraId="790753C5">
      <w:pPr>
        <w:pStyle w:val="16"/>
        <w:tabs>
          <w:tab w:val="left" w:pos="5580"/>
        </w:tabs>
        <w:spacing w:line="240" w:lineRule="atLeast"/>
        <w:rPr>
          <w:rFonts w:hint="eastAsia" w:ascii="仿宋" w:hAnsi="仿宋" w:eastAsia="仿宋" w:cs="仿宋"/>
          <w:sz w:val="24"/>
          <w:szCs w:val="24"/>
        </w:rPr>
      </w:pPr>
    </w:p>
    <w:p w14:paraId="7894AF1A">
      <w:pPr>
        <w:pStyle w:val="16"/>
        <w:tabs>
          <w:tab w:val="left" w:pos="5580"/>
        </w:tabs>
        <w:spacing w:line="240" w:lineRule="atLeast"/>
        <w:rPr>
          <w:rFonts w:hint="eastAsia" w:ascii="仿宋" w:hAnsi="仿宋" w:eastAsia="仿宋" w:cs="仿宋"/>
          <w:sz w:val="24"/>
          <w:szCs w:val="24"/>
        </w:rPr>
      </w:pPr>
    </w:p>
    <w:p w14:paraId="41216105">
      <w:pPr>
        <w:pStyle w:val="16"/>
        <w:tabs>
          <w:tab w:val="left" w:pos="5580"/>
        </w:tabs>
        <w:spacing w:line="240" w:lineRule="atLeast"/>
        <w:rPr>
          <w:rFonts w:hint="eastAsia" w:ascii="仿宋" w:hAnsi="仿宋" w:eastAsia="仿宋" w:cs="仿宋"/>
          <w:sz w:val="24"/>
          <w:szCs w:val="24"/>
        </w:rPr>
      </w:pPr>
    </w:p>
    <w:p w14:paraId="6C3C54F3">
      <w:pPr>
        <w:pStyle w:val="16"/>
        <w:tabs>
          <w:tab w:val="left" w:pos="5580"/>
        </w:tabs>
        <w:spacing w:line="240" w:lineRule="atLeast"/>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3360" behindDoc="0" locked="0" layoutInCell="1" allowOverlap="1">
                <wp:simplePos x="0" y="0"/>
                <wp:positionH relativeFrom="column">
                  <wp:posOffset>100965</wp:posOffset>
                </wp:positionH>
                <wp:positionV relativeFrom="paragraph">
                  <wp:posOffset>148590</wp:posOffset>
                </wp:positionV>
                <wp:extent cx="4565650" cy="1501775"/>
                <wp:effectExtent l="8255" t="7620" r="17145" b="14605"/>
                <wp:wrapNone/>
                <wp:docPr id="16" name="圆角矩形 16"/>
                <wp:cNvGraphicFramePr/>
                <a:graphic xmlns:a="http://schemas.openxmlformats.org/drawingml/2006/main">
                  <a:graphicData uri="http://schemas.microsoft.com/office/word/2010/wordprocessingShape">
                    <wps:wsp>
                      <wps:cNvSpPr/>
                      <wps:spPr>
                        <a:xfrm>
                          <a:off x="0" y="0"/>
                          <a:ext cx="4565650" cy="150177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57FA48DA">
                            <w:pPr>
                              <w:jc w:val="center"/>
                              <w:rPr>
                                <w:rFonts w:hAnsi="宋体"/>
                              </w:rPr>
                            </w:pPr>
                          </w:p>
                          <w:p w14:paraId="49695BA4">
                            <w:pPr>
                              <w:jc w:val="center"/>
                              <w:rPr>
                                <w:rFonts w:hAnsi="宋体"/>
                              </w:rPr>
                            </w:pPr>
                          </w:p>
                          <w:p w14:paraId="03C33340">
                            <w:pPr>
                              <w:jc w:val="center"/>
                              <w:rPr>
                                <w:rFonts w:hAnsi="宋体"/>
                              </w:rPr>
                            </w:pPr>
                          </w:p>
                          <w:p w14:paraId="306FA8FE">
                            <w:pPr>
                              <w:jc w:val="center"/>
                            </w:pPr>
                            <w:r>
                              <w:rPr>
                                <w:rFonts w:hint="eastAsia" w:hAnsi="宋体"/>
                              </w:rPr>
                              <w:t>法人身份证复印件正反面</w:t>
                            </w:r>
                          </w:p>
                          <w:p w14:paraId="454DAF6F"/>
                        </w:txbxContent>
                      </wps:txbx>
                      <wps:bodyPr vert="horz" wrap="square" anchor="t" anchorCtr="0" upright="1"/>
                    </wps:wsp>
                  </a:graphicData>
                </a:graphic>
              </wp:anchor>
            </w:drawing>
          </mc:Choice>
          <mc:Fallback>
            <w:pict>
              <v:roundrect id="_x0000_s1026" o:spid="_x0000_s1026" o:spt="2" style="position:absolute;left:0pt;margin-left:7.95pt;margin-top:11.7pt;height:118.25pt;width:359.5pt;z-index:251663360;mso-width-relative:page;mso-height-relative:page;" fillcolor="#FFFFFF" filled="t" stroked="t" coordsize="21600,21600" arcsize="0.166666666666667" o:gfxdata="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NOItI2QAAAAkBAAAPAAAAAAAAAAEA&#10;IAAAACIAAABkcnMvZG93bnJldi54bWxQSwECFAAUAAAACACHTuJAf1ObZEcCAACbBAAADgAAAAAA&#10;AAABACAAAAAoAQAAZHJzL2Uyb0RvYy54bWxQSwUGAAAAAAYABgBZAQAA4QUAAAAA&#10;">
                <v:fill on="t" focussize="0,0"/>
                <v:stroke weight="1.25pt" color="#808080" joinstyle="round"/>
                <v:imagedata o:title=""/>
                <o:lock v:ext="edit" aspectratio="f"/>
                <v:textbox>
                  <w:txbxContent>
                    <w:p w14:paraId="57FA48DA">
                      <w:pPr>
                        <w:jc w:val="center"/>
                        <w:rPr>
                          <w:rFonts w:hAnsi="宋体"/>
                        </w:rPr>
                      </w:pPr>
                    </w:p>
                    <w:p w14:paraId="49695BA4">
                      <w:pPr>
                        <w:jc w:val="center"/>
                        <w:rPr>
                          <w:rFonts w:hAnsi="宋体"/>
                        </w:rPr>
                      </w:pPr>
                    </w:p>
                    <w:p w14:paraId="03C33340">
                      <w:pPr>
                        <w:jc w:val="center"/>
                        <w:rPr>
                          <w:rFonts w:hAnsi="宋体"/>
                        </w:rPr>
                      </w:pPr>
                    </w:p>
                    <w:p w14:paraId="306FA8FE">
                      <w:pPr>
                        <w:jc w:val="center"/>
                      </w:pPr>
                      <w:r>
                        <w:rPr>
                          <w:rFonts w:hint="eastAsia" w:hAnsi="宋体"/>
                        </w:rPr>
                        <w:t>法人身份证复印件正反面</w:t>
                      </w:r>
                    </w:p>
                    <w:p w14:paraId="454DAF6F"/>
                  </w:txbxContent>
                </v:textbox>
              </v:roundrect>
            </w:pict>
          </mc:Fallback>
        </mc:AlternateContent>
      </w:r>
    </w:p>
    <w:p w14:paraId="4461DB6C">
      <w:pPr>
        <w:pStyle w:val="16"/>
        <w:tabs>
          <w:tab w:val="left" w:pos="5580"/>
        </w:tabs>
        <w:spacing w:line="240" w:lineRule="atLeast"/>
        <w:rPr>
          <w:rFonts w:hint="eastAsia" w:ascii="仿宋" w:hAnsi="仿宋" w:eastAsia="仿宋" w:cs="仿宋"/>
          <w:sz w:val="24"/>
          <w:szCs w:val="24"/>
        </w:rPr>
      </w:pPr>
    </w:p>
    <w:p w14:paraId="20A4202D">
      <w:pPr>
        <w:pStyle w:val="16"/>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w:t>供应商（盖单位章）</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385559D1">
      <w:pPr>
        <w:pStyle w:val="16"/>
        <w:tabs>
          <w:tab w:val="left" w:pos="5580"/>
        </w:tabs>
        <w:spacing w:line="240" w:lineRule="atLeast"/>
        <w:ind w:left="1079" w:leftChars="257" w:hanging="540"/>
        <w:rPr>
          <w:rFonts w:hint="eastAsia" w:ascii="仿宋" w:hAnsi="仿宋" w:eastAsia="仿宋" w:cs="仿宋"/>
          <w:sz w:val="24"/>
          <w:szCs w:val="24"/>
        </w:rPr>
      </w:pPr>
    </w:p>
    <w:p w14:paraId="34F24760">
      <w:pPr>
        <w:pStyle w:val="16"/>
        <w:tabs>
          <w:tab w:val="left" w:pos="5580"/>
        </w:tabs>
        <w:spacing w:line="240" w:lineRule="atLeast"/>
        <w:ind w:left="1079" w:leftChars="257" w:hanging="540"/>
        <w:rPr>
          <w:rFonts w:hint="eastAsia" w:ascii="仿宋" w:hAnsi="仿宋" w:eastAsia="仿宋" w:cs="仿宋"/>
          <w:sz w:val="24"/>
          <w:szCs w:val="24"/>
        </w:rPr>
      </w:pPr>
    </w:p>
    <w:p w14:paraId="119787D8">
      <w:pPr>
        <w:pStyle w:val="16"/>
        <w:tabs>
          <w:tab w:val="left" w:pos="5580"/>
        </w:tabs>
        <w:spacing w:line="240" w:lineRule="atLeast"/>
        <w:ind w:left="1079" w:leftChars="257" w:hanging="540"/>
        <w:rPr>
          <w:rFonts w:hint="eastAsia" w:ascii="仿宋" w:hAnsi="仿宋" w:eastAsia="仿宋" w:cs="仿宋"/>
          <w:sz w:val="24"/>
          <w:szCs w:val="24"/>
        </w:rPr>
      </w:pPr>
    </w:p>
    <w:p w14:paraId="136F3B26">
      <w:pPr>
        <w:pStyle w:val="16"/>
        <w:tabs>
          <w:tab w:val="left" w:pos="5370"/>
        </w:tabs>
        <w:spacing w:line="240" w:lineRule="atLeast"/>
        <w:ind w:firstLine="480" w:firstLineChars="200"/>
        <w:rPr>
          <w:rFonts w:hint="eastAsia" w:ascii="仿宋" w:hAnsi="仿宋" w:eastAsia="仿宋" w:cs="仿宋"/>
          <w:sz w:val="24"/>
          <w:szCs w:val="24"/>
        </w:rPr>
      </w:pPr>
    </w:p>
    <w:p w14:paraId="7F6D9A07">
      <w:pPr>
        <w:pStyle w:val="16"/>
        <w:tabs>
          <w:tab w:val="left" w:pos="5370"/>
        </w:tabs>
        <w:spacing w:line="240" w:lineRule="atLeast"/>
        <w:ind w:firstLine="480" w:firstLineChars="200"/>
        <w:rPr>
          <w:rFonts w:hint="eastAsia" w:ascii="仿宋" w:hAnsi="仿宋" w:eastAsia="仿宋" w:cs="仿宋"/>
          <w:sz w:val="24"/>
          <w:szCs w:val="24"/>
        </w:rPr>
      </w:pPr>
    </w:p>
    <w:p w14:paraId="6150C0E2">
      <w:pPr>
        <w:pStyle w:val="16"/>
        <w:tabs>
          <w:tab w:val="left" w:pos="5370"/>
        </w:tabs>
        <w:spacing w:line="240" w:lineRule="atLeast"/>
        <w:ind w:firstLine="480" w:firstLineChars="200"/>
        <w:rPr>
          <w:rFonts w:hint="eastAsia" w:ascii="仿宋" w:hAnsi="仿宋" w:eastAsia="仿宋" w:cs="仿宋"/>
          <w:sz w:val="24"/>
          <w:szCs w:val="24"/>
        </w:rPr>
      </w:pPr>
    </w:p>
    <w:p w14:paraId="4FEB7285">
      <w:pPr>
        <w:pStyle w:val="16"/>
        <w:tabs>
          <w:tab w:val="left" w:pos="5370"/>
        </w:tabs>
        <w:spacing w:line="240" w:lineRule="atLeast"/>
        <w:ind w:firstLine="480" w:firstLineChars="200"/>
        <w:rPr>
          <w:rFonts w:hint="eastAsia" w:ascii="仿宋" w:hAnsi="仿宋" w:eastAsia="仿宋" w:cs="仿宋"/>
          <w:sz w:val="24"/>
        </w:rPr>
      </w:pPr>
      <w:r>
        <w:rPr>
          <w:rFonts w:hint="eastAsia" w:ascii="仿宋" w:hAnsi="仿宋" w:eastAsia="仿宋" w:cs="仿宋"/>
          <w:sz w:val="24"/>
          <w:szCs w:val="24"/>
        </w:rPr>
        <w:t>供应商</w:t>
      </w:r>
      <w:r>
        <w:rPr>
          <w:rFonts w:hint="eastAsia" w:ascii="仿宋" w:hAnsi="仿宋" w:eastAsia="仿宋" w:cs="仿宋"/>
          <w:sz w:val="24"/>
          <w:szCs w:val="24"/>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sz w:val="24"/>
          <w:szCs w:val="24"/>
          <w:u w:val="single"/>
        </w:rPr>
        <w:tab/>
      </w:r>
      <w:r>
        <w:rPr>
          <w:rFonts w:hint="eastAsia" w:ascii="仿宋" w:hAnsi="仿宋" w:eastAsia="仿宋" w:cs="仿宋"/>
          <w:sz w:val="24"/>
        </w:rPr>
        <w:t xml:space="preserve"> </w:t>
      </w:r>
    </w:p>
    <w:p w14:paraId="4E05E69B">
      <w:pPr>
        <w:pStyle w:val="16"/>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w:t xml:space="preserve">法定代表人（签/章）：                     </w:t>
      </w:r>
    </w:p>
    <w:p w14:paraId="7E482466">
      <w:pPr>
        <w:pStyle w:val="16"/>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w:t xml:space="preserve">身份证号码： </w:t>
      </w:r>
    </w:p>
    <w:p w14:paraId="12042E76">
      <w:pPr>
        <w:pStyle w:val="16"/>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w:t xml:space="preserve">委托代理人（签/章）：                                   </w:t>
      </w:r>
    </w:p>
    <w:p w14:paraId="6B168DB4">
      <w:pPr>
        <w:pStyle w:val="16"/>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w:t xml:space="preserve">身份证号码：                                   </w:t>
      </w:r>
    </w:p>
    <w:p w14:paraId="41BAB492">
      <w:pPr>
        <w:pStyle w:val="16"/>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w:t xml:space="preserve">详细通讯地址：                                 </w:t>
      </w:r>
    </w:p>
    <w:p w14:paraId="3211F968">
      <w:pPr>
        <w:pStyle w:val="16"/>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w:t xml:space="preserve">邮 政 编 码 ：                                 </w:t>
      </w:r>
    </w:p>
    <w:p w14:paraId="32E53365">
      <w:pPr>
        <w:pStyle w:val="16"/>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w:t xml:space="preserve">传　　　　真：                                 </w:t>
      </w:r>
    </w:p>
    <w:p w14:paraId="43BFAD60">
      <w:pPr>
        <w:pStyle w:val="16"/>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w:t xml:space="preserve">电　　　　话：                                 </w:t>
      </w:r>
    </w:p>
    <w:p w14:paraId="6DF29C53">
      <w:pPr>
        <w:pStyle w:val="16"/>
        <w:tabs>
          <w:tab w:val="left" w:pos="5580"/>
        </w:tabs>
        <w:spacing w:line="240" w:lineRule="atLeast"/>
        <w:ind w:firstLine="480" w:firstLineChars="200"/>
        <w:rPr>
          <w:rFonts w:hint="eastAsia" w:ascii="仿宋" w:hAnsi="仿宋" w:eastAsia="仿宋" w:cs="仿宋"/>
          <w:color w:val="auto"/>
          <w:sz w:val="24"/>
          <w:highlight w:val="none"/>
        </w:rPr>
      </w:pPr>
    </w:p>
    <w:p w14:paraId="2B60D6A4">
      <w:pPr>
        <w:pStyle w:val="3"/>
        <w:spacing w:before="0" w:line="240" w:lineRule="atLeast"/>
        <w:ind w:left="1079" w:leftChars="257" w:hanging="540"/>
        <w:rPr>
          <w:rFonts w:hint="eastAsia" w:ascii="仿宋" w:hAnsi="仿宋" w:eastAsia="仿宋" w:cs="仿宋"/>
          <w:color w:val="auto"/>
          <w:sz w:val="24"/>
          <w:highlight w:val="none"/>
          <w:lang w:val="en-US" w:eastAsia="zh-CN"/>
        </w:rPr>
      </w:pPr>
      <w:bookmarkStart w:id="301" w:name="_Toc515647808"/>
      <w:bookmarkStart w:id="302" w:name="_Toc32520"/>
      <w:bookmarkStart w:id="303" w:name="_Toc7039"/>
      <w:r>
        <w:rPr>
          <w:rFonts w:hint="eastAsia" w:ascii="仿宋" w:hAnsi="仿宋" w:eastAsia="仿宋" w:cs="仿宋"/>
          <w:b/>
          <w:color w:val="auto"/>
          <w:sz w:val="24"/>
          <w:highlight w:val="none"/>
          <w:lang w:val="en-US" w:eastAsia="zh-CN"/>
        </w:rPr>
        <w:br w:type="page"/>
      </w:r>
      <w:bookmarkStart w:id="304" w:name="_Toc69"/>
      <w:r>
        <w:rPr>
          <w:rFonts w:hint="eastAsia" w:ascii="仿宋" w:hAnsi="仿宋" w:eastAsia="仿宋" w:cs="仿宋"/>
          <w:b/>
          <w:color w:val="auto"/>
          <w:sz w:val="24"/>
          <w:highlight w:val="none"/>
          <w:lang w:val="en-US" w:eastAsia="zh-CN"/>
        </w:rPr>
        <w:t xml:space="preserve">4  </w:t>
      </w:r>
      <w:r>
        <w:rPr>
          <w:rFonts w:hint="eastAsia" w:ascii="仿宋" w:hAnsi="仿宋" w:eastAsia="仿宋" w:cs="仿宋"/>
          <w:color w:val="auto"/>
          <w:sz w:val="24"/>
          <w:highlight w:val="none"/>
          <w:lang w:eastAsia="zh-CN"/>
        </w:rPr>
        <w:t>近期（投标截止日期前六个月内任意一个月）依法缴纳社会保障金的缴费证明或银行出具的“银行电子缴纳社会保障金付款凭证”（新成立公司提供相关证明文件）</w:t>
      </w:r>
      <w:bookmarkEnd w:id="304"/>
    </w:p>
    <w:p w14:paraId="4960BDF7">
      <w:pPr>
        <w:pStyle w:val="16"/>
        <w:tabs>
          <w:tab w:val="left" w:pos="5580"/>
        </w:tabs>
        <w:spacing w:line="240" w:lineRule="atLeast"/>
        <w:ind w:left="1079" w:leftChars="257" w:hanging="540"/>
        <w:jc w:val="center"/>
        <w:rPr>
          <w:rFonts w:hint="eastAsia" w:ascii="仿宋" w:hAnsi="仿宋" w:eastAsia="仿宋" w:cs="仿宋"/>
          <w:b/>
          <w:color w:val="auto"/>
          <w:sz w:val="24"/>
          <w:highlight w:val="none"/>
        </w:rPr>
      </w:pPr>
    </w:p>
    <w:p w14:paraId="5AF50B55">
      <w:pPr>
        <w:pStyle w:val="16"/>
        <w:tabs>
          <w:tab w:val="left" w:pos="5580"/>
        </w:tabs>
        <w:spacing w:line="240" w:lineRule="atLeast"/>
        <w:ind w:left="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505836DD">
      <w:pPr>
        <w:pStyle w:val="3"/>
        <w:spacing w:before="0" w:line="240" w:lineRule="atLeast"/>
        <w:ind w:left="1079" w:leftChars="257" w:hanging="54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br w:type="page"/>
      </w:r>
      <w:bookmarkStart w:id="305" w:name="_Toc5786"/>
      <w:r>
        <w:rPr>
          <w:rFonts w:hint="eastAsia" w:ascii="仿宋" w:hAnsi="仿宋" w:eastAsia="仿宋" w:cs="仿宋"/>
          <w:b/>
          <w:color w:val="auto"/>
          <w:sz w:val="24"/>
          <w:highlight w:val="none"/>
          <w:lang w:val="en-US" w:eastAsia="zh-CN"/>
        </w:rPr>
        <w:t xml:space="preserve">5  </w:t>
      </w:r>
      <w:bookmarkEnd w:id="301"/>
      <w:bookmarkEnd w:id="302"/>
      <w:bookmarkEnd w:id="303"/>
      <w:r>
        <w:rPr>
          <w:rFonts w:hint="eastAsia" w:ascii="仿宋" w:hAnsi="仿宋" w:eastAsia="仿宋" w:cs="仿宋"/>
          <w:b/>
          <w:color w:val="auto"/>
          <w:sz w:val="24"/>
          <w:highlight w:val="none"/>
          <w:lang w:val="en-US" w:eastAsia="zh-CN"/>
        </w:rPr>
        <w:t>近期（投标截止日期前六个月内任意一个月）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bookmarkEnd w:id="305"/>
    </w:p>
    <w:p w14:paraId="49955317">
      <w:pPr>
        <w:tabs>
          <w:tab w:val="left" w:pos="5580"/>
        </w:tabs>
        <w:spacing w:line="240" w:lineRule="atLeast"/>
        <w:ind w:left="1079" w:leftChars="257" w:hanging="540"/>
        <w:jc w:val="center"/>
        <w:rPr>
          <w:rFonts w:hint="eastAsia" w:ascii="仿宋" w:hAnsi="仿宋" w:eastAsia="仿宋" w:cs="仿宋"/>
          <w:b/>
          <w:color w:val="auto"/>
          <w:sz w:val="24"/>
          <w:highlight w:val="none"/>
        </w:rPr>
      </w:pPr>
    </w:p>
    <w:p w14:paraId="18411203">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AE8857B">
      <w:pPr>
        <w:pStyle w:val="3"/>
        <w:spacing w:before="0" w:line="240" w:lineRule="atLeast"/>
        <w:ind w:left="1079" w:leftChars="257" w:hanging="540"/>
        <w:rPr>
          <w:rFonts w:hint="eastAsia" w:ascii="仿宋" w:hAnsi="仿宋" w:eastAsia="仿宋" w:cs="仿宋"/>
          <w:b/>
          <w:color w:val="auto"/>
          <w:sz w:val="24"/>
          <w:highlight w:val="none"/>
          <w:lang w:val="en-US" w:eastAsia="zh-CN"/>
        </w:rPr>
      </w:pPr>
      <w:bookmarkStart w:id="306" w:name="_Toc14186"/>
      <w:r>
        <w:rPr>
          <w:rFonts w:hint="eastAsia" w:ascii="仿宋" w:hAnsi="仿宋" w:eastAsia="仿宋" w:cs="仿宋"/>
          <w:b/>
          <w:color w:val="auto"/>
          <w:sz w:val="24"/>
          <w:highlight w:val="none"/>
          <w:lang w:val="en-US" w:eastAsia="zh-CN"/>
        </w:rPr>
        <w:t xml:space="preserve">6 </w:t>
      </w:r>
      <w:bookmarkEnd w:id="306"/>
      <w:r>
        <w:rPr>
          <w:rFonts w:hint="eastAsia" w:ascii="仿宋" w:hAnsi="仿宋" w:eastAsia="仿宋" w:cs="仿宋"/>
          <w:b/>
          <w:color w:val="auto"/>
          <w:sz w:val="24"/>
          <w:highlight w:val="none"/>
          <w:lang w:val="en-US" w:eastAsia="zh-CN"/>
        </w:rPr>
        <w:t>提供2025年完整的财务审计报告（成立未满十二个月的新公司可提供近三个月内任意一个月的银行资信证明）；</w:t>
      </w:r>
    </w:p>
    <w:p w14:paraId="6F46B2E6">
      <w:pPr>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1603955E">
      <w:pPr>
        <w:ind w:firstLine="480" w:firstLineChars="200"/>
        <w:rPr>
          <w:rFonts w:hint="eastAsia" w:ascii="仿宋" w:hAnsi="仿宋" w:eastAsia="仿宋" w:cs="仿宋"/>
          <w:color w:val="auto"/>
          <w:sz w:val="24"/>
          <w:highlight w:val="none"/>
          <w:lang w:val="en-US" w:eastAsia="zh-CN"/>
        </w:rPr>
      </w:pPr>
    </w:p>
    <w:p w14:paraId="519CBB83">
      <w:pPr>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24A465D6">
      <w:pPr>
        <w:tabs>
          <w:tab w:val="left" w:pos="5580"/>
        </w:tabs>
        <w:spacing w:line="240" w:lineRule="atLeast"/>
        <w:ind w:left="540"/>
        <w:rPr>
          <w:rFonts w:hint="eastAsia" w:ascii="仿宋" w:hAnsi="仿宋" w:eastAsia="仿宋" w:cs="仿宋"/>
          <w:bCs/>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如提供本单位上年度经会计师事务所出具的审计报告复印件须加盖</w:t>
      </w:r>
      <w:r>
        <w:rPr>
          <w:rFonts w:hint="eastAsia" w:ascii="仿宋" w:hAnsi="仿宋" w:eastAsia="仿宋" w:cs="仿宋"/>
          <w:bCs/>
          <w:color w:val="auto"/>
          <w:sz w:val="24"/>
          <w:highlight w:val="none"/>
        </w:rPr>
        <w:t>本单位</w:t>
      </w:r>
      <w:r>
        <w:rPr>
          <w:rFonts w:hint="eastAsia" w:ascii="仿宋" w:hAnsi="仿宋" w:eastAsia="仿宋" w:cs="仿宋"/>
          <w:bCs/>
          <w:color w:val="auto"/>
          <w:sz w:val="24"/>
          <w:highlight w:val="none"/>
          <w:lang w:eastAsia="zh-CN"/>
        </w:rPr>
        <w:t>电子</w:t>
      </w:r>
      <w:r>
        <w:rPr>
          <w:rFonts w:hint="eastAsia" w:ascii="仿宋" w:hAnsi="仿宋" w:eastAsia="仿宋" w:cs="仿宋"/>
          <w:bCs/>
          <w:color w:val="auto"/>
          <w:sz w:val="24"/>
          <w:highlight w:val="none"/>
        </w:rPr>
        <w:t>章。</w:t>
      </w:r>
    </w:p>
    <w:p w14:paraId="00BE27F6">
      <w:pPr>
        <w:tabs>
          <w:tab w:val="left" w:pos="5580"/>
        </w:tabs>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14:paraId="52E7E4B8">
      <w:pPr>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如果是联合体投标，联合体各方均需提供上述证明。</w:t>
      </w:r>
    </w:p>
    <w:p w14:paraId="1BC11132">
      <w:pPr>
        <w:ind w:firstLine="480" w:firstLineChars="200"/>
        <w:rPr>
          <w:rFonts w:hint="eastAsia" w:ascii="仿宋" w:hAnsi="仿宋" w:eastAsia="仿宋" w:cs="仿宋"/>
          <w:color w:val="auto"/>
          <w:sz w:val="24"/>
          <w:highlight w:val="none"/>
          <w:lang w:val="en-US" w:eastAsia="zh-CN"/>
        </w:rPr>
      </w:pPr>
    </w:p>
    <w:p w14:paraId="0693B4E8">
      <w:pPr>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br w:type="page"/>
      </w:r>
    </w:p>
    <w:p w14:paraId="7DA910C0">
      <w:pPr>
        <w:pStyle w:val="3"/>
        <w:spacing w:before="0" w:line="240" w:lineRule="atLeast"/>
        <w:ind w:left="1079" w:leftChars="257" w:hanging="540"/>
        <w:rPr>
          <w:rFonts w:hint="eastAsia" w:ascii="仿宋" w:hAnsi="仿宋" w:eastAsia="仿宋" w:cs="仿宋"/>
          <w:b/>
          <w:color w:val="auto"/>
          <w:sz w:val="24"/>
          <w:highlight w:val="none"/>
          <w:lang w:val="en-US" w:eastAsia="zh-CN"/>
        </w:rPr>
      </w:pPr>
      <w:bookmarkStart w:id="307" w:name="_Toc10870"/>
      <w:bookmarkStart w:id="308" w:name="_Toc515647809"/>
      <w:bookmarkStart w:id="309" w:name="_Toc11047"/>
      <w:bookmarkStart w:id="310" w:name="_Toc28445"/>
      <w:bookmarkStart w:id="311" w:name="_Toc18946"/>
      <w:r>
        <w:rPr>
          <w:rFonts w:hint="eastAsia" w:ascii="仿宋" w:hAnsi="仿宋" w:eastAsia="仿宋" w:cs="仿宋"/>
          <w:b/>
          <w:color w:val="auto"/>
          <w:sz w:val="24"/>
          <w:highlight w:val="none"/>
          <w:lang w:val="en-US" w:eastAsia="zh-CN"/>
        </w:rPr>
        <w:t xml:space="preserve">7  </w:t>
      </w:r>
      <w:bookmarkEnd w:id="307"/>
      <w:bookmarkEnd w:id="308"/>
      <w:bookmarkEnd w:id="309"/>
      <w:bookmarkEnd w:id="310"/>
      <w:bookmarkStart w:id="312" w:name="_Toc24428"/>
      <w:bookmarkStart w:id="313" w:name="_Toc515647811"/>
      <w:bookmarkStart w:id="314" w:name="_Toc32670"/>
      <w:bookmarkStart w:id="315" w:name="_Toc24985"/>
      <w:r>
        <w:rPr>
          <w:rFonts w:hint="eastAsia" w:ascii="仿宋" w:hAnsi="仿宋" w:eastAsia="仿宋" w:cs="仿宋"/>
          <w:b/>
          <w:color w:val="auto"/>
          <w:sz w:val="24"/>
          <w:highlight w:val="none"/>
          <w:lang w:val="en-US" w:eastAsia="zh-CN"/>
        </w:rPr>
        <w:t>凡拟参加本次招标项目的供应商，如在“信用中国”网站（https://www.creditchina.gov.cn/）被列入失信被执行人、重大税收违法失信主体名单、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w:t>
      </w:r>
      <w:bookmarkEnd w:id="311"/>
    </w:p>
    <w:p w14:paraId="63ABFC43">
      <w:pPr>
        <w:pStyle w:val="3"/>
        <w:spacing w:before="0" w:line="240" w:lineRule="atLeast"/>
        <w:ind w:left="1079" w:leftChars="257" w:hanging="540"/>
        <w:rPr>
          <w:rFonts w:hint="eastAsia" w:ascii="仿宋" w:hAnsi="仿宋" w:eastAsia="仿宋" w:cs="仿宋"/>
          <w:b/>
          <w:color w:val="auto"/>
          <w:sz w:val="24"/>
          <w:highlight w:val="none"/>
          <w:lang w:val="en-US" w:eastAsia="zh-CN"/>
        </w:rPr>
      </w:pPr>
      <w:bookmarkStart w:id="316" w:name="_Toc4562"/>
      <w:r>
        <w:rPr>
          <w:rFonts w:hint="eastAsia" w:ascii="仿宋" w:hAnsi="仿宋" w:eastAsia="仿宋" w:cs="仿宋"/>
          <w:b/>
          <w:color w:val="auto"/>
          <w:sz w:val="24"/>
          <w:highlight w:val="none"/>
          <w:lang w:val="en-US" w:eastAsia="zh-CN"/>
        </w:rPr>
        <w:br w:type="column"/>
      </w:r>
      <w:r>
        <w:rPr>
          <w:rFonts w:hint="eastAsia" w:ascii="仿宋" w:hAnsi="仿宋" w:eastAsia="仿宋" w:cs="仿宋"/>
          <w:b/>
          <w:color w:val="auto"/>
          <w:sz w:val="24"/>
          <w:highlight w:val="none"/>
          <w:lang w:val="en-US" w:eastAsia="zh-CN"/>
        </w:rPr>
        <w:t>8  供应商具备履行合同所必需的设备和专业技术能力的证明材料（投标格式三）</w:t>
      </w:r>
      <w:bookmarkEnd w:id="316"/>
    </w:p>
    <w:p w14:paraId="30D9C59C">
      <w:pPr>
        <w:pStyle w:val="3"/>
        <w:spacing w:before="0" w:line="240" w:lineRule="atLeast"/>
        <w:ind w:left="1079" w:leftChars="257" w:hanging="540"/>
        <w:rPr>
          <w:rFonts w:hint="eastAsia" w:ascii="仿宋" w:hAnsi="仿宋" w:eastAsia="仿宋" w:cs="仿宋"/>
          <w:b/>
          <w:color w:val="auto"/>
          <w:sz w:val="24"/>
          <w:highlight w:val="none"/>
          <w:lang w:val="en-US" w:eastAsia="zh-CN"/>
        </w:rPr>
      </w:pPr>
      <w:bookmarkStart w:id="317" w:name="_Toc24458"/>
      <w:r>
        <w:rPr>
          <w:rFonts w:hint="eastAsia" w:ascii="仿宋" w:hAnsi="仿宋" w:eastAsia="仿宋" w:cs="仿宋"/>
          <w:color w:val="auto"/>
          <w:sz w:val="24"/>
          <w:highlight w:val="none"/>
          <w:lang w:val="en-US" w:eastAsia="zh-CN"/>
        </w:rPr>
        <w:t>8.1</w:t>
      </w:r>
      <w:r>
        <w:rPr>
          <w:rFonts w:hint="eastAsia" w:ascii="仿宋" w:hAnsi="仿宋" w:eastAsia="仿宋" w:cs="仿宋"/>
          <w:color w:val="auto"/>
          <w:kern w:val="0"/>
          <w:sz w:val="24"/>
          <w:highlight w:val="none"/>
          <w:lang w:val="en-US" w:eastAsia="zh-CN"/>
        </w:rPr>
        <w:t>具备履行合同所必需的设备和专业技术能力的承诺</w:t>
      </w:r>
      <w:bookmarkEnd w:id="317"/>
    </w:p>
    <w:p w14:paraId="66C9D139">
      <w:pPr>
        <w:pStyle w:val="16"/>
        <w:tabs>
          <w:tab w:val="left" w:pos="5580"/>
        </w:tabs>
        <w:spacing w:line="360" w:lineRule="auto"/>
        <w:ind w:left="1079" w:leftChars="257" w:hanging="540"/>
        <w:rPr>
          <w:rFonts w:hint="eastAsia" w:ascii="仿宋" w:hAnsi="仿宋" w:eastAsia="仿宋" w:cs="仿宋"/>
          <w:color w:val="auto"/>
          <w:kern w:val="0"/>
          <w:sz w:val="24"/>
          <w:highlight w:val="none"/>
          <w:lang w:val="en-US" w:eastAsia="zh-CN"/>
        </w:rPr>
      </w:pPr>
    </w:p>
    <w:p w14:paraId="65766304">
      <w:pPr>
        <w:pStyle w:val="16"/>
        <w:tabs>
          <w:tab w:val="left" w:pos="5580"/>
        </w:tabs>
        <w:spacing w:line="360" w:lineRule="auto"/>
        <w:rPr>
          <w:rFonts w:hint="eastAsia"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lang w:val="en-US" w:eastAsia="zh-CN"/>
        </w:rPr>
        <w:t>致：</w:t>
      </w:r>
      <w:r>
        <w:rPr>
          <w:rFonts w:hint="eastAsia" w:ascii="仿宋" w:hAnsi="仿宋" w:eastAsia="仿宋" w:cs="仿宋"/>
          <w:color w:val="auto"/>
          <w:kern w:val="0"/>
          <w:sz w:val="24"/>
          <w:highlight w:val="none"/>
          <w:u w:val="single"/>
          <w:lang w:val="en-US" w:eastAsia="zh-CN"/>
        </w:rPr>
        <w:t xml:space="preserve">                   采购人</w:t>
      </w:r>
    </w:p>
    <w:p w14:paraId="356E5330">
      <w:pPr>
        <w:pStyle w:val="16"/>
        <w:tabs>
          <w:tab w:val="left" w:pos="5580"/>
        </w:tabs>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我公司（</w:t>
      </w:r>
      <w:r>
        <w:rPr>
          <w:rFonts w:hint="eastAsia" w:ascii="仿宋" w:hAnsi="仿宋" w:eastAsia="仿宋" w:cs="仿宋"/>
          <w:color w:val="auto"/>
          <w:kern w:val="0"/>
          <w:sz w:val="24"/>
          <w:highlight w:val="none"/>
          <w:u w:val="single"/>
          <w:lang w:val="en-US" w:eastAsia="zh-CN"/>
        </w:rPr>
        <w:t xml:space="preserve">                     公司</w:t>
      </w:r>
      <w:r>
        <w:rPr>
          <w:rFonts w:hint="eastAsia" w:ascii="仿宋" w:hAnsi="仿宋" w:eastAsia="仿宋" w:cs="仿宋"/>
          <w:color w:val="auto"/>
          <w:kern w:val="0"/>
          <w:sz w:val="24"/>
          <w:highlight w:val="none"/>
          <w:lang w:val="en-US" w:eastAsia="zh-CN"/>
        </w:rPr>
        <w:t>）参加贵方组织的</w:t>
      </w:r>
      <w:r>
        <w:rPr>
          <w:rFonts w:hint="eastAsia" w:ascii="仿宋" w:hAnsi="仿宋" w:eastAsia="仿宋" w:cs="仿宋"/>
          <w:color w:val="auto"/>
          <w:kern w:val="0"/>
          <w:sz w:val="24"/>
          <w:highlight w:val="none"/>
          <w:u w:val="single"/>
          <w:lang w:val="en-US" w:eastAsia="zh-CN"/>
        </w:rPr>
        <w:t xml:space="preserve">               项目</w:t>
      </w:r>
      <w:r>
        <w:rPr>
          <w:rFonts w:hint="eastAsia" w:ascii="仿宋" w:hAnsi="仿宋" w:eastAsia="仿宋" w:cs="仿宋"/>
          <w:color w:val="auto"/>
          <w:kern w:val="0"/>
          <w:sz w:val="24"/>
          <w:highlight w:val="none"/>
          <w:lang w:val="en-US" w:eastAsia="zh-CN"/>
        </w:rPr>
        <w:t>（项目编号：</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en-US" w:eastAsia="zh-CN"/>
        </w:rPr>
        <w:t>）的投标活动，如我方获得中标资格，我方保证具备履行合同所必需的设备和专业技术能力，并承诺如下：</w:t>
      </w:r>
    </w:p>
    <w:p w14:paraId="7BF2127C">
      <w:pPr>
        <w:pStyle w:val="16"/>
        <w:numPr>
          <w:ilvl w:val="0"/>
          <w:numId w:val="6"/>
        </w:numPr>
        <w:tabs>
          <w:tab w:val="left" w:pos="5580"/>
        </w:tabs>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具有独立承担民事责任的能力；</w:t>
      </w:r>
    </w:p>
    <w:p w14:paraId="4775E08C">
      <w:pPr>
        <w:pStyle w:val="16"/>
        <w:numPr>
          <w:ilvl w:val="0"/>
          <w:numId w:val="6"/>
        </w:numPr>
        <w:tabs>
          <w:tab w:val="left" w:pos="5580"/>
        </w:tabs>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具有良好的商业信誉和健全的财务会计制度；</w:t>
      </w:r>
    </w:p>
    <w:p w14:paraId="511A6756">
      <w:pPr>
        <w:pStyle w:val="16"/>
        <w:numPr>
          <w:ilvl w:val="0"/>
          <w:numId w:val="6"/>
        </w:numPr>
        <w:tabs>
          <w:tab w:val="left" w:pos="5580"/>
        </w:tabs>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具有履行合同所必需的设备和专业技术能力；</w:t>
      </w:r>
    </w:p>
    <w:p w14:paraId="7D0C4575">
      <w:pPr>
        <w:pStyle w:val="16"/>
        <w:numPr>
          <w:ilvl w:val="0"/>
          <w:numId w:val="6"/>
        </w:numPr>
        <w:tabs>
          <w:tab w:val="left" w:pos="5580"/>
        </w:tabs>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参加政府采购活动前三年内，在经营活动中没有重大违法记录；</w:t>
      </w:r>
    </w:p>
    <w:p w14:paraId="4CBB2A97">
      <w:pPr>
        <w:pStyle w:val="16"/>
        <w:numPr>
          <w:ilvl w:val="0"/>
          <w:numId w:val="6"/>
        </w:numPr>
        <w:tabs>
          <w:tab w:val="left" w:pos="5580"/>
        </w:tabs>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法律、行政法规规定的其他条件；</w:t>
      </w:r>
    </w:p>
    <w:p w14:paraId="03F521BF">
      <w:pPr>
        <w:pStyle w:val="16"/>
        <w:numPr>
          <w:ilvl w:val="0"/>
          <w:numId w:val="6"/>
        </w:numPr>
        <w:tabs>
          <w:tab w:val="left" w:pos="5580"/>
        </w:tabs>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我公司已完全了解本招标文件中规定的技术要求和商务条款。</w:t>
      </w:r>
    </w:p>
    <w:p w14:paraId="1DADCA62">
      <w:pPr>
        <w:pStyle w:val="16"/>
        <w:tabs>
          <w:tab w:val="left" w:pos="5580"/>
        </w:tabs>
        <w:spacing w:line="360" w:lineRule="auto"/>
        <w:ind w:firstLine="48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同时，我公司具有很好的厂家原厂产品支持、技术服务、产品调试、系统培训及原厂售后服务承诺保证书。</w:t>
      </w:r>
    </w:p>
    <w:p w14:paraId="090EC961">
      <w:pPr>
        <w:pStyle w:val="16"/>
        <w:tabs>
          <w:tab w:val="left" w:pos="5580"/>
        </w:tabs>
        <w:spacing w:line="360" w:lineRule="auto"/>
        <w:ind w:firstLine="48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如违反以上承诺，本公司愿承担一切法律责任。</w:t>
      </w:r>
    </w:p>
    <w:p w14:paraId="4CDAD83C">
      <w:pPr>
        <w:pStyle w:val="16"/>
        <w:tabs>
          <w:tab w:val="left" w:pos="5580"/>
        </w:tabs>
        <w:spacing w:line="360" w:lineRule="auto"/>
        <w:ind w:firstLine="480"/>
        <w:rPr>
          <w:rFonts w:hint="eastAsia" w:ascii="仿宋" w:hAnsi="仿宋" w:eastAsia="仿宋" w:cs="仿宋"/>
          <w:color w:val="auto"/>
          <w:kern w:val="0"/>
          <w:sz w:val="24"/>
          <w:highlight w:val="none"/>
          <w:lang w:val="en-US" w:eastAsia="zh-CN"/>
        </w:rPr>
      </w:pPr>
    </w:p>
    <w:p w14:paraId="10AB3E02">
      <w:pPr>
        <w:pStyle w:val="16"/>
        <w:tabs>
          <w:tab w:val="left" w:pos="5580"/>
        </w:tabs>
        <w:spacing w:line="360" w:lineRule="auto"/>
        <w:ind w:firstLine="480"/>
        <w:rPr>
          <w:rFonts w:hint="eastAsia" w:ascii="仿宋" w:hAnsi="仿宋" w:eastAsia="仿宋" w:cs="仿宋"/>
          <w:color w:val="auto"/>
          <w:kern w:val="0"/>
          <w:sz w:val="24"/>
          <w:highlight w:val="none"/>
          <w:lang w:val="en-US" w:eastAsia="zh-CN"/>
        </w:rPr>
      </w:pPr>
    </w:p>
    <w:p w14:paraId="574DD74E">
      <w:pPr>
        <w:pStyle w:val="16"/>
        <w:tabs>
          <w:tab w:val="left" w:pos="5580"/>
        </w:tabs>
        <w:spacing w:line="360" w:lineRule="auto"/>
        <w:ind w:firstLine="480"/>
        <w:rPr>
          <w:rFonts w:hint="eastAsia" w:ascii="仿宋" w:hAnsi="仿宋" w:eastAsia="仿宋" w:cs="仿宋"/>
          <w:color w:val="auto"/>
          <w:kern w:val="0"/>
          <w:sz w:val="24"/>
          <w:highlight w:val="none"/>
          <w:lang w:val="en-US" w:eastAsia="zh-CN"/>
        </w:rPr>
      </w:pPr>
    </w:p>
    <w:p w14:paraId="022FEBEA">
      <w:pPr>
        <w:pStyle w:val="16"/>
        <w:tabs>
          <w:tab w:val="left" w:pos="5580"/>
        </w:tabs>
        <w:spacing w:line="360" w:lineRule="auto"/>
        <w:ind w:firstLine="480"/>
        <w:rPr>
          <w:rFonts w:hint="eastAsia" w:ascii="仿宋" w:hAnsi="仿宋" w:eastAsia="仿宋" w:cs="仿宋"/>
          <w:color w:val="auto"/>
          <w:kern w:val="0"/>
          <w:sz w:val="24"/>
          <w:highlight w:val="none"/>
          <w:lang w:val="en-US" w:eastAsia="zh-CN"/>
        </w:rPr>
      </w:pPr>
    </w:p>
    <w:p w14:paraId="5AF50F6E">
      <w:pPr>
        <w:pStyle w:val="16"/>
        <w:tabs>
          <w:tab w:val="left" w:pos="5580"/>
        </w:tabs>
        <w:spacing w:line="360" w:lineRule="auto"/>
        <w:ind w:firstLine="2640" w:firstLineChars="1100"/>
        <w:rPr>
          <w:rFonts w:hint="eastAsia"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lang w:val="en-US" w:eastAsia="zh-CN"/>
        </w:rPr>
        <w:t>法定代表人或其委托代理人：</w:t>
      </w:r>
      <w:r>
        <w:rPr>
          <w:rFonts w:hint="eastAsia" w:ascii="仿宋" w:hAnsi="仿宋" w:eastAsia="仿宋" w:cs="仿宋"/>
          <w:color w:val="auto"/>
          <w:kern w:val="0"/>
          <w:sz w:val="24"/>
          <w:highlight w:val="none"/>
          <w:u w:val="single"/>
          <w:lang w:val="en-US" w:eastAsia="zh-CN"/>
        </w:rPr>
        <w:t xml:space="preserve">                     </w:t>
      </w:r>
    </w:p>
    <w:p w14:paraId="72CCDE63">
      <w:pPr>
        <w:pStyle w:val="16"/>
        <w:tabs>
          <w:tab w:val="left" w:pos="5580"/>
        </w:tabs>
        <w:spacing w:line="360" w:lineRule="auto"/>
        <w:ind w:firstLine="480" w:firstLineChars="200"/>
        <w:jc w:val="center"/>
        <w:rPr>
          <w:rFonts w:hint="eastAsia"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lang w:val="en-US" w:eastAsia="zh-CN"/>
        </w:rPr>
        <w:t xml:space="preserve">    供应商：</w:t>
      </w:r>
      <w:r>
        <w:rPr>
          <w:rFonts w:hint="eastAsia" w:ascii="仿宋" w:hAnsi="仿宋" w:eastAsia="仿宋" w:cs="仿宋"/>
          <w:color w:val="auto"/>
          <w:kern w:val="0"/>
          <w:sz w:val="24"/>
          <w:highlight w:val="none"/>
          <w:u w:val="single"/>
          <w:lang w:val="en-US" w:eastAsia="zh-CN"/>
        </w:rPr>
        <w:t xml:space="preserve">        （电子签章）                   </w:t>
      </w:r>
    </w:p>
    <w:p w14:paraId="416FDE3C">
      <w:pPr>
        <w:pStyle w:val="16"/>
        <w:tabs>
          <w:tab w:val="left" w:pos="5580"/>
        </w:tabs>
        <w:spacing w:line="360" w:lineRule="auto"/>
        <w:ind w:firstLine="480" w:firstLineChars="200"/>
        <w:jc w:val="center"/>
        <w:rPr>
          <w:rFonts w:hint="eastAsia"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lang w:val="en-US" w:eastAsia="zh-CN"/>
        </w:rPr>
        <w:t xml:space="preserve">日期： </w:t>
      </w:r>
      <w:r>
        <w:rPr>
          <w:rFonts w:hint="eastAsia" w:ascii="仿宋" w:hAnsi="仿宋" w:eastAsia="仿宋" w:cs="仿宋"/>
          <w:color w:val="auto"/>
          <w:kern w:val="0"/>
          <w:sz w:val="24"/>
          <w:highlight w:val="none"/>
          <w:u w:val="single"/>
          <w:lang w:val="en-US" w:eastAsia="zh-CN"/>
        </w:rPr>
        <w:t xml:space="preserve"> 2026年     月     日                   </w:t>
      </w:r>
    </w:p>
    <w:p w14:paraId="1115A11E">
      <w:pPr>
        <w:pStyle w:val="3"/>
        <w:spacing w:before="0" w:line="240" w:lineRule="atLeast"/>
        <w:ind w:left="1079" w:leftChars="257" w:hanging="540"/>
        <w:rPr>
          <w:rFonts w:hint="eastAsia" w:ascii="仿宋" w:hAnsi="仿宋" w:eastAsia="仿宋" w:cs="仿宋"/>
          <w:b/>
          <w:color w:val="auto"/>
          <w:sz w:val="24"/>
          <w:highlight w:val="none"/>
          <w:lang w:val="en-US" w:eastAsia="zh-CN"/>
        </w:rPr>
      </w:pPr>
      <w:r>
        <w:rPr>
          <w:rFonts w:hint="eastAsia" w:ascii="仿宋" w:hAnsi="仿宋" w:eastAsia="仿宋" w:cs="仿宋"/>
          <w:color w:val="auto"/>
          <w:kern w:val="0"/>
          <w:sz w:val="24"/>
          <w:highlight w:val="none"/>
          <w:lang w:val="en-US" w:eastAsia="zh-CN"/>
        </w:rPr>
        <w:br w:type="page"/>
      </w:r>
      <w:bookmarkStart w:id="318" w:name="_Toc23323"/>
      <w:r>
        <w:rPr>
          <w:rFonts w:hint="eastAsia" w:ascii="仿宋" w:hAnsi="仿宋" w:eastAsia="仿宋" w:cs="仿宋"/>
          <w:kern w:val="0"/>
          <w:sz w:val="24"/>
          <w:lang w:val="en-US" w:eastAsia="zh-CN"/>
        </w:rPr>
        <w:t>8.2具备履行合同所必须的设备表</w:t>
      </w:r>
      <w:bookmarkEnd w:id="318"/>
    </w:p>
    <w:p w14:paraId="14A9F0D3">
      <w:pPr>
        <w:pStyle w:val="16"/>
        <w:tabs>
          <w:tab w:val="left" w:pos="5580"/>
        </w:tabs>
        <w:spacing w:line="360" w:lineRule="auto"/>
        <w:rPr>
          <w:rFonts w:hint="eastAsia" w:ascii="仿宋" w:hAnsi="仿宋" w:eastAsia="仿宋" w:cs="仿宋"/>
          <w:kern w:val="0"/>
          <w:sz w:val="24"/>
          <w:lang w:val="en-US" w:eastAsia="zh-CN"/>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1728"/>
        <w:gridCol w:w="2078"/>
        <w:gridCol w:w="764"/>
        <w:gridCol w:w="1711"/>
        <w:gridCol w:w="1133"/>
      </w:tblGrid>
      <w:tr w14:paraId="6219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13E0D22D">
            <w:pPr>
              <w:pStyle w:val="16"/>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序号</w:t>
            </w:r>
          </w:p>
        </w:tc>
        <w:tc>
          <w:tcPr>
            <w:tcW w:w="1728" w:type="dxa"/>
            <w:noWrap w:val="0"/>
            <w:vAlign w:val="center"/>
          </w:tcPr>
          <w:p w14:paraId="3C70F542">
            <w:pPr>
              <w:pStyle w:val="16"/>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设备名称</w:t>
            </w:r>
          </w:p>
        </w:tc>
        <w:tc>
          <w:tcPr>
            <w:tcW w:w="2078" w:type="dxa"/>
            <w:noWrap w:val="0"/>
            <w:vAlign w:val="center"/>
          </w:tcPr>
          <w:p w14:paraId="2D1D59DE">
            <w:pPr>
              <w:pStyle w:val="16"/>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品牌、规格型号</w:t>
            </w:r>
          </w:p>
        </w:tc>
        <w:tc>
          <w:tcPr>
            <w:tcW w:w="764" w:type="dxa"/>
            <w:noWrap w:val="0"/>
            <w:vAlign w:val="center"/>
          </w:tcPr>
          <w:p w14:paraId="48752AEA">
            <w:pPr>
              <w:pStyle w:val="16"/>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数量</w:t>
            </w:r>
          </w:p>
        </w:tc>
        <w:tc>
          <w:tcPr>
            <w:tcW w:w="1711" w:type="dxa"/>
            <w:noWrap w:val="0"/>
            <w:vAlign w:val="center"/>
          </w:tcPr>
          <w:p w14:paraId="7114D5A8">
            <w:pPr>
              <w:pStyle w:val="16"/>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主要技术参数</w:t>
            </w:r>
          </w:p>
        </w:tc>
        <w:tc>
          <w:tcPr>
            <w:tcW w:w="1133" w:type="dxa"/>
            <w:noWrap w:val="0"/>
            <w:vAlign w:val="center"/>
          </w:tcPr>
          <w:p w14:paraId="5E811C6D">
            <w:pPr>
              <w:pStyle w:val="16"/>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备注</w:t>
            </w:r>
          </w:p>
        </w:tc>
      </w:tr>
      <w:tr w14:paraId="6D8D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54D93670">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28" w:type="dxa"/>
            <w:noWrap w:val="0"/>
            <w:vAlign w:val="center"/>
          </w:tcPr>
          <w:p w14:paraId="27B0F5F5">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2078" w:type="dxa"/>
            <w:noWrap w:val="0"/>
            <w:vAlign w:val="center"/>
          </w:tcPr>
          <w:p w14:paraId="3D147AB3">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764" w:type="dxa"/>
            <w:noWrap w:val="0"/>
            <w:vAlign w:val="center"/>
          </w:tcPr>
          <w:p w14:paraId="6588CE01">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11" w:type="dxa"/>
            <w:noWrap w:val="0"/>
            <w:vAlign w:val="center"/>
          </w:tcPr>
          <w:p w14:paraId="4F93FF69">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133" w:type="dxa"/>
            <w:noWrap w:val="0"/>
            <w:vAlign w:val="center"/>
          </w:tcPr>
          <w:p w14:paraId="08DC656A">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r>
      <w:tr w14:paraId="1AD5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4D56D520">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28" w:type="dxa"/>
            <w:noWrap w:val="0"/>
            <w:vAlign w:val="center"/>
          </w:tcPr>
          <w:p w14:paraId="308B1F31">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2078" w:type="dxa"/>
            <w:noWrap w:val="0"/>
            <w:vAlign w:val="center"/>
          </w:tcPr>
          <w:p w14:paraId="350DBFD4">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764" w:type="dxa"/>
            <w:noWrap w:val="0"/>
            <w:vAlign w:val="center"/>
          </w:tcPr>
          <w:p w14:paraId="24149E7E">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11" w:type="dxa"/>
            <w:noWrap w:val="0"/>
            <w:vAlign w:val="center"/>
          </w:tcPr>
          <w:p w14:paraId="7EBB7A49">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133" w:type="dxa"/>
            <w:noWrap w:val="0"/>
            <w:vAlign w:val="center"/>
          </w:tcPr>
          <w:p w14:paraId="4032F93E">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r>
      <w:tr w14:paraId="0644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394A3A05">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28" w:type="dxa"/>
            <w:noWrap w:val="0"/>
            <w:vAlign w:val="center"/>
          </w:tcPr>
          <w:p w14:paraId="234E7C25">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2078" w:type="dxa"/>
            <w:noWrap w:val="0"/>
            <w:vAlign w:val="center"/>
          </w:tcPr>
          <w:p w14:paraId="018E3D6E">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764" w:type="dxa"/>
            <w:noWrap w:val="0"/>
            <w:vAlign w:val="center"/>
          </w:tcPr>
          <w:p w14:paraId="6A11B6FA">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11" w:type="dxa"/>
            <w:noWrap w:val="0"/>
            <w:vAlign w:val="center"/>
          </w:tcPr>
          <w:p w14:paraId="6D759D97">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133" w:type="dxa"/>
            <w:noWrap w:val="0"/>
            <w:vAlign w:val="center"/>
          </w:tcPr>
          <w:p w14:paraId="701C2AE4">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r>
      <w:tr w14:paraId="5DEF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6DCAA49F">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28" w:type="dxa"/>
            <w:noWrap w:val="0"/>
            <w:vAlign w:val="center"/>
          </w:tcPr>
          <w:p w14:paraId="68A47D04">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2078" w:type="dxa"/>
            <w:noWrap w:val="0"/>
            <w:vAlign w:val="center"/>
          </w:tcPr>
          <w:p w14:paraId="25DE4181">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764" w:type="dxa"/>
            <w:noWrap w:val="0"/>
            <w:vAlign w:val="center"/>
          </w:tcPr>
          <w:p w14:paraId="2B54C284">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11" w:type="dxa"/>
            <w:noWrap w:val="0"/>
            <w:vAlign w:val="center"/>
          </w:tcPr>
          <w:p w14:paraId="385B53E0">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133" w:type="dxa"/>
            <w:noWrap w:val="0"/>
            <w:vAlign w:val="center"/>
          </w:tcPr>
          <w:p w14:paraId="02B05B6B">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r>
      <w:tr w14:paraId="6D28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7E66EE3F">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28" w:type="dxa"/>
            <w:noWrap w:val="0"/>
            <w:vAlign w:val="center"/>
          </w:tcPr>
          <w:p w14:paraId="6A79219A">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2078" w:type="dxa"/>
            <w:noWrap w:val="0"/>
            <w:vAlign w:val="center"/>
          </w:tcPr>
          <w:p w14:paraId="6473BE5F">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764" w:type="dxa"/>
            <w:noWrap w:val="0"/>
            <w:vAlign w:val="center"/>
          </w:tcPr>
          <w:p w14:paraId="53A12712">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11" w:type="dxa"/>
            <w:noWrap w:val="0"/>
            <w:vAlign w:val="center"/>
          </w:tcPr>
          <w:p w14:paraId="0A574EB7">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133" w:type="dxa"/>
            <w:noWrap w:val="0"/>
            <w:vAlign w:val="center"/>
          </w:tcPr>
          <w:p w14:paraId="62B723AD">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r>
      <w:tr w14:paraId="2D56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166C8AF7">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28" w:type="dxa"/>
            <w:noWrap w:val="0"/>
            <w:vAlign w:val="center"/>
          </w:tcPr>
          <w:p w14:paraId="5C5D22DF">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2078" w:type="dxa"/>
            <w:noWrap w:val="0"/>
            <w:vAlign w:val="center"/>
          </w:tcPr>
          <w:p w14:paraId="18F87F5A">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764" w:type="dxa"/>
            <w:noWrap w:val="0"/>
            <w:vAlign w:val="center"/>
          </w:tcPr>
          <w:p w14:paraId="6C58A522">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11" w:type="dxa"/>
            <w:noWrap w:val="0"/>
            <w:vAlign w:val="center"/>
          </w:tcPr>
          <w:p w14:paraId="7049BB80">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133" w:type="dxa"/>
            <w:noWrap w:val="0"/>
            <w:vAlign w:val="center"/>
          </w:tcPr>
          <w:p w14:paraId="21D14647">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r>
      <w:tr w14:paraId="0AF7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2C06ED19">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28" w:type="dxa"/>
            <w:noWrap w:val="0"/>
            <w:vAlign w:val="center"/>
          </w:tcPr>
          <w:p w14:paraId="5CC7F723">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2078" w:type="dxa"/>
            <w:noWrap w:val="0"/>
            <w:vAlign w:val="center"/>
          </w:tcPr>
          <w:p w14:paraId="2D251E25">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764" w:type="dxa"/>
            <w:noWrap w:val="0"/>
            <w:vAlign w:val="center"/>
          </w:tcPr>
          <w:p w14:paraId="04A0486C">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11" w:type="dxa"/>
            <w:noWrap w:val="0"/>
            <w:vAlign w:val="center"/>
          </w:tcPr>
          <w:p w14:paraId="49517C75">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133" w:type="dxa"/>
            <w:noWrap w:val="0"/>
            <w:vAlign w:val="center"/>
          </w:tcPr>
          <w:p w14:paraId="5B861512">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r>
      <w:tr w14:paraId="1F19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74B44817">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28" w:type="dxa"/>
            <w:noWrap w:val="0"/>
            <w:vAlign w:val="center"/>
          </w:tcPr>
          <w:p w14:paraId="5755F754">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2078" w:type="dxa"/>
            <w:noWrap w:val="0"/>
            <w:vAlign w:val="center"/>
          </w:tcPr>
          <w:p w14:paraId="0F4C8B26">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764" w:type="dxa"/>
            <w:noWrap w:val="0"/>
            <w:vAlign w:val="center"/>
          </w:tcPr>
          <w:p w14:paraId="2A121CE8">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11" w:type="dxa"/>
            <w:noWrap w:val="0"/>
            <w:vAlign w:val="center"/>
          </w:tcPr>
          <w:p w14:paraId="677DCC2B">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133" w:type="dxa"/>
            <w:noWrap w:val="0"/>
            <w:vAlign w:val="center"/>
          </w:tcPr>
          <w:p w14:paraId="6165235D">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r>
      <w:tr w14:paraId="4829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4D94B899">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28" w:type="dxa"/>
            <w:noWrap w:val="0"/>
            <w:vAlign w:val="center"/>
          </w:tcPr>
          <w:p w14:paraId="4F5B51B5">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2078" w:type="dxa"/>
            <w:noWrap w:val="0"/>
            <w:vAlign w:val="center"/>
          </w:tcPr>
          <w:p w14:paraId="1FB22ABD">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764" w:type="dxa"/>
            <w:noWrap w:val="0"/>
            <w:vAlign w:val="center"/>
          </w:tcPr>
          <w:p w14:paraId="5881715B">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11" w:type="dxa"/>
            <w:noWrap w:val="0"/>
            <w:vAlign w:val="center"/>
          </w:tcPr>
          <w:p w14:paraId="72BFAA4D">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133" w:type="dxa"/>
            <w:noWrap w:val="0"/>
            <w:vAlign w:val="center"/>
          </w:tcPr>
          <w:p w14:paraId="20F32EA6">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r>
      <w:tr w14:paraId="1318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213C3A69">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28" w:type="dxa"/>
            <w:noWrap w:val="0"/>
            <w:vAlign w:val="center"/>
          </w:tcPr>
          <w:p w14:paraId="10FF136C">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2078" w:type="dxa"/>
            <w:noWrap w:val="0"/>
            <w:vAlign w:val="center"/>
          </w:tcPr>
          <w:p w14:paraId="26B16E8B">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764" w:type="dxa"/>
            <w:noWrap w:val="0"/>
            <w:vAlign w:val="center"/>
          </w:tcPr>
          <w:p w14:paraId="0DBDCA4D">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11" w:type="dxa"/>
            <w:noWrap w:val="0"/>
            <w:vAlign w:val="center"/>
          </w:tcPr>
          <w:p w14:paraId="7698A0EF">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133" w:type="dxa"/>
            <w:noWrap w:val="0"/>
            <w:vAlign w:val="center"/>
          </w:tcPr>
          <w:p w14:paraId="5CD668E4">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r>
    </w:tbl>
    <w:p w14:paraId="17A27E14">
      <w:pPr>
        <w:pStyle w:val="16"/>
        <w:tabs>
          <w:tab w:val="left" w:pos="5580"/>
        </w:tabs>
        <w:spacing w:line="240" w:lineRule="atLeast"/>
        <w:ind w:left="1079" w:leftChars="257" w:hanging="540"/>
        <w:rPr>
          <w:rFonts w:hint="eastAsia" w:ascii="仿宋" w:hAnsi="仿宋" w:eastAsia="仿宋" w:cs="仿宋"/>
          <w:kern w:val="0"/>
          <w:sz w:val="24"/>
          <w:lang w:val="en-US" w:eastAsia="zh-CN"/>
        </w:rPr>
      </w:pPr>
    </w:p>
    <w:p w14:paraId="24E0ACA8">
      <w:pPr>
        <w:pStyle w:val="16"/>
        <w:tabs>
          <w:tab w:val="left" w:pos="5580"/>
        </w:tabs>
        <w:spacing w:line="240" w:lineRule="atLeast"/>
        <w:ind w:left="1079" w:leftChars="257" w:hanging="540"/>
        <w:rPr>
          <w:rFonts w:hint="eastAsia" w:ascii="仿宋" w:hAnsi="仿宋" w:eastAsia="仿宋" w:cs="仿宋"/>
          <w:kern w:val="0"/>
          <w:sz w:val="24"/>
          <w:lang w:val="en-US" w:eastAsia="zh-CN"/>
        </w:rPr>
      </w:pPr>
    </w:p>
    <w:p w14:paraId="2CBF71C0">
      <w:pPr>
        <w:pStyle w:val="16"/>
        <w:tabs>
          <w:tab w:val="left" w:pos="5580"/>
        </w:tabs>
        <w:spacing w:line="240" w:lineRule="atLeast"/>
        <w:ind w:left="1079" w:leftChars="257" w:hanging="540"/>
        <w:rPr>
          <w:rFonts w:hint="eastAsia" w:ascii="仿宋" w:hAnsi="仿宋" w:eastAsia="仿宋" w:cs="仿宋"/>
          <w:kern w:val="0"/>
          <w:sz w:val="24"/>
          <w:lang w:val="en-US" w:eastAsia="zh-CN"/>
        </w:rPr>
      </w:pPr>
    </w:p>
    <w:p w14:paraId="71374A6C">
      <w:pPr>
        <w:pStyle w:val="16"/>
        <w:tabs>
          <w:tab w:val="left" w:pos="5580"/>
        </w:tabs>
        <w:spacing w:line="240" w:lineRule="atLeast"/>
        <w:ind w:left="1079" w:leftChars="257" w:hanging="540"/>
        <w:rPr>
          <w:rFonts w:hint="eastAsia" w:ascii="仿宋" w:hAnsi="仿宋" w:eastAsia="仿宋" w:cs="仿宋"/>
          <w:kern w:val="0"/>
          <w:sz w:val="24"/>
          <w:lang w:val="en-US" w:eastAsia="zh-CN"/>
        </w:rPr>
      </w:pPr>
    </w:p>
    <w:p w14:paraId="4F7F44E1">
      <w:pPr>
        <w:pStyle w:val="16"/>
        <w:tabs>
          <w:tab w:val="left" w:pos="5580"/>
        </w:tabs>
        <w:spacing w:line="240" w:lineRule="atLeast"/>
        <w:rPr>
          <w:rFonts w:hint="eastAsia" w:ascii="仿宋" w:hAnsi="仿宋" w:eastAsia="仿宋" w:cs="仿宋"/>
          <w:kern w:val="0"/>
          <w:sz w:val="24"/>
          <w:lang w:val="en-US" w:eastAsia="zh-CN"/>
        </w:rPr>
      </w:pPr>
    </w:p>
    <w:p w14:paraId="68CEF3D7">
      <w:pPr>
        <w:pStyle w:val="16"/>
        <w:tabs>
          <w:tab w:val="left" w:pos="5580"/>
        </w:tabs>
        <w:spacing w:line="240" w:lineRule="atLeast"/>
        <w:ind w:left="1079" w:leftChars="257" w:hanging="540"/>
        <w:rPr>
          <w:rFonts w:hint="eastAsia" w:ascii="仿宋" w:hAnsi="仿宋" w:eastAsia="仿宋" w:cs="仿宋"/>
          <w:kern w:val="0"/>
          <w:sz w:val="24"/>
          <w:lang w:val="en-US" w:eastAsia="zh-CN"/>
        </w:rPr>
      </w:pPr>
    </w:p>
    <w:p w14:paraId="3A4C2DA6">
      <w:pPr>
        <w:pStyle w:val="16"/>
        <w:tabs>
          <w:tab w:val="left" w:pos="5580"/>
        </w:tabs>
        <w:spacing w:line="360" w:lineRule="auto"/>
        <w:ind w:firstLine="2880" w:firstLineChars="1200"/>
        <w:rPr>
          <w:rFonts w:hint="eastAsia" w:ascii="仿宋" w:hAnsi="仿宋" w:eastAsia="仿宋" w:cs="仿宋"/>
          <w:kern w:val="0"/>
          <w:sz w:val="24"/>
          <w:u w:val="single"/>
          <w:lang w:val="en-US" w:eastAsia="zh-CN"/>
        </w:rPr>
      </w:pPr>
      <w:r>
        <w:rPr>
          <w:rFonts w:hint="eastAsia" w:ascii="仿宋" w:hAnsi="仿宋" w:eastAsia="仿宋" w:cs="仿宋"/>
          <w:kern w:val="0"/>
          <w:sz w:val="24"/>
          <w:lang w:val="en-US" w:eastAsia="zh-CN"/>
        </w:rPr>
        <w:t>法定代表人或其委托代理人：</w:t>
      </w:r>
      <w:r>
        <w:rPr>
          <w:rFonts w:hint="eastAsia" w:ascii="仿宋" w:hAnsi="仿宋" w:eastAsia="仿宋" w:cs="仿宋"/>
          <w:kern w:val="0"/>
          <w:sz w:val="24"/>
          <w:u w:val="single"/>
          <w:lang w:val="en-US" w:eastAsia="zh-CN"/>
        </w:rPr>
        <w:t xml:space="preserve">                     </w:t>
      </w:r>
    </w:p>
    <w:p w14:paraId="2BC17170">
      <w:pPr>
        <w:pStyle w:val="16"/>
        <w:tabs>
          <w:tab w:val="left" w:pos="5580"/>
        </w:tabs>
        <w:spacing w:line="360" w:lineRule="auto"/>
        <w:ind w:firstLine="480" w:firstLineChars="200"/>
        <w:jc w:val="center"/>
        <w:rPr>
          <w:rFonts w:hint="eastAsia" w:ascii="仿宋" w:hAnsi="仿宋" w:eastAsia="仿宋" w:cs="仿宋"/>
          <w:kern w:val="0"/>
          <w:sz w:val="24"/>
          <w:u w:val="single"/>
          <w:lang w:val="en-US" w:eastAsia="zh-CN"/>
        </w:rPr>
      </w:pPr>
      <w:r>
        <w:rPr>
          <w:rFonts w:hint="eastAsia" w:ascii="仿宋" w:hAnsi="仿宋" w:eastAsia="仿宋" w:cs="仿宋"/>
          <w:kern w:val="0"/>
          <w:sz w:val="24"/>
          <w:lang w:val="en-US" w:eastAsia="zh-CN"/>
        </w:rPr>
        <w:t xml:space="preserve">       供应商：</w:t>
      </w:r>
      <w:r>
        <w:rPr>
          <w:rFonts w:hint="eastAsia" w:ascii="仿宋" w:hAnsi="仿宋" w:eastAsia="仿宋" w:cs="仿宋"/>
          <w:kern w:val="0"/>
          <w:sz w:val="24"/>
          <w:u w:val="single"/>
          <w:lang w:val="en-US" w:eastAsia="zh-CN"/>
        </w:rPr>
        <w:t xml:space="preserve">        （电子签章）                   </w:t>
      </w:r>
    </w:p>
    <w:p w14:paraId="5B88BD60">
      <w:pPr>
        <w:pStyle w:val="16"/>
        <w:tabs>
          <w:tab w:val="left" w:pos="5580"/>
        </w:tabs>
        <w:spacing w:line="240" w:lineRule="atLeast"/>
        <w:ind w:left="1257" w:leftChars="599" w:firstLine="1540" w:firstLineChars="642"/>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 xml:space="preserve">日期： </w:t>
      </w:r>
      <w:r>
        <w:rPr>
          <w:rFonts w:hint="eastAsia" w:ascii="仿宋" w:hAnsi="仿宋" w:eastAsia="仿宋" w:cs="仿宋"/>
          <w:kern w:val="0"/>
          <w:sz w:val="24"/>
          <w:highlight w:val="none"/>
          <w:u w:val="single"/>
          <w:lang w:val="en-US" w:eastAsia="zh-CN"/>
        </w:rPr>
        <w:t xml:space="preserve"> 2026</w:t>
      </w:r>
      <w:r>
        <w:rPr>
          <w:rFonts w:hint="eastAsia" w:ascii="仿宋" w:hAnsi="仿宋" w:eastAsia="仿宋" w:cs="仿宋"/>
          <w:kern w:val="0"/>
          <w:sz w:val="24"/>
          <w:u w:val="single"/>
          <w:lang w:val="en-US" w:eastAsia="zh-CN"/>
        </w:rPr>
        <w:t xml:space="preserve">年     月     日                  </w:t>
      </w:r>
    </w:p>
    <w:p w14:paraId="63775B29">
      <w:pPr>
        <w:pStyle w:val="16"/>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35867F0D">
      <w:pPr>
        <w:pStyle w:val="3"/>
        <w:spacing w:before="0" w:line="240" w:lineRule="atLeast"/>
        <w:ind w:left="1079" w:leftChars="257" w:hanging="540"/>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br w:type="page"/>
      </w:r>
      <w:bookmarkStart w:id="319" w:name="_Toc32169"/>
      <w:r>
        <w:rPr>
          <w:rFonts w:hint="eastAsia" w:ascii="仿宋" w:hAnsi="仿宋" w:eastAsia="仿宋" w:cs="仿宋"/>
          <w:kern w:val="0"/>
          <w:sz w:val="24"/>
          <w:lang w:val="en-US" w:eastAsia="zh-CN"/>
        </w:rPr>
        <w:t>8.3具备履行合同所必须的专业技术能力</w:t>
      </w:r>
      <w:bookmarkEnd w:id="319"/>
    </w:p>
    <w:p w14:paraId="5A1821B6">
      <w:pPr>
        <w:pStyle w:val="16"/>
        <w:tabs>
          <w:tab w:val="left" w:pos="5580"/>
        </w:tabs>
        <w:spacing w:line="240" w:lineRule="atLeast"/>
        <w:jc w:val="left"/>
        <w:rPr>
          <w:rFonts w:hint="eastAsia" w:ascii="仿宋" w:hAnsi="仿宋" w:eastAsia="仿宋" w:cs="仿宋"/>
          <w:kern w:val="0"/>
          <w:sz w:val="24"/>
          <w:lang w:val="en-US" w:eastAsia="zh-CN"/>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220"/>
        <w:gridCol w:w="1256"/>
        <w:gridCol w:w="1789"/>
      </w:tblGrid>
      <w:tr w14:paraId="7E93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1421" w:type="dxa"/>
            <w:noWrap w:val="0"/>
            <w:vAlign w:val="center"/>
          </w:tcPr>
          <w:p w14:paraId="3123F8F7">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岗位</w:t>
            </w:r>
          </w:p>
        </w:tc>
        <w:tc>
          <w:tcPr>
            <w:tcW w:w="1421" w:type="dxa"/>
            <w:noWrap w:val="0"/>
            <w:vAlign w:val="center"/>
          </w:tcPr>
          <w:p w14:paraId="71AA8AC1">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姓名</w:t>
            </w:r>
          </w:p>
        </w:tc>
        <w:tc>
          <w:tcPr>
            <w:tcW w:w="1421" w:type="dxa"/>
            <w:noWrap w:val="0"/>
            <w:vAlign w:val="center"/>
          </w:tcPr>
          <w:p w14:paraId="58F9832D">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岗位职责</w:t>
            </w:r>
          </w:p>
        </w:tc>
        <w:tc>
          <w:tcPr>
            <w:tcW w:w="1220" w:type="dxa"/>
            <w:noWrap w:val="0"/>
            <w:vAlign w:val="center"/>
          </w:tcPr>
          <w:p w14:paraId="6439A4D6">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性别</w:t>
            </w:r>
          </w:p>
        </w:tc>
        <w:tc>
          <w:tcPr>
            <w:tcW w:w="1256" w:type="dxa"/>
            <w:noWrap w:val="0"/>
            <w:vAlign w:val="center"/>
          </w:tcPr>
          <w:p w14:paraId="5F183BAA">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工作年限</w:t>
            </w:r>
          </w:p>
        </w:tc>
        <w:tc>
          <w:tcPr>
            <w:tcW w:w="1789" w:type="dxa"/>
            <w:noWrap w:val="0"/>
            <w:vAlign w:val="center"/>
          </w:tcPr>
          <w:p w14:paraId="7FD46B12">
            <w:pPr>
              <w:pStyle w:val="16"/>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岗位证书（资格证书、职称证书）及编号</w:t>
            </w:r>
          </w:p>
        </w:tc>
      </w:tr>
      <w:tr w14:paraId="1FBD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1" w:type="dxa"/>
            <w:noWrap w:val="0"/>
            <w:vAlign w:val="top"/>
          </w:tcPr>
          <w:p w14:paraId="14C25485">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421" w:type="dxa"/>
            <w:noWrap w:val="0"/>
            <w:vAlign w:val="top"/>
          </w:tcPr>
          <w:p w14:paraId="6CD52502">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421" w:type="dxa"/>
            <w:noWrap w:val="0"/>
            <w:vAlign w:val="top"/>
          </w:tcPr>
          <w:p w14:paraId="1CFA6A03">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220" w:type="dxa"/>
            <w:noWrap w:val="0"/>
            <w:vAlign w:val="top"/>
          </w:tcPr>
          <w:p w14:paraId="112C8467">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256" w:type="dxa"/>
            <w:noWrap w:val="0"/>
            <w:vAlign w:val="top"/>
          </w:tcPr>
          <w:p w14:paraId="05A2A00D">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789" w:type="dxa"/>
            <w:noWrap w:val="0"/>
            <w:vAlign w:val="top"/>
          </w:tcPr>
          <w:p w14:paraId="0C8700E5">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r>
      <w:tr w14:paraId="7390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1" w:type="dxa"/>
            <w:noWrap w:val="0"/>
            <w:vAlign w:val="top"/>
          </w:tcPr>
          <w:p w14:paraId="689721F4">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421" w:type="dxa"/>
            <w:noWrap w:val="0"/>
            <w:vAlign w:val="top"/>
          </w:tcPr>
          <w:p w14:paraId="386C34D1">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421" w:type="dxa"/>
            <w:noWrap w:val="0"/>
            <w:vAlign w:val="top"/>
          </w:tcPr>
          <w:p w14:paraId="705836F8">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220" w:type="dxa"/>
            <w:noWrap w:val="0"/>
            <w:vAlign w:val="top"/>
          </w:tcPr>
          <w:p w14:paraId="273C5F16">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256" w:type="dxa"/>
            <w:noWrap w:val="0"/>
            <w:vAlign w:val="top"/>
          </w:tcPr>
          <w:p w14:paraId="5C756D22">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789" w:type="dxa"/>
            <w:noWrap w:val="0"/>
            <w:vAlign w:val="top"/>
          </w:tcPr>
          <w:p w14:paraId="13ED15B4">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r>
      <w:tr w14:paraId="332F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1" w:type="dxa"/>
            <w:noWrap w:val="0"/>
            <w:vAlign w:val="top"/>
          </w:tcPr>
          <w:p w14:paraId="6A72C9B2">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421" w:type="dxa"/>
            <w:noWrap w:val="0"/>
            <w:vAlign w:val="top"/>
          </w:tcPr>
          <w:p w14:paraId="2BF6C145">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421" w:type="dxa"/>
            <w:noWrap w:val="0"/>
            <w:vAlign w:val="top"/>
          </w:tcPr>
          <w:p w14:paraId="64EB5AE2">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220" w:type="dxa"/>
            <w:noWrap w:val="0"/>
            <w:vAlign w:val="top"/>
          </w:tcPr>
          <w:p w14:paraId="22A172DA">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256" w:type="dxa"/>
            <w:noWrap w:val="0"/>
            <w:vAlign w:val="top"/>
          </w:tcPr>
          <w:p w14:paraId="29A138DB">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789" w:type="dxa"/>
            <w:noWrap w:val="0"/>
            <w:vAlign w:val="top"/>
          </w:tcPr>
          <w:p w14:paraId="518A71D9">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r>
      <w:tr w14:paraId="4CDE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1" w:type="dxa"/>
            <w:noWrap w:val="0"/>
            <w:vAlign w:val="top"/>
          </w:tcPr>
          <w:p w14:paraId="29A56B75">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421" w:type="dxa"/>
            <w:noWrap w:val="0"/>
            <w:vAlign w:val="top"/>
          </w:tcPr>
          <w:p w14:paraId="4CD3B968">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421" w:type="dxa"/>
            <w:noWrap w:val="0"/>
            <w:vAlign w:val="top"/>
          </w:tcPr>
          <w:p w14:paraId="49738979">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220" w:type="dxa"/>
            <w:noWrap w:val="0"/>
            <w:vAlign w:val="top"/>
          </w:tcPr>
          <w:p w14:paraId="45E292E0">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256" w:type="dxa"/>
            <w:noWrap w:val="0"/>
            <w:vAlign w:val="top"/>
          </w:tcPr>
          <w:p w14:paraId="7F398D16">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789" w:type="dxa"/>
            <w:noWrap w:val="0"/>
            <w:vAlign w:val="top"/>
          </w:tcPr>
          <w:p w14:paraId="11EEC6FB">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r>
      <w:tr w14:paraId="5D73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1" w:type="dxa"/>
            <w:noWrap w:val="0"/>
            <w:vAlign w:val="top"/>
          </w:tcPr>
          <w:p w14:paraId="358EB577">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421" w:type="dxa"/>
            <w:noWrap w:val="0"/>
            <w:vAlign w:val="top"/>
          </w:tcPr>
          <w:p w14:paraId="1114A085">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421" w:type="dxa"/>
            <w:noWrap w:val="0"/>
            <w:vAlign w:val="top"/>
          </w:tcPr>
          <w:p w14:paraId="699A7DD9">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220" w:type="dxa"/>
            <w:noWrap w:val="0"/>
            <w:vAlign w:val="top"/>
          </w:tcPr>
          <w:p w14:paraId="60183A8E">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256" w:type="dxa"/>
            <w:noWrap w:val="0"/>
            <w:vAlign w:val="top"/>
          </w:tcPr>
          <w:p w14:paraId="7609630B">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789" w:type="dxa"/>
            <w:noWrap w:val="0"/>
            <w:vAlign w:val="top"/>
          </w:tcPr>
          <w:p w14:paraId="0140E2D2">
            <w:pPr>
              <w:pStyle w:val="16"/>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r>
    </w:tbl>
    <w:p w14:paraId="14074A29">
      <w:pPr>
        <w:pStyle w:val="16"/>
        <w:tabs>
          <w:tab w:val="left" w:pos="5580"/>
        </w:tabs>
        <w:spacing w:line="240" w:lineRule="atLeast"/>
        <w:ind w:left="1079" w:leftChars="257" w:hanging="540"/>
        <w:rPr>
          <w:rFonts w:hint="eastAsia" w:ascii="仿宋" w:hAnsi="仿宋" w:eastAsia="仿宋" w:cs="仿宋"/>
          <w:kern w:val="0"/>
          <w:sz w:val="24"/>
          <w:lang w:val="en-US" w:eastAsia="zh-CN"/>
        </w:rPr>
      </w:pPr>
    </w:p>
    <w:p w14:paraId="4BDE8CE9">
      <w:pPr>
        <w:pStyle w:val="16"/>
        <w:tabs>
          <w:tab w:val="left" w:pos="5580"/>
        </w:tabs>
        <w:spacing w:line="240" w:lineRule="atLeast"/>
        <w:ind w:left="1079" w:leftChars="257" w:hanging="540"/>
        <w:rPr>
          <w:rFonts w:hint="eastAsia" w:ascii="仿宋" w:hAnsi="仿宋" w:eastAsia="仿宋" w:cs="仿宋"/>
          <w:kern w:val="0"/>
          <w:sz w:val="24"/>
          <w:lang w:val="en-US" w:eastAsia="zh-CN"/>
        </w:rPr>
      </w:pPr>
    </w:p>
    <w:p w14:paraId="656D5803">
      <w:pPr>
        <w:pStyle w:val="16"/>
        <w:tabs>
          <w:tab w:val="left" w:pos="5580"/>
        </w:tabs>
        <w:spacing w:line="240" w:lineRule="atLeast"/>
        <w:ind w:left="1079" w:leftChars="257" w:hanging="540"/>
        <w:rPr>
          <w:rFonts w:hint="eastAsia" w:ascii="仿宋" w:hAnsi="仿宋" w:eastAsia="仿宋" w:cs="仿宋"/>
          <w:kern w:val="0"/>
          <w:sz w:val="24"/>
          <w:lang w:val="en-US" w:eastAsia="zh-CN"/>
        </w:rPr>
      </w:pPr>
    </w:p>
    <w:p w14:paraId="528F3004">
      <w:pPr>
        <w:pStyle w:val="16"/>
        <w:tabs>
          <w:tab w:val="left" w:pos="5580"/>
        </w:tabs>
        <w:spacing w:line="240" w:lineRule="atLeast"/>
        <w:ind w:left="1079" w:leftChars="257" w:hanging="540"/>
        <w:rPr>
          <w:rFonts w:hint="eastAsia" w:ascii="仿宋" w:hAnsi="仿宋" w:eastAsia="仿宋" w:cs="仿宋"/>
          <w:kern w:val="0"/>
          <w:sz w:val="24"/>
          <w:lang w:val="en-US" w:eastAsia="zh-CN"/>
        </w:rPr>
      </w:pPr>
    </w:p>
    <w:p w14:paraId="60DB042D">
      <w:pPr>
        <w:pStyle w:val="16"/>
        <w:tabs>
          <w:tab w:val="left" w:pos="5580"/>
        </w:tabs>
        <w:spacing w:line="240" w:lineRule="atLeast"/>
        <w:ind w:left="1079" w:leftChars="257" w:hanging="540"/>
        <w:rPr>
          <w:rFonts w:hint="eastAsia" w:ascii="仿宋" w:hAnsi="仿宋" w:eastAsia="仿宋" w:cs="仿宋"/>
          <w:kern w:val="0"/>
          <w:sz w:val="24"/>
          <w:lang w:val="en-US" w:eastAsia="zh-CN"/>
        </w:rPr>
      </w:pPr>
    </w:p>
    <w:p w14:paraId="19630B2B">
      <w:pPr>
        <w:pStyle w:val="16"/>
        <w:tabs>
          <w:tab w:val="left" w:pos="5580"/>
        </w:tabs>
        <w:spacing w:line="240" w:lineRule="atLeast"/>
        <w:ind w:left="1079" w:leftChars="257" w:hanging="540"/>
        <w:rPr>
          <w:rFonts w:hint="eastAsia" w:ascii="仿宋" w:hAnsi="仿宋" w:eastAsia="仿宋" w:cs="仿宋"/>
          <w:kern w:val="0"/>
          <w:sz w:val="24"/>
          <w:lang w:val="en-US" w:eastAsia="zh-CN"/>
        </w:rPr>
      </w:pPr>
    </w:p>
    <w:p w14:paraId="63B00C85">
      <w:pPr>
        <w:pStyle w:val="16"/>
        <w:tabs>
          <w:tab w:val="left" w:pos="5580"/>
        </w:tabs>
        <w:spacing w:line="360" w:lineRule="auto"/>
        <w:ind w:firstLine="2640" w:firstLineChars="1100"/>
        <w:rPr>
          <w:rFonts w:hint="eastAsia" w:ascii="仿宋" w:hAnsi="仿宋" w:eastAsia="仿宋" w:cs="仿宋"/>
          <w:kern w:val="0"/>
          <w:sz w:val="24"/>
          <w:u w:val="single"/>
          <w:lang w:val="en-US" w:eastAsia="zh-CN"/>
        </w:rPr>
      </w:pPr>
      <w:r>
        <w:rPr>
          <w:rFonts w:hint="eastAsia" w:ascii="仿宋" w:hAnsi="仿宋" w:eastAsia="仿宋" w:cs="仿宋"/>
          <w:kern w:val="0"/>
          <w:sz w:val="24"/>
          <w:lang w:val="en-US" w:eastAsia="zh-CN"/>
        </w:rPr>
        <w:t>法定代表人或其委托代理人：</w:t>
      </w:r>
      <w:r>
        <w:rPr>
          <w:rFonts w:hint="eastAsia" w:ascii="仿宋" w:hAnsi="仿宋" w:eastAsia="仿宋" w:cs="仿宋"/>
          <w:kern w:val="0"/>
          <w:sz w:val="24"/>
          <w:u w:val="single"/>
          <w:lang w:val="en-US" w:eastAsia="zh-CN"/>
        </w:rPr>
        <w:t xml:space="preserve">                     </w:t>
      </w:r>
    </w:p>
    <w:p w14:paraId="193DAE56">
      <w:pPr>
        <w:pStyle w:val="16"/>
        <w:tabs>
          <w:tab w:val="left" w:pos="5580"/>
        </w:tabs>
        <w:spacing w:line="360" w:lineRule="auto"/>
        <w:ind w:firstLine="480" w:firstLineChars="200"/>
        <w:jc w:val="center"/>
        <w:rPr>
          <w:rFonts w:hint="eastAsia" w:ascii="仿宋" w:hAnsi="仿宋" w:eastAsia="仿宋" w:cs="仿宋"/>
          <w:kern w:val="0"/>
          <w:sz w:val="24"/>
          <w:u w:val="single"/>
          <w:lang w:val="en-US" w:eastAsia="zh-CN"/>
        </w:rPr>
      </w:pPr>
      <w:r>
        <w:rPr>
          <w:rFonts w:hint="eastAsia" w:ascii="仿宋" w:hAnsi="仿宋" w:eastAsia="仿宋" w:cs="仿宋"/>
          <w:kern w:val="0"/>
          <w:sz w:val="24"/>
          <w:lang w:val="en-US" w:eastAsia="zh-CN"/>
        </w:rPr>
        <w:t xml:space="preserve">    供应商：</w:t>
      </w:r>
      <w:r>
        <w:rPr>
          <w:rFonts w:hint="eastAsia" w:ascii="仿宋" w:hAnsi="仿宋" w:eastAsia="仿宋" w:cs="仿宋"/>
          <w:kern w:val="0"/>
          <w:sz w:val="24"/>
          <w:u w:val="single"/>
          <w:lang w:val="en-US" w:eastAsia="zh-CN"/>
        </w:rPr>
        <w:t xml:space="preserve">        （电子签章）                   </w:t>
      </w:r>
    </w:p>
    <w:p w14:paraId="054F07AD">
      <w:pPr>
        <w:pStyle w:val="16"/>
        <w:tabs>
          <w:tab w:val="left" w:pos="5580"/>
        </w:tabs>
        <w:spacing w:line="360" w:lineRule="auto"/>
        <w:ind w:firstLine="480" w:firstLineChars="200"/>
        <w:jc w:val="center"/>
        <w:rPr>
          <w:rFonts w:hint="eastAsia" w:ascii="仿宋" w:hAnsi="仿宋" w:eastAsia="仿宋" w:cs="仿宋"/>
          <w:kern w:val="0"/>
          <w:sz w:val="24"/>
          <w:u w:val="single"/>
          <w:lang w:val="en-US" w:eastAsia="zh-CN"/>
        </w:rPr>
      </w:pPr>
      <w:r>
        <w:rPr>
          <w:rFonts w:hint="eastAsia" w:ascii="仿宋" w:hAnsi="仿宋" w:eastAsia="仿宋" w:cs="仿宋"/>
          <w:kern w:val="0"/>
          <w:sz w:val="24"/>
          <w:lang w:val="en-US" w:eastAsia="zh-CN"/>
        </w:rPr>
        <w:t>日期</w:t>
      </w:r>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highlight w:val="none"/>
          <w:u w:val="single"/>
          <w:lang w:val="en-US" w:eastAsia="zh-CN"/>
        </w:rPr>
        <w:t xml:space="preserve"> 2026</w:t>
      </w:r>
      <w:r>
        <w:rPr>
          <w:rFonts w:hint="eastAsia" w:ascii="仿宋" w:hAnsi="仿宋" w:eastAsia="仿宋" w:cs="仿宋"/>
          <w:kern w:val="0"/>
          <w:sz w:val="24"/>
          <w:u w:val="single"/>
          <w:lang w:val="en-US" w:eastAsia="zh-CN"/>
        </w:rPr>
        <w:t xml:space="preserve">年     月     日                   </w:t>
      </w:r>
    </w:p>
    <w:p w14:paraId="50BA4CF4">
      <w:pPr>
        <w:pStyle w:val="3"/>
        <w:numPr>
          <w:ilvl w:val="0"/>
          <w:numId w:val="0"/>
        </w:numPr>
        <w:spacing w:before="0" w:line="240" w:lineRule="atLeast"/>
        <w:jc w:val="both"/>
        <w:rPr>
          <w:rFonts w:hint="eastAsia" w:ascii="仿宋" w:hAnsi="仿宋" w:eastAsia="仿宋" w:cs="仿宋"/>
          <w:color w:val="auto"/>
          <w:sz w:val="24"/>
          <w:highlight w:val="none"/>
          <w:lang w:val="en-US" w:eastAsia="zh-CN"/>
        </w:rPr>
      </w:pPr>
      <w:r>
        <w:rPr>
          <w:rFonts w:hint="eastAsia" w:ascii="仿宋" w:hAnsi="仿宋" w:eastAsia="仿宋" w:cs="仿宋"/>
          <w:b/>
          <w:color w:val="auto"/>
          <w:sz w:val="24"/>
          <w:highlight w:val="none"/>
          <w:lang w:val="en-US" w:eastAsia="zh-CN"/>
        </w:rPr>
        <w:br w:type="page"/>
      </w:r>
      <w:bookmarkStart w:id="320" w:name="_Toc19434"/>
      <w:r>
        <w:rPr>
          <w:rFonts w:hint="eastAsia" w:ascii="仿宋" w:hAnsi="仿宋" w:eastAsia="仿宋" w:cs="仿宋"/>
          <w:b/>
          <w:color w:val="auto"/>
          <w:sz w:val="24"/>
          <w:highlight w:val="none"/>
          <w:lang w:val="en-US" w:eastAsia="zh-CN"/>
        </w:rPr>
        <w:t xml:space="preserve">9  </w:t>
      </w:r>
      <w:bookmarkStart w:id="321" w:name="_Toc17417"/>
      <w:r>
        <w:rPr>
          <w:rFonts w:hint="eastAsia" w:ascii="仿宋" w:hAnsi="仿宋" w:eastAsia="仿宋" w:cs="仿宋"/>
          <w:sz w:val="24"/>
        </w:rPr>
        <w:t>针对本次项目《反商业贿赂承诺书》</w:t>
      </w:r>
      <w:bookmarkEnd w:id="321"/>
      <w:r>
        <w:rPr>
          <w:rFonts w:hint="eastAsia" w:ascii="仿宋" w:hAnsi="仿宋" w:eastAsia="仿宋" w:cs="仿宋"/>
          <w:color w:val="auto"/>
          <w:sz w:val="24"/>
          <w:highlight w:val="none"/>
          <w:lang w:val="en-US" w:eastAsia="zh-CN"/>
        </w:rPr>
        <w:t>；</w:t>
      </w:r>
      <w:bookmarkEnd w:id="320"/>
    </w:p>
    <w:p w14:paraId="3F43DBE0">
      <w:pPr>
        <w:pStyle w:val="3"/>
        <w:numPr>
          <w:ilvl w:val="0"/>
          <w:numId w:val="0"/>
        </w:numPr>
        <w:spacing w:before="0" w:line="240" w:lineRule="atLeast"/>
        <w:jc w:val="both"/>
        <w:rPr>
          <w:rFonts w:hint="eastAsia" w:ascii="仿宋" w:hAnsi="仿宋" w:eastAsia="仿宋" w:cs="仿宋"/>
          <w:color w:val="auto"/>
          <w:sz w:val="24"/>
          <w:highlight w:val="none"/>
          <w:lang w:eastAsia="zh-CN"/>
        </w:rPr>
      </w:pPr>
      <w:bookmarkStart w:id="322" w:name="_Toc7767"/>
      <w:r>
        <w:rPr>
          <w:rFonts w:hint="eastAsia" w:ascii="仿宋" w:hAnsi="仿宋" w:eastAsia="仿宋" w:cs="仿宋"/>
          <w:color w:val="auto"/>
          <w:sz w:val="24"/>
          <w:highlight w:val="none"/>
          <w:lang w:val="en-US" w:eastAsia="zh-CN"/>
        </w:rPr>
        <w:t xml:space="preserve">10  </w:t>
      </w:r>
      <w:r>
        <w:rPr>
          <w:rFonts w:hint="eastAsia" w:ascii="仿宋" w:hAnsi="仿宋" w:eastAsia="仿宋" w:cs="仿宋"/>
          <w:color w:val="auto"/>
          <w:sz w:val="24"/>
          <w:highlight w:val="none"/>
        </w:rPr>
        <w:t>参加政府采购活动前3年内</w:t>
      </w:r>
      <w:bookmarkEnd w:id="312"/>
      <w:bookmarkEnd w:id="313"/>
      <w:bookmarkEnd w:id="314"/>
      <w:bookmarkStart w:id="323" w:name="_Toc1137"/>
      <w:bookmarkStart w:id="324" w:name="_Toc6008"/>
      <w:bookmarkStart w:id="325" w:name="_Toc515647812"/>
      <w:r>
        <w:rPr>
          <w:rFonts w:hint="eastAsia" w:ascii="仿宋" w:hAnsi="仿宋" w:eastAsia="仿宋" w:cs="仿宋"/>
          <w:color w:val="auto"/>
          <w:sz w:val="24"/>
          <w:highlight w:val="none"/>
        </w:rPr>
        <w:t>在经营活动中没有重大违法记录的书面声明</w:t>
      </w:r>
      <w:bookmarkEnd w:id="315"/>
      <w:bookmarkEnd w:id="323"/>
      <w:bookmarkEnd w:id="324"/>
      <w:bookmarkEnd w:id="325"/>
      <w:r>
        <w:rPr>
          <w:rFonts w:hint="eastAsia" w:ascii="仿宋" w:hAnsi="仿宋" w:eastAsia="仿宋" w:cs="仿宋"/>
          <w:color w:val="auto"/>
          <w:sz w:val="24"/>
          <w:highlight w:val="none"/>
          <w:lang w:eastAsia="zh-CN"/>
        </w:rPr>
        <w:t>；</w:t>
      </w:r>
      <w:bookmarkEnd w:id="322"/>
    </w:p>
    <w:p w14:paraId="795EA6C0">
      <w:pPr>
        <w:pStyle w:val="16"/>
        <w:tabs>
          <w:tab w:val="left" w:pos="5580"/>
        </w:tabs>
        <w:spacing w:line="240" w:lineRule="atLeast"/>
        <w:ind w:left="1079" w:leftChars="257" w:hanging="540"/>
        <w:jc w:val="center"/>
        <w:rPr>
          <w:rFonts w:hint="eastAsia" w:ascii="仿宋" w:hAnsi="仿宋" w:eastAsia="仿宋" w:cs="仿宋"/>
          <w:b/>
          <w:color w:val="auto"/>
          <w:sz w:val="24"/>
          <w:highlight w:val="none"/>
        </w:rPr>
      </w:pPr>
    </w:p>
    <w:p w14:paraId="0CDF7179">
      <w:pPr>
        <w:pStyle w:val="16"/>
        <w:tabs>
          <w:tab w:val="left" w:pos="5580"/>
        </w:tabs>
        <w:spacing w:line="240" w:lineRule="atLeast"/>
        <w:ind w:left="1079" w:leftChars="257" w:hanging="540"/>
        <w:rPr>
          <w:rFonts w:hint="eastAsia" w:ascii="仿宋" w:hAnsi="仿宋" w:eastAsia="仿宋" w:cs="仿宋"/>
          <w:color w:val="auto"/>
          <w:sz w:val="24"/>
          <w:highlight w:val="none"/>
        </w:rPr>
      </w:pPr>
    </w:p>
    <w:p w14:paraId="38D20049">
      <w:pPr>
        <w:pStyle w:val="16"/>
        <w:tabs>
          <w:tab w:val="left" w:pos="5580"/>
        </w:tabs>
        <w:spacing w:line="240" w:lineRule="atLeast"/>
        <w:ind w:left="1079" w:leftChars="257" w:hanging="540"/>
        <w:rPr>
          <w:rFonts w:hint="eastAsia" w:ascii="仿宋" w:hAnsi="仿宋" w:eastAsia="仿宋" w:cs="仿宋"/>
          <w:color w:val="auto"/>
          <w:sz w:val="24"/>
          <w:highlight w:val="none"/>
        </w:rPr>
      </w:pPr>
    </w:p>
    <w:p w14:paraId="4BAB073A">
      <w:pPr>
        <w:pStyle w:val="16"/>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说明：1.投标人应按照相关法规规定如实作出说明。</w:t>
      </w:r>
    </w:p>
    <w:p w14:paraId="557325F2">
      <w:pPr>
        <w:pStyle w:val="16"/>
        <w:tabs>
          <w:tab w:val="left" w:pos="5580"/>
        </w:tabs>
        <w:spacing w:line="240" w:lineRule="atLeast"/>
        <w:ind w:left="644" w:leftChars="307"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按照招标文件的规定加盖单位</w:t>
      </w:r>
      <w:r>
        <w:rPr>
          <w:rFonts w:hint="eastAsia" w:ascii="仿宋" w:hAnsi="仿宋" w:eastAsia="仿宋" w:cs="仿宋"/>
          <w:color w:val="auto"/>
          <w:sz w:val="24"/>
          <w:highlight w:val="none"/>
          <w:lang w:eastAsia="zh-CN"/>
        </w:rPr>
        <w:t>电子</w:t>
      </w:r>
      <w:r>
        <w:rPr>
          <w:rFonts w:hint="eastAsia" w:ascii="仿宋" w:hAnsi="仿宋" w:eastAsia="仿宋" w:cs="仿宋"/>
          <w:color w:val="auto"/>
          <w:sz w:val="24"/>
          <w:highlight w:val="none"/>
        </w:rPr>
        <w:t>章（自然人投标的无需盖章，需要签字）。</w:t>
      </w:r>
    </w:p>
    <w:p w14:paraId="7B04A6B0">
      <w:pPr>
        <w:pStyle w:val="16"/>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3.如果是联合体投标，联合体各方均需提供上述证明。</w:t>
      </w:r>
    </w:p>
    <w:p w14:paraId="63E5B161">
      <w:pPr>
        <w:pStyle w:val="3"/>
        <w:numPr>
          <w:ilvl w:val="0"/>
          <w:numId w:val="0"/>
        </w:numPr>
        <w:spacing w:before="0" w:line="240" w:lineRule="atLeast"/>
        <w:ind w:leftChars="257"/>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326" w:name="_Toc4786"/>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sz w:val="24"/>
        </w:rPr>
        <w:t>投标保证金缴纳凭证或投标担保函</w:t>
      </w:r>
      <w:bookmarkEnd w:id="326"/>
    </w:p>
    <w:p w14:paraId="3CB03292">
      <w:pPr>
        <w:tabs>
          <w:tab w:val="left" w:pos="5580"/>
        </w:tabs>
        <w:spacing w:line="240" w:lineRule="atLeast"/>
        <w:ind w:left="540" w:firstLine="480" w:firstLineChars="200"/>
        <w:rPr>
          <w:rFonts w:hint="eastAsia" w:ascii="仿宋" w:hAnsi="仿宋" w:eastAsia="仿宋" w:cs="仿宋"/>
          <w:color w:val="auto"/>
          <w:sz w:val="24"/>
          <w:highlight w:val="none"/>
        </w:rPr>
      </w:pPr>
    </w:p>
    <w:p w14:paraId="14AB651E">
      <w:pPr>
        <w:tabs>
          <w:tab w:val="left" w:pos="5580"/>
        </w:tabs>
        <w:spacing w:line="240" w:lineRule="atLeast"/>
        <w:ind w:left="54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投标人可将本项目投标保证金支付的汇款凭证、支票、汇票</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rPr>
        <w:t>保证金收据的</w:t>
      </w:r>
      <w:r>
        <w:rPr>
          <w:rFonts w:hint="eastAsia" w:ascii="仿宋" w:hAnsi="仿宋" w:eastAsia="仿宋" w:cs="仿宋"/>
          <w:color w:val="auto"/>
          <w:sz w:val="24"/>
          <w:highlight w:val="none"/>
          <w:lang w:eastAsia="zh-CN"/>
        </w:rPr>
        <w:t>扫描件</w:t>
      </w:r>
      <w:r>
        <w:rPr>
          <w:rFonts w:hint="eastAsia" w:ascii="仿宋" w:hAnsi="仿宋" w:eastAsia="仿宋" w:cs="仿宋"/>
          <w:color w:val="auto"/>
          <w:sz w:val="24"/>
          <w:highlight w:val="none"/>
        </w:rPr>
        <w:t>作为缴纳凭证装订在本部分，</w:t>
      </w:r>
      <w:r>
        <w:rPr>
          <w:rFonts w:hint="eastAsia" w:ascii="仿宋" w:hAnsi="仿宋" w:eastAsia="仿宋" w:cs="仿宋"/>
          <w:color w:val="auto"/>
          <w:sz w:val="24"/>
          <w:highlight w:val="none"/>
          <w:lang w:eastAsia="zh-CN"/>
        </w:rPr>
        <w:t>扫描件</w:t>
      </w:r>
      <w:r>
        <w:rPr>
          <w:rFonts w:hint="eastAsia" w:ascii="仿宋" w:hAnsi="仿宋" w:eastAsia="仿宋" w:cs="仿宋"/>
          <w:color w:val="auto"/>
          <w:sz w:val="24"/>
          <w:highlight w:val="none"/>
        </w:rPr>
        <w:t>上应加盖本单位</w:t>
      </w:r>
      <w:r>
        <w:rPr>
          <w:rFonts w:hint="eastAsia" w:ascii="仿宋" w:hAnsi="仿宋" w:eastAsia="仿宋" w:cs="仿宋"/>
          <w:color w:val="auto"/>
          <w:sz w:val="24"/>
          <w:highlight w:val="none"/>
          <w:lang w:eastAsia="zh-CN"/>
        </w:rPr>
        <w:t>电子</w:t>
      </w:r>
      <w:r>
        <w:rPr>
          <w:rFonts w:hint="eastAsia" w:ascii="仿宋" w:hAnsi="仿宋" w:eastAsia="仿宋" w:cs="仿宋"/>
          <w:color w:val="auto"/>
          <w:sz w:val="24"/>
          <w:highlight w:val="none"/>
        </w:rPr>
        <w:t>章；使用银行保函等其他投标担保函的，应将担保函正本</w:t>
      </w:r>
      <w:r>
        <w:rPr>
          <w:rFonts w:hint="eastAsia" w:ascii="仿宋" w:hAnsi="仿宋" w:eastAsia="仿宋" w:cs="仿宋"/>
          <w:color w:val="auto"/>
          <w:sz w:val="24"/>
          <w:highlight w:val="none"/>
          <w:lang w:eastAsia="zh-CN"/>
        </w:rPr>
        <w:t>扫描件</w:t>
      </w:r>
      <w:r>
        <w:rPr>
          <w:rFonts w:hint="eastAsia" w:ascii="仿宋" w:hAnsi="仿宋" w:eastAsia="仿宋" w:cs="仿宋"/>
          <w:color w:val="auto"/>
          <w:sz w:val="24"/>
          <w:highlight w:val="none"/>
        </w:rPr>
        <w:t>，装订在本部分正本中；如采用政府采购信用担保形式的，应使用（投标文件格式</w:t>
      </w:r>
      <w:r>
        <w:rPr>
          <w:rFonts w:hint="eastAsia" w:ascii="仿宋" w:hAnsi="仿宋" w:eastAsia="仿宋" w:cs="仿宋"/>
          <w:color w:val="auto"/>
          <w:sz w:val="24"/>
          <w:highlight w:val="none"/>
          <w:lang w:eastAsia="zh-CN"/>
        </w:rPr>
        <w:t>四</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将原件</w:t>
      </w:r>
      <w:r>
        <w:rPr>
          <w:rFonts w:hint="eastAsia" w:ascii="仿宋" w:hAnsi="仿宋" w:eastAsia="仿宋" w:cs="仿宋"/>
          <w:color w:val="auto"/>
          <w:sz w:val="24"/>
          <w:highlight w:val="none"/>
          <w:lang w:eastAsia="zh-CN"/>
        </w:rPr>
        <w:t>扫描件</w:t>
      </w:r>
      <w:r>
        <w:rPr>
          <w:rFonts w:hint="eastAsia" w:ascii="仿宋" w:hAnsi="仿宋" w:eastAsia="仿宋" w:cs="仿宋"/>
          <w:color w:val="auto"/>
          <w:sz w:val="24"/>
          <w:highlight w:val="none"/>
        </w:rPr>
        <w:t>装订在本部分正本中。</w:t>
      </w:r>
    </w:p>
    <w:p w14:paraId="21581A6A">
      <w:pPr>
        <w:spacing w:line="240" w:lineRule="atLeast"/>
        <w:ind w:left="1079" w:leftChars="257" w:hanging="540"/>
        <w:jc w:val="center"/>
        <w:rPr>
          <w:rFonts w:hint="eastAsia" w:ascii="仿宋" w:hAnsi="仿宋" w:eastAsia="仿宋" w:cs="仿宋"/>
          <w:color w:val="auto"/>
          <w:sz w:val="24"/>
          <w:highlight w:val="none"/>
        </w:rPr>
      </w:pPr>
    </w:p>
    <w:p w14:paraId="45124709">
      <w:pPr>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政府采购投标担保函 （项目用</w:t>
      </w:r>
      <w:r>
        <w:rPr>
          <w:rFonts w:hint="eastAsia" w:ascii="仿宋" w:hAnsi="仿宋" w:eastAsia="仿宋" w:cs="仿宋"/>
          <w:color w:val="auto"/>
          <w:sz w:val="24"/>
          <w:highlight w:val="none"/>
          <w:lang w:eastAsia="zh-CN"/>
        </w:rPr>
        <w:t>）（投标文件格式四）</w:t>
      </w:r>
    </w:p>
    <w:p w14:paraId="05D0AE56">
      <w:pPr>
        <w:ind w:firstLine="7680" w:firstLineChars="3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p w14:paraId="624F887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8EB99B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（采购人或采购代理机构）：</w:t>
      </w:r>
    </w:p>
    <w:p w14:paraId="348B883A">
      <w:pPr>
        <w:rPr>
          <w:rFonts w:hint="eastAsia" w:ascii="仿宋" w:hAnsi="仿宋" w:eastAsia="仿宋" w:cs="仿宋"/>
          <w:color w:val="auto"/>
          <w:sz w:val="24"/>
          <w:szCs w:val="24"/>
          <w:highlight w:val="none"/>
        </w:rPr>
      </w:pPr>
    </w:p>
    <w:p w14:paraId="08CA9E69">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（以下简称“投标人”）拟参加编号为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5A2FB9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6E1A3000">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一、保证责任的情形及保证金额</w:t>
      </w:r>
    </w:p>
    <w:p w14:paraId="5E55A583">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（一）在投标人出现下列情形之一时，我方承担保证责任：</w:t>
      </w:r>
    </w:p>
    <w:p w14:paraId="6DCCF0E8">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中标后投标人无正当理由不与采购人或者采购代理机构签订《政府采购合同》；</w:t>
      </w:r>
    </w:p>
    <w:p w14:paraId="3ABBE0A0">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招标文件规定的投标人应当缴纳保证金的其他情形。</w:t>
      </w:r>
    </w:p>
    <w:p w14:paraId="74C20C12">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（二）我方承担保证责任的最高金额为人民币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），即本项目的投标保证金金额。</w:t>
      </w:r>
    </w:p>
    <w:p w14:paraId="7E4A546B">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二、保证的方式及保证期间</w:t>
      </w:r>
    </w:p>
    <w:p w14:paraId="57E6FAF6">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我方保证的方式为：连带责任保证。</w:t>
      </w:r>
    </w:p>
    <w:p w14:paraId="71AD4755">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我方的保证期间为：自本保函生效之日起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个月止。</w:t>
      </w:r>
    </w:p>
    <w:p w14:paraId="1F2F6AEE">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三、承担保证责任的程序</w:t>
      </w:r>
    </w:p>
    <w:p w14:paraId="01056BF3">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你方要求我方承担保证责任的，应在本保函保证期间内向我方发出书面索赔通知。索赔通知应写明要求索赔的金额，支付款项应到达的账号，并附有证明投标人发生我方应承担保证责任情形的事实材料。</w:t>
      </w:r>
    </w:p>
    <w:p w14:paraId="21185370">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我方在收到索赔通知及相关证明材料后，在</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个工作日内进行审查，符合应承担保证责任情形的，我方应按照你方的要求代投标人向你方支付投标保证金。</w:t>
      </w:r>
    </w:p>
    <w:p w14:paraId="72D192CB">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四、保证责任的终止</w:t>
      </w:r>
    </w:p>
    <w:p w14:paraId="21FB2411">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保证期间届满你方未向我方书面主张保证责任的，自保证期间届满次日起，我方保证责任自动终止。</w:t>
      </w:r>
    </w:p>
    <w:p w14:paraId="57F0EFBE">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我方按照本保函向你贵方履行了保证责任后，自我方向你贵方支付款项（支付款项从我方账户划出）之日起，保证责任终止。</w:t>
      </w:r>
    </w:p>
    <w:p w14:paraId="24A3DC90">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按照法律法规的规定或出现我方保证责任终止的</w:t>
      </w:r>
      <w:r>
        <w:rPr>
          <w:rFonts w:hint="eastAsia" w:ascii="仿宋" w:hAnsi="仿宋" w:eastAsia="仿宋" w:cs="仿宋"/>
          <w:color w:val="auto"/>
          <w:sz w:val="24"/>
          <w:szCs w:val="24"/>
          <w:highlight w:val="none"/>
          <w:lang w:eastAsia="zh-CN"/>
        </w:rPr>
        <w:t>其他情形的</w:t>
      </w:r>
      <w:r>
        <w:rPr>
          <w:rFonts w:hint="eastAsia" w:ascii="仿宋" w:hAnsi="仿宋" w:eastAsia="仿宋" w:cs="仿宋"/>
          <w:color w:val="auto"/>
          <w:sz w:val="24"/>
          <w:szCs w:val="24"/>
          <w:highlight w:val="none"/>
        </w:rPr>
        <w:t>，我方在本保函项下的保证责任亦终止。</w:t>
      </w:r>
    </w:p>
    <w:p w14:paraId="7EE0AC2C">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五、免责条款</w:t>
      </w:r>
    </w:p>
    <w:p w14:paraId="4CDD1D4B">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依照法律规定或你方与投标人的另行约定，全部或者部分免除投标人投标保证金义务时，我方亦免除相应的保证责任。</w:t>
      </w:r>
    </w:p>
    <w:p w14:paraId="3A562712">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因你方原因致使投标人发生本保函第一条第（一）款约定情形的，我方不承担保证责任。</w:t>
      </w:r>
    </w:p>
    <w:p w14:paraId="3CCC6FEB">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因不可抗力造成投标人发生本保函第一条约定情形的，我方不承担保证责任。</w:t>
      </w:r>
    </w:p>
    <w:p w14:paraId="78D16E3D">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你方或其他有权机关对招标文件进行任何澄清或修改，加重我方保证责任的，我方对加重部分不承担保证责任，但该澄清或修改经我方事先书面同意的除外。</w:t>
      </w:r>
    </w:p>
    <w:p w14:paraId="0284348D">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六、争议的解决</w:t>
      </w:r>
    </w:p>
    <w:p w14:paraId="2205EAD8">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因本保函发生的纠纷，由你我双方协商解决，协商不成的，通过诉讼程序解决，诉讼管辖地法院为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法院。</w:t>
      </w:r>
    </w:p>
    <w:p w14:paraId="64BDB36A">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七、保函的生效</w:t>
      </w:r>
    </w:p>
    <w:p w14:paraId="3CC59E63">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本保函自我方加盖公章之日起生效。</w:t>
      </w:r>
    </w:p>
    <w:p w14:paraId="3BA20022">
      <w:pPr>
        <w:jc w:val="right"/>
        <w:rPr>
          <w:rFonts w:hint="eastAsia" w:ascii="仿宋" w:hAnsi="仿宋" w:eastAsia="仿宋" w:cs="仿宋"/>
          <w:color w:val="auto"/>
          <w:sz w:val="24"/>
          <w:szCs w:val="24"/>
          <w:highlight w:val="none"/>
        </w:rPr>
      </w:pPr>
    </w:p>
    <w:p w14:paraId="5A4D3082">
      <w:pPr>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保证人：（</w:t>
      </w:r>
      <w:r>
        <w:rPr>
          <w:rFonts w:hint="eastAsia" w:ascii="仿宋" w:hAnsi="仿宋" w:eastAsia="仿宋" w:cs="仿宋"/>
          <w:color w:val="auto"/>
          <w:sz w:val="24"/>
          <w:szCs w:val="24"/>
          <w:highlight w:val="none"/>
          <w:lang w:eastAsia="zh-CN"/>
        </w:rPr>
        <w:t>电子签章</w:t>
      </w:r>
      <w:r>
        <w:rPr>
          <w:rFonts w:hint="eastAsia" w:ascii="仿宋" w:hAnsi="仿宋" w:eastAsia="仿宋" w:cs="仿宋"/>
          <w:color w:val="auto"/>
          <w:sz w:val="24"/>
          <w:szCs w:val="24"/>
          <w:highlight w:val="none"/>
        </w:rPr>
        <w:t>）</w:t>
      </w:r>
    </w:p>
    <w:p w14:paraId="58510CB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1F57F73">
      <w:pPr>
        <w:jc w:val="right"/>
        <w:rPr>
          <w:rFonts w:hint="eastAsia" w:ascii="仿宋" w:hAnsi="仿宋" w:eastAsia="仿宋" w:cs="仿宋"/>
          <w:color w:val="auto"/>
          <w:sz w:val="24"/>
          <w:szCs w:val="24"/>
          <w:highlight w:val="none"/>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年   月   </w:t>
      </w:r>
      <w:r>
        <w:rPr>
          <w:rFonts w:hint="eastAsia" w:ascii="仿宋" w:hAnsi="仿宋" w:eastAsia="仿宋" w:cs="仿宋"/>
          <w:color w:val="auto"/>
          <w:sz w:val="24"/>
          <w:szCs w:val="24"/>
          <w:highlight w:val="none"/>
          <w:lang w:val="en-US" w:eastAsia="zh-CN"/>
        </w:rPr>
        <w:t>日</w:t>
      </w:r>
    </w:p>
    <w:p w14:paraId="1405292D">
      <w:pPr>
        <w:pStyle w:val="16"/>
        <w:tabs>
          <w:tab w:val="left" w:pos="5580"/>
        </w:tabs>
        <w:spacing w:line="240" w:lineRule="atLeast"/>
        <w:ind w:left="1079" w:leftChars="257" w:hanging="540"/>
        <w:jc w:val="center"/>
        <w:rPr>
          <w:rFonts w:hint="eastAsia" w:ascii="仿宋" w:hAnsi="仿宋" w:eastAsia="仿宋" w:cs="仿宋"/>
          <w:color w:val="auto"/>
          <w:sz w:val="24"/>
          <w:highlight w:val="none"/>
        </w:rPr>
      </w:pPr>
    </w:p>
    <w:p w14:paraId="6FFE0EB9">
      <w:pPr>
        <w:pStyle w:val="3"/>
        <w:spacing w:before="0" w:line="240" w:lineRule="atLeast"/>
        <w:ind w:left="1079" w:leftChars="257" w:hanging="540"/>
        <w:rPr>
          <w:rFonts w:hint="eastAsia" w:ascii="仿宋" w:hAnsi="仿宋" w:eastAsia="仿宋" w:cs="仿宋"/>
          <w:color w:val="auto"/>
          <w:sz w:val="24"/>
          <w:highlight w:val="none"/>
        </w:rPr>
      </w:pPr>
      <w:bookmarkStart w:id="327" w:name="_Toc18730"/>
      <w:r>
        <w:rPr>
          <w:rFonts w:hint="eastAsia" w:ascii="仿宋" w:hAnsi="仿宋" w:eastAsia="仿宋" w:cs="仿宋"/>
          <w:color w:val="auto"/>
          <w:sz w:val="24"/>
          <w:highlight w:val="none"/>
          <w:lang w:val="en-US" w:eastAsia="zh-CN"/>
        </w:rPr>
        <w:t xml:space="preserve">12  </w:t>
      </w:r>
      <w:r>
        <w:rPr>
          <w:rFonts w:hint="eastAsia" w:ascii="仿宋" w:hAnsi="仿宋" w:eastAsia="仿宋" w:cs="仿宋"/>
          <w:color w:val="auto"/>
          <w:sz w:val="24"/>
          <w:highlight w:val="none"/>
        </w:rPr>
        <w:t>投标人须知资料表要求的其他资格证明文件</w:t>
      </w:r>
      <w:bookmarkEnd w:id="327"/>
    </w:p>
    <w:p w14:paraId="4F3F0665">
      <w:pPr>
        <w:spacing w:line="240" w:lineRule="atLeast"/>
        <w:ind w:left="1079" w:leftChars="257" w:hanging="540"/>
        <w:jc w:val="center"/>
        <w:rPr>
          <w:rFonts w:hint="eastAsia" w:ascii="仿宋" w:hAnsi="仿宋" w:eastAsia="仿宋" w:cs="仿宋"/>
          <w:b/>
          <w:bCs/>
          <w:color w:val="auto"/>
          <w:sz w:val="24"/>
          <w:highlight w:val="none"/>
        </w:rPr>
      </w:pPr>
    </w:p>
    <w:p w14:paraId="4A9B742A">
      <w:pPr>
        <w:spacing w:line="240" w:lineRule="atLeast"/>
        <w:ind w:left="1079" w:leftChars="257" w:hanging="540"/>
        <w:jc w:val="center"/>
        <w:rPr>
          <w:rFonts w:hint="eastAsia" w:ascii="仿宋" w:hAnsi="仿宋" w:eastAsia="仿宋" w:cs="仿宋"/>
          <w:b/>
          <w:bCs/>
          <w:color w:val="auto"/>
          <w:sz w:val="24"/>
          <w:highlight w:val="none"/>
        </w:rPr>
      </w:pPr>
    </w:p>
    <w:p w14:paraId="3735E29F">
      <w:pPr>
        <w:spacing w:line="240" w:lineRule="atLeast"/>
        <w:ind w:left="1079" w:leftChars="257" w:hanging="540"/>
        <w:jc w:val="center"/>
        <w:rPr>
          <w:rFonts w:hint="eastAsia" w:ascii="仿宋" w:hAnsi="仿宋" w:eastAsia="仿宋" w:cs="仿宋"/>
          <w:b/>
          <w:bCs/>
          <w:color w:val="auto"/>
          <w:sz w:val="24"/>
          <w:highlight w:val="none"/>
        </w:rPr>
      </w:pPr>
    </w:p>
    <w:p w14:paraId="054D2A06">
      <w:pPr>
        <w:pStyle w:val="16"/>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1.应提供</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要求的其他资格证明文件。</w:t>
      </w:r>
    </w:p>
    <w:p w14:paraId="5EE6B581">
      <w:pPr>
        <w:pStyle w:val="16"/>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2.应加盖本单位</w:t>
      </w:r>
      <w:r>
        <w:rPr>
          <w:rFonts w:hint="eastAsia" w:ascii="仿宋" w:hAnsi="仿宋" w:eastAsia="仿宋" w:cs="仿宋"/>
          <w:color w:val="auto"/>
          <w:sz w:val="24"/>
          <w:highlight w:val="none"/>
          <w:lang w:eastAsia="zh-CN"/>
        </w:rPr>
        <w:t>电子章</w:t>
      </w:r>
      <w:r>
        <w:rPr>
          <w:rFonts w:hint="eastAsia" w:ascii="仿宋" w:hAnsi="仿宋" w:eastAsia="仿宋" w:cs="仿宋"/>
          <w:color w:val="auto"/>
          <w:sz w:val="24"/>
          <w:highlight w:val="none"/>
        </w:rPr>
        <w:t>（自然人投标的无需盖章，需要签字）。</w:t>
      </w:r>
    </w:p>
    <w:p w14:paraId="339E4766">
      <w:pPr>
        <w:pStyle w:val="16"/>
        <w:tabs>
          <w:tab w:val="left" w:pos="5580"/>
        </w:tabs>
        <w:spacing w:line="240" w:lineRule="atLeast"/>
        <w:ind w:left="1260" w:leftChars="344" w:hanging="538"/>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3. 如果是联合体投标，联合体各方需</w:t>
      </w:r>
      <w:r>
        <w:rPr>
          <w:rFonts w:hint="eastAsia" w:ascii="仿宋" w:hAnsi="仿宋" w:eastAsia="仿宋" w:cs="仿宋"/>
          <w:color w:val="auto"/>
          <w:sz w:val="24"/>
          <w:highlight w:val="none"/>
          <w:lang w:eastAsia="zh-CN"/>
        </w:rPr>
        <w:t>提供</w:t>
      </w:r>
      <w:r>
        <w:rPr>
          <w:rFonts w:hint="eastAsia" w:ascii="仿宋" w:hAnsi="仿宋" w:eastAsia="仿宋" w:cs="仿宋"/>
          <w:color w:val="auto"/>
          <w:sz w:val="24"/>
          <w:highlight w:val="none"/>
        </w:rPr>
        <w:t>满足招标文件要求的其他资格证明文件。</w:t>
      </w:r>
    </w:p>
    <w:p w14:paraId="6482A4BE">
      <w:pPr>
        <w:pStyle w:val="16"/>
        <w:tabs>
          <w:tab w:val="left" w:pos="5580"/>
        </w:tabs>
        <w:spacing w:line="240" w:lineRule="atLeast"/>
        <w:ind w:firstLine="720" w:firstLineChars="300"/>
        <w:rPr>
          <w:rFonts w:hint="eastAsia" w:ascii="仿宋" w:hAnsi="仿宋" w:eastAsia="仿宋" w:cs="仿宋"/>
          <w:b/>
          <w:color w:val="auto"/>
          <w:kern w:val="0"/>
          <w:sz w:val="24"/>
          <w:szCs w:val="20"/>
          <w:highlight w:val="none"/>
          <w:lang w:val="en-US" w:eastAsia="zh-CN" w:bidi="ar-SA"/>
        </w:rPr>
      </w:pPr>
    </w:p>
    <w:p w14:paraId="4C17CFE9">
      <w:pPr>
        <w:pStyle w:val="16"/>
        <w:tabs>
          <w:tab w:val="left" w:pos="5580"/>
        </w:tabs>
        <w:spacing w:line="240" w:lineRule="atLeast"/>
        <w:ind w:firstLine="720" w:firstLineChars="300"/>
        <w:rPr>
          <w:rFonts w:hint="eastAsia" w:ascii="仿宋" w:hAnsi="仿宋" w:eastAsia="仿宋" w:cs="仿宋"/>
          <w:b/>
          <w:color w:val="auto"/>
          <w:kern w:val="0"/>
          <w:sz w:val="24"/>
          <w:szCs w:val="20"/>
          <w:highlight w:val="none"/>
          <w:lang w:val="en-US" w:eastAsia="zh-CN" w:bidi="ar-SA"/>
        </w:rPr>
      </w:pPr>
    </w:p>
    <w:p w14:paraId="1EEA544C">
      <w:pPr>
        <w:pStyle w:val="16"/>
        <w:tabs>
          <w:tab w:val="left" w:pos="5580"/>
        </w:tabs>
        <w:spacing w:line="240" w:lineRule="atLeast"/>
        <w:ind w:firstLine="720" w:firstLineChars="300"/>
        <w:rPr>
          <w:rFonts w:hint="eastAsia" w:ascii="仿宋" w:hAnsi="仿宋" w:eastAsia="仿宋" w:cs="仿宋"/>
          <w:b/>
          <w:color w:val="auto"/>
          <w:kern w:val="0"/>
          <w:sz w:val="24"/>
          <w:szCs w:val="20"/>
          <w:highlight w:val="none"/>
          <w:lang w:val="en-US" w:eastAsia="zh-CN" w:bidi="ar-SA"/>
        </w:rPr>
      </w:pPr>
    </w:p>
    <w:p w14:paraId="6A45BAF7">
      <w:pPr>
        <w:pStyle w:val="16"/>
        <w:tabs>
          <w:tab w:val="left" w:pos="5580"/>
        </w:tabs>
        <w:spacing w:line="240" w:lineRule="atLeast"/>
        <w:ind w:firstLine="720" w:firstLineChars="300"/>
        <w:rPr>
          <w:rFonts w:hint="eastAsia" w:ascii="仿宋" w:hAnsi="仿宋" w:eastAsia="仿宋" w:cs="仿宋"/>
          <w:b/>
          <w:color w:val="auto"/>
          <w:kern w:val="0"/>
          <w:sz w:val="24"/>
          <w:szCs w:val="20"/>
          <w:highlight w:val="none"/>
          <w:lang w:val="en-US" w:eastAsia="zh-CN" w:bidi="ar-SA"/>
        </w:rPr>
      </w:pPr>
    </w:p>
    <w:p w14:paraId="2FEDC339">
      <w:pPr>
        <w:pStyle w:val="16"/>
        <w:tabs>
          <w:tab w:val="left" w:pos="5580"/>
        </w:tabs>
        <w:spacing w:line="240" w:lineRule="atLeast"/>
        <w:ind w:firstLine="720" w:firstLineChars="300"/>
        <w:rPr>
          <w:rFonts w:hint="eastAsia" w:ascii="仿宋" w:hAnsi="仿宋" w:eastAsia="仿宋" w:cs="仿宋"/>
          <w:b/>
          <w:color w:val="auto"/>
          <w:kern w:val="0"/>
          <w:sz w:val="24"/>
          <w:szCs w:val="20"/>
          <w:highlight w:val="none"/>
          <w:lang w:val="en-US" w:eastAsia="zh-CN" w:bidi="ar-SA"/>
        </w:rPr>
      </w:pPr>
    </w:p>
    <w:p w14:paraId="03F19D75">
      <w:pPr>
        <w:pStyle w:val="16"/>
        <w:tabs>
          <w:tab w:val="left" w:pos="5580"/>
        </w:tabs>
        <w:spacing w:line="240" w:lineRule="atLeast"/>
        <w:ind w:firstLine="720" w:firstLineChars="300"/>
        <w:rPr>
          <w:rFonts w:hint="eastAsia" w:ascii="仿宋" w:hAnsi="仿宋" w:eastAsia="仿宋" w:cs="仿宋"/>
          <w:b/>
          <w:color w:val="auto"/>
          <w:kern w:val="0"/>
          <w:sz w:val="24"/>
          <w:szCs w:val="20"/>
          <w:highlight w:val="none"/>
          <w:lang w:val="en-US" w:eastAsia="zh-CN" w:bidi="ar-SA"/>
        </w:rPr>
      </w:pPr>
    </w:p>
    <w:p w14:paraId="6B6F9DE6">
      <w:pPr>
        <w:pStyle w:val="16"/>
        <w:tabs>
          <w:tab w:val="left" w:pos="5580"/>
        </w:tabs>
        <w:spacing w:line="240" w:lineRule="atLeast"/>
        <w:ind w:firstLine="720" w:firstLineChars="300"/>
        <w:rPr>
          <w:rFonts w:hint="eastAsia" w:ascii="仿宋" w:hAnsi="仿宋" w:eastAsia="仿宋" w:cs="仿宋"/>
          <w:b/>
          <w:color w:val="auto"/>
          <w:kern w:val="0"/>
          <w:sz w:val="24"/>
          <w:szCs w:val="20"/>
          <w:highlight w:val="none"/>
          <w:lang w:val="en-US" w:eastAsia="zh-CN" w:bidi="ar-SA"/>
        </w:rPr>
      </w:pPr>
    </w:p>
    <w:p w14:paraId="6BF01647">
      <w:pPr>
        <w:pStyle w:val="16"/>
        <w:tabs>
          <w:tab w:val="left" w:pos="5580"/>
        </w:tabs>
        <w:spacing w:line="240" w:lineRule="atLeast"/>
        <w:ind w:firstLine="720" w:firstLineChars="300"/>
        <w:rPr>
          <w:rFonts w:hint="eastAsia" w:ascii="仿宋" w:hAnsi="仿宋" w:eastAsia="仿宋" w:cs="仿宋"/>
          <w:b/>
          <w:color w:val="auto"/>
          <w:kern w:val="0"/>
          <w:sz w:val="24"/>
          <w:szCs w:val="20"/>
          <w:highlight w:val="none"/>
          <w:lang w:val="en-US" w:eastAsia="zh-CN" w:bidi="ar-SA"/>
        </w:rPr>
      </w:pPr>
    </w:p>
    <w:p w14:paraId="30A88117">
      <w:pPr>
        <w:pStyle w:val="16"/>
        <w:tabs>
          <w:tab w:val="left" w:pos="5580"/>
        </w:tabs>
        <w:spacing w:line="240" w:lineRule="atLeast"/>
        <w:ind w:firstLine="720" w:firstLineChars="300"/>
        <w:rPr>
          <w:rFonts w:hint="eastAsia" w:ascii="仿宋" w:hAnsi="仿宋" w:eastAsia="仿宋" w:cs="仿宋"/>
          <w:b/>
          <w:color w:val="auto"/>
          <w:kern w:val="0"/>
          <w:sz w:val="24"/>
          <w:szCs w:val="20"/>
          <w:highlight w:val="none"/>
          <w:lang w:val="en-US" w:eastAsia="zh-CN" w:bidi="ar-SA"/>
        </w:rPr>
      </w:pPr>
    </w:p>
    <w:p w14:paraId="6D4159D0">
      <w:pPr>
        <w:pStyle w:val="16"/>
        <w:tabs>
          <w:tab w:val="left" w:pos="5580"/>
        </w:tabs>
        <w:spacing w:line="240" w:lineRule="atLeast"/>
        <w:ind w:firstLine="720" w:firstLineChars="300"/>
        <w:rPr>
          <w:rFonts w:hint="eastAsia" w:ascii="仿宋" w:hAnsi="仿宋" w:eastAsia="仿宋" w:cs="仿宋"/>
          <w:b/>
          <w:color w:val="auto"/>
          <w:kern w:val="0"/>
          <w:sz w:val="24"/>
          <w:szCs w:val="20"/>
          <w:highlight w:val="none"/>
          <w:lang w:val="en-US" w:eastAsia="zh-CN" w:bidi="ar-SA"/>
        </w:rPr>
      </w:pPr>
    </w:p>
    <w:p w14:paraId="4D4283A8">
      <w:pPr>
        <w:pStyle w:val="16"/>
        <w:tabs>
          <w:tab w:val="left" w:pos="5580"/>
        </w:tabs>
        <w:spacing w:line="240" w:lineRule="atLeast"/>
        <w:ind w:firstLine="840" w:firstLineChars="300"/>
        <w:rPr>
          <w:rFonts w:hint="eastAsia" w:ascii="仿宋" w:hAnsi="仿宋" w:eastAsia="仿宋" w:cs="仿宋"/>
          <w:b/>
          <w:color w:val="auto"/>
          <w:kern w:val="0"/>
          <w:sz w:val="24"/>
          <w:szCs w:val="20"/>
          <w:highlight w:val="none"/>
          <w:lang w:val="en-US" w:eastAsia="zh-CN" w:bidi="ar-SA"/>
        </w:rPr>
      </w:pP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b/>
          <w:color w:val="auto"/>
          <w:kern w:val="0"/>
          <w:sz w:val="24"/>
          <w:szCs w:val="20"/>
          <w:highlight w:val="none"/>
          <w:lang w:val="en-US" w:eastAsia="zh-CN" w:bidi="ar-SA"/>
        </w:rPr>
        <w:t xml:space="preserve">13  </w:t>
      </w:r>
      <w:r>
        <w:rPr>
          <w:rFonts w:hint="eastAsia" w:ascii="仿宋" w:hAnsi="仿宋" w:eastAsia="仿宋" w:cs="仿宋"/>
          <w:b/>
          <w:bCs/>
          <w:kern w:val="2"/>
          <w:sz w:val="24"/>
          <w:szCs w:val="24"/>
          <w:lang w:val="en-US" w:eastAsia="zh-CN" w:bidi="ar-SA"/>
        </w:rPr>
        <w:t>投标人须提供承诺书，承诺将合同金额的 30% 用于向中小企业采购，其中向小微企业采购比例不少于中小企业采购额的 60%。</w:t>
      </w:r>
      <w:r>
        <w:rPr>
          <w:rFonts w:hint="eastAsia" w:ascii="仿宋" w:hAnsi="仿宋" w:eastAsia="仿宋" w:cs="仿宋"/>
          <w:b/>
          <w:color w:val="auto"/>
          <w:kern w:val="0"/>
          <w:sz w:val="24"/>
          <w:szCs w:val="20"/>
          <w:highlight w:val="none"/>
          <w:lang w:val="en-US" w:eastAsia="zh-CN" w:bidi="ar-SA"/>
        </w:rPr>
        <w:t>（格式自拟）</w:t>
      </w:r>
    </w:p>
    <w:p w14:paraId="3EF8D266">
      <w:pPr>
        <w:pStyle w:val="16"/>
        <w:tabs>
          <w:tab w:val="left" w:pos="5580"/>
        </w:tabs>
        <w:spacing w:line="240" w:lineRule="atLeast"/>
        <w:ind w:firstLine="720" w:firstLineChars="300"/>
        <w:rPr>
          <w:rFonts w:hint="eastAsia" w:ascii="仿宋" w:hAnsi="仿宋" w:eastAsia="仿宋" w:cs="仿宋"/>
          <w:color w:val="auto"/>
          <w:sz w:val="24"/>
          <w:highlight w:val="none"/>
        </w:rPr>
      </w:pPr>
    </w:p>
    <w:p w14:paraId="1D96BD70">
      <w:pPr>
        <w:rPr>
          <w:rFonts w:hint="eastAsia" w:ascii="仿宋" w:hAnsi="仿宋" w:eastAsia="仿宋" w:cs="仿宋"/>
          <w:color w:val="auto"/>
          <w:sz w:val="24"/>
          <w:highlight w:val="none"/>
        </w:rPr>
      </w:pPr>
      <w:bookmarkStart w:id="328" w:name="_Toc10204"/>
      <w:bookmarkStart w:id="329" w:name="_Toc22967"/>
      <w:bookmarkStart w:id="330" w:name="_Toc515647816"/>
      <w:bookmarkStart w:id="331" w:name="_Toc11180"/>
      <w:r>
        <w:rPr>
          <w:rFonts w:hint="eastAsia" w:ascii="仿宋" w:hAnsi="仿宋" w:eastAsia="仿宋" w:cs="仿宋"/>
          <w:color w:val="auto"/>
          <w:sz w:val="24"/>
          <w:highlight w:val="none"/>
        </w:rPr>
        <w:br w:type="page"/>
      </w:r>
    </w:p>
    <w:p w14:paraId="2F7FF69B">
      <w:pPr>
        <w:pStyle w:val="3"/>
        <w:spacing w:before="0"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第二部分  商务及技术文件</w:t>
      </w:r>
      <w:bookmarkEnd w:id="328"/>
      <w:bookmarkEnd w:id="329"/>
      <w:bookmarkEnd w:id="330"/>
      <w:bookmarkEnd w:id="331"/>
    </w:p>
    <w:p w14:paraId="5BE30108">
      <w:pPr>
        <w:pStyle w:val="16"/>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投标书（投标文件格式五）</w:t>
      </w:r>
    </w:p>
    <w:p w14:paraId="6DF358B3">
      <w:pPr>
        <w:pStyle w:val="16"/>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投标保证金缴纳凭证或投标担保函（见投标文件格式六）</w:t>
      </w:r>
    </w:p>
    <w:p w14:paraId="74CE3B1E">
      <w:pPr>
        <w:pStyle w:val="16"/>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投标分项报价表（投标文件格式七）</w:t>
      </w:r>
    </w:p>
    <w:p w14:paraId="4277CAC5">
      <w:pPr>
        <w:pStyle w:val="16"/>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4.服务</w:t>
      </w:r>
      <w:r>
        <w:rPr>
          <w:rFonts w:hint="eastAsia" w:ascii="仿宋" w:hAnsi="仿宋" w:eastAsia="仿宋" w:cs="仿宋"/>
          <w:color w:val="auto"/>
          <w:sz w:val="24"/>
          <w:highlight w:val="none"/>
        </w:rPr>
        <w:t>说明一览表（投标文件格式八）</w:t>
      </w:r>
    </w:p>
    <w:p w14:paraId="30BF2D6B">
      <w:pPr>
        <w:pStyle w:val="16"/>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技术规格偏离表（投标文件格式九）</w:t>
      </w:r>
    </w:p>
    <w:p w14:paraId="0C548208">
      <w:pPr>
        <w:pStyle w:val="16"/>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rPr>
        <w:t>商务条款偏离表（投标文件格式十）</w:t>
      </w:r>
    </w:p>
    <w:p w14:paraId="32B78CB6">
      <w:pPr>
        <w:pStyle w:val="16"/>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7.</w:t>
      </w:r>
      <w:r>
        <w:rPr>
          <w:rFonts w:hint="eastAsia" w:ascii="仿宋" w:hAnsi="仿宋" w:eastAsia="仿宋" w:cs="仿宋"/>
          <w:color w:val="auto"/>
          <w:sz w:val="24"/>
          <w:highlight w:val="none"/>
        </w:rPr>
        <w:t>符合《政府采购促进中小企业发展管理办法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关于进一步加大政府采购支持中小企业力度的通知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关于政府采购支持监狱企业发展有关问题的通知》和《三部门联合发布关于促进残疾人就业政府采购政策的通知</w:t>
      </w:r>
      <w:r>
        <w:rPr>
          <w:rFonts w:hint="eastAsia" w:ascii="仿宋" w:hAnsi="仿宋" w:eastAsia="仿宋" w:cs="仿宋"/>
          <w:color w:val="auto"/>
          <w:sz w:val="24"/>
          <w:highlight w:val="none"/>
          <w:lang w:eastAsia="zh-CN"/>
        </w:rPr>
        <w:t>》等</w:t>
      </w:r>
      <w:r>
        <w:rPr>
          <w:rFonts w:hint="eastAsia" w:ascii="仿宋" w:hAnsi="仿宋" w:eastAsia="仿宋" w:cs="仿宋"/>
          <w:color w:val="auto"/>
          <w:sz w:val="24"/>
          <w:highlight w:val="none"/>
        </w:rPr>
        <w:t>价格扣减条件的投标人须提交</w:t>
      </w:r>
    </w:p>
    <w:p w14:paraId="54DF3E1A">
      <w:pPr>
        <w:pStyle w:val="16"/>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rPr>
        <w:t>7-1《投标人企业（单位）类型声明函》（投标文件格式十一）</w:t>
      </w:r>
    </w:p>
    <w:p w14:paraId="0DE2B332">
      <w:pPr>
        <w:pStyle w:val="16"/>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《残疾人福利性单位声明函》（投标文件</w:t>
      </w:r>
      <w:r>
        <w:rPr>
          <w:rFonts w:hint="eastAsia" w:ascii="仿宋" w:hAnsi="仿宋" w:eastAsia="仿宋" w:cs="仿宋"/>
          <w:color w:val="auto"/>
          <w:sz w:val="24"/>
          <w:highlight w:val="none"/>
          <w:lang w:val="en-US" w:eastAsia="zh-CN"/>
        </w:rPr>
        <w:t>格式十二</w:t>
      </w:r>
      <w:r>
        <w:rPr>
          <w:rFonts w:hint="eastAsia" w:ascii="仿宋" w:hAnsi="仿宋" w:eastAsia="仿宋" w:cs="仿宋"/>
          <w:color w:val="auto"/>
          <w:sz w:val="24"/>
          <w:highlight w:val="none"/>
        </w:rPr>
        <w:t>）</w:t>
      </w:r>
    </w:p>
    <w:p w14:paraId="74977C22">
      <w:pPr>
        <w:pStyle w:val="16"/>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投标人关联单位的说明（格式自拟）</w:t>
      </w:r>
    </w:p>
    <w:p w14:paraId="610CB5E2">
      <w:pPr>
        <w:pStyle w:val="16"/>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9.</w:t>
      </w:r>
      <w:r>
        <w:rPr>
          <w:rFonts w:hint="eastAsia" w:ascii="仿宋" w:hAnsi="仿宋" w:eastAsia="仿宋" w:cs="仿宋"/>
          <w:color w:val="auto"/>
          <w:sz w:val="24"/>
          <w:highlight w:val="none"/>
        </w:rPr>
        <w:t>投标文件还应包括投标人须知第10条的所有技术文件</w:t>
      </w:r>
    </w:p>
    <w:p w14:paraId="5AD47F03">
      <w:pPr>
        <w:pStyle w:val="9"/>
        <w:rPr>
          <w:rFonts w:hint="eastAsia" w:ascii="仿宋" w:hAnsi="仿宋" w:eastAsia="仿宋" w:cs="仿宋"/>
        </w:rPr>
      </w:pPr>
    </w:p>
    <w:p w14:paraId="4928BFA8">
      <w:pPr>
        <w:pStyle w:val="10"/>
        <w:rPr>
          <w:rFonts w:hint="eastAsia" w:ascii="仿宋" w:hAnsi="仿宋" w:eastAsia="仿宋" w:cs="仿宋"/>
        </w:rPr>
      </w:pPr>
    </w:p>
    <w:p w14:paraId="5B8176FE">
      <w:pPr>
        <w:rPr>
          <w:rFonts w:hint="eastAsia" w:ascii="仿宋" w:hAnsi="仿宋" w:eastAsia="仿宋" w:cs="仿宋"/>
        </w:rPr>
      </w:pPr>
    </w:p>
    <w:p w14:paraId="1ACAB338">
      <w:pPr>
        <w:pStyle w:val="39"/>
        <w:rPr>
          <w:rFonts w:hint="eastAsia" w:ascii="仿宋" w:hAnsi="仿宋" w:eastAsia="仿宋" w:cs="仿宋"/>
        </w:rPr>
      </w:pPr>
    </w:p>
    <w:p w14:paraId="5C5E39EF">
      <w:pPr>
        <w:pStyle w:val="39"/>
        <w:rPr>
          <w:rFonts w:hint="eastAsia" w:ascii="仿宋" w:hAnsi="仿宋" w:eastAsia="仿宋" w:cs="仿宋"/>
        </w:rPr>
      </w:pPr>
    </w:p>
    <w:p w14:paraId="78CCD753">
      <w:pPr>
        <w:pStyle w:val="39"/>
        <w:rPr>
          <w:rFonts w:hint="eastAsia" w:ascii="仿宋" w:hAnsi="仿宋" w:eastAsia="仿宋" w:cs="仿宋"/>
        </w:rPr>
      </w:pPr>
    </w:p>
    <w:p w14:paraId="6D0ADC2F">
      <w:pPr>
        <w:pStyle w:val="39"/>
        <w:rPr>
          <w:rFonts w:hint="eastAsia" w:ascii="仿宋" w:hAnsi="仿宋" w:eastAsia="仿宋" w:cs="仿宋"/>
        </w:rPr>
      </w:pPr>
    </w:p>
    <w:p w14:paraId="17E11BF3">
      <w:pPr>
        <w:pStyle w:val="39"/>
        <w:rPr>
          <w:rFonts w:hint="eastAsia" w:ascii="仿宋" w:hAnsi="仿宋" w:eastAsia="仿宋" w:cs="仿宋"/>
        </w:rPr>
      </w:pPr>
    </w:p>
    <w:p w14:paraId="46C59D5C">
      <w:pPr>
        <w:pStyle w:val="39"/>
        <w:rPr>
          <w:rFonts w:hint="eastAsia" w:ascii="仿宋" w:hAnsi="仿宋" w:eastAsia="仿宋" w:cs="仿宋"/>
        </w:rPr>
      </w:pPr>
    </w:p>
    <w:p w14:paraId="7C87F33D">
      <w:pPr>
        <w:pStyle w:val="39"/>
        <w:rPr>
          <w:rFonts w:hint="eastAsia" w:ascii="仿宋" w:hAnsi="仿宋" w:eastAsia="仿宋" w:cs="仿宋"/>
        </w:rPr>
      </w:pPr>
    </w:p>
    <w:p w14:paraId="3B961D3B">
      <w:pPr>
        <w:pStyle w:val="39"/>
        <w:rPr>
          <w:rFonts w:hint="eastAsia" w:ascii="仿宋" w:hAnsi="仿宋" w:eastAsia="仿宋" w:cs="仿宋"/>
        </w:rPr>
      </w:pPr>
    </w:p>
    <w:p w14:paraId="3A0CAE4E">
      <w:pPr>
        <w:pStyle w:val="39"/>
        <w:rPr>
          <w:rFonts w:hint="eastAsia" w:ascii="仿宋" w:hAnsi="仿宋" w:eastAsia="仿宋" w:cs="仿宋"/>
        </w:rPr>
      </w:pPr>
    </w:p>
    <w:p w14:paraId="54D9BD75">
      <w:pPr>
        <w:pStyle w:val="39"/>
        <w:rPr>
          <w:rFonts w:hint="eastAsia" w:ascii="仿宋" w:hAnsi="仿宋" w:eastAsia="仿宋" w:cs="仿宋"/>
        </w:rPr>
      </w:pPr>
    </w:p>
    <w:p w14:paraId="6916C670">
      <w:pPr>
        <w:pStyle w:val="39"/>
        <w:rPr>
          <w:rFonts w:hint="eastAsia" w:ascii="仿宋" w:hAnsi="仿宋" w:eastAsia="仿宋" w:cs="仿宋"/>
        </w:rPr>
      </w:pPr>
    </w:p>
    <w:p w14:paraId="656AABC9">
      <w:pPr>
        <w:pStyle w:val="39"/>
        <w:rPr>
          <w:rFonts w:hint="eastAsia" w:ascii="仿宋" w:hAnsi="仿宋" w:eastAsia="仿宋" w:cs="仿宋"/>
        </w:rPr>
      </w:pPr>
    </w:p>
    <w:p w14:paraId="37A472FD">
      <w:pPr>
        <w:pStyle w:val="39"/>
        <w:rPr>
          <w:rFonts w:hint="eastAsia" w:ascii="仿宋" w:hAnsi="仿宋" w:eastAsia="仿宋" w:cs="仿宋"/>
        </w:rPr>
      </w:pPr>
    </w:p>
    <w:p w14:paraId="2FE44FE5">
      <w:pPr>
        <w:pStyle w:val="39"/>
        <w:rPr>
          <w:rFonts w:hint="eastAsia" w:ascii="仿宋" w:hAnsi="仿宋" w:eastAsia="仿宋" w:cs="仿宋"/>
        </w:rPr>
      </w:pPr>
    </w:p>
    <w:p w14:paraId="73C61017">
      <w:pPr>
        <w:pStyle w:val="39"/>
        <w:rPr>
          <w:rFonts w:hint="eastAsia" w:ascii="仿宋" w:hAnsi="仿宋" w:eastAsia="仿宋" w:cs="仿宋"/>
        </w:rPr>
      </w:pPr>
    </w:p>
    <w:p w14:paraId="154710F7">
      <w:pPr>
        <w:pStyle w:val="39"/>
        <w:rPr>
          <w:rFonts w:hint="eastAsia" w:ascii="仿宋" w:hAnsi="仿宋" w:eastAsia="仿宋" w:cs="仿宋"/>
        </w:rPr>
      </w:pPr>
    </w:p>
    <w:bookmarkEnd w:id="274"/>
    <w:bookmarkEnd w:id="275"/>
    <w:bookmarkEnd w:id="276"/>
    <w:bookmarkEnd w:id="277"/>
    <w:p w14:paraId="218AEFA9">
      <w:pPr>
        <w:pStyle w:val="3"/>
        <w:bidi w:val="0"/>
        <w:rPr>
          <w:rFonts w:hint="eastAsia" w:ascii="仿宋" w:hAnsi="仿宋" w:eastAsia="仿宋" w:cs="仿宋"/>
          <w:sz w:val="24"/>
          <w:szCs w:val="24"/>
        </w:rPr>
      </w:pPr>
      <w:bookmarkStart w:id="332" w:name="_Toc2041"/>
      <w:bookmarkStart w:id="333" w:name="_Toc14915"/>
      <w:bookmarkStart w:id="334" w:name="_Toc3944"/>
      <w:bookmarkStart w:id="335" w:name="_Toc515647817"/>
      <w:bookmarkStart w:id="336" w:name="_Toc13105"/>
      <w:r>
        <w:rPr>
          <w:rFonts w:hint="eastAsia" w:ascii="仿宋" w:hAnsi="仿宋" w:eastAsia="仿宋" w:cs="仿宋"/>
          <w:sz w:val="24"/>
          <w:szCs w:val="24"/>
        </w:rPr>
        <w:t xml:space="preserve">1   </w:t>
      </w:r>
      <w:bookmarkStart w:id="337" w:name="_Hlt520355504"/>
      <w:bookmarkEnd w:id="337"/>
      <w:r>
        <w:rPr>
          <w:rFonts w:hint="eastAsia" w:ascii="仿宋" w:hAnsi="仿宋" w:eastAsia="仿宋" w:cs="仿宋"/>
          <w:sz w:val="24"/>
          <w:szCs w:val="24"/>
        </w:rPr>
        <w:t>投标书（投标文件格式</w:t>
      </w:r>
      <w:r>
        <w:rPr>
          <w:rFonts w:hint="eastAsia" w:ascii="仿宋" w:hAnsi="仿宋" w:eastAsia="仿宋" w:cs="仿宋"/>
          <w:sz w:val="24"/>
          <w:szCs w:val="24"/>
          <w:lang w:eastAsia="zh-CN"/>
        </w:rPr>
        <w:t>五</w:t>
      </w:r>
      <w:r>
        <w:rPr>
          <w:rFonts w:hint="eastAsia" w:ascii="仿宋" w:hAnsi="仿宋" w:eastAsia="仿宋" w:cs="仿宋"/>
          <w:sz w:val="24"/>
          <w:szCs w:val="24"/>
        </w:rPr>
        <w:t>）</w:t>
      </w:r>
      <w:bookmarkEnd w:id="332"/>
      <w:bookmarkEnd w:id="333"/>
      <w:bookmarkEnd w:id="334"/>
      <w:bookmarkEnd w:id="335"/>
      <w:bookmarkEnd w:id="336"/>
    </w:p>
    <w:p w14:paraId="0DC65BEF">
      <w:pPr>
        <w:tabs>
          <w:tab w:val="left" w:pos="5580"/>
        </w:tabs>
        <w:spacing w:line="240" w:lineRule="atLeast"/>
        <w:ind w:left="1079" w:leftChars="257" w:hanging="540"/>
        <w:rPr>
          <w:rFonts w:hint="eastAsia" w:ascii="仿宋" w:hAnsi="仿宋" w:eastAsia="仿宋" w:cs="仿宋"/>
          <w:sz w:val="24"/>
        </w:rPr>
      </w:pPr>
    </w:p>
    <w:p w14:paraId="391CB9FB">
      <w:pPr>
        <w:tabs>
          <w:tab w:val="left" w:pos="5580"/>
        </w:tabs>
        <w:spacing w:line="240" w:lineRule="atLeast"/>
        <w:ind w:left="1080" w:hanging="108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采购代理机构</w:t>
      </w:r>
    </w:p>
    <w:p w14:paraId="1E960F4C">
      <w:pPr>
        <w:pStyle w:val="16"/>
        <w:tabs>
          <w:tab w:val="left" w:pos="5580"/>
        </w:tabs>
        <w:spacing w:line="240" w:lineRule="atLeast"/>
        <w:ind w:left="1079" w:leftChars="257" w:hanging="540"/>
        <w:rPr>
          <w:rFonts w:hint="eastAsia" w:ascii="仿宋" w:hAnsi="仿宋" w:eastAsia="仿宋" w:cs="仿宋"/>
          <w:sz w:val="24"/>
        </w:rPr>
      </w:pPr>
    </w:p>
    <w:p w14:paraId="5B3AFF5D">
      <w:pPr>
        <w:pStyle w:val="16"/>
        <w:tabs>
          <w:tab w:val="left" w:pos="5580"/>
        </w:tabs>
        <w:spacing w:line="240" w:lineRule="atLeast"/>
        <w:ind w:left="2" w:leftChars="1" w:firstLine="480" w:firstLineChars="200"/>
        <w:rPr>
          <w:rFonts w:hint="eastAsia" w:ascii="仿宋" w:hAnsi="仿宋" w:eastAsia="仿宋" w:cs="仿宋"/>
          <w:sz w:val="24"/>
        </w:rPr>
      </w:pPr>
      <w:r>
        <w:rPr>
          <w:rFonts w:hint="eastAsia" w:ascii="仿宋" w:hAnsi="仿宋" w:eastAsia="仿宋" w:cs="仿宋"/>
          <w:sz w:val="24"/>
        </w:rPr>
        <w:t>根据贵方</w:t>
      </w:r>
      <w:r>
        <w:rPr>
          <w:rFonts w:hint="eastAsia" w:ascii="仿宋" w:hAnsi="仿宋" w:eastAsia="仿宋" w:cs="仿宋"/>
          <w:sz w:val="24"/>
          <w:lang w:eastAsia="zh-CN"/>
        </w:rPr>
        <w:t>（</w:t>
      </w:r>
      <w:r>
        <w:rPr>
          <w:rFonts w:hint="eastAsia" w:ascii="仿宋" w:hAnsi="仿宋" w:eastAsia="仿宋" w:cs="仿宋"/>
          <w:i/>
          <w:sz w:val="24"/>
          <w:u w:val="single"/>
        </w:rPr>
        <w:t>项目名称</w:t>
      </w:r>
      <w:r>
        <w:rPr>
          <w:rFonts w:hint="eastAsia" w:ascii="仿宋" w:hAnsi="仿宋" w:eastAsia="仿宋" w:cs="仿宋"/>
          <w:i/>
          <w:sz w:val="24"/>
          <w:u w:val="single"/>
          <w:lang w:eastAsia="zh-CN"/>
        </w:rPr>
        <w:t>）</w:t>
      </w:r>
      <w:r>
        <w:rPr>
          <w:rFonts w:hint="eastAsia" w:ascii="仿宋" w:hAnsi="仿宋" w:eastAsia="仿宋" w:cs="仿宋"/>
          <w:sz w:val="24"/>
        </w:rPr>
        <w:t>项目的投标邀请</w:t>
      </w:r>
      <w:r>
        <w:rPr>
          <w:rFonts w:hint="eastAsia" w:ascii="仿宋" w:hAnsi="仿宋" w:eastAsia="仿宋" w:cs="仿宋"/>
          <w:sz w:val="24"/>
          <w:lang w:eastAsia="zh-CN"/>
        </w:rPr>
        <w:t>（</w:t>
      </w:r>
      <w:r>
        <w:rPr>
          <w:rFonts w:hint="eastAsia" w:ascii="仿宋" w:hAnsi="仿宋" w:eastAsia="仿宋" w:cs="仿宋"/>
          <w:i/>
          <w:sz w:val="24"/>
          <w:u w:val="single"/>
        </w:rPr>
        <w:t>招标编号</w:t>
      </w:r>
      <w:r>
        <w:rPr>
          <w:rFonts w:hint="eastAsia" w:ascii="仿宋" w:hAnsi="仿宋" w:eastAsia="仿宋" w:cs="仿宋"/>
          <w:i/>
          <w:sz w:val="24"/>
          <w:u w:val="single"/>
          <w:lang w:eastAsia="zh-CN"/>
        </w:rPr>
        <w:t>），</w:t>
      </w:r>
      <w:r>
        <w:rPr>
          <w:rFonts w:hint="eastAsia" w:ascii="仿宋" w:hAnsi="仿宋" w:eastAsia="仿宋" w:cs="仿宋"/>
          <w:sz w:val="24"/>
        </w:rPr>
        <w:t>签字代表</w:t>
      </w:r>
      <w:r>
        <w:rPr>
          <w:rFonts w:hint="eastAsia" w:ascii="仿宋" w:hAnsi="仿宋" w:eastAsia="仿宋" w:cs="仿宋"/>
          <w:sz w:val="24"/>
          <w:lang w:eastAsia="zh-CN"/>
        </w:rPr>
        <w:t>（</w:t>
      </w:r>
      <w:r>
        <w:rPr>
          <w:rFonts w:hint="eastAsia" w:ascii="仿宋" w:hAnsi="仿宋" w:eastAsia="仿宋" w:cs="仿宋"/>
          <w:i/>
          <w:sz w:val="24"/>
          <w:u w:val="single"/>
        </w:rPr>
        <w:t>姓名、职务</w:t>
      </w:r>
      <w:r>
        <w:rPr>
          <w:rFonts w:hint="eastAsia" w:ascii="仿宋" w:hAnsi="仿宋" w:eastAsia="仿宋" w:cs="仿宋"/>
          <w:i/>
          <w:sz w:val="24"/>
          <w:u w:val="single"/>
          <w:lang w:eastAsia="zh-CN"/>
        </w:rPr>
        <w:t>）</w:t>
      </w:r>
      <w:r>
        <w:rPr>
          <w:rFonts w:hint="eastAsia" w:ascii="仿宋" w:hAnsi="仿宋" w:eastAsia="仿宋" w:cs="仿宋"/>
          <w:sz w:val="24"/>
        </w:rPr>
        <w:t>经正式授权并代表投标人（</w:t>
      </w:r>
      <w:r>
        <w:rPr>
          <w:rFonts w:hint="eastAsia" w:ascii="仿宋" w:hAnsi="仿宋" w:eastAsia="仿宋" w:cs="仿宋"/>
          <w:i/>
          <w:sz w:val="24"/>
          <w:u w:val="single"/>
        </w:rPr>
        <w:t>名称、地址</w:t>
      </w:r>
      <w:r>
        <w:rPr>
          <w:rFonts w:hint="eastAsia" w:ascii="仿宋" w:hAnsi="仿宋" w:eastAsia="仿宋" w:cs="仿宋"/>
          <w:sz w:val="24"/>
        </w:rPr>
        <w:t>）提交</w:t>
      </w:r>
      <w:r>
        <w:rPr>
          <w:rFonts w:hint="eastAsia" w:ascii="仿宋" w:hAnsi="仿宋" w:eastAsia="仿宋" w:cs="仿宋"/>
          <w:sz w:val="24"/>
          <w:lang w:eastAsia="zh-CN"/>
        </w:rPr>
        <w:t>电子投标文件</w:t>
      </w:r>
      <w:r>
        <w:rPr>
          <w:rFonts w:hint="eastAsia" w:ascii="仿宋" w:hAnsi="仿宋" w:eastAsia="仿宋" w:cs="仿宋"/>
          <w:sz w:val="24"/>
        </w:rPr>
        <w:t>，并以</w:t>
      </w:r>
      <w:r>
        <w:rPr>
          <w:rFonts w:hint="eastAsia" w:ascii="仿宋" w:hAnsi="仿宋" w:eastAsia="仿宋" w:cs="仿宋"/>
          <w:sz w:val="24"/>
          <w:u w:val="single"/>
        </w:rPr>
        <w:t xml:space="preserve">         </w:t>
      </w:r>
      <w:r>
        <w:rPr>
          <w:rFonts w:hint="eastAsia" w:ascii="仿宋" w:hAnsi="仿宋" w:eastAsia="仿宋" w:cs="仿宋"/>
          <w:sz w:val="24"/>
        </w:rPr>
        <w:t>形式出具的金额为人民币</w:t>
      </w:r>
      <w:r>
        <w:rPr>
          <w:rFonts w:hint="eastAsia" w:ascii="仿宋" w:hAnsi="仿宋" w:eastAsia="仿宋" w:cs="仿宋"/>
          <w:sz w:val="24"/>
          <w:u w:val="single"/>
        </w:rPr>
        <w:t>　　　　</w:t>
      </w:r>
      <w:r>
        <w:rPr>
          <w:rFonts w:hint="eastAsia" w:ascii="仿宋" w:hAnsi="仿宋" w:eastAsia="仿宋" w:cs="仿宋"/>
          <w:sz w:val="24"/>
        </w:rPr>
        <w:t>元的投标保证金。</w:t>
      </w:r>
    </w:p>
    <w:p w14:paraId="01791C73">
      <w:pPr>
        <w:pStyle w:val="16"/>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据此，签字代表宣布同意如下：</w:t>
      </w:r>
    </w:p>
    <w:p w14:paraId="66FE08AD">
      <w:pPr>
        <w:pStyle w:val="16"/>
        <w:tabs>
          <w:tab w:val="left" w:pos="720"/>
          <w:tab w:val="left" w:pos="900"/>
        </w:tabs>
        <w:spacing w:line="240" w:lineRule="atLeast"/>
        <w:ind w:left="768" w:leftChars="257" w:hanging="229"/>
        <w:rPr>
          <w:rFonts w:hint="eastAsia" w:ascii="仿宋" w:hAnsi="仿宋" w:eastAsia="仿宋" w:cs="仿宋"/>
          <w:sz w:val="24"/>
          <w:u w:val="single"/>
        </w:rPr>
      </w:pPr>
      <w:r>
        <w:rPr>
          <w:rFonts w:hint="eastAsia" w:ascii="仿宋" w:hAnsi="仿宋" w:eastAsia="仿宋" w:cs="仿宋"/>
          <w:sz w:val="24"/>
        </w:rPr>
        <w:t>（1）附投标价格表中规定的应提供</w:t>
      </w:r>
      <w:r>
        <w:rPr>
          <w:rFonts w:hint="eastAsia" w:ascii="仿宋" w:hAnsi="仿宋" w:eastAsia="仿宋" w:cs="仿宋"/>
          <w:sz w:val="24"/>
          <w:lang w:eastAsia="zh-CN"/>
        </w:rPr>
        <w:t>服务</w:t>
      </w:r>
      <w:r>
        <w:rPr>
          <w:rFonts w:hint="eastAsia" w:ascii="仿宋" w:hAnsi="仿宋" w:eastAsia="仿宋" w:cs="仿宋"/>
          <w:sz w:val="24"/>
        </w:rPr>
        <w:t>的投标总价详见开标一览表，</w:t>
      </w:r>
      <w:r>
        <w:rPr>
          <w:rFonts w:hint="eastAsia" w:ascii="仿宋" w:hAnsi="仿宋" w:eastAsia="仿宋" w:cs="仿宋"/>
          <w:sz w:val="24"/>
          <w:szCs w:val="24"/>
          <w:u w:val="single"/>
        </w:rPr>
        <w:t>其中由小型和微型企业</w:t>
      </w:r>
      <w:r>
        <w:rPr>
          <w:rFonts w:hint="eastAsia" w:ascii="仿宋" w:hAnsi="仿宋" w:eastAsia="仿宋" w:cs="仿宋"/>
          <w:sz w:val="24"/>
          <w:szCs w:val="24"/>
        </w:rPr>
        <w:t>提供服务的价格为</w:t>
      </w:r>
      <w:r>
        <w:rPr>
          <w:rFonts w:hint="eastAsia" w:ascii="仿宋" w:hAnsi="仿宋" w:eastAsia="仿宋" w:cs="仿宋"/>
          <w:sz w:val="24"/>
          <w:u w:val="single"/>
        </w:rPr>
        <w:t>　　  （用文字和数字表示），占投标总价   %</w:t>
      </w:r>
      <w:r>
        <w:rPr>
          <w:rFonts w:hint="eastAsia" w:ascii="仿宋" w:hAnsi="仿宋" w:eastAsia="仿宋" w:cs="仿宋"/>
          <w:sz w:val="24"/>
        </w:rPr>
        <w:t>。</w:t>
      </w:r>
    </w:p>
    <w:p w14:paraId="7AD5230C">
      <w:pPr>
        <w:pStyle w:val="16"/>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（2）本投标有效期为自投标截止之日起</w:t>
      </w:r>
      <w:r>
        <w:rPr>
          <w:rFonts w:hint="eastAsia" w:ascii="仿宋" w:hAnsi="仿宋" w:eastAsia="仿宋" w:cs="仿宋"/>
          <w:sz w:val="24"/>
          <w:u w:val="single"/>
        </w:rPr>
        <w:t xml:space="preserve">          </w:t>
      </w:r>
      <w:r>
        <w:rPr>
          <w:rFonts w:hint="eastAsia" w:ascii="仿宋" w:hAnsi="仿宋" w:eastAsia="仿宋" w:cs="仿宋"/>
          <w:sz w:val="24"/>
        </w:rPr>
        <w:t>个日历日。</w:t>
      </w:r>
    </w:p>
    <w:p w14:paraId="5E0CC835">
      <w:pPr>
        <w:pStyle w:val="16"/>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（3）联合体中的大中型企业和其他自然人、法人或者非法人组织，与联合体中的小型、微型企业之间</w:t>
      </w:r>
      <w:r>
        <w:rPr>
          <w:rFonts w:hint="eastAsia" w:ascii="仿宋" w:hAnsi="仿宋" w:eastAsia="仿宋" w:cs="仿宋"/>
          <w:sz w:val="24"/>
          <w:u w:val="single"/>
        </w:rPr>
        <w:t xml:space="preserve">     （</w:t>
      </w:r>
      <w:r>
        <w:rPr>
          <w:rFonts w:hint="eastAsia" w:ascii="仿宋" w:hAnsi="仿宋" w:eastAsia="仿宋" w:cs="仿宋"/>
          <w:sz w:val="24"/>
        </w:rPr>
        <w:t>存在、不存在）投资关系（如果是联合体的话）。</w:t>
      </w:r>
    </w:p>
    <w:p w14:paraId="157BF22E">
      <w:pPr>
        <w:pStyle w:val="16"/>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（4）已详细审查全部招标文件，包括所有补充通知（如果有的话），完全理解并同意放弃对这方面有不明、误解和质疑的权力。</w:t>
      </w:r>
    </w:p>
    <w:p w14:paraId="4A0D9ED2">
      <w:pPr>
        <w:pStyle w:val="16"/>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（5）在规定的开标时间后，遵守招标文件中有关保证金的规定。</w:t>
      </w:r>
    </w:p>
    <w:p w14:paraId="1C617938">
      <w:pPr>
        <w:pStyle w:val="16"/>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（6）我方不是为本项目提供整体设计、规范编制或者项目管理、监理、检测等服务的供应商，我方不是采购代理机构的附属机构。</w:t>
      </w:r>
    </w:p>
    <w:p w14:paraId="1D9D906D">
      <w:pPr>
        <w:pStyle w:val="16"/>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（7）在领取中标通知书的同时按招标文件规定的形式，向贵方一次性支付中标服务费。</w:t>
      </w:r>
    </w:p>
    <w:p w14:paraId="5CA1FC3C">
      <w:pPr>
        <w:pStyle w:val="16"/>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（8）按照贵方可能要求，提供与其投标有关的一切数据或资料，完全理解贵方不一定接受最低价的投标或收到的任何投标。</w:t>
      </w:r>
    </w:p>
    <w:p w14:paraId="1A1B2AE1">
      <w:pPr>
        <w:pStyle w:val="16"/>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（9）按照招标文件的规定履行合同责任和义务。</w:t>
      </w:r>
    </w:p>
    <w:p w14:paraId="2C914093">
      <w:pPr>
        <w:pStyle w:val="16"/>
        <w:tabs>
          <w:tab w:val="left" w:pos="5580"/>
        </w:tabs>
        <w:spacing w:line="240" w:lineRule="atLeast"/>
        <w:ind w:left="358" w:leftChars="68" w:hanging="216" w:hangingChars="90"/>
        <w:rPr>
          <w:rFonts w:hint="eastAsia" w:ascii="仿宋" w:hAnsi="仿宋" w:eastAsia="仿宋" w:cs="仿宋"/>
          <w:sz w:val="24"/>
        </w:rPr>
      </w:pPr>
      <w:r>
        <w:rPr>
          <w:rFonts w:hint="eastAsia" w:ascii="仿宋" w:hAnsi="仿宋" w:eastAsia="仿宋" w:cs="仿宋"/>
          <w:sz w:val="24"/>
        </w:rPr>
        <w:t xml:space="preserve">  与本投标有关的一切正式往来信函请寄：</w:t>
      </w:r>
    </w:p>
    <w:p w14:paraId="3D293D80">
      <w:pPr>
        <w:pStyle w:val="16"/>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 xml:space="preserve">     传真</w:t>
      </w:r>
      <w:r>
        <w:rPr>
          <w:rFonts w:hint="eastAsia" w:ascii="仿宋" w:hAnsi="仿宋" w:eastAsia="仿宋" w:cs="仿宋"/>
          <w:sz w:val="24"/>
          <w:u w:val="single"/>
        </w:rPr>
        <w:t xml:space="preserve">                             </w:t>
      </w:r>
    </w:p>
    <w:p w14:paraId="4361B00A">
      <w:pPr>
        <w:pStyle w:val="16"/>
        <w:tabs>
          <w:tab w:val="left" w:pos="5580"/>
        </w:tabs>
        <w:spacing w:line="240" w:lineRule="atLeast"/>
        <w:ind w:left="1079" w:leftChars="257" w:hanging="540"/>
        <w:rPr>
          <w:rFonts w:hint="eastAsia" w:ascii="仿宋" w:hAnsi="仿宋" w:eastAsia="仿宋" w:cs="仿宋"/>
          <w:b/>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电子函件</w:t>
      </w:r>
      <w:r>
        <w:rPr>
          <w:rFonts w:hint="eastAsia" w:ascii="仿宋" w:hAnsi="仿宋" w:eastAsia="仿宋" w:cs="仿宋"/>
          <w:sz w:val="24"/>
          <w:u w:val="single"/>
        </w:rPr>
        <w:t xml:space="preserve">                         </w:t>
      </w:r>
    </w:p>
    <w:p w14:paraId="40B1C612">
      <w:pPr>
        <w:pStyle w:val="16"/>
        <w:tabs>
          <w:tab w:val="left" w:pos="5580"/>
        </w:tabs>
        <w:spacing w:line="240" w:lineRule="atLeast"/>
        <w:ind w:left="1079" w:leftChars="257" w:hanging="540"/>
        <w:rPr>
          <w:rFonts w:hint="eastAsia" w:ascii="仿宋" w:hAnsi="仿宋" w:eastAsia="仿宋" w:cs="仿宋"/>
          <w:sz w:val="24"/>
        </w:rPr>
      </w:pPr>
    </w:p>
    <w:p w14:paraId="7F0D91F6">
      <w:pPr>
        <w:pStyle w:val="16"/>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法定代表人或其委托代理人签字-----------------</w:t>
      </w:r>
    </w:p>
    <w:p w14:paraId="41430BC1">
      <w:pPr>
        <w:pStyle w:val="16"/>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投标人名称-----------------</w:t>
      </w:r>
    </w:p>
    <w:p w14:paraId="0E85994C">
      <w:pPr>
        <w:pStyle w:val="16"/>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投标人开户银行（全称）</w:t>
      </w:r>
      <w:r>
        <w:rPr>
          <w:rFonts w:hint="eastAsia" w:ascii="仿宋" w:hAnsi="仿宋" w:eastAsia="仿宋" w:cs="仿宋"/>
          <w:sz w:val="24"/>
          <w:u w:val="single"/>
        </w:rPr>
        <w:t xml:space="preserve">　　　　　　 </w:t>
      </w:r>
    </w:p>
    <w:p w14:paraId="25252EF1">
      <w:pPr>
        <w:pStyle w:val="16"/>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lang w:eastAsia="zh-CN"/>
        </w:rPr>
        <w:t>银行账号</w:t>
      </w:r>
      <w:r>
        <w:rPr>
          <w:rFonts w:hint="eastAsia" w:ascii="仿宋" w:hAnsi="仿宋" w:eastAsia="仿宋" w:cs="仿宋"/>
          <w:sz w:val="24"/>
          <w:u w:val="single"/>
        </w:rPr>
        <w:t>　　　　　　　　 　　</w:t>
      </w:r>
    </w:p>
    <w:p w14:paraId="08E72F72">
      <w:pPr>
        <w:pStyle w:val="16"/>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投标人（电子签章）-------------------------</w:t>
      </w:r>
    </w:p>
    <w:p w14:paraId="1E6890C2">
      <w:pPr>
        <w:pStyle w:val="16"/>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日期-------------------------------</w:t>
      </w:r>
    </w:p>
    <w:p w14:paraId="6DFB3BB0">
      <w:pPr>
        <w:pStyle w:val="16"/>
        <w:tabs>
          <w:tab w:val="left" w:pos="5580"/>
        </w:tabs>
        <w:spacing w:line="240" w:lineRule="atLeast"/>
        <w:rPr>
          <w:rFonts w:hint="eastAsia" w:ascii="仿宋" w:hAnsi="仿宋" w:eastAsia="仿宋" w:cs="仿宋"/>
          <w:sz w:val="24"/>
        </w:rPr>
      </w:pPr>
    </w:p>
    <w:p w14:paraId="6F99F9DB">
      <w:pPr>
        <w:pStyle w:val="3"/>
        <w:spacing w:before="0" w:line="240" w:lineRule="atLeast"/>
        <w:rPr>
          <w:rFonts w:hint="eastAsia" w:ascii="仿宋" w:hAnsi="仿宋" w:eastAsia="仿宋" w:cs="仿宋"/>
          <w:sz w:val="24"/>
        </w:rPr>
      </w:pPr>
      <w:r>
        <w:rPr>
          <w:rFonts w:hint="eastAsia" w:ascii="仿宋" w:hAnsi="仿宋" w:eastAsia="仿宋" w:cs="仿宋"/>
          <w:sz w:val="24"/>
        </w:rPr>
        <w:br w:type="page"/>
      </w:r>
      <w:bookmarkStart w:id="338" w:name="_Toc32401"/>
      <w:bookmarkStart w:id="339" w:name="_Toc1266"/>
      <w:bookmarkStart w:id="340" w:name="_Toc23473"/>
      <w:bookmarkStart w:id="341" w:name="_Toc28682"/>
      <w:r>
        <w:rPr>
          <w:rFonts w:hint="eastAsia" w:ascii="仿宋" w:hAnsi="仿宋" w:eastAsia="仿宋" w:cs="仿宋"/>
          <w:sz w:val="24"/>
        </w:rPr>
        <w:t>2   投标保证金缴纳凭证或投标担保函</w:t>
      </w:r>
      <w:bookmarkEnd w:id="338"/>
      <w:bookmarkEnd w:id="339"/>
      <w:bookmarkEnd w:id="340"/>
      <w:bookmarkEnd w:id="341"/>
    </w:p>
    <w:p w14:paraId="30D81CAE">
      <w:pPr>
        <w:ind w:firstLine="480" w:firstLineChars="200"/>
        <w:rPr>
          <w:rFonts w:hint="eastAsia" w:ascii="仿宋" w:hAnsi="仿宋" w:eastAsia="仿宋" w:cs="仿宋"/>
          <w:sz w:val="24"/>
        </w:rPr>
      </w:pPr>
      <w:r>
        <w:rPr>
          <w:rFonts w:hint="eastAsia" w:ascii="仿宋" w:hAnsi="仿宋" w:eastAsia="仿宋" w:cs="仿宋"/>
          <w:kern w:val="2"/>
          <w:sz w:val="24"/>
          <w:szCs w:val="20"/>
          <w:lang w:val="en-US" w:eastAsia="zh-CN" w:bidi="ar-SA"/>
        </w:rPr>
        <w:t>投标人可将本项目投标保证金支付的汇款凭证、支票、汇票或保证金收据（如有）的扫描件作为缴纳凭证装订在本部分，应加盖本单位章；使用银行保函等其他投标担保函的，应将担保函正本的扫描件，装订在本部分正本中；如采用政府采购信用担保形式的，应使用政府采购投标担保函（投标文件格式六），将原件的扫描件装订在本部分正本中。</w:t>
      </w:r>
    </w:p>
    <w:p w14:paraId="40A00843">
      <w:pPr>
        <w:jc w:val="center"/>
        <w:rPr>
          <w:rFonts w:hint="eastAsia" w:ascii="仿宋" w:hAnsi="仿宋" w:eastAsia="仿宋" w:cs="仿宋"/>
          <w:b/>
          <w:bCs/>
          <w:sz w:val="24"/>
          <w:szCs w:val="24"/>
        </w:rPr>
      </w:pPr>
    </w:p>
    <w:p w14:paraId="207631B1">
      <w:pPr>
        <w:jc w:val="center"/>
        <w:rPr>
          <w:rFonts w:hint="eastAsia" w:ascii="仿宋" w:hAnsi="仿宋" w:eastAsia="仿宋" w:cs="仿宋"/>
          <w:b/>
          <w:bCs/>
          <w:sz w:val="24"/>
          <w:szCs w:val="24"/>
        </w:rPr>
      </w:pPr>
    </w:p>
    <w:p w14:paraId="5301DF91">
      <w:pPr>
        <w:jc w:val="center"/>
        <w:rPr>
          <w:rFonts w:hint="eastAsia" w:ascii="仿宋" w:hAnsi="仿宋" w:eastAsia="仿宋" w:cs="仿宋"/>
          <w:b/>
          <w:bCs/>
          <w:sz w:val="24"/>
          <w:szCs w:val="24"/>
        </w:rPr>
      </w:pPr>
      <w:r>
        <w:rPr>
          <w:rFonts w:hint="eastAsia" w:ascii="仿宋" w:hAnsi="仿宋" w:eastAsia="仿宋" w:cs="仿宋"/>
          <w:b/>
          <w:bCs/>
          <w:sz w:val="24"/>
          <w:szCs w:val="24"/>
        </w:rPr>
        <w:t>政府采购投标担保函 （项目用）（投标文件格式六）</w:t>
      </w:r>
    </w:p>
    <w:p w14:paraId="39670F52">
      <w:pPr>
        <w:ind w:firstLine="480" w:firstLineChars="200"/>
        <w:jc w:val="left"/>
        <w:rPr>
          <w:rFonts w:hint="eastAsia" w:ascii="仿宋" w:hAnsi="仿宋" w:eastAsia="仿宋" w:cs="仿宋"/>
          <w:kern w:val="2"/>
          <w:sz w:val="24"/>
          <w:szCs w:val="20"/>
          <w:lang w:val="en-US" w:eastAsia="zh-CN" w:bidi="ar-SA"/>
        </w:rPr>
      </w:pPr>
    </w:p>
    <w:p w14:paraId="4DFF7EB0">
      <w:pPr>
        <w:ind w:firstLine="480" w:firstLineChars="200"/>
        <w:jc w:val="left"/>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编号：</w:t>
      </w:r>
    </w:p>
    <w:p w14:paraId="0DDA4E02">
      <w:pPr>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（采购人或采购代理机构）：</w:t>
      </w:r>
    </w:p>
    <w:p w14:paraId="3EEB93F0">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鉴于</w:t>
      </w:r>
      <w:r>
        <w:rPr>
          <w:rFonts w:hint="eastAsia" w:ascii="仿宋" w:hAnsi="仿宋" w:eastAsia="仿宋" w:cs="仿宋"/>
          <w:kern w:val="2"/>
          <w:sz w:val="24"/>
          <w:szCs w:val="20"/>
          <w:u w:val="single"/>
          <w:lang w:val="en-US" w:eastAsia="zh-CN" w:bidi="ar-SA"/>
        </w:rPr>
        <w:t xml:space="preserve">       </w:t>
      </w:r>
      <w:r>
        <w:rPr>
          <w:rFonts w:hint="eastAsia" w:ascii="仿宋" w:hAnsi="仿宋" w:eastAsia="仿宋" w:cs="仿宋"/>
          <w:kern w:val="2"/>
          <w:sz w:val="24"/>
          <w:szCs w:val="20"/>
          <w:lang w:val="en-US" w:eastAsia="zh-CN" w:bidi="ar-SA"/>
        </w:rPr>
        <w:t>（以下简称“投标人”）拟参加编号为</w:t>
      </w:r>
      <w:r>
        <w:rPr>
          <w:rFonts w:hint="eastAsia" w:ascii="仿宋" w:hAnsi="仿宋" w:eastAsia="仿宋" w:cs="仿宋"/>
          <w:kern w:val="2"/>
          <w:sz w:val="24"/>
          <w:szCs w:val="20"/>
          <w:u w:val="single"/>
          <w:lang w:val="en-US" w:eastAsia="zh-CN" w:bidi="ar-SA"/>
        </w:rPr>
        <w:t xml:space="preserve">      </w:t>
      </w:r>
      <w:r>
        <w:rPr>
          <w:rFonts w:hint="eastAsia" w:ascii="仿宋" w:hAnsi="仿宋" w:eastAsia="仿宋" w:cs="仿宋"/>
          <w:kern w:val="2"/>
          <w:sz w:val="24"/>
          <w:szCs w:val="20"/>
          <w:lang w:val="en-US" w:eastAsia="zh-CN" w:bidi="ar-SA"/>
        </w:rPr>
        <w:t xml:space="preserve">的                                       </w:t>
      </w:r>
    </w:p>
    <w:p w14:paraId="5EE1979E">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4C293266">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一、保证责任的情形及保证金额</w:t>
      </w:r>
    </w:p>
    <w:p w14:paraId="3CA7A4BB">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（一）在投标人出现下列情形之一时，我方承担保证责任：</w:t>
      </w:r>
    </w:p>
    <w:p w14:paraId="3EE225D1">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1.中标后投标人无正当理由不与采购人或者采购代理机构签订《政府采购合同》；</w:t>
      </w:r>
    </w:p>
    <w:p w14:paraId="31E957F4">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2.招标文件规定的投标人应当缴纳保证金的其他情形。</w:t>
      </w:r>
    </w:p>
    <w:p w14:paraId="46C49297">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（二）我方承担保证责任的最高金额为人民币</w:t>
      </w:r>
      <w:r>
        <w:rPr>
          <w:rFonts w:hint="eastAsia" w:ascii="仿宋" w:hAnsi="仿宋" w:eastAsia="仿宋" w:cs="仿宋"/>
          <w:kern w:val="2"/>
          <w:sz w:val="24"/>
          <w:szCs w:val="20"/>
          <w:u w:val="single"/>
          <w:lang w:val="en-US" w:eastAsia="zh-CN" w:bidi="ar-SA"/>
        </w:rPr>
        <w:t xml:space="preserve">      </w:t>
      </w:r>
      <w:r>
        <w:rPr>
          <w:rFonts w:hint="eastAsia" w:ascii="仿宋" w:hAnsi="仿宋" w:eastAsia="仿宋" w:cs="仿宋"/>
          <w:kern w:val="2"/>
          <w:sz w:val="24"/>
          <w:szCs w:val="20"/>
          <w:lang w:val="en-US" w:eastAsia="zh-CN" w:bidi="ar-SA"/>
        </w:rPr>
        <w:t>元（大写</w:t>
      </w:r>
      <w:r>
        <w:rPr>
          <w:rFonts w:hint="eastAsia" w:ascii="仿宋" w:hAnsi="仿宋" w:eastAsia="仿宋" w:cs="仿宋"/>
          <w:kern w:val="2"/>
          <w:sz w:val="24"/>
          <w:szCs w:val="20"/>
          <w:u w:val="single"/>
          <w:lang w:val="en-US" w:eastAsia="zh-CN" w:bidi="ar-SA"/>
        </w:rPr>
        <w:t xml:space="preserve">     </w:t>
      </w:r>
      <w:r>
        <w:rPr>
          <w:rFonts w:hint="eastAsia" w:ascii="仿宋" w:hAnsi="仿宋" w:eastAsia="仿宋" w:cs="仿宋"/>
          <w:kern w:val="2"/>
          <w:sz w:val="24"/>
          <w:szCs w:val="20"/>
          <w:lang w:val="en-US" w:eastAsia="zh-CN" w:bidi="ar-SA"/>
        </w:rPr>
        <w:t>），即本项目的投标保证金金额。</w:t>
      </w:r>
    </w:p>
    <w:p w14:paraId="05CA5CEB">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二、保证的方式及保证期间</w:t>
      </w:r>
    </w:p>
    <w:p w14:paraId="50B64E67">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我方保证的方式为：连带责任保证。</w:t>
      </w:r>
    </w:p>
    <w:p w14:paraId="4AFDD406">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我方的保证期间为：自本保函生效之日起</w:t>
      </w:r>
      <w:r>
        <w:rPr>
          <w:rFonts w:hint="eastAsia" w:ascii="仿宋" w:hAnsi="仿宋" w:eastAsia="仿宋" w:cs="仿宋"/>
          <w:kern w:val="2"/>
          <w:sz w:val="24"/>
          <w:szCs w:val="20"/>
          <w:u w:val="single"/>
          <w:lang w:val="en-US" w:eastAsia="zh-CN" w:bidi="ar-SA"/>
        </w:rPr>
        <w:t xml:space="preserve">    </w:t>
      </w:r>
      <w:r>
        <w:rPr>
          <w:rFonts w:hint="eastAsia" w:ascii="仿宋" w:hAnsi="仿宋" w:eastAsia="仿宋" w:cs="仿宋"/>
          <w:kern w:val="2"/>
          <w:sz w:val="24"/>
          <w:szCs w:val="20"/>
          <w:lang w:val="en-US" w:eastAsia="zh-CN" w:bidi="ar-SA"/>
        </w:rPr>
        <w:t>个月止。</w:t>
      </w:r>
    </w:p>
    <w:p w14:paraId="4DB95E42">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三、承担保证责任的程序</w:t>
      </w:r>
    </w:p>
    <w:p w14:paraId="359D5949">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01F60BC4">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2.我方在收到索赔通知及相关证明材料后，在　　　个工作日内进行审查，符合应承担保证责任情形的，我方应按照你方的要求代投标人向你方支付投标保证金。</w:t>
      </w:r>
    </w:p>
    <w:p w14:paraId="42EBB855">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四、保证责任的终止</w:t>
      </w:r>
    </w:p>
    <w:p w14:paraId="1C0B5D34">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1.保证期间届满你方未向我方书面主张保证责任的，自保证期间届满次日起，我方保证责任自动终止。</w:t>
      </w:r>
    </w:p>
    <w:p w14:paraId="658FCC35">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2.我方按照本保函向你贵方履行了保证责任后，自我方向你贵方支付款项（支付款项从我方账户划出）之日起，保证责任终止。</w:t>
      </w:r>
    </w:p>
    <w:p w14:paraId="552FB90C">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3.按照法律法规的规定或出现我方保证责任终止的其他情形的，我方在本保函项下的保证责任亦终止。</w:t>
      </w:r>
    </w:p>
    <w:p w14:paraId="2FCD4517">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五、免责条款</w:t>
      </w:r>
    </w:p>
    <w:p w14:paraId="60BA2F1F">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1.依照法律规定或你方与投标人的另行约定，全部或者部分免除投标人投标保证金义务时，我方亦免除相应的保证责任。</w:t>
      </w:r>
    </w:p>
    <w:p w14:paraId="6355FEBF">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2.因你方原因致使投标人发生本保函第一条第（一）款约定情形的，我方不承担保证责任。</w:t>
      </w:r>
    </w:p>
    <w:p w14:paraId="4FDB7A2F">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3.因不可抗力造成投标人发生本保函第一条约定情形的，我方不承担保证责任。</w:t>
      </w:r>
    </w:p>
    <w:p w14:paraId="00683F15">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4.你方或其他有权机关对招标文件进行任何澄清或修改，加重我方保证责任的，我方对加重部分不承担保证责任，但该澄清或修改经我方事先书面同意的除外。</w:t>
      </w:r>
    </w:p>
    <w:p w14:paraId="295E2BA3">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六、争议的解决</w:t>
      </w:r>
    </w:p>
    <w:p w14:paraId="12324500">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因本保函发生的纠纷，由你我双方协商解决，协商不成的，通过诉讼程序解决，诉讼管辖地法院为</w:t>
      </w:r>
      <w:r>
        <w:rPr>
          <w:rFonts w:hint="eastAsia" w:ascii="仿宋" w:hAnsi="仿宋" w:eastAsia="仿宋" w:cs="仿宋"/>
          <w:kern w:val="2"/>
          <w:sz w:val="24"/>
          <w:szCs w:val="20"/>
          <w:u w:val="single"/>
          <w:lang w:val="en-US" w:eastAsia="zh-CN" w:bidi="ar-SA"/>
        </w:rPr>
        <w:t xml:space="preserve">      </w:t>
      </w:r>
      <w:r>
        <w:rPr>
          <w:rFonts w:hint="eastAsia" w:ascii="仿宋" w:hAnsi="仿宋" w:eastAsia="仿宋" w:cs="仿宋"/>
          <w:kern w:val="2"/>
          <w:sz w:val="24"/>
          <w:szCs w:val="20"/>
          <w:lang w:val="en-US" w:eastAsia="zh-CN" w:bidi="ar-SA"/>
        </w:rPr>
        <w:t>法院。</w:t>
      </w:r>
    </w:p>
    <w:p w14:paraId="5EC7F4A2">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七、保函的生效</w:t>
      </w:r>
    </w:p>
    <w:p w14:paraId="517EEF00">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本保函自我方加盖公章之日起生效。</w:t>
      </w:r>
    </w:p>
    <w:p w14:paraId="0FC54B15">
      <w:pPr>
        <w:ind w:firstLine="480" w:firstLineChars="200"/>
        <w:jc w:val="right"/>
        <w:rPr>
          <w:rFonts w:hint="eastAsia" w:ascii="仿宋" w:hAnsi="仿宋" w:eastAsia="仿宋" w:cs="仿宋"/>
          <w:kern w:val="2"/>
          <w:sz w:val="24"/>
          <w:szCs w:val="20"/>
          <w:lang w:val="en-US" w:eastAsia="zh-CN" w:bidi="ar-SA"/>
        </w:rPr>
      </w:pPr>
    </w:p>
    <w:p w14:paraId="3364EE2E">
      <w:pPr>
        <w:ind w:firstLine="480" w:firstLineChars="200"/>
        <w:jc w:val="right"/>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保证人：（</w:t>
      </w:r>
      <w:r>
        <w:rPr>
          <w:rFonts w:hint="eastAsia" w:ascii="仿宋" w:hAnsi="仿宋" w:eastAsia="仿宋" w:cs="仿宋"/>
          <w:color w:val="auto"/>
          <w:sz w:val="24"/>
          <w:highlight w:val="none"/>
          <w:lang w:eastAsia="zh-CN"/>
        </w:rPr>
        <w:t>电子签章</w:t>
      </w:r>
      <w:r>
        <w:rPr>
          <w:rFonts w:hint="eastAsia" w:ascii="仿宋" w:hAnsi="仿宋" w:eastAsia="仿宋" w:cs="仿宋"/>
          <w:kern w:val="2"/>
          <w:sz w:val="24"/>
          <w:szCs w:val="20"/>
          <w:lang w:val="en-US" w:eastAsia="zh-CN" w:bidi="ar-SA"/>
        </w:rPr>
        <w:t>）</w:t>
      </w:r>
    </w:p>
    <w:p w14:paraId="168048D5">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 xml:space="preserve">                               </w:t>
      </w:r>
    </w:p>
    <w:p w14:paraId="4CBDA2D5">
      <w:pPr>
        <w:ind w:firstLine="480" w:firstLineChars="200"/>
        <w:jc w:val="right"/>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年     月      日</w:t>
      </w:r>
    </w:p>
    <w:p w14:paraId="5C9BE8C3">
      <w:pPr>
        <w:ind w:firstLine="480" w:firstLineChars="200"/>
        <w:rPr>
          <w:rFonts w:hint="eastAsia" w:ascii="仿宋" w:hAnsi="仿宋" w:eastAsia="仿宋" w:cs="仿宋"/>
          <w:kern w:val="2"/>
          <w:sz w:val="24"/>
          <w:szCs w:val="20"/>
          <w:lang w:val="en-US" w:eastAsia="zh-CN" w:bidi="ar-SA"/>
        </w:rPr>
        <w:sectPr>
          <w:headerReference r:id="rId7" w:type="defaul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0A6EFC44">
      <w:pPr>
        <w:pStyle w:val="3"/>
        <w:spacing w:before="0" w:line="240" w:lineRule="atLeast"/>
        <w:rPr>
          <w:rFonts w:ascii="仿宋" w:hAnsi="仿宋" w:eastAsia="仿宋" w:cs="仿宋"/>
          <w:sz w:val="24"/>
          <w:szCs w:val="24"/>
          <w:highlight w:val="none"/>
        </w:rPr>
      </w:pPr>
      <w:bookmarkStart w:id="342" w:name="_Hlt520356243"/>
      <w:bookmarkEnd w:id="342"/>
      <w:bookmarkStart w:id="343" w:name="_Hlt520355938"/>
      <w:bookmarkEnd w:id="343"/>
      <w:bookmarkStart w:id="344" w:name="_Toc19241"/>
      <w:bookmarkStart w:id="345" w:name="_Toc216582815"/>
      <w:bookmarkStart w:id="346" w:name="_Toc20897"/>
      <w:bookmarkStart w:id="347" w:name="_Toc515647818"/>
      <w:bookmarkStart w:id="348" w:name="_Toc1881"/>
      <w:bookmarkStart w:id="349" w:name="_Toc25022"/>
      <w:r>
        <w:rPr>
          <w:rFonts w:hint="eastAsia" w:ascii="仿宋" w:hAnsi="仿宋" w:eastAsia="仿宋" w:cs="仿宋"/>
          <w:sz w:val="24"/>
          <w:szCs w:val="24"/>
          <w:highlight w:val="none"/>
        </w:rPr>
        <w:t xml:space="preserve">3   </w:t>
      </w:r>
      <w:bookmarkEnd w:id="344"/>
      <w:bookmarkEnd w:id="345"/>
      <w:bookmarkEnd w:id="346"/>
      <w:bookmarkEnd w:id="347"/>
      <w:bookmarkEnd w:id="348"/>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分项报价表（</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文件格式七）</w:t>
      </w:r>
      <w:bookmarkEnd w:id="349"/>
    </w:p>
    <w:p w14:paraId="79E4C855">
      <w:pPr>
        <w:pStyle w:val="16"/>
        <w:spacing w:line="240" w:lineRule="atLeast"/>
        <w:ind w:left="1080" w:leftChars="257" w:hanging="540"/>
        <w:rPr>
          <w:rFonts w:ascii="仿宋" w:hAnsi="仿宋" w:eastAsia="仿宋" w:cs="仿宋"/>
          <w:sz w:val="24"/>
          <w:szCs w:val="24"/>
        </w:rPr>
      </w:pPr>
    </w:p>
    <w:p w14:paraId="202F6A4C">
      <w:pPr>
        <w:pStyle w:val="16"/>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eastAsia="zh-CN"/>
        </w:rPr>
        <w:t>：</w:t>
      </w:r>
      <w:r>
        <w:rPr>
          <w:rFonts w:hint="eastAsia" w:ascii="仿宋" w:hAnsi="仿宋" w:eastAsia="仿宋" w:cs="仿宋"/>
          <w:sz w:val="24"/>
          <w:szCs w:val="24"/>
        </w:rPr>
        <w:t xml:space="preserve">                      项目编号</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3E310951">
      <w:pPr>
        <w:pStyle w:val="16"/>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包号</w:t>
      </w:r>
      <w:r>
        <w:rPr>
          <w:rFonts w:hint="eastAsia" w:ascii="仿宋" w:hAnsi="仿宋" w:eastAsia="仿宋" w:cs="仿宋"/>
          <w:sz w:val="24"/>
          <w:szCs w:val="24"/>
          <w:lang w:eastAsia="zh-CN"/>
        </w:rPr>
        <w:t>：</w:t>
      </w:r>
      <w:r>
        <w:rPr>
          <w:rFonts w:hint="eastAsia" w:ascii="仿宋" w:hAnsi="仿宋" w:eastAsia="仿宋" w:cs="仿宋"/>
          <w:sz w:val="24"/>
          <w:szCs w:val="24"/>
        </w:rPr>
        <w:t xml:space="preserve"> 　               　报价单位：人民币万元</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679"/>
        <w:gridCol w:w="1374"/>
        <w:gridCol w:w="1060"/>
        <w:gridCol w:w="1112"/>
        <w:gridCol w:w="1090"/>
        <w:gridCol w:w="1091"/>
      </w:tblGrid>
      <w:tr w14:paraId="5F92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14:paraId="4DF55995">
            <w:pPr>
              <w:keepNext w:val="0"/>
              <w:keepLines w:val="0"/>
              <w:widowControl w:val="0"/>
              <w:suppressLineNumbers w:val="0"/>
              <w:spacing w:before="86" w:beforeAutospacing="0" w:after="0" w:afterAutospacing="0" w:line="165" w:lineRule="auto"/>
              <w:ind w:left="0" w:right="0"/>
              <w:jc w:val="center"/>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序号</w:t>
            </w:r>
          </w:p>
          <w:p w14:paraId="0A6C092C">
            <w:pPr>
              <w:keepNext w:val="0"/>
              <w:keepLines w:val="0"/>
              <w:widowControl w:val="0"/>
              <w:suppressLineNumbers w:val="0"/>
              <w:spacing w:before="86" w:beforeAutospacing="0" w:after="0" w:afterAutospacing="0" w:line="165" w:lineRule="auto"/>
              <w:ind w:left="0" w:right="0"/>
              <w:jc w:val="center"/>
              <w:rPr>
                <w:rFonts w:hint="eastAsia" w:ascii="仿宋" w:hAnsi="仿宋" w:eastAsia="仿宋" w:cs="仿宋"/>
                <w:spacing w:val="-2"/>
                <w:sz w:val="24"/>
                <w:szCs w:val="24"/>
              </w:rPr>
            </w:pPr>
          </w:p>
        </w:tc>
        <w:tc>
          <w:tcPr>
            <w:tcW w:w="1704" w:type="dxa"/>
          </w:tcPr>
          <w:p w14:paraId="0B36ECC3">
            <w:pPr>
              <w:keepNext w:val="0"/>
              <w:keepLines w:val="0"/>
              <w:widowControl w:val="0"/>
              <w:suppressLineNumbers w:val="0"/>
              <w:spacing w:before="86" w:beforeAutospacing="0" w:after="0" w:afterAutospacing="0" w:line="165" w:lineRule="auto"/>
              <w:ind w:left="0" w:right="0"/>
              <w:jc w:val="center"/>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服务名称</w:t>
            </w:r>
          </w:p>
          <w:p w14:paraId="41AA27A8">
            <w:pPr>
              <w:keepNext w:val="0"/>
              <w:keepLines w:val="0"/>
              <w:widowControl w:val="0"/>
              <w:suppressLineNumbers w:val="0"/>
              <w:spacing w:before="86" w:beforeAutospacing="0" w:after="0" w:afterAutospacing="0" w:line="165" w:lineRule="auto"/>
              <w:ind w:left="0" w:right="0"/>
              <w:jc w:val="center"/>
              <w:rPr>
                <w:rFonts w:hint="eastAsia" w:ascii="仿宋" w:hAnsi="仿宋" w:eastAsia="仿宋" w:cs="仿宋"/>
                <w:spacing w:val="-2"/>
                <w:sz w:val="24"/>
                <w:szCs w:val="24"/>
              </w:rPr>
            </w:pPr>
          </w:p>
        </w:tc>
        <w:tc>
          <w:tcPr>
            <w:tcW w:w="1393" w:type="dxa"/>
          </w:tcPr>
          <w:p w14:paraId="740D6852">
            <w:pPr>
              <w:keepNext w:val="0"/>
              <w:keepLines w:val="0"/>
              <w:widowControl w:val="0"/>
              <w:suppressLineNumbers w:val="0"/>
              <w:spacing w:before="86" w:beforeAutospacing="0" w:after="0" w:afterAutospacing="0" w:line="165" w:lineRule="auto"/>
              <w:ind w:left="0" w:right="0"/>
              <w:jc w:val="center"/>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服务内容</w:t>
            </w:r>
          </w:p>
          <w:p w14:paraId="7F26E665">
            <w:pPr>
              <w:keepNext w:val="0"/>
              <w:keepLines w:val="0"/>
              <w:widowControl w:val="0"/>
              <w:suppressLineNumbers w:val="0"/>
              <w:spacing w:before="86" w:beforeAutospacing="0" w:after="0" w:afterAutospacing="0" w:line="165" w:lineRule="auto"/>
              <w:ind w:left="0" w:right="0"/>
              <w:jc w:val="center"/>
              <w:rPr>
                <w:rFonts w:hint="eastAsia" w:ascii="仿宋" w:hAnsi="仿宋" w:eastAsia="仿宋" w:cs="仿宋"/>
                <w:spacing w:val="-2"/>
                <w:sz w:val="24"/>
                <w:szCs w:val="24"/>
              </w:rPr>
            </w:pPr>
          </w:p>
        </w:tc>
        <w:tc>
          <w:tcPr>
            <w:tcW w:w="1072" w:type="dxa"/>
          </w:tcPr>
          <w:p w14:paraId="70CDCE23">
            <w:pPr>
              <w:keepNext w:val="0"/>
              <w:keepLines w:val="0"/>
              <w:widowControl w:val="0"/>
              <w:suppressLineNumbers w:val="0"/>
              <w:spacing w:before="86" w:beforeAutospacing="0" w:after="0" w:afterAutospacing="0" w:line="165" w:lineRule="auto"/>
              <w:ind w:left="0" w:right="0"/>
              <w:jc w:val="center"/>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数量</w:t>
            </w:r>
          </w:p>
          <w:p w14:paraId="366D5EF4">
            <w:pPr>
              <w:keepNext w:val="0"/>
              <w:keepLines w:val="0"/>
              <w:widowControl w:val="0"/>
              <w:suppressLineNumbers w:val="0"/>
              <w:spacing w:before="86" w:beforeAutospacing="0" w:after="0" w:afterAutospacing="0" w:line="165" w:lineRule="auto"/>
              <w:ind w:left="0" w:right="0"/>
              <w:jc w:val="center"/>
              <w:rPr>
                <w:rFonts w:hint="eastAsia" w:ascii="仿宋" w:hAnsi="仿宋" w:eastAsia="仿宋" w:cs="仿宋"/>
                <w:spacing w:val="-2"/>
                <w:sz w:val="24"/>
                <w:szCs w:val="24"/>
              </w:rPr>
            </w:pPr>
          </w:p>
        </w:tc>
        <w:tc>
          <w:tcPr>
            <w:tcW w:w="1125" w:type="dxa"/>
          </w:tcPr>
          <w:p w14:paraId="6E9E0E19">
            <w:pPr>
              <w:keepNext w:val="0"/>
              <w:keepLines w:val="0"/>
              <w:widowControl w:val="0"/>
              <w:suppressLineNumbers w:val="0"/>
              <w:spacing w:before="86" w:beforeAutospacing="0" w:after="0" w:afterAutospacing="0" w:line="165" w:lineRule="auto"/>
              <w:ind w:left="0" w:right="0"/>
              <w:jc w:val="center"/>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单价</w:t>
            </w:r>
          </w:p>
          <w:p w14:paraId="15FFAD87">
            <w:pPr>
              <w:keepNext w:val="0"/>
              <w:keepLines w:val="0"/>
              <w:widowControl w:val="0"/>
              <w:suppressLineNumbers w:val="0"/>
              <w:spacing w:before="86" w:beforeAutospacing="0" w:after="0" w:afterAutospacing="0" w:line="165" w:lineRule="auto"/>
              <w:ind w:left="0" w:right="0"/>
              <w:jc w:val="center"/>
              <w:rPr>
                <w:rFonts w:hint="eastAsia" w:ascii="仿宋" w:hAnsi="仿宋" w:eastAsia="仿宋" w:cs="仿宋"/>
                <w:spacing w:val="-2"/>
                <w:sz w:val="24"/>
                <w:szCs w:val="24"/>
              </w:rPr>
            </w:pPr>
          </w:p>
        </w:tc>
        <w:tc>
          <w:tcPr>
            <w:tcW w:w="1103" w:type="dxa"/>
          </w:tcPr>
          <w:p w14:paraId="21467511">
            <w:pPr>
              <w:keepNext w:val="0"/>
              <w:keepLines w:val="0"/>
              <w:widowControl w:val="0"/>
              <w:suppressLineNumbers w:val="0"/>
              <w:spacing w:before="86" w:beforeAutospacing="0" w:after="0" w:afterAutospacing="0" w:line="165" w:lineRule="auto"/>
              <w:ind w:left="0" w:right="0"/>
              <w:jc w:val="center"/>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总价</w:t>
            </w:r>
          </w:p>
          <w:p w14:paraId="5064C603">
            <w:pPr>
              <w:keepNext w:val="0"/>
              <w:keepLines w:val="0"/>
              <w:widowControl w:val="0"/>
              <w:suppressLineNumbers w:val="0"/>
              <w:spacing w:before="86" w:beforeAutospacing="0" w:after="0" w:afterAutospacing="0" w:line="165" w:lineRule="auto"/>
              <w:ind w:left="0" w:right="0"/>
              <w:jc w:val="center"/>
              <w:rPr>
                <w:rFonts w:hint="eastAsia" w:ascii="仿宋" w:hAnsi="仿宋" w:eastAsia="仿宋" w:cs="仿宋"/>
                <w:spacing w:val="-2"/>
                <w:sz w:val="24"/>
                <w:szCs w:val="24"/>
              </w:rPr>
            </w:pPr>
          </w:p>
        </w:tc>
        <w:tc>
          <w:tcPr>
            <w:tcW w:w="1104" w:type="dxa"/>
          </w:tcPr>
          <w:p w14:paraId="68A2EE6D">
            <w:pPr>
              <w:keepNext w:val="0"/>
              <w:keepLines w:val="0"/>
              <w:widowControl w:val="0"/>
              <w:suppressLineNumbers w:val="0"/>
              <w:spacing w:before="86" w:beforeAutospacing="0" w:after="0" w:afterAutospacing="0" w:line="165" w:lineRule="auto"/>
              <w:ind w:left="0" w:right="0"/>
              <w:jc w:val="center"/>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备注</w:t>
            </w:r>
          </w:p>
          <w:p w14:paraId="3458A254">
            <w:pPr>
              <w:keepNext w:val="0"/>
              <w:keepLines w:val="0"/>
              <w:widowControl w:val="0"/>
              <w:suppressLineNumbers w:val="0"/>
              <w:spacing w:before="86" w:beforeAutospacing="0" w:after="0" w:afterAutospacing="0" w:line="165" w:lineRule="auto"/>
              <w:ind w:left="0" w:right="0"/>
              <w:jc w:val="center"/>
              <w:rPr>
                <w:rFonts w:hint="eastAsia" w:ascii="仿宋" w:hAnsi="仿宋" w:eastAsia="仿宋" w:cs="仿宋"/>
                <w:spacing w:val="-2"/>
                <w:sz w:val="24"/>
                <w:szCs w:val="24"/>
              </w:rPr>
            </w:pPr>
          </w:p>
        </w:tc>
      </w:tr>
      <w:tr w14:paraId="5656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135" w:type="dxa"/>
          </w:tcPr>
          <w:p w14:paraId="1AC0D5A3">
            <w:pPr>
              <w:keepNext w:val="0"/>
              <w:keepLines w:val="0"/>
              <w:widowControl w:val="0"/>
              <w:suppressLineNumbers w:val="0"/>
              <w:spacing w:before="0" w:beforeAutospacing="0" w:after="0" w:afterAutospacing="0" w:line="364" w:lineRule="auto"/>
              <w:ind w:left="0" w:right="0"/>
              <w:rPr>
                <w:rFonts w:hint="default"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1.</w:t>
            </w:r>
          </w:p>
        </w:tc>
        <w:tc>
          <w:tcPr>
            <w:tcW w:w="1704" w:type="dxa"/>
          </w:tcPr>
          <w:p w14:paraId="03DB119C">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393" w:type="dxa"/>
          </w:tcPr>
          <w:p w14:paraId="323940F6">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072" w:type="dxa"/>
          </w:tcPr>
          <w:p w14:paraId="4733ABB6">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125" w:type="dxa"/>
          </w:tcPr>
          <w:p w14:paraId="67251E28">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103" w:type="dxa"/>
          </w:tcPr>
          <w:p w14:paraId="67603CCF">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104" w:type="dxa"/>
          </w:tcPr>
          <w:p w14:paraId="6499BC5C">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r>
      <w:tr w14:paraId="4059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35" w:type="dxa"/>
          </w:tcPr>
          <w:p w14:paraId="4557FFDE">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2.</w:t>
            </w:r>
          </w:p>
        </w:tc>
        <w:tc>
          <w:tcPr>
            <w:tcW w:w="1704" w:type="dxa"/>
          </w:tcPr>
          <w:p w14:paraId="2DCC41AF">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393" w:type="dxa"/>
          </w:tcPr>
          <w:p w14:paraId="70A10169">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072" w:type="dxa"/>
          </w:tcPr>
          <w:p w14:paraId="128EBBA4">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125" w:type="dxa"/>
          </w:tcPr>
          <w:p w14:paraId="3A3C0FFB">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103" w:type="dxa"/>
          </w:tcPr>
          <w:p w14:paraId="6305926B">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104" w:type="dxa"/>
          </w:tcPr>
          <w:p w14:paraId="73FC1F60">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r>
      <w:tr w14:paraId="1730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135" w:type="dxa"/>
          </w:tcPr>
          <w:p w14:paraId="39F07A7C">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3.</w:t>
            </w:r>
          </w:p>
        </w:tc>
        <w:tc>
          <w:tcPr>
            <w:tcW w:w="1704" w:type="dxa"/>
          </w:tcPr>
          <w:p w14:paraId="353A4886">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393" w:type="dxa"/>
          </w:tcPr>
          <w:p w14:paraId="4783B9A2">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072" w:type="dxa"/>
          </w:tcPr>
          <w:p w14:paraId="1A06C62B">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125" w:type="dxa"/>
          </w:tcPr>
          <w:p w14:paraId="2D305F10">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103" w:type="dxa"/>
          </w:tcPr>
          <w:p w14:paraId="3EFC5BA0">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104" w:type="dxa"/>
          </w:tcPr>
          <w:p w14:paraId="3A9F05EF">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r>
      <w:tr w14:paraId="7ABE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trPr>
        <w:tc>
          <w:tcPr>
            <w:tcW w:w="1135" w:type="dxa"/>
          </w:tcPr>
          <w:p w14:paraId="3957EE56">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4.</w:t>
            </w:r>
          </w:p>
        </w:tc>
        <w:tc>
          <w:tcPr>
            <w:tcW w:w="1704" w:type="dxa"/>
          </w:tcPr>
          <w:p w14:paraId="2A190F42">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393" w:type="dxa"/>
          </w:tcPr>
          <w:p w14:paraId="78C7CA42">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072" w:type="dxa"/>
          </w:tcPr>
          <w:p w14:paraId="07346CC6">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125" w:type="dxa"/>
          </w:tcPr>
          <w:p w14:paraId="55501C36">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103" w:type="dxa"/>
          </w:tcPr>
          <w:p w14:paraId="763D8945">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104" w:type="dxa"/>
          </w:tcPr>
          <w:p w14:paraId="374A8DAC">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r>
      <w:tr w14:paraId="2E8B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35" w:type="dxa"/>
          </w:tcPr>
          <w:p w14:paraId="572B816D">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5.</w:t>
            </w:r>
          </w:p>
        </w:tc>
        <w:tc>
          <w:tcPr>
            <w:tcW w:w="1704" w:type="dxa"/>
          </w:tcPr>
          <w:p w14:paraId="1333CBF4">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393" w:type="dxa"/>
          </w:tcPr>
          <w:p w14:paraId="454BADC3">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072" w:type="dxa"/>
          </w:tcPr>
          <w:p w14:paraId="29272C12">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125" w:type="dxa"/>
          </w:tcPr>
          <w:p w14:paraId="4297D72A">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103" w:type="dxa"/>
          </w:tcPr>
          <w:p w14:paraId="053B4A33">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104" w:type="dxa"/>
          </w:tcPr>
          <w:p w14:paraId="0652B7D3">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r>
      <w:tr w14:paraId="357B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135" w:type="dxa"/>
          </w:tcPr>
          <w:p w14:paraId="7D131F93">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lang w:val="en-US" w:eastAsia="zh-CN"/>
              </w:rPr>
            </w:pPr>
            <w:r>
              <w:rPr>
                <w:rFonts w:hint="default" w:ascii="Arial" w:hAnsi="Arial" w:eastAsia="仿宋" w:cs="Arial"/>
                <w:sz w:val="21"/>
                <w:vertAlign w:val="baseline"/>
                <w:lang w:val="en-US" w:eastAsia="zh-CN"/>
              </w:rPr>
              <w:t>…</w:t>
            </w:r>
          </w:p>
        </w:tc>
        <w:tc>
          <w:tcPr>
            <w:tcW w:w="1704" w:type="dxa"/>
          </w:tcPr>
          <w:p w14:paraId="20343CB9">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r>
              <w:rPr>
                <w:rFonts w:hint="default" w:ascii="Arial" w:hAnsi="Arial" w:eastAsia="仿宋" w:cs="Arial"/>
                <w:sz w:val="21"/>
                <w:vertAlign w:val="baseline"/>
                <w:lang w:val="en-US" w:eastAsia="zh-CN"/>
              </w:rPr>
              <w:t>…</w:t>
            </w:r>
          </w:p>
        </w:tc>
        <w:tc>
          <w:tcPr>
            <w:tcW w:w="1393" w:type="dxa"/>
          </w:tcPr>
          <w:p w14:paraId="2F5535BE">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r>
              <w:rPr>
                <w:rFonts w:hint="default" w:ascii="Arial" w:hAnsi="Arial" w:eastAsia="仿宋" w:cs="Arial"/>
                <w:sz w:val="21"/>
                <w:vertAlign w:val="baseline"/>
                <w:lang w:val="en-US" w:eastAsia="zh-CN"/>
              </w:rPr>
              <w:t>…</w:t>
            </w:r>
          </w:p>
        </w:tc>
        <w:tc>
          <w:tcPr>
            <w:tcW w:w="1072" w:type="dxa"/>
          </w:tcPr>
          <w:p w14:paraId="50903314">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125" w:type="dxa"/>
          </w:tcPr>
          <w:p w14:paraId="0DA190AC">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103" w:type="dxa"/>
          </w:tcPr>
          <w:p w14:paraId="04256C1B">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c>
          <w:tcPr>
            <w:tcW w:w="1104" w:type="dxa"/>
          </w:tcPr>
          <w:p w14:paraId="12EAECBA">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rPr>
            </w:pPr>
          </w:p>
        </w:tc>
      </w:tr>
      <w:tr w14:paraId="7855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636" w:type="dxa"/>
            <w:gridSpan w:val="7"/>
          </w:tcPr>
          <w:p w14:paraId="09AE7CBD">
            <w:pPr>
              <w:keepNext w:val="0"/>
              <w:keepLines w:val="0"/>
              <w:widowControl w:val="0"/>
              <w:suppressLineNumbers w:val="0"/>
              <w:spacing w:before="0" w:beforeAutospacing="0" w:after="0" w:afterAutospacing="0" w:line="364" w:lineRule="auto"/>
              <w:ind w:left="0" w:right="0"/>
              <w:rPr>
                <w:rFonts w:hint="eastAsia" w:ascii="仿宋" w:hAnsi="仿宋" w:eastAsia="仿宋" w:cs="仿宋"/>
                <w:sz w:val="21"/>
                <w:vertAlign w:val="baseline"/>
                <w:lang w:val="en-US" w:eastAsia="zh-CN"/>
              </w:rPr>
            </w:pPr>
          </w:p>
          <w:p w14:paraId="1DD268DF">
            <w:pPr>
              <w:keepNext w:val="0"/>
              <w:keepLines w:val="0"/>
              <w:widowControl w:val="0"/>
              <w:suppressLineNumbers w:val="0"/>
              <w:spacing w:before="0" w:beforeAutospacing="0" w:after="0" w:afterAutospacing="0" w:line="364" w:lineRule="auto"/>
              <w:ind w:left="0" w:right="0"/>
              <w:rPr>
                <w:rFonts w:hint="default"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总价：   元（大写）</w:t>
            </w:r>
          </w:p>
        </w:tc>
      </w:tr>
    </w:tbl>
    <w:p w14:paraId="6910115C">
      <w:pPr>
        <w:pStyle w:val="16"/>
        <w:spacing w:line="240" w:lineRule="atLeast"/>
        <w:rPr>
          <w:rFonts w:ascii="仿宋" w:hAnsi="仿宋" w:eastAsia="仿宋" w:cs="仿宋"/>
          <w:sz w:val="24"/>
          <w:szCs w:val="24"/>
        </w:rPr>
      </w:pPr>
    </w:p>
    <w:p w14:paraId="0960CFC6">
      <w:pPr>
        <w:pStyle w:val="16"/>
        <w:tabs>
          <w:tab w:val="left" w:pos="5370"/>
        </w:tabs>
        <w:spacing w:line="240" w:lineRule="atLeast"/>
        <w:jc w:val="left"/>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lang w:eastAsia="zh-CN"/>
        </w:rPr>
        <w:t>（电子签章）：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235FA5B1">
      <w:pPr>
        <w:pStyle w:val="16"/>
        <w:tabs>
          <w:tab w:val="left" w:pos="5370"/>
        </w:tabs>
        <w:spacing w:line="240" w:lineRule="atLeast"/>
        <w:jc w:val="left"/>
        <w:rPr>
          <w:rFonts w:hint="eastAsia" w:ascii="仿宋" w:hAnsi="仿宋" w:eastAsia="仿宋" w:cs="仿宋"/>
          <w:sz w:val="24"/>
          <w:u w:val="single"/>
        </w:rPr>
      </w:pPr>
      <w:r>
        <w:rPr>
          <w:rFonts w:hint="eastAsia" w:ascii="仿宋" w:hAnsi="仿宋" w:eastAsia="仿宋" w:cs="仿宋"/>
          <w:sz w:val="24"/>
        </w:rPr>
        <w:t>投标人</w:t>
      </w:r>
      <w:r>
        <w:rPr>
          <w:rFonts w:hint="eastAsia" w:ascii="仿宋" w:hAnsi="仿宋" w:eastAsia="仿宋" w:cs="仿宋"/>
          <w:sz w:val="24"/>
          <w:lang w:eastAsia="zh-CN"/>
        </w:rPr>
        <w:t>（</w:t>
      </w:r>
      <w:r>
        <w:rPr>
          <w:rFonts w:hint="eastAsia" w:ascii="仿宋" w:hAnsi="仿宋" w:eastAsia="仿宋" w:cs="仿宋"/>
          <w:sz w:val="24"/>
        </w:rPr>
        <w:t>电子签章</w:t>
      </w:r>
      <w:r>
        <w:rPr>
          <w:rFonts w:hint="eastAsia" w:ascii="仿宋" w:hAnsi="仿宋" w:eastAsia="仿宋" w:cs="仿宋"/>
          <w:sz w:val="24"/>
          <w:lang w:eastAsia="zh-CN"/>
        </w:rPr>
        <w:t>）：</w:t>
      </w:r>
      <w:r>
        <w:rPr>
          <w:rFonts w:hint="eastAsia" w:ascii="仿宋" w:hAnsi="仿宋" w:eastAsia="仿宋" w:cs="仿宋"/>
          <w:sz w:val="24"/>
          <w:u w:val="single"/>
        </w:rPr>
        <w:tab/>
      </w:r>
    </w:p>
    <w:p w14:paraId="0D3480CC">
      <w:pPr>
        <w:pStyle w:val="16"/>
        <w:spacing w:line="240" w:lineRule="atLeast"/>
        <w:ind w:left="1080" w:leftChars="257" w:hanging="540"/>
        <w:jc w:val="left"/>
        <w:rPr>
          <w:rFonts w:hint="eastAsia" w:ascii="仿宋" w:hAnsi="仿宋" w:eastAsia="仿宋" w:cs="仿宋"/>
          <w:sz w:val="24"/>
        </w:rPr>
      </w:pPr>
    </w:p>
    <w:p w14:paraId="5691147C">
      <w:pPr>
        <w:pStyle w:val="16"/>
        <w:spacing w:line="240" w:lineRule="atLeast"/>
        <w:rPr>
          <w:rFonts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lang w:eastAsia="zh-CN"/>
        </w:rPr>
        <w:t>：</w:t>
      </w:r>
      <w:r>
        <w:rPr>
          <w:rFonts w:hint="eastAsia" w:ascii="仿宋" w:hAnsi="仿宋" w:eastAsia="仿宋" w:cs="仿宋"/>
          <w:sz w:val="24"/>
          <w:szCs w:val="24"/>
        </w:rPr>
        <w:t>1.如果按单价计算的结果与总价不一致</w:t>
      </w:r>
      <w:r>
        <w:rPr>
          <w:rFonts w:hint="eastAsia" w:ascii="仿宋" w:hAnsi="仿宋" w:eastAsia="仿宋" w:cs="仿宋"/>
          <w:sz w:val="24"/>
          <w:szCs w:val="24"/>
          <w:lang w:eastAsia="zh-CN"/>
        </w:rPr>
        <w:t>，</w:t>
      </w:r>
      <w:r>
        <w:rPr>
          <w:rFonts w:hint="eastAsia" w:ascii="仿宋" w:hAnsi="仿宋" w:eastAsia="仿宋" w:cs="仿宋"/>
          <w:sz w:val="24"/>
          <w:szCs w:val="24"/>
        </w:rPr>
        <w:t>以单价为准修正总价。</w:t>
      </w:r>
    </w:p>
    <w:p w14:paraId="70AB622F">
      <w:pPr>
        <w:pStyle w:val="16"/>
        <w:spacing w:line="240" w:lineRule="atLeast"/>
        <w:rPr>
          <w:rFonts w:ascii="仿宋" w:hAnsi="仿宋" w:eastAsia="仿宋" w:cs="仿宋"/>
          <w:sz w:val="24"/>
          <w:szCs w:val="24"/>
        </w:rPr>
      </w:pPr>
      <w:r>
        <w:rPr>
          <w:rFonts w:hint="eastAsia" w:ascii="仿宋" w:hAnsi="仿宋" w:eastAsia="仿宋" w:cs="仿宋"/>
          <w:sz w:val="24"/>
          <w:szCs w:val="24"/>
        </w:rPr>
        <w:t xml:space="preserve">   2.上述各项的详细分项报价，应另页描述。</w:t>
      </w:r>
    </w:p>
    <w:p w14:paraId="48251F1E">
      <w:pPr>
        <w:pStyle w:val="16"/>
        <w:spacing w:line="240" w:lineRule="atLeast"/>
        <w:rPr>
          <w:rFonts w:ascii="仿宋" w:hAnsi="仿宋" w:eastAsia="仿宋" w:cs="仿宋"/>
          <w:sz w:val="24"/>
          <w:szCs w:val="24"/>
        </w:rPr>
      </w:pPr>
      <w:r>
        <w:rPr>
          <w:rFonts w:hint="eastAsia" w:ascii="仿宋" w:hAnsi="仿宋" w:eastAsia="仿宋" w:cs="仿宋"/>
          <w:sz w:val="24"/>
          <w:szCs w:val="24"/>
        </w:rPr>
        <w:t xml:space="preserve">   3.如果开标一览表（报价表）内容与投标文件中明细表内容不一致的，以开标一览表（报价表）内容为准。</w:t>
      </w:r>
    </w:p>
    <w:p w14:paraId="780D87CC">
      <w:pPr>
        <w:rPr>
          <w:rFonts w:hint="eastAsia" w:ascii="仿宋" w:hAnsi="仿宋" w:eastAsia="仿宋" w:cs="仿宋"/>
          <w:sz w:val="24"/>
          <w:szCs w:val="24"/>
        </w:rPr>
      </w:pPr>
      <w:bookmarkStart w:id="350" w:name="_Toc216582816"/>
      <w:bookmarkStart w:id="351" w:name="_Toc515647819"/>
      <w:bookmarkStart w:id="352" w:name="_Toc617"/>
      <w:bookmarkStart w:id="353" w:name="_Toc14037"/>
      <w:bookmarkStart w:id="354" w:name="_Toc18267"/>
      <w:r>
        <w:rPr>
          <w:rFonts w:hint="eastAsia" w:ascii="仿宋" w:hAnsi="仿宋" w:eastAsia="仿宋" w:cs="仿宋"/>
          <w:sz w:val="24"/>
          <w:szCs w:val="24"/>
        </w:rPr>
        <w:br w:type="page"/>
      </w:r>
    </w:p>
    <w:p w14:paraId="182703F9">
      <w:pPr>
        <w:rPr>
          <w:rFonts w:hint="eastAsia"/>
        </w:rPr>
      </w:pPr>
    </w:p>
    <w:p w14:paraId="1928914C">
      <w:pPr>
        <w:pStyle w:val="3"/>
        <w:bidi w:val="0"/>
        <w:rPr>
          <w:rFonts w:hint="eastAsia" w:ascii="仿宋" w:hAnsi="仿宋" w:eastAsia="仿宋" w:cs="仿宋"/>
          <w:sz w:val="24"/>
          <w:szCs w:val="24"/>
        </w:rPr>
      </w:pPr>
    </w:p>
    <w:p w14:paraId="514897AE">
      <w:pPr>
        <w:pStyle w:val="3"/>
        <w:bidi w:val="0"/>
        <w:rPr>
          <w:rFonts w:hint="eastAsia" w:ascii="仿宋" w:hAnsi="仿宋" w:eastAsia="仿宋" w:cs="仿宋"/>
          <w:sz w:val="24"/>
          <w:szCs w:val="24"/>
        </w:rPr>
      </w:pPr>
      <w:bookmarkStart w:id="355" w:name="_Toc1416"/>
      <w:r>
        <w:rPr>
          <w:rFonts w:hint="eastAsia" w:ascii="仿宋" w:hAnsi="仿宋" w:eastAsia="仿宋" w:cs="仿宋"/>
          <w:sz w:val="24"/>
          <w:szCs w:val="24"/>
        </w:rPr>
        <w:t xml:space="preserve">4   </w:t>
      </w:r>
      <w:r>
        <w:rPr>
          <w:rFonts w:hint="eastAsia" w:ascii="仿宋" w:hAnsi="仿宋" w:eastAsia="仿宋" w:cs="仿宋"/>
          <w:sz w:val="24"/>
          <w:szCs w:val="24"/>
          <w:lang w:eastAsia="zh-CN"/>
        </w:rPr>
        <w:t>服务</w:t>
      </w:r>
      <w:r>
        <w:rPr>
          <w:rFonts w:hint="eastAsia" w:ascii="仿宋" w:hAnsi="仿宋" w:eastAsia="仿宋" w:cs="仿宋"/>
          <w:sz w:val="24"/>
          <w:szCs w:val="24"/>
        </w:rPr>
        <w:t>说明一览表</w:t>
      </w:r>
      <w:bookmarkEnd w:id="350"/>
      <w:r>
        <w:rPr>
          <w:rFonts w:hint="eastAsia" w:ascii="仿宋" w:hAnsi="仿宋" w:eastAsia="仿宋" w:cs="仿宋"/>
          <w:sz w:val="24"/>
          <w:szCs w:val="24"/>
        </w:rPr>
        <w:t>（投标文件格式八）</w:t>
      </w:r>
      <w:bookmarkEnd w:id="351"/>
      <w:bookmarkEnd w:id="352"/>
      <w:bookmarkEnd w:id="353"/>
      <w:bookmarkEnd w:id="354"/>
      <w:bookmarkEnd w:id="355"/>
    </w:p>
    <w:p w14:paraId="4CD5FC07">
      <w:pPr>
        <w:pStyle w:val="16"/>
        <w:spacing w:line="240" w:lineRule="atLeast"/>
        <w:ind w:left="1080" w:leftChars="257" w:hanging="540"/>
        <w:rPr>
          <w:rFonts w:hint="eastAsia" w:ascii="仿宋" w:hAnsi="仿宋" w:eastAsia="仿宋" w:cs="仿宋"/>
          <w:sz w:val="24"/>
        </w:rPr>
      </w:pPr>
    </w:p>
    <w:p w14:paraId="110FAE98">
      <w:pPr>
        <w:pStyle w:val="16"/>
        <w:spacing w:line="240" w:lineRule="atLeast"/>
        <w:ind w:left="1080" w:leftChars="257" w:hanging="54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w:t>
      </w:r>
      <w:r>
        <w:rPr>
          <w:rFonts w:hint="eastAsia" w:ascii="仿宋" w:hAnsi="仿宋" w:eastAsia="仿宋" w:cs="仿宋"/>
          <w:sz w:val="24"/>
        </w:rPr>
        <w:t xml:space="preserve">                    招标编号</w:t>
      </w:r>
      <w:r>
        <w:rPr>
          <w:rFonts w:hint="eastAsia" w:ascii="仿宋" w:hAnsi="仿宋" w:eastAsia="仿宋" w:cs="仿宋"/>
          <w:sz w:val="24"/>
          <w:lang w:eastAsia="zh-CN"/>
        </w:rPr>
        <w:t>：</w:t>
      </w:r>
      <w:r>
        <w:rPr>
          <w:rFonts w:hint="eastAsia" w:ascii="仿宋" w:hAnsi="仿宋" w:eastAsia="仿宋" w:cs="仿宋"/>
          <w:sz w:val="24"/>
        </w:rPr>
        <w:t xml:space="preserve">                包号</w:t>
      </w:r>
      <w:r>
        <w:rPr>
          <w:rFonts w:hint="eastAsia" w:ascii="仿宋" w:hAnsi="仿宋" w:eastAsia="仿宋" w:cs="仿宋"/>
          <w:sz w:val="24"/>
          <w:lang w:eastAsia="zh-CN"/>
        </w:rPr>
        <w:t>：</w:t>
      </w:r>
      <w:r>
        <w:rPr>
          <w:rFonts w:hint="eastAsia" w:ascii="仿宋" w:hAnsi="仿宋" w:eastAsia="仿宋" w:cs="仿宋"/>
          <w:sz w:val="24"/>
        </w:rPr>
        <w:t xml:space="preserve">                      </w:t>
      </w:r>
    </w:p>
    <w:p w14:paraId="3EE236D2">
      <w:pPr>
        <w:pStyle w:val="16"/>
        <w:spacing w:line="240" w:lineRule="atLeast"/>
        <w:ind w:left="1080" w:leftChars="257" w:hanging="540"/>
        <w:rPr>
          <w:rFonts w:hint="eastAsia" w:ascii="仿宋" w:hAnsi="仿宋" w:eastAsia="仿宋" w:cs="仿宋"/>
          <w:sz w:val="24"/>
        </w:rPr>
      </w:pPr>
    </w:p>
    <w:p w14:paraId="68C3286B">
      <w:pPr>
        <w:pStyle w:val="16"/>
        <w:spacing w:line="240" w:lineRule="atLeast"/>
        <w:ind w:left="1080" w:leftChars="257" w:hanging="540"/>
        <w:rPr>
          <w:rFonts w:hint="eastAsia" w:ascii="仿宋" w:hAnsi="仿宋" w:eastAsia="仿宋" w:cs="仿宋"/>
          <w:sz w:val="24"/>
        </w:rPr>
      </w:pPr>
    </w:p>
    <w:tbl>
      <w:tblPr>
        <w:tblStyle w:val="40"/>
        <w:tblpPr w:leftFromText="180" w:rightFromText="180" w:vertAnchor="text" w:horzAnchor="page" w:tblpX="1158" w:tblpY="8"/>
        <w:tblOverlap w:val="never"/>
        <w:tblW w:w="9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616"/>
        <w:gridCol w:w="1469"/>
        <w:gridCol w:w="1322"/>
        <w:gridCol w:w="1616"/>
        <w:gridCol w:w="1352"/>
        <w:gridCol w:w="1061"/>
      </w:tblGrid>
      <w:tr w14:paraId="6B97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5" w:type="dxa"/>
            <w:noWrap w:val="0"/>
            <w:vAlign w:val="top"/>
          </w:tcPr>
          <w:p w14:paraId="24B1A4FA">
            <w:pPr>
              <w:pStyle w:val="16"/>
              <w:keepNext w:val="0"/>
              <w:keepLines w:val="0"/>
              <w:suppressLineNumbers w:val="0"/>
              <w:spacing w:before="0" w:beforeAutospacing="0" w:after="0" w:afterAutospacing="0" w:line="240" w:lineRule="atLeast"/>
              <w:ind w:left="0" w:right="0"/>
              <w:rPr>
                <w:rFonts w:hint="eastAsia" w:ascii="仿宋" w:hAnsi="仿宋" w:eastAsia="仿宋" w:cs="仿宋"/>
                <w:sz w:val="24"/>
              </w:rPr>
            </w:pPr>
            <w:r>
              <w:rPr>
                <w:rFonts w:hint="eastAsia" w:ascii="仿宋" w:hAnsi="仿宋" w:eastAsia="仿宋" w:cs="仿宋"/>
                <w:sz w:val="24"/>
              </w:rPr>
              <w:t>序号</w:t>
            </w:r>
          </w:p>
        </w:tc>
        <w:tc>
          <w:tcPr>
            <w:tcW w:w="1616" w:type="dxa"/>
            <w:noWrap w:val="0"/>
            <w:vAlign w:val="top"/>
          </w:tcPr>
          <w:p w14:paraId="0CEDF74F">
            <w:pPr>
              <w:pStyle w:val="16"/>
              <w:keepNext w:val="0"/>
              <w:keepLines w:val="0"/>
              <w:suppressLineNumbers w:val="0"/>
              <w:spacing w:before="0" w:beforeAutospacing="0" w:after="0" w:afterAutospacing="0" w:line="240" w:lineRule="atLeast"/>
              <w:ind w:left="0" w:right="0"/>
              <w:rPr>
                <w:rFonts w:hint="eastAsia" w:ascii="仿宋" w:hAnsi="仿宋" w:eastAsia="仿宋" w:cs="仿宋"/>
                <w:sz w:val="24"/>
              </w:rPr>
            </w:pPr>
            <w:r>
              <w:rPr>
                <w:rFonts w:hint="eastAsia" w:ascii="仿宋" w:hAnsi="仿宋" w:eastAsia="仿宋" w:cs="仿宋"/>
                <w:sz w:val="24"/>
                <w:lang w:eastAsia="zh-CN"/>
              </w:rPr>
              <w:t>服务</w:t>
            </w:r>
            <w:r>
              <w:rPr>
                <w:rFonts w:hint="eastAsia" w:ascii="仿宋" w:hAnsi="仿宋" w:eastAsia="仿宋" w:cs="仿宋"/>
                <w:sz w:val="24"/>
              </w:rPr>
              <w:t>名称</w:t>
            </w:r>
          </w:p>
        </w:tc>
        <w:tc>
          <w:tcPr>
            <w:tcW w:w="1469" w:type="dxa"/>
            <w:noWrap w:val="0"/>
            <w:vAlign w:val="top"/>
          </w:tcPr>
          <w:p w14:paraId="20D9336F">
            <w:pPr>
              <w:pStyle w:val="16"/>
              <w:keepNext w:val="0"/>
              <w:keepLines w:val="0"/>
              <w:suppressLineNumbers w:val="0"/>
              <w:spacing w:before="0" w:beforeAutospacing="0" w:after="0" w:afterAutospacing="0" w:line="240" w:lineRule="atLeast"/>
              <w:ind w:left="0" w:right="0"/>
              <w:rPr>
                <w:rFonts w:hint="eastAsia" w:ascii="仿宋" w:hAnsi="仿宋" w:eastAsia="仿宋" w:cs="仿宋"/>
                <w:sz w:val="24"/>
              </w:rPr>
            </w:pPr>
            <w:r>
              <w:rPr>
                <w:rFonts w:hint="eastAsia" w:ascii="仿宋" w:hAnsi="仿宋" w:eastAsia="仿宋" w:cs="仿宋"/>
                <w:sz w:val="24"/>
              </w:rPr>
              <w:t>主要规格</w:t>
            </w:r>
          </w:p>
        </w:tc>
        <w:tc>
          <w:tcPr>
            <w:tcW w:w="1322" w:type="dxa"/>
            <w:noWrap w:val="0"/>
            <w:vAlign w:val="top"/>
          </w:tcPr>
          <w:p w14:paraId="0DAB9A3B">
            <w:pPr>
              <w:pStyle w:val="16"/>
              <w:keepNext w:val="0"/>
              <w:keepLines w:val="0"/>
              <w:suppressLineNumbers w:val="0"/>
              <w:spacing w:before="0" w:beforeAutospacing="0" w:after="0" w:afterAutospacing="0" w:line="240" w:lineRule="atLeast"/>
              <w:ind w:left="0" w:right="0"/>
              <w:rPr>
                <w:rFonts w:hint="eastAsia" w:ascii="仿宋" w:hAnsi="仿宋" w:eastAsia="仿宋" w:cs="仿宋"/>
                <w:sz w:val="24"/>
              </w:rPr>
            </w:pPr>
            <w:r>
              <w:rPr>
                <w:rFonts w:hint="eastAsia" w:ascii="仿宋" w:hAnsi="仿宋" w:eastAsia="仿宋" w:cs="仿宋"/>
                <w:sz w:val="24"/>
              </w:rPr>
              <w:t>数量</w:t>
            </w:r>
          </w:p>
        </w:tc>
        <w:tc>
          <w:tcPr>
            <w:tcW w:w="1616" w:type="dxa"/>
            <w:noWrap w:val="0"/>
            <w:vAlign w:val="top"/>
          </w:tcPr>
          <w:p w14:paraId="2B49DD2D">
            <w:pPr>
              <w:pStyle w:val="16"/>
              <w:keepNext w:val="0"/>
              <w:keepLines w:val="0"/>
              <w:suppressLineNumbers w:val="0"/>
              <w:spacing w:before="0" w:beforeAutospacing="0" w:after="0" w:afterAutospacing="0" w:line="240" w:lineRule="atLeast"/>
              <w:ind w:left="0" w:right="0"/>
              <w:rPr>
                <w:rFonts w:hint="eastAsia" w:ascii="仿宋" w:hAnsi="仿宋" w:eastAsia="仿宋" w:cs="仿宋"/>
                <w:sz w:val="24"/>
              </w:rPr>
            </w:pPr>
            <w:r>
              <w:rPr>
                <w:rFonts w:hint="eastAsia" w:ascii="仿宋" w:hAnsi="仿宋" w:eastAsia="仿宋" w:cs="仿宋"/>
                <w:sz w:val="24"/>
                <w:lang w:val="en-US" w:eastAsia="zh-CN"/>
              </w:rPr>
              <w:t>服务</w:t>
            </w:r>
            <w:r>
              <w:rPr>
                <w:rFonts w:hint="eastAsia" w:ascii="仿宋" w:hAnsi="仿宋" w:eastAsia="仿宋" w:cs="仿宋"/>
                <w:sz w:val="24"/>
              </w:rPr>
              <w:t>期</w:t>
            </w:r>
          </w:p>
        </w:tc>
        <w:tc>
          <w:tcPr>
            <w:tcW w:w="1352" w:type="dxa"/>
            <w:noWrap w:val="0"/>
            <w:vAlign w:val="top"/>
          </w:tcPr>
          <w:p w14:paraId="4B9CD60D">
            <w:pPr>
              <w:pStyle w:val="16"/>
              <w:keepNext w:val="0"/>
              <w:keepLines w:val="0"/>
              <w:suppressLineNumbers w:val="0"/>
              <w:spacing w:before="0" w:beforeAutospacing="0" w:after="0" w:afterAutospacing="0" w:line="240" w:lineRule="atLeast"/>
              <w:ind w:left="0" w:right="0"/>
              <w:rPr>
                <w:rFonts w:hint="eastAsia" w:ascii="仿宋" w:hAnsi="仿宋" w:eastAsia="仿宋" w:cs="仿宋"/>
                <w:sz w:val="24"/>
              </w:rPr>
            </w:pPr>
            <w:r>
              <w:rPr>
                <w:rFonts w:hint="eastAsia" w:ascii="仿宋" w:hAnsi="仿宋" w:eastAsia="仿宋" w:cs="仿宋"/>
                <w:sz w:val="24"/>
                <w:lang w:val="en-US" w:eastAsia="zh-CN"/>
              </w:rPr>
              <w:t>服务</w:t>
            </w:r>
            <w:r>
              <w:rPr>
                <w:rFonts w:hint="eastAsia" w:ascii="仿宋" w:hAnsi="仿宋" w:eastAsia="仿宋" w:cs="仿宋"/>
                <w:sz w:val="24"/>
              </w:rPr>
              <w:t>地点</w:t>
            </w:r>
          </w:p>
        </w:tc>
        <w:tc>
          <w:tcPr>
            <w:tcW w:w="1061" w:type="dxa"/>
            <w:noWrap w:val="0"/>
            <w:vAlign w:val="top"/>
          </w:tcPr>
          <w:p w14:paraId="535705BE">
            <w:pPr>
              <w:pStyle w:val="16"/>
              <w:keepNext w:val="0"/>
              <w:keepLines w:val="0"/>
              <w:suppressLineNumbers w:val="0"/>
              <w:spacing w:before="0" w:beforeAutospacing="0" w:after="0" w:afterAutospacing="0" w:line="240" w:lineRule="atLeast"/>
              <w:ind w:left="0" w:right="0"/>
              <w:rPr>
                <w:rFonts w:hint="eastAsia" w:ascii="仿宋" w:hAnsi="仿宋" w:eastAsia="仿宋" w:cs="仿宋"/>
                <w:sz w:val="24"/>
              </w:rPr>
            </w:pPr>
            <w:r>
              <w:rPr>
                <w:rFonts w:hint="eastAsia" w:ascii="仿宋" w:hAnsi="仿宋" w:eastAsia="仿宋" w:cs="仿宋"/>
                <w:sz w:val="24"/>
                <w:lang w:eastAsia="zh-CN"/>
              </w:rPr>
              <w:t>其他</w:t>
            </w:r>
          </w:p>
        </w:tc>
      </w:tr>
      <w:tr w14:paraId="122A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5" w:type="dxa"/>
            <w:noWrap w:val="0"/>
            <w:vAlign w:val="top"/>
          </w:tcPr>
          <w:p w14:paraId="3151E8D8">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6D6F8A7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469" w:type="dxa"/>
            <w:noWrap w:val="0"/>
            <w:vAlign w:val="top"/>
          </w:tcPr>
          <w:p w14:paraId="15D289EF">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22" w:type="dxa"/>
            <w:noWrap w:val="0"/>
            <w:vAlign w:val="top"/>
          </w:tcPr>
          <w:p w14:paraId="4830815A">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2E6848BB">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52" w:type="dxa"/>
            <w:noWrap w:val="0"/>
            <w:vAlign w:val="top"/>
          </w:tcPr>
          <w:p w14:paraId="33C17E13">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061" w:type="dxa"/>
            <w:noWrap w:val="0"/>
            <w:vAlign w:val="top"/>
          </w:tcPr>
          <w:p w14:paraId="2C011CFF">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0A66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5" w:type="dxa"/>
            <w:noWrap w:val="0"/>
            <w:vAlign w:val="top"/>
          </w:tcPr>
          <w:p w14:paraId="4CCA2E93">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116E27FD">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469" w:type="dxa"/>
            <w:noWrap w:val="0"/>
            <w:vAlign w:val="top"/>
          </w:tcPr>
          <w:p w14:paraId="6866E05A">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22" w:type="dxa"/>
            <w:noWrap w:val="0"/>
            <w:vAlign w:val="top"/>
          </w:tcPr>
          <w:p w14:paraId="0A7DD933">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18FB8BFA">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52" w:type="dxa"/>
            <w:noWrap w:val="0"/>
            <w:vAlign w:val="top"/>
          </w:tcPr>
          <w:p w14:paraId="2139917C">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061" w:type="dxa"/>
            <w:noWrap w:val="0"/>
            <w:vAlign w:val="top"/>
          </w:tcPr>
          <w:p w14:paraId="5D748F67">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15D6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5" w:type="dxa"/>
            <w:noWrap w:val="0"/>
            <w:vAlign w:val="top"/>
          </w:tcPr>
          <w:p w14:paraId="06D416A4">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1011600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469" w:type="dxa"/>
            <w:noWrap w:val="0"/>
            <w:vAlign w:val="top"/>
          </w:tcPr>
          <w:p w14:paraId="3F706438">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22" w:type="dxa"/>
            <w:noWrap w:val="0"/>
            <w:vAlign w:val="top"/>
          </w:tcPr>
          <w:p w14:paraId="1A00D61D">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09AA96E7">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52" w:type="dxa"/>
            <w:noWrap w:val="0"/>
            <w:vAlign w:val="top"/>
          </w:tcPr>
          <w:p w14:paraId="67EDFB73">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061" w:type="dxa"/>
            <w:noWrap w:val="0"/>
            <w:vAlign w:val="top"/>
          </w:tcPr>
          <w:p w14:paraId="619CE187">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7F2E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5" w:type="dxa"/>
            <w:noWrap w:val="0"/>
            <w:vAlign w:val="top"/>
          </w:tcPr>
          <w:p w14:paraId="3B22E835">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64F1050C">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469" w:type="dxa"/>
            <w:noWrap w:val="0"/>
            <w:vAlign w:val="top"/>
          </w:tcPr>
          <w:p w14:paraId="36CFE1E2">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22" w:type="dxa"/>
            <w:noWrap w:val="0"/>
            <w:vAlign w:val="top"/>
          </w:tcPr>
          <w:p w14:paraId="6C5C07E5">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581A3BF6">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52" w:type="dxa"/>
            <w:noWrap w:val="0"/>
            <w:vAlign w:val="top"/>
          </w:tcPr>
          <w:p w14:paraId="7205906C">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061" w:type="dxa"/>
            <w:noWrap w:val="0"/>
            <w:vAlign w:val="top"/>
          </w:tcPr>
          <w:p w14:paraId="3CE92E5D">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76B7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5" w:type="dxa"/>
            <w:noWrap w:val="0"/>
            <w:vAlign w:val="top"/>
          </w:tcPr>
          <w:p w14:paraId="51154844">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7AF67A05">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469" w:type="dxa"/>
            <w:noWrap w:val="0"/>
            <w:vAlign w:val="top"/>
          </w:tcPr>
          <w:p w14:paraId="23FAF71D">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22" w:type="dxa"/>
            <w:noWrap w:val="0"/>
            <w:vAlign w:val="top"/>
          </w:tcPr>
          <w:p w14:paraId="2DB7D494">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1CD5FBE8">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52" w:type="dxa"/>
            <w:noWrap w:val="0"/>
            <w:vAlign w:val="top"/>
          </w:tcPr>
          <w:p w14:paraId="6B4DE69D">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061" w:type="dxa"/>
            <w:noWrap w:val="0"/>
            <w:vAlign w:val="top"/>
          </w:tcPr>
          <w:p w14:paraId="20103F7B">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42FB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5" w:type="dxa"/>
            <w:noWrap w:val="0"/>
            <w:vAlign w:val="top"/>
          </w:tcPr>
          <w:p w14:paraId="1C3405E8">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30AFF6FE">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469" w:type="dxa"/>
            <w:noWrap w:val="0"/>
            <w:vAlign w:val="top"/>
          </w:tcPr>
          <w:p w14:paraId="1939C184">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22" w:type="dxa"/>
            <w:noWrap w:val="0"/>
            <w:vAlign w:val="top"/>
          </w:tcPr>
          <w:p w14:paraId="5497D036">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7ADC349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52" w:type="dxa"/>
            <w:noWrap w:val="0"/>
            <w:vAlign w:val="top"/>
          </w:tcPr>
          <w:p w14:paraId="59B7BED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061" w:type="dxa"/>
            <w:noWrap w:val="0"/>
            <w:vAlign w:val="top"/>
          </w:tcPr>
          <w:p w14:paraId="2738E1EE">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50E7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5" w:type="dxa"/>
            <w:noWrap w:val="0"/>
            <w:vAlign w:val="top"/>
          </w:tcPr>
          <w:p w14:paraId="65B797A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334BCB06">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469" w:type="dxa"/>
            <w:noWrap w:val="0"/>
            <w:vAlign w:val="top"/>
          </w:tcPr>
          <w:p w14:paraId="1F532EEA">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22" w:type="dxa"/>
            <w:noWrap w:val="0"/>
            <w:vAlign w:val="top"/>
          </w:tcPr>
          <w:p w14:paraId="133ED904">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7D8B51BD">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52" w:type="dxa"/>
            <w:noWrap w:val="0"/>
            <w:vAlign w:val="top"/>
          </w:tcPr>
          <w:p w14:paraId="5414857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061" w:type="dxa"/>
            <w:noWrap w:val="0"/>
            <w:vAlign w:val="top"/>
          </w:tcPr>
          <w:p w14:paraId="4F54CCB6">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3BD7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75" w:type="dxa"/>
            <w:noWrap w:val="0"/>
            <w:vAlign w:val="top"/>
          </w:tcPr>
          <w:p w14:paraId="25AA5F6F">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6A88E324">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469" w:type="dxa"/>
            <w:noWrap w:val="0"/>
            <w:vAlign w:val="top"/>
          </w:tcPr>
          <w:p w14:paraId="4B763252">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22" w:type="dxa"/>
            <w:noWrap w:val="0"/>
            <w:vAlign w:val="top"/>
          </w:tcPr>
          <w:p w14:paraId="001443E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755CC0DA">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52" w:type="dxa"/>
            <w:noWrap w:val="0"/>
            <w:vAlign w:val="top"/>
          </w:tcPr>
          <w:p w14:paraId="5784578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061" w:type="dxa"/>
            <w:noWrap w:val="0"/>
            <w:vAlign w:val="top"/>
          </w:tcPr>
          <w:p w14:paraId="67E69103">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bl>
    <w:p w14:paraId="08FDE697">
      <w:pPr>
        <w:pStyle w:val="16"/>
        <w:spacing w:line="240" w:lineRule="atLeast"/>
        <w:ind w:left="1080" w:leftChars="257" w:hanging="540"/>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lang w:eastAsia="zh-CN"/>
        </w:rPr>
        <w:t>（电子签章）：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319C5DCE">
      <w:pPr>
        <w:pStyle w:val="16"/>
        <w:tabs>
          <w:tab w:val="left" w:pos="5370"/>
        </w:tabs>
        <w:spacing w:line="240" w:lineRule="atLeast"/>
        <w:ind w:left="1080" w:leftChars="257" w:hanging="540"/>
        <w:rPr>
          <w:rFonts w:hint="eastAsia" w:ascii="仿宋" w:hAnsi="仿宋" w:eastAsia="仿宋" w:cs="仿宋"/>
          <w:sz w:val="24"/>
          <w:u w:val="single"/>
        </w:rPr>
      </w:pPr>
      <w:r>
        <w:rPr>
          <w:rFonts w:hint="eastAsia" w:ascii="仿宋" w:hAnsi="仿宋" w:eastAsia="仿宋" w:cs="仿宋"/>
          <w:sz w:val="24"/>
        </w:rPr>
        <w:t>投标人</w:t>
      </w:r>
      <w:r>
        <w:rPr>
          <w:rFonts w:hint="eastAsia" w:ascii="仿宋" w:hAnsi="仿宋" w:eastAsia="仿宋" w:cs="仿宋"/>
          <w:sz w:val="24"/>
          <w:lang w:eastAsia="zh-CN"/>
        </w:rPr>
        <w:t>（</w:t>
      </w:r>
      <w:r>
        <w:rPr>
          <w:rFonts w:hint="eastAsia" w:ascii="仿宋" w:hAnsi="仿宋" w:eastAsia="仿宋" w:cs="仿宋"/>
          <w:sz w:val="24"/>
        </w:rPr>
        <w:t>电子签章</w:t>
      </w:r>
      <w:r>
        <w:rPr>
          <w:rFonts w:hint="eastAsia" w:ascii="仿宋" w:hAnsi="仿宋" w:eastAsia="仿宋" w:cs="仿宋"/>
          <w:sz w:val="24"/>
          <w:lang w:eastAsia="zh-CN"/>
        </w:rPr>
        <w:t>）：</w:t>
      </w:r>
      <w:r>
        <w:rPr>
          <w:rFonts w:hint="eastAsia" w:ascii="仿宋" w:hAnsi="仿宋" w:eastAsia="仿宋" w:cs="仿宋"/>
          <w:sz w:val="24"/>
          <w:u w:val="single"/>
        </w:rPr>
        <w:tab/>
      </w:r>
    </w:p>
    <w:p w14:paraId="73E6B6A0">
      <w:pPr>
        <w:pStyle w:val="16"/>
        <w:spacing w:line="240" w:lineRule="atLeast"/>
        <w:ind w:left="1080" w:leftChars="257" w:hanging="540"/>
        <w:rPr>
          <w:rFonts w:hint="eastAsia" w:ascii="仿宋" w:hAnsi="仿宋" w:eastAsia="仿宋" w:cs="仿宋"/>
          <w:sz w:val="24"/>
        </w:rPr>
      </w:pPr>
    </w:p>
    <w:p w14:paraId="202A3144">
      <w:pPr>
        <w:pStyle w:val="16"/>
        <w:spacing w:line="240" w:lineRule="atLeast"/>
        <w:ind w:left="1080" w:leftChars="257" w:hanging="540"/>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sz w:val="24"/>
          <w:lang w:eastAsia="zh-CN"/>
        </w:rPr>
        <w:t>：</w:t>
      </w:r>
      <w:r>
        <w:rPr>
          <w:rFonts w:hint="eastAsia" w:ascii="仿宋" w:hAnsi="仿宋" w:eastAsia="仿宋" w:cs="仿宋"/>
          <w:sz w:val="24"/>
        </w:rPr>
        <w:t xml:space="preserve"> 各项</w:t>
      </w:r>
      <w:r>
        <w:rPr>
          <w:rFonts w:hint="eastAsia" w:ascii="仿宋" w:hAnsi="仿宋" w:eastAsia="仿宋" w:cs="仿宋"/>
          <w:sz w:val="24"/>
          <w:lang w:eastAsia="zh-CN"/>
        </w:rPr>
        <w:t>服务</w:t>
      </w:r>
      <w:r>
        <w:rPr>
          <w:rFonts w:hint="eastAsia" w:ascii="仿宋" w:hAnsi="仿宋" w:eastAsia="仿宋" w:cs="仿宋"/>
          <w:sz w:val="24"/>
        </w:rPr>
        <w:t>详细技术性能应另页描述。</w:t>
      </w:r>
    </w:p>
    <w:p w14:paraId="71DD677C">
      <w:pPr>
        <w:pStyle w:val="16"/>
        <w:spacing w:line="240" w:lineRule="atLeast"/>
        <w:ind w:left="1080" w:leftChars="257" w:hanging="540"/>
        <w:jc w:val="center"/>
        <w:rPr>
          <w:rFonts w:hint="eastAsia" w:ascii="仿宋" w:hAnsi="仿宋" w:eastAsia="仿宋" w:cs="仿宋"/>
          <w:sz w:val="24"/>
        </w:rPr>
      </w:pPr>
    </w:p>
    <w:p w14:paraId="3DFEA18E">
      <w:pPr>
        <w:pStyle w:val="16"/>
        <w:spacing w:line="240" w:lineRule="atLeast"/>
        <w:ind w:left="1080" w:leftChars="257" w:hanging="540"/>
        <w:jc w:val="center"/>
        <w:rPr>
          <w:rFonts w:hint="eastAsia" w:ascii="仿宋" w:hAnsi="仿宋" w:eastAsia="仿宋" w:cs="仿宋"/>
          <w:sz w:val="24"/>
        </w:rPr>
        <w:sectPr>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4378E25A">
      <w:pPr>
        <w:pStyle w:val="3"/>
        <w:bidi w:val="0"/>
        <w:rPr>
          <w:rFonts w:hint="eastAsia" w:ascii="仿宋" w:hAnsi="仿宋" w:eastAsia="仿宋" w:cs="仿宋"/>
          <w:sz w:val="24"/>
          <w:szCs w:val="24"/>
        </w:rPr>
      </w:pPr>
      <w:bookmarkStart w:id="356" w:name="_Toc216582817"/>
      <w:bookmarkStart w:id="357" w:name="_Toc18950"/>
      <w:bookmarkStart w:id="358" w:name="_Toc28959"/>
      <w:bookmarkStart w:id="359" w:name="_Toc22563"/>
      <w:bookmarkStart w:id="360" w:name="_Toc515647820"/>
      <w:bookmarkStart w:id="361" w:name="_Toc21613"/>
      <w:r>
        <w:rPr>
          <w:rFonts w:hint="eastAsia" w:ascii="仿宋" w:hAnsi="仿宋" w:eastAsia="仿宋" w:cs="仿宋"/>
          <w:sz w:val="24"/>
          <w:szCs w:val="24"/>
        </w:rPr>
        <w:t>5   技术规格偏离表</w:t>
      </w:r>
      <w:bookmarkEnd w:id="356"/>
      <w:r>
        <w:rPr>
          <w:rFonts w:hint="eastAsia" w:ascii="仿宋" w:hAnsi="仿宋" w:eastAsia="仿宋" w:cs="仿宋"/>
          <w:sz w:val="24"/>
          <w:szCs w:val="24"/>
        </w:rPr>
        <w:t>（投标文件格式九）</w:t>
      </w:r>
      <w:bookmarkEnd w:id="357"/>
      <w:bookmarkEnd w:id="358"/>
      <w:bookmarkEnd w:id="359"/>
      <w:bookmarkEnd w:id="360"/>
      <w:bookmarkEnd w:id="361"/>
    </w:p>
    <w:p w14:paraId="3556D9D5">
      <w:pPr>
        <w:pStyle w:val="16"/>
        <w:spacing w:line="240" w:lineRule="atLeast"/>
        <w:ind w:left="1080" w:leftChars="257" w:hanging="540"/>
        <w:rPr>
          <w:rFonts w:hint="eastAsia" w:ascii="仿宋" w:hAnsi="仿宋" w:eastAsia="仿宋" w:cs="仿宋"/>
          <w:sz w:val="24"/>
        </w:rPr>
      </w:pPr>
    </w:p>
    <w:p w14:paraId="5902CB7C">
      <w:pPr>
        <w:pStyle w:val="16"/>
        <w:spacing w:line="240" w:lineRule="atLeast"/>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w:t>
      </w:r>
      <w:r>
        <w:rPr>
          <w:rFonts w:hint="eastAsia" w:ascii="仿宋" w:hAnsi="仿宋" w:eastAsia="仿宋" w:cs="仿宋"/>
          <w:sz w:val="24"/>
        </w:rPr>
        <w:t xml:space="preserve">                       招标编号</w:t>
      </w:r>
      <w:r>
        <w:rPr>
          <w:rFonts w:hint="eastAsia" w:ascii="仿宋" w:hAnsi="仿宋" w:eastAsia="仿宋" w:cs="仿宋"/>
          <w:sz w:val="24"/>
          <w:lang w:eastAsia="zh-CN"/>
        </w:rPr>
        <w:t>：</w:t>
      </w:r>
      <w:r>
        <w:rPr>
          <w:rFonts w:hint="eastAsia" w:ascii="仿宋" w:hAnsi="仿宋" w:eastAsia="仿宋" w:cs="仿宋"/>
          <w:sz w:val="24"/>
        </w:rPr>
        <w:t xml:space="preserve">                 包号</w:t>
      </w:r>
      <w:r>
        <w:rPr>
          <w:rFonts w:hint="eastAsia" w:ascii="仿宋" w:hAnsi="仿宋" w:eastAsia="仿宋" w:cs="仿宋"/>
          <w:sz w:val="24"/>
          <w:lang w:eastAsia="zh-CN"/>
        </w:rPr>
        <w:t>：</w:t>
      </w:r>
    </w:p>
    <w:p w14:paraId="226D5BD2">
      <w:pPr>
        <w:pStyle w:val="16"/>
        <w:spacing w:line="240" w:lineRule="atLeast"/>
        <w:ind w:left="1080" w:leftChars="257" w:hanging="540"/>
        <w:rPr>
          <w:rFonts w:hint="eastAsia" w:ascii="仿宋" w:hAnsi="仿宋" w:eastAsia="仿宋" w:cs="仿宋"/>
          <w:sz w:val="24"/>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14:paraId="52DD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14:paraId="2AFF4C1B">
            <w:pPr>
              <w:pStyle w:val="16"/>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rPr>
              <w:t>序号</w:t>
            </w:r>
          </w:p>
        </w:tc>
        <w:tc>
          <w:tcPr>
            <w:tcW w:w="1260" w:type="dxa"/>
            <w:noWrap w:val="0"/>
            <w:vAlign w:val="center"/>
          </w:tcPr>
          <w:p w14:paraId="19E5307F">
            <w:pPr>
              <w:pStyle w:val="16"/>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lang w:eastAsia="zh-CN"/>
              </w:rPr>
              <w:t>服务</w:t>
            </w:r>
            <w:r>
              <w:rPr>
                <w:rFonts w:hint="eastAsia" w:ascii="仿宋" w:hAnsi="仿宋" w:eastAsia="仿宋" w:cs="仿宋"/>
                <w:sz w:val="24"/>
              </w:rPr>
              <w:t>名称</w:t>
            </w:r>
          </w:p>
        </w:tc>
        <w:tc>
          <w:tcPr>
            <w:tcW w:w="2340" w:type="dxa"/>
            <w:noWrap w:val="0"/>
            <w:vAlign w:val="center"/>
          </w:tcPr>
          <w:p w14:paraId="6408FACD">
            <w:pPr>
              <w:pStyle w:val="16"/>
              <w:keepNext w:val="0"/>
              <w:keepLines w:val="0"/>
              <w:suppressLineNumbers w:val="0"/>
              <w:spacing w:before="0" w:beforeAutospacing="0" w:after="0" w:afterAutospacing="0" w:line="240" w:lineRule="atLeast"/>
              <w:ind w:left="269" w:leftChars="128" w:right="0"/>
              <w:jc w:val="center"/>
              <w:rPr>
                <w:rFonts w:hint="eastAsia" w:ascii="仿宋" w:hAnsi="仿宋" w:eastAsia="仿宋" w:cs="仿宋"/>
                <w:sz w:val="24"/>
              </w:rPr>
            </w:pPr>
            <w:r>
              <w:rPr>
                <w:rFonts w:hint="eastAsia" w:ascii="仿宋" w:hAnsi="仿宋" w:eastAsia="仿宋" w:cs="仿宋"/>
                <w:sz w:val="24"/>
              </w:rPr>
              <w:t>招标文件条款号</w:t>
            </w:r>
          </w:p>
        </w:tc>
        <w:tc>
          <w:tcPr>
            <w:tcW w:w="1260" w:type="dxa"/>
            <w:noWrap w:val="0"/>
            <w:vAlign w:val="center"/>
          </w:tcPr>
          <w:p w14:paraId="4A1636C6">
            <w:pPr>
              <w:pStyle w:val="16"/>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rPr>
              <w:t>招标规格</w:t>
            </w:r>
          </w:p>
        </w:tc>
        <w:tc>
          <w:tcPr>
            <w:tcW w:w="1260" w:type="dxa"/>
            <w:noWrap w:val="0"/>
            <w:vAlign w:val="center"/>
          </w:tcPr>
          <w:p w14:paraId="6EDAD865">
            <w:pPr>
              <w:pStyle w:val="16"/>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rPr>
              <w:t>投标规格</w:t>
            </w:r>
          </w:p>
        </w:tc>
        <w:tc>
          <w:tcPr>
            <w:tcW w:w="900" w:type="dxa"/>
            <w:noWrap w:val="0"/>
            <w:vAlign w:val="center"/>
          </w:tcPr>
          <w:p w14:paraId="56EB29B9">
            <w:pPr>
              <w:pStyle w:val="16"/>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rPr>
              <w:t>偏离</w:t>
            </w:r>
          </w:p>
        </w:tc>
        <w:tc>
          <w:tcPr>
            <w:tcW w:w="900" w:type="dxa"/>
            <w:noWrap w:val="0"/>
            <w:vAlign w:val="center"/>
          </w:tcPr>
          <w:p w14:paraId="4E06BD7C">
            <w:pPr>
              <w:pStyle w:val="16"/>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rPr>
              <w:t>说明</w:t>
            </w:r>
          </w:p>
        </w:tc>
      </w:tr>
      <w:tr w14:paraId="7C77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2AA75F2">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260D67C">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35B9C5FE">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3EC07F1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5F14FA76">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566043BA">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5F7D163">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1686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08844B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C53B923">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0BD2858C">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4DF0FA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347059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4FB879B">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0BF4DAC2">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14D4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654E50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7B85983">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12BC0363">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0C04A6C">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3E36516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48192A8E">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4B8F87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4D4C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27D21A4">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3037480B">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38C9C84B">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2EBA1D8C">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E69AD6C">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37B033C">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F94C264">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0E04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3155813">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6FE524BA">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199121DC">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4EA632B">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80C1AB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2FABE04E">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0EFFAADA">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6E2C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D3ADB5B">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69ABB9B">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520B190A">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021D576C">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3F7EB4A">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E737800">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1BEA623C">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023A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FE6AEF3">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062D6BF">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7CDAA7BD">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277DDAD">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5A19252">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B53C3F6">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04A23F37">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7D13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6C1DE0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73011EF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25F52ED5">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5AD38CE8">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6E2EB7E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4015F0EA">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765448F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12F9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591F7AF2">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8147642">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608B81BF">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0858ED2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308A743">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7118F5F">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5A14BEF2">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5C72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7DB84D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72A2C7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4C5B93FC">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7934154A">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98D4E2C">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BF796D2">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41DCB46F">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0617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4C694F04">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74C724F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041E36DE">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2A0EF66F">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3851010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2ECAA63C">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16E172D7">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3767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72D9F1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3507F747">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26E480DA">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6A24E79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39C30748">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25CC786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0FB4CEDF">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5810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21E3B11F">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7C9A9C04">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10F4FEE3">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35D98CE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2102BDA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7F5D3158">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22B8D350">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4AAD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F8336B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2731477">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4D40524B">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04AC597">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18F13A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128341A3">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435FC936">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2B4C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503CB485">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85C6F35">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4D7B6CD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64C6071F">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0D65761D">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7738CA77">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366CB6EA">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49CB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1F1F6E5">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3F689AA8">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76AE6538">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4415D57">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43FE476">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012C0A8C">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4F8AE1D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6B6F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54116E63">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ABBEE0A">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6D520A84">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6EDF25FA">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7B043886">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63056E8">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320EB543">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bl>
    <w:p w14:paraId="00C64F8E">
      <w:pPr>
        <w:pStyle w:val="16"/>
        <w:spacing w:line="240" w:lineRule="atLeast"/>
        <w:ind w:left="1080" w:leftChars="257" w:hanging="540"/>
        <w:rPr>
          <w:rFonts w:hint="eastAsia" w:ascii="仿宋" w:hAnsi="仿宋" w:eastAsia="仿宋" w:cs="仿宋"/>
          <w:sz w:val="24"/>
        </w:rPr>
      </w:pPr>
    </w:p>
    <w:p w14:paraId="2F944B41">
      <w:pPr>
        <w:pStyle w:val="16"/>
        <w:spacing w:line="240" w:lineRule="atLeast"/>
        <w:ind w:left="1080" w:leftChars="257" w:hanging="540"/>
        <w:rPr>
          <w:rFonts w:hint="eastAsia" w:ascii="仿宋" w:hAnsi="仿宋" w:eastAsia="仿宋" w:cs="仿宋"/>
          <w:sz w:val="24"/>
        </w:rPr>
      </w:pPr>
    </w:p>
    <w:p w14:paraId="2F839823">
      <w:pPr>
        <w:pStyle w:val="16"/>
        <w:spacing w:line="240" w:lineRule="atLeast"/>
        <w:ind w:left="1080" w:leftChars="257" w:hanging="540"/>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lang w:eastAsia="zh-CN"/>
        </w:rPr>
        <w:t>（电子签章）：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30A28611">
      <w:pPr>
        <w:pStyle w:val="16"/>
        <w:tabs>
          <w:tab w:val="left" w:pos="5370"/>
        </w:tabs>
        <w:spacing w:line="240" w:lineRule="atLeast"/>
        <w:ind w:left="1080" w:leftChars="257" w:hanging="540"/>
        <w:rPr>
          <w:rFonts w:hint="eastAsia" w:ascii="仿宋" w:hAnsi="仿宋" w:eastAsia="仿宋" w:cs="仿宋"/>
          <w:sz w:val="24"/>
          <w:u w:val="single"/>
        </w:rPr>
      </w:pPr>
      <w:r>
        <w:rPr>
          <w:rFonts w:hint="eastAsia" w:ascii="仿宋" w:hAnsi="仿宋" w:eastAsia="仿宋" w:cs="仿宋"/>
          <w:sz w:val="24"/>
        </w:rPr>
        <w:t>投标人</w:t>
      </w:r>
      <w:r>
        <w:rPr>
          <w:rFonts w:hint="eastAsia" w:ascii="仿宋" w:hAnsi="仿宋" w:eastAsia="仿宋" w:cs="仿宋"/>
          <w:sz w:val="24"/>
          <w:lang w:eastAsia="zh-CN"/>
        </w:rPr>
        <w:t>（</w:t>
      </w:r>
      <w:r>
        <w:rPr>
          <w:rFonts w:hint="eastAsia" w:ascii="仿宋" w:hAnsi="仿宋" w:eastAsia="仿宋" w:cs="仿宋"/>
          <w:sz w:val="24"/>
        </w:rPr>
        <w:t>电子签章</w:t>
      </w:r>
      <w:r>
        <w:rPr>
          <w:rFonts w:hint="eastAsia" w:ascii="仿宋" w:hAnsi="仿宋" w:eastAsia="仿宋" w:cs="仿宋"/>
          <w:sz w:val="24"/>
          <w:lang w:eastAsia="zh-CN"/>
        </w:rPr>
        <w:t>）：</w:t>
      </w:r>
      <w:r>
        <w:rPr>
          <w:rFonts w:hint="eastAsia" w:ascii="仿宋" w:hAnsi="仿宋" w:eastAsia="仿宋" w:cs="仿宋"/>
          <w:sz w:val="24"/>
          <w:u w:val="single"/>
        </w:rPr>
        <w:tab/>
      </w:r>
    </w:p>
    <w:p w14:paraId="79238CCF">
      <w:pPr>
        <w:pStyle w:val="16"/>
        <w:tabs>
          <w:tab w:val="left" w:pos="5580"/>
        </w:tabs>
        <w:spacing w:line="240" w:lineRule="auto"/>
        <w:ind w:left="0" w:leftChars="0" w:firstLine="0"/>
        <w:rPr>
          <w:rFonts w:hint="eastAsia" w:ascii="仿宋" w:hAnsi="仿宋" w:eastAsia="仿宋" w:cs="仿宋"/>
          <w:sz w:val="24"/>
        </w:rPr>
      </w:pPr>
      <w:r>
        <w:rPr>
          <w:rFonts w:hint="eastAsia" w:ascii="仿宋" w:hAnsi="仿宋" w:eastAsia="仿宋" w:cs="仿宋"/>
          <w:b/>
          <w:bCs/>
          <w:sz w:val="24"/>
          <w:lang w:val="en-US" w:eastAsia="zh-CN"/>
        </w:rPr>
        <w:t>注：投标人需如实完整地填写上表，如填写不完整或填写内容与产品证明资料不符或内容与供货时提供的不一致，投标人自行承担投标无效、提供虚假材料谋取中标成交、验收不通过的风险。</w:t>
      </w:r>
      <w:r>
        <w:rPr>
          <w:rFonts w:hint="eastAsia" w:ascii="仿宋" w:hAnsi="仿宋" w:eastAsia="仿宋" w:cs="仿宋"/>
          <w:sz w:val="24"/>
          <w:u w:val="single"/>
        </w:rPr>
        <w:br w:type="page"/>
      </w:r>
    </w:p>
    <w:p w14:paraId="04FC4080">
      <w:pPr>
        <w:pStyle w:val="3"/>
        <w:bidi w:val="0"/>
        <w:rPr>
          <w:rFonts w:hint="eastAsia" w:ascii="仿宋" w:hAnsi="仿宋" w:eastAsia="仿宋" w:cs="仿宋"/>
          <w:sz w:val="24"/>
          <w:szCs w:val="24"/>
        </w:rPr>
      </w:pPr>
      <w:bookmarkStart w:id="362" w:name="_Toc216582818"/>
      <w:bookmarkStart w:id="363" w:name="_Toc7624"/>
      <w:bookmarkStart w:id="364" w:name="_Toc23"/>
      <w:bookmarkStart w:id="365" w:name="_Toc515647821"/>
      <w:bookmarkStart w:id="366" w:name="_Toc1980"/>
      <w:bookmarkStart w:id="367" w:name="_Toc2597"/>
      <w:r>
        <w:rPr>
          <w:rFonts w:hint="eastAsia" w:ascii="仿宋" w:hAnsi="仿宋" w:eastAsia="仿宋" w:cs="仿宋"/>
          <w:sz w:val="24"/>
          <w:szCs w:val="24"/>
        </w:rPr>
        <w:t>6   商务条款偏离表</w:t>
      </w:r>
      <w:bookmarkEnd w:id="362"/>
      <w:r>
        <w:rPr>
          <w:rFonts w:hint="eastAsia" w:ascii="仿宋" w:hAnsi="仿宋" w:eastAsia="仿宋" w:cs="仿宋"/>
          <w:sz w:val="24"/>
          <w:szCs w:val="24"/>
        </w:rPr>
        <w:t>（投标文件格式十）</w:t>
      </w:r>
      <w:bookmarkEnd w:id="363"/>
      <w:bookmarkEnd w:id="364"/>
      <w:bookmarkEnd w:id="365"/>
      <w:bookmarkEnd w:id="366"/>
      <w:bookmarkEnd w:id="367"/>
    </w:p>
    <w:p w14:paraId="3F8F6909">
      <w:pPr>
        <w:pStyle w:val="16"/>
        <w:spacing w:line="240" w:lineRule="atLeast"/>
        <w:ind w:left="1080" w:leftChars="257" w:hanging="540"/>
        <w:rPr>
          <w:rFonts w:hint="eastAsia" w:ascii="仿宋" w:hAnsi="仿宋" w:eastAsia="仿宋" w:cs="仿宋"/>
          <w:sz w:val="24"/>
        </w:rPr>
      </w:pPr>
    </w:p>
    <w:p w14:paraId="5467D47C">
      <w:pPr>
        <w:pStyle w:val="16"/>
        <w:spacing w:line="240" w:lineRule="atLeast"/>
        <w:ind w:left="1080" w:leftChars="257" w:hanging="540"/>
        <w:rPr>
          <w:rFonts w:hint="eastAsia" w:ascii="仿宋" w:hAnsi="仿宋" w:eastAsia="仿宋" w:cs="仿宋"/>
          <w:sz w:val="24"/>
        </w:rPr>
      </w:pPr>
    </w:p>
    <w:p w14:paraId="0A5D9F6C">
      <w:pPr>
        <w:pStyle w:val="16"/>
        <w:spacing w:line="240" w:lineRule="atLeast"/>
        <w:ind w:left="1080" w:leftChars="257" w:hanging="54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w:t>
      </w:r>
      <w:r>
        <w:rPr>
          <w:rFonts w:hint="eastAsia" w:ascii="仿宋" w:hAnsi="仿宋" w:eastAsia="仿宋" w:cs="仿宋"/>
          <w:sz w:val="24"/>
        </w:rPr>
        <w:t xml:space="preserve">                      招标编号</w:t>
      </w:r>
      <w:r>
        <w:rPr>
          <w:rFonts w:hint="eastAsia" w:ascii="仿宋" w:hAnsi="仿宋" w:eastAsia="仿宋" w:cs="仿宋"/>
          <w:sz w:val="24"/>
          <w:lang w:eastAsia="zh-CN"/>
        </w:rPr>
        <w:t>：</w:t>
      </w:r>
      <w:r>
        <w:rPr>
          <w:rFonts w:hint="eastAsia" w:ascii="仿宋" w:hAnsi="仿宋" w:eastAsia="仿宋" w:cs="仿宋"/>
          <w:sz w:val="24"/>
        </w:rPr>
        <w:t xml:space="preserve">             包号</w:t>
      </w:r>
      <w:r>
        <w:rPr>
          <w:rFonts w:hint="eastAsia" w:ascii="仿宋" w:hAnsi="仿宋" w:eastAsia="仿宋" w:cs="仿宋"/>
          <w:sz w:val="24"/>
          <w:lang w:eastAsia="zh-CN"/>
        </w:rPr>
        <w:t>：</w:t>
      </w:r>
    </w:p>
    <w:p w14:paraId="7597BC0E">
      <w:pPr>
        <w:pStyle w:val="16"/>
        <w:spacing w:line="240" w:lineRule="atLeast"/>
        <w:ind w:left="1080" w:leftChars="257" w:hanging="540"/>
        <w:rPr>
          <w:rFonts w:hint="eastAsia" w:ascii="仿宋" w:hAnsi="仿宋" w:eastAsia="仿宋" w:cs="仿宋"/>
          <w:sz w:val="24"/>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05BA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01F4702">
            <w:pPr>
              <w:pStyle w:val="16"/>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rPr>
              <w:t>序号</w:t>
            </w:r>
          </w:p>
        </w:tc>
        <w:tc>
          <w:tcPr>
            <w:tcW w:w="2040" w:type="dxa"/>
            <w:noWrap w:val="0"/>
            <w:vAlign w:val="top"/>
          </w:tcPr>
          <w:p w14:paraId="2D61070C">
            <w:pPr>
              <w:pStyle w:val="16"/>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rPr>
              <w:t>招标文件条款号</w:t>
            </w:r>
          </w:p>
        </w:tc>
        <w:tc>
          <w:tcPr>
            <w:tcW w:w="2520" w:type="dxa"/>
            <w:noWrap w:val="0"/>
            <w:vAlign w:val="top"/>
          </w:tcPr>
          <w:p w14:paraId="3D911C48">
            <w:pPr>
              <w:pStyle w:val="16"/>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rPr>
              <w:t>招标文件的商务条款</w:t>
            </w:r>
          </w:p>
        </w:tc>
        <w:tc>
          <w:tcPr>
            <w:tcW w:w="2520" w:type="dxa"/>
            <w:noWrap w:val="0"/>
            <w:vAlign w:val="top"/>
          </w:tcPr>
          <w:p w14:paraId="56097C48">
            <w:pPr>
              <w:pStyle w:val="16"/>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rPr>
              <w:t>投标文件的商务条款</w:t>
            </w:r>
          </w:p>
        </w:tc>
        <w:tc>
          <w:tcPr>
            <w:tcW w:w="900" w:type="dxa"/>
            <w:noWrap w:val="0"/>
            <w:vAlign w:val="top"/>
          </w:tcPr>
          <w:p w14:paraId="31A4D23D">
            <w:pPr>
              <w:pStyle w:val="16"/>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rPr>
              <w:t>说明</w:t>
            </w:r>
          </w:p>
        </w:tc>
      </w:tr>
      <w:tr w14:paraId="0D80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DA18A20">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2A20795F">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5BA4F02C">
            <w:pPr>
              <w:pStyle w:val="16"/>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sz w:val="24"/>
              </w:rPr>
            </w:pPr>
          </w:p>
        </w:tc>
        <w:tc>
          <w:tcPr>
            <w:tcW w:w="2520" w:type="dxa"/>
            <w:noWrap w:val="0"/>
            <w:vAlign w:val="top"/>
          </w:tcPr>
          <w:p w14:paraId="11B4C3EE">
            <w:pPr>
              <w:pStyle w:val="16"/>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sz w:val="24"/>
              </w:rPr>
            </w:pPr>
          </w:p>
        </w:tc>
        <w:tc>
          <w:tcPr>
            <w:tcW w:w="900" w:type="dxa"/>
            <w:noWrap w:val="0"/>
            <w:vAlign w:val="top"/>
          </w:tcPr>
          <w:p w14:paraId="0D3C9F6F">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3D10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5D42DBA">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547F2A28">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08DE7FB4">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29051937">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5583DA9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2EB0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6AA5BA4">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03EB3D2B">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7181794B">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7BECAA6E">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374E1748">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54D5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8014A58">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6C27FDEE">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7FA58CCC">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4370A25E">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23405BD3">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3C2A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1EE363A">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71EAA9B3">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46DA60A3">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2937E2E0">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38A07A5B">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3010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6A9B0FC">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4BDBB868">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0462EA84">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5AC9295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13D604E6">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17BD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645E24C">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273E7245">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442ED85E">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766393B7">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2C0C5205">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0358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3A07F0E">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15E8367B">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78C4B2FD">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1A5D726C">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5A5586A3">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68A3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8E5BD96">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0B138B55">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7A4A3B27">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4D3B5C8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9D1E33F">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1B17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2D7DDCD">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552A6023">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634CAB02">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0CF3DE3B">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98A10E8">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08E2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8ABF3F5">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006FE607">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783DC3E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238B2B0A">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7C28D2F0">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3516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ADD36CD">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1C8190C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50BAC4A7">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43B5E8E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1B6B7B75">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2C52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936D765">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358233EA">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015CAF52">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7B60AAB6">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2A37F1B">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20AE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2E2C3D6">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3C5E6667">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462031BC">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4833012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1458453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5ACC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D7794C5">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59F74D2B">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72DE1F2F">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3C98B989">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48D20A68">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74AB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6C001C5">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4E4AE6E8">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2EF92414">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2AB80E92">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78467E4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12EF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901F474">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2D8097BE">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0106DA48">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40623AFD">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4BC92141">
            <w:pPr>
              <w:pStyle w:val="16"/>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bl>
    <w:p w14:paraId="7BB7BE58">
      <w:pPr>
        <w:pStyle w:val="16"/>
        <w:spacing w:line="240" w:lineRule="atLeast"/>
        <w:ind w:left="1080" w:leftChars="257" w:hanging="540"/>
        <w:rPr>
          <w:rFonts w:hint="eastAsia" w:ascii="仿宋" w:hAnsi="仿宋" w:eastAsia="仿宋" w:cs="仿宋"/>
          <w:sz w:val="24"/>
        </w:rPr>
      </w:pPr>
    </w:p>
    <w:p w14:paraId="030C492F">
      <w:pPr>
        <w:pStyle w:val="16"/>
        <w:spacing w:line="240" w:lineRule="atLeast"/>
        <w:ind w:left="1080" w:leftChars="257" w:hanging="540"/>
        <w:rPr>
          <w:rFonts w:hint="eastAsia" w:ascii="仿宋" w:hAnsi="仿宋" w:eastAsia="仿宋" w:cs="仿宋"/>
          <w:sz w:val="24"/>
        </w:rPr>
      </w:pPr>
    </w:p>
    <w:p w14:paraId="6F0D2259">
      <w:pPr>
        <w:pStyle w:val="16"/>
        <w:spacing w:line="240" w:lineRule="atLeast"/>
        <w:ind w:left="1080" w:leftChars="257" w:hanging="540"/>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lang w:eastAsia="zh-CN"/>
        </w:rPr>
        <w:t>（电子签章）：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04B17C1B">
      <w:pPr>
        <w:pStyle w:val="16"/>
        <w:tabs>
          <w:tab w:val="left" w:pos="5370"/>
        </w:tabs>
        <w:spacing w:line="240" w:lineRule="atLeast"/>
        <w:ind w:left="1080" w:leftChars="257" w:hanging="540"/>
        <w:rPr>
          <w:rFonts w:hint="eastAsia" w:ascii="仿宋" w:hAnsi="仿宋" w:eastAsia="仿宋" w:cs="仿宋"/>
          <w:sz w:val="24"/>
          <w:u w:val="single"/>
        </w:rPr>
      </w:pPr>
      <w:r>
        <w:rPr>
          <w:rFonts w:hint="eastAsia" w:ascii="仿宋" w:hAnsi="仿宋" w:eastAsia="仿宋" w:cs="仿宋"/>
          <w:sz w:val="24"/>
        </w:rPr>
        <w:t>投标人</w:t>
      </w:r>
      <w:r>
        <w:rPr>
          <w:rFonts w:hint="eastAsia" w:ascii="仿宋" w:hAnsi="仿宋" w:eastAsia="仿宋" w:cs="仿宋"/>
          <w:sz w:val="24"/>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sz w:val="24"/>
          <w:u w:val="single"/>
        </w:rPr>
        <w:tab/>
      </w:r>
    </w:p>
    <w:p w14:paraId="3FC0F882">
      <w:pPr>
        <w:pStyle w:val="16"/>
        <w:spacing w:line="240" w:lineRule="atLeast"/>
        <w:rPr>
          <w:rFonts w:hint="eastAsia" w:ascii="仿宋" w:hAnsi="仿宋" w:eastAsia="仿宋" w:cs="仿宋"/>
          <w:sz w:val="24"/>
        </w:rPr>
      </w:pPr>
    </w:p>
    <w:p w14:paraId="21CFEAFF">
      <w:pPr>
        <w:pStyle w:val="16"/>
        <w:spacing w:line="240" w:lineRule="atLeast"/>
        <w:rPr>
          <w:rFonts w:hint="eastAsia" w:ascii="仿宋" w:hAnsi="仿宋" w:eastAsia="仿宋" w:cs="仿宋"/>
          <w:sz w:val="24"/>
        </w:rPr>
      </w:pPr>
    </w:p>
    <w:p w14:paraId="1067BA03">
      <w:pPr>
        <w:pStyle w:val="16"/>
        <w:spacing w:line="240" w:lineRule="atLeast"/>
        <w:rPr>
          <w:rFonts w:hint="eastAsia" w:ascii="仿宋" w:hAnsi="仿宋" w:eastAsia="仿宋" w:cs="仿宋"/>
          <w:sz w:val="24"/>
        </w:rPr>
      </w:pPr>
    </w:p>
    <w:p w14:paraId="5769F4A0">
      <w:pPr>
        <w:pStyle w:val="16"/>
        <w:spacing w:line="240" w:lineRule="atLeast"/>
        <w:rPr>
          <w:rFonts w:hint="eastAsia" w:ascii="仿宋" w:hAnsi="仿宋" w:eastAsia="仿宋" w:cs="仿宋"/>
          <w:sz w:val="24"/>
        </w:rPr>
      </w:pPr>
    </w:p>
    <w:p w14:paraId="6CF1C217">
      <w:pPr>
        <w:pStyle w:val="16"/>
        <w:spacing w:line="240" w:lineRule="atLeast"/>
        <w:rPr>
          <w:rFonts w:hint="eastAsia" w:ascii="仿宋" w:hAnsi="仿宋" w:eastAsia="仿宋" w:cs="仿宋"/>
          <w:sz w:val="24"/>
        </w:rPr>
      </w:pPr>
    </w:p>
    <w:p w14:paraId="101FB60F">
      <w:pPr>
        <w:pStyle w:val="3"/>
        <w:bidi w:val="0"/>
        <w:rPr>
          <w:rFonts w:hint="eastAsia" w:ascii="仿宋" w:hAnsi="仿宋" w:eastAsia="仿宋" w:cs="仿宋"/>
          <w:b/>
          <w:kern w:val="0"/>
          <w:sz w:val="24"/>
          <w:szCs w:val="24"/>
          <w:u w:val="none"/>
          <w:lang w:val="en-US" w:eastAsia="zh-CN" w:bidi="ar-SA"/>
        </w:rPr>
      </w:pPr>
      <w:bookmarkStart w:id="368" w:name="_Hlt520273973"/>
      <w:bookmarkEnd w:id="368"/>
      <w:bookmarkStart w:id="369" w:name="_Hlt520350918"/>
      <w:bookmarkEnd w:id="369"/>
      <w:bookmarkStart w:id="370" w:name="_Hlt520274393"/>
      <w:bookmarkEnd w:id="370"/>
      <w:bookmarkStart w:id="371" w:name="_Hlt520274065"/>
      <w:bookmarkEnd w:id="371"/>
      <w:bookmarkStart w:id="372" w:name="_Hlt520273711"/>
      <w:bookmarkEnd w:id="372"/>
      <w:bookmarkStart w:id="373" w:name="_Hlt520274911"/>
      <w:bookmarkEnd w:id="373"/>
      <w:bookmarkStart w:id="374" w:name="_Hlt520271212"/>
      <w:bookmarkEnd w:id="374"/>
      <w:bookmarkStart w:id="375" w:name="_Hlt520343392"/>
      <w:bookmarkEnd w:id="375"/>
      <w:bookmarkStart w:id="376" w:name="_Hlt520274407"/>
      <w:bookmarkEnd w:id="376"/>
      <w:bookmarkStart w:id="377" w:name="_Hlt520343000"/>
      <w:bookmarkEnd w:id="377"/>
      <w:bookmarkStart w:id="378" w:name="_Hlt520350957"/>
      <w:bookmarkEnd w:id="378"/>
      <w:bookmarkStart w:id="379" w:name="_Toc20020"/>
      <w:bookmarkStart w:id="380" w:name="_Toc515647825"/>
      <w:bookmarkStart w:id="381" w:name="_Toc12407"/>
      <w:bookmarkStart w:id="382" w:name="_Toc19284"/>
      <w:bookmarkStart w:id="383" w:name="_Toc23068"/>
      <w:bookmarkStart w:id="384" w:name="OLE_LINK14"/>
      <w:bookmarkStart w:id="385" w:name="OLE_LINK13"/>
      <w:r>
        <w:rPr>
          <w:rFonts w:hint="eastAsia" w:ascii="仿宋" w:hAnsi="仿宋" w:eastAsia="仿宋" w:cs="仿宋"/>
          <w:b/>
          <w:kern w:val="0"/>
          <w:sz w:val="24"/>
          <w:szCs w:val="24"/>
          <w:u w:val="none"/>
          <w:lang w:val="en-US" w:eastAsia="zh-CN" w:bidi="ar-SA"/>
        </w:rPr>
        <w:t>7 中小企业声明函</w:t>
      </w:r>
      <w:bookmarkEnd w:id="379"/>
    </w:p>
    <w:p w14:paraId="40ECE202">
      <w:pPr>
        <w:pStyle w:val="4"/>
        <w:jc w:val="center"/>
        <w:rPr>
          <w:rFonts w:hint="eastAsia" w:ascii="仿宋" w:hAnsi="仿宋" w:eastAsia="仿宋" w:cs="仿宋"/>
          <w:b/>
          <w:kern w:val="0"/>
          <w:sz w:val="24"/>
          <w:szCs w:val="24"/>
          <w:u w:val="none"/>
          <w:lang w:val="en-US" w:eastAsia="zh-CN" w:bidi="ar-SA"/>
        </w:rPr>
      </w:pPr>
      <w:bookmarkStart w:id="386" w:name="_Toc11539"/>
      <w:r>
        <w:rPr>
          <w:rFonts w:hint="eastAsia" w:ascii="仿宋" w:hAnsi="仿宋" w:eastAsia="仿宋" w:cs="仿宋"/>
          <w:b/>
          <w:kern w:val="0"/>
          <w:sz w:val="24"/>
          <w:szCs w:val="24"/>
          <w:u w:val="none"/>
          <w:lang w:val="en-US" w:eastAsia="zh-CN" w:bidi="ar-SA"/>
        </w:rPr>
        <w:t>7-1、中小企业声明函（工程、服务）</w:t>
      </w:r>
      <w:bookmarkEnd w:id="386"/>
    </w:p>
    <w:p w14:paraId="30CC3EAE">
      <w:pPr>
        <w:widowControl/>
        <w:spacing w:line="500" w:lineRule="exact"/>
        <w:ind w:firstLine="480" w:firstLineChars="200"/>
        <w:jc w:val="left"/>
        <w:rPr>
          <w:sz w:val="24"/>
        </w:rPr>
      </w:pPr>
      <w:r>
        <w:rPr>
          <w:rFonts w:ascii="仿宋" w:hAnsi="仿宋" w:eastAsia="仿宋" w:cs="仿宋"/>
          <w:color w:val="000000"/>
          <w:kern w:val="0"/>
          <w:sz w:val="24"/>
        </w:rPr>
        <w:t>本公司（联合体）郑重声明，根据《政府采购促进中小</w:t>
      </w:r>
      <w:r>
        <w:rPr>
          <w:rFonts w:hint="eastAsia" w:ascii="仿宋" w:hAnsi="仿宋" w:eastAsia="仿宋" w:cs="仿宋"/>
          <w:color w:val="000000"/>
          <w:kern w:val="0"/>
          <w:sz w:val="24"/>
        </w:rPr>
        <w:t>企业发展管理办法》（财库</w:t>
      </w:r>
      <w:r>
        <w:rPr>
          <w:rFonts w:hint="eastAsia" w:ascii="宋体" w:hAnsi="宋体" w:cs="宋体"/>
          <w:color w:val="000000"/>
          <w:kern w:val="0"/>
          <w:sz w:val="24"/>
        </w:rPr>
        <w:t>﹝</w:t>
      </w:r>
      <w:r>
        <w:rPr>
          <w:rFonts w:hint="eastAsia" w:ascii="仿宋" w:hAnsi="仿宋" w:eastAsia="仿宋" w:cs="仿宋"/>
          <w:color w:val="000000"/>
          <w:kern w:val="0"/>
          <w:sz w:val="24"/>
        </w:rPr>
        <w:t>2020</w:t>
      </w:r>
      <w:r>
        <w:rPr>
          <w:rFonts w:hint="eastAsia" w:ascii="宋体" w:hAnsi="宋体" w:cs="宋体"/>
          <w:color w:val="000000"/>
          <w:kern w:val="0"/>
          <w:sz w:val="24"/>
        </w:rPr>
        <w:t>﹞</w:t>
      </w:r>
      <w:r>
        <w:rPr>
          <w:rFonts w:hint="eastAsia" w:ascii="仿宋" w:hAnsi="仿宋" w:eastAsia="仿宋" w:cs="仿宋"/>
          <w:color w:val="000000"/>
          <w:kern w:val="0"/>
          <w:sz w:val="24"/>
        </w:rPr>
        <w:t>46 号）的规定，本公司（联合体）参加</w:t>
      </w:r>
      <w:r>
        <w:rPr>
          <w:rFonts w:hint="eastAsia" w:ascii="仿宋" w:hAnsi="仿宋" w:eastAsia="仿宋" w:cs="仿宋"/>
          <w:i/>
          <w:color w:val="000000"/>
          <w:kern w:val="0"/>
          <w:sz w:val="24"/>
          <w:u w:val="single"/>
        </w:rPr>
        <w:t>（单位名称）</w:t>
      </w:r>
      <w:r>
        <w:rPr>
          <w:rFonts w:hint="eastAsia" w:ascii="仿宋" w:hAnsi="仿宋" w:eastAsia="仿宋" w:cs="仿宋"/>
          <w:color w:val="000000"/>
          <w:kern w:val="0"/>
          <w:sz w:val="24"/>
        </w:rPr>
        <w:t>的</w:t>
      </w:r>
      <w:r>
        <w:rPr>
          <w:rFonts w:hint="eastAsia" w:ascii="仿宋" w:hAnsi="仿宋" w:eastAsia="仿宋" w:cs="仿宋"/>
          <w:i/>
          <w:color w:val="000000"/>
          <w:kern w:val="0"/>
          <w:sz w:val="24"/>
          <w:u w:val="single"/>
        </w:rPr>
        <w:t>（项目名称）</w:t>
      </w:r>
      <w:r>
        <w:rPr>
          <w:rFonts w:hint="eastAsia" w:ascii="仿宋" w:hAnsi="仿宋" w:eastAsia="仿宋" w:cs="仿宋"/>
          <w:color w:val="000000"/>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4C9480E">
      <w:pPr>
        <w:widowControl/>
        <w:spacing w:line="500" w:lineRule="exact"/>
        <w:ind w:firstLine="480" w:firstLineChars="200"/>
        <w:jc w:val="left"/>
        <w:rPr>
          <w:sz w:val="24"/>
        </w:rPr>
      </w:pPr>
      <w:r>
        <w:rPr>
          <w:rFonts w:hint="eastAsia" w:ascii="仿宋" w:hAnsi="仿宋" w:eastAsia="仿宋" w:cs="仿宋"/>
          <w:color w:val="000000"/>
          <w:kern w:val="0"/>
          <w:sz w:val="24"/>
        </w:rPr>
        <w:t xml:space="preserve">1. </w:t>
      </w:r>
      <w:r>
        <w:rPr>
          <w:rFonts w:hint="eastAsia" w:ascii="仿宋" w:hAnsi="仿宋" w:eastAsia="仿宋" w:cs="仿宋"/>
          <w:i/>
          <w:color w:val="000000"/>
          <w:kern w:val="0"/>
          <w:sz w:val="24"/>
          <w:u w:val="single"/>
        </w:rPr>
        <w:t>（标的名称）</w:t>
      </w:r>
      <w:r>
        <w:rPr>
          <w:rFonts w:hint="eastAsia" w:ascii="仿宋" w:hAnsi="仿宋" w:eastAsia="仿宋" w:cs="仿宋"/>
          <w:i/>
          <w:color w:val="000000"/>
          <w:kern w:val="0"/>
          <w:sz w:val="24"/>
        </w:rPr>
        <w:t xml:space="preserve"> </w:t>
      </w:r>
      <w:r>
        <w:rPr>
          <w:rFonts w:hint="eastAsia" w:ascii="仿宋" w:hAnsi="仿宋" w:eastAsia="仿宋" w:cs="仿宋"/>
          <w:color w:val="000000"/>
          <w:kern w:val="0"/>
          <w:sz w:val="24"/>
        </w:rPr>
        <w:t>，属于</w:t>
      </w:r>
      <w:r>
        <w:rPr>
          <w:rFonts w:hint="eastAsia" w:ascii="仿宋" w:hAnsi="仿宋" w:eastAsia="仿宋" w:cs="仿宋"/>
          <w:i/>
          <w:color w:val="000000"/>
          <w:kern w:val="0"/>
          <w:sz w:val="24"/>
          <w:u w:val="single"/>
        </w:rPr>
        <w:t>（采购文件中明确的所属行业）</w:t>
      </w:r>
      <w:r>
        <w:rPr>
          <w:rFonts w:hint="eastAsia" w:ascii="仿宋" w:hAnsi="仿宋" w:eastAsia="仿宋" w:cs="仿宋"/>
          <w:color w:val="000000"/>
          <w:kern w:val="0"/>
          <w:sz w:val="24"/>
        </w:rPr>
        <w:t>；承建（承接）企业为</w:t>
      </w:r>
      <w:r>
        <w:rPr>
          <w:rFonts w:hint="eastAsia" w:ascii="仿宋" w:hAnsi="仿宋" w:eastAsia="仿宋" w:cs="仿宋"/>
          <w:i/>
          <w:color w:val="000000"/>
          <w:kern w:val="0"/>
          <w:sz w:val="24"/>
          <w:u w:val="single"/>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人，营业收入为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万元，属于</w:t>
      </w:r>
      <w:r>
        <w:rPr>
          <w:rFonts w:hint="eastAsia" w:ascii="仿宋" w:hAnsi="仿宋" w:eastAsia="仿宋" w:cs="仿宋"/>
          <w:i/>
          <w:color w:val="000000"/>
          <w:kern w:val="0"/>
          <w:sz w:val="24"/>
          <w:u w:val="single"/>
        </w:rPr>
        <w:t>（中型企业、 小型企业、微型企业）</w:t>
      </w:r>
      <w:r>
        <w:rPr>
          <w:rFonts w:hint="eastAsia" w:ascii="仿宋" w:hAnsi="仿宋" w:eastAsia="仿宋" w:cs="仿宋"/>
          <w:color w:val="000000"/>
          <w:kern w:val="0"/>
          <w:sz w:val="24"/>
        </w:rPr>
        <w:t xml:space="preserve">； </w:t>
      </w:r>
    </w:p>
    <w:p w14:paraId="56F4B4FC">
      <w:pPr>
        <w:widowControl/>
        <w:spacing w:line="5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 xml:space="preserve">2. </w:t>
      </w:r>
      <w:r>
        <w:rPr>
          <w:rFonts w:hint="eastAsia" w:ascii="仿宋" w:hAnsi="仿宋" w:eastAsia="仿宋" w:cs="仿宋"/>
          <w:i/>
          <w:color w:val="000000"/>
          <w:kern w:val="0"/>
          <w:sz w:val="24"/>
          <w:u w:val="single"/>
        </w:rPr>
        <w:t>（标的名称）</w:t>
      </w:r>
      <w:r>
        <w:rPr>
          <w:rFonts w:hint="eastAsia" w:ascii="仿宋" w:hAnsi="仿宋" w:eastAsia="仿宋" w:cs="仿宋"/>
          <w:i/>
          <w:color w:val="000000"/>
          <w:kern w:val="0"/>
          <w:sz w:val="24"/>
        </w:rPr>
        <w:t xml:space="preserve"> </w:t>
      </w:r>
      <w:r>
        <w:rPr>
          <w:rFonts w:hint="eastAsia" w:ascii="仿宋" w:hAnsi="仿宋" w:eastAsia="仿宋" w:cs="仿宋"/>
          <w:color w:val="000000"/>
          <w:kern w:val="0"/>
          <w:sz w:val="24"/>
        </w:rPr>
        <w:t>，属于</w:t>
      </w:r>
      <w:r>
        <w:rPr>
          <w:rFonts w:hint="eastAsia" w:ascii="仿宋" w:hAnsi="仿宋" w:eastAsia="仿宋" w:cs="仿宋"/>
          <w:i/>
          <w:color w:val="000000"/>
          <w:kern w:val="0"/>
          <w:sz w:val="24"/>
          <w:u w:val="single"/>
        </w:rPr>
        <w:t>（采购文件中明确的所属行业）</w:t>
      </w:r>
      <w:r>
        <w:rPr>
          <w:rFonts w:hint="eastAsia" w:ascii="仿宋" w:hAnsi="仿宋" w:eastAsia="仿宋" w:cs="仿宋"/>
          <w:color w:val="000000"/>
          <w:kern w:val="0"/>
          <w:sz w:val="24"/>
        </w:rPr>
        <w:t>；承建（承接）企业为</w:t>
      </w:r>
      <w:r>
        <w:rPr>
          <w:rFonts w:hint="eastAsia" w:ascii="仿宋" w:hAnsi="仿宋" w:eastAsia="仿宋" w:cs="仿宋"/>
          <w:i/>
          <w:color w:val="000000"/>
          <w:kern w:val="0"/>
          <w:sz w:val="24"/>
          <w:u w:val="single"/>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人，营业收入为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万元，属于</w:t>
      </w:r>
      <w:r>
        <w:rPr>
          <w:rFonts w:hint="eastAsia" w:ascii="仿宋" w:hAnsi="仿宋" w:eastAsia="仿宋" w:cs="仿宋"/>
          <w:i/>
          <w:color w:val="000000"/>
          <w:kern w:val="0"/>
          <w:sz w:val="24"/>
          <w:u w:val="single"/>
        </w:rPr>
        <w:t>（中型企业、小型企业、微型企业）</w:t>
      </w:r>
      <w:r>
        <w:rPr>
          <w:rFonts w:hint="eastAsia" w:ascii="仿宋" w:hAnsi="仿宋" w:eastAsia="仿宋" w:cs="仿宋"/>
          <w:color w:val="000000"/>
          <w:kern w:val="0"/>
          <w:sz w:val="24"/>
        </w:rPr>
        <w:t xml:space="preserve">； </w:t>
      </w:r>
    </w:p>
    <w:p w14:paraId="1C97868A">
      <w:pPr>
        <w:widowControl/>
        <w:spacing w:line="500" w:lineRule="exact"/>
        <w:ind w:firstLine="720" w:firstLineChars="300"/>
        <w:jc w:val="left"/>
        <w:rPr>
          <w:sz w:val="24"/>
        </w:rPr>
      </w:pPr>
      <w:r>
        <w:rPr>
          <w:rFonts w:ascii="仿宋" w:hAnsi="仿宋" w:eastAsia="仿宋" w:cs="仿宋"/>
          <w:color w:val="000000"/>
          <w:kern w:val="0"/>
          <w:sz w:val="24"/>
        </w:rPr>
        <w:t>……</w:t>
      </w:r>
    </w:p>
    <w:p w14:paraId="6A943DD7">
      <w:pPr>
        <w:widowControl/>
        <w:spacing w:line="500" w:lineRule="exact"/>
        <w:ind w:firstLine="480" w:firstLineChars="200"/>
        <w:jc w:val="left"/>
        <w:rPr>
          <w:sz w:val="24"/>
        </w:rPr>
      </w:pPr>
      <w:r>
        <w:rPr>
          <w:rFonts w:hint="eastAsia" w:ascii="仿宋" w:hAnsi="仿宋" w:eastAsia="仿宋" w:cs="仿宋"/>
          <w:color w:val="000000"/>
          <w:kern w:val="0"/>
          <w:sz w:val="24"/>
        </w:rPr>
        <w:t>以上企业，不属于大企业的分支机构，不存在控股股东为大企业的情形，也不存在与大企业的负责人为同一人的情 形。</w:t>
      </w:r>
    </w:p>
    <w:p w14:paraId="1F51E9E4">
      <w:pPr>
        <w:widowControl/>
        <w:spacing w:line="500" w:lineRule="exact"/>
        <w:ind w:firstLine="480" w:firstLineChars="200"/>
        <w:jc w:val="left"/>
        <w:rPr>
          <w:sz w:val="24"/>
        </w:rPr>
      </w:pPr>
      <w:r>
        <w:rPr>
          <w:rFonts w:hint="eastAsia" w:ascii="仿宋" w:hAnsi="仿宋" w:eastAsia="仿宋" w:cs="仿宋"/>
          <w:color w:val="000000"/>
          <w:kern w:val="0"/>
          <w:sz w:val="24"/>
        </w:rPr>
        <w:t xml:space="preserve">本企业对上述声明内容的真实性负责。如有虚假，将依法承担相应责任。 </w:t>
      </w:r>
    </w:p>
    <w:p w14:paraId="79F70BDB">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 xml:space="preserve"> </w:t>
      </w:r>
    </w:p>
    <w:p w14:paraId="042BC6AB">
      <w:pPr>
        <w:widowControl/>
        <w:jc w:val="center"/>
        <w:rPr>
          <w:sz w:val="24"/>
        </w:rPr>
      </w:pPr>
      <w:r>
        <w:rPr>
          <w:rFonts w:hint="eastAsia" w:ascii="仿宋" w:hAnsi="仿宋" w:eastAsia="仿宋" w:cs="仿宋"/>
          <w:color w:val="000000"/>
          <w:kern w:val="0"/>
          <w:sz w:val="24"/>
        </w:rPr>
        <w:t xml:space="preserve"> 企业名称（</w:t>
      </w:r>
      <w:r>
        <w:rPr>
          <w:rFonts w:hint="eastAsia" w:ascii="仿宋" w:hAnsi="仿宋" w:eastAsia="仿宋" w:cs="仿宋"/>
          <w:color w:val="000000"/>
          <w:kern w:val="0"/>
          <w:sz w:val="24"/>
          <w:lang w:eastAsia="zh-CN"/>
        </w:rPr>
        <w:t>电子签章</w:t>
      </w:r>
      <w:r>
        <w:rPr>
          <w:rFonts w:hint="eastAsia" w:ascii="仿宋" w:hAnsi="仿宋" w:eastAsia="仿宋" w:cs="仿宋"/>
          <w:color w:val="000000"/>
          <w:kern w:val="0"/>
          <w:sz w:val="24"/>
        </w:rPr>
        <w:t>）：</w:t>
      </w:r>
    </w:p>
    <w:p w14:paraId="65A5FB18">
      <w:pPr>
        <w:widowControl/>
        <w:ind w:firstLine="3600" w:firstLineChars="1500"/>
        <w:rPr>
          <w:rFonts w:ascii="仿宋" w:hAnsi="仿宋" w:eastAsia="仿宋" w:cs="仿宋"/>
          <w:color w:val="000000"/>
          <w:kern w:val="0"/>
          <w:sz w:val="24"/>
        </w:rPr>
      </w:pPr>
      <w:r>
        <w:rPr>
          <w:rFonts w:hint="eastAsia" w:ascii="仿宋" w:hAnsi="仿宋" w:eastAsia="仿宋" w:cs="仿宋"/>
          <w:color w:val="000000"/>
          <w:kern w:val="0"/>
          <w:sz w:val="24"/>
        </w:rPr>
        <w:t>日 期：</w:t>
      </w:r>
    </w:p>
    <w:p w14:paraId="4983CC1B">
      <w:pPr>
        <w:pStyle w:val="39"/>
        <w:ind w:firstLine="0" w:firstLineChars="0"/>
        <w:rPr>
          <w:rFonts w:ascii="仿宋" w:hAnsi="仿宋" w:eastAsia="仿宋" w:cs="仿宋"/>
          <w:color w:val="000000"/>
          <w:kern w:val="0"/>
        </w:rPr>
      </w:pPr>
    </w:p>
    <w:p w14:paraId="359392FB">
      <w:pPr>
        <w:pStyle w:val="39"/>
        <w:ind w:firstLine="0" w:firstLineChars="0"/>
        <w:rPr>
          <w:rFonts w:ascii="仿宋" w:hAnsi="仿宋" w:eastAsia="仿宋" w:cs="仿宋"/>
          <w:b/>
          <w:bCs/>
          <w:color w:val="000000"/>
          <w:kern w:val="0"/>
        </w:rPr>
      </w:pPr>
      <w:r>
        <w:rPr>
          <w:rFonts w:hint="eastAsia" w:ascii="仿宋" w:hAnsi="仿宋" w:eastAsia="仿宋" w:cs="仿宋"/>
          <w:b/>
          <w:bCs/>
          <w:color w:val="000000"/>
          <w:kern w:val="0"/>
        </w:rPr>
        <w:t>注：1、从业人员、营业收入、资产总额填报上一年度数据，无上一年度数据的新成立企业可不填报。</w:t>
      </w:r>
    </w:p>
    <w:p w14:paraId="2DB397C1">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7CA3FE64">
      <w:pPr>
        <w:pStyle w:val="3"/>
        <w:bidi w:val="0"/>
        <w:rPr>
          <w:rFonts w:hint="eastAsia" w:ascii="仿宋" w:hAnsi="仿宋" w:eastAsia="仿宋" w:cs="仿宋"/>
          <w:sz w:val="24"/>
          <w:szCs w:val="24"/>
          <w:lang w:val="en-US" w:eastAsia="zh-CN"/>
        </w:rPr>
      </w:pPr>
      <w:bookmarkStart w:id="387" w:name="_Toc16194"/>
      <w:r>
        <w:rPr>
          <w:rFonts w:hint="eastAsia" w:ascii="仿宋" w:hAnsi="仿宋" w:eastAsia="仿宋" w:cs="仿宋"/>
          <w:sz w:val="24"/>
          <w:szCs w:val="24"/>
          <w:lang w:val="en-US" w:eastAsia="zh-CN"/>
        </w:rPr>
        <w:t>7.2  残疾人福利性单位声明函</w:t>
      </w:r>
      <w:bookmarkEnd w:id="380"/>
      <w:bookmarkEnd w:id="381"/>
      <w:bookmarkEnd w:id="382"/>
      <w:bookmarkEnd w:id="383"/>
      <w:r>
        <w:rPr>
          <w:rFonts w:hint="eastAsia" w:ascii="仿宋" w:hAnsi="仿宋" w:eastAsia="仿宋" w:cs="仿宋"/>
          <w:sz w:val="24"/>
          <w:szCs w:val="24"/>
          <w:lang w:val="en-US" w:eastAsia="zh-CN"/>
        </w:rPr>
        <w:t>（投标文件格式十二）</w:t>
      </w:r>
      <w:bookmarkEnd w:id="387"/>
    </w:p>
    <w:bookmarkEnd w:id="384"/>
    <w:bookmarkEnd w:id="385"/>
    <w:p w14:paraId="0092E3F6">
      <w:pPr>
        <w:spacing w:line="240" w:lineRule="atLeast"/>
        <w:ind w:left="1080" w:leftChars="257" w:hanging="540"/>
        <w:jc w:val="center"/>
        <w:rPr>
          <w:rFonts w:hint="eastAsia" w:ascii="仿宋" w:hAnsi="仿宋" w:eastAsia="仿宋" w:cs="仿宋"/>
          <w:kern w:val="0"/>
          <w:sz w:val="24"/>
          <w:szCs w:val="20"/>
        </w:rPr>
      </w:pPr>
    </w:p>
    <w:p w14:paraId="7D4281F8">
      <w:pPr>
        <w:spacing w:line="240" w:lineRule="atLeast"/>
        <w:ind w:firstLine="567"/>
        <w:rPr>
          <w:rFonts w:hint="eastAsia" w:ascii="仿宋" w:hAnsi="仿宋" w:eastAsia="仿宋" w:cs="仿宋"/>
          <w:kern w:val="0"/>
          <w:sz w:val="24"/>
          <w:szCs w:val="20"/>
        </w:rPr>
      </w:pPr>
      <w:r>
        <w:rPr>
          <w:rFonts w:hint="eastAsia" w:ascii="仿宋" w:hAnsi="仿宋" w:eastAsia="仿宋" w:cs="仿宋"/>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1CB5DE4D">
      <w:pPr>
        <w:spacing w:line="240" w:lineRule="atLeast"/>
        <w:ind w:left="1080" w:leftChars="257" w:hanging="540"/>
        <w:rPr>
          <w:rFonts w:hint="eastAsia" w:ascii="仿宋" w:hAnsi="仿宋" w:eastAsia="仿宋" w:cs="仿宋"/>
          <w:kern w:val="0"/>
          <w:sz w:val="24"/>
          <w:szCs w:val="20"/>
        </w:rPr>
      </w:pPr>
      <w:r>
        <w:rPr>
          <w:rFonts w:hint="eastAsia" w:ascii="仿宋" w:hAnsi="仿宋" w:eastAsia="仿宋" w:cs="仿宋"/>
          <w:kern w:val="0"/>
          <w:sz w:val="24"/>
          <w:szCs w:val="20"/>
        </w:rPr>
        <w:t>本单位对上述声明的真实性负责。如有虚假，将依法承担相应责任。</w:t>
      </w:r>
    </w:p>
    <w:p w14:paraId="6C3C3752">
      <w:pPr>
        <w:spacing w:line="240" w:lineRule="atLeast"/>
        <w:ind w:left="1080" w:leftChars="257" w:hanging="540"/>
        <w:jc w:val="center"/>
        <w:rPr>
          <w:rFonts w:hint="eastAsia" w:ascii="仿宋" w:hAnsi="仿宋" w:eastAsia="仿宋" w:cs="仿宋"/>
          <w:kern w:val="0"/>
          <w:sz w:val="24"/>
          <w:szCs w:val="20"/>
        </w:rPr>
      </w:pPr>
    </w:p>
    <w:p w14:paraId="672AFBFF">
      <w:pPr>
        <w:spacing w:line="240" w:lineRule="atLeast"/>
        <w:ind w:left="1080" w:leftChars="257" w:hanging="540"/>
        <w:jc w:val="center"/>
        <w:rPr>
          <w:rFonts w:hint="eastAsia" w:ascii="仿宋" w:hAnsi="仿宋" w:eastAsia="仿宋" w:cs="仿宋"/>
          <w:kern w:val="0"/>
          <w:sz w:val="24"/>
          <w:szCs w:val="20"/>
        </w:rPr>
      </w:pPr>
    </w:p>
    <w:p w14:paraId="42D67E91">
      <w:pPr>
        <w:spacing w:line="240" w:lineRule="atLeast"/>
        <w:ind w:left="1080" w:leftChars="257" w:hanging="540"/>
        <w:jc w:val="center"/>
        <w:rPr>
          <w:rFonts w:hint="eastAsia" w:ascii="仿宋" w:hAnsi="仿宋" w:eastAsia="仿宋" w:cs="仿宋"/>
          <w:kern w:val="0"/>
          <w:sz w:val="24"/>
          <w:szCs w:val="20"/>
        </w:rPr>
      </w:pPr>
      <w:r>
        <w:rPr>
          <w:rFonts w:hint="eastAsia" w:ascii="仿宋" w:hAnsi="仿宋" w:eastAsia="仿宋" w:cs="仿宋"/>
          <w:kern w:val="0"/>
          <w:sz w:val="24"/>
          <w:szCs w:val="20"/>
        </w:rPr>
        <w:t xml:space="preserve">              残疾人福利性单位名称（电子签章）：______________</w:t>
      </w:r>
    </w:p>
    <w:p w14:paraId="564E724D">
      <w:pPr>
        <w:spacing w:line="240" w:lineRule="atLeast"/>
        <w:ind w:left="1080" w:leftChars="257" w:hanging="540"/>
        <w:jc w:val="center"/>
        <w:rPr>
          <w:rFonts w:hint="eastAsia" w:ascii="仿宋" w:hAnsi="仿宋" w:eastAsia="仿宋" w:cs="仿宋"/>
          <w:kern w:val="0"/>
          <w:sz w:val="24"/>
          <w:szCs w:val="20"/>
        </w:rPr>
      </w:pPr>
      <w:r>
        <w:rPr>
          <w:rFonts w:hint="eastAsia" w:ascii="仿宋" w:hAnsi="仿宋" w:eastAsia="仿宋" w:cs="仿宋"/>
          <w:kern w:val="0"/>
          <w:sz w:val="24"/>
          <w:szCs w:val="20"/>
        </w:rPr>
        <w:t xml:space="preserve">  </w:t>
      </w:r>
      <w:r>
        <w:rPr>
          <w:rFonts w:hint="eastAsia" w:ascii="仿宋" w:hAnsi="仿宋" w:eastAsia="仿宋" w:cs="仿宋"/>
          <w:kern w:val="0"/>
          <w:sz w:val="24"/>
          <w:szCs w:val="20"/>
          <w:u w:val="single" w:color="FFFFFF"/>
        </w:rPr>
        <w:t xml:space="preserve">       </w:t>
      </w:r>
      <w:r>
        <w:rPr>
          <w:rFonts w:hint="eastAsia" w:ascii="仿宋" w:hAnsi="仿宋" w:eastAsia="仿宋" w:cs="仿宋"/>
          <w:kern w:val="0"/>
          <w:sz w:val="24"/>
          <w:szCs w:val="20"/>
        </w:rPr>
        <w:t>日  期：_____________________________________________</w:t>
      </w:r>
    </w:p>
    <w:p w14:paraId="447B3FA8">
      <w:pPr>
        <w:spacing w:line="240" w:lineRule="atLeast"/>
        <w:ind w:left="1080" w:leftChars="257" w:hanging="540"/>
        <w:jc w:val="center"/>
        <w:rPr>
          <w:rFonts w:hint="eastAsia" w:ascii="仿宋" w:hAnsi="仿宋" w:eastAsia="仿宋" w:cs="仿宋"/>
          <w:b/>
          <w:kern w:val="0"/>
          <w:sz w:val="24"/>
          <w:szCs w:val="20"/>
        </w:rPr>
      </w:pPr>
    </w:p>
    <w:p w14:paraId="7ED5F7C2">
      <w:pPr>
        <w:spacing w:line="240" w:lineRule="atLeast"/>
        <w:ind w:left="1080" w:leftChars="257" w:hanging="540"/>
        <w:jc w:val="center"/>
        <w:rPr>
          <w:rFonts w:hint="eastAsia" w:ascii="仿宋" w:hAnsi="仿宋" w:eastAsia="仿宋" w:cs="仿宋"/>
          <w:b/>
          <w:kern w:val="0"/>
          <w:sz w:val="24"/>
          <w:szCs w:val="20"/>
        </w:rPr>
      </w:pPr>
    </w:p>
    <w:p w14:paraId="31663AD2">
      <w:pPr>
        <w:spacing w:line="240" w:lineRule="atLeast"/>
        <w:ind w:left="1080" w:leftChars="257" w:hanging="540"/>
        <w:jc w:val="center"/>
        <w:rPr>
          <w:rFonts w:hint="eastAsia" w:ascii="仿宋" w:hAnsi="仿宋" w:eastAsia="仿宋" w:cs="仿宋"/>
          <w:b/>
          <w:kern w:val="0"/>
          <w:sz w:val="24"/>
          <w:szCs w:val="20"/>
        </w:rPr>
      </w:pPr>
    </w:p>
    <w:p w14:paraId="3DE3CD31">
      <w:pPr>
        <w:spacing w:line="240" w:lineRule="atLeast"/>
        <w:ind w:left="1080" w:leftChars="257" w:hanging="540"/>
        <w:jc w:val="center"/>
        <w:rPr>
          <w:rFonts w:hint="eastAsia" w:ascii="仿宋" w:hAnsi="仿宋" w:eastAsia="仿宋" w:cs="仿宋"/>
          <w:b/>
          <w:kern w:val="0"/>
          <w:sz w:val="24"/>
          <w:szCs w:val="20"/>
        </w:rPr>
      </w:pPr>
    </w:p>
    <w:p w14:paraId="37614CF6">
      <w:pPr>
        <w:spacing w:line="240" w:lineRule="atLeast"/>
        <w:ind w:left="1080" w:leftChars="257" w:hanging="540"/>
        <w:jc w:val="center"/>
        <w:rPr>
          <w:rFonts w:hint="eastAsia" w:ascii="仿宋" w:hAnsi="仿宋" w:eastAsia="仿宋" w:cs="仿宋"/>
          <w:b/>
          <w:kern w:val="0"/>
          <w:sz w:val="24"/>
          <w:szCs w:val="20"/>
        </w:rPr>
      </w:pPr>
    </w:p>
    <w:p w14:paraId="3C10C63F">
      <w:pPr>
        <w:spacing w:line="240" w:lineRule="atLeast"/>
        <w:ind w:left="1080" w:leftChars="257" w:hanging="540"/>
        <w:jc w:val="center"/>
        <w:rPr>
          <w:rFonts w:hint="eastAsia" w:ascii="仿宋" w:hAnsi="仿宋" w:eastAsia="仿宋" w:cs="仿宋"/>
          <w:b/>
          <w:kern w:val="0"/>
          <w:sz w:val="24"/>
          <w:szCs w:val="20"/>
        </w:rPr>
      </w:pPr>
    </w:p>
    <w:p w14:paraId="6156B2A4">
      <w:pPr>
        <w:spacing w:line="240" w:lineRule="atLeast"/>
        <w:ind w:left="1080" w:leftChars="257" w:hanging="540"/>
        <w:jc w:val="center"/>
        <w:rPr>
          <w:rFonts w:hint="eastAsia" w:ascii="仿宋" w:hAnsi="仿宋" w:eastAsia="仿宋" w:cs="仿宋"/>
          <w:b/>
          <w:kern w:val="0"/>
          <w:sz w:val="24"/>
          <w:szCs w:val="20"/>
        </w:rPr>
      </w:pPr>
    </w:p>
    <w:p w14:paraId="58A64201">
      <w:pPr>
        <w:spacing w:line="240" w:lineRule="atLeast"/>
        <w:ind w:left="1080" w:leftChars="257" w:hanging="540"/>
        <w:jc w:val="center"/>
        <w:rPr>
          <w:rFonts w:hint="eastAsia" w:ascii="仿宋" w:hAnsi="仿宋" w:eastAsia="仿宋" w:cs="仿宋"/>
          <w:b/>
          <w:kern w:val="0"/>
          <w:sz w:val="24"/>
          <w:szCs w:val="20"/>
        </w:rPr>
      </w:pPr>
    </w:p>
    <w:p w14:paraId="5B7C7B19">
      <w:pPr>
        <w:pStyle w:val="12"/>
        <w:rPr>
          <w:rFonts w:hint="eastAsia"/>
        </w:rPr>
      </w:pPr>
    </w:p>
    <w:p w14:paraId="0FD4BAFF">
      <w:pPr>
        <w:spacing w:line="240" w:lineRule="atLeast"/>
        <w:ind w:left="1080" w:leftChars="257" w:hanging="540"/>
        <w:jc w:val="center"/>
        <w:rPr>
          <w:rFonts w:hint="eastAsia" w:ascii="仿宋" w:hAnsi="仿宋" w:eastAsia="仿宋" w:cs="仿宋"/>
          <w:b/>
          <w:kern w:val="0"/>
          <w:sz w:val="24"/>
          <w:szCs w:val="20"/>
        </w:rPr>
      </w:pPr>
    </w:p>
    <w:p w14:paraId="05909BED">
      <w:pPr>
        <w:spacing w:line="240" w:lineRule="atLeast"/>
        <w:ind w:left="1080" w:leftChars="257" w:hanging="540"/>
        <w:jc w:val="center"/>
        <w:rPr>
          <w:rFonts w:hint="eastAsia" w:ascii="仿宋" w:hAnsi="仿宋" w:eastAsia="仿宋" w:cs="仿宋"/>
          <w:b/>
          <w:kern w:val="0"/>
          <w:sz w:val="24"/>
          <w:szCs w:val="20"/>
        </w:rPr>
      </w:pPr>
    </w:p>
    <w:p w14:paraId="4A8B2BA3">
      <w:pPr>
        <w:spacing w:line="240" w:lineRule="atLeast"/>
        <w:ind w:left="1080" w:leftChars="257" w:hanging="540"/>
        <w:jc w:val="center"/>
        <w:rPr>
          <w:rFonts w:hint="eastAsia" w:ascii="仿宋" w:hAnsi="仿宋" w:eastAsia="仿宋" w:cs="仿宋"/>
          <w:b/>
          <w:kern w:val="0"/>
          <w:sz w:val="24"/>
          <w:szCs w:val="20"/>
        </w:rPr>
      </w:pPr>
    </w:p>
    <w:p w14:paraId="27978022">
      <w:pPr>
        <w:spacing w:line="240" w:lineRule="atLeast"/>
        <w:ind w:left="1080" w:leftChars="257" w:hanging="540"/>
        <w:jc w:val="center"/>
        <w:rPr>
          <w:rFonts w:hint="eastAsia" w:ascii="仿宋" w:hAnsi="仿宋" w:eastAsia="仿宋" w:cs="仿宋"/>
          <w:b/>
          <w:kern w:val="0"/>
          <w:sz w:val="24"/>
          <w:szCs w:val="20"/>
        </w:rPr>
      </w:pPr>
    </w:p>
    <w:p w14:paraId="6D950E1A">
      <w:pPr>
        <w:spacing w:line="240" w:lineRule="atLeast"/>
        <w:ind w:left="1080" w:leftChars="257" w:hanging="540"/>
        <w:jc w:val="center"/>
        <w:rPr>
          <w:rFonts w:hint="eastAsia" w:ascii="仿宋" w:hAnsi="仿宋" w:eastAsia="仿宋" w:cs="仿宋"/>
          <w:b/>
          <w:kern w:val="0"/>
          <w:sz w:val="24"/>
          <w:szCs w:val="20"/>
        </w:rPr>
      </w:pPr>
    </w:p>
    <w:p w14:paraId="1BDF6EDE">
      <w:pPr>
        <w:spacing w:line="240" w:lineRule="atLeast"/>
        <w:ind w:left="1080" w:leftChars="257" w:hanging="540"/>
        <w:jc w:val="center"/>
        <w:rPr>
          <w:rFonts w:hint="eastAsia" w:ascii="仿宋" w:hAnsi="仿宋" w:eastAsia="仿宋" w:cs="仿宋"/>
          <w:b/>
          <w:kern w:val="0"/>
          <w:sz w:val="24"/>
          <w:szCs w:val="20"/>
        </w:rPr>
      </w:pPr>
    </w:p>
    <w:p w14:paraId="6CA71740">
      <w:pPr>
        <w:spacing w:line="240" w:lineRule="atLeast"/>
        <w:ind w:left="1080" w:leftChars="257" w:hanging="540"/>
        <w:jc w:val="center"/>
        <w:rPr>
          <w:rFonts w:hint="eastAsia" w:ascii="仿宋" w:hAnsi="仿宋" w:eastAsia="仿宋" w:cs="仿宋"/>
          <w:b/>
          <w:kern w:val="0"/>
          <w:sz w:val="24"/>
          <w:szCs w:val="20"/>
        </w:rPr>
      </w:pPr>
    </w:p>
    <w:p w14:paraId="7BC1B128">
      <w:pPr>
        <w:spacing w:line="240" w:lineRule="atLeast"/>
        <w:ind w:left="1080" w:leftChars="257" w:hanging="540"/>
        <w:jc w:val="center"/>
        <w:rPr>
          <w:rFonts w:hint="eastAsia" w:ascii="仿宋" w:hAnsi="仿宋" w:eastAsia="仿宋" w:cs="仿宋"/>
          <w:b/>
          <w:kern w:val="0"/>
          <w:sz w:val="24"/>
          <w:szCs w:val="20"/>
        </w:rPr>
      </w:pPr>
    </w:p>
    <w:p w14:paraId="60E8C0C8">
      <w:pPr>
        <w:spacing w:line="240" w:lineRule="atLeast"/>
        <w:ind w:left="1080" w:leftChars="257" w:hanging="540"/>
        <w:jc w:val="center"/>
        <w:rPr>
          <w:rFonts w:hint="eastAsia" w:ascii="仿宋" w:hAnsi="仿宋" w:eastAsia="仿宋" w:cs="仿宋"/>
          <w:b/>
          <w:kern w:val="0"/>
          <w:sz w:val="24"/>
          <w:szCs w:val="20"/>
        </w:rPr>
      </w:pPr>
    </w:p>
    <w:p w14:paraId="5E97791E">
      <w:pPr>
        <w:spacing w:line="240" w:lineRule="atLeast"/>
        <w:ind w:left="1080" w:leftChars="257" w:hanging="540"/>
        <w:jc w:val="center"/>
        <w:rPr>
          <w:rFonts w:hint="eastAsia" w:ascii="仿宋" w:hAnsi="仿宋" w:eastAsia="仿宋" w:cs="仿宋"/>
          <w:b/>
          <w:kern w:val="0"/>
          <w:sz w:val="24"/>
          <w:szCs w:val="20"/>
        </w:rPr>
      </w:pPr>
    </w:p>
    <w:p w14:paraId="35DCF8DB">
      <w:pPr>
        <w:spacing w:line="240" w:lineRule="atLeast"/>
        <w:ind w:left="1080" w:leftChars="257" w:hanging="540"/>
        <w:jc w:val="center"/>
        <w:rPr>
          <w:rFonts w:hint="eastAsia" w:ascii="仿宋" w:hAnsi="仿宋" w:eastAsia="仿宋" w:cs="仿宋"/>
          <w:b/>
          <w:kern w:val="0"/>
          <w:sz w:val="24"/>
          <w:szCs w:val="20"/>
        </w:rPr>
      </w:pPr>
    </w:p>
    <w:p w14:paraId="619AA006">
      <w:pPr>
        <w:spacing w:line="240" w:lineRule="atLeast"/>
        <w:ind w:left="1080" w:leftChars="257" w:hanging="540"/>
        <w:jc w:val="center"/>
        <w:rPr>
          <w:rFonts w:hint="eastAsia" w:ascii="仿宋" w:hAnsi="仿宋" w:eastAsia="仿宋" w:cs="仿宋"/>
          <w:b/>
          <w:kern w:val="0"/>
          <w:sz w:val="24"/>
          <w:szCs w:val="20"/>
        </w:rPr>
      </w:pPr>
    </w:p>
    <w:p w14:paraId="59957277">
      <w:pPr>
        <w:spacing w:line="240" w:lineRule="atLeast"/>
        <w:ind w:left="1080" w:leftChars="257" w:hanging="540"/>
        <w:jc w:val="center"/>
        <w:rPr>
          <w:rFonts w:hint="eastAsia" w:ascii="仿宋" w:hAnsi="仿宋" w:eastAsia="仿宋" w:cs="仿宋"/>
          <w:b/>
          <w:kern w:val="0"/>
          <w:sz w:val="24"/>
          <w:szCs w:val="20"/>
        </w:rPr>
      </w:pPr>
    </w:p>
    <w:p w14:paraId="06CA9D27">
      <w:pPr>
        <w:spacing w:line="240" w:lineRule="atLeast"/>
        <w:ind w:left="1080" w:leftChars="257" w:hanging="540"/>
        <w:jc w:val="center"/>
        <w:rPr>
          <w:rFonts w:hint="eastAsia" w:ascii="仿宋" w:hAnsi="仿宋" w:eastAsia="仿宋" w:cs="仿宋"/>
          <w:b/>
          <w:kern w:val="0"/>
          <w:sz w:val="24"/>
          <w:szCs w:val="20"/>
        </w:rPr>
      </w:pPr>
    </w:p>
    <w:p w14:paraId="0375EC7E">
      <w:pPr>
        <w:spacing w:line="240" w:lineRule="atLeast"/>
        <w:ind w:left="1080" w:leftChars="257" w:hanging="540"/>
        <w:jc w:val="center"/>
        <w:rPr>
          <w:rFonts w:hint="eastAsia" w:ascii="仿宋" w:hAnsi="仿宋" w:eastAsia="仿宋" w:cs="仿宋"/>
          <w:b/>
          <w:kern w:val="0"/>
          <w:sz w:val="24"/>
          <w:szCs w:val="20"/>
        </w:rPr>
      </w:pPr>
    </w:p>
    <w:p w14:paraId="192D3B93">
      <w:pPr>
        <w:spacing w:line="240" w:lineRule="atLeast"/>
        <w:ind w:left="1080" w:leftChars="257" w:hanging="540"/>
        <w:jc w:val="center"/>
        <w:rPr>
          <w:rFonts w:hint="eastAsia" w:ascii="仿宋" w:hAnsi="仿宋" w:eastAsia="仿宋" w:cs="仿宋"/>
          <w:b/>
          <w:kern w:val="0"/>
          <w:sz w:val="24"/>
          <w:szCs w:val="20"/>
        </w:rPr>
      </w:pPr>
    </w:p>
    <w:p w14:paraId="68EDCB1A">
      <w:pPr>
        <w:spacing w:line="240" w:lineRule="atLeast"/>
        <w:ind w:left="1080" w:leftChars="257" w:hanging="540"/>
        <w:jc w:val="center"/>
        <w:rPr>
          <w:rFonts w:hint="eastAsia" w:ascii="仿宋" w:hAnsi="仿宋" w:eastAsia="仿宋" w:cs="仿宋"/>
          <w:b/>
          <w:kern w:val="0"/>
          <w:sz w:val="24"/>
          <w:szCs w:val="20"/>
        </w:rPr>
      </w:pPr>
    </w:p>
    <w:p w14:paraId="40D83BF4">
      <w:pPr>
        <w:spacing w:line="240" w:lineRule="atLeast"/>
        <w:ind w:left="1080" w:leftChars="257" w:hanging="540"/>
        <w:jc w:val="center"/>
        <w:rPr>
          <w:rFonts w:hint="eastAsia" w:ascii="仿宋" w:hAnsi="仿宋" w:eastAsia="仿宋" w:cs="仿宋"/>
          <w:b/>
          <w:kern w:val="0"/>
          <w:sz w:val="24"/>
          <w:szCs w:val="20"/>
        </w:rPr>
      </w:pPr>
    </w:p>
    <w:p w14:paraId="4B5069AE">
      <w:pPr>
        <w:spacing w:line="240" w:lineRule="atLeast"/>
        <w:ind w:left="1080" w:leftChars="257" w:hanging="540"/>
        <w:jc w:val="center"/>
        <w:rPr>
          <w:rFonts w:hint="eastAsia" w:ascii="仿宋" w:hAnsi="仿宋" w:eastAsia="仿宋" w:cs="仿宋"/>
          <w:b/>
          <w:kern w:val="0"/>
          <w:sz w:val="24"/>
          <w:szCs w:val="20"/>
        </w:rPr>
      </w:pPr>
    </w:p>
    <w:p w14:paraId="631A94F3">
      <w:pPr>
        <w:spacing w:line="240" w:lineRule="atLeast"/>
        <w:ind w:left="1080" w:leftChars="257" w:hanging="540"/>
        <w:jc w:val="center"/>
        <w:rPr>
          <w:rFonts w:hint="eastAsia" w:ascii="仿宋" w:hAnsi="仿宋" w:eastAsia="仿宋" w:cs="仿宋"/>
          <w:b/>
          <w:kern w:val="0"/>
          <w:sz w:val="24"/>
          <w:szCs w:val="20"/>
        </w:rPr>
      </w:pPr>
    </w:p>
    <w:p w14:paraId="54E8D3E7">
      <w:pPr>
        <w:spacing w:line="240" w:lineRule="atLeast"/>
        <w:ind w:left="1080" w:leftChars="257" w:hanging="540"/>
        <w:jc w:val="center"/>
        <w:rPr>
          <w:rFonts w:hint="eastAsia" w:ascii="仿宋" w:hAnsi="仿宋" w:eastAsia="仿宋" w:cs="仿宋"/>
          <w:b/>
          <w:kern w:val="0"/>
          <w:sz w:val="24"/>
          <w:szCs w:val="20"/>
        </w:rPr>
      </w:pPr>
    </w:p>
    <w:p w14:paraId="000522CD">
      <w:pPr>
        <w:spacing w:line="240" w:lineRule="atLeast"/>
        <w:ind w:left="1080" w:leftChars="257" w:hanging="540"/>
        <w:jc w:val="center"/>
        <w:rPr>
          <w:rFonts w:hint="eastAsia" w:ascii="仿宋" w:hAnsi="仿宋" w:eastAsia="仿宋" w:cs="仿宋"/>
          <w:b/>
          <w:kern w:val="0"/>
          <w:sz w:val="24"/>
          <w:szCs w:val="20"/>
        </w:rPr>
      </w:pPr>
    </w:p>
    <w:p w14:paraId="07BBBB10">
      <w:pPr>
        <w:spacing w:line="240" w:lineRule="atLeast"/>
        <w:ind w:left="1080" w:leftChars="257" w:hanging="540"/>
        <w:jc w:val="center"/>
        <w:rPr>
          <w:rFonts w:hint="eastAsia" w:ascii="仿宋" w:hAnsi="仿宋" w:eastAsia="仿宋" w:cs="仿宋"/>
          <w:b/>
          <w:kern w:val="0"/>
          <w:sz w:val="24"/>
          <w:szCs w:val="20"/>
        </w:rPr>
      </w:pPr>
    </w:p>
    <w:p w14:paraId="79D50B45">
      <w:pPr>
        <w:spacing w:line="240" w:lineRule="atLeast"/>
        <w:ind w:left="1080" w:leftChars="257" w:hanging="540"/>
        <w:jc w:val="center"/>
        <w:rPr>
          <w:rFonts w:hint="eastAsia" w:ascii="仿宋" w:hAnsi="仿宋" w:eastAsia="仿宋" w:cs="仿宋"/>
          <w:b/>
          <w:kern w:val="0"/>
          <w:sz w:val="24"/>
          <w:szCs w:val="20"/>
        </w:rPr>
      </w:pPr>
    </w:p>
    <w:p w14:paraId="72C67AC9">
      <w:pPr>
        <w:pStyle w:val="3"/>
        <w:spacing w:before="0" w:line="240" w:lineRule="atLeast"/>
        <w:ind w:left="1080" w:leftChars="257" w:hanging="540"/>
        <w:rPr>
          <w:rFonts w:hint="eastAsia" w:ascii="仿宋" w:hAnsi="仿宋" w:eastAsia="仿宋" w:cs="仿宋"/>
          <w:sz w:val="24"/>
          <w:lang w:eastAsia="zh-CN"/>
        </w:rPr>
      </w:pPr>
      <w:bookmarkStart w:id="388" w:name="_Toc515647827"/>
      <w:bookmarkStart w:id="389" w:name="_Toc31678"/>
      <w:bookmarkStart w:id="390" w:name="_Toc28099"/>
      <w:bookmarkStart w:id="391" w:name="_Toc30795"/>
      <w:bookmarkStart w:id="392" w:name="_Toc11387"/>
      <w:r>
        <w:rPr>
          <w:rFonts w:hint="eastAsia" w:ascii="仿宋" w:hAnsi="仿宋" w:eastAsia="仿宋" w:cs="仿宋"/>
          <w:sz w:val="24"/>
        </w:rPr>
        <w:t>8   投标人关联单位的说明</w:t>
      </w:r>
      <w:bookmarkEnd w:id="388"/>
      <w:bookmarkEnd w:id="389"/>
      <w:bookmarkEnd w:id="390"/>
      <w:bookmarkEnd w:id="391"/>
      <w:r>
        <w:rPr>
          <w:rFonts w:hint="eastAsia" w:ascii="仿宋" w:hAnsi="仿宋" w:eastAsia="仿宋" w:cs="仿宋"/>
          <w:sz w:val="24"/>
          <w:lang w:eastAsia="zh-CN"/>
        </w:rPr>
        <w:t>（</w:t>
      </w:r>
      <w:r>
        <w:rPr>
          <w:rFonts w:hint="eastAsia" w:ascii="仿宋" w:hAnsi="仿宋" w:eastAsia="仿宋" w:cs="仿宋"/>
          <w:sz w:val="24"/>
          <w:lang w:val="en-US" w:eastAsia="zh-CN"/>
        </w:rPr>
        <w:t>格式自拟</w:t>
      </w:r>
      <w:r>
        <w:rPr>
          <w:rFonts w:hint="eastAsia" w:ascii="仿宋" w:hAnsi="仿宋" w:eastAsia="仿宋" w:cs="仿宋"/>
          <w:sz w:val="24"/>
          <w:lang w:eastAsia="zh-CN"/>
        </w:rPr>
        <w:t>）</w:t>
      </w:r>
      <w:bookmarkEnd w:id="392"/>
    </w:p>
    <w:p w14:paraId="58DC8C4A">
      <w:pPr>
        <w:pStyle w:val="9"/>
        <w:jc w:val="center"/>
        <w:rPr>
          <w:rFonts w:hint="eastAsia" w:ascii="仿宋" w:hAnsi="仿宋" w:eastAsia="仿宋" w:cs="仿宋"/>
        </w:rPr>
      </w:pPr>
    </w:p>
    <w:p w14:paraId="37E46274">
      <w:pPr>
        <w:pStyle w:val="9"/>
        <w:ind w:firstLine="480" w:firstLineChars="200"/>
        <w:rPr>
          <w:rFonts w:hint="eastAsia" w:ascii="仿宋" w:hAnsi="仿宋" w:eastAsia="仿宋" w:cs="仿宋"/>
        </w:rPr>
      </w:pPr>
      <w:r>
        <w:rPr>
          <w:rFonts w:hint="eastAsia" w:ascii="仿宋" w:hAnsi="仿宋" w:eastAsia="仿宋" w:cs="仿宋"/>
        </w:rPr>
        <w:t>说明：投标人应当如实披露与本单位存在下列关联关系的单位名称：</w:t>
      </w:r>
    </w:p>
    <w:p w14:paraId="4A1B55D8">
      <w:pPr>
        <w:pStyle w:val="9"/>
        <w:ind w:firstLine="960" w:firstLineChars="400"/>
        <w:rPr>
          <w:rFonts w:hint="eastAsia" w:ascii="仿宋" w:hAnsi="仿宋" w:eastAsia="仿宋" w:cs="仿宋"/>
          <w:lang w:eastAsia="zh-CN"/>
        </w:rPr>
      </w:pPr>
      <w:r>
        <w:rPr>
          <w:rFonts w:hint="eastAsia" w:ascii="仿宋" w:hAnsi="仿宋" w:eastAsia="仿宋" w:cs="仿宋"/>
        </w:rPr>
        <w:t>（1）与投标人单位负责人为同一人的其他单位；</w:t>
      </w:r>
    </w:p>
    <w:p w14:paraId="1AE57D65">
      <w:pPr>
        <w:pStyle w:val="9"/>
        <w:ind w:firstLine="480" w:firstLineChars="200"/>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（2）与投标人存在直接控股、</w:t>
      </w:r>
      <w:r>
        <w:rPr>
          <w:rFonts w:hint="eastAsia" w:ascii="仿宋" w:hAnsi="仿宋" w:eastAsia="仿宋" w:cs="仿宋"/>
          <w:lang w:eastAsia="zh-CN"/>
        </w:rPr>
        <w:t>关联</w:t>
      </w:r>
      <w:r>
        <w:rPr>
          <w:rFonts w:hint="eastAsia" w:ascii="仿宋" w:hAnsi="仿宋" w:eastAsia="仿宋" w:cs="仿宋"/>
        </w:rPr>
        <w:t>关系的其他单位。</w:t>
      </w:r>
    </w:p>
    <w:p w14:paraId="693B54EF">
      <w:pPr>
        <w:pStyle w:val="9"/>
        <w:ind w:left="0" w:leftChars="0" w:firstLine="0" w:firstLineChars="0"/>
        <w:rPr>
          <w:rFonts w:hint="eastAsia" w:ascii="仿宋" w:hAnsi="仿宋" w:eastAsia="仿宋" w:cs="仿宋"/>
          <w:b/>
          <w:kern w:val="0"/>
          <w:sz w:val="24"/>
          <w:szCs w:val="20"/>
        </w:rPr>
      </w:pPr>
      <w:r>
        <w:rPr>
          <w:rFonts w:hint="eastAsia" w:ascii="仿宋" w:hAnsi="仿宋" w:eastAsia="仿宋" w:cs="仿宋"/>
          <w:b/>
          <w:kern w:val="0"/>
          <w:sz w:val="24"/>
          <w:szCs w:val="20"/>
        </w:rPr>
        <w:br w:type="page"/>
      </w:r>
    </w:p>
    <w:p w14:paraId="0E2D433C">
      <w:pPr>
        <w:pStyle w:val="3"/>
        <w:bidi w:val="0"/>
        <w:rPr>
          <w:rFonts w:hint="eastAsia" w:ascii="仿宋" w:hAnsi="仿宋" w:eastAsia="仿宋" w:cs="仿宋"/>
        </w:rPr>
      </w:pPr>
      <w:bookmarkStart w:id="393" w:name="_Toc17333"/>
      <w:bookmarkStart w:id="394" w:name="_Toc6436"/>
      <w:bookmarkStart w:id="395" w:name="_Toc515647828"/>
      <w:bookmarkStart w:id="396" w:name="_Toc7414"/>
      <w:bookmarkStart w:id="397" w:name="_Toc10480"/>
      <w:r>
        <w:rPr>
          <w:rFonts w:hint="eastAsia" w:ascii="仿宋" w:hAnsi="仿宋" w:eastAsia="仿宋" w:cs="仿宋"/>
          <w:sz w:val="24"/>
          <w:szCs w:val="24"/>
        </w:rPr>
        <w:t>9  投标文件还应包括投标人须知第10条的所有技术文件</w:t>
      </w:r>
      <w:bookmarkEnd w:id="393"/>
      <w:bookmarkEnd w:id="394"/>
      <w:bookmarkEnd w:id="395"/>
      <w:bookmarkEnd w:id="396"/>
      <w:bookmarkEnd w:id="397"/>
    </w:p>
    <w:p w14:paraId="382362A5">
      <w:pPr>
        <w:pStyle w:val="39"/>
        <w:rPr>
          <w:rFonts w:hint="eastAsia" w:ascii="仿宋" w:hAnsi="仿宋" w:eastAsia="仿宋" w:cs="仿宋"/>
          <w:color w:val="auto"/>
          <w:sz w:val="24"/>
          <w:highlight w:val="none"/>
        </w:rPr>
      </w:pPr>
    </w:p>
    <w:p w14:paraId="6B82F996">
      <w:pPr>
        <w:rPr>
          <w:rFonts w:hint="eastAsia" w:ascii="仿宋" w:hAnsi="仿宋" w:eastAsia="仿宋" w:cs="仿宋"/>
          <w:b/>
          <w:bCs/>
          <w:color w:val="auto"/>
          <w:kern w:val="0"/>
          <w:sz w:val="56"/>
          <w:szCs w:val="56"/>
          <w:highlight w:val="none"/>
          <w:lang w:eastAsia="zh-CN"/>
        </w:rPr>
      </w:pPr>
      <w:r>
        <w:rPr>
          <w:rFonts w:hint="eastAsia" w:ascii="仿宋" w:hAnsi="仿宋" w:eastAsia="仿宋" w:cs="仿宋"/>
          <w:b/>
          <w:bCs/>
          <w:color w:val="auto"/>
          <w:kern w:val="0"/>
          <w:sz w:val="56"/>
          <w:szCs w:val="56"/>
          <w:highlight w:val="none"/>
          <w:lang w:eastAsia="zh-CN"/>
        </w:rPr>
        <w:br w:type="page"/>
      </w:r>
    </w:p>
    <w:p w14:paraId="13016064">
      <w:pPr>
        <w:bidi w:val="0"/>
        <w:jc w:val="center"/>
        <w:rPr>
          <w:rFonts w:hint="eastAsia" w:ascii="仿宋" w:hAnsi="仿宋" w:eastAsia="仿宋" w:cs="仿宋"/>
          <w:b/>
          <w:bCs/>
          <w:color w:val="auto"/>
          <w:kern w:val="0"/>
          <w:sz w:val="56"/>
          <w:szCs w:val="56"/>
          <w:highlight w:val="none"/>
          <w:lang w:eastAsia="zh-CN"/>
        </w:rPr>
      </w:pPr>
    </w:p>
    <w:p w14:paraId="2005D9AA">
      <w:pPr>
        <w:pStyle w:val="26"/>
        <w:jc w:val="center"/>
        <w:rPr>
          <w:rFonts w:hint="eastAsia" w:ascii="仿宋" w:hAnsi="仿宋" w:eastAsia="仿宋" w:cs="仿宋"/>
          <w:b/>
          <w:bCs/>
          <w:color w:val="auto"/>
          <w:kern w:val="0"/>
          <w:sz w:val="44"/>
          <w:szCs w:val="44"/>
          <w:highlight w:val="none"/>
        </w:rPr>
      </w:pPr>
      <w:r>
        <w:rPr>
          <w:rFonts w:hint="eastAsia" w:ascii="仿宋" w:hAnsi="仿宋" w:eastAsia="仿宋" w:cs="仿宋"/>
          <w:b/>
          <w:bCs/>
          <w:color w:val="auto"/>
          <w:kern w:val="0"/>
          <w:sz w:val="56"/>
          <w:szCs w:val="56"/>
          <w:highlight w:val="none"/>
          <w:lang w:eastAsia="zh-CN"/>
        </w:rPr>
        <w:t>莎车县乡村振兴建设（安全优质饮水工程）项目</w:t>
      </w:r>
    </w:p>
    <w:p w14:paraId="05D7377B">
      <w:pPr>
        <w:pStyle w:val="26"/>
        <w:rPr>
          <w:rFonts w:hint="eastAsia" w:ascii="仿宋" w:hAnsi="仿宋" w:eastAsia="仿宋" w:cs="仿宋"/>
          <w:b/>
          <w:bCs/>
          <w:color w:val="auto"/>
          <w:kern w:val="0"/>
          <w:sz w:val="44"/>
          <w:szCs w:val="44"/>
          <w:highlight w:val="none"/>
        </w:rPr>
      </w:pPr>
    </w:p>
    <w:p w14:paraId="7D08B080">
      <w:pPr>
        <w:pStyle w:val="26"/>
        <w:rPr>
          <w:rFonts w:hint="eastAsia" w:ascii="仿宋" w:hAnsi="仿宋" w:eastAsia="仿宋" w:cs="仿宋"/>
          <w:b/>
          <w:bCs/>
          <w:color w:val="auto"/>
          <w:kern w:val="0"/>
          <w:sz w:val="44"/>
          <w:szCs w:val="44"/>
          <w:highlight w:val="none"/>
        </w:rPr>
      </w:pPr>
    </w:p>
    <w:p w14:paraId="32B047A6">
      <w:pPr>
        <w:spacing w:line="240" w:lineRule="atLeast"/>
        <w:ind w:left="1080" w:leftChars="257" w:hanging="540"/>
        <w:jc w:val="center"/>
        <w:rPr>
          <w:rFonts w:hint="eastAsia" w:ascii="仿宋" w:hAnsi="仿宋" w:eastAsia="仿宋" w:cs="仿宋"/>
          <w:b/>
          <w:bCs/>
          <w:color w:val="auto"/>
          <w:kern w:val="0"/>
          <w:sz w:val="48"/>
          <w:szCs w:val="48"/>
          <w:highlight w:val="none"/>
          <w:lang w:val="en-US" w:eastAsia="zh-CN"/>
        </w:rPr>
      </w:pPr>
      <w:r>
        <w:rPr>
          <w:rFonts w:hint="eastAsia" w:ascii="仿宋" w:hAnsi="仿宋" w:eastAsia="仿宋" w:cs="仿宋"/>
          <w:b/>
          <w:bCs/>
          <w:color w:val="auto"/>
          <w:kern w:val="0"/>
          <w:sz w:val="48"/>
          <w:szCs w:val="48"/>
          <w:highlight w:val="none"/>
          <w:lang w:val="en-US" w:eastAsia="zh-CN"/>
        </w:rPr>
        <w:t xml:space="preserve"> </w:t>
      </w:r>
    </w:p>
    <w:p w14:paraId="07EABA15">
      <w:pPr>
        <w:spacing w:line="240" w:lineRule="atLeast"/>
        <w:ind w:left="1080" w:leftChars="257" w:hanging="540"/>
        <w:jc w:val="center"/>
        <w:rPr>
          <w:rFonts w:hint="eastAsia" w:ascii="仿宋" w:hAnsi="仿宋" w:eastAsia="仿宋" w:cs="仿宋"/>
          <w:b/>
          <w:bCs/>
          <w:color w:val="auto"/>
          <w:kern w:val="0"/>
          <w:sz w:val="48"/>
          <w:szCs w:val="48"/>
          <w:highlight w:val="none"/>
          <w:lang w:val="en-US" w:eastAsia="zh-CN"/>
        </w:rPr>
      </w:pPr>
    </w:p>
    <w:p w14:paraId="59FA08CE">
      <w:pPr>
        <w:spacing w:line="240" w:lineRule="atLeast"/>
        <w:ind w:left="1080" w:leftChars="257" w:hanging="540"/>
        <w:jc w:val="center"/>
        <w:rPr>
          <w:rFonts w:hint="eastAsia" w:ascii="仿宋" w:hAnsi="仿宋" w:eastAsia="仿宋" w:cs="仿宋"/>
          <w:b/>
          <w:bCs/>
          <w:color w:val="auto"/>
          <w:kern w:val="0"/>
          <w:sz w:val="48"/>
          <w:szCs w:val="48"/>
          <w:highlight w:val="none"/>
          <w:lang w:val="en-US" w:eastAsia="zh-CN"/>
        </w:rPr>
      </w:pPr>
    </w:p>
    <w:p w14:paraId="30E8E7F8">
      <w:pPr>
        <w:spacing w:line="240" w:lineRule="atLeast"/>
        <w:ind w:left="1080" w:leftChars="257" w:hanging="540"/>
        <w:jc w:val="center"/>
        <w:rPr>
          <w:rFonts w:hint="eastAsia" w:ascii="仿宋" w:hAnsi="仿宋" w:eastAsia="仿宋" w:cs="仿宋"/>
          <w:b/>
          <w:bCs/>
          <w:color w:val="auto"/>
          <w:kern w:val="0"/>
          <w:sz w:val="48"/>
          <w:szCs w:val="48"/>
          <w:highlight w:val="none"/>
          <w:lang w:val="en-US" w:eastAsia="zh-CN"/>
        </w:rPr>
      </w:pPr>
    </w:p>
    <w:p w14:paraId="3B9A3291">
      <w:pPr>
        <w:spacing w:line="240" w:lineRule="atLeast"/>
        <w:ind w:left="1080" w:leftChars="257" w:hanging="540"/>
        <w:jc w:val="center"/>
        <w:rPr>
          <w:rFonts w:hint="eastAsia" w:ascii="仿宋" w:hAnsi="仿宋" w:eastAsia="仿宋" w:cs="仿宋"/>
          <w:b/>
          <w:bCs/>
          <w:color w:val="auto"/>
          <w:kern w:val="0"/>
          <w:sz w:val="48"/>
          <w:szCs w:val="48"/>
          <w:highlight w:val="none"/>
          <w:lang w:val="en-US" w:eastAsia="zh-CN"/>
        </w:rPr>
      </w:pPr>
    </w:p>
    <w:p w14:paraId="1E481E6A">
      <w:pPr>
        <w:spacing w:line="240" w:lineRule="atLeast"/>
        <w:ind w:left="1080" w:leftChars="257" w:hanging="540"/>
        <w:jc w:val="center"/>
        <w:rPr>
          <w:rFonts w:hint="eastAsia" w:ascii="仿宋" w:hAnsi="仿宋" w:eastAsia="仿宋" w:cs="仿宋"/>
          <w:b/>
          <w:bCs/>
          <w:color w:val="auto"/>
          <w:kern w:val="0"/>
          <w:sz w:val="48"/>
          <w:szCs w:val="48"/>
          <w:highlight w:val="none"/>
        </w:rPr>
      </w:pPr>
      <w:r>
        <w:rPr>
          <w:rFonts w:hint="eastAsia" w:ascii="仿宋" w:hAnsi="仿宋" w:eastAsia="仿宋" w:cs="仿宋"/>
          <w:b/>
          <w:bCs/>
          <w:color w:val="auto"/>
          <w:kern w:val="0"/>
          <w:sz w:val="48"/>
          <w:szCs w:val="48"/>
          <w:highlight w:val="none"/>
        </w:rPr>
        <w:t>招标文件（</w:t>
      </w:r>
      <w:r>
        <w:rPr>
          <w:rFonts w:hint="eastAsia" w:ascii="仿宋" w:hAnsi="仿宋" w:eastAsia="仿宋" w:cs="仿宋"/>
          <w:b/>
          <w:color w:val="auto"/>
          <w:sz w:val="48"/>
          <w:szCs w:val="48"/>
          <w:highlight w:val="none"/>
        </w:rPr>
        <w:t>第</w:t>
      </w:r>
      <w:r>
        <w:rPr>
          <w:rFonts w:hint="eastAsia" w:ascii="仿宋" w:hAnsi="仿宋" w:eastAsia="仿宋" w:cs="仿宋"/>
          <w:b/>
          <w:color w:val="auto"/>
          <w:sz w:val="48"/>
          <w:szCs w:val="48"/>
          <w:highlight w:val="none"/>
          <w:lang w:eastAsia="zh-CN"/>
        </w:rPr>
        <w:t>二</w:t>
      </w:r>
      <w:r>
        <w:rPr>
          <w:rFonts w:hint="eastAsia" w:ascii="仿宋" w:hAnsi="仿宋" w:eastAsia="仿宋" w:cs="仿宋"/>
          <w:b/>
          <w:color w:val="auto"/>
          <w:sz w:val="48"/>
          <w:szCs w:val="48"/>
          <w:highlight w:val="none"/>
        </w:rPr>
        <w:t>册</w:t>
      </w:r>
      <w:r>
        <w:rPr>
          <w:rFonts w:hint="eastAsia" w:ascii="仿宋" w:hAnsi="仿宋" w:eastAsia="仿宋" w:cs="仿宋"/>
          <w:b/>
          <w:bCs/>
          <w:color w:val="auto"/>
          <w:kern w:val="0"/>
          <w:sz w:val="48"/>
          <w:szCs w:val="48"/>
          <w:highlight w:val="none"/>
        </w:rPr>
        <w:t>）</w:t>
      </w:r>
    </w:p>
    <w:p w14:paraId="4B855C15">
      <w:pPr>
        <w:pStyle w:val="39"/>
        <w:rPr>
          <w:rFonts w:hint="eastAsia" w:ascii="仿宋" w:hAnsi="仿宋" w:eastAsia="仿宋" w:cs="仿宋"/>
          <w:color w:val="auto"/>
          <w:highlight w:val="none"/>
        </w:rPr>
      </w:pPr>
    </w:p>
    <w:p w14:paraId="4AAFE141">
      <w:pPr>
        <w:rPr>
          <w:rFonts w:hint="eastAsia" w:ascii="仿宋" w:hAnsi="仿宋" w:eastAsia="仿宋" w:cs="仿宋"/>
          <w:color w:val="auto"/>
          <w:highlight w:val="none"/>
        </w:rPr>
      </w:pPr>
    </w:p>
    <w:p w14:paraId="3A614326">
      <w:pPr>
        <w:pStyle w:val="39"/>
        <w:rPr>
          <w:rFonts w:hint="eastAsia" w:ascii="仿宋" w:hAnsi="仿宋" w:eastAsia="仿宋" w:cs="仿宋"/>
          <w:color w:val="auto"/>
          <w:highlight w:val="none"/>
        </w:rPr>
      </w:pPr>
    </w:p>
    <w:p w14:paraId="06719398">
      <w:pPr>
        <w:pStyle w:val="39"/>
        <w:rPr>
          <w:rFonts w:hint="eastAsia" w:ascii="仿宋" w:hAnsi="仿宋" w:eastAsia="仿宋" w:cs="仿宋"/>
          <w:color w:val="auto"/>
          <w:highlight w:val="none"/>
        </w:rPr>
      </w:pPr>
    </w:p>
    <w:p w14:paraId="69916B17">
      <w:pPr>
        <w:pStyle w:val="39"/>
        <w:spacing w:line="240" w:lineRule="auto"/>
        <w:ind w:firstLine="0" w:firstLineChars="0"/>
        <w:rPr>
          <w:rFonts w:hint="eastAsia" w:ascii="仿宋" w:hAnsi="仿宋" w:eastAsia="仿宋" w:cs="仿宋"/>
          <w:color w:val="auto"/>
          <w:highlight w:val="none"/>
        </w:rPr>
      </w:pPr>
    </w:p>
    <w:p w14:paraId="54D3936D">
      <w:pPr>
        <w:pStyle w:val="39"/>
        <w:rPr>
          <w:rFonts w:hint="eastAsia" w:ascii="仿宋" w:hAnsi="仿宋" w:eastAsia="仿宋" w:cs="仿宋"/>
          <w:color w:val="auto"/>
          <w:highlight w:val="none"/>
        </w:rPr>
      </w:pPr>
    </w:p>
    <w:p w14:paraId="67262AAD">
      <w:pPr>
        <w:pStyle w:val="39"/>
        <w:rPr>
          <w:rFonts w:hint="eastAsia" w:ascii="仿宋" w:hAnsi="仿宋" w:eastAsia="仿宋" w:cs="仿宋"/>
          <w:color w:val="auto"/>
          <w:highlight w:val="none"/>
        </w:rPr>
      </w:pPr>
    </w:p>
    <w:p w14:paraId="34C568E5">
      <w:pPr>
        <w:pStyle w:val="39"/>
        <w:rPr>
          <w:rFonts w:hint="eastAsia" w:ascii="仿宋" w:hAnsi="仿宋" w:eastAsia="仿宋" w:cs="仿宋"/>
          <w:color w:val="auto"/>
          <w:highlight w:val="none"/>
        </w:rPr>
      </w:pPr>
    </w:p>
    <w:p w14:paraId="4C4FD3F7">
      <w:pPr>
        <w:pStyle w:val="39"/>
        <w:rPr>
          <w:rFonts w:hint="eastAsia" w:ascii="仿宋" w:hAnsi="仿宋" w:eastAsia="仿宋" w:cs="仿宋"/>
          <w:color w:val="auto"/>
          <w:highlight w:val="none"/>
        </w:rPr>
      </w:pPr>
    </w:p>
    <w:p w14:paraId="039F82FF">
      <w:pPr>
        <w:pStyle w:val="39"/>
        <w:rPr>
          <w:rFonts w:hint="eastAsia" w:ascii="仿宋" w:hAnsi="仿宋" w:eastAsia="仿宋" w:cs="仿宋"/>
          <w:color w:val="auto"/>
          <w:highlight w:val="none"/>
        </w:rPr>
      </w:pPr>
    </w:p>
    <w:p w14:paraId="26AE245C">
      <w:pPr>
        <w:pStyle w:val="39"/>
        <w:rPr>
          <w:rFonts w:hint="eastAsia" w:ascii="仿宋" w:hAnsi="仿宋" w:eastAsia="仿宋" w:cs="仿宋"/>
          <w:color w:val="auto"/>
          <w:highlight w:val="none"/>
        </w:rPr>
      </w:pPr>
    </w:p>
    <w:p w14:paraId="1F2D9BAA">
      <w:pPr>
        <w:pStyle w:val="39"/>
        <w:rPr>
          <w:rFonts w:hint="eastAsia" w:ascii="仿宋" w:hAnsi="仿宋" w:eastAsia="仿宋" w:cs="仿宋"/>
          <w:color w:val="auto"/>
          <w:highlight w:val="none"/>
        </w:rPr>
      </w:pP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52"/>
        <w:gridCol w:w="6476"/>
      </w:tblGrid>
      <w:tr w14:paraId="67DC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52" w:type="dxa"/>
            <w:noWrap w:val="0"/>
            <w:vAlign w:val="top"/>
          </w:tcPr>
          <w:p w14:paraId="2F5FB8A2">
            <w:pPr>
              <w:pStyle w:val="39"/>
              <w:keepNext w:val="0"/>
              <w:keepLines w:val="0"/>
              <w:suppressLineNumbers w:val="0"/>
              <w:spacing w:before="0" w:beforeAutospacing="0" w:after="0" w:afterAutospacing="0"/>
              <w:ind w:left="0" w:leftChars="0" w:right="0" w:firstLine="0" w:firstLineChars="0"/>
              <w:jc w:val="distribute"/>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采购代理机构：</w:t>
            </w:r>
          </w:p>
        </w:tc>
        <w:tc>
          <w:tcPr>
            <w:tcW w:w="6476" w:type="dxa"/>
            <w:noWrap w:val="0"/>
            <w:vAlign w:val="top"/>
          </w:tcPr>
          <w:p w14:paraId="47E89AF8">
            <w:pPr>
              <w:pStyle w:val="39"/>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新疆金正建设工程管理有限公司</w:t>
            </w:r>
          </w:p>
        </w:tc>
      </w:tr>
      <w:tr w14:paraId="0E22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52" w:type="dxa"/>
            <w:noWrap w:val="0"/>
            <w:vAlign w:val="top"/>
          </w:tcPr>
          <w:p w14:paraId="0ECBA8FB">
            <w:pPr>
              <w:pStyle w:val="39"/>
              <w:keepNext w:val="0"/>
              <w:keepLines w:val="0"/>
              <w:suppressLineNumbers w:val="0"/>
              <w:spacing w:before="0" w:beforeAutospacing="0" w:after="0" w:afterAutospacing="0"/>
              <w:ind w:left="0" w:leftChars="0" w:right="0" w:firstLine="0" w:firstLineChars="0"/>
              <w:jc w:val="distribute"/>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发出日期：</w:t>
            </w:r>
          </w:p>
        </w:tc>
        <w:tc>
          <w:tcPr>
            <w:tcW w:w="6476" w:type="dxa"/>
            <w:noWrap w:val="0"/>
            <w:vAlign w:val="top"/>
          </w:tcPr>
          <w:p w14:paraId="33679482">
            <w:pPr>
              <w:keepNext w:val="0"/>
              <w:keepLines w:val="0"/>
              <w:suppressLineNumbers w:val="0"/>
              <w:bidi w:val="0"/>
              <w:spacing w:before="0" w:beforeAutospacing="0" w:after="0" w:afterAutospacing="0"/>
              <w:ind w:left="0" w:right="0"/>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二〇二六年五月</w:t>
            </w:r>
          </w:p>
        </w:tc>
      </w:tr>
    </w:tbl>
    <w:p w14:paraId="7C696E3E">
      <w:pPr>
        <w:pStyle w:val="2"/>
        <w:bidi w:val="0"/>
        <w:rPr>
          <w:rFonts w:hint="eastAsia" w:ascii="仿宋" w:hAnsi="仿宋" w:eastAsia="仿宋" w:cs="仿宋"/>
          <w:color w:val="auto"/>
          <w:highlight w:val="none"/>
        </w:rPr>
      </w:pPr>
      <w:bookmarkStart w:id="398" w:name="_Toc219175634"/>
      <w:bookmarkStart w:id="399" w:name="_Toc218935350"/>
      <w:bookmarkStart w:id="400" w:name="_Toc515647829"/>
      <w:bookmarkStart w:id="401" w:name="_Toc28765"/>
      <w:bookmarkStart w:id="402" w:name="_Toc507399902"/>
      <w:bookmarkStart w:id="403" w:name="_Toc216582822"/>
      <w:bookmarkStart w:id="404" w:name="_Toc16370"/>
      <w:r>
        <w:rPr>
          <w:rFonts w:hint="eastAsia" w:ascii="仿宋" w:hAnsi="仿宋" w:eastAsia="仿宋" w:cs="仿宋"/>
          <w:color w:val="auto"/>
          <w:highlight w:val="none"/>
          <w:lang w:eastAsia="zh-CN"/>
        </w:rPr>
        <w:br w:type="page"/>
      </w:r>
      <w:bookmarkStart w:id="405" w:name="_Toc6368"/>
      <w:r>
        <w:rPr>
          <w:rStyle w:val="49"/>
          <w:rFonts w:hint="eastAsia" w:ascii="仿宋" w:hAnsi="仿宋" w:eastAsia="仿宋" w:cs="仿宋"/>
          <w:b/>
          <w:bCs/>
          <w:sz w:val="32"/>
          <w:szCs w:val="32"/>
          <w:lang w:eastAsia="zh-CN"/>
        </w:rPr>
        <w:t>第</w:t>
      </w:r>
      <w:r>
        <w:rPr>
          <w:rStyle w:val="49"/>
          <w:rFonts w:hint="eastAsia" w:ascii="仿宋" w:hAnsi="仿宋" w:eastAsia="仿宋" w:cs="仿宋"/>
          <w:b/>
          <w:bCs/>
          <w:sz w:val="32"/>
          <w:szCs w:val="32"/>
          <w:lang w:val="en-US" w:eastAsia="zh-CN"/>
        </w:rPr>
        <w:t xml:space="preserve">3章  </w:t>
      </w:r>
      <w:r>
        <w:rPr>
          <w:rStyle w:val="49"/>
          <w:rFonts w:hint="eastAsia" w:ascii="仿宋" w:hAnsi="仿宋" w:eastAsia="仿宋" w:cs="仿宋"/>
          <w:b/>
          <w:bCs/>
          <w:sz w:val="32"/>
          <w:szCs w:val="32"/>
        </w:rPr>
        <w:t>投标邀请</w:t>
      </w:r>
      <w:bookmarkEnd w:id="398"/>
      <w:bookmarkEnd w:id="399"/>
      <w:bookmarkEnd w:id="400"/>
      <w:bookmarkEnd w:id="401"/>
      <w:bookmarkEnd w:id="402"/>
      <w:bookmarkEnd w:id="403"/>
      <w:bookmarkEnd w:id="404"/>
      <w:bookmarkEnd w:id="405"/>
    </w:p>
    <w:p w14:paraId="2D2E72C9">
      <w:pPr>
        <w:rPr>
          <w:rFonts w:hint="eastAsia" w:ascii="仿宋" w:hAnsi="仿宋" w:eastAsia="仿宋" w:cs="仿宋"/>
          <w:color w:val="auto"/>
          <w:highlight w:val="none"/>
        </w:rPr>
      </w:pPr>
    </w:p>
    <w:p w14:paraId="7153BC78">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 xml:space="preserve">    </w:t>
      </w:r>
      <w:bookmarkStart w:id="406" w:name="_Toc35393789"/>
      <w:bookmarkStart w:id="407" w:name="_Toc28359001"/>
      <w:bookmarkStart w:id="408" w:name="_Toc17543"/>
      <w:bookmarkStart w:id="409" w:name="_Toc17430"/>
      <w:r>
        <w:rPr>
          <w:rFonts w:hint="eastAsia" w:ascii="仿宋" w:hAnsi="仿宋" w:eastAsia="仿宋" w:cs="仿宋"/>
          <w:color w:val="auto"/>
          <w:highlight w:val="none"/>
          <w:lang w:eastAsia="zh-CN"/>
        </w:rPr>
        <w:t>莎车县乡村振兴建设（安全优质饮水工程）项目</w:t>
      </w:r>
      <w:r>
        <w:rPr>
          <w:rFonts w:hint="eastAsia" w:ascii="仿宋" w:hAnsi="仿宋" w:eastAsia="仿宋" w:cs="仿宋"/>
          <w:color w:val="auto"/>
          <w:highlight w:val="none"/>
        </w:rPr>
        <w:t>招标公告</w:t>
      </w:r>
      <w:bookmarkEnd w:id="406"/>
      <w:bookmarkEnd w:id="407"/>
      <w:bookmarkEnd w:id="408"/>
      <w:bookmarkEnd w:id="409"/>
    </w:p>
    <w:p w14:paraId="479A123E">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05AC454A">
      <w:pPr>
        <w:pBdr>
          <w:top w:val="single" w:color="auto" w:sz="4" w:space="1"/>
          <w:left w:val="single" w:color="auto" w:sz="4" w:space="4"/>
          <w:bottom w:val="single" w:color="auto" w:sz="4" w:space="1"/>
          <w:right w:val="single" w:color="auto" w:sz="4" w:space="4"/>
        </w:pBdr>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莎车县乡村振兴建设（安全优质饮水工程）项目</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招标项目的潜在投标人应在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政采云平台</w:t>
      </w:r>
      <w:r>
        <w:rPr>
          <w:rFonts w:hint="eastAsia" w:ascii="仿宋" w:hAnsi="仿宋" w:eastAsia="仿宋" w:cs="仿宋"/>
          <w:color w:val="auto"/>
          <w:sz w:val="24"/>
          <w:szCs w:val="24"/>
          <w:highlight w:val="none"/>
          <w:u w:val="single"/>
          <w:lang w:val="en-US" w:eastAsia="zh-CN"/>
        </w:rPr>
        <w:t xml:space="preserve">线上下载 </w:t>
      </w:r>
      <w:r>
        <w:rPr>
          <w:rFonts w:hint="eastAsia" w:ascii="仿宋" w:hAnsi="仿宋" w:eastAsia="仿宋" w:cs="仿宋"/>
          <w:color w:val="auto"/>
          <w:sz w:val="24"/>
          <w:szCs w:val="24"/>
          <w:highlight w:val="none"/>
          <w:lang w:eastAsia="zh-CN"/>
        </w:rPr>
        <w:t>（供应商登录政采云平台http://www.zcygov.cn/在线申请获取采购文件（登录政府采购云平台 → 项目采购 → 获取采购文件 → 申请，如有操作性问题，可与政采云在线客服进行咨询，咨询电话：95763）</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获取招标文件，并于</w:t>
      </w:r>
      <w:r>
        <w:rPr>
          <w:rFonts w:hint="eastAsia" w:ascii="仿宋" w:hAnsi="仿宋" w:eastAsia="仿宋" w:cs="仿宋"/>
          <w:bCs/>
          <w:color w:val="auto"/>
          <w:sz w:val="24"/>
          <w:szCs w:val="24"/>
          <w:highlight w:val="none"/>
          <w:u w:val="single"/>
          <w:lang w:val="en-US" w:eastAsia="zh-CN"/>
        </w:rPr>
        <w:t>2026年6月16日11点00分</w:t>
      </w:r>
      <w:r>
        <w:rPr>
          <w:rFonts w:hint="eastAsia" w:ascii="仿宋" w:hAnsi="仿宋" w:eastAsia="仿宋" w:cs="仿宋"/>
          <w:color w:val="auto"/>
          <w:sz w:val="24"/>
          <w:szCs w:val="24"/>
          <w:highlight w:val="none"/>
          <w:u w:val="single"/>
          <w:shd w:val="clear" w:color="auto" w:fill="auto"/>
          <w:lang w:val="en-US" w:eastAsia="zh-CN"/>
        </w:rPr>
        <w:t>（北京时间）</w:t>
      </w:r>
      <w:r>
        <w:rPr>
          <w:rFonts w:hint="eastAsia" w:ascii="仿宋" w:hAnsi="仿宋" w:eastAsia="仿宋" w:cs="仿宋"/>
          <w:bCs/>
          <w:color w:val="auto"/>
          <w:sz w:val="24"/>
          <w:szCs w:val="24"/>
          <w:highlight w:val="none"/>
        </w:rPr>
        <w:t>前递交投标文件</w:t>
      </w:r>
      <w:r>
        <w:rPr>
          <w:rFonts w:hint="eastAsia" w:ascii="仿宋" w:hAnsi="仿宋" w:eastAsia="仿宋" w:cs="仿宋"/>
          <w:color w:val="auto"/>
          <w:sz w:val="24"/>
          <w:szCs w:val="24"/>
          <w:highlight w:val="none"/>
        </w:rPr>
        <w:t>。</w:t>
      </w:r>
    </w:p>
    <w:p w14:paraId="6AC57ACC">
      <w:pPr>
        <w:rPr>
          <w:rFonts w:hint="eastAsia" w:ascii="仿宋" w:hAnsi="仿宋" w:eastAsia="仿宋" w:cs="仿宋"/>
          <w:color w:val="auto"/>
          <w:sz w:val="24"/>
          <w:szCs w:val="24"/>
          <w:highlight w:val="none"/>
        </w:rPr>
      </w:pPr>
    </w:p>
    <w:p w14:paraId="2432CA2E">
      <w:pPr>
        <w:pStyle w:val="3"/>
        <w:spacing w:line="360" w:lineRule="auto"/>
        <w:jc w:val="left"/>
        <w:rPr>
          <w:rFonts w:hint="eastAsia" w:ascii="仿宋" w:hAnsi="仿宋" w:eastAsia="仿宋" w:cs="仿宋"/>
          <w:b w:val="0"/>
          <w:color w:val="auto"/>
          <w:sz w:val="24"/>
          <w:szCs w:val="24"/>
          <w:highlight w:val="none"/>
        </w:rPr>
      </w:pPr>
      <w:bookmarkStart w:id="410" w:name="_Toc4242"/>
      <w:bookmarkStart w:id="411" w:name="_Toc35393621"/>
      <w:bookmarkStart w:id="412" w:name="_Toc35393790"/>
      <w:bookmarkStart w:id="413" w:name="_Toc19710"/>
      <w:bookmarkStart w:id="414" w:name="_Toc28359079"/>
      <w:bookmarkStart w:id="415" w:name="_Toc28359002"/>
      <w:bookmarkStart w:id="416" w:name="_Hlk24379207"/>
      <w:r>
        <w:rPr>
          <w:rFonts w:hint="eastAsia" w:ascii="仿宋" w:hAnsi="仿宋" w:eastAsia="仿宋" w:cs="仿宋"/>
          <w:b w:val="0"/>
          <w:color w:val="auto"/>
          <w:sz w:val="24"/>
          <w:szCs w:val="24"/>
          <w:highlight w:val="none"/>
        </w:rPr>
        <w:t>一、项目基本情况</w:t>
      </w:r>
      <w:bookmarkEnd w:id="410"/>
      <w:bookmarkEnd w:id="411"/>
      <w:bookmarkEnd w:id="412"/>
      <w:bookmarkEnd w:id="413"/>
      <w:bookmarkEnd w:id="414"/>
      <w:bookmarkEnd w:id="415"/>
    </w:p>
    <w:p w14:paraId="26FE22F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金喀政采字【2026】XJJZKC-001</w:t>
      </w:r>
    </w:p>
    <w:p w14:paraId="0A30D1EC">
      <w:pPr>
        <w:spacing w:line="480" w:lineRule="auto"/>
        <w:ind w:firstLine="480" w:firstLineChars="200"/>
        <w:rPr>
          <w:rFonts w:hint="eastAsia" w:ascii="仿宋" w:hAnsi="仿宋" w:eastAsia="仿宋" w:cs="Times New Roman"/>
          <w:kern w:val="2"/>
          <w:sz w:val="24"/>
          <w:szCs w:val="24"/>
          <w:highlight w:val="none"/>
          <w:u w:val="none"/>
          <w:lang w:val="en-US" w:eastAsia="zh-CN" w:bidi="ar-SA"/>
        </w:rPr>
      </w:pPr>
      <w:r>
        <w:rPr>
          <w:rFonts w:hint="eastAsia" w:ascii="仿宋" w:hAnsi="仿宋" w:eastAsia="仿宋" w:cs="仿宋"/>
          <w:color w:val="auto"/>
          <w:sz w:val="24"/>
          <w:szCs w:val="24"/>
          <w:highlight w:val="none"/>
        </w:rPr>
        <w:t>项目名称：</w:t>
      </w:r>
      <w:bookmarkEnd w:id="416"/>
      <w:bookmarkStart w:id="417" w:name="_Toc35393622"/>
      <w:bookmarkStart w:id="418" w:name="_Toc35393791"/>
      <w:bookmarkStart w:id="419" w:name="_Toc11609"/>
      <w:bookmarkStart w:id="420" w:name="_Toc28359003"/>
      <w:bookmarkStart w:id="421" w:name="_Toc28359080"/>
      <w:r>
        <w:rPr>
          <w:rFonts w:hint="eastAsia" w:ascii="仿宋" w:hAnsi="仿宋" w:eastAsia="仿宋" w:cs="Times New Roman"/>
          <w:kern w:val="2"/>
          <w:sz w:val="24"/>
          <w:szCs w:val="24"/>
          <w:highlight w:val="none"/>
          <w:u w:val="none"/>
          <w:lang w:val="en-US" w:eastAsia="zh-CN" w:bidi="ar-SA"/>
        </w:rPr>
        <w:t>莎车县乡村振兴建设（安全优质饮水工程）项目</w:t>
      </w:r>
    </w:p>
    <w:p w14:paraId="790C2D64">
      <w:pPr>
        <w:spacing w:line="48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预算金额：747万元</w:t>
      </w:r>
    </w:p>
    <w:p w14:paraId="7D99D1A5">
      <w:pPr>
        <w:pStyle w:val="39"/>
        <w:spacing w:line="480" w:lineRule="auto"/>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none"/>
        </w:rPr>
        <w:t>最高限价：747万元</w:t>
      </w:r>
    </w:p>
    <w:p w14:paraId="5039B7D7">
      <w:pPr>
        <w:keepNext w:val="0"/>
        <w:keepLines w:val="0"/>
        <w:widowControl/>
        <w:suppressLineNumbers w:val="0"/>
        <w:spacing w:before="75" w:beforeAutospacing="0" w:after="75" w:afterAutospacing="0" w:line="360" w:lineRule="auto"/>
        <w:ind w:left="479" w:leftChars="228" w:right="0" w:firstLine="0" w:firstLineChars="0"/>
        <w:rPr>
          <w:rFonts w:hint="eastAsia" w:eastAsia="仿宋"/>
          <w:lang w:val="en-US" w:eastAsia="zh-CN"/>
        </w:rPr>
      </w:pPr>
      <w:r>
        <w:rPr>
          <w:rFonts w:hint="eastAsia" w:ascii="仿宋" w:hAnsi="仿宋" w:eastAsia="仿宋" w:cs="仿宋"/>
          <w:color w:val="auto"/>
          <w:sz w:val="24"/>
          <w:szCs w:val="24"/>
          <w:highlight w:val="none"/>
        </w:rPr>
        <w:t>采购需求：对部分街道、社区、乡镇等 83 个点位进行水电改造，并租赁 83 台净水设备。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具体详见招标文件</w:t>
      </w:r>
      <w:r>
        <w:rPr>
          <w:rFonts w:hint="eastAsia" w:ascii="仿宋" w:hAnsi="仿宋" w:eastAsia="仿宋" w:cs="仿宋"/>
          <w:color w:val="auto"/>
          <w:sz w:val="24"/>
          <w:szCs w:val="24"/>
          <w:highlight w:val="none"/>
          <w:lang w:eastAsia="zh-CN"/>
        </w:rPr>
        <w:t>）</w:t>
      </w:r>
    </w:p>
    <w:p w14:paraId="3BB67184">
      <w:pPr>
        <w:pStyle w:val="9"/>
        <w:ind w:left="0" w:leftChars="0" w:firstLine="0" w:firstLineChars="0"/>
        <w:rPr>
          <w:rFonts w:hint="default"/>
          <w:color w:val="auto"/>
          <w:highlight w:val="none"/>
          <w:lang w:val="en-US" w:eastAsia="zh-CN"/>
        </w:rPr>
      </w:pPr>
      <w:r>
        <w:rPr>
          <w:rFonts w:hint="eastAsia" w:ascii="仿宋" w:hAnsi="仿宋" w:eastAsia="仿宋" w:cs="仿宋"/>
          <w:color w:val="auto"/>
          <w:sz w:val="24"/>
          <w:szCs w:val="24"/>
          <w:highlight w:val="none"/>
          <w:lang w:val="en-US" w:eastAsia="zh-CN"/>
        </w:rPr>
        <w:t xml:space="preserve">        </w:t>
      </w:r>
    </w:p>
    <w:p w14:paraId="0E4716FA">
      <w:pPr>
        <w:spacing w:line="480" w:lineRule="auto"/>
        <w:ind w:left="479" w:leftChars="228"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eastAsia="zh-CN"/>
        </w:rPr>
        <w:t>：签订合同之日起60天内完成供货、安装、调试、验收（具体以实际签订为准）及后期售后服务。</w:t>
      </w:r>
      <w:r>
        <w:rPr>
          <w:rFonts w:hint="eastAsia" w:ascii="仿宋" w:hAnsi="仿宋" w:eastAsia="仿宋" w:cs="仿宋"/>
          <w:color w:val="auto"/>
          <w:sz w:val="24"/>
          <w:szCs w:val="24"/>
          <w:highlight w:val="none"/>
          <w:lang w:eastAsia="zh-CN"/>
        </w:rPr>
        <w:br w:type="textWrapping"/>
      </w:r>
      <w:r>
        <w:rPr>
          <w:rFonts w:hint="eastAsia" w:ascii="仿宋" w:hAnsi="仿宋" w:eastAsia="仿宋" w:cs="仿宋"/>
          <w:color w:val="FFFF00"/>
          <w:sz w:val="24"/>
          <w:szCs w:val="24"/>
          <w:highlight w:val="none"/>
          <w:lang w:eastAsia="zh-CN"/>
        </w:rPr>
        <w:br w:type="textWrapping"/>
      </w: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eastAsia="zh-CN"/>
        </w:rPr>
        <w:t>不</w:t>
      </w:r>
      <w:r>
        <w:rPr>
          <w:rFonts w:hint="eastAsia" w:ascii="仿宋" w:hAnsi="仿宋" w:eastAsia="仿宋" w:cs="仿宋"/>
          <w:color w:val="auto"/>
          <w:sz w:val="24"/>
          <w:szCs w:val="24"/>
          <w:highlight w:val="none"/>
        </w:rPr>
        <w:t>接受联合体投标。</w:t>
      </w:r>
    </w:p>
    <w:p w14:paraId="08A2C862">
      <w:pPr>
        <w:pStyle w:val="3"/>
        <w:spacing w:line="360" w:lineRule="auto"/>
        <w:jc w:val="left"/>
        <w:rPr>
          <w:rFonts w:hint="eastAsia" w:ascii="仿宋" w:hAnsi="仿宋" w:eastAsia="仿宋" w:cs="仿宋"/>
          <w:b w:val="0"/>
          <w:color w:val="auto"/>
          <w:sz w:val="24"/>
          <w:szCs w:val="24"/>
          <w:highlight w:val="none"/>
          <w:lang w:val="en-US" w:eastAsia="zh-CN"/>
        </w:rPr>
      </w:pPr>
      <w:bookmarkStart w:id="422" w:name="_Toc17204"/>
      <w:r>
        <w:rPr>
          <w:rFonts w:hint="eastAsia" w:ascii="仿宋" w:hAnsi="仿宋" w:eastAsia="仿宋" w:cs="仿宋"/>
          <w:b w:val="0"/>
          <w:color w:val="auto"/>
          <w:sz w:val="24"/>
          <w:szCs w:val="24"/>
          <w:highlight w:val="none"/>
        </w:rPr>
        <w:t>二、申请人的资格要求：</w:t>
      </w:r>
      <w:bookmarkEnd w:id="417"/>
      <w:bookmarkEnd w:id="418"/>
      <w:bookmarkEnd w:id="419"/>
      <w:bookmarkEnd w:id="420"/>
      <w:bookmarkEnd w:id="421"/>
      <w:bookmarkEnd w:id="422"/>
      <w:r>
        <w:rPr>
          <w:rFonts w:hint="eastAsia" w:ascii="仿宋" w:hAnsi="仿宋" w:eastAsia="仿宋" w:cs="仿宋"/>
          <w:b w:val="0"/>
          <w:color w:val="auto"/>
          <w:sz w:val="24"/>
          <w:szCs w:val="24"/>
          <w:highlight w:val="none"/>
          <w:lang w:val="en-US" w:eastAsia="zh-CN"/>
        </w:rPr>
        <w:t xml:space="preserve"> </w:t>
      </w:r>
    </w:p>
    <w:p w14:paraId="6C24A44B">
      <w:pPr>
        <w:spacing w:line="360" w:lineRule="auto"/>
        <w:ind w:firstLine="480" w:firstLineChars="200"/>
        <w:rPr>
          <w:rFonts w:hint="eastAsia" w:ascii="仿宋" w:hAnsi="仿宋" w:eastAsia="仿宋" w:cs="仿宋"/>
          <w:color w:val="auto"/>
          <w:sz w:val="24"/>
          <w:szCs w:val="24"/>
          <w:highlight w:val="none"/>
        </w:rPr>
      </w:pPr>
      <w:bookmarkStart w:id="423" w:name="_Toc28359004"/>
      <w:bookmarkStart w:id="424" w:name="_Toc35393623"/>
      <w:bookmarkStart w:id="425" w:name="_Toc35393792"/>
      <w:bookmarkStart w:id="426" w:name="_Toc28359081"/>
      <w:r>
        <w:rPr>
          <w:rFonts w:hint="eastAsia" w:ascii="仿宋" w:hAnsi="仿宋" w:eastAsia="仿宋" w:cs="仿宋"/>
          <w:color w:val="auto"/>
          <w:sz w:val="24"/>
          <w:szCs w:val="24"/>
          <w:highlight w:val="none"/>
        </w:rPr>
        <w:t>1.满足《中华人民共和国政府采购法》第二十二条规定，</w:t>
      </w:r>
      <w:r>
        <w:rPr>
          <w:rFonts w:hint="eastAsia" w:ascii="仿宋" w:hAnsi="仿宋" w:eastAsia="仿宋" w:cs="仿宋"/>
          <w:color w:val="auto"/>
          <w:sz w:val="24"/>
          <w:szCs w:val="24"/>
          <w:highlight w:val="none"/>
          <w:lang w:eastAsia="zh-CN"/>
        </w:rPr>
        <w:t>凡拟参加本次招标项目的供应商，如在“信用中国”网站（https://www.creditchina.gov.cn/）被列入失信被执行人、重大税收违法失信主体名单、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w:t>
      </w:r>
    </w:p>
    <w:p w14:paraId="3878D7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w:t>
      </w:r>
    </w:p>
    <w:p w14:paraId="45F2F7C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（1）采购政策  </w:t>
      </w:r>
    </w:p>
    <w:p w14:paraId="6DA3CDB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政府采购应当优先采购本国货物、工程和服务，并执行节能产品、环境标志产品、中小企业、残疾人福利性单位、监狱企业、商品外包装等适宜本项目的政府采购政策。  </w:t>
      </w:r>
    </w:p>
    <w:p w14:paraId="4446172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（2）政策依据  </w:t>
      </w:r>
    </w:p>
    <w:p w14:paraId="151670E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1）财政部、中华人民共和国国家发展和改革委员会、生态环境部、中华人民共和国国家市场监督管理总局《关于调整优化节能产品、环境标志产品政府采购执行机制的通知》（财库[2019]9号文）；  </w:t>
      </w:r>
    </w:p>
    <w:p w14:paraId="36F1ED7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2）财政部、生态环境部《关于印发环境标志产品政府采购品目清单的通知》（财库</w:t>
      </w:r>
      <w:r>
        <w:rPr>
          <w:rFonts w:hint="eastAsia" w:ascii="仿宋" w:hAnsi="仿宋" w:eastAsia="仿宋" w:cs="仿宋"/>
          <w:color w:val="auto"/>
          <w:sz w:val="24"/>
          <w:szCs w:val="24"/>
          <w:highlight w:val="none"/>
          <w:lang w:eastAsia="zh-CN"/>
        </w:rPr>
        <w:t>〔2019〕18号</w:t>
      </w:r>
      <w:r>
        <w:rPr>
          <w:rFonts w:hint="eastAsia" w:ascii="仿宋" w:hAnsi="仿宋" w:eastAsia="仿宋" w:cs="仿宋"/>
          <w:color w:val="auto"/>
          <w:sz w:val="24"/>
          <w:szCs w:val="24"/>
          <w:highlight w:val="none"/>
        </w:rPr>
        <w:t xml:space="preserve">文）；  </w:t>
      </w:r>
    </w:p>
    <w:p w14:paraId="0B26357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3）财政部、发展改革委《关于印发节能产品政府采购品目清单的通知》（财库</w:t>
      </w:r>
      <w:r>
        <w:rPr>
          <w:rFonts w:hint="eastAsia" w:ascii="仿宋" w:hAnsi="仿宋" w:eastAsia="仿宋" w:cs="仿宋"/>
          <w:color w:val="auto"/>
          <w:sz w:val="24"/>
          <w:szCs w:val="24"/>
          <w:highlight w:val="none"/>
          <w:lang w:eastAsia="zh-CN"/>
        </w:rPr>
        <w:t>〔2019〕19号</w:t>
      </w:r>
      <w:r>
        <w:rPr>
          <w:rFonts w:hint="eastAsia" w:ascii="仿宋" w:hAnsi="仿宋" w:eastAsia="仿宋" w:cs="仿宋"/>
          <w:color w:val="auto"/>
          <w:sz w:val="24"/>
          <w:szCs w:val="24"/>
          <w:highlight w:val="none"/>
        </w:rPr>
        <w:t xml:space="preserve">文）； </w:t>
      </w:r>
    </w:p>
    <w:p w14:paraId="0F37529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4）市场监管总局《市场监管总局关于发布参与实施政府采购节能产品、环境标志产品认证机构名录的公告》（2019年第16号）；  </w:t>
      </w:r>
    </w:p>
    <w:p w14:paraId="5ED095D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5）财政部、工业和信息化部《关于印发《政府采购促进中小企业发展管理办法》的通知》（财库</w:t>
      </w:r>
      <w:r>
        <w:rPr>
          <w:rFonts w:hint="eastAsia" w:ascii="仿宋" w:hAnsi="仿宋" w:eastAsia="仿宋" w:cs="仿宋"/>
          <w:color w:val="auto"/>
          <w:sz w:val="24"/>
          <w:szCs w:val="24"/>
          <w:highlight w:val="none"/>
          <w:lang w:eastAsia="zh-CN"/>
        </w:rPr>
        <w:t>〔2020〕46号</w:t>
      </w:r>
      <w:r>
        <w:rPr>
          <w:rFonts w:hint="eastAsia" w:ascii="仿宋" w:hAnsi="仿宋" w:eastAsia="仿宋" w:cs="仿宋"/>
          <w:color w:val="auto"/>
          <w:sz w:val="24"/>
          <w:szCs w:val="24"/>
          <w:highlight w:val="none"/>
        </w:rPr>
        <w:t>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关于进一步加大政府采购支持中小企业力度的通知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财库〔2022〕19号文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14:paraId="328B9E9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6）财政部、民政部、中国残疾人联合会《关于促进残疾人就业政府采购政策的通知》（财库</w:t>
      </w:r>
      <w:r>
        <w:rPr>
          <w:rFonts w:hint="eastAsia" w:ascii="仿宋" w:hAnsi="仿宋" w:eastAsia="仿宋" w:cs="仿宋"/>
          <w:color w:val="auto"/>
          <w:sz w:val="24"/>
          <w:szCs w:val="24"/>
          <w:highlight w:val="none"/>
          <w:lang w:eastAsia="zh-CN"/>
        </w:rPr>
        <w:t>〔2017〕141号</w:t>
      </w:r>
      <w:r>
        <w:rPr>
          <w:rFonts w:hint="eastAsia" w:ascii="仿宋" w:hAnsi="仿宋" w:eastAsia="仿宋" w:cs="仿宋"/>
          <w:color w:val="auto"/>
          <w:sz w:val="24"/>
          <w:szCs w:val="24"/>
          <w:highlight w:val="none"/>
        </w:rPr>
        <w:t xml:space="preserve">）；  </w:t>
      </w:r>
    </w:p>
    <w:p w14:paraId="7CA6F53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7）财政部、司法部《关于政府采购支持监狱企业发展有关问题的通知》（财库</w:t>
      </w:r>
      <w:r>
        <w:rPr>
          <w:rFonts w:hint="eastAsia" w:ascii="仿宋" w:hAnsi="仿宋" w:eastAsia="仿宋" w:cs="仿宋"/>
          <w:color w:val="auto"/>
          <w:sz w:val="24"/>
          <w:szCs w:val="24"/>
          <w:highlight w:val="none"/>
          <w:lang w:eastAsia="zh-CN"/>
        </w:rPr>
        <w:t>〔2014〕68号</w:t>
      </w:r>
      <w:r>
        <w:rPr>
          <w:rFonts w:hint="eastAsia" w:ascii="仿宋" w:hAnsi="仿宋" w:eastAsia="仿宋" w:cs="仿宋"/>
          <w:color w:val="auto"/>
          <w:sz w:val="24"/>
          <w:szCs w:val="24"/>
          <w:highlight w:val="none"/>
        </w:rPr>
        <w:t xml:space="preserve">文）； </w:t>
      </w:r>
    </w:p>
    <w:p w14:paraId="6A29BBE2">
      <w:pPr>
        <w:numPr>
          <w:ilvl w:val="0"/>
          <w:numId w:val="7"/>
        </w:num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财政部、生态环境部、国家邮政局《关于印发《商品包装政府采购需求标准（试行）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快递包装政府采购需求标准（试行）》的通知》（财办库〔2020〕123号）。</w:t>
      </w:r>
    </w:p>
    <w:p w14:paraId="1DF8EF38">
      <w:pPr>
        <w:keepNext w:val="0"/>
        <w:keepLines w:val="0"/>
        <w:suppressLineNumbers w:val="0"/>
        <w:tabs>
          <w:tab w:val="left" w:pos="5580"/>
        </w:tabs>
        <w:spacing w:before="0" w:beforeAutospacing="0" w:after="0" w:afterAutospacing="0" w:line="360" w:lineRule="auto"/>
        <w:ind w:left="0" w:right="0" w:firstLine="480" w:firstLineChars="200"/>
        <w:rPr>
          <w:rFonts w:hint="eastAsia" w:ascii="仿宋" w:hAnsi="仿宋" w:eastAsia="仿宋" w:cs="仿宋"/>
          <w:sz w:val="24"/>
          <w:szCs w:val="24"/>
          <w:lang w:val="en-US" w:eastAsia="zh-CN"/>
        </w:rPr>
      </w:pPr>
      <w:bookmarkStart w:id="427" w:name="_Toc30008"/>
      <w:r>
        <w:rPr>
          <w:rFonts w:hint="eastAsia" w:ascii="仿宋" w:hAnsi="仿宋" w:eastAsia="仿宋" w:cs="仿宋"/>
          <w:sz w:val="24"/>
          <w:szCs w:val="24"/>
          <w:lang w:val="en-US" w:eastAsia="zh-CN"/>
        </w:rPr>
        <w:t>1.合格有效的营业执照（三证合一）副本（原件、复印件、影印件均可）或电子营业执照打印件（需加盖公章）或同等法律效力的证明文件（发证机关或公证机关出具的证明材料原件）；法人或者非法人组织营业执照等证明文件复印件（须加盖本单位公章）或自然人的身份证明复印件；</w:t>
      </w:r>
    </w:p>
    <w:p w14:paraId="022BEC53">
      <w:pPr>
        <w:keepNext w:val="0"/>
        <w:keepLines w:val="0"/>
        <w:suppressLineNumbers w:val="0"/>
        <w:tabs>
          <w:tab w:val="left" w:pos="5580"/>
        </w:tabs>
        <w:spacing w:before="0" w:beforeAutospacing="0" w:after="0" w:afterAutospacing="0" w:line="360" w:lineRule="auto"/>
        <w:ind w:left="0" w:right="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2.法定代表人身份证明或法定代表人授权委托书及被授权人身份证； </w:t>
      </w:r>
    </w:p>
    <w:p w14:paraId="6452952A">
      <w:pPr>
        <w:keepNext w:val="0"/>
        <w:keepLines w:val="0"/>
        <w:suppressLineNumbers w:val="0"/>
        <w:tabs>
          <w:tab w:val="left" w:pos="5580"/>
        </w:tabs>
        <w:spacing w:before="0" w:beforeAutospacing="0" w:after="0" w:afterAutospacing="0" w:line="360" w:lineRule="auto"/>
        <w:ind w:left="0" w:right="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3.近期（投标截止日期前六个月内任意一个月）依法缴纳社会保障金的缴费证明或银行出具的“银行电子缴纳社会保障金付款凭证”（新成立公司提供相关证明文件） ；</w:t>
      </w:r>
    </w:p>
    <w:p w14:paraId="788D94C9">
      <w:pPr>
        <w:keepNext w:val="0"/>
        <w:keepLines w:val="0"/>
        <w:suppressLineNumbers w:val="0"/>
        <w:tabs>
          <w:tab w:val="left" w:pos="5580"/>
        </w:tabs>
        <w:spacing w:before="0" w:beforeAutospacing="0" w:after="0" w:afterAutospacing="0" w:line="360" w:lineRule="auto"/>
        <w:ind w:left="0" w:right="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近期（投标截止日期前六个月内任意一个月）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p>
    <w:p w14:paraId="5F00203E">
      <w:pPr>
        <w:keepNext w:val="0"/>
        <w:keepLines w:val="0"/>
        <w:suppressLineNumbers w:val="0"/>
        <w:tabs>
          <w:tab w:val="left" w:pos="5580"/>
        </w:tabs>
        <w:spacing w:before="0" w:beforeAutospacing="0" w:after="0" w:afterAutospacing="0" w:line="360" w:lineRule="auto"/>
        <w:ind w:left="0" w:right="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color w:val="auto"/>
          <w:sz w:val="24"/>
          <w:szCs w:val="24"/>
          <w:highlight w:val="none"/>
          <w:lang w:val="en-US" w:eastAsia="zh-CN"/>
        </w:rPr>
        <w:t>提供2025年完整的财务审计报告（成立未满十二个月的新公司可提供近三个月内任意一个月的银行资信证明）；</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sz w:val="24"/>
          <w:szCs w:val="24"/>
          <w:lang w:val="en-US" w:eastAsia="zh-CN"/>
        </w:rPr>
        <w:t>6.凡拟参加本次招标项目的供应商，如在“信用中国”网站（https://www.creditchina.gov.cn/）被列入失信被执行人、重大税收违法失信主体名单、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w:t>
      </w:r>
    </w:p>
    <w:p w14:paraId="68AB3414">
      <w:pPr>
        <w:keepNext w:val="0"/>
        <w:keepLines w:val="0"/>
        <w:suppressLineNumbers w:val="0"/>
        <w:tabs>
          <w:tab w:val="left" w:pos="5580"/>
        </w:tabs>
        <w:spacing w:before="0" w:beforeAutospacing="0" w:after="0" w:afterAutospacing="0" w:line="360" w:lineRule="auto"/>
        <w:ind w:left="0" w:right="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7.提供参加政府采购活动前3年内在经营活动中没有重大违法记录的书面声明；</w:t>
      </w:r>
    </w:p>
    <w:p w14:paraId="1C04FEE8">
      <w:pPr>
        <w:keepNext w:val="0"/>
        <w:keepLines w:val="0"/>
        <w:suppressLineNumbers w:val="0"/>
        <w:tabs>
          <w:tab w:val="left" w:pos="5580"/>
        </w:tabs>
        <w:spacing w:before="0" w:beforeAutospacing="0" w:after="0" w:afterAutospacing="0" w:line="360" w:lineRule="auto"/>
        <w:ind w:left="0" w:right="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8.提供针对本次项目《反商业贿赂承诺书》；</w:t>
      </w:r>
    </w:p>
    <w:p w14:paraId="10846690">
      <w:pPr>
        <w:keepNext w:val="0"/>
        <w:keepLines w:val="0"/>
        <w:suppressLineNumbers w:val="0"/>
        <w:tabs>
          <w:tab w:val="left" w:pos="5580"/>
        </w:tabs>
        <w:spacing w:before="0" w:beforeAutospacing="0" w:after="0" w:afterAutospacing="0" w:line="360" w:lineRule="auto"/>
        <w:ind w:left="0" w:right="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9.必须具有履行合同所必需的设备和专业技术能力；</w:t>
      </w:r>
    </w:p>
    <w:p w14:paraId="24BD4B5A">
      <w:pPr>
        <w:pStyle w:val="9"/>
        <w:rPr>
          <w:rFonts w:hint="eastAsia"/>
          <w:lang w:val="en-US" w:eastAsia="zh-CN"/>
        </w:rPr>
      </w:pPr>
      <w:r>
        <w:rPr>
          <w:rFonts w:hint="eastAsia" w:ascii="仿宋" w:hAnsi="仿宋" w:eastAsia="仿宋" w:cs="仿宋"/>
          <w:sz w:val="24"/>
          <w:szCs w:val="24"/>
          <w:lang w:val="en-US" w:eastAsia="zh-CN"/>
        </w:rPr>
        <w:t>10.本项目不接受联合体投标；</w:t>
      </w:r>
    </w:p>
    <w:p w14:paraId="3C16EBD2">
      <w:pPr>
        <w:pStyle w:val="3"/>
        <w:spacing w:line="360" w:lineRule="auto"/>
        <w:jc w:val="left"/>
        <w:rPr>
          <w:rFonts w:hint="eastAsia" w:ascii="仿宋" w:hAnsi="仿宋" w:eastAsia="仿宋" w:cs="仿宋"/>
          <w:b w:val="0"/>
          <w:color w:val="auto"/>
          <w:sz w:val="24"/>
          <w:szCs w:val="24"/>
          <w:highlight w:val="none"/>
        </w:rPr>
      </w:pPr>
      <w:bookmarkStart w:id="428" w:name="_Toc7100"/>
      <w:r>
        <w:rPr>
          <w:rFonts w:hint="eastAsia" w:ascii="仿宋" w:hAnsi="仿宋" w:eastAsia="仿宋" w:cs="仿宋"/>
          <w:b w:val="0"/>
          <w:color w:val="auto"/>
          <w:sz w:val="24"/>
          <w:szCs w:val="24"/>
          <w:highlight w:val="none"/>
        </w:rPr>
        <w:t>三、获取招标文件</w:t>
      </w:r>
      <w:bookmarkEnd w:id="423"/>
      <w:bookmarkEnd w:id="424"/>
      <w:bookmarkEnd w:id="425"/>
      <w:bookmarkEnd w:id="426"/>
      <w:bookmarkEnd w:id="427"/>
      <w:bookmarkEnd w:id="428"/>
    </w:p>
    <w:p w14:paraId="583279BF">
      <w:pPr>
        <w:spacing w:line="360" w:lineRule="auto"/>
        <w:ind w:firstLine="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shd w:val="clear" w:color="auto" w:fill="auto"/>
          <w:lang w:val="en-US" w:eastAsia="zh-CN"/>
        </w:rPr>
        <w:t>2026年5 月26日至2026年6月8</w:t>
      </w:r>
      <w:bookmarkStart w:id="718" w:name="_GoBack"/>
      <w:bookmarkEnd w:id="718"/>
      <w:r>
        <w:rPr>
          <w:rFonts w:hint="eastAsia" w:ascii="仿宋" w:hAnsi="仿宋" w:eastAsia="仿宋" w:cs="仿宋"/>
          <w:color w:val="auto"/>
          <w:sz w:val="24"/>
          <w:szCs w:val="24"/>
          <w:highlight w:val="none"/>
          <w:u w:val="single"/>
          <w:shd w:val="clear" w:color="auto" w:fill="auto"/>
          <w:lang w:val="en-US" w:eastAsia="zh-CN"/>
        </w:rPr>
        <w:t>日</w:t>
      </w:r>
      <w:r>
        <w:rPr>
          <w:rFonts w:hint="eastAsia" w:ascii="仿宋" w:hAnsi="仿宋" w:eastAsia="仿宋" w:cs="仿宋"/>
          <w:color w:val="auto"/>
          <w:sz w:val="24"/>
          <w:szCs w:val="24"/>
          <w:highlight w:val="none"/>
          <w:shd w:val="clear" w:color="auto" w:fill="auto"/>
        </w:rPr>
        <w:t>，每天</w:t>
      </w:r>
      <w:r>
        <w:rPr>
          <w:rFonts w:hint="eastAsia" w:ascii="仿宋" w:hAnsi="仿宋" w:eastAsia="仿宋" w:cs="仿宋"/>
          <w:color w:val="auto"/>
          <w:sz w:val="24"/>
          <w:szCs w:val="24"/>
          <w:highlight w:val="none"/>
          <w:u w:val="single"/>
          <w:shd w:val="clear" w:color="auto" w:fill="auto"/>
          <w:lang w:val="en-US" w:eastAsia="zh-CN"/>
        </w:rPr>
        <w:t>00:00</w:t>
      </w:r>
      <w:r>
        <w:rPr>
          <w:rFonts w:hint="eastAsia" w:ascii="仿宋" w:hAnsi="仿宋" w:eastAsia="仿宋" w:cs="仿宋"/>
          <w:color w:val="auto"/>
          <w:sz w:val="24"/>
          <w:szCs w:val="24"/>
          <w:highlight w:val="none"/>
          <w:shd w:val="clear" w:color="auto" w:fill="auto"/>
        </w:rPr>
        <w:t>至</w:t>
      </w:r>
      <w:r>
        <w:rPr>
          <w:rFonts w:hint="eastAsia" w:ascii="仿宋" w:hAnsi="仿宋" w:eastAsia="仿宋" w:cs="仿宋"/>
          <w:color w:val="auto"/>
          <w:sz w:val="24"/>
          <w:szCs w:val="24"/>
          <w:highlight w:val="none"/>
          <w:shd w:val="clear" w:color="auto" w:fill="auto"/>
          <w:lang w:val="en-US" w:eastAsia="zh-CN"/>
        </w:rPr>
        <w:t>23</w:t>
      </w:r>
      <w:r>
        <w:rPr>
          <w:rFonts w:hint="eastAsia" w:ascii="仿宋" w:hAnsi="仿宋" w:eastAsia="仿宋" w:cs="仿宋"/>
          <w:color w:val="auto"/>
          <w:sz w:val="24"/>
          <w:szCs w:val="24"/>
          <w:highlight w:val="none"/>
          <w:u w:val="single"/>
          <w:shd w:val="clear" w:color="auto" w:fill="auto"/>
          <w:lang w:val="en-US" w:eastAsia="zh-CN"/>
        </w:rPr>
        <w:t>:59</w:t>
      </w:r>
      <w:r>
        <w:rPr>
          <w:rFonts w:hint="eastAsia" w:ascii="仿宋" w:hAnsi="仿宋" w:eastAsia="仿宋" w:cs="仿宋"/>
          <w:color w:val="auto"/>
          <w:sz w:val="24"/>
          <w:szCs w:val="24"/>
          <w:highlight w:val="none"/>
        </w:rPr>
        <w:t>（北京时间，法定节假日除外）</w:t>
      </w:r>
    </w:p>
    <w:p w14:paraId="28794CC2">
      <w:pPr>
        <w:keepNext w:val="0"/>
        <w:keepLines w:val="0"/>
        <w:pageBreakBefore w:val="0"/>
        <w:widowControl w:val="0"/>
        <w:kinsoku/>
        <w:wordWrap/>
        <w:overflowPunct/>
        <w:topLinePunct w:val="0"/>
        <w:autoSpaceDE/>
        <w:autoSpaceDN/>
        <w:bidi w:val="0"/>
        <w:adjustRightInd/>
        <w:snapToGrid/>
        <w:spacing w:line="360" w:lineRule="auto"/>
        <w:ind w:firstLine="53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地点：政采云平台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http://www.zcygov.cn）</w:t>
      </w:r>
    </w:p>
    <w:p w14:paraId="34416032">
      <w:pPr>
        <w:keepNext w:val="0"/>
        <w:keepLines w:val="0"/>
        <w:pageBreakBefore w:val="0"/>
        <w:widowControl w:val="0"/>
        <w:kinsoku/>
        <w:wordWrap/>
        <w:overflowPunct/>
        <w:topLinePunct w:val="0"/>
        <w:autoSpaceDE/>
        <w:autoSpaceDN/>
        <w:bidi w:val="0"/>
        <w:adjustRightInd/>
        <w:snapToGrid/>
        <w:spacing w:line="360" w:lineRule="auto"/>
        <w:ind w:firstLine="539"/>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color w:val="auto"/>
          <w:kern w:val="0"/>
          <w:sz w:val="24"/>
          <w:szCs w:val="24"/>
          <w:highlight w:val="none"/>
          <w:lang w:val="en-US" w:eastAsia="zh-CN" w:bidi="ar-SA"/>
        </w:rPr>
        <w:t>获取招标文</w:t>
      </w:r>
      <w:r>
        <w:rPr>
          <w:rFonts w:hint="eastAsia" w:ascii="仿宋" w:hAnsi="仿宋" w:eastAsia="仿宋" w:cs="仿宋"/>
          <w:color w:val="auto"/>
          <w:sz w:val="24"/>
          <w:szCs w:val="24"/>
          <w:highlight w:val="none"/>
          <w:lang w:val="en-US" w:eastAsia="zh-CN"/>
        </w:rPr>
        <w:t>件</w:t>
      </w: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val="en-US" w:eastAsia="zh-CN"/>
        </w:rPr>
        <w:t>线上获取</w:t>
      </w:r>
    </w:p>
    <w:p w14:paraId="2C3335B4">
      <w:pPr>
        <w:pStyle w:val="3"/>
        <w:spacing w:line="360" w:lineRule="auto"/>
        <w:jc w:val="left"/>
        <w:rPr>
          <w:rFonts w:hint="eastAsia" w:ascii="仿宋" w:hAnsi="仿宋" w:eastAsia="仿宋" w:cs="仿宋"/>
          <w:b w:val="0"/>
          <w:color w:val="auto"/>
          <w:sz w:val="24"/>
          <w:szCs w:val="24"/>
          <w:highlight w:val="none"/>
        </w:rPr>
      </w:pPr>
      <w:bookmarkStart w:id="429" w:name="_Toc28359082"/>
      <w:bookmarkStart w:id="430" w:name="_Toc28359005"/>
      <w:bookmarkStart w:id="431" w:name="_Toc35393624"/>
      <w:bookmarkStart w:id="432" w:name="_Toc22220"/>
      <w:bookmarkStart w:id="433" w:name="_Toc8247"/>
      <w:bookmarkStart w:id="434" w:name="_Toc35393793"/>
      <w:r>
        <w:rPr>
          <w:rFonts w:hint="eastAsia" w:ascii="仿宋" w:hAnsi="仿宋" w:eastAsia="仿宋" w:cs="仿宋"/>
          <w:b w:val="0"/>
          <w:color w:val="auto"/>
          <w:sz w:val="24"/>
          <w:szCs w:val="24"/>
          <w:highlight w:val="none"/>
        </w:rPr>
        <w:t>四、提交投标文件</w:t>
      </w:r>
      <w:bookmarkEnd w:id="429"/>
      <w:bookmarkEnd w:id="430"/>
      <w:r>
        <w:rPr>
          <w:rFonts w:hint="eastAsia" w:ascii="仿宋" w:hAnsi="仿宋" w:eastAsia="仿宋" w:cs="仿宋"/>
          <w:b w:val="0"/>
          <w:color w:val="auto"/>
          <w:sz w:val="24"/>
          <w:szCs w:val="24"/>
          <w:highlight w:val="none"/>
        </w:rPr>
        <w:t>截止时间、开标时间和地点</w:t>
      </w:r>
      <w:bookmarkEnd w:id="431"/>
      <w:bookmarkEnd w:id="432"/>
      <w:bookmarkEnd w:id="433"/>
      <w:bookmarkEnd w:id="434"/>
    </w:p>
    <w:p w14:paraId="547C6BA7">
      <w:pPr>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lang w:val="en-US" w:eastAsia="zh-CN"/>
        </w:rPr>
        <w:t>开标时间：2026年6月16日11点00分（北京时间）</w:t>
      </w:r>
    </w:p>
    <w:p w14:paraId="77022293">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地  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政采云平台http://www.zcygov.cn/</w:t>
      </w:r>
    </w:p>
    <w:p w14:paraId="7C92F9BA">
      <w:pPr>
        <w:pStyle w:val="3"/>
        <w:spacing w:line="360" w:lineRule="auto"/>
        <w:jc w:val="left"/>
        <w:rPr>
          <w:rFonts w:hint="eastAsia" w:ascii="仿宋" w:hAnsi="仿宋" w:eastAsia="仿宋" w:cs="仿宋"/>
          <w:b w:val="0"/>
          <w:color w:val="auto"/>
          <w:sz w:val="24"/>
          <w:szCs w:val="24"/>
          <w:highlight w:val="none"/>
          <w:lang w:val="en-US" w:eastAsia="zh-CN"/>
        </w:rPr>
      </w:pPr>
      <w:bookmarkStart w:id="435" w:name="_Toc21967"/>
      <w:bookmarkStart w:id="436" w:name="_Toc35393794"/>
      <w:bookmarkStart w:id="437" w:name="_Toc28359084"/>
      <w:bookmarkStart w:id="438" w:name="_Toc35393625"/>
      <w:bookmarkStart w:id="439" w:name="_Toc28359007"/>
      <w:r>
        <w:rPr>
          <w:rFonts w:hint="eastAsia" w:ascii="仿宋" w:hAnsi="仿宋" w:eastAsia="仿宋" w:cs="仿宋"/>
          <w:b w:val="0"/>
          <w:color w:val="auto"/>
          <w:sz w:val="24"/>
          <w:szCs w:val="24"/>
          <w:highlight w:val="none"/>
          <w:lang w:val="en-US" w:eastAsia="zh-CN"/>
        </w:rPr>
        <w:t>五、公告期限</w:t>
      </w:r>
      <w:bookmarkEnd w:id="435"/>
      <w:bookmarkEnd w:id="436"/>
      <w:bookmarkEnd w:id="437"/>
      <w:bookmarkEnd w:id="438"/>
      <w:bookmarkEnd w:id="439"/>
    </w:p>
    <w:p w14:paraId="2D26C10F">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自本公告发布之日起5个工作日。</w:t>
      </w:r>
    </w:p>
    <w:p w14:paraId="2E138490">
      <w:pPr>
        <w:pStyle w:val="3"/>
        <w:numPr>
          <w:ilvl w:val="0"/>
          <w:numId w:val="8"/>
        </w:numPr>
        <w:spacing w:line="360" w:lineRule="auto"/>
        <w:jc w:val="left"/>
        <w:rPr>
          <w:rFonts w:hint="eastAsia" w:ascii="仿宋" w:hAnsi="仿宋" w:eastAsia="仿宋" w:cs="仿宋"/>
          <w:b w:val="0"/>
          <w:color w:val="auto"/>
          <w:sz w:val="24"/>
          <w:szCs w:val="24"/>
          <w:highlight w:val="none"/>
        </w:rPr>
      </w:pPr>
      <w:bookmarkStart w:id="440" w:name="_Toc7953"/>
      <w:bookmarkStart w:id="441" w:name="_Toc35393795"/>
      <w:bookmarkStart w:id="442" w:name="_Toc35393626"/>
      <w:bookmarkStart w:id="443" w:name="_Toc3486"/>
      <w:r>
        <w:rPr>
          <w:rFonts w:hint="eastAsia" w:ascii="仿宋" w:hAnsi="仿宋" w:eastAsia="仿宋" w:cs="仿宋"/>
          <w:b w:val="0"/>
          <w:color w:val="auto"/>
          <w:sz w:val="24"/>
          <w:szCs w:val="24"/>
          <w:highlight w:val="none"/>
        </w:rPr>
        <w:t>其他补充事宜</w:t>
      </w:r>
      <w:bookmarkEnd w:id="440"/>
      <w:bookmarkEnd w:id="441"/>
      <w:bookmarkEnd w:id="442"/>
      <w:bookmarkEnd w:id="443"/>
    </w:p>
    <w:p w14:paraId="55D7F9A1">
      <w:pPr>
        <w:pStyle w:val="3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42E137D0">
      <w:pPr>
        <w:pStyle w:val="3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14:paraId="1DA2E237">
      <w:pPr>
        <w:pStyle w:val="3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p>
    <w:p w14:paraId="63BEF08F">
      <w:pPr>
        <w:pStyle w:val="3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4C65CC2E">
      <w:pPr>
        <w:pStyle w:val="3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5.供应商在开标时须使用制作加密电子投标文件所使用的CA锁及电脑，电脑须提前配置好浏览器（建议使用谷歌浏览器），以便开标时解锁。</w:t>
      </w:r>
    </w:p>
    <w:p w14:paraId="78FD7462">
      <w:pPr>
        <w:pStyle w:val="3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6.投标保证金缴纳及确认时间：凡拟参加本次招标项目的供应商，必须在开标前将投标保证金汇入指定账户。投标保证金汇款凭证上用途栏应注明：招标项目名称+投标保证金。</w:t>
      </w:r>
    </w:p>
    <w:p w14:paraId="0FAE3E69">
      <w:pPr>
        <w:pStyle w:val="3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26AF6664">
      <w:pPr>
        <w:pStyle w:val="3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8.政采云线上获取招标文件方法：供应商登录政采云平台http://www.zcygov.cn/在线申请获取采购文件（登录政府采购云平台 → 项目采购 → 获取采购文件 → 申请，审核通过后可下载招标文件，如有操作性问题，可与政采云在线客服进行咨询，咨询电话：95763）</w:t>
      </w:r>
    </w:p>
    <w:p w14:paraId="7D381099">
      <w:pPr>
        <w:pStyle w:val="39"/>
        <w:ind w:left="0" w:leftChars="0" w:firstLine="480" w:firstLineChars="200"/>
        <w:rPr>
          <w:rFonts w:hint="eastAsia" w:ascii="仿宋" w:hAnsi="仿宋" w:eastAsia="仿宋" w:cs="仿宋"/>
          <w:b w:val="0"/>
          <w:bCs w:val="0"/>
          <w:color w:val="auto"/>
          <w:kern w:val="0"/>
          <w:sz w:val="24"/>
          <w:szCs w:val="24"/>
          <w:highlight w:val="none"/>
          <w:lang w:val="en-US" w:eastAsia="zh-CN"/>
        </w:rPr>
      </w:pPr>
    </w:p>
    <w:p w14:paraId="08FAB55B">
      <w:pPr>
        <w:pStyle w:val="39"/>
        <w:keepNext w:val="0"/>
        <w:keepLines w:val="0"/>
        <w:pageBreakBefore w:val="0"/>
        <w:widowControl w:val="0"/>
        <w:kinsoku/>
        <w:wordWrap/>
        <w:overflowPunct/>
        <w:topLinePunct w:val="0"/>
        <w:autoSpaceDE/>
        <w:autoSpaceDN/>
        <w:bidi w:val="0"/>
        <w:adjustRightInd/>
        <w:snapToGrid/>
        <w:spacing w:line="324" w:lineRule="auto"/>
        <w:ind w:left="0" w:leftChars="0" w:firstLine="482" w:firstLineChars="200"/>
        <w:textAlignment w:val="auto"/>
        <w:rPr>
          <w:rFonts w:hint="eastAsia" w:ascii="仿宋" w:hAnsi="仿宋" w:eastAsia="仿宋" w:cs="仿宋"/>
          <w:b/>
          <w:bCs/>
          <w:color w:val="auto"/>
          <w:kern w:val="0"/>
          <w:sz w:val="24"/>
          <w:szCs w:val="24"/>
          <w:highlight w:val="none"/>
          <w:lang w:val="en-US" w:eastAsia="zh-CN"/>
        </w:rPr>
      </w:pPr>
      <w:bookmarkStart w:id="444" w:name="_Toc28359008"/>
      <w:bookmarkStart w:id="445" w:name="_Toc35393627"/>
      <w:bookmarkStart w:id="446" w:name="_Toc35393796"/>
      <w:bookmarkStart w:id="447" w:name="_Toc28359085"/>
      <w:bookmarkStart w:id="448" w:name="_Toc19443"/>
    </w:p>
    <w:p w14:paraId="264259F1">
      <w:pPr>
        <w:pStyle w:val="39"/>
        <w:keepNext w:val="0"/>
        <w:keepLines w:val="0"/>
        <w:pageBreakBefore w:val="0"/>
        <w:widowControl w:val="0"/>
        <w:kinsoku/>
        <w:wordWrap/>
        <w:overflowPunct/>
        <w:topLinePunct w:val="0"/>
        <w:autoSpaceDE/>
        <w:autoSpaceDN/>
        <w:bidi w:val="0"/>
        <w:adjustRightInd/>
        <w:snapToGrid/>
        <w:spacing w:line="324" w:lineRule="auto"/>
        <w:ind w:left="0" w:leftChars="0" w:firstLine="482" w:firstLineChars="20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特别提示：</w:t>
      </w:r>
    </w:p>
    <w:p w14:paraId="79B21F35">
      <w:pPr>
        <w:pStyle w:val="39"/>
        <w:ind w:left="0" w:leftChars="0" w:firstLine="482" w:firstLineChars="200"/>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1.采购限额标准以上，200万元以下的货物和服务采购项目、400万元以下的工程采购项目，适宜由中小企业提供的，采购人应当专门面向中小企业采购。</w:t>
      </w:r>
    </w:p>
    <w:p w14:paraId="3BEA36F0">
      <w:pPr>
        <w:pStyle w:val="39"/>
        <w:ind w:left="0" w:leftChars="0" w:firstLine="482" w:firstLineChars="200"/>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14:paraId="3470E7F0">
      <w:pPr>
        <w:pStyle w:val="39"/>
        <w:ind w:left="0" w:leftChars="0" w:firstLine="482" w:firstLineChars="200"/>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lang w:val="en-US" w:eastAsia="zh-CN"/>
        </w:rPr>
        <w:t>3.</w:t>
      </w:r>
      <w:r>
        <w:rPr>
          <w:rFonts w:hint="eastAsia" w:ascii="仿宋" w:hAnsi="仿宋" w:eastAsia="仿宋" w:cs="仿宋"/>
          <w:b/>
          <w:bCs/>
          <w:kern w:val="0"/>
          <w:sz w:val="24"/>
          <w:szCs w:val="24"/>
          <w:highlight w:val="none"/>
          <w:lang w:val="en-US" w:eastAsia="zh-CN"/>
        </w:rPr>
        <w:t>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F8675EC">
      <w:pPr>
        <w:pStyle w:val="39"/>
        <w:ind w:left="0" w:leftChars="0" w:firstLine="482" w:firstLineChars="200"/>
        <w:rPr>
          <w:rFonts w:hint="eastAsia" w:ascii="仿宋" w:hAnsi="仿宋" w:eastAsia="仿宋" w:cs="仿宋"/>
          <w:b w:val="0"/>
          <w:color w:val="auto"/>
          <w:sz w:val="24"/>
          <w:szCs w:val="24"/>
          <w:highlight w:val="none"/>
          <w:lang w:val="en-US" w:eastAsia="zh-CN"/>
        </w:rPr>
      </w:pPr>
      <w:r>
        <w:rPr>
          <w:rFonts w:hint="eastAsia" w:ascii="仿宋" w:hAnsi="仿宋" w:eastAsia="仿宋" w:cs="仿宋"/>
          <w:b/>
          <w:bCs/>
          <w:kern w:val="0"/>
          <w:sz w:val="24"/>
          <w:szCs w:val="24"/>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D673440">
      <w:pPr>
        <w:pStyle w:val="3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仿宋" w:hAnsi="仿宋" w:eastAsia="仿宋" w:cs="仿宋"/>
          <w:color w:val="auto"/>
          <w:kern w:val="2"/>
          <w:sz w:val="24"/>
          <w:szCs w:val="24"/>
          <w:lang w:val="en-US" w:eastAsia="zh-CN" w:bidi="ar-SA"/>
        </w:rPr>
      </w:pPr>
      <w:bookmarkStart w:id="449" w:name="_Toc14169"/>
      <w:r>
        <w:rPr>
          <w:rFonts w:hint="eastAsia" w:ascii="仿宋" w:hAnsi="仿宋" w:eastAsia="仿宋" w:cs="仿宋"/>
          <w:b w:val="0"/>
          <w:color w:val="auto"/>
          <w:sz w:val="24"/>
          <w:szCs w:val="24"/>
          <w:highlight w:val="none"/>
          <w:lang w:val="en-US" w:eastAsia="zh-CN"/>
        </w:rPr>
        <w:t>七、</w:t>
      </w:r>
      <w:bookmarkEnd w:id="444"/>
      <w:bookmarkEnd w:id="445"/>
      <w:bookmarkEnd w:id="446"/>
      <w:bookmarkEnd w:id="447"/>
      <w:bookmarkEnd w:id="448"/>
      <w:bookmarkStart w:id="450" w:name="_Toc8945"/>
      <w:r>
        <w:rPr>
          <w:rFonts w:hint="eastAsia" w:ascii="仿宋" w:hAnsi="仿宋" w:eastAsia="仿宋" w:cs="仿宋"/>
          <w:color w:val="auto"/>
          <w:kern w:val="2"/>
          <w:sz w:val="24"/>
          <w:szCs w:val="24"/>
          <w:lang w:val="en-US" w:eastAsia="zh-CN" w:bidi="ar-SA"/>
        </w:rPr>
        <w:t>凡对本次招标提出询问，请按以下方式联系</w:t>
      </w:r>
      <w:bookmarkEnd w:id="449"/>
      <w:bookmarkEnd w:id="450"/>
    </w:p>
    <w:p w14:paraId="64192159">
      <w:pPr>
        <w:widowControl/>
        <w:spacing w:line="348" w:lineRule="auto"/>
        <w:jc w:val="left"/>
        <w:rPr>
          <w:rFonts w:ascii="仿宋" w:hAnsi="仿宋" w:eastAsia="仿宋" w:cs="仿宋"/>
          <w:sz w:val="24"/>
        </w:rPr>
      </w:pPr>
      <w:r>
        <w:rPr>
          <w:rFonts w:hint="eastAsia" w:ascii="仿宋" w:hAnsi="仿宋" w:eastAsia="仿宋" w:cs="仿宋"/>
          <w:sz w:val="24"/>
        </w:rPr>
        <w:t>1.采购人信息</w:t>
      </w:r>
    </w:p>
    <w:p w14:paraId="529EA50D">
      <w:pPr>
        <w:spacing w:line="348" w:lineRule="auto"/>
        <w:ind w:left="1079" w:leftChars="371" w:hanging="300" w:hangingChars="125"/>
        <w:jc w:val="left"/>
        <w:rPr>
          <w:rFonts w:ascii="仿宋" w:hAnsi="仿宋" w:eastAsia="仿宋" w:cs="仿宋"/>
          <w:sz w:val="24"/>
        </w:rPr>
      </w:pPr>
      <w:bookmarkStart w:id="451" w:name="_Toc28359086"/>
      <w:bookmarkStart w:id="452" w:name="_Toc28359009"/>
      <w:r>
        <w:rPr>
          <w:rFonts w:hint="eastAsia" w:ascii="仿宋" w:hAnsi="仿宋" w:eastAsia="仿宋" w:cs="仿宋"/>
          <w:sz w:val="24"/>
        </w:rPr>
        <w:t xml:space="preserve">采购单位： </w:t>
      </w:r>
      <w:r>
        <w:rPr>
          <w:rFonts w:hint="eastAsia" w:ascii="仿宋" w:hAnsi="仿宋" w:eastAsia="仿宋" w:cs="仿宋"/>
          <w:sz w:val="24"/>
          <w:u w:val="single"/>
          <w:lang w:eastAsia="zh-CN"/>
        </w:rPr>
        <w:t>莎车县住房和城乡建设局</w:t>
      </w:r>
      <w:r>
        <w:rPr>
          <w:rFonts w:hint="eastAsia" w:ascii="仿宋" w:hAnsi="仿宋" w:eastAsia="仿宋" w:cs="仿宋"/>
          <w:sz w:val="24"/>
        </w:rPr>
        <w:t xml:space="preserve">   </w:t>
      </w:r>
    </w:p>
    <w:p w14:paraId="28428CD1">
      <w:pPr>
        <w:spacing w:line="348" w:lineRule="auto"/>
        <w:ind w:left="1079" w:leftChars="371" w:hanging="300" w:hangingChars="125"/>
        <w:jc w:val="left"/>
        <w:rPr>
          <w:rFonts w:ascii="仿宋" w:hAnsi="仿宋" w:eastAsia="仿宋" w:cs="仿宋"/>
          <w:sz w:val="24"/>
        </w:rPr>
      </w:pPr>
      <w:r>
        <w:rPr>
          <w:rFonts w:hint="eastAsia" w:ascii="仿宋" w:hAnsi="仿宋" w:eastAsia="仿宋" w:cs="仿宋"/>
          <w:sz w:val="24"/>
        </w:rPr>
        <w:t>联 系 人：</w:t>
      </w:r>
      <w:r>
        <w:rPr>
          <w:rFonts w:hint="eastAsia" w:ascii="仿宋" w:hAnsi="仿宋" w:eastAsia="仿宋" w:cs="仿宋"/>
          <w:sz w:val="24"/>
          <w:u w:val="single"/>
          <w:lang w:val="en-US" w:eastAsia="zh-CN"/>
        </w:rPr>
        <w:t>尹逊磊</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71ADF7F8">
      <w:pPr>
        <w:spacing w:line="348" w:lineRule="auto"/>
        <w:ind w:left="1079" w:leftChars="371" w:hanging="300" w:hangingChars="125"/>
        <w:jc w:val="left"/>
        <w:rPr>
          <w:rFonts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single"/>
        </w:rPr>
        <w:t xml:space="preserve"> </w:t>
      </w:r>
      <w:r>
        <w:rPr>
          <w:rFonts w:hint="eastAsia" w:ascii="仿宋" w:hAnsi="仿宋" w:eastAsia="仿宋" w:cs="仿宋"/>
          <w:sz w:val="24"/>
          <w:u w:val="single"/>
          <w:lang w:eastAsia="zh-CN"/>
        </w:rPr>
        <w:t>0998-6612058</w:t>
      </w:r>
    </w:p>
    <w:p w14:paraId="5F3FA092">
      <w:pPr>
        <w:spacing w:line="348" w:lineRule="auto"/>
        <w:ind w:left="1079" w:leftChars="371" w:hanging="300" w:hangingChars="125"/>
        <w:jc w:val="left"/>
        <w:rPr>
          <w:rFonts w:ascii="仿宋" w:hAnsi="仿宋" w:eastAsia="仿宋" w:cs="仿宋"/>
          <w:sz w:val="24"/>
        </w:rPr>
      </w:pPr>
      <w:r>
        <w:rPr>
          <w:rFonts w:hint="eastAsia" w:ascii="仿宋" w:hAnsi="仿宋" w:eastAsia="仿宋" w:cs="仿宋"/>
          <w:sz w:val="24"/>
        </w:rPr>
        <w:t>2.采购代理机构信息</w:t>
      </w:r>
      <w:bookmarkEnd w:id="451"/>
      <w:bookmarkEnd w:id="452"/>
    </w:p>
    <w:p w14:paraId="23DBD69B">
      <w:pPr>
        <w:spacing w:line="348" w:lineRule="auto"/>
        <w:ind w:firstLine="720" w:firstLineChars="300"/>
        <w:rPr>
          <w:rFonts w:hint="eastAsia" w:ascii="宋体" w:hAnsi="宋体" w:eastAsia="仿宋" w:cs="宋体"/>
          <w:b/>
          <w:bCs/>
          <w:sz w:val="24"/>
          <w:lang w:eastAsia="zh-CN"/>
        </w:rPr>
      </w:pPr>
      <w:r>
        <w:rPr>
          <w:rFonts w:hint="eastAsia" w:ascii="仿宋" w:hAnsi="仿宋" w:eastAsia="仿宋" w:cs="仿宋"/>
          <w:sz w:val="24"/>
        </w:rPr>
        <w:t>名  称：</w:t>
      </w:r>
      <w:r>
        <w:rPr>
          <w:rFonts w:hint="eastAsia" w:ascii="仿宋" w:hAnsi="仿宋" w:eastAsia="仿宋" w:cs="仿宋"/>
          <w:sz w:val="24"/>
          <w:u w:val="single"/>
          <w:lang w:eastAsia="zh-CN"/>
        </w:rPr>
        <w:t>新疆金正建设工程管理有限公司</w:t>
      </w:r>
    </w:p>
    <w:p w14:paraId="77E05FB5">
      <w:pPr>
        <w:spacing w:line="348" w:lineRule="auto"/>
        <w:ind w:firstLine="720" w:firstLineChars="300"/>
        <w:rPr>
          <w:rFonts w:hint="eastAsia" w:ascii="仿宋" w:hAnsi="仿宋" w:eastAsia="仿宋" w:cs="仿宋"/>
          <w:sz w:val="24"/>
          <w:u w:val="single"/>
          <w:lang w:eastAsia="zh-CN"/>
        </w:rPr>
      </w:pPr>
      <w:r>
        <w:rPr>
          <w:rFonts w:hint="eastAsia" w:ascii="仿宋" w:hAnsi="仿宋" w:eastAsia="仿宋" w:cs="仿宋"/>
          <w:sz w:val="24"/>
        </w:rPr>
        <w:t>地　址：</w:t>
      </w:r>
      <w:r>
        <w:rPr>
          <w:rFonts w:hint="eastAsia" w:ascii="仿宋" w:hAnsi="仿宋" w:eastAsia="仿宋" w:cs="仿宋"/>
          <w:sz w:val="24"/>
          <w:u w:val="single"/>
          <w:lang w:eastAsia="zh-CN"/>
        </w:rPr>
        <w:t>乌鲁木齐市水磨沟区南湖南路66号水清木华A栋6层</w:t>
      </w:r>
    </w:p>
    <w:p w14:paraId="1D6B4857">
      <w:pPr>
        <w:spacing w:line="348" w:lineRule="auto"/>
        <w:ind w:firstLine="720" w:firstLineChars="300"/>
        <w:rPr>
          <w:rFonts w:hint="default" w:ascii="仿宋" w:hAnsi="仿宋" w:eastAsia="仿宋" w:cs="仿宋"/>
          <w:sz w:val="24"/>
          <w:lang w:val="en-US" w:eastAsia="zh-CN"/>
        </w:rPr>
      </w:pPr>
      <w:r>
        <w:rPr>
          <w:rFonts w:hint="eastAsia" w:ascii="仿宋" w:hAnsi="仿宋" w:eastAsia="仿宋" w:cs="仿宋"/>
          <w:sz w:val="24"/>
        </w:rPr>
        <w:t>联系方式：</w:t>
      </w:r>
      <w:bookmarkStart w:id="453" w:name="_Toc28359010"/>
      <w:bookmarkStart w:id="454" w:name="_Toc28359087"/>
      <w:r>
        <w:rPr>
          <w:rFonts w:hint="eastAsia" w:ascii="仿宋" w:hAnsi="仿宋" w:eastAsia="仿宋" w:cs="仿宋"/>
          <w:sz w:val="24"/>
          <w:u w:val="single"/>
          <w:lang w:val="en-US" w:eastAsia="zh-CN"/>
        </w:rPr>
        <w:t>布威热比古丽.麦麦提热伊木 18399604428</w:t>
      </w:r>
    </w:p>
    <w:bookmarkEnd w:id="453"/>
    <w:bookmarkEnd w:id="454"/>
    <w:p w14:paraId="01F2355F">
      <w:pPr>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lang w:val="en-US" w:eastAsia="zh-CN"/>
        </w:rPr>
        <w:br w:type="page"/>
      </w:r>
    </w:p>
    <w:p w14:paraId="0A26C799">
      <w:pPr>
        <w:pStyle w:val="2"/>
        <w:bidi w:val="0"/>
        <w:spacing w:line="360" w:lineRule="auto"/>
        <w:rPr>
          <w:rFonts w:hint="eastAsia" w:ascii="仿宋" w:hAnsi="仿宋" w:eastAsia="仿宋" w:cs="仿宋"/>
          <w:b/>
          <w:color w:val="auto"/>
          <w:highlight w:val="none"/>
          <w:lang w:eastAsia="zh-CN"/>
        </w:rPr>
      </w:pPr>
      <w:bookmarkStart w:id="455" w:name="_Toc14241"/>
      <w:r>
        <w:rPr>
          <w:rFonts w:hint="eastAsia" w:ascii="仿宋" w:hAnsi="仿宋" w:eastAsia="仿宋" w:cs="仿宋"/>
          <w:b/>
          <w:color w:val="auto"/>
          <w:highlight w:val="none"/>
          <w:lang w:val="en-US" w:eastAsia="zh-CN"/>
        </w:rPr>
        <w:t>第4章 投标人须知资料表</w:t>
      </w:r>
      <w:bookmarkEnd w:id="455"/>
    </w:p>
    <w:p w14:paraId="4DF62E05">
      <w:pPr>
        <w:spacing w:line="240" w:lineRule="atLeas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本表是本招标项目的具体资料，是对投标人须知的具体补充和修改，如有矛盾，应以本资料表为准。</w:t>
      </w:r>
    </w:p>
    <w:tbl>
      <w:tblPr>
        <w:tblStyle w:val="4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81"/>
        <w:gridCol w:w="7604"/>
      </w:tblGrid>
      <w:tr w14:paraId="40AFB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81" w:type="dxa"/>
            <w:noWrap w:val="0"/>
            <w:vAlign w:val="center"/>
          </w:tcPr>
          <w:p w14:paraId="1A7C5991">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条款号</w:t>
            </w:r>
          </w:p>
        </w:tc>
        <w:tc>
          <w:tcPr>
            <w:tcW w:w="7604" w:type="dxa"/>
            <w:noWrap w:val="0"/>
            <w:vAlign w:val="center"/>
          </w:tcPr>
          <w:p w14:paraId="3A7BF86C">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内      容</w:t>
            </w:r>
          </w:p>
        </w:tc>
      </w:tr>
      <w:tr w14:paraId="326E8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1" w:hRule="atLeast"/>
        </w:trPr>
        <w:tc>
          <w:tcPr>
            <w:tcW w:w="1381" w:type="dxa"/>
            <w:noWrap w:val="0"/>
            <w:vAlign w:val="center"/>
          </w:tcPr>
          <w:p w14:paraId="233066F6">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7604" w:type="dxa"/>
            <w:noWrap w:val="0"/>
            <w:vAlign w:val="center"/>
          </w:tcPr>
          <w:p w14:paraId="0B00901B">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采购单位： 莎车县住房和城乡建设局   </w:t>
            </w:r>
          </w:p>
          <w:p w14:paraId="7B4EF272">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联 系 人：尹逊磊      </w:t>
            </w:r>
          </w:p>
          <w:p w14:paraId="71C5D1B2">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 0998-6612058</w:t>
            </w:r>
          </w:p>
        </w:tc>
      </w:tr>
      <w:tr w14:paraId="0C61A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81" w:type="dxa"/>
            <w:noWrap w:val="0"/>
            <w:vAlign w:val="center"/>
          </w:tcPr>
          <w:p w14:paraId="386F1217">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7604" w:type="dxa"/>
            <w:noWrap w:val="0"/>
            <w:vAlign w:val="center"/>
          </w:tcPr>
          <w:p w14:paraId="27667F34">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  称：新疆金正建设工程管理有限公司</w:t>
            </w:r>
          </w:p>
          <w:p w14:paraId="068650B4">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　址：乌鲁木齐市水磨沟区南湖南路66号水清木华A栋6层</w:t>
            </w:r>
          </w:p>
          <w:p w14:paraId="66A603F2">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联系方式：布威热比古丽.麦麦提热伊木   18399604428</w:t>
            </w:r>
          </w:p>
        </w:tc>
      </w:tr>
      <w:tr w14:paraId="68D48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81" w:type="dxa"/>
            <w:noWrap w:val="0"/>
            <w:vAlign w:val="center"/>
          </w:tcPr>
          <w:p w14:paraId="6166D75A">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1.3.4</w:t>
            </w:r>
          </w:p>
        </w:tc>
        <w:tc>
          <w:tcPr>
            <w:tcW w:w="7604" w:type="dxa"/>
            <w:noWrap w:val="0"/>
            <w:vAlign w:val="center"/>
          </w:tcPr>
          <w:p w14:paraId="0442563B">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合格投标人的资格要求：</w:t>
            </w:r>
          </w:p>
          <w:p w14:paraId="2CF8F576">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格有效的营业执照（三证合一）副本（原件、复印件、影印件均可）或电子营业执照打印件（需加盖公章）或同等法律效力的证明文件（发证机关或公证机关出具的证明材料原件）；法人或者非法人组织营业执照等证明文件复印件（须加盖本单位公章）或自然人的身份证明复印件；</w:t>
            </w:r>
          </w:p>
          <w:p w14:paraId="47B646C0">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2.法定代表人身份证明或法定代表人授权委托书及被授权人身份证； </w:t>
            </w:r>
          </w:p>
          <w:p w14:paraId="2C3B3E45">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3.近期（投标截止日期前六个月内任意一个月）依法缴纳社会保障金的缴费证明或银行出具的“银行电子缴纳社会保障金付款凭证”（新成立公司提供相关证明文件） ；</w:t>
            </w:r>
          </w:p>
          <w:p w14:paraId="01B12B20">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近期（投标截止日期前六个月内任意一个月）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p>
          <w:p w14:paraId="32EDE9E0">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color w:val="auto"/>
                <w:sz w:val="24"/>
                <w:szCs w:val="24"/>
                <w:highlight w:val="none"/>
                <w:lang w:val="en-US" w:eastAsia="zh-CN"/>
              </w:rPr>
              <w:t>提供2025年完整的财务审计报告（成立未满十二个月的新公司可提供近三个月内任意一个月的银行资信证明）；</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sz w:val="24"/>
                <w:szCs w:val="24"/>
                <w:lang w:val="en-US" w:eastAsia="zh-CN"/>
              </w:rPr>
              <w:t>6.凡拟参加本次招标项目的供应商，如在“信用中国”网站（https://www.creditchina.gov.cn/）被列入失信被执行人、重大税收违法失信主体名单、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w:t>
            </w:r>
          </w:p>
          <w:p w14:paraId="4C983D0E">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7.提供参加政府采购活动前3年内在经营活动中没有重大违法记录的书面声明；</w:t>
            </w:r>
          </w:p>
          <w:p w14:paraId="7A2DF5B5">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8.提供针对本次项目《反商业贿赂承诺书》；</w:t>
            </w:r>
          </w:p>
          <w:p w14:paraId="2F57E79F">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9.必须具有履行合同所必需的设备和专业技术能力；</w:t>
            </w:r>
          </w:p>
          <w:p w14:paraId="40DC3EC3">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10.本项目不接受联合体投标；</w:t>
            </w:r>
          </w:p>
        </w:tc>
      </w:tr>
      <w:tr w14:paraId="3EFFD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381" w:type="dxa"/>
            <w:noWrap w:val="0"/>
            <w:vAlign w:val="center"/>
          </w:tcPr>
          <w:p w14:paraId="20405D02">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1.3.5   </w:t>
            </w:r>
          </w:p>
        </w:tc>
        <w:tc>
          <w:tcPr>
            <w:tcW w:w="7604" w:type="dxa"/>
            <w:noWrap w:val="0"/>
            <w:vAlign w:val="center"/>
          </w:tcPr>
          <w:p w14:paraId="0E60B57A">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是否允许采购进口产品：</w:t>
            </w:r>
            <w:r>
              <w:rPr>
                <w:rFonts w:hint="eastAsia" w:ascii="仿宋" w:hAnsi="仿宋" w:eastAsia="仿宋" w:cs="仿宋"/>
                <w:kern w:val="2"/>
                <w:sz w:val="24"/>
                <w:szCs w:val="24"/>
                <w:u w:val="single"/>
                <w:lang w:val="en-US" w:eastAsia="zh-CN" w:bidi="ar-SA"/>
              </w:rPr>
              <w:t xml:space="preserve"> 否</w:t>
            </w:r>
          </w:p>
        </w:tc>
      </w:tr>
      <w:tr w14:paraId="7FC9F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0" w:hRule="atLeast"/>
        </w:trPr>
        <w:tc>
          <w:tcPr>
            <w:tcW w:w="1381" w:type="dxa"/>
            <w:noWrap w:val="0"/>
            <w:vAlign w:val="center"/>
          </w:tcPr>
          <w:p w14:paraId="68938925">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1.3.6</w:t>
            </w:r>
          </w:p>
        </w:tc>
        <w:tc>
          <w:tcPr>
            <w:tcW w:w="7604" w:type="dxa"/>
            <w:noWrap w:val="0"/>
            <w:vAlign w:val="center"/>
          </w:tcPr>
          <w:p w14:paraId="3E1C0F4F">
            <w:pPr>
              <w:pStyle w:val="26"/>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是否为专门面向中小企业采购：</w:t>
            </w:r>
            <w:r>
              <w:rPr>
                <w:rFonts w:hint="eastAsia" w:ascii="仿宋" w:hAnsi="仿宋" w:eastAsia="仿宋" w:cs="仿宋"/>
                <w:kern w:val="2"/>
                <w:sz w:val="24"/>
                <w:szCs w:val="24"/>
                <w:u w:val="single"/>
                <w:lang w:val="en-US" w:eastAsia="zh-CN" w:bidi="ar-SA"/>
              </w:rPr>
              <w:t xml:space="preserve"> 否 </w:t>
            </w:r>
            <w:r>
              <w:rPr>
                <w:rFonts w:hint="eastAsia" w:ascii="仿宋" w:hAnsi="仿宋" w:eastAsia="仿宋" w:cs="仿宋"/>
                <w:kern w:val="2"/>
                <w:sz w:val="24"/>
                <w:szCs w:val="24"/>
                <w:u w:val="single"/>
                <w:lang w:val="en-US" w:eastAsia="zh-CN" w:bidi="ar-SA"/>
              </w:rPr>
              <w:br w:type="textWrapping"/>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b/>
                <w:bCs/>
                <w:kern w:val="2"/>
                <w:sz w:val="32"/>
                <w:szCs w:val="32"/>
                <w:u w:val="none"/>
                <w:lang w:val="en-US" w:eastAsia="zh-CN" w:bidi="ar-SA"/>
              </w:rPr>
              <w:t>：</w:t>
            </w:r>
            <w:r>
              <w:rPr>
                <w:rFonts w:hint="eastAsia" w:ascii="仿宋" w:hAnsi="仿宋" w:eastAsia="仿宋" w:cs="仿宋"/>
                <w:b/>
                <w:bCs/>
                <w:kern w:val="2"/>
                <w:sz w:val="24"/>
                <w:szCs w:val="24"/>
                <w:lang w:val="en-US" w:eastAsia="zh-CN" w:bidi="ar-SA"/>
              </w:rPr>
              <w:t>投标人须提供承诺书，承诺将合同金额的 30% 用于向中小企业采购，其中向小微企业采购比例不少于中小企业采购额的 60%。本项为实质性响应要求，未提供承诺书的，投标无效。</w:t>
            </w:r>
          </w:p>
        </w:tc>
      </w:tr>
      <w:tr w14:paraId="5D9CC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381" w:type="dxa"/>
            <w:noWrap w:val="0"/>
            <w:vAlign w:val="center"/>
          </w:tcPr>
          <w:p w14:paraId="5C009885">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7604" w:type="dxa"/>
            <w:noWrap w:val="0"/>
            <w:vAlign w:val="center"/>
          </w:tcPr>
          <w:p w14:paraId="07FE8B62">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是否允许联合体投标：</w:t>
            </w:r>
            <w:r>
              <w:rPr>
                <w:rFonts w:hint="eastAsia" w:ascii="仿宋" w:hAnsi="仿宋" w:eastAsia="仿宋" w:cs="仿宋"/>
                <w:sz w:val="24"/>
                <w:szCs w:val="24"/>
                <w:u w:val="single"/>
                <w:lang w:val="en-US" w:eastAsia="zh-CN"/>
              </w:rPr>
              <w:t xml:space="preserve"> 否</w:t>
            </w:r>
          </w:p>
        </w:tc>
      </w:tr>
      <w:tr w14:paraId="62EFF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381" w:type="dxa"/>
            <w:noWrap w:val="0"/>
            <w:vAlign w:val="center"/>
          </w:tcPr>
          <w:p w14:paraId="093CD13E">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1.4.8</w:t>
            </w:r>
          </w:p>
        </w:tc>
        <w:tc>
          <w:tcPr>
            <w:tcW w:w="7604" w:type="dxa"/>
            <w:noWrap w:val="0"/>
            <w:vAlign w:val="center"/>
          </w:tcPr>
          <w:p w14:paraId="6BA80518">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联合体的其他资格要求：</w:t>
            </w:r>
            <w:r>
              <w:rPr>
                <w:rFonts w:hint="eastAsia" w:ascii="仿宋" w:hAnsi="仿宋" w:eastAsia="仿宋" w:cs="仿宋"/>
                <w:sz w:val="24"/>
                <w:szCs w:val="24"/>
                <w:u w:val="single"/>
                <w:lang w:val="en-US" w:eastAsia="zh-CN"/>
              </w:rPr>
              <w:t>无</w:t>
            </w:r>
          </w:p>
        </w:tc>
      </w:tr>
      <w:tr w14:paraId="2D4EE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381" w:type="dxa"/>
            <w:noWrap w:val="0"/>
            <w:vAlign w:val="center"/>
          </w:tcPr>
          <w:p w14:paraId="553BE917">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p>
        </w:tc>
        <w:tc>
          <w:tcPr>
            <w:tcW w:w="7604" w:type="dxa"/>
            <w:noWrap w:val="0"/>
            <w:vAlign w:val="center"/>
          </w:tcPr>
          <w:p w14:paraId="0D70A484">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项目预算金额：</w:t>
            </w:r>
            <w:r>
              <w:rPr>
                <w:rFonts w:hint="eastAsia" w:ascii="仿宋" w:hAnsi="仿宋" w:eastAsia="仿宋" w:cs="仿宋"/>
                <w:color w:val="auto"/>
                <w:sz w:val="24"/>
                <w:szCs w:val="24"/>
                <w:highlight w:val="none"/>
              </w:rPr>
              <w:t>747</w:t>
            </w:r>
            <w:r>
              <w:rPr>
                <w:rFonts w:hint="eastAsia" w:ascii="仿宋" w:hAnsi="仿宋" w:eastAsia="仿宋" w:cs="仿宋"/>
                <w:sz w:val="24"/>
                <w:szCs w:val="24"/>
                <w:lang w:val="en-US" w:eastAsia="zh-CN"/>
              </w:rPr>
              <w:t>万元</w:t>
            </w:r>
          </w:p>
        </w:tc>
      </w:tr>
      <w:tr w14:paraId="56A607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81" w:type="dxa"/>
            <w:noWrap w:val="0"/>
            <w:vAlign w:val="center"/>
          </w:tcPr>
          <w:p w14:paraId="2F708AC0">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12.1</w:t>
            </w:r>
          </w:p>
        </w:tc>
        <w:tc>
          <w:tcPr>
            <w:tcW w:w="7604" w:type="dxa"/>
            <w:noWrap w:val="0"/>
            <w:vAlign w:val="center"/>
          </w:tcPr>
          <w:p w14:paraId="716ED1AF">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保证金形式：</w:t>
            </w:r>
            <w:r>
              <w:rPr>
                <w:rFonts w:hint="eastAsia" w:ascii="仿宋" w:hAnsi="仿宋" w:eastAsia="仿宋" w:cs="仿宋"/>
                <w:b/>
                <w:bCs/>
                <w:iCs/>
                <w:sz w:val="24"/>
              </w:rPr>
              <w:t>☑保函  ☑电汇  ☑支票</w:t>
            </w:r>
            <w:r>
              <w:rPr>
                <w:rFonts w:hint="eastAsia" w:ascii="仿宋" w:hAnsi="仿宋" w:eastAsia="仿宋" w:cs="仿宋"/>
                <w:b/>
                <w:bCs/>
                <w:iCs/>
                <w:sz w:val="24"/>
                <w:lang w:val="en-US" w:eastAsia="zh-CN"/>
              </w:rPr>
              <w:t xml:space="preserve"> </w:t>
            </w:r>
            <w:r>
              <w:rPr>
                <w:rFonts w:hint="eastAsia" w:ascii="仿宋" w:hAnsi="仿宋" w:eastAsia="仿宋" w:cs="仿宋"/>
                <w:b/>
                <w:bCs/>
                <w:iCs/>
                <w:sz w:val="24"/>
              </w:rPr>
              <w:t xml:space="preserve">☑企业账户网银汇款 </w:t>
            </w:r>
          </w:p>
          <w:p w14:paraId="28CDE746">
            <w:pPr>
              <w:keepNext w:val="0"/>
              <w:keepLines w:val="0"/>
              <w:suppressLineNumbers w:val="0"/>
              <w:spacing w:before="0" w:beforeAutospacing="0" w:after="0" w:afterAutospacing="0" w:line="360" w:lineRule="auto"/>
              <w:ind w:left="0" w:right="0"/>
              <w:rPr>
                <w:rFonts w:hint="eastAsia" w:ascii="仿宋" w:hAnsi="仿宋" w:eastAsia="仿宋" w:cs="仿宋"/>
                <w:b/>
                <w:bCs/>
                <w:iCs/>
                <w:sz w:val="24"/>
                <w:highlight w:val="none"/>
              </w:rPr>
            </w:pPr>
            <w:r>
              <w:rPr>
                <w:rFonts w:hint="eastAsia" w:ascii="仿宋" w:hAnsi="仿宋" w:eastAsia="仿宋" w:cs="仿宋"/>
                <w:b/>
                <w:bCs/>
                <w:iCs/>
                <w:sz w:val="24"/>
                <w:highlight w:val="none"/>
              </w:rPr>
              <w:t>小写</w:t>
            </w:r>
            <w:r>
              <w:rPr>
                <w:rFonts w:hint="eastAsia" w:ascii="仿宋" w:hAnsi="仿宋" w:eastAsia="仿宋" w:cs="仿宋"/>
                <w:b/>
                <w:bCs/>
                <w:iCs/>
                <w:sz w:val="24"/>
                <w:highlight w:val="none"/>
                <w:lang w:val="en-US" w:eastAsia="zh-CN"/>
              </w:rPr>
              <w:t>140000.00元（</w:t>
            </w:r>
            <w:r>
              <w:rPr>
                <w:rFonts w:hint="eastAsia" w:ascii="仿宋" w:hAnsi="仿宋" w:eastAsia="仿宋" w:cs="仿宋"/>
                <w:b/>
                <w:bCs/>
                <w:iCs/>
                <w:sz w:val="24"/>
                <w:highlight w:val="none"/>
              </w:rPr>
              <w:t>大写：</w:t>
            </w:r>
            <w:r>
              <w:rPr>
                <w:rFonts w:hint="eastAsia" w:ascii="仿宋" w:hAnsi="仿宋" w:eastAsia="仿宋" w:cs="仿宋"/>
                <w:b/>
                <w:bCs/>
                <w:iCs/>
                <w:sz w:val="24"/>
                <w:highlight w:val="none"/>
                <w:lang w:val="en-US" w:eastAsia="zh-CN"/>
              </w:rPr>
              <w:t>壹拾肆万元整</w:t>
            </w:r>
            <w:r>
              <w:rPr>
                <w:rFonts w:hint="eastAsia" w:ascii="仿宋" w:hAnsi="仿宋" w:eastAsia="仿宋" w:cs="仿宋"/>
                <w:b/>
                <w:bCs/>
                <w:iCs/>
                <w:sz w:val="24"/>
                <w:highlight w:val="none"/>
              </w:rPr>
              <w:t>）</w:t>
            </w:r>
          </w:p>
          <w:p w14:paraId="7D33FF27">
            <w:pPr>
              <w:keepNext w:val="0"/>
              <w:keepLines w:val="0"/>
              <w:suppressLineNumbers w:val="0"/>
              <w:spacing w:before="0" w:beforeAutospacing="0" w:after="0" w:afterAutospacing="0" w:line="360" w:lineRule="auto"/>
              <w:ind w:left="0" w:right="0"/>
              <w:rPr>
                <w:rFonts w:hint="eastAsia" w:ascii="仿宋" w:hAnsi="仿宋" w:eastAsia="仿宋" w:cs="仿宋"/>
                <w:b/>
                <w:bCs/>
                <w:iCs/>
                <w:sz w:val="24"/>
                <w:highlight w:val="none"/>
                <w:lang w:val="en-US" w:eastAsia="zh-CN"/>
              </w:rPr>
            </w:pPr>
            <w:r>
              <w:rPr>
                <w:rFonts w:hint="eastAsia" w:ascii="仿宋" w:hAnsi="仿宋" w:eastAsia="仿宋" w:cs="仿宋"/>
                <w:b/>
                <w:bCs/>
                <w:iCs/>
                <w:sz w:val="24"/>
                <w:highlight w:val="none"/>
                <w:lang w:val="en-US" w:eastAsia="zh-CN"/>
              </w:rPr>
              <w:t>保证金收款人：新疆金正建设工程管理有限公司</w:t>
            </w:r>
          </w:p>
          <w:p w14:paraId="375BF003">
            <w:pPr>
              <w:keepNext w:val="0"/>
              <w:keepLines w:val="0"/>
              <w:suppressLineNumbers w:val="0"/>
              <w:spacing w:before="0" w:beforeAutospacing="0" w:after="0" w:afterAutospacing="0" w:line="360" w:lineRule="auto"/>
              <w:ind w:left="0" w:right="0"/>
              <w:rPr>
                <w:rFonts w:hint="eastAsia" w:ascii="仿宋" w:hAnsi="仿宋" w:eastAsia="仿宋" w:cs="仿宋"/>
                <w:b/>
                <w:bCs/>
                <w:iCs/>
                <w:sz w:val="24"/>
                <w:highlight w:val="none"/>
                <w:lang w:val="en-US" w:eastAsia="zh-CN"/>
              </w:rPr>
            </w:pPr>
            <w:r>
              <w:rPr>
                <w:rFonts w:hint="eastAsia" w:ascii="仿宋" w:hAnsi="仿宋" w:eastAsia="仿宋" w:cs="仿宋"/>
                <w:b/>
                <w:bCs/>
                <w:iCs/>
                <w:sz w:val="24"/>
                <w:highlight w:val="none"/>
                <w:lang w:val="en-US" w:eastAsia="zh-CN"/>
              </w:rPr>
              <w:t>账户名：新疆金正建设工程管理有限公司</w:t>
            </w:r>
          </w:p>
          <w:p w14:paraId="7D6952B4">
            <w:pPr>
              <w:keepNext w:val="0"/>
              <w:keepLines w:val="0"/>
              <w:suppressLineNumbers w:val="0"/>
              <w:spacing w:before="0" w:beforeAutospacing="0" w:after="0" w:afterAutospacing="0" w:line="360" w:lineRule="auto"/>
              <w:ind w:left="0" w:right="0"/>
              <w:rPr>
                <w:rFonts w:hint="eastAsia" w:ascii="仿宋" w:hAnsi="仿宋" w:eastAsia="仿宋" w:cs="仿宋"/>
                <w:b/>
                <w:bCs/>
                <w:iCs/>
                <w:sz w:val="24"/>
                <w:highlight w:val="none"/>
                <w:lang w:val="en-US" w:eastAsia="zh-CN"/>
              </w:rPr>
            </w:pPr>
            <w:r>
              <w:rPr>
                <w:rFonts w:hint="eastAsia" w:ascii="仿宋" w:hAnsi="仿宋" w:eastAsia="仿宋" w:cs="仿宋"/>
                <w:b/>
                <w:bCs/>
                <w:iCs/>
                <w:sz w:val="24"/>
                <w:highlight w:val="none"/>
                <w:lang w:val="en-US" w:eastAsia="zh-CN"/>
              </w:rPr>
              <w:t>账  号：107601654453</w:t>
            </w:r>
          </w:p>
          <w:p w14:paraId="4754A99D">
            <w:pPr>
              <w:keepNext w:val="0"/>
              <w:keepLines w:val="0"/>
              <w:suppressLineNumbers w:val="0"/>
              <w:spacing w:before="0" w:beforeAutospacing="0" w:after="0" w:afterAutospacing="0" w:line="360" w:lineRule="auto"/>
              <w:ind w:left="0" w:right="0"/>
              <w:rPr>
                <w:rFonts w:hint="eastAsia" w:ascii="仿宋" w:hAnsi="仿宋" w:eastAsia="仿宋" w:cs="仿宋"/>
                <w:b/>
                <w:bCs/>
                <w:iCs/>
                <w:sz w:val="24"/>
                <w:highlight w:val="none"/>
                <w:lang w:val="en-US" w:eastAsia="zh-CN"/>
              </w:rPr>
            </w:pPr>
            <w:r>
              <w:rPr>
                <w:rFonts w:hint="eastAsia" w:ascii="仿宋" w:hAnsi="仿宋" w:eastAsia="仿宋" w:cs="仿宋"/>
                <w:b/>
                <w:bCs/>
                <w:iCs/>
                <w:sz w:val="24"/>
                <w:highlight w:val="none"/>
                <w:lang w:val="en-US" w:eastAsia="zh-CN"/>
              </w:rPr>
              <w:t>开户行：中国银行股份有限公司乌鲁木齐市友好南路支行</w:t>
            </w:r>
          </w:p>
          <w:p w14:paraId="25E7793E">
            <w:pPr>
              <w:keepNext w:val="0"/>
              <w:keepLines w:val="0"/>
              <w:suppressLineNumbers w:val="0"/>
              <w:spacing w:before="0" w:beforeAutospacing="0" w:after="0" w:afterAutospacing="0" w:line="360" w:lineRule="auto"/>
              <w:ind w:left="0" w:right="0"/>
              <w:rPr>
                <w:rFonts w:hint="default" w:ascii="仿宋" w:hAnsi="仿宋" w:eastAsia="仿宋" w:cs="仿宋"/>
                <w:b/>
                <w:bCs/>
                <w:iCs/>
                <w:sz w:val="24"/>
                <w:highlight w:val="none"/>
                <w:lang w:val="en-US" w:eastAsia="zh-CN"/>
              </w:rPr>
            </w:pPr>
            <w:r>
              <w:rPr>
                <w:rFonts w:hint="eastAsia" w:ascii="仿宋" w:hAnsi="仿宋" w:eastAsia="仿宋" w:cs="仿宋"/>
                <w:b/>
                <w:bCs/>
                <w:iCs/>
                <w:sz w:val="24"/>
                <w:highlight w:val="none"/>
                <w:lang w:val="en-US" w:eastAsia="zh-CN"/>
              </w:rPr>
              <w:t>行号： 104881005062</w:t>
            </w:r>
            <w:r>
              <w:rPr>
                <w:rFonts w:hint="eastAsia" w:ascii="仿宋" w:hAnsi="仿宋" w:eastAsia="仿宋" w:cs="仿宋"/>
                <w:b/>
                <w:bCs/>
                <w:iCs/>
                <w:sz w:val="24"/>
                <w:highlight w:val="none"/>
                <w:lang w:val="en-US" w:eastAsia="zh-CN"/>
              </w:rPr>
              <w:br w:type="textWrapping"/>
            </w:r>
            <w:r>
              <w:rPr>
                <w:rFonts w:hint="eastAsia" w:ascii="仿宋" w:hAnsi="仿宋" w:eastAsia="仿宋" w:cs="仿宋"/>
                <w:b/>
                <w:bCs/>
                <w:iCs/>
                <w:sz w:val="24"/>
                <w:highlight w:val="none"/>
                <w:lang w:val="en-US" w:eastAsia="zh-CN"/>
              </w:rPr>
              <w:t>联系电话：18399604428</w:t>
            </w:r>
          </w:p>
          <w:p w14:paraId="286FF7CC">
            <w:pPr>
              <w:keepNext w:val="0"/>
              <w:keepLines w:val="0"/>
              <w:suppressLineNumbers w:val="0"/>
              <w:spacing w:before="0" w:beforeAutospacing="0" w:after="0" w:afterAutospacing="0" w:line="360" w:lineRule="auto"/>
              <w:ind w:left="0" w:right="0"/>
              <w:rPr>
                <w:rFonts w:hint="eastAsia" w:ascii="仿宋" w:hAnsi="仿宋" w:eastAsia="仿宋" w:cs="仿宋"/>
                <w:b/>
                <w:bCs/>
                <w:iCs/>
                <w:sz w:val="24"/>
                <w:highlight w:val="none"/>
                <w:lang w:val="en-US" w:eastAsia="zh-CN"/>
              </w:rPr>
            </w:pPr>
            <w:r>
              <w:rPr>
                <w:rFonts w:hint="eastAsia" w:ascii="仿宋" w:hAnsi="仿宋" w:eastAsia="仿宋" w:cs="仿宋"/>
                <w:b/>
                <w:bCs/>
                <w:iCs/>
                <w:sz w:val="24"/>
                <w:highlight w:val="none"/>
                <w:lang w:val="en-US" w:eastAsia="zh-CN"/>
              </w:rPr>
              <w:t>打款时注明投标保证金项目名称</w:t>
            </w:r>
          </w:p>
          <w:p w14:paraId="4BC4C198">
            <w:pPr>
              <w:keepNext w:val="0"/>
              <w:keepLines w:val="0"/>
              <w:suppressLineNumbers w:val="0"/>
              <w:spacing w:before="0" w:beforeAutospacing="0" w:after="0" w:afterAutospacing="0" w:line="360" w:lineRule="auto"/>
              <w:ind w:left="0" w:right="0"/>
              <w:rPr>
                <w:rFonts w:hint="default" w:ascii="仿宋" w:hAnsi="仿宋" w:eastAsia="仿宋" w:cs="仿宋"/>
                <w:b/>
                <w:bCs/>
                <w:iCs/>
                <w:sz w:val="24"/>
                <w:highlight w:val="none"/>
              </w:rPr>
            </w:pPr>
            <w:r>
              <w:rPr>
                <w:rFonts w:hint="eastAsia" w:ascii="仿宋" w:hAnsi="仿宋" w:eastAsia="仿宋" w:cs="仿宋"/>
                <w:b/>
                <w:bCs/>
                <w:iCs/>
                <w:sz w:val="24"/>
                <w:highlight w:val="none"/>
              </w:rPr>
              <w:t>到账截止时间</w:t>
            </w:r>
            <w:r>
              <w:rPr>
                <w:rFonts w:hint="default" w:ascii="仿宋" w:hAnsi="仿宋" w:eastAsia="仿宋" w:cs="仿宋"/>
                <w:b/>
                <w:bCs/>
                <w:iCs/>
                <w:sz w:val="24"/>
                <w:highlight w:val="none"/>
              </w:rPr>
              <w:t>：</w:t>
            </w:r>
            <w:r>
              <w:rPr>
                <w:rFonts w:hint="eastAsia" w:ascii="仿宋" w:hAnsi="仿宋" w:eastAsia="仿宋" w:cs="仿宋"/>
                <w:b/>
                <w:bCs/>
                <w:iCs/>
                <w:sz w:val="24"/>
                <w:highlight w:val="none"/>
                <w:lang w:val="en-US" w:eastAsia="zh-CN"/>
              </w:rPr>
              <w:t>2026年6月16日11:00（北京时间）</w:t>
            </w:r>
            <w:r>
              <w:rPr>
                <w:rFonts w:hint="default" w:ascii="仿宋" w:hAnsi="仿宋" w:eastAsia="仿宋" w:cs="仿宋"/>
                <w:b/>
                <w:bCs/>
                <w:iCs/>
                <w:sz w:val="24"/>
                <w:highlight w:val="none"/>
              </w:rPr>
              <w:t>。</w:t>
            </w:r>
          </w:p>
          <w:p w14:paraId="09B3CC6A">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注：1.《中华人民共和国政府采购法实施条例》第三十三条：招标文件</w:t>
            </w:r>
          </w:p>
          <w:p w14:paraId="16CC0372">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要求投标人提交投标保证金的，投标保证金不得超过采购项目预算金额</w:t>
            </w:r>
          </w:p>
          <w:p w14:paraId="556E72CB">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的 2%。投标保证金应当以支票、汇票、本票或者金融机构、担保机构出</w:t>
            </w:r>
          </w:p>
          <w:p w14:paraId="7BBC0F9D">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具的保函等非现金形式提交。投标人未按照招标文件要求提交投标保证</w:t>
            </w:r>
          </w:p>
          <w:p w14:paraId="4B6DD470">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金的，投标无效。</w:t>
            </w:r>
          </w:p>
          <w:p w14:paraId="1AF01BE1">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2.根据《关于在政府采购活动中进一步推动开展信用担保工作的通知》，鼓励使用电子保函。</w:t>
            </w:r>
          </w:p>
          <w:p w14:paraId="0034666E">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3.使用保函的，保函的有效期不得低于投标有效期。</w:t>
            </w:r>
          </w:p>
          <w:p w14:paraId="28A71E7B">
            <w:pPr>
              <w:keepNext w:val="0"/>
              <w:keepLines w:val="0"/>
              <w:suppressLineNumbers w:val="0"/>
              <w:spacing w:before="0" w:beforeAutospacing="0" w:after="0" w:afterAutospacing="0" w:line="240" w:lineRule="atLeast"/>
              <w:ind w:left="0" w:right="0"/>
              <w:rPr>
                <w:rFonts w:hint="eastAsia" w:ascii="仿宋" w:hAnsi="仿宋" w:eastAsia="仿宋" w:cs="仿宋"/>
                <w:i/>
                <w:color w:val="auto"/>
                <w:sz w:val="24"/>
                <w:highlight w:val="none"/>
                <w:lang w:val="en-US" w:eastAsia="zh-CN"/>
              </w:rPr>
            </w:pPr>
            <w:r>
              <w:rPr>
                <w:rFonts w:hint="eastAsia" w:ascii="仿宋" w:hAnsi="仿宋" w:eastAsia="仿宋" w:cs="仿宋"/>
                <w:color w:val="auto"/>
                <w:sz w:val="24"/>
                <w:highlight w:val="none"/>
                <w:lang w:val="en-US" w:eastAsia="zh-CN"/>
              </w:rPr>
              <w:t>4.退还保证金：开评标结束后，根据</w:t>
            </w:r>
            <w:r>
              <w:rPr>
                <w:rFonts w:hint="eastAsia" w:ascii="仿宋" w:hAnsi="仿宋" w:eastAsia="仿宋" w:cs="仿宋"/>
                <w:color w:val="auto"/>
                <w:sz w:val="24"/>
                <w:highlight w:val="none"/>
              </w:rPr>
              <w:t xml:space="preserve">《政府采购货物和服务招标投标管理办法》（财政部第 </w:t>
            </w:r>
            <w:r>
              <w:rPr>
                <w:rFonts w:hint="eastAsia" w:ascii="仿宋" w:hAnsi="仿宋" w:eastAsia="仿宋" w:cs="仿宋"/>
                <w:color w:val="auto"/>
                <w:sz w:val="24"/>
                <w:highlight w:val="none"/>
                <w:lang w:val="en-US" w:eastAsia="zh-CN"/>
              </w:rPr>
              <w:t>87</w:t>
            </w:r>
            <w:r>
              <w:rPr>
                <w:rFonts w:hint="eastAsia" w:ascii="仿宋" w:hAnsi="仿宋" w:eastAsia="仿宋" w:cs="仿宋"/>
                <w:color w:val="auto"/>
                <w:sz w:val="24"/>
                <w:highlight w:val="none"/>
              </w:rPr>
              <w:t xml:space="preserve"> 号令）</w:t>
            </w:r>
            <w:r>
              <w:rPr>
                <w:rFonts w:hint="eastAsia" w:ascii="仿宋" w:hAnsi="仿宋" w:eastAsia="仿宋" w:cs="仿宋"/>
                <w:color w:val="auto"/>
                <w:sz w:val="24"/>
                <w:highlight w:val="none"/>
                <w:lang w:val="en-US" w:eastAsia="zh-CN"/>
              </w:rPr>
              <w:t>第三十八条投标人在投标截止时间前撤回已提交的投标文件的，采购人或者采购代理机构应当自收到投标人书面撤回通知之日起5个工作日内，退还已收取的投标保证金，但因投标人自身原因导致无法及时退还的除外。采购人或者采购代理机构应当自中标通知书发出之日起5个工作日内退还未中标人的投标保证金，自采购合同签订之日起5个工作日内退还中标人的投标保证金或者转为中标人的履约保证金。</w:t>
            </w:r>
          </w:p>
        </w:tc>
      </w:tr>
      <w:tr w14:paraId="4F93D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381" w:type="dxa"/>
            <w:noWrap w:val="0"/>
            <w:vAlign w:val="center"/>
          </w:tcPr>
          <w:p w14:paraId="285C87AD">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13.1</w:t>
            </w:r>
          </w:p>
        </w:tc>
        <w:tc>
          <w:tcPr>
            <w:tcW w:w="7604" w:type="dxa"/>
            <w:noWrap w:val="0"/>
            <w:vAlign w:val="center"/>
          </w:tcPr>
          <w:p w14:paraId="6858D9CC">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投标有效期：　</w:t>
            </w:r>
            <w:r>
              <w:rPr>
                <w:rFonts w:hint="eastAsia" w:ascii="仿宋" w:hAnsi="仿宋" w:eastAsia="仿宋" w:cs="仿宋"/>
                <w:color w:val="auto"/>
                <w:sz w:val="24"/>
                <w:highlight w:val="none"/>
                <w:u w:val="single"/>
                <w:lang w:val="en-US" w:eastAsia="zh-CN"/>
              </w:rPr>
              <w:t>　90　　</w:t>
            </w:r>
            <w:r>
              <w:rPr>
                <w:rFonts w:hint="eastAsia" w:ascii="仿宋" w:hAnsi="仿宋" w:eastAsia="仿宋" w:cs="仿宋"/>
                <w:color w:val="auto"/>
                <w:sz w:val="24"/>
                <w:highlight w:val="none"/>
                <w:lang w:val="en-US" w:eastAsia="zh-CN"/>
              </w:rPr>
              <w:t>日历日</w:t>
            </w:r>
          </w:p>
        </w:tc>
      </w:tr>
      <w:tr w14:paraId="5616E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381" w:type="dxa"/>
            <w:noWrap w:val="0"/>
            <w:vAlign w:val="center"/>
          </w:tcPr>
          <w:p w14:paraId="33728475">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14.1</w:t>
            </w:r>
          </w:p>
        </w:tc>
        <w:tc>
          <w:tcPr>
            <w:tcW w:w="7604" w:type="dxa"/>
            <w:noWrap w:val="0"/>
            <w:vAlign w:val="center"/>
          </w:tcPr>
          <w:p w14:paraId="6CAAC64A">
            <w:pPr>
              <w:keepNext w:val="0"/>
              <w:keepLines w:val="0"/>
              <w:suppressLineNumbers w:val="0"/>
              <w:spacing w:before="0" w:beforeAutospacing="0" w:after="0" w:afterAutospacing="0" w:line="240" w:lineRule="atLeast"/>
              <w:ind w:left="0" w:right="0"/>
              <w:rPr>
                <w:rFonts w:hint="eastAsia" w:ascii="仿宋" w:hAnsi="仿宋" w:eastAsia="仿宋" w:cs="仿宋"/>
                <w:b/>
                <w:bCs/>
                <w:color w:val="auto"/>
                <w:kern w:val="0"/>
                <w:sz w:val="24"/>
                <w:szCs w:val="24"/>
                <w:highlight w:val="none"/>
                <w:u w:val="none"/>
                <w:lang w:val="en-US" w:eastAsia="zh-CN"/>
              </w:rPr>
            </w:pPr>
            <w:r>
              <w:rPr>
                <w:rFonts w:hint="eastAsia" w:ascii="仿宋" w:hAnsi="仿宋" w:eastAsia="仿宋" w:cs="仿宋"/>
                <w:b/>
                <w:bCs/>
                <w:color w:val="auto"/>
                <w:kern w:val="0"/>
                <w:sz w:val="24"/>
                <w:szCs w:val="24"/>
                <w:highlight w:val="none"/>
                <w:u w:val="none"/>
                <w:lang w:val="en-US" w:eastAsia="zh-CN"/>
              </w:rPr>
              <w:t xml:space="preserve">投标文件包括： </w:t>
            </w:r>
          </w:p>
          <w:p w14:paraId="54D46902">
            <w:pPr>
              <w:keepNext w:val="0"/>
              <w:keepLines w:val="0"/>
              <w:suppressLineNumbers w:val="0"/>
              <w:spacing w:before="0" w:beforeAutospacing="0" w:after="0" w:afterAutospacing="0" w:line="240" w:lineRule="atLeast"/>
              <w:ind w:left="0" w:right="0"/>
              <w:rPr>
                <w:rFonts w:hint="eastAsia" w:ascii="仿宋" w:hAnsi="仿宋" w:eastAsia="仿宋" w:cs="仿宋"/>
                <w:b/>
                <w:bCs/>
                <w:color w:val="auto"/>
                <w:kern w:val="0"/>
                <w:sz w:val="24"/>
                <w:szCs w:val="24"/>
                <w:highlight w:val="none"/>
                <w:u w:val="none"/>
                <w:lang w:val="en-US" w:eastAsia="zh-CN"/>
              </w:rPr>
            </w:pPr>
            <w:r>
              <w:rPr>
                <w:rFonts w:hint="eastAsia" w:ascii="仿宋" w:hAnsi="仿宋" w:eastAsia="仿宋" w:cs="仿宋"/>
                <w:b/>
                <w:bCs/>
                <w:color w:val="auto"/>
                <w:kern w:val="0"/>
                <w:sz w:val="24"/>
                <w:szCs w:val="24"/>
                <w:highlight w:val="none"/>
                <w:u w:val="none"/>
                <w:lang w:val="en-US" w:eastAsia="zh-CN"/>
              </w:rPr>
              <w:t xml:space="preserve">1.加密的电子投标文件，在投标截止时间前通过新疆维吾尔自治区政府采购网上传； </w:t>
            </w:r>
          </w:p>
          <w:p w14:paraId="32240346">
            <w:pPr>
              <w:pStyle w:val="39"/>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备注：因投标人自身原因导致解密失败的，将导致其投标被拒绝且投标文件被退回；但因网上招标系统故障导致所有投标人均解密失败时，使用投标人未加密的电子投标文件进行开评标。未按照招标代理要求及时提供未加密电子投标文件导致解密失败的，由投标人自行承担责任，默认解密时长为：30分钟。</w:t>
            </w:r>
          </w:p>
        </w:tc>
      </w:tr>
      <w:tr w14:paraId="13198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381" w:type="dxa"/>
            <w:noWrap w:val="0"/>
            <w:vAlign w:val="center"/>
          </w:tcPr>
          <w:p w14:paraId="67417F17">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16.1</w:t>
            </w:r>
          </w:p>
        </w:tc>
        <w:tc>
          <w:tcPr>
            <w:tcW w:w="7604" w:type="dxa"/>
            <w:noWrap w:val="0"/>
            <w:vAlign w:val="center"/>
          </w:tcPr>
          <w:p w14:paraId="4C3F9752">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auto"/>
                <w:sz w:val="24"/>
                <w:szCs w:val="24"/>
                <w:highlight w:val="none"/>
                <w:u w:val="single"/>
                <w:lang w:val="en-US" w:eastAsia="zh-CN"/>
              </w:rPr>
              <w:t>2026年6月16日11点00分（北京时间）</w:t>
            </w:r>
          </w:p>
        </w:tc>
      </w:tr>
      <w:tr w14:paraId="15D63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81" w:type="dxa"/>
            <w:noWrap w:val="0"/>
            <w:vAlign w:val="center"/>
          </w:tcPr>
          <w:p w14:paraId="56F80DFC">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18.1</w:t>
            </w:r>
          </w:p>
        </w:tc>
        <w:tc>
          <w:tcPr>
            <w:tcW w:w="7604" w:type="dxa"/>
            <w:noWrap w:val="0"/>
            <w:vAlign w:val="center"/>
          </w:tcPr>
          <w:p w14:paraId="4CE6E06E">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u w:val="single"/>
                <w:lang w:val="en-US" w:eastAsia="zh-CN"/>
              </w:rPr>
              <w:t>2026年6月16日11点00分（北京时间）</w:t>
            </w:r>
          </w:p>
          <w:p w14:paraId="4469C87C">
            <w:pPr>
              <w:keepNext w:val="0"/>
              <w:keepLines w:val="0"/>
              <w:suppressLineNumbers w:val="0"/>
              <w:spacing w:before="0" w:beforeAutospacing="0" w:after="0" w:afterAutospacing="0" w:line="240" w:lineRule="atLeast"/>
              <w:ind w:left="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开标地点：</w:t>
            </w:r>
            <w:r>
              <w:rPr>
                <w:rFonts w:hint="eastAsia" w:ascii="仿宋" w:hAnsi="仿宋" w:eastAsia="仿宋" w:cs="仿宋"/>
                <w:color w:val="auto"/>
                <w:sz w:val="24"/>
                <w:szCs w:val="24"/>
                <w:highlight w:val="none"/>
                <w:u w:val="single"/>
                <w:lang w:val="en-US" w:eastAsia="zh-CN"/>
              </w:rPr>
              <w:t>政采云平台</w:t>
            </w:r>
          </w:p>
        </w:tc>
      </w:tr>
      <w:tr w14:paraId="411B0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8" w:hRule="atLeast"/>
        </w:trPr>
        <w:tc>
          <w:tcPr>
            <w:tcW w:w="1381" w:type="dxa"/>
            <w:noWrap w:val="0"/>
            <w:vAlign w:val="center"/>
          </w:tcPr>
          <w:p w14:paraId="7199CF85">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23.2</w:t>
            </w:r>
          </w:p>
        </w:tc>
        <w:tc>
          <w:tcPr>
            <w:tcW w:w="7604" w:type="dxa"/>
            <w:noWrap w:val="0"/>
            <w:vAlign w:val="center"/>
          </w:tcPr>
          <w:p w14:paraId="008E5BDA">
            <w:pPr>
              <w:keepNext w:val="0"/>
              <w:keepLines w:val="0"/>
              <w:suppressLineNumbers w:val="0"/>
              <w:spacing w:before="0" w:beforeAutospacing="0" w:after="0" w:afterAutospacing="0" w:line="240" w:lineRule="atLeast"/>
              <w:ind w:left="0" w:right="0"/>
              <w:rPr>
                <w:rFonts w:hint="eastAsia" w:ascii="仿宋" w:hAnsi="仿宋" w:eastAsia="仿宋" w:cs="仿宋"/>
                <w:i/>
                <w:color w:val="auto"/>
                <w:sz w:val="24"/>
                <w:szCs w:val="24"/>
                <w:highlight w:val="none"/>
              </w:rPr>
            </w:pPr>
            <w:r>
              <w:rPr>
                <w:rFonts w:hint="eastAsia" w:ascii="仿宋" w:hAnsi="仿宋" w:eastAsia="仿宋" w:cs="仿宋"/>
                <w:color w:val="auto"/>
                <w:sz w:val="24"/>
                <w:szCs w:val="24"/>
                <w:highlight w:val="none"/>
              </w:rPr>
              <w:t>评标方法：适用</w:t>
            </w:r>
            <w:r>
              <w:rPr>
                <w:rFonts w:hint="eastAsia" w:ascii="仿宋" w:hAnsi="仿宋" w:eastAsia="仿宋" w:cs="仿宋"/>
                <w:color w:val="auto"/>
                <w:sz w:val="24"/>
                <w:szCs w:val="24"/>
                <w:highlight w:val="none"/>
                <w:u w:val="single"/>
              </w:rPr>
              <w:t>　中华人民共和国财政部令第87号</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政府采购货物和服务招标投标管理办法第五十五条综合评分法　　</w:t>
            </w:r>
            <w:r>
              <w:rPr>
                <w:rFonts w:hint="eastAsia" w:ascii="仿宋" w:hAnsi="仿宋" w:eastAsia="仿宋" w:cs="仿宋"/>
                <w:color w:val="auto"/>
                <w:sz w:val="24"/>
                <w:szCs w:val="24"/>
                <w:highlight w:val="none"/>
              </w:rPr>
              <w:t>　　　　　</w:t>
            </w:r>
          </w:p>
        </w:tc>
      </w:tr>
      <w:tr w14:paraId="106D3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81" w:type="dxa"/>
            <w:noWrap w:val="0"/>
            <w:vAlign w:val="center"/>
          </w:tcPr>
          <w:p w14:paraId="66BB340D">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27</w:t>
            </w:r>
          </w:p>
        </w:tc>
        <w:tc>
          <w:tcPr>
            <w:tcW w:w="7604" w:type="dxa"/>
            <w:noWrap w:val="0"/>
            <w:vAlign w:val="center"/>
          </w:tcPr>
          <w:p w14:paraId="39E10127">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推荐中标候选供应商的数量：</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lang w:eastAsia="zh-CN"/>
              </w:rPr>
              <w:t>三名</w:t>
            </w:r>
            <w:r>
              <w:rPr>
                <w:rFonts w:hint="eastAsia" w:ascii="仿宋" w:hAnsi="仿宋" w:eastAsia="仿宋" w:cs="仿宋"/>
                <w:color w:val="auto"/>
                <w:sz w:val="24"/>
                <w:szCs w:val="24"/>
                <w:highlight w:val="none"/>
                <w:u w:val="single"/>
              </w:rPr>
              <w:t xml:space="preserve">   　　</w:t>
            </w:r>
          </w:p>
        </w:tc>
      </w:tr>
      <w:tr w14:paraId="59F99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6" w:hRule="atLeast"/>
        </w:trPr>
        <w:tc>
          <w:tcPr>
            <w:tcW w:w="1381" w:type="dxa"/>
            <w:noWrap w:val="0"/>
            <w:vAlign w:val="center"/>
          </w:tcPr>
          <w:p w14:paraId="4F784BE5">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27</w:t>
            </w:r>
          </w:p>
        </w:tc>
        <w:tc>
          <w:tcPr>
            <w:tcW w:w="7604" w:type="dxa"/>
            <w:noWrap w:val="0"/>
            <w:vAlign w:val="center"/>
          </w:tcPr>
          <w:p w14:paraId="0CF88724">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招标人是否委托评标委员会直接确定中标人：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否</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i/>
                <w:color w:val="auto"/>
                <w:sz w:val="24"/>
                <w:szCs w:val="24"/>
                <w:highlight w:val="none"/>
              </w:rPr>
              <w:t>（是、否）</w:t>
            </w:r>
          </w:p>
        </w:tc>
      </w:tr>
      <w:tr w14:paraId="05626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trPr>
        <w:tc>
          <w:tcPr>
            <w:tcW w:w="1381" w:type="dxa"/>
            <w:noWrap w:val="0"/>
            <w:vAlign w:val="center"/>
          </w:tcPr>
          <w:p w14:paraId="1B42DF56">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w:t>
            </w:r>
          </w:p>
        </w:tc>
        <w:tc>
          <w:tcPr>
            <w:tcW w:w="7604" w:type="dxa"/>
            <w:noWrap w:val="0"/>
            <w:vAlign w:val="center"/>
          </w:tcPr>
          <w:p w14:paraId="785D4891">
            <w:pPr>
              <w:keepNext w:val="0"/>
              <w:keepLines w:val="0"/>
              <w:suppressLineNumbers w:val="0"/>
              <w:spacing w:before="0" w:beforeAutospacing="0" w:after="0" w:afterAutospacing="0"/>
              <w:ind w:left="0" w:right="0"/>
              <w:rPr>
                <w:rFonts w:hint="eastAsia" w:ascii="仿宋" w:hAnsi="仿宋" w:eastAsia="仿宋" w:cs="仿宋"/>
                <w:color w:val="auto"/>
                <w:kern w:val="0"/>
                <w:sz w:val="24"/>
                <w:szCs w:val="24"/>
                <w:highlight w:val="yellow"/>
                <w:lang w:val="en-US" w:eastAsia="zh-CN" w:bidi="ar-SA"/>
              </w:rPr>
            </w:pPr>
            <w:r>
              <w:rPr>
                <w:rFonts w:hint="eastAsia" w:ascii="仿宋" w:hAnsi="仿宋" w:eastAsia="仿宋" w:cs="仿宋"/>
                <w:kern w:val="0"/>
                <w:sz w:val="24"/>
                <w:szCs w:val="24"/>
                <w:lang w:eastAsia="zh-CN"/>
              </w:rPr>
              <w:t>代理</w:t>
            </w:r>
            <w:r>
              <w:rPr>
                <w:rFonts w:hint="eastAsia" w:ascii="仿宋" w:hAnsi="仿宋" w:eastAsia="仿宋" w:cs="仿宋"/>
                <w:kern w:val="0"/>
                <w:sz w:val="24"/>
                <w:szCs w:val="24"/>
              </w:rPr>
              <w:t>服务费</w:t>
            </w:r>
            <w:r>
              <w:rPr>
                <w:rFonts w:hint="eastAsia" w:ascii="仿宋" w:hAnsi="仿宋" w:eastAsia="仿宋" w:cs="仿宋"/>
                <w:kern w:val="0"/>
                <w:sz w:val="24"/>
                <w:szCs w:val="24"/>
                <w:highlight w:val="none"/>
              </w:rPr>
              <w:t>：</w:t>
            </w:r>
            <w:r>
              <w:rPr>
                <w:rFonts w:hint="eastAsia" w:ascii="仿宋" w:hAnsi="仿宋" w:eastAsia="仿宋" w:cs="仿宋"/>
                <w:kern w:val="0"/>
                <w:sz w:val="22"/>
                <w:szCs w:val="22"/>
                <w:highlight w:val="none"/>
              </w:rPr>
              <w:t>由中标单位支付，</w:t>
            </w:r>
            <w:r>
              <w:rPr>
                <w:rFonts w:hint="eastAsia" w:ascii="仿宋" w:hAnsi="仿宋" w:eastAsia="仿宋" w:cs="仿宋"/>
                <w:kern w:val="0"/>
                <w:sz w:val="22"/>
                <w:szCs w:val="22"/>
                <w:highlight w:val="none"/>
                <w:lang w:val="en-US" w:eastAsia="zh-CN"/>
              </w:rPr>
              <w:t>参考</w:t>
            </w:r>
            <w:r>
              <w:rPr>
                <w:rFonts w:hint="eastAsia" w:ascii="仿宋" w:hAnsi="仿宋" w:eastAsia="仿宋" w:cs="仿宋"/>
                <w:kern w:val="0"/>
                <w:sz w:val="22"/>
                <w:szCs w:val="22"/>
                <w:highlight w:val="none"/>
              </w:rPr>
              <w:t>发改价格[20</w:t>
            </w:r>
            <w:r>
              <w:rPr>
                <w:rFonts w:hint="eastAsia" w:ascii="仿宋" w:hAnsi="仿宋" w:eastAsia="仿宋" w:cs="仿宋"/>
                <w:kern w:val="0"/>
                <w:sz w:val="22"/>
                <w:szCs w:val="22"/>
                <w:highlight w:val="none"/>
                <w:lang w:val="en-US" w:eastAsia="zh-CN"/>
              </w:rPr>
              <w:t>02</w:t>
            </w:r>
            <w:r>
              <w:rPr>
                <w:rFonts w:hint="eastAsia" w:ascii="仿宋" w:hAnsi="仿宋" w:eastAsia="仿宋" w:cs="仿宋"/>
                <w:kern w:val="0"/>
                <w:sz w:val="22"/>
                <w:szCs w:val="22"/>
                <w:highlight w:val="none"/>
              </w:rPr>
              <w:t>]</w:t>
            </w:r>
            <w:r>
              <w:rPr>
                <w:rFonts w:hint="eastAsia" w:ascii="仿宋" w:hAnsi="仿宋" w:eastAsia="仿宋" w:cs="仿宋"/>
                <w:kern w:val="0"/>
                <w:sz w:val="22"/>
                <w:szCs w:val="22"/>
                <w:highlight w:val="none"/>
                <w:lang w:val="en-US" w:eastAsia="zh-CN"/>
              </w:rPr>
              <w:t>1980</w:t>
            </w:r>
            <w:r>
              <w:rPr>
                <w:rFonts w:hint="eastAsia" w:ascii="仿宋" w:hAnsi="仿宋" w:eastAsia="仿宋" w:cs="仿宋"/>
                <w:kern w:val="0"/>
                <w:sz w:val="22"/>
                <w:szCs w:val="22"/>
                <w:highlight w:val="none"/>
              </w:rPr>
              <w:t>号文件，经甲乙双方协商，签订政府采购项目委托代理协议书收取，具体收费如下：100万以下按 1.5%收取，100万-</w:t>
            </w:r>
            <w:r>
              <w:rPr>
                <w:rFonts w:hint="eastAsia" w:ascii="仿宋" w:hAnsi="仿宋" w:eastAsia="仿宋" w:cs="仿宋"/>
                <w:kern w:val="0"/>
                <w:sz w:val="22"/>
                <w:szCs w:val="22"/>
                <w:highlight w:val="none"/>
                <w:lang w:val="en-US" w:eastAsia="zh-CN"/>
              </w:rPr>
              <w:t>5</w:t>
            </w:r>
            <w:r>
              <w:rPr>
                <w:rFonts w:hint="eastAsia" w:ascii="仿宋" w:hAnsi="仿宋" w:eastAsia="仿宋" w:cs="仿宋"/>
                <w:kern w:val="0"/>
                <w:sz w:val="22"/>
                <w:szCs w:val="22"/>
                <w:highlight w:val="none"/>
              </w:rPr>
              <w:t>00万按1.</w:t>
            </w:r>
            <w:r>
              <w:rPr>
                <w:rFonts w:hint="eastAsia" w:ascii="仿宋" w:hAnsi="仿宋" w:eastAsia="仿宋" w:cs="仿宋"/>
                <w:kern w:val="0"/>
                <w:sz w:val="22"/>
                <w:szCs w:val="22"/>
                <w:highlight w:val="none"/>
                <w:lang w:val="en-US" w:eastAsia="zh-CN"/>
              </w:rPr>
              <w:t>1</w:t>
            </w:r>
            <w:r>
              <w:rPr>
                <w:rFonts w:hint="eastAsia" w:ascii="仿宋" w:hAnsi="仿宋" w:eastAsia="仿宋" w:cs="仿宋"/>
                <w:kern w:val="0"/>
                <w:sz w:val="22"/>
                <w:szCs w:val="22"/>
                <w:highlight w:val="none"/>
              </w:rPr>
              <w:t>%收取，</w:t>
            </w:r>
            <w:r>
              <w:rPr>
                <w:rFonts w:hint="eastAsia" w:ascii="仿宋" w:hAnsi="仿宋" w:eastAsia="仿宋" w:cs="仿宋"/>
                <w:kern w:val="0"/>
                <w:sz w:val="22"/>
                <w:szCs w:val="22"/>
                <w:highlight w:val="none"/>
                <w:lang w:val="en-US" w:eastAsia="zh-CN"/>
              </w:rPr>
              <w:t>5</w:t>
            </w:r>
            <w:r>
              <w:rPr>
                <w:rFonts w:hint="eastAsia" w:ascii="仿宋" w:hAnsi="仿宋" w:eastAsia="仿宋" w:cs="仿宋"/>
                <w:kern w:val="0"/>
                <w:sz w:val="22"/>
                <w:szCs w:val="22"/>
                <w:highlight w:val="none"/>
              </w:rPr>
              <w:t>00万-</w:t>
            </w:r>
            <w:r>
              <w:rPr>
                <w:rFonts w:hint="eastAsia" w:ascii="仿宋" w:hAnsi="仿宋" w:eastAsia="仿宋" w:cs="仿宋"/>
                <w:kern w:val="0"/>
                <w:sz w:val="22"/>
                <w:szCs w:val="22"/>
                <w:highlight w:val="none"/>
                <w:lang w:val="en-US" w:eastAsia="zh-CN"/>
              </w:rPr>
              <w:t>10</w:t>
            </w:r>
            <w:r>
              <w:rPr>
                <w:rFonts w:hint="eastAsia" w:ascii="仿宋" w:hAnsi="仿宋" w:eastAsia="仿宋" w:cs="仿宋"/>
                <w:kern w:val="0"/>
                <w:sz w:val="22"/>
                <w:szCs w:val="22"/>
                <w:highlight w:val="none"/>
              </w:rPr>
              <w:t>00万按0.8%，按实际中标金额累计差额收取。</w:t>
            </w:r>
            <w:r>
              <w:rPr>
                <w:rFonts w:hint="eastAsia" w:ascii="仿宋" w:hAnsi="仿宋" w:eastAsia="仿宋" w:cs="仿宋"/>
                <w:color w:val="auto"/>
                <w:kern w:val="0"/>
                <w:sz w:val="22"/>
                <w:szCs w:val="22"/>
                <w:highlight w:val="none"/>
                <w:lang w:val="en-US" w:eastAsia="zh-CN" w:bidi="ar-SA"/>
              </w:rPr>
              <w:t>（由中标单位支付）。</w:t>
            </w:r>
          </w:p>
          <w:p w14:paraId="4786BC18">
            <w:pPr>
              <w:pStyle w:val="39"/>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支付形式：对公转账                              </w:t>
            </w:r>
          </w:p>
          <w:p w14:paraId="73C4BFA2">
            <w:pPr>
              <w:pStyle w:val="39"/>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支付时间：领取中标通知书时由中标方支付一次性支付</w:t>
            </w:r>
          </w:p>
        </w:tc>
      </w:tr>
      <w:tr w14:paraId="621D4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7" w:hRule="atLeast"/>
        </w:trPr>
        <w:tc>
          <w:tcPr>
            <w:tcW w:w="1381" w:type="dxa"/>
            <w:noWrap w:val="0"/>
            <w:vAlign w:val="center"/>
          </w:tcPr>
          <w:p w14:paraId="40630010">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33.1</w:t>
            </w:r>
          </w:p>
        </w:tc>
        <w:tc>
          <w:tcPr>
            <w:tcW w:w="7604" w:type="dxa"/>
            <w:noWrap w:val="0"/>
            <w:vAlign w:val="center"/>
          </w:tcPr>
          <w:p w14:paraId="7517D9B2">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本项目是否属于信用担保试点范围：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否</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i/>
                <w:color w:val="auto"/>
                <w:sz w:val="24"/>
                <w:szCs w:val="24"/>
                <w:highlight w:val="none"/>
              </w:rPr>
              <w:t>（是、否）</w:t>
            </w:r>
          </w:p>
        </w:tc>
      </w:tr>
      <w:tr w14:paraId="021CD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81" w:type="dxa"/>
            <w:noWrap w:val="0"/>
            <w:vAlign w:val="center"/>
          </w:tcPr>
          <w:p w14:paraId="53A7669D">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33.2</w:t>
            </w:r>
          </w:p>
        </w:tc>
        <w:tc>
          <w:tcPr>
            <w:tcW w:w="7604" w:type="dxa"/>
            <w:noWrap w:val="0"/>
            <w:vAlign w:val="center"/>
          </w:tcPr>
          <w:p w14:paraId="2D38F887">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政府采购专业担保机构：</w:t>
            </w:r>
          </w:p>
          <w:p w14:paraId="3D4894E5">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信用担保专业的担保机构：莎车县宏远融资担保有限责任公司 </w:t>
            </w:r>
          </w:p>
          <w:p w14:paraId="56D39264">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联系人：王升 </w:t>
            </w:r>
          </w:p>
          <w:p w14:paraId="1E5ADEEB">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联系电话：18699899296</w:t>
            </w:r>
          </w:p>
          <w:p w14:paraId="0A185F0E">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地址：莎车县新城路16号</w:t>
            </w:r>
          </w:p>
          <w:p w14:paraId="5ADA68A1">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邮箱：245462334@qq.com</w:t>
            </w:r>
          </w:p>
          <w:p w14:paraId="03A4EDB1">
            <w:pPr>
              <w:keepNext w:val="0"/>
              <w:keepLines w:val="0"/>
              <w:suppressLineNumbers w:val="0"/>
              <w:spacing w:before="0" w:beforeAutospacing="0" w:after="0" w:afterAutospacing="0" w:line="240" w:lineRule="atLeast"/>
              <w:ind w:left="0" w:right="0"/>
              <w:rPr>
                <w:rFonts w:hint="eastAsia" w:ascii="仿宋" w:hAnsi="仿宋" w:eastAsia="仿宋" w:cs="仿宋"/>
                <w:sz w:val="24"/>
                <w:szCs w:val="24"/>
                <w:lang w:eastAsia="zh-CN"/>
              </w:rPr>
            </w:pPr>
            <w:r>
              <w:rPr>
                <w:rFonts w:hint="eastAsia" w:ascii="仿宋" w:hAnsi="仿宋" w:eastAsia="仿宋" w:cs="仿宋"/>
                <w:color w:val="auto"/>
                <w:kern w:val="0"/>
                <w:sz w:val="24"/>
                <w:szCs w:val="24"/>
                <w:highlight w:val="none"/>
                <w:lang w:val="en-US" w:eastAsia="zh-CN" w:bidi="ar-SA"/>
              </w:rPr>
              <w:t>注：“以上担保机构只是给投标商多一个选择，最终选择哪个机构由投标单位自己决定，不论选择哪个合法的担保机构，不影响正常项目投标。”</w:t>
            </w:r>
          </w:p>
        </w:tc>
      </w:tr>
      <w:tr w14:paraId="124B5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81" w:type="dxa"/>
            <w:noWrap w:val="0"/>
            <w:vAlign w:val="center"/>
          </w:tcPr>
          <w:p w14:paraId="242247BD">
            <w:pPr>
              <w:keepNext w:val="0"/>
              <w:keepLines w:val="0"/>
              <w:suppressLineNumbers w:val="0"/>
              <w:spacing w:before="0" w:beforeAutospacing="0" w:after="0" w:afterAutospacing="0" w:line="240" w:lineRule="atLeast"/>
              <w:ind w:left="1080" w:leftChars="257" w:right="0" w:hanging="54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36.3</w:t>
            </w:r>
          </w:p>
        </w:tc>
        <w:tc>
          <w:tcPr>
            <w:tcW w:w="7604" w:type="dxa"/>
            <w:noWrap w:val="0"/>
            <w:vAlign w:val="center"/>
          </w:tcPr>
          <w:p w14:paraId="0188E0C6">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质疑函</w:t>
            </w:r>
            <w:r>
              <w:rPr>
                <w:rFonts w:hint="eastAsia" w:ascii="仿宋" w:hAnsi="仿宋" w:eastAsia="仿宋" w:cs="仿宋"/>
                <w:color w:val="auto"/>
                <w:sz w:val="24"/>
                <w:szCs w:val="24"/>
                <w:highlight w:val="none"/>
              </w:rPr>
              <w:t>接收部门：</w:t>
            </w:r>
            <w:r>
              <w:rPr>
                <w:rFonts w:hint="eastAsia" w:ascii="仿宋" w:hAnsi="仿宋" w:eastAsia="仿宋" w:cs="仿宋"/>
                <w:color w:val="auto"/>
                <w:sz w:val="24"/>
                <w:szCs w:val="24"/>
                <w:highlight w:val="none"/>
                <w:u w:val="single"/>
                <w:lang w:eastAsia="zh-CN"/>
              </w:rPr>
              <w:t>新疆金正建设工程管理有限公司招标部</w:t>
            </w:r>
          </w:p>
          <w:p w14:paraId="6C5F9A50">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lang w:val="en-US" w:eastAsia="zh-CN"/>
              </w:rPr>
              <w:t xml:space="preserve">18399604428   </w:t>
            </w:r>
            <w:r>
              <w:rPr>
                <w:rFonts w:hint="eastAsia" w:ascii="仿宋" w:hAnsi="仿宋" w:eastAsia="仿宋" w:cs="仿宋"/>
                <w:color w:val="auto"/>
                <w:sz w:val="24"/>
                <w:szCs w:val="24"/>
                <w:highlight w:val="none"/>
                <w:lang w:val="en-US" w:eastAsia="zh-CN"/>
              </w:rPr>
              <w:t xml:space="preserve">    递交形式：</w:t>
            </w:r>
            <w:r>
              <w:rPr>
                <w:rFonts w:hint="eastAsia" w:ascii="仿宋" w:hAnsi="仿宋" w:eastAsia="仿宋" w:cs="仿宋"/>
                <w:color w:val="auto"/>
                <w:sz w:val="24"/>
                <w:szCs w:val="24"/>
                <w:highlight w:val="none"/>
                <w:u w:val="single"/>
                <w:lang w:val="en-US" w:eastAsia="zh-CN"/>
              </w:rPr>
              <w:t>书面形式</w:t>
            </w:r>
          </w:p>
          <w:p w14:paraId="7A8EA4A3">
            <w:pPr>
              <w:keepNext w:val="0"/>
              <w:keepLines w:val="0"/>
              <w:pageBreakBefore w:val="0"/>
              <w:suppressLineNumbers w:val="0"/>
              <w:kinsoku/>
              <w:wordWrap/>
              <w:overflowPunct/>
              <w:topLinePunct w:val="0"/>
              <w:autoSpaceDE/>
              <w:autoSpaceDN/>
              <w:bidi w:val="0"/>
              <w:adjustRightInd/>
              <w:spacing w:before="0" w:beforeAutospacing="0" w:after="0" w:afterAutospacing="0" w:line="348" w:lineRule="auto"/>
              <w:ind w:left="0" w:right="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single"/>
                <w:lang w:val="en-US" w:eastAsia="zh-CN"/>
              </w:rPr>
              <w:t>新疆喀什市明宇广场写字楼19层</w:t>
            </w:r>
          </w:p>
        </w:tc>
      </w:tr>
      <w:tr w14:paraId="30B09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81" w:type="dxa"/>
            <w:noWrap w:val="0"/>
            <w:vAlign w:val="center"/>
          </w:tcPr>
          <w:p w14:paraId="199FD377">
            <w:pPr>
              <w:keepNext w:val="0"/>
              <w:keepLines w:val="0"/>
              <w:suppressLineNumbers w:val="0"/>
              <w:spacing w:before="0" w:beforeAutospacing="0" w:after="0" w:afterAutospacing="0" w:line="240" w:lineRule="atLeast"/>
              <w:ind w:left="1080" w:leftChars="257" w:right="0" w:hanging="54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36.10</w:t>
            </w:r>
          </w:p>
        </w:tc>
        <w:tc>
          <w:tcPr>
            <w:tcW w:w="7604" w:type="dxa"/>
            <w:noWrap w:val="0"/>
            <w:vAlign w:val="center"/>
          </w:tcPr>
          <w:p w14:paraId="24E37DFF">
            <w:pPr>
              <w:keepNext w:val="0"/>
              <w:keepLines w:val="0"/>
              <w:pageBreakBefore w:val="0"/>
              <w:suppressLineNumbers w:val="0"/>
              <w:kinsoku/>
              <w:wordWrap/>
              <w:overflowPunct/>
              <w:topLinePunct w:val="0"/>
              <w:autoSpaceDE/>
              <w:autoSpaceDN/>
              <w:bidi w:val="0"/>
              <w:adjustRightInd/>
              <w:spacing w:before="0" w:beforeAutospacing="0" w:after="0" w:afterAutospacing="0" w:line="348" w:lineRule="auto"/>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受理投诉的方式、联系部门、联系电话和通讯地址等信息</w:t>
            </w:r>
            <w:r>
              <w:rPr>
                <w:rFonts w:hint="eastAsia" w:ascii="仿宋" w:hAnsi="仿宋" w:eastAsia="仿宋" w:cs="仿宋"/>
                <w:color w:val="auto"/>
                <w:sz w:val="24"/>
                <w:szCs w:val="24"/>
                <w:highlight w:val="none"/>
                <w:lang w:eastAsia="zh-CN"/>
              </w:rPr>
              <w:t>请在新疆政府采购网“政府采购投诉联系方式”模块查询。</w:t>
            </w:r>
          </w:p>
        </w:tc>
      </w:tr>
      <w:tr w14:paraId="2C4F7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985" w:type="dxa"/>
            <w:gridSpan w:val="2"/>
            <w:tcBorders>
              <w:top w:val="single" w:color="auto" w:sz="12" w:space="0"/>
              <w:left w:val="single" w:color="auto" w:sz="12" w:space="0"/>
              <w:bottom w:val="single" w:color="auto" w:sz="12" w:space="0"/>
              <w:right w:val="single" w:color="auto" w:sz="12" w:space="0"/>
            </w:tcBorders>
            <w:noWrap w:val="0"/>
            <w:vAlign w:val="center"/>
          </w:tcPr>
          <w:p w14:paraId="1AC8464D">
            <w:pPr>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适用于本投标人须知的额外增加的变动：</w:t>
            </w:r>
          </w:p>
        </w:tc>
      </w:tr>
      <w:tr w14:paraId="7ACD9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5" w:hRule="atLeast"/>
        </w:trPr>
        <w:tc>
          <w:tcPr>
            <w:tcW w:w="1381" w:type="dxa"/>
            <w:noWrap w:val="0"/>
            <w:vAlign w:val="center"/>
          </w:tcPr>
          <w:p w14:paraId="556435AE">
            <w:pPr>
              <w:keepNext w:val="0"/>
              <w:keepLines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7604" w:type="dxa"/>
            <w:noWrap w:val="0"/>
            <w:vAlign w:val="center"/>
          </w:tcPr>
          <w:p w14:paraId="33678D75">
            <w:pPr>
              <w:keepNext w:val="0"/>
              <w:keepLines w:val="0"/>
              <w:suppressLineNumbers w:val="0"/>
              <w:tabs>
                <w:tab w:val="left" w:pos="5580"/>
              </w:tabs>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投标人提供</w:t>
            </w:r>
            <w:r>
              <w:rPr>
                <w:rFonts w:hint="eastAsia" w:ascii="仿宋" w:hAnsi="仿宋" w:eastAsia="仿宋" w:cs="仿宋"/>
                <w:color w:val="auto"/>
                <w:sz w:val="24"/>
                <w:szCs w:val="24"/>
                <w:highlight w:val="none"/>
                <w:u w:val="single"/>
                <w:lang w:val="en-US" w:eastAsia="zh-CN"/>
              </w:rPr>
              <w:t>提供2025年完整的财务审计报告（成立未满十二个月的新公司可提供近三个月内任意一个月的银行资信证明）；</w:t>
            </w:r>
          </w:p>
        </w:tc>
      </w:tr>
      <w:tr w14:paraId="4FD5C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1" w:hRule="atLeast"/>
        </w:trPr>
        <w:tc>
          <w:tcPr>
            <w:tcW w:w="1381" w:type="dxa"/>
            <w:noWrap w:val="0"/>
            <w:vAlign w:val="center"/>
          </w:tcPr>
          <w:p w14:paraId="1EE72D3C">
            <w:pPr>
              <w:keepNext w:val="0"/>
              <w:keepLines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7604" w:type="dxa"/>
            <w:noWrap w:val="0"/>
            <w:vAlign w:val="center"/>
          </w:tcPr>
          <w:p w14:paraId="575BC89A">
            <w:pPr>
              <w:keepNext w:val="0"/>
              <w:keepLines w:val="0"/>
              <w:suppressLineNumbers w:val="0"/>
              <w:spacing w:before="0" w:beforeAutospacing="0" w:after="0" w:afterAutospacing="0"/>
              <w:ind w:left="0" w:right="0"/>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付款方式要求：</w:t>
            </w:r>
            <w:r>
              <w:rPr>
                <w:rFonts w:hint="eastAsia" w:ascii="仿宋" w:hAnsi="仿宋" w:eastAsia="仿宋" w:cs="仿宋"/>
                <w:bCs/>
                <w:sz w:val="24"/>
                <w:szCs w:val="24"/>
                <w:highlight w:val="none"/>
                <w:lang w:eastAsia="zh-CN"/>
              </w:rPr>
              <w:t>签订合同后中标单位需缴纳5%履约保证金，经甲乙双方协商，第一年签订合同后预付30%，完成供货、安装、调试、验收投入使用后，支付合同金额30%；第二年支付合同金额20%；第三年自合同签订之日起至第三年服务期完成后，经审计合格，支付剩余合同金额20%（具体以实际签订为准）</w:t>
            </w:r>
          </w:p>
          <w:p w14:paraId="36F3ED47">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bCs/>
                <w:sz w:val="24"/>
                <w:szCs w:val="24"/>
                <w:highlight w:val="none"/>
              </w:rPr>
              <w:t>付款方式：汇票/电汇/支票</w:t>
            </w:r>
            <w:r>
              <w:rPr>
                <w:rFonts w:hint="eastAsia" w:ascii="仿宋" w:hAnsi="仿宋" w:eastAsia="仿宋" w:cs="仿宋"/>
                <w:sz w:val="24"/>
                <w:szCs w:val="24"/>
                <w:highlight w:val="none"/>
              </w:rPr>
              <w:t>（</w:t>
            </w:r>
            <w:r>
              <w:rPr>
                <w:rFonts w:hint="eastAsia" w:ascii="仿宋" w:hAnsi="仿宋" w:eastAsia="仿宋" w:cs="仿宋"/>
                <w:bCs/>
                <w:sz w:val="24"/>
                <w:szCs w:val="24"/>
                <w:highlight w:val="none"/>
                <w:lang w:eastAsia="zh-CN"/>
              </w:rPr>
              <w:t>具体以实际签订为准</w:t>
            </w:r>
            <w:r>
              <w:rPr>
                <w:rFonts w:hint="eastAsia" w:ascii="仿宋" w:hAnsi="仿宋" w:eastAsia="仿宋" w:cs="仿宋"/>
                <w:sz w:val="24"/>
                <w:szCs w:val="24"/>
                <w:highlight w:val="none"/>
              </w:rPr>
              <w:t>）</w:t>
            </w:r>
          </w:p>
        </w:tc>
      </w:tr>
      <w:tr w14:paraId="682B6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3" w:hRule="atLeast"/>
        </w:trPr>
        <w:tc>
          <w:tcPr>
            <w:tcW w:w="1381" w:type="dxa"/>
            <w:noWrap w:val="0"/>
            <w:vAlign w:val="center"/>
          </w:tcPr>
          <w:p w14:paraId="57EE8E0F">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7604" w:type="dxa"/>
            <w:shd w:val="clear" w:color="auto" w:fill="auto"/>
            <w:noWrap w:val="0"/>
            <w:vAlign w:val="center"/>
          </w:tcPr>
          <w:p w14:paraId="4ED4CDDA">
            <w:pPr>
              <w:keepNext w:val="0"/>
              <w:keepLines w:val="0"/>
              <w:suppressLineNumbers w:val="0"/>
              <w:spacing w:before="0" w:beforeAutospacing="0" w:after="0" w:afterAutospacing="0"/>
              <w:ind w:left="0" w:right="0"/>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eastAsia="zh-CN"/>
              </w:rPr>
              <w:t>：签订合同之日起60天内完成供货、安装、调试、验收（具体以实际签订为准）及后期售后服务。</w:t>
            </w:r>
            <w:r>
              <w:rPr>
                <w:rFonts w:hint="eastAsia" w:ascii="仿宋" w:hAnsi="仿宋" w:eastAsia="仿宋" w:cs="仿宋"/>
                <w:color w:val="auto"/>
                <w:sz w:val="24"/>
                <w:szCs w:val="24"/>
                <w:highlight w:val="none"/>
                <w:lang w:eastAsia="zh-CN"/>
              </w:rPr>
              <w:br w:type="textWrapping"/>
            </w:r>
            <w:r>
              <w:rPr>
                <w:rFonts w:hint="eastAsia" w:ascii="仿宋" w:hAnsi="仿宋" w:eastAsia="仿宋" w:cs="仿宋"/>
                <w:sz w:val="24"/>
                <w:szCs w:val="24"/>
                <w:highlight w:val="none"/>
                <w:lang w:val="en-US" w:eastAsia="zh-CN"/>
              </w:rPr>
              <w:t>服务期限/租赁期:3年（自合同签订之日起计算，具体以实际签订为准）</w:t>
            </w:r>
          </w:p>
        </w:tc>
      </w:tr>
      <w:tr w14:paraId="21A5F4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3" w:hRule="atLeast"/>
        </w:trPr>
        <w:tc>
          <w:tcPr>
            <w:tcW w:w="1381" w:type="dxa"/>
            <w:noWrap w:val="0"/>
            <w:vAlign w:val="center"/>
          </w:tcPr>
          <w:p w14:paraId="3235BF51">
            <w:pPr>
              <w:keepNext w:val="0"/>
              <w:keepLines w:val="0"/>
              <w:suppressLineNumbers w:val="0"/>
              <w:spacing w:before="0" w:beforeAutospacing="0" w:after="0" w:afterAutospacing="0" w:line="240" w:lineRule="atLeast"/>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7604" w:type="dxa"/>
            <w:shd w:val="clear" w:color="auto" w:fill="auto"/>
            <w:noWrap w:val="0"/>
            <w:vAlign w:val="center"/>
          </w:tcPr>
          <w:p w14:paraId="7C8B45DA">
            <w:pPr>
              <w:keepNext w:val="0"/>
              <w:keepLines w:val="0"/>
              <w:suppressLineNumbers w:val="0"/>
              <w:spacing w:before="0" w:beforeAutospacing="0" w:after="0" w:afterAutospacing="0"/>
              <w:ind w:left="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履约保证金金额：合同总价的5%</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履约保证金形式：法律允许的所有形式</w:t>
            </w:r>
          </w:p>
        </w:tc>
      </w:tr>
      <w:tr w14:paraId="194EC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atLeast"/>
        </w:trPr>
        <w:tc>
          <w:tcPr>
            <w:tcW w:w="1381" w:type="dxa"/>
            <w:noWrap w:val="0"/>
            <w:vAlign w:val="top"/>
          </w:tcPr>
          <w:p w14:paraId="78FD06CE">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p w14:paraId="41D2137C">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p w14:paraId="7FFD8C81">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7604" w:type="dxa"/>
            <w:noWrap w:val="0"/>
            <w:vAlign w:val="center"/>
          </w:tcPr>
          <w:p w14:paraId="66B85502">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0528D9D8">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2.本项目实行网上投标，采用电子投标文件（供应商须使用CA加密设备通过政采云电子投标客户端制作投标文件）。若供应商参与投标，自行承担投标一切费用。</w:t>
            </w:r>
          </w:p>
          <w:p w14:paraId="4EF4F20E">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p>
          <w:p w14:paraId="2AB1F5BD">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3EAE02C1">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5.供应商在开标时须使用制作加密电子投标文件所使用的CA锁及电脑，电脑须提前配置好浏览器（建议使用谷歌浏览器），以便开标时解锁。</w:t>
            </w:r>
          </w:p>
          <w:p w14:paraId="1100E3DD">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6.投标保证金缴纳及确认时间：凡拟参加本次招标项目的供应商，必须在开标前将投标保证金汇入指定账户。投标保证金汇款凭证上用途栏应注明：招标项目名称+投标保证金。</w:t>
            </w:r>
          </w:p>
          <w:p w14:paraId="4A5145E7">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056A2CA9">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8.政采云线上获取招标文件方法：供应商登录政采云平台http://www.zcygov.cn/在线申请获取采购文件（登录政府采购云平台 → 项目采购 → 获取采购文件 → 申请，审核通过后可下载招标文件，如有操作性问题，可与政采云在线客服进行咨询，咨询电话：95763）</w:t>
            </w:r>
          </w:p>
        </w:tc>
      </w:tr>
      <w:tr w14:paraId="0B6B8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381" w:type="dxa"/>
            <w:noWrap w:val="0"/>
            <w:vAlign w:val="top"/>
          </w:tcPr>
          <w:p w14:paraId="72892B30">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p w14:paraId="54913EFF">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p w14:paraId="48E0E382">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p w14:paraId="7A75C1B6">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p w14:paraId="3825776E">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p w14:paraId="4A173B03">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p w14:paraId="0C695796">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p w14:paraId="1024FF06">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7604" w:type="dxa"/>
            <w:noWrap w:val="0"/>
            <w:vAlign w:val="center"/>
          </w:tcPr>
          <w:p w14:paraId="5BE0734C">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1.请投标单位提前自学线上开标流程；投标截止时间当天，请投标人自备电脑及CA锁进行投标文件解密以及操作投标事项，投标人应提前调试好在线参标电脑的各项配置。 </w:t>
            </w:r>
          </w:p>
          <w:p w14:paraId="639CCC7F">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2.本项目投标前上传电子版投标文件，如电子开标完成后采购人需要提供纸质版的投标文件，投标单位须出具相应份数的与电子投标文件一致的纸质投标文件。 </w:t>
            </w:r>
          </w:p>
          <w:p w14:paraId="01CB33DB">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3.投标人对招标文件中采购清单、技术需求、商务条件等如有疑义，应当及时提出，否则视为充分理解招标文件各项要求。 </w:t>
            </w:r>
          </w:p>
          <w:p w14:paraId="05322B01">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4.本次采用政府采购云平台线上招标、投标，请各潜在投标人及时办理CA锁和学习政府采购云平台线上投标相关知识。在政府采购云平台登录后，进行下载招标文件。请各投标人获取招标文件后及时关注云平台答疑文件获取栏目。具体相关事宜见政府采购云平台。 </w:t>
            </w:r>
          </w:p>
          <w:p w14:paraId="3FDC4EA4">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5.本项目采用资格后审，请投标人仔细阅读招标文件和各项要求， 制作文件及相关资料过程中，若因投标人资格条件不符、提供资料 不全等原因导致投标文件予以退还，责任自负。 </w:t>
            </w:r>
          </w:p>
          <w:p w14:paraId="6AB84B37">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6.招标文件中如有内容冲突的地方，以投标须知要求为准。</w:t>
            </w:r>
          </w:p>
        </w:tc>
      </w:tr>
      <w:tr w14:paraId="1FB13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81" w:type="dxa"/>
            <w:noWrap w:val="0"/>
            <w:vAlign w:val="center"/>
          </w:tcPr>
          <w:p w14:paraId="4F8C51A5">
            <w:pPr>
              <w:keepNext w:val="0"/>
              <w:keepLines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7604" w:type="dxa"/>
            <w:noWrap w:val="0"/>
            <w:vAlign w:val="center"/>
          </w:tcPr>
          <w:p w14:paraId="43B9EB2B">
            <w:pPr>
              <w:pStyle w:val="33"/>
              <w:keepNext w:val="0"/>
              <w:keepLines w:val="0"/>
              <w:widowControl/>
              <w:suppressLineNumbers w:val="0"/>
              <w:spacing w:line="420" w:lineRule="atLeast"/>
              <w:ind w:left="0" w:firstLine="42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中小企业划型标准规定</w:t>
            </w:r>
          </w:p>
          <w:p w14:paraId="2C046C62">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一、根据《中华人民共和国中小企业促进法》和《国务院关于进一步促进中小企业发展的若干意见》(（国发〔2009〕〔2009〕36号），制定本规定。</w:t>
            </w:r>
          </w:p>
          <w:p w14:paraId="2E647635">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二、中小企业划分为中型、小型、微型三种类型，具体标准根据企业从业人员、营业收入、资产总额等指标，结合行业特点制定。</w:t>
            </w:r>
          </w:p>
          <w:p w14:paraId="7A6FC8E0">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4EF0E78">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四、各行业划型标准为：</w:t>
            </w:r>
          </w:p>
          <w:p w14:paraId="589A0DBE">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（一）农、林、牧、渔业。营业收入20000万元以下的为中小微型企业。其中，营业收入500万元及以上的为中型企业，营业收入50万元及以上的为小型企业，营业收入50万元以下的为微型企业。</w:t>
            </w:r>
          </w:p>
          <w:p w14:paraId="531D3C89">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4FA0101">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9FBB5CD">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856DE8E">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4217B5D">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交通运输业。从业人员1000人以下或营业收入30000万元以下的为中小微型企业。其中，从业人员300人及以上，且营业收入3000万元及以上的为中型企业；从业人员20人及以上，且营业收入220万元及以上的为小型企业；从业人员20人以下或营业收入220万元以下的为微型企业。</w:t>
            </w:r>
          </w:p>
          <w:p w14:paraId="3EAE1063">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31409E5">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C695FC6">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ACCC80">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09AB13A">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7C1E6E6">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4AA78C5">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FB86C5C">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63AC735">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1DB94A7">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（十六）其他未列明行业。从业人员300人以下的为中小微型企业。其中，从业人员100人及以上的为中型企业；从业人员10人及以上的为小型企业；从业人员10人以下的为微型企业。</w:t>
            </w:r>
          </w:p>
          <w:p w14:paraId="7319B2EA">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五、企业类型的划分以统计部门的统计数据为依据。</w:t>
            </w:r>
          </w:p>
          <w:p w14:paraId="47210E07">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六、本规定适用于在中华人民共和国境内依法设立的各类所有制和各种组织形式的企业。个体工商户和本规定以外的行业，参照本规定进行划型。</w:t>
            </w:r>
          </w:p>
          <w:p w14:paraId="242426CC">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七、本规定的中型企业标准上限即为大型企业标准的下限，国家统计部门据此制定大中小微型企业的统计分类。国务院有关部门据此进行相关数据分析，不得制定与本规定不一致的企业划型标准。</w:t>
            </w:r>
          </w:p>
          <w:p w14:paraId="66D3F73D">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八、本规定由工业和信息化部、国家统计局会同有关部门根据《国民经济行业分类》修订情况和企业发展变化情况适时修订。</w:t>
            </w:r>
          </w:p>
          <w:p w14:paraId="3E69646F">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九、本规定由工业和信息化部、国家统计局会同有关部门负责解释。</w:t>
            </w:r>
          </w:p>
          <w:p w14:paraId="5D3D12FB">
            <w:pPr>
              <w:pStyle w:val="33"/>
              <w:keepNext w:val="0"/>
              <w:keepLines w:val="0"/>
              <w:widowControl/>
              <w:suppressLineNumbers w:val="0"/>
              <w:spacing w:line="420" w:lineRule="atLeast"/>
              <w:rPr>
                <w:rFonts w:hint="eastAsia" w:ascii="仿宋" w:hAnsi="仿宋" w:eastAsia="仿宋" w:cs="仿宋"/>
                <w:color w:val="auto"/>
                <w:sz w:val="24"/>
                <w:highlight w:val="none"/>
                <w:lang w:eastAsia="zh-CN"/>
              </w:rPr>
            </w:pPr>
            <w:r>
              <w:rPr>
                <w:rFonts w:hint="eastAsia" w:ascii="仿宋" w:hAnsi="仿宋" w:eastAsia="仿宋" w:cs="仿宋"/>
                <w:color w:val="auto"/>
                <w:kern w:val="2"/>
                <w:sz w:val="24"/>
                <w:szCs w:val="24"/>
                <w:highlight w:val="none"/>
                <w:lang w:val="en-US" w:eastAsia="zh-CN" w:bidi="ar-SA"/>
              </w:rPr>
              <w:t>十、本规定自发布之日起执行，原国家经贸委、原国家计委、财政部和国家统计局2003年颁布的《中小企业标准暂行规定》同时废止。</w:t>
            </w:r>
          </w:p>
        </w:tc>
      </w:tr>
      <w:tr w14:paraId="758C0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81" w:type="dxa"/>
            <w:noWrap w:val="0"/>
            <w:vAlign w:val="center"/>
          </w:tcPr>
          <w:p w14:paraId="4F4D74BC">
            <w:pPr>
              <w:keepNext w:val="0"/>
              <w:keepLines w:val="0"/>
              <w:suppressLineNumbers w:val="0"/>
              <w:spacing w:before="0" w:beforeAutospacing="0" w:after="0" w:afterAutospacing="0" w:line="240" w:lineRule="atLeast"/>
              <w:ind w:left="1080" w:leftChars="257" w:right="0" w:hanging="540"/>
              <w:jc w:val="both"/>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7604" w:type="dxa"/>
            <w:noWrap w:val="0"/>
            <w:vAlign w:val="center"/>
          </w:tcPr>
          <w:p w14:paraId="6D9F28AC">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低于成本价不正当竞争预防措施：</w:t>
            </w:r>
          </w:p>
          <w:p w14:paraId="46A23B8D">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（1）根据“ 财政部 87 号令《政府采购服务服务招标投标管理办法》” 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77E5D618">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（2）根据财政部《关于推动解决政府采购异常低价问题的通知》〔财库〔2026〕2号〕政府采购评审中出现下列情形之一的，评审委员会应当启动异常低价投标（响应）审查程序：</w:t>
            </w:r>
          </w:p>
          <w:p w14:paraId="36AD9FF3">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1.投标（响应）报价低于全部通过符合性审查供应商投标（响应）报价平均值50%的，即投标（响应）报价&lt;全部通过符合性审查供应商投标（响应）报价平均值×50%；</w:t>
            </w:r>
          </w:p>
          <w:p w14:paraId="07836D53">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4E174606">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3.投标（响应）报价低于采购项目最高限价45%的，即投标（响应）报价&lt;采购项目最高限价×45%；</w:t>
            </w:r>
          </w:p>
          <w:p w14:paraId="37D56016">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4.评审委员会基于专业判断，认为供应商报价过低，有可能影响产品质量或者不能诚信履约的其他情形。</w:t>
            </w:r>
          </w:p>
          <w:p w14:paraId="6806467D">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采购人可以结合具体项目实际情况，提高上述第1项至第3项中启动异常低价投标（响应）审查的数值标准，但是最高不得超过65%。</w:t>
            </w:r>
          </w:p>
          <w:p w14:paraId="24ADA9DE">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相关法律法规对供应商报价有规定的，从其规定。</w:t>
            </w:r>
          </w:p>
          <w:p w14:paraId="00427D2F">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93CC84F">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24ECA538">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提供说明后，评标委员会应当结合采购项目采购需求、专业实际情况、供应商财务状况报告、与其他供应商比较情况等就供应商说明进行审查评价。供应商拒绝或者变相拒绝提供有效说明或者说明不能证明其报价合理性的，评标委员会应当将其投标文件作为无效处理。</w:t>
            </w:r>
          </w:p>
        </w:tc>
      </w:tr>
      <w:tr w14:paraId="72F8A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81" w:type="dxa"/>
            <w:noWrap w:val="0"/>
            <w:vAlign w:val="center"/>
          </w:tcPr>
          <w:p w14:paraId="0C6582C4">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7604" w:type="dxa"/>
            <w:noWrap w:val="0"/>
            <w:vAlign w:val="center"/>
          </w:tcPr>
          <w:p w14:paraId="422E9134">
            <w:pPr>
              <w:pStyle w:val="33"/>
              <w:keepNext w:val="0"/>
              <w:keepLines w:val="0"/>
              <w:widowControl/>
              <w:suppressLineNumbers w:val="0"/>
              <w:spacing w:line="420" w:lineRule="atLeast"/>
              <w:rPr>
                <w:rFonts w:hint="eastAsia" w:ascii="仿宋" w:hAnsi="仿宋" w:eastAsia="宋体"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标的所属行业：其他服务业</w:t>
            </w:r>
          </w:p>
        </w:tc>
      </w:tr>
    </w:tbl>
    <w:p w14:paraId="3AA32825">
      <w:pPr>
        <w:spacing w:line="240" w:lineRule="atLeast"/>
        <w:ind w:left="1080" w:leftChars="257" w:hanging="540"/>
        <w:rPr>
          <w:rFonts w:hint="eastAsia" w:ascii="仿宋" w:hAnsi="仿宋" w:eastAsia="仿宋" w:cs="仿宋"/>
          <w:color w:val="auto"/>
          <w:sz w:val="24"/>
          <w:highlight w:val="none"/>
        </w:rPr>
        <w:sectPr>
          <w:headerReference r:id="rId10" w:type="default"/>
          <w:footerReference r:id="rId11" w:type="default"/>
          <w:pgSz w:w="11906" w:h="16838"/>
          <w:pgMar w:top="1440" w:right="1489" w:bottom="1440" w:left="1377" w:header="851" w:footer="992" w:gutter="0"/>
          <w:pgBorders>
            <w:top w:val="none" w:sz="0" w:space="0"/>
            <w:left w:val="none" w:sz="0" w:space="0"/>
            <w:bottom w:val="none" w:sz="0" w:space="0"/>
            <w:right w:val="none" w:sz="0" w:space="0"/>
          </w:pgBorders>
          <w:pgNumType w:fmt="decimal"/>
          <w:cols w:space="720" w:num="1"/>
          <w:docGrid w:linePitch="312" w:charSpace="0"/>
        </w:sectPr>
      </w:pPr>
    </w:p>
    <w:p w14:paraId="15DC2721">
      <w:pPr>
        <w:tabs>
          <w:tab w:val="left" w:pos="10290"/>
        </w:tabs>
        <w:jc w:val="center"/>
        <w:rPr>
          <w:rFonts w:hint="eastAsia" w:ascii="仿宋" w:hAnsi="仿宋" w:eastAsia="仿宋" w:cs="仿宋"/>
          <w:b/>
          <w:color w:val="auto"/>
          <w:kern w:val="0"/>
          <w:sz w:val="32"/>
          <w:szCs w:val="32"/>
          <w:highlight w:val="none"/>
        </w:rPr>
      </w:pPr>
      <w:bookmarkStart w:id="456" w:name="_Toc216582811"/>
      <w:bookmarkStart w:id="457" w:name="_Toc219175635"/>
      <w:bookmarkStart w:id="458" w:name="_Toc216513787"/>
      <w:bookmarkStart w:id="459" w:name="_Toc218935351"/>
      <w:r>
        <w:rPr>
          <w:rFonts w:hint="eastAsia" w:ascii="仿宋" w:hAnsi="仿宋" w:eastAsia="仿宋" w:cs="仿宋"/>
          <w:b/>
          <w:color w:val="auto"/>
          <w:kern w:val="0"/>
          <w:sz w:val="32"/>
          <w:szCs w:val="32"/>
          <w:highlight w:val="none"/>
        </w:rPr>
        <w:t>资格审查表</w:t>
      </w:r>
    </w:p>
    <w:tbl>
      <w:tblPr>
        <w:tblStyle w:val="40"/>
        <w:tblpPr w:leftFromText="180" w:rightFromText="180" w:vertAnchor="text" w:horzAnchor="page" w:tblpX="1208" w:tblpY="60"/>
        <w:tblOverlap w:val="never"/>
        <w:tblW w:w="14357" w:type="dxa"/>
        <w:jc w:val="center"/>
        <w:tblLayout w:type="fixed"/>
        <w:tblCellMar>
          <w:top w:w="0" w:type="dxa"/>
          <w:left w:w="108" w:type="dxa"/>
          <w:bottom w:w="0" w:type="dxa"/>
          <w:right w:w="108" w:type="dxa"/>
        </w:tblCellMar>
      </w:tblPr>
      <w:tblGrid>
        <w:gridCol w:w="645"/>
        <w:gridCol w:w="1870"/>
        <w:gridCol w:w="984"/>
        <w:gridCol w:w="1281"/>
        <w:gridCol w:w="1563"/>
        <w:gridCol w:w="947"/>
        <w:gridCol w:w="3350"/>
        <w:gridCol w:w="1213"/>
        <w:gridCol w:w="867"/>
        <w:gridCol w:w="880"/>
        <w:gridCol w:w="757"/>
      </w:tblGrid>
      <w:tr w14:paraId="1AA01FBE">
        <w:tblPrEx>
          <w:tblCellMar>
            <w:top w:w="0" w:type="dxa"/>
            <w:left w:w="108" w:type="dxa"/>
            <w:bottom w:w="0" w:type="dxa"/>
            <w:right w:w="108" w:type="dxa"/>
          </w:tblCellMar>
        </w:tblPrEx>
        <w:trPr>
          <w:trHeight w:val="554" w:hRule="atLeast"/>
          <w:jc w:val="center"/>
        </w:trPr>
        <w:tc>
          <w:tcPr>
            <w:tcW w:w="645" w:type="dxa"/>
            <w:vMerge w:val="restart"/>
            <w:tcBorders>
              <w:top w:val="single" w:color="auto" w:sz="4" w:space="0"/>
              <w:left w:val="single" w:color="auto" w:sz="4" w:space="0"/>
              <w:bottom w:val="single" w:color="auto" w:sz="4" w:space="0"/>
              <w:right w:val="single" w:color="auto" w:sz="4" w:space="0"/>
            </w:tcBorders>
            <w:vAlign w:val="center"/>
          </w:tcPr>
          <w:p w14:paraId="6EA610B9">
            <w:pPr>
              <w:keepNext w:val="0"/>
              <w:keepLines w:val="0"/>
              <w:suppressLineNumbers w:val="0"/>
              <w:spacing w:before="0" w:beforeAutospacing="0" w:after="0" w:afterAutospacing="0"/>
              <w:ind w:left="0" w:right="0"/>
              <w:jc w:val="center"/>
              <w:rPr>
                <w:rFonts w:hint="eastAsia" w:ascii="仿宋" w:hAnsi="仿宋" w:eastAsia="仿宋" w:cs="仿宋"/>
                <w:sz w:val="24"/>
                <w:lang w:eastAsia="zh-CN"/>
              </w:rPr>
            </w:pPr>
            <w:r>
              <w:rPr>
                <w:rFonts w:hint="eastAsia" w:ascii="仿宋" w:hAnsi="仿宋" w:eastAsia="仿宋" w:cs="仿宋"/>
                <w:sz w:val="24"/>
                <w:lang w:eastAsia="zh-CN"/>
              </w:rPr>
              <w:t>投标人名称</w:t>
            </w:r>
          </w:p>
        </w:tc>
        <w:tc>
          <w:tcPr>
            <w:tcW w:w="13712" w:type="dxa"/>
            <w:gridSpan w:val="10"/>
            <w:tcBorders>
              <w:top w:val="single" w:color="auto" w:sz="4" w:space="0"/>
              <w:left w:val="nil"/>
              <w:bottom w:val="single" w:color="auto" w:sz="4" w:space="0"/>
              <w:right w:val="single" w:color="auto" w:sz="4" w:space="0"/>
            </w:tcBorders>
            <w:vAlign w:val="center"/>
          </w:tcPr>
          <w:p w14:paraId="5BC053BB">
            <w:pPr>
              <w:keepNext w:val="0"/>
              <w:keepLines w:val="0"/>
              <w:suppressLineNumbers w:val="0"/>
              <w:spacing w:before="0" w:beforeAutospacing="0" w:after="0" w:afterAutospacing="0"/>
              <w:ind w:left="0" w:right="0"/>
              <w:jc w:val="center"/>
              <w:rPr>
                <w:rFonts w:hint="eastAsia" w:ascii="仿宋" w:hAnsi="仿宋" w:eastAsia="仿宋" w:cs="仿宋"/>
                <w:sz w:val="24"/>
                <w:lang w:eastAsia="zh-CN"/>
              </w:rPr>
            </w:pPr>
            <w:r>
              <w:rPr>
                <w:rFonts w:hint="eastAsia" w:ascii="仿宋" w:hAnsi="仿宋" w:eastAsia="仿宋" w:cs="仿宋"/>
                <w:sz w:val="24"/>
                <w:lang w:eastAsia="zh-CN"/>
              </w:rPr>
              <w:t>审查内容</w:t>
            </w:r>
          </w:p>
        </w:tc>
      </w:tr>
      <w:tr w14:paraId="0FF08E3B">
        <w:tblPrEx>
          <w:tblCellMar>
            <w:top w:w="0" w:type="dxa"/>
            <w:left w:w="108" w:type="dxa"/>
            <w:bottom w:w="0" w:type="dxa"/>
            <w:right w:w="108" w:type="dxa"/>
          </w:tblCellMar>
        </w:tblPrEx>
        <w:trPr>
          <w:trHeight w:val="6513" w:hRule="atLeast"/>
          <w:jc w:val="center"/>
        </w:trPr>
        <w:tc>
          <w:tcPr>
            <w:tcW w:w="645" w:type="dxa"/>
            <w:vMerge w:val="continue"/>
            <w:tcBorders>
              <w:top w:val="single" w:color="auto" w:sz="4" w:space="0"/>
              <w:left w:val="single" w:color="auto" w:sz="4" w:space="0"/>
              <w:bottom w:val="single" w:color="auto" w:sz="4" w:space="0"/>
              <w:right w:val="single" w:color="auto" w:sz="4" w:space="0"/>
            </w:tcBorders>
            <w:vAlign w:val="center"/>
          </w:tcPr>
          <w:p w14:paraId="4AB59D24">
            <w:pPr>
              <w:keepNext w:val="0"/>
              <w:keepLines w:val="0"/>
              <w:suppressLineNumbers w:val="0"/>
              <w:spacing w:before="0" w:beforeAutospacing="0" w:after="0" w:afterAutospacing="0"/>
              <w:ind w:left="0" w:right="0"/>
              <w:rPr>
                <w:rFonts w:hint="eastAsia" w:ascii="仿宋" w:hAnsi="仿宋" w:eastAsia="仿宋" w:cs="仿宋"/>
                <w:sz w:val="24"/>
                <w:lang w:eastAsia="zh-CN"/>
              </w:rPr>
            </w:pPr>
          </w:p>
        </w:tc>
        <w:tc>
          <w:tcPr>
            <w:tcW w:w="1870" w:type="dxa"/>
            <w:tcBorders>
              <w:top w:val="nil"/>
              <w:left w:val="nil"/>
              <w:bottom w:val="single" w:color="auto" w:sz="4" w:space="0"/>
              <w:right w:val="single" w:color="auto" w:sz="4" w:space="0"/>
            </w:tcBorders>
            <w:vAlign w:val="center"/>
          </w:tcPr>
          <w:p w14:paraId="64F636C9">
            <w:pPr>
              <w:keepNext w:val="0"/>
              <w:keepLines w:val="0"/>
              <w:suppressLineNumbers w:val="0"/>
              <w:spacing w:before="0" w:beforeAutospacing="0" w:after="0" w:afterAutospacing="0"/>
              <w:ind w:left="0" w:right="0"/>
              <w:jc w:val="center"/>
              <w:rPr>
                <w:rFonts w:hint="eastAsia" w:ascii="仿宋" w:hAnsi="仿宋" w:eastAsia="仿宋" w:cs="仿宋"/>
                <w:sz w:val="24"/>
                <w:lang w:eastAsia="zh-CN"/>
              </w:rPr>
            </w:pPr>
            <w:r>
              <w:rPr>
                <w:rFonts w:hint="eastAsia" w:ascii="仿宋" w:hAnsi="仿宋" w:eastAsia="仿宋" w:cs="仿宋"/>
                <w:sz w:val="24"/>
                <w:lang w:eastAsia="zh-CN"/>
              </w:rPr>
              <w:t>合格有效的营业执照（三证合一）副本（原件、复印件、影印件均可）或电子营业执照打印件（需加盖公章）或同等法律效力的证明文件（发证机关或公证机关出具的证明材料原件）；法人或者非法人组织营业执照等证明文件复印件（须加盖本单位公章）或自然人的身份证明复印件</w:t>
            </w:r>
          </w:p>
        </w:tc>
        <w:tc>
          <w:tcPr>
            <w:tcW w:w="984" w:type="dxa"/>
            <w:tcBorders>
              <w:top w:val="nil"/>
              <w:left w:val="nil"/>
              <w:bottom w:val="single" w:color="auto" w:sz="4" w:space="0"/>
              <w:right w:val="single" w:color="auto" w:sz="4" w:space="0"/>
            </w:tcBorders>
            <w:vAlign w:val="center"/>
          </w:tcPr>
          <w:p w14:paraId="50E48643">
            <w:pPr>
              <w:keepNext w:val="0"/>
              <w:keepLines w:val="0"/>
              <w:suppressLineNumbers w:val="0"/>
              <w:spacing w:before="0" w:beforeAutospacing="0" w:after="0" w:afterAutospacing="0"/>
              <w:ind w:left="0" w:right="0"/>
              <w:jc w:val="center"/>
              <w:rPr>
                <w:rFonts w:hint="eastAsia" w:ascii="仿宋" w:hAnsi="仿宋" w:eastAsia="仿宋" w:cs="仿宋"/>
                <w:sz w:val="24"/>
                <w:lang w:eastAsia="zh-CN"/>
              </w:rPr>
            </w:pPr>
            <w:r>
              <w:rPr>
                <w:rFonts w:hint="eastAsia" w:ascii="仿宋" w:hAnsi="仿宋" w:eastAsia="仿宋" w:cs="仿宋"/>
                <w:sz w:val="24"/>
                <w:lang w:val="en-US" w:eastAsia="zh-CN"/>
              </w:rPr>
              <w:t>法定代表人身份证明或法定代表人授权委托书及被授权人身份证</w:t>
            </w:r>
          </w:p>
        </w:tc>
        <w:tc>
          <w:tcPr>
            <w:tcW w:w="1281" w:type="dxa"/>
            <w:tcBorders>
              <w:top w:val="nil"/>
              <w:left w:val="nil"/>
              <w:bottom w:val="single" w:color="auto" w:sz="4" w:space="0"/>
              <w:right w:val="single" w:color="auto" w:sz="4" w:space="0"/>
            </w:tcBorders>
            <w:vAlign w:val="center"/>
          </w:tcPr>
          <w:p w14:paraId="47F86E73">
            <w:pPr>
              <w:keepNext w:val="0"/>
              <w:keepLines w:val="0"/>
              <w:suppressLineNumbers w:val="0"/>
              <w:spacing w:before="0" w:beforeAutospacing="0" w:after="0" w:afterAutospacing="0"/>
              <w:ind w:left="0" w:right="0"/>
              <w:jc w:val="center"/>
              <w:rPr>
                <w:rFonts w:hint="eastAsia" w:ascii="仿宋" w:hAnsi="仿宋" w:eastAsia="仿宋" w:cs="仿宋"/>
                <w:sz w:val="24"/>
                <w:lang w:eastAsia="zh-CN"/>
              </w:rPr>
            </w:pPr>
            <w:r>
              <w:rPr>
                <w:rFonts w:hint="eastAsia" w:ascii="仿宋" w:hAnsi="仿宋" w:eastAsia="仿宋" w:cs="仿宋"/>
                <w:sz w:val="24"/>
                <w:lang w:eastAsia="zh-CN"/>
              </w:rPr>
              <w:t>近期（投标截止日期前六个月内任意一个月）依法缴纳社会保障金的缴费证明或银行出具的“银行电子缴纳社会保障金付款凭证”（新成立公司提供相关证明文件）</w:t>
            </w:r>
          </w:p>
        </w:tc>
        <w:tc>
          <w:tcPr>
            <w:tcW w:w="1563" w:type="dxa"/>
            <w:tcBorders>
              <w:top w:val="nil"/>
              <w:left w:val="nil"/>
              <w:bottom w:val="single" w:color="auto" w:sz="4" w:space="0"/>
              <w:right w:val="single" w:color="auto" w:sz="4" w:space="0"/>
            </w:tcBorders>
            <w:vAlign w:val="center"/>
          </w:tcPr>
          <w:p w14:paraId="0857E1FE">
            <w:pPr>
              <w:keepNext w:val="0"/>
              <w:keepLines w:val="0"/>
              <w:suppressLineNumbers w:val="0"/>
              <w:spacing w:before="0" w:beforeAutospacing="0" w:after="0" w:afterAutospacing="0"/>
              <w:ind w:left="0" w:right="0"/>
              <w:jc w:val="center"/>
              <w:rPr>
                <w:rFonts w:hint="eastAsia" w:ascii="仿宋" w:hAnsi="仿宋" w:eastAsia="仿宋" w:cs="仿宋"/>
                <w:sz w:val="24"/>
                <w:lang w:eastAsia="zh-CN"/>
              </w:rPr>
            </w:pPr>
            <w:r>
              <w:rPr>
                <w:rFonts w:hint="eastAsia" w:ascii="仿宋" w:hAnsi="仿宋" w:eastAsia="仿宋" w:cs="仿宋"/>
                <w:sz w:val="24"/>
                <w:lang w:eastAsia="zh-CN"/>
              </w:rPr>
              <w:t>近期（投标截止日期前六个月内任意一个月）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p>
        </w:tc>
        <w:tc>
          <w:tcPr>
            <w:tcW w:w="947" w:type="dxa"/>
            <w:tcBorders>
              <w:top w:val="nil"/>
              <w:left w:val="nil"/>
              <w:bottom w:val="single" w:color="auto" w:sz="4" w:space="0"/>
              <w:right w:val="single" w:color="auto" w:sz="4" w:space="0"/>
            </w:tcBorders>
            <w:vAlign w:val="center"/>
          </w:tcPr>
          <w:p w14:paraId="280BFCEC">
            <w:pPr>
              <w:keepNext w:val="0"/>
              <w:keepLines w:val="0"/>
              <w:suppressLineNumbers w:val="0"/>
              <w:spacing w:before="0" w:beforeAutospacing="0" w:after="0" w:afterAutospacing="0"/>
              <w:ind w:left="0" w:right="0"/>
              <w:jc w:val="center"/>
              <w:rPr>
                <w:rFonts w:hint="eastAsia" w:ascii="仿宋" w:hAnsi="仿宋" w:eastAsia="仿宋" w:cs="仿宋"/>
                <w:sz w:val="24"/>
                <w:lang w:eastAsia="zh-CN"/>
              </w:rPr>
            </w:pPr>
            <w:r>
              <w:rPr>
                <w:rFonts w:hint="eastAsia" w:ascii="仿宋" w:hAnsi="仿宋" w:eastAsia="仿宋" w:cs="仿宋"/>
                <w:sz w:val="24"/>
                <w:lang w:eastAsia="zh-CN"/>
              </w:rPr>
              <w:t>提供2025年完整的财务审计报告（成立未满十二个月的新公司可提供近三个月内任意一个月的银行资信证明）；</w:t>
            </w:r>
          </w:p>
        </w:tc>
        <w:tc>
          <w:tcPr>
            <w:tcW w:w="3350" w:type="dxa"/>
            <w:tcBorders>
              <w:top w:val="nil"/>
              <w:left w:val="nil"/>
              <w:bottom w:val="single" w:color="auto" w:sz="4" w:space="0"/>
              <w:right w:val="single" w:color="auto" w:sz="4" w:space="0"/>
            </w:tcBorders>
            <w:vAlign w:val="center"/>
          </w:tcPr>
          <w:p w14:paraId="11FC665F">
            <w:pPr>
              <w:keepNext w:val="0"/>
              <w:keepLines w:val="0"/>
              <w:suppressLineNumbers w:val="0"/>
              <w:spacing w:before="0" w:beforeAutospacing="0" w:after="0" w:afterAutospacing="0"/>
              <w:ind w:left="0" w:right="0"/>
              <w:jc w:val="center"/>
              <w:rPr>
                <w:rFonts w:hint="eastAsia" w:ascii="仿宋" w:hAnsi="仿宋" w:eastAsia="仿宋" w:cs="仿宋"/>
                <w:sz w:val="24"/>
                <w:lang w:val="en-US" w:eastAsia="zh-CN"/>
              </w:rPr>
            </w:pPr>
            <w:r>
              <w:rPr>
                <w:rFonts w:hint="eastAsia" w:ascii="仿宋" w:hAnsi="仿宋" w:eastAsia="仿宋" w:cs="仿宋"/>
                <w:sz w:val="24"/>
                <w:lang w:val="en-US" w:eastAsia="zh-CN"/>
              </w:rPr>
              <w:t>凡拟参加本次招标项目的供应商，如在“信用中国”网站（https://www.creditchina.gov.cn/）被列入失信被执行人、重大税收违法失信主体名单、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w:t>
            </w:r>
          </w:p>
          <w:p w14:paraId="385477EF">
            <w:pPr>
              <w:keepNext w:val="0"/>
              <w:keepLines w:val="0"/>
              <w:suppressLineNumbers w:val="0"/>
              <w:spacing w:before="0" w:beforeAutospacing="0" w:after="0" w:afterAutospacing="0"/>
              <w:ind w:left="0" w:right="0"/>
              <w:jc w:val="center"/>
              <w:rPr>
                <w:rFonts w:hint="eastAsia" w:ascii="仿宋" w:hAnsi="仿宋" w:eastAsia="仿宋" w:cs="仿宋"/>
                <w:sz w:val="24"/>
                <w:lang w:eastAsia="zh-CN"/>
              </w:rPr>
            </w:pPr>
          </w:p>
        </w:tc>
        <w:tc>
          <w:tcPr>
            <w:tcW w:w="1213" w:type="dxa"/>
            <w:tcBorders>
              <w:top w:val="nil"/>
              <w:left w:val="nil"/>
              <w:bottom w:val="single" w:color="auto" w:sz="4" w:space="0"/>
              <w:right w:val="single" w:color="auto" w:sz="4" w:space="0"/>
            </w:tcBorders>
            <w:vAlign w:val="center"/>
          </w:tcPr>
          <w:p w14:paraId="246673BD">
            <w:pPr>
              <w:keepNext w:val="0"/>
              <w:keepLines w:val="0"/>
              <w:suppressLineNumbers w:val="0"/>
              <w:spacing w:before="0" w:beforeAutospacing="0" w:after="0" w:afterAutospacing="0"/>
              <w:ind w:left="0" w:right="0"/>
              <w:jc w:val="center"/>
              <w:rPr>
                <w:rFonts w:hint="default" w:ascii="仿宋" w:hAnsi="仿宋" w:eastAsia="仿宋" w:cs="仿宋"/>
                <w:sz w:val="24"/>
                <w:lang w:val="en-US" w:eastAsia="zh-CN"/>
              </w:rPr>
            </w:pPr>
            <w:r>
              <w:rPr>
                <w:rFonts w:hint="eastAsia" w:ascii="仿宋" w:hAnsi="仿宋" w:eastAsia="仿宋" w:cs="仿宋"/>
                <w:sz w:val="24"/>
                <w:lang w:val="en-US" w:eastAsia="zh-CN"/>
              </w:rPr>
              <w:t>参加政府采购活动前3年内在经营活动中没有重大违法记录的书面声明</w:t>
            </w:r>
          </w:p>
        </w:tc>
        <w:tc>
          <w:tcPr>
            <w:tcW w:w="867" w:type="dxa"/>
            <w:tcBorders>
              <w:top w:val="nil"/>
              <w:left w:val="nil"/>
              <w:bottom w:val="single" w:color="auto" w:sz="4" w:space="0"/>
              <w:right w:val="single" w:color="auto" w:sz="4" w:space="0"/>
            </w:tcBorders>
            <w:vAlign w:val="center"/>
          </w:tcPr>
          <w:p w14:paraId="0D17FD89">
            <w:pPr>
              <w:keepNext w:val="0"/>
              <w:keepLines w:val="0"/>
              <w:suppressLineNumbers w:val="0"/>
              <w:spacing w:before="0" w:beforeAutospacing="0" w:after="0" w:afterAutospacing="0"/>
              <w:ind w:left="0" w:right="0"/>
              <w:jc w:val="center"/>
              <w:rPr>
                <w:rFonts w:hint="eastAsia" w:ascii="仿宋" w:hAnsi="仿宋" w:eastAsia="仿宋" w:cs="仿宋"/>
                <w:sz w:val="24"/>
                <w:lang w:eastAsia="zh-CN"/>
              </w:rPr>
            </w:pPr>
            <w:r>
              <w:rPr>
                <w:rFonts w:hint="eastAsia" w:ascii="仿宋" w:hAnsi="仿宋" w:eastAsia="仿宋" w:cs="仿宋"/>
                <w:sz w:val="24"/>
                <w:lang w:val="en-US" w:eastAsia="zh-CN"/>
              </w:rPr>
              <w:t>具有履行合同所必需的设备和专业技术能力的证明材料</w:t>
            </w:r>
          </w:p>
        </w:tc>
        <w:tc>
          <w:tcPr>
            <w:tcW w:w="880" w:type="dxa"/>
            <w:tcBorders>
              <w:top w:val="nil"/>
              <w:left w:val="nil"/>
              <w:bottom w:val="single" w:color="auto" w:sz="4" w:space="0"/>
              <w:right w:val="single" w:color="auto" w:sz="4" w:space="0"/>
            </w:tcBorders>
            <w:vAlign w:val="center"/>
          </w:tcPr>
          <w:p w14:paraId="21C4F403">
            <w:pPr>
              <w:keepNext w:val="0"/>
              <w:keepLines w:val="0"/>
              <w:suppressLineNumbers w:val="0"/>
              <w:spacing w:before="0" w:beforeAutospacing="0" w:after="0" w:afterAutospacing="0"/>
              <w:ind w:left="0" w:right="0"/>
              <w:jc w:val="center"/>
              <w:rPr>
                <w:rFonts w:hint="eastAsia" w:ascii="仿宋" w:hAnsi="仿宋" w:eastAsia="仿宋" w:cs="仿宋"/>
                <w:sz w:val="24"/>
                <w:lang w:val="en-US" w:eastAsia="zh-CN"/>
              </w:rPr>
            </w:pPr>
            <w:r>
              <w:rPr>
                <w:rFonts w:hint="eastAsia" w:ascii="仿宋" w:hAnsi="仿宋" w:eastAsia="仿宋" w:cs="仿宋"/>
                <w:sz w:val="24"/>
                <w:lang w:val="en-US" w:eastAsia="zh-CN"/>
              </w:rPr>
              <w:t>提供针对本次项目《反商业贿赂承诺书》</w:t>
            </w:r>
          </w:p>
        </w:tc>
        <w:tc>
          <w:tcPr>
            <w:tcW w:w="757" w:type="dxa"/>
            <w:tcBorders>
              <w:top w:val="nil"/>
              <w:left w:val="nil"/>
              <w:bottom w:val="single" w:color="auto" w:sz="4" w:space="0"/>
              <w:right w:val="single" w:color="auto" w:sz="4" w:space="0"/>
            </w:tcBorders>
            <w:vAlign w:val="center"/>
          </w:tcPr>
          <w:p w14:paraId="7C7F6898">
            <w:pPr>
              <w:keepNext w:val="0"/>
              <w:keepLines w:val="0"/>
              <w:suppressLineNumbers w:val="0"/>
              <w:spacing w:before="0" w:beforeAutospacing="0" w:after="0" w:afterAutospacing="0"/>
              <w:ind w:left="0" w:right="0"/>
              <w:jc w:val="center"/>
              <w:rPr>
                <w:rFonts w:hint="eastAsia" w:ascii="仿宋" w:hAnsi="仿宋" w:eastAsia="仿宋" w:cs="仿宋"/>
                <w:sz w:val="24"/>
                <w:lang w:val="en-US" w:eastAsia="zh-CN"/>
              </w:rPr>
            </w:pPr>
          </w:p>
        </w:tc>
      </w:tr>
    </w:tbl>
    <w:p w14:paraId="317A2618">
      <w:pPr>
        <w:pStyle w:val="9"/>
        <w:rPr>
          <w:rFonts w:hint="eastAsia"/>
        </w:rPr>
        <w:sectPr>
          <w:pgSz w:w="16840" w:h="11910" w:orient="landscape"/>
          <w:pgMar w:top="1440" w:right="1800" w:bottom="1440" w:left="1800" w:header="0" w:footer="993" w:gutter="0"/>
          <w:pgBorders>
            <w:top w:val="none" w:sz="0" w:space="0"/>
            <w:left w:val="none" w:sz="0" w:space="0"/>
            <w:bottom w:val="none" w:sz="0" w:space="0"/>
            <w:right w:val="none" w:sz="0" w:space="0"/>
          </w:pgBorders>
          <w:pgNumType w:fmt="decimal"/>
          <w:cols w:space="720" w:num="1"/>
        </w:sectPr>
      </w:pPr>
      <w:r>
        <w:rPr>
          <w:sz w:val="24"/>
        </w:rPr>
        <mc:AlternateContent>
          <mc:Choice Requires="wps">
            <w:drawing>
              <wp:anchor distT="0" distB="0" distL="114300" distR="114300" simplePos="0" relativeHeight="251664384" behindDoc="0" locked="0" layoutInCell="1" allowOverlap="1">
                <wp:simplePos x="0" y="0"/>
                <wp:positionH relativeFrom="column">
                  <wp:posOffset>8198485</wp:posOffset>
                </wp:positionH>
                <wp:positionV relativeFrom="paragraph">
                  <wp:posOffset>35560</wp:posOffset>
                </wp:positionV>
                <wp:extent cx="462280" cy="360680"/>
                <wp:effectExtent l="4445" t="4445" r="9525" b="15875"/>
                <wp:wrapNone/>
                <wp:docPr id="2" name="文本框 2"/>
                <wp:cNvGraphicFramePr/>
                <a:graphic xmlns:a="http://schemas.openxmlformats.org/drawingml/2006/main">
                  <a:graphicData uri="http://schemas.microsoft.com/office/word/2010/wordprocessingShape">
                    <wps:wsp>
                      <wps:cNvSpPr txBox="1"/>
                      <wps:spPr>
                        <a:xfrm>
                          <a:off x="9341485" y="1213485"/>
                          <a:ext cx="462280" cy="3606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0E1A339">
                            <w:pPr>
                              <w:rPr>
                                <w:rFonts w:hint="eastAsia" w:eastAsia="宋体"/>
                                <w:lang w:val="en-US" w:eastAsia="zh-CN"/>
                              </w:rPr>
                            </w:pPr>
                            <w:r>
                              <w:rPr>
                                <w:rFonts w:hint="eastAsia"/>
                                <w:lang w:val="en-US" w:eastAsia="zh-CN"/>
                              </w:rPr>
                              <w:t>结论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5.55pt;margin-top:2.8pt;height:28.4pt;width:36.4pt;z-index:251664384;mso-width-relative:page;mso-height-relative:page;" fillcolor="#FFFFFF [3201]" filled="t" stroked="t" coordsize="21600,21600" o:gfxdata="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iUS5Q9cAAAAKAQAADwAAAAAAAAABACAAAAAiAAAAZHJzL2Rvd25yZXYueG1sUEsBAhQAFAAA&#10;AAgAh07iQA9JzB9iAgAAwgQAAA4AAAAAAAAAAQAgAAAAJgEAAGRycy9lMm9Eb2MueG1sUEsFBgAA&#10;AAAGAAYAWQEAAPoFAAAAAA==&#10;">
                <v:fill on="t" focussize="0,0"/>
                <v:stroke weight="0.5pt" color="#000000 [3204]" joinstyle="round"/>
                <v:imagedata o:title=""/>
                <o:lock v:ext="edit" aspectratio="f"/>
                <v:textbox>
                  <w:txbxContent>
                    <w:p w14:paraId="40E1A339">
                      <w:pPr>
                        <w:rPr>
                          <w:rFonts w:hint="eastAsia" w:eastAsia="宋体"/>
                          <w:lang w:val="en-US" w:eastAsia="zh-CN"/>
                        </w:rPr>
                      </w:pPr>
                      <w:r>
                        <w:rPr>
                          <w:rFonts w:hint="eastAsia"/>
                          <w:lang w:val="en-US" w:eastAsia="zh-CN"/>
                        </w:rPr>
                        <w:t>结论</w:t>
                      </w:r>
                    </w:p>
                  </w:txbxContent>
                </v:textbox>
              </v:shape>
            </w:pict>
          </mc:Fallback>
        </mc:AlternateContent>
      </w:r>
    </w:p>
    <w:bookmarkEnd w:id="456"/>
    <w:bookmarkEnd w:id="457"/>
    <w:bookmarkEnd w:id="458"/>
    <w:bookmarkEnd w:id="459"/>
    <w:p w14:paraId="273F0453">
      <w:pPr>
        <w:pStyle w:val="2"/>
        <w:numPr>
          <w:ilvl w:val="0"/>
          <w:numId w:val="9"/>
        </w:numPr>
        <w:rPr>
          <w:rFonts w:hint="eastAsia" w:ascii="仿宋" w:hAnsi="仿宋" w:eastAsia="仿宋" w:cs="仿宋"/>
        </w:rPr>
      </w:pPr>
      <w:bookmarkStart w:id="460" w:name="_Toc512937852"/>
      <w:bookmarkStart w:id="461" w:name="_Toc216582825"/>
      <w:bookmarkStart w:id="462" w:name="_Toc218935354"/>
      <w:bookmarkStart w:id="463" w:name="_Toc507399906"/>
      <w:bookmarkStart w:id="464" w:name="_Toc9887"/>
      <w:bookmarkStart w:id="465" w:name="_Toc219175638"/>
      <w:bookmarkStart w:id="466" w:name="_Toc9032"/>
      <w:bookmarkStart w:id="467" w:name="_Toc515647831"/>
      <w:bookmarkStart w:id="468" w:name="_Toc9003"/>
      <w:r>
        <w:rPr>
          <w:rFonts w:hint="eastAsia" w:ascii="仿宋" w:hAnsi="仿宋" w:eastAsia="仿宋" w:cs="仿宋"/>
        </w:rPr>
        <w:t xml:space="preserve"> </w:t>
      </w:r>
      <w:bookmarkEnd w:id="460"/>
      <w:bookmarkEnd w:id="461"/>
      <w:bookmarkEnd w:id="462"/>
      <w:bookmarkEnd w:id="463"/>
      <w:bookmarkEnd w:id="464"/>
      <w:bookmarkEnd w:id="465"/>
      <w:bookmarkEnd w:id="466"/>
      <w:bookmarkEnd w:id="467"/>
      <w:bookmarkStart w:id="469" w:name="_Toc11148"/>
      <w:r>
        <w:rPr>
          <w:rFonts w:hint="eastAsia" w:ascii="仿宋" w:hAnsi="仿宋" w:eastAsia="仿宋" w:cs="仿宋"/>
          <w:lang w:val="en-US" w:eastAsia="zh-CN"/>
        </w:rPr>
        <w:t>服务</w:t>
      </w:r>
      <w:r>
        <w:rPr>
          <w:rFonts w:hint="eastAsia" w:ascii="仿宋" w:hAnsi="仿宋" w:eastAsia="仿宋" w:cs="仿宋"/>
        </w:rPr>
        <w:t>需求一览表及技术规格</w:t>
      </w:r>
      <w:bookmarkEnd w:id="468"/>
      <w:bookmarkEnd w:id="469"/>
      <w:r>
        <w:rPr>
          <w:rFonts w:hint="eastAsia" w:ascii="仿宋" w:hAnsi="仿宋" w:eastAsia="仿宋" w:cs="仿宋"/>
        </w:rPr>
        <w:br w:type="textWrapping"/>
      </w:r>
    </w:p>
    <w:p w14:paraId="65CBEE64">
      <w:pPr>
        <w:keepNext w:val="0"/>
        <w:keepLines w:val="0"/>
        <w:numPr>
          <w:ilvl w:val="-1"/>
          <w:numId w:val="0"/>
        </w:numPr>
        <w:suppressLineNumbers w:val="0"/>
        <w:bidi w:val="0"/>
        <w:spacing w:before="0" w:beforeAutospacing="0" w:after="0" w:afterAutospacing="0" w:line="360" w:lineRule="auto"/>
        <w:ind w:right="0"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莎车县处于南疆干旱区，地下水普遍存在高氟、高硬度、高矿化度等天然水质问题，部分浅层水源还面临农业面源污染风险。这些问题容易导致地区人民和儿童的健康隐患（如泌尿系统结石，胃肠道消化类疾病，氟斑牙等）。本次 83 个建设点位现状无大型居民用净水设备，仅配备简易供水设施，需改造供水管道</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排水管道</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供电线路</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地坪硬化</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开挖管沟</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垃圾清运等。采用具备高科技净水技术和智能系统的安全优质饮水工程，可以有效改善全县居民的饮水质量，实现“从源头到龙头”的全流程智慧化管理。</w:t>
      </w:r>
    </w:p>
    <w:p w14:paraId="03CF4383">
      <w:pPr>
        <w:numPr>
          <w:ilvl w:val="0"/>
          <w:numId w:val="0"/>
        </w:numPr>
        <w:spacing w:line="360" w:lineRule="auto"/>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一、服务要求</w:t>
      </w:r>
    </w:p>
    <w:p w14:paraId="3864796A">
      <w:pPr>
        <w:keepNext w:val="0"/>
        <w:keepLines w:val="0"/>
        <w:numPr>
          <w:ilvl w:val="0"/>
          <w:numId w:val="0"/>
        </w:numPr>
        <w:suppressLineNumbers w:val="0"/>
        <w:bidi w:val="0"/>
        <w:spacing w:before="0" w:beforeAutospacing="0" w:after="0" w:afterAutospacing="0" w:line="360" w:lineRule="auto"/>
        <w:ind w:right="0" w:rightChars="0" w:firstLine="560" w:firstLineChars="200"/>
        <w:rPr>
          <w:rFonts w:hint="eastAsia" w:ascii="仿宋" w:hAnsi="仿宋" w:eastAsia="仿宋" w:cs="仿宋"/>
          <w:color w:val="auto"/>
          <w:sz w:val="28"/>
          <w:szCs w:val="28"/>
        </w:rPr>
      </w:pPr>
      <w:r>
        <w:rPr>
          <w:rFonts w:hint="eastAsia" w:ascii="仿宋" w:hAnsi="仿宋" w:eastAsia="仿宋" w:cs="仿宋"/>
          <w:color w:val="000000" w:themeColor="text1"/>
          <w:sz w:val="28"/>
          <w:szCs w:val="28"/>
          <w:lang w:val="en-US" w:eastAsia="zh-CN"/>
          <w14:textFill>
            <w14:solidFill>
              <w14:schemeClr w14:val="tx1"/>
            </w14:solidFill>
          </w14:textFill>
        </w:rPr>
        <w:t>①、</w:t>
      </w:r>
      <w:r>
        <w:rPr>
          <w:rFonts w:hint="eastAsia" w:ascii="仿宋" w:hAnsi="仿宋" w:eastAsia="仿宋" w:cs="仿宋"/>
          <w:color w:val="000000" w:themeColor="text1"/>
          <w:sz w:val="28"/>
          <w:szCs w:val="28"/>
          <w14:textFill>
            <w14:solidFill>
              <w14:schemeClr w14:val="tx1"/>
            </w14:solidFill>
          </w14:textFill>
        </w:rPr>
        <w:t>提供24小时专线售后服务热线，并在收到服务需求</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小时内上门服务;</w:t>
      </w:r>
    </w:p>
    <w:p w14:paraId="7A2371DF">
      <w:pPr>
        <w:keepNext w:val="0"/>
        <w:keepLines w:val="0"/>
        <w:numPr>
          <w:ilvl w:val="0"/>
          <w:numId w:val="0"/>
        </w:numPr>
        <w:suppressLineNumbers w:val="0"/>
        <w:bidi w:val="0"/>
        <w:spacing w:before="0" w:beforeAutospacing="0" w:after="0" w:afterAutospacing="0" w:line="360" w:lineRule="auto"/>
        <w:ind w:right="0" w:rightChars="0"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②、</w:t>
      </w:r>
      <w:r>
        <w:rPr>
          <w:rFonts w:hint="eastAsia" w:ascii="仿宋" w:hAnsi="仿宋" w:eastAsia="仿宋" w:cs="仿宋"/>
          <w:color w:val="auto"/>
          <w:sz w:val="28"/>
          <w:szCs w:val="28"/>
        </w:rPr>
        <w:t>由</w:t>
      </w:r>
      <w:r>
        <w:rPr>
          <w:rFonts w:hint="eastAsia" w:ascii="仿宋" w:hAnsi="仿宋" w:eastAsia="仿宋" w:cs="仿宋"/>
          <w:color w:val="auto"/>
          <w:sz w:val="28"/>
          <w:szCs w:val="28"/>
          <w:lang w:val="en-US" w:eastAsia="zh-CN"/>
        </w:rPr>
        <w:t>投标人或所提供服务产品的品牌方</w:t>
      </w:r>
      <w:r>
        <w:rPr>
          <w:rFonts w:hint="eastAsia" w:ascii="仿宋" w:hAnsi="仿宋" w:eastAsia="仿宋" w:cs="仿宋"/>
          <w:color w:val="auto"/>
          <w:sz w:val="28"/>
          <w:szCs w:val="28"/>
        </w:rPr>
        <w:t>提供直营售后服务</w:t>
      </w:r>
      <w:r>
        <w:rPr>
          <w:rFonts w:hint="eastAsia" w:ascii="仿宋" w:hAnsi="仿宋" w:eastAsia="仿宋" w:cs="仿宋"/>
          <w:color w:val="auto"/>
          <w:sz w:val="28"/>
          <w:szCs w:val="28"/>
          <w:lang w:eastAsia="zh-CN"/>
        </w:rPr>
        <w:t>；</w:t>
      </w:r>
    </w:p>
    <w:p w14:paraId="76CEF07D">
      <w:pPr>
        <w:keepNext w:val="0"/>
        <w:keepLines w:val="0"/>
        <w:numPr>
          <w:ilvl w:val="-1"/>
          <w:numId w:val="0"/>
        </w:numPr>
        <w:suppressLineNumbers w:val="0"/>
        <w:bidi w:val="0"/>
        <w:spacing w:before="0" w:beforeAutospacing="0" w:after="0" w:afterAutospacing="0" w:line="360" w:lineRule="auto"/>
        <w:ind w:right="0"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lang w:val="en-US" w:eastAsia="zh-CN"/>
        </w:rPr>
        <w:t>③、</w:t>
      </w:r>
      <w:r>
        <w:rPr>
          <w:rFonts w:hint="eastAsia" w:ascii="仿宋" w:hAnsi="仿宋" w:eastAsia="仿宋" w:cs="仿宋"/>
          <w:color w:val="auto"/>
          <w:sz w:val="28"/>
          <w:szCs w:val="28"/>
        </w:rPr>
        <w:t>每年度提供一份整体设备运行数据报告（报告含年度设备维保、维修服务记录，及设备用水量数据、</w:t>
      </w:r>
      <w:r>
        <w:rPr>
          <w:rFonts w:hint="eastAsia" w:ascii="仿宋" w:hAnsi="仿宋" w:eastAsia="仿宋" w:cs="仿宋"/>
          <w:color w:val="auto"/>
          <w:sz w:val="28"/>
          <w:szCs w:val="28"/>
          <w:lang w:val="en-US" w:eastAsia="zh-CN"/>
        </w:rPr>
        <w:t>用电</w:t>
      </w:r>
      <w:r>
        <w:rPr>
          <w:rFonts w:hint="eastAsia" w:ascii="仿宋" w:hAnsi="仿宋" w:eastAsia="仿宋" w:cs="仿宋"/>
          <w:color w:val="auto"/>
          <w:sz w:val="28"/>
          <w:szCs w:val="28"/>
        </w:rPr>
        <w:t>数据</w:t>
      </w:r>
      <w:r>
        <w:rPr>
          <w:rFonts w:hint="eastAsia" w:ascii="仿宋" w:hAnsi="仿宋" w:eastAsia="仿宋" w:cs="仿宋"/>
          <w:color w:val="000000" w:themeColor="text1"/>
          <w:sz w:val="28"/>
          <w:szCs w:val="28"/>
          <w14:textFill>
            <w14:solidFill>
              <w14:schemeClr w14:val="tx1"/>
            </w14:solidFill>
          </w14:textFill>
        </w:rPr>
        <w:t>等）；</w:t>
      </w:r>
    </w:p>
    <w:p w14:paraId="1F706091">
      <w:pPr>
        <w:keepNext w:val="0"/>
        <w:keepLines w:val="0"/>
        <w:numPr>
          <w:ilvl w:val="-1"/>
          <w:numId w:val="0"/>
        </w:numPr>
        <w:suppressLineNumbers w:val="0"/>
        <w:bidi w:val="0"/>
        <w:spacing w:before="0" w:beforeAutospacing="0" w:after="0" w:afterAutospacing="0" w:line="360" w:lineRule="auto"/>
        <w:ind w:right="0" w:firstLine="560" w:firstLineChars="200"/>
        <w:rPr>
          <w:rFonts w:hint="default"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④、水费及电费需中标人承担。</w:t>
      </w:r>
    </w:p>
    <w:p w14:paraId="2FB8C1A1">
      <w:pPr>
        <w:keepNext w:val="0"/>
        <w:keepLines w:val="0"/>
        <w:numPr>
          <w:ilvl w:val="-1"/>
          <w:numId w:val="0"/>
        </w:numPr>
        <w:suppressLineNumbers w:val="0"/>
        <w:bidi w:val="0"/>
        <w:spacing w:before="0" w:beforeAutospacing="0" w:after="0" w:afterAutospacing="0" w:line="360" w:lineRule="auto"/>
        <w:ind w:right="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二、硬件服务要求：</w:t>
      </w:r>
    </w:p>
    <w:p w14:paraId="64F13ECF">
      <w:pPr>
        <w:keepNext w:val="0"/>
        <w:keepLines w:val="0"/>
        <w:numPr>
          <w:ilvl w:val="-1"/>
          <w:numId w:val="0"/>
        </w:numPr>
        <w:suppressLineNumbers w:val="0"/>
        <w:bidi w:val="0"/>
        <w:spacing w:before="0" w:beforeAutospacing="0" w:after="0" w:afterAutospacing="0" w:line="360" w:lineRule="auto"/>
        <w:ind w:right="0"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①、</w:t>
      </w:r>
      <w:r>
        <w:rPr>
          <w:rFonts w:hint="eastAsia" w:ascii="仿宋" w:hAnsi="仿宋" w:eastAsia="仿宋" w:cs="仿宋"/>
          <w:color w:val="000000" w:themeColor="text1"/>
          <w:sz w:val="28"/>
          <w:szCs w:val="28"/>
          <w14:textFill>
            <w14:solidFill>
              <w14:schemeClr w14:val="tx1"/>
            </w14:solidFill>
          </w14:textFill>
        </w:rPr>
        <w:t>为本项目提供一套定制化设备数据管理软件及数据展示看板服务（包含设备运行管理数据看板，具备远程监控设备用水数据等功能）</w:t>
      </w:r>
      <w:r>
        <w:rPr>
          <w:rFonts w:hint="eastAsia" w:ascii="仿宋" w:hAnsi="仿宋" w:eastAsia="仿宋" w:cs="仿宋"/>
          <w:color w:val="000000" w:themeColor="text1"/>
          <w:sz w:val="28"/>
          <w:szCs w:val="28"/>
          <w:lang w:eastAsia="zh-CN"/>
          <w14:textFill>
            <w14:solidFill>
              <w14:schemeClr w14:val="tx1"/>
            </w14:solidFill>
          </w14:textFill>
        </w:rPr>
        <w:t>，每个安全优质饮水工程配备的刷卡设备、制卡系统、大数据物联网看板、水表、</w:t>
      </w:r>
      <w:r>
        <w:rPr>
          <w:rFonts w:hint="eastAsia" w:ascii="仿宋" w:hAnsi="仿宋" w:eastAsia="仿宋" w:cs="仿宋"/>
          <w:color w:val="auto"/>
          <w:sz w:val="28"/>
          <w:szCs w:val="28"/>
          <w:lang w:eastAsia="zh-CN"/>
        </w:rPr>
        <w:t>电表等。</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lang w:val="en-US" w:eastAsia="zh-CN"/>
        </w:rPr>
        <w:t xml:space="preserve">    ②、硬件</w:t>
      </w:r>
      <w:r>
        <w:rPr>
          <w:rFonts w:hint="eastAsia" w:ascii="仿宋" w:hAnsi="仿宋" w:eastAsia="仿宋" w:cs="仿宋"/>
          <w:color w:val="auto"/>
          <w:sz w:val="28"/>
          <w:szCs w:val="28"/>
        </w:rPr>
        <w:t>过滤系统要求</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内置过滤设备的过滤系统</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5级</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需含有</w:t>
      </w:r>
      <w:r>
        <w:rPr>
          <w:rFonts w:hint="eastAsia" w:ascii="仿宋" w:hAnsi="仿宋" w:eastAsia="仿宋" w:cs="仿宋"/>
          <w:color w:val="auto"/>
          <w:sz w:val="28"/>
          <w:szCs w:val="28"/>
          <w:lang w:val="en-US" w:eastAsia="zh-CN"/>
        </w:rPr>
        <w:t>PP棉</w:t>
      </w:r>
      <w:r>
        <w:rPr>
          <w:rFonts w:hint="eastAsia" w:ascii="仿宋" w:hAnsi="仿宋" w:eastAsia="仿宋" w:cs="仿宋"/>
          <w:color w:val="auto"/>
          <w:sz w:val="28"/>
          <w:szCs w:val="28"/>
        </w:rPr>
        <w:t>滤芯、</w:t>
      </w:r>
      <w:r>
        <w:rPr>
          <w:rFonts w:hint="eastAsia" w:ascii="仿宋" w:hAnsi="仿宋" w:eastAsia="仿宋" w:cs="仿宋"/>
          <w:color w:val="auto"/>
          <w:sz w:val="28"/>
          <w:szCs w:val="28"/>
          <w:lang w:val="en-US" w:eastAsia="zh-CN"/>
        </w:rPr>
        <w:t>超滤膜滤芯、</w:t>
      </w:r>
      <w:r>
        <w:rPr>
          <w:rFonts w:hint="eastAsia" w:ascii="仿宋" w:hAnsi="仿宋" w:eastAsia="仿宋" w:cs="仿宋"/>
          <w:color w:val="auto"/>
          <w:sz w:val="28"/>
          <w:szCs w:val="28"/>
        </w:rPr>
        <w:t>活性炭棒滤芯、</w:t>
      </w:r>
      <w:r>
        <w:rPr>
          <w:rFonts w:hint="eastAsia" w:ascii="仿宋" w:hAnsi="仿宋" w:eastAsia="仿宋" w:cs="仿宋"/>
          <w:color w:val="auto"/>
          <w:sz w:val="28"/>
          <w:szCs w:val="28"/>
          <w:lang w:val="en-US" w:eastAsia="zh-CN"/>
        </w:rPr>
        <w:t>反渗透</w:t>
      </w:r>
      <w:r>
        <w:rPr>
          <w:rFonts w:hint="eastAsia" w:ascii="仿宋" w:hAnsi="仿宋" w:eastAsia="仿宋" w:cs="仿宋"/>
          <w:color w:val="auto"/>
          <w:sz w:val="28"/>
          <w:szCs w:val="28"/>
        </w:rPr>
        <w:t>膜滤芯等过滤滤芯</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，核心过滤采用</w:t>
      </w:r>
      <w:r>
        <w:rPr>
          <w:rFonts w:hint="eastAsia" w:ascii="仿宋" w:hAnsi="仿宋" w:eastAsia="仿宋" w:cs="仿宋"/>
          <w:color w:val="auto"/>
          <w:sz w:val="28"/>
          <w:szCs w:val="28"/>
          <w:lang w:val="en-US" w:eastAsia="zh-CN"/>
        </w:rPr>
        <w:t>反渗透</w:t>
      </w:r>
      <w:r>
        <w:rPr>
          <w:rFonts w:hint="eastAsia" w:ascii="仿宋" w:hAnsi="仿宋" w:eastAsia="仿宋" w:cs="仿宋"/>
          <w:color w:val="auto"/>
          <w:sz w:val="28"/>
          <w:szCs w:val="28"/>
        </w:rPr>
        <w:t>膜滤芯过滤</w:t>
      </w:r>
      <w:r>
        <w:rPr>
          <w:rFonts w:hint="eastAsia" w:ascii="仿宋" w:hAnsi="仿宋" w:eastAsia="仿宋" w:cs="仿宋"/>
          <w:color w:val="auto"/>
          <w:sz w:val="28"/>
          <w:szCs w:val="28"/>
          <w:lang w:eastAsia="zh-CN"/>
        </w:rPr>
        <w:t>。</w:t>
      </w:r>
    </w:p>
    <w:p w14:paraId="6F78D57F">
      <w:pPr>
        <w:pStyle w:val="39"/>
        <w:keepNext w:val="0"/>
        <w:keepLines w:val="0"/>
        <w:suppressLineNumbers w:val="0"/>
        <w:spacing w:before="0" w:beforeAutospacing="0" w:after="0" w:afterAutospacing="0" w:line="360" w:lineRule="auto"/>
        <w:ind w:left="0" w:leftChars="0" w:right="0" w:firstLine="560" w:firstLineChars="200"/>
        <w:jc w:val="left"/>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③、后期更换维保维修滤芯需与所投设备为同一品牌匹配使用。</w:t>
      </w:r>
    </w:p>
    <w:p w14:paraId="465AC5D0">
      <w:pPr>
        <w:numPr>
          <w:ilvl w:val="0"/>
          <w:numId w:val="0"/>
        </w:numPr>
        <w:spacing w:line="360" w:lineRule="auto"/>
        <w:ind w:firstLine="560" w:firstLineChars="200"/>
        <w:jc w:val="both"/>
        <w:rPr>
          <w:rFonts w:hint="eastAsia" w:ascii="仿宋" w:hAnsi="仿宋" w:eastAsia="仿宋" w:cs="仿宋"/>
          <w:b/>
          <w:bCs/>
          <w:color w:val="0000FF"/>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④、投标须提交与投标整机型号完全一致、由卫生健康行政部门核发的《涉及饮用水卫生安全产品卫生许可批件》原件扫描件；</w:t>
      </w:r>
      <w:r>
        <w:rPr>
          <w:rFonts w:hint="eastAsia" w:ascii="仿宋" w:hAnsi="仿宋" w:eastAsia="仿宋" w:cs="仿宋"/>
          <w:b/>
          <w:bCs/>
          <w:color w:val="000000" w:themeColor="text1"/>
          <w:sz w:val="28"/>
          <w:szCs w:val="28"/>
          <w:lang w:val="en-US" w:eastAsia="zh-CN"/>
          <w14:textFill>
            <w14:solidFill>
              <w14:schemeClr w14:val="tx1"/>
            </w14:solidFill>
          </w14:textFill>
        </w:rPr>
        <w:t>本项属于实质性评审条款，未按要求提供有效材料的，作投标无效处理</w:t>
      </w:r>
      <w:r>
        <w:rPr>
          <w:rFonts w:hint="eastAsia" w:ascii="仿宋" w:hAnsi="仿宋" w:eastAsia="仿宋" w:cs="仿宋"/>
          <w:color w:val="000000" w:themeColor="text1"/>
          <w:sz w:val="28"/>
          <w:szCs w:val="28"/>
          <w:lang w:val="en-US" w:eastAsia="zh-CN"/>
          <w14:textFill>
            <w14:solidFill>
              <w14:schemeClr w14:val="tx1"/>
            </w14:solidFill>
          </w14:textFill>
        </w:rPr>
        <w:t>。</w:t>
      </w:r>
    </w:p>
    <w:p w14:paraId="630953ED">
      <w:pPr>
        <w:spacing w:line="360" w:lineRule="auto"/>
        <w:ind w:firstLine="560"/>
        <w:jc w:val="both"/>
        <w:rPr>
          <w:rFonts w:hint="eastAsia" w:ascii="仿宋" w:hAnsi="仿宋" w:eastAsia="仿宋" w:cs="仿宋"/>
          <w:color w:val="000000" w:themeColor="text1"/>
          <w:sz w:val="28"/>
          <w:szCs w:val="28"/>
          <w:highlight w:val="yellow"/>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⑤、</w:t>
      </w:r>
      <w:r>
        <w:rPr>
          <w:rFonts w:hint="eastAsia" w:ascii="仿宋" w:hAnsi="仿宋" w:eastAsia="仿宋" w:cs="仿宋"/>
          <w:color w:val="000000" w:themeColor="text1"/>
          <w:sz w:val="28"/>
          <w:szCs w:val="28"/>
          <w:highlight w:val="none"/>
          <w:lang w:val="en-US" w:eastAsia="zh-CN"/>
          <w14:textFill>
            <w14:solidFill>
              <w14:schemeClr w14:val="tx1"/>
            </w14:solidFill>
          </w14:textFill>
        </w:rPr>
        <w:t>提供滤芯与所投产品品牌一致，</w:t>
      </w:r>
      <w:bookmarkStart w:id="470" w:name="_Toc8347"/>
      <w:bookmarkStart w:id="471" w:name="_Toc17012"/>
    </w:p>
    <w:p w14:paraId="6166EE42">
      <w:pPr>
        <w:spacing w:line="360" w:lineRule="auto"/>
        <w:ind w:firstLine="560"/>
        <w:jc w:val="both"/>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⑥、水质检测要求：每个安全优质饮水工程单独取水样送检，选择有 CMA 资质的第三方检测公司或当地疾控中心进行常规八项水质检测，提供检测报告，费用由中标人承担。</w:t>
      </w:r>
    </w:p>
    <w:p w14:paraId="50C3A093">
      <w:pPr>
        <w:spacing w:line="360" w:lineRule="auto"/>
        <w:ind w:firstLine="560"/>
        <w:jc w:val="both"/>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⑦、每个安全优质饮水工程配置 2000 张取水卡。取水卡为免费使用卡，用于控制居民实际用水使用，杜绝直饮水浪费，非充值购水卡，由第三方运营公司全额承担水费，居民无需支付任何水费；水卡水值用完后，由第三方运营公司免费充值，保障居民持续使用。</w:t>
      </w:r>
    </w:p>
    <w:bookmarkEnd w:id="470"/>
    <w:p w14:paraId="14094B2F">
      <w:pPr>
        <w:spacing w:line="360" w:lineRule="auto"/>
        <w:jc w:val="both"/>
        <w:rPr>
          <w:rStyle w:val="48"/>
          <w:rFonts w:hint="eastAsia" w:ascii="仿宋" w:hAnsi="仿宋" w:eastAsia="仿宋" w:cs="仿宋"/>
          <w:b w:val="0"/>
          <w:bCs/>
          <w:sz w:val="28"/>
          <w:szCs w:val="28"/>
          <w:highlight w:val="none"/>
          <w:lang w:val="en-US" w:eastAsia="zh-CN"/>
        </w:rPr>
      </w:pPr>
      <w:bookmarkStart w:id="472" w:name="_Toc11441"/>
      <w:r>
        <w:rPr>
          <w:rStyle w:val="48"/>
          <w:rFonts w:hint="eastAsia" w:ascii="仿宋" w:hAnsi="仿宋" w:eastAsia="仿宋" w:cs="仿宋"/>
          <w:b w:val="0"/>
          <w:bCs/>
          <w:sz w:val="28"/>
          <w:szCs w:val="28"/>
          <w:highlight w:val="none"/>
          <w:lang w:val="en-US" w:eastAsia="zh-CN"/>
        </w:rPr>
        <w:t>三、售后要求：</w:t>
      </w:r>
    </w:p>
    <w:bookmarkEnd w:id="471"/>
    <w:bookmarkEnd w:id="472"/>
    <w:p w14:paraId="07EDABE4">
      <w:pPr>
        <w:numPr>
          <w:ilvl w:val="0"/>
          <w:numId w:val="0"/>
        </w:numPr>
        <w:spacing w:line="360" w:lineRule="auto"/>
        <w:ind w:leftChars="0" w:firstLine="560" w:firstLineChars="200"/>
        <w:rPr>
          <w:rStyle w:val="48"/>
          <w:rFonts w:hint="default" w:ascii="仿宋" w:hAnsi="仿宋" w:eastAsia="仿宋" w:cs="仿宋"/>
          <w:b w:val="0"/>
          <w:bCs/>
          <w:sz w:val="28"/>
          <w:szCs w:val="28"/>
          <w:highlight w:val="yellow"/>
          <w:lang w:val="en-US" w:eastAsia="zh-CN"/>
        </w:rPr>
      </w:pPr>
      <w:bookmarkStart w:id="473" w:name="_Toc18256"/>
      <w:bookmarkStart w:id="474" w:name="_Toc11247"/>
      <w:r>
        <w:rPr>
          <w:rStyle w:val="48"/>
          <w:rFonts w:hint="eastAsia" w:ascii="仿宋" w:hAnsi="仿宋" w:eastAsia="仿宋" w:cs="仿宋"/>
          <w:b w:val="0"/>
          <w:bCs/>
          <w:sz w:val="28"/>
          <w:szCs w:val="28"/>
          <w:highlight w:val="none"/>
          <w:lang w:val="en-US" w:eastAsia="zh-CN"/>
        </w:rPr>
        <w:t>①、租赁</w:t>
      </w:r>
      <w:r>
        <w:rPr>
          <w:rStyle w:val="48"/>
          <w:rFonts w:hint="default" w:ascii="仿宋" w:hAnsi="仿宋" w:eastAsia="仿宋" w:cs="仿宋"/>
          <w:b w:val="0"/>
          <w:bCs/>
          <w:sz w:val="28"/>
          <w:szCs w:val="28"/>
          <w:highlight w:val="none"/>
          <w:lang w:val="en-US" w:eastAsia="zh-CN"/>
        </w:rPr>
        <w:t>期：</w:t>
      </w:r>
      <w:r>
        <w:rPr>
          <w:rStyle w:val="48"/>
          <w:rFonts w:hint="eastAsia" w:ascii="仿宋" w:hAnsi="仿宋" w:eastAsia="仿宋" w:cs="仿宋"/>
          <w:b w:val="0"/>
          <w:bCs/>
          <w:sz w:val="28"/>
          <w:szCs w:val="28"/>
          <w:highlight w:val="none"/>
          <w:lang w:val="en-US" w:eastAsia="zh-CN"/>
        </w:rPr>
        <w:t>3</w:t>
      </w:r>
      <w:r>
        <w:rPr>
          <w:rStyle w:val="48"/>
          <w:rFonts w:hint="default" w:ascii="仿宋" w:hAnsi="仿宋" w:eastAsia="仿宋" w:cs="仿宋"/>
          <w:b w:val="0"/>
          <w:bCs/>
          <w:sz w:val="28"/>
          <w:szCs w:val="28"/>
          <w:highlight w:val="none"/>
          <w:lang w:val="en-US" w:eastAsia="zh-CN"/>
        </w:rPr>
        <w:t>年</w:t>
      </w:r>
      <w:r>
        <w:rPr>
          <w:rStyle w:val="48"/>
          <w:rFonts w:hint="eastAsia" w:ascii="仿宋" w:hAnsi="仿宋" w:eastAsia="仿宋" w:cs="仿宋"/>
          <w:b w:val="0"/>
          <w:bCs/>
          <w:sz w:val="28"/>
          <w:szCs w:val="28"/>
          <w:highlight w:val="none"/>
          <w:lang w:val="en-US" w:eastAsia="zh-CN"/>
        </w:rPr>
        <w:t>；</w:t>
      </w:r>
    </w:p>
    <w:bookmarkEnd w:id="473"/>
    <w:bookmarkEnd w:id="474"/>
    <w:p w14:paraId="798AA510">
      <w:pPr>
        <w:numPr>
          <w:ilvl w:val="0"/>
          <w:numId w:val="0"/>
        </w:numPr>
        <w:spacing w:line="360" w:lineRule="auto"/>
        <w:ind w:leftChars="0" w:firstLine="560" w:firstLineChars="200"/>
        <w:jc w:val="both"/>
        <w:rPr>
          <w:rFonts w:hint="eastAsia" w:ascii="仿宋" w:hAnsi="仿宋" w:eastAsia="仿宋" w:cs="仿宋"/>
          <w:b/>
          <w:bCs w:val="0"/>
          <w:color w:val="0000FF"/>
          <w:sz w:val="28"/>
          <w:szCs w:val="28"/>
          <w:lang w:val="en-US" w:eastAsia="zh-CN"/>
        </w:rPr>
      </w:pPr>
      <w:bookmarkStart w:id="475" w:name="_Toc14147"/>
      <w:bookmarkStart w:id="476" w:name="_Toc13289"/>
      <w:r>
        <w:rPr>
          <w:rStyle w:val="48"/>
          <w:rFonts w:hint="eastAsia" w:ascii="仿宋" w:hAnsi="仿宋" w:eastAsia="仿宋" w:cs="仿宋"/>
          <w:b w:val="0"/>
          <w:bCs/>
          <w:sz w:val="28"/>
          <w:szCs w:val="28"/>
          <w:highlight w:val="none"/>
          <w:lang w:val="en-US" w:eastAsia="zh-CN"/>
        </w:rPr>
        <w:t>②、首年安装设备前投标人需负责水电改造</w:t>
      </w:r>
      <w:r>
        <w:rPr>
          <w:rStyle w:val="48"/>
          <w:rFonts w:hint="default" w:ascii="仿宋" w:hAnsi="仿宋" w:eastAsia="仿宋" w:cs="仿宋"/>
          <w:b w:val="0"/>
          <w:bCs/>
          <w:sz w:val="28"/>
          <w:szCs w:val="28"/>
          <w:highlight w:val="none"/>
          <w:lang w:val="en-US" w:eastAsia="zh-CN"/>
        </w:rPr>
        <w:t>，提供免费的</w:t>
      </w:r>
      <w:r>
        <w:rPr>
          <w:rStyle w:val="48"/>
          <w:rFonts w:hint="eastAsia" w:ascii="仿宋" w:hAnsi="仿宋" w:eastAsia="仿宋" w:cs="仿宋"/>
          <w:b w:val="0"/>
          <w:bCs/>
          <w:sz w:val="28"/>
          <w:szCs w:val="28"/>
          <w:highlight w:val="none"/>
          <w:lang w:val="en-US" w:eastAsia="zh-CN"/>
        </w:rPr>
        <w:t>原厂</w:t>
      </w:r>
      <w:r>
        <w:rPr>
          <w:rStyle w:val="48"/>
          <w:rFonts w:hint="default" w:ascii="仿宋" w:hAnsi="仿宋" w:eastAsia="仿宋" w:cs="仿宋"/>
          <w:b w:val="0"/>
          <w:bCs/>
          <w:sz w:val="28"/>
          <w:szCs w:val="28"/>
          <w:highlight w:val="none"/>
          <w:lang w:val="en-US" w:eastAsia="zh-CN"/>
        </w:rPr>
        <w:t>维修零配件，若发生故障，在接到使用单位通知后2小时内响应并安排</w:t>
      </w:r>
      <w:r>
        <w:rPr>
          <w:rStyle w:val="48"/>
          <w:rFonts w:hint="eastAsia" w:ascii="仿宋" w:hAnsi="仿宋" w:eastAsia="仿宋" w:cs="仿宋"/>
          <w:b w:val="0"/>
          <w:bCs/>
          <w:sz w:val="28"/>
          <w:szCs w:val="28"/>
          <w:highlight w:val="none"/>
          <w:lang w:val="en-US" w:eastAsia="zh-CN"/>
        </w:rPr>
        <w:t>售后服务</w:t>
      </w:r>
      <w:r>
        <w:rPr>
          <w:rStyle w:val="48"/>
          <w:rFonts w:hint="default" w:ascii="仿宋" w:hAnsi="仿宋" w:eastAsia="仿宋" w:cs="仿宋"/>
          <w:b w:val="0"/>
          <w:bCs/>
          <w:sz w:val="28"/>
          <w:szCs w:val="28"/>
          <w:highlight w:val="none"/>
          <w:lang w:val="en-US" w:eastAsia="zh-CN"/>
        </w:rPr>
        <w:t>人员到场检修，同时在到位检修后12小时内处理完毕</w:t>
      </w:r>
      <w:r>
        <w:rPr>
          <w:rStyle w:val="48"/>
          <w:rFonts w:hint="eastAsia" w:ascii="仿宋" w:hAnsi="仿宋" w:eastAsia="仿宋" w:cs="仿宋"/>
          <w:b w:val="0"/>
          <w:bCs/>
          <w:sz w:val="28"/>
          <w:szCs w:val="28"/>
          <w:highlight w:val="none"/>
          <w:lang w:val="en-US" w:eastAsia="zh-CN"/>
        </w:rPr>
        <w:t>；</w:t>
      </w:r>
      <w:bookmarkEnd w:id="475"/>
      <w:bookmarkEnd w:id="476"/>
      <w:bookmarkStart w:id="477" w:name="_Toc14665"/>
      <w:r>
        <w:rPr>
          <w:rStyle w:val="48"/>
          <w:rFonts w:hint="eastAsia" w:ascii="仿宋" w:hAnsi="仿宋" w:eastAsia="仿宋" w:cs="仿宋"/>
          <w:b w:val="0"/>
          <w:bCs/>
          <w:sz w:val="28"/>
          <w:szCs w:val="28"/>
          <w:highlight w:val="none"/>
          <w:lang w:val="en-US" w:eastAsia="zh-CN"/>
        </w:rPr>
        <w:br w:type="textWrapping"/>
      </w:r>
      <w:r>
        <w:rPr>
          <w:rStyle w:val="48"/>
          <w:rFonts w:hint="eastAsia" w:ascii="仿宋" w:hAnsi="仿宋" w:eastAsia="仿宋" w:cs="仿宋"/>
          <w:b/>
          <w:bCs w:val="0"/>
          <w:sz w:val="28"/>
          <w:szCs w:val="28"/>
          <w:highlight w:val="none"/>
          <w:lang w:val="en-US" w:eastAsia="zh-CN"/>
        </w:rPr>
        <w:t>要求产品生产厂商提供租赁期内的售后服务，投标人提供承诺书并加盖公章(所产生的一切费用由中标单位承担)</w:t>
      </w:r>
    </w:p>
    <w:p w14:paraId="5E7820BB">
      <w:pPr>
        <w:numPr>
          <w:ilvl w:val="0"/>
          <w:numId w:val="0"/>
        </w:numPr>
        <w:spacing w:line="360" w:lineRule="auto"/>
        <w:ind w:leftChars="0" w:firstLine="560" w:firstLineChars="200"/>
        <w:rPr>
          <w:rStyle w:val="48"/>
          <w:rFonts w:hint="eastAsia" w:ascii="仿宋" w:hAnsi="仿宋" w:eastAsia="仿宋" w:cs="仿宋"/>
          <w:b w:val="0"/>
          <w:bCs/>
          <w:sz w:val="28"/>
          <w:szCs w:val="28"/>
          <w:highlight w:val="none"/>
          <w:shd w:val="clear"/>
          <w:lang w:val="en-US" w:eastAsia="zh-CN"/>
        </w:rPr>
      </w:pPr>
      <w:bookmarkStart w:id="478" w:name="_Toc31307"/>
      <w:r>
        <w:rPr>
          <w:rStyle w:val="48"/>
          <w:rFonts w:hint="eastAsia" w:ascii="仿宋" w:hAnsi="仿宋" w:eastAsia="仿宋" w:cs="仿宋"/>
          <w:b w:val="0"/>
          <w:bCs/>
          <w:sz w:val="28"/>
          <w:szCs w:val="28"/>
          <w:highlight w:val="none"/>
          <w:lang w:val="en-US" w:eastAsia="zh-CN"/>
        </w:rPr>
        <w:t>③、</w:t>
      </w:r>
      <w:r>
        <w:rPr>
          <w:rStyle w:val="48"/>
          <w:rFonts w:hint="eastAsia" w:ascii="仿宋" w:hAnsi="仿宋" w:eastAsia="仿宋" w:cs="仿宋"/>
          <w:b w:val="0"/>
          <w:bCs/>
          <w:sz w:val="28"/>
          <w:szCs w:val="28"/>
          <w:highlight w:val="none"/>
          <w:shd w:val="clear"/>
          <w:lang w:val="en-US" w:eastAsia="zh-CN"/>
        </w:rPr>
        <w:t>需设置满足本项目需求的售后机构，并配备所投产品自营售后服务人员</w:t>
      </w:r>
      <w:bookmarkEnd w:id="477"/>
      <w:bookmarkStart w:id="479" w:name="_Toc6246"/>
      <w:r>
        <w:rPr>
          <w:rStyle w:val="48"/>
          <w:rFonts w:hint="eastAsia" w:ascii="仿宋" w:hAnsi="仿宋" w:eastAsia="仿宋" w:cs="仿宋"/>
          <w:b w:val="0"/>
          <w:bCs/>
          <w:sz w:val="28"/>
          <w:szCs w:val="28"/>
          <w:highlight w:val="none"/>
          <w:shd w:val="clear"/>
          <w:lang w:val="en-US" w:eastAsia="zh-CN"/>
        </w:rPr>
        <w:t>；</w:t>
      </w:r>
    </w:p>
    <w:bookmarkEnd w:id="478"/>
    <w:p w14:paraId="41160B22">
      <w:pPr>
        <w:numPr>
          <w:ilvl w:val="0"/>
          <w:numId w:val="0"/>
        </w:numPr>
        <w:spacing w:line="360" w:lineRule="auto"/>
        <w:ind w:leftChars="0" w:firstLine="560" w:firstLineChars="200"/>
        <w:jc w:val="both"/>
        <w:rPr>
          <w:rStyle w:val="48"/>
          <w:rFonts w:hint="eastAsia" w:ascii="仿宋" w:hAnsi="仿宋" w:eastAsia="仿宋" w:cs="仿宋"/>
          <w:b/>
          <w:bCs w:val="0"/>
          <w:color w:val="0000FF"/>
          <w:sz w:val="28"/>
          <w:szCs w:val="28"/>
          <w:highlight w:val="none"/>
          <w:lang w:val="en-US" w:eastAsia="zh-CN"/>
        </w:rPr>
      </w:pPr>
      <w:bookmarkStart w:id="480" w:name="_Toc32227"/>
      <w:r>
        <w:rPr>
          <w:rStyle w:val="48"/>
          <w:rFonts w:hint="eastAsia" w:ascii="仿宋" w:hAnsi="仿宋" w:eastAsia="仿宋" w:cs="仿宋"/>
          <w:b w:val="0"/>
          <w:bCs/>
          <w:sz w:val="28"/>
          <w:szCs w:val="28"/>
          <w:highlight w:val="none"/>
          <w:lang w:val="en-US" w:eastAsia="zh-CN"/>
        </w:rPr>
        <w:t>④、租赁期内每季度，针对所有安装的硬件设备完成一次全面巡检，对安全隐患、水质检测数据、设备运行情况等形成书面报告，报送至莎车县住房和城乡建设局；</w:t>
      </w:r>
      <w:r>
        <w:rPr>
          <w:rStyle w:val="48"/>
          <w:rFonts w:hint="eastAsia" w:ascii="仿宋" w:hAnsi="仿宋" w:eastAsia="仿宋" w:cs="仿宋"/>
          <w:b/>
          <w:bCs w:val="0"/>
          <w:color w:val="auto"/>
          <w:sz w:val="28"/>
          <w:szCs w:val="28"/>
          <w:highlight w:val="none"/>
          <w:lang w:val="en-US" w:eastAsia="zh-CN"/>
        </w:rPr>
        <w:t>投标单位投标时需提供承诺书，</w:t>
      </w:r>
      <w:bookmarkEnd w:id="480"/>
      <w:r>
        <w:rPr>
          <w:rFonts w:hint="eastAsia" w:ascii="仿宋" w:hAnsi="仿宋" w:eastAsia="仿宋" w:cs="仿宋"/>
          <w:b/>
          <w:bCs w:val="0"/>
          <w:color w:val="auto"/>
          <w:sz w:val="28"/>
          <w:szCs w:val="28"/>
          <w:lang w:val="en-US" w:eastAsia="zh-CN"/>
        </w:rPr>
        <w:t>此项为实质性响应要求，投标人投标时提供，如未提供投标无效。</w:t>
      </w:r>
    </w:p>
    <w:bookmarkEnd w:id="479"/>
    <w:p w14:paraId="0B0AE59A">
      <w:pPr>
        <w:numPr>
          <w:ilvl w:val="0"/>
          <w:numId w:val="0"/>
        </w:numPr>
        <w:spacing w:line="360" w:lineRule="auto"/>
        <w:ind w:leftChars="0" w:firstLine="560" w:firstLineChars="200"/>
        <w:rPr>
          <w:rStyle w:val="48"/>
          <w:rFonts w:hint="default" w:ascii="仿宋" w:hAnsi="仿宋" w:eastAsia="仿宋" w:cs="仿宋"/>
          <w:b w:val="0"/>
          <w:bCs/>
          <w:sz w:val="28"/>
          <w:szCs w:val="28"/>
          <w:highlight w:val="none"/>
          <w:lang w:val="en-US" w:eastAsia="zh-CN"/>
        </w:rPr>
      </w:pPr>
      <w:bookmarkStart w:id="481" w:name="_Toc22995"/>
      <w:bookmarkStart w:id="482" w:name="_Toc27638"/>
      <w:r>
        <w:rPr>
          <w:rStyle w:val="48"/>
          <w:rFonts w:hint="eastAsia" w:ascii="仿宋" w:hAnsi="仿宋" w:eastAsia="仿宋" w:cs="仿宋"/>
          <w:b w:val="0"/>
          <w:bCs/>
          <w:sz w:val="28"/>
          <w:szCs w:val="28"/>
          <w:highlight w:val="none"/>
          <w:lang w:val="en-US" w:eastAsia="zh-CN"/>
        </w:rPr>
        <w:t>⑤、设立400售后服务热线，提供7*24小时的技术支持</w:t>
      </w:r>
    </w:p>
    <w:bookmarkEnd w:id="481"/>
    <w:bookmarkEnd w:id="482"/>
    <w:p w14:paraId="4823A9B7">
      <w:pPr>
        <w:numPr>
          <w:ilvl w:val="0"/>
          <w:numId w:val="0"/>
        </w:numPr>
        <w:spacing w:line="360" w:lineRule="auto"/>
        <w:rPr>
          <w:rStyle w:val="48"/>
          <w:rFonts w:hint="default" w:ascii="仿宋" w:hAnsi="仿宋" w:eastAsia="仿宋" w:cs="仿宋"/>
          <w:b w:val="0"/>
          <w:bCs/>
          <w:sz w:val="28"/>
          <w:szCs w:val="28"/>
          <w:highlight w:val="none"/>
          <w:lang w:val="en-US" w:eastAsia="zh-CN"/>
        </w:rPr>
      </w:pPr>
      <w:bookmarkStart w:id="483" w:name="_Toc32063"/>
      <w:bookmarkStart w:id="484" w:name="_Toc4368"/>
      <w:r>
        <w:rPr>
          <w:rStyle w:val="48"/>
          <w:rFonts w:hint="eastAsia" w:ascii="仿宋" w:hAnsi="仿宋" w:eastAsia="仿宋" w:cs="仿宋"/>
          <w:b w:val="0"/>
          <w:bCs/>
          <w:sz w:val="28"/>
          <w:szCs w:val="28"/>
          <w:highlight w:val="none"/>
          <w:lang w:val="en-US" w:eastAsia="zh-CN"/>
        </w:rPr>
        <w:t>四、</w:t>
      </w:r>
      <w:r>
        <w:rPr>
          <w:rStyle w:val="48"/>
          <w:rFonts w:hint="default" w:ascii="仿宋" w:hAnsi="仿宋" w:eastAsia="仿宋" w:cs="仿宋"/>
          <w:b w:val="0"/>
          <w:bCs/>
          <w:sz w:val="28"/>
          <w:szCs w:val="28"/>
          <w:highlight w:val="none"/>
          <w:lang w:val="en-US" w:eastAsia="zh-CN"/>
        </w:rPr>
        <w:t>本次招标要求供应商完成所有招标清单内货物的</w:t>
      </w:r>
      <w:r>
        <w:rPr>
          <w:rStyle w:val="48"/>
          <w:rFonts w:hint="eastAsia" w:ascii="仿宋" w:hAnsi="仿宋" w:eastAsia="仿宋" w:cs="仿宋"/>
          <w:b w:val="0"/>
          <w:bCs/>
          <w:sz w:val="28"/>
          <w:szCs w:val="28"/>
          <w:highlight w:val="none"/>
          <w:lang w:val="en-US" w:eastAsia="zh-CN"/>
        </w:rPr>
        <w:t>供货及安装</w:t>
      </w:r>
      <w:r>
        <w:rPr>
          <w:rStyle w:val="48"/>
          <w:rFonts w:hint="default" w:ascii="仿宋" w:hAnsi="仿宋" w:eastAsia="仿宋" w:cs="仿宋"/>
          <w:b w:val="0"/>
          <w:bCs/>
          <w:sz w:val="28"/>
          <w:szCs w:val="28"/>
          <w:highlight w:val="none"/>
          <w:lang w:val="en-US" w:eastAsia="zh-CN"/>
        </w:rPr>
        <w:t>工作，</w:t>
      </w:r>
      <w:r>
        <w:rPr>
          <w:rStyle w:val="48"/>
          <w:rFonts w:hint="eastAsia" w:ascii="仿宋" w:hAnsi="仿宋" w:eastAsia="仿宋" w:cs="仿宋"/>
          <w:b w:val="0"/>
          <w:bCs/>
          <w:sz w:val="28"/>
          <w:szCs w:val="28"/>
          <w:highlight w:val="none"/>
          <w:lang w:val="en-US" w:eastAsia="zh-CN"/>
        </w:rPr>
        <w:t>所提供的货物须符合国家标准。</w:t>
      </w:r>
      <w:bookmarkEnd w:id="483"/>
      <w:bookmarkStart w:id="485" w:name="_Toc18795"/>
    </w:p>
    <w:bookmarkEnd w:id="484"/>
    <w:p w14:paraId="0C1E451D">
      <w:pPr>
        <w:numPr>
          <w:ilvl w:val="0"/>
          <w:numId w:val="0"/>
        </w:numPr>
        <w:spacing w:line="360" w:lineRule="auto"/>
        <w:ind w:left="0" w:leftChars="0"/>
        <w:rPr>
          <w:rStyle w:val="48"/>
          <w:rFonts w:hint="default" w:ascii="仿宋" w:hAnsi="仿宋" w:eastAsia="仿宋" w:cs="仿宋"/>
          <w:b w:val="0"/>
          <w:bCs/>
          <w:sz w:val="28"/>
          <w:szCs w:val="28"/>
          <w:highlight w:val="none"/>
          <w:lang w:val="en-US" w:eastAsia="zh-CN"/>
        </w:rPr>
      </w:pPr>
      <w:bookmarkStart w:id="486" w:name="_Toc19615"/>
      <w:r>
        <w:rPr>
          <w:rFonts w:hint="eastAsia" w:ascii="仿宋" w:hAnsi="仿宋" w:eastAsia="仿宋" w:cs="仿宋"/>
          <w:b w:val="0"/>
          <w:bCs/>
          <w:kern w:val="44"/>
          <w:sz w:val="28"/>
          <w:szCs w:val="28"/>
          <w:lang w:val="en-US" w:eastAsia="zh-CN" w:bidi="ar-SA"/>
        </w:rPr>
        <w:t>五、</w:t>
      </w:r>
      <w:r>
        <w:rPr>
          <w:rStyle w:val="48"/>
          <w:rFonts w:hint="eastAsia" w:ascii="仿宋" w:hAnsi="仿宋" w:eastAsia="仿宋" w:cs="仿宋"/>
          <w:b w:val="0"/>
          <w:bCs/>
          <w:sz w:val="28"/>
          <w:szCs w:val="28"/>
          <w:highlight w:val="none"/>
          <w:lang w:val="en-US" w:eastAsia="zh-CN"/>
        </w:rPr>
        <w:t>安装工艺须成熟无偏差，符合国家标准、行业标准，如因安装不到位导致的松动、损坏，均由供应商重新更换、安装；造成的电路损坏、人员伤亡及其他财产损失均由供应商自行承担。</w:t>
      </w:r>
    </w:p>
    <w:bookmarkEnd w:id="485"/>
    <w:bookmarkEnd w:id="486"/>
    <w:p w14:paraId="7AAE8834">
      <w:pPr>
        <w:numPr>
          <w:ilvl w:val="0"/>
          <w:numId w:val="0"/>
        </w:numPr>
        <w:spacing w:line="360" w:lineRule="auto"/>
        <w:ind w:leftChars="0"/>
        <w:rPr>
          <w:rStyle w:val="48"/>
          <w:rFonts w:hint="default" w:ascii="仿宋" w:hAnsi="仿宋" w:eastAsia="仿宋" w:cs="仿宋"/>
          <w:b w:val="0"/>
          <w:bCs/>
          <w:sz w:val="28"/>
          <w:szCs w:val="28"/>
          <w:highlight w:val="yellow"/>
          <w:lang w:val="en-US" w:eastAsia="zh-CN"/>
        </w:rPr>
      </w:pPr>
      <w:bookmarkStart w:id="487" w:name="_Toc14591"/>
      <w:bookmarkStart w:id="488" w:name="_Toc28365"/>
      <w:r>
        <w:rPr>
          <w:rStyle w:val="48"/>
          <w:rFonts w:hint="eastAsia" w:ascii="仿宋" w:hAnsi="仿宋" w:eastAsia="仿宋" w:cs="仿宋"/>
          <w:b w:val="0"/>
          <w:bCs/>
          <w:sz w:val="28"/>
          <w:szCs w:val="28"/>
          <w:highlight w:val="none"/>
          <w:lang w:val="en-US" w:eastAsia="zh-CN"/>
        </w:rPr>
        <w:t>六、</w:t>
      </w:r>
      <w:r>
        <w:rPr>
          <w:rStyle w:val="48"/>
          <w:rFonts w:hint="default" w:ascii="仿宋" w:hAnsi="仿宋" w:eastAsia="仿宋" w:cs="仿宋"/>
          <w:b w:val="0"/>
          <w:bCs/>
          <w:sz w:val="28"/>
          <w:szCs w:val="28"/>
          <w:highlight w:val="none"/>
          <w:lang w:val="en-US" w:eastAsia="zh-CN"/>
        </w:rPr>
        <w:t>本次招标报价包括</w:t>
      </w:r>
      <w:r>
        <w:rPr>
          <w:rStyle w:val="48"/>
          <w:rFonts w:hint="eastAsia" w:ascii="仿宋" w:hAnsi="仿宋" w:eastAsia="仿宋" w:cs="仿宋"/>
          <w:b w:val="0"/>
          <w:bCs/>
          <w:sz w:val="28"/>
          <w:szCs w:val="28"/>
          <w:highlight w:val="none"/>
          <w:lang w:val="en-US" w:eastAsia="zh-CN"/>
        </w:rPr>
        <w:t>：设备租赁服务</w:t>
      </w:r>
      <w:r>
        <w:rPr>
          <w:rStyle w:val="48"/>
          <w:rFonts w:hint="default" w:ascii="仿宋" w:hAnsi="仿宋" w:eastAsia="仿宋" w:cs="仿宋"/>
          <w:b w:val="0"/>
          <w:bCs/>
          <w:sz w:val="28"/>
          <w:szCs w:val="28"/>
          <w:highlight w:val="none"/>
          <w:lang w:val="en-US" w:eastAsia="zh-CN"/>
        </w:rPr>
        <w:t>、</w:t>
      </w:r>
      <w:r>
        <w:rPr>
          <w:rStyle w:val="48"/>
          <w:rFonts w:hint="eastAsia" w:ascii="仿宋" w:hAnsi="仿宋" w:eastAsia="仿宋" w:cs="仿宋"/>
          <w:b w:val="0"/>
          <w:bCs/>
          <w:sz w:val="28"/>
          <w:szCs w:val="28"/>
          <w:highlight w:val="none"/>
          <w:lang w:val="en-US" w:eastAsia="zh-CN"/>
        </w:rPr>
        <w:t>税费、</w:t>
      </w:r>
      <w:r>
        <w:rPr>
          <w:rStyle w:val="48"/>
          <w:rFonts w:hint="default" w:ascii="仿宋" w:hAnsi="仿宋" w:eastAsia="仿宋" w:cs="仿宋"/>
          <w:b w:val="0"/>
          <w:bCs/>
          <w:sz w:val="28"/>
          <w:szCs w:val="28"/>
          <w:highlight w:val="none"/>
          <w:lang w:val="en-US" w:eastAsia="zh-CN"/>
        </w:rPr>
        <w:t>运输、卸货、安装、验收合格、交付使用及后期</w:t>
      </w:r>
      <w:r>
        <w:rPr>
          <w:rStyle w:val="48"/>
          <w:rFonts w:hint="eastAsia" w:ascii="仿宋" w:hAnsi="仿宋" w:eastAsia="仿宋" w:cs="仿宋"/>
          <w:b w:val="0"/>
          <w:bCs/>
          <w:sz w:val="28"/>
          <w:szCs w:val="28"/>
          <w:highlight w:val="none"/>
          <w:lang w:val="en-US" w:eastAsia="zh-CN"/>
        </w:rPr>
        <w:t>维修、更换滤芯等各项</w:t>
      </w:r>
      <w:r>
        <w:rPr>
          <w:rStyle w:val="48"/>
          <w:rFonts w:hint="default" w:ascii="仿宋" w:hAnsi="仿宋" w:eastAsia="仿宋" w:cs="仿宋"/>
          <w:b w:val="0"/>
          <w:bCs/>
          <w:sz w:val="28"/>
          <w:szCs w:val="28"/>
          <w:highlight w:val="none"/>
          <w:lang w:val="en-US" w:eastAsia="zh-CN"/>
        </w:rPr>
        <w:t>服务</w:t>
      </w:r>
      <w:r>
        <w:rPr>
          <w:rStyle w:val="48"/>
          <w:rFonts w:hint="eastAsia" w:ascii="仿宋" w:hAnsi="仿宋" w:eastAsia="仿宋" w:cs="仿宋"/>
          <w:b w:val="0"/>
          <w:bCs/>
          <w:sz w:val="28"/>
          <w:szCs w:val="28"/>
          <w:highlight w:val="none"/>
          <w:lang w:val="en-US" w:eastAsia="zh-CN"/>
        </w:rPr>
        <w:t>费用</w:t>
      </w:r>
      <w:r>
        <w:rPr>
          <w:rStyle w:val="48"/>
          <w:rFonts w:hint="default" w:ascii="仿宋" w:hAnsi="仿宋" w:eastAsia="仿宋" w:cs="仿宋"/>
          <w:b w:val="0"/>
          <w:bCs/>
          <w:sz w:val="28"/>
          <w:szCs w:val="28"/>
          <w:highlight w:val="none"/>
          <w:lang w:val="en-US" w:eastAsia="zh-CN"/>
        </w:rPr>
        <w:t>。因质量问题引起的维修和更换，投标人的利润、税金、政策性文件的规定以及包括原材料涨价等所有一切风险、责任和义务的费用，</w:t>
      </w:r>
      <w:r>
        <w:rPr>
          <w:rStyle w:val="48"/>
          <w:rFonts w:hint="eastAsia" w:ascii="仿宋" w:hAnsi="仿宋" w:eastAsia="仿宋" w:cs="仿宋"/>
          <w:b w:val="0"/>
          <w:bCs/>
          <w:sz w:val="28"/>
          <w:szCs w:val="28"/>
          <w:highlight w:val="none"/>
          <w:lang w:val="en-US" w:eastAsia="zh-CN"/>
        </w:rPr>
        <w:t>供应商</w:t>
      </w:r>
      <w:r>
        <w:rPr>
          <w:rStyle w:val="48"/>
          <w:rFonts w:hint="default" w:ascii="仿宋" w:hAnsi="仿宋" w:eastAsia="仿宋" w:cs="仿宋"/>
          <w:b w:val="0"/>
          <w:bCs/>
          <w:sz w:val="28"/>
          <w:szCs w:val="28"/>
          <w:highlight w:val="none"/>
          <w:lang w:val="en-US" w:eastAsia="zh-CN"/>
        </w:rPr>
        <w:t>报价必须考虑最终报价包含本次项目</w:t>
      </w:r>
      <w:r>
        <w:rPr>
          <w:rStyle w:val="48"/>
          <w:rFonts w:hint="eastAsia" w:ascii="仿宋" w:hAnsi="仿宋" w:eastAsia="仿宋" w:cs="仿宋"/>
          <w:b w:val="0"/>
          <w:bCs/>
          <w:sz w:val="28"/>
          <w:szCs w:val="28"/>
          <w:highlight w:val="none"/>
          <w:lang w:val="en-US" w:eastAsia="zh-CN"/>
        </w:rPr>
        <w:t>内的</w:t>
      </w:r>
      <w:r>
        <w:rPr>
          <w:rStyle w:val="48"/>
          <w:rFonts w:hint="default" w:ascii="仿宋" w:hAnsi="仿宋" w:eastAsia="仿宋" w:cs="仿宋"/>
          <w:b w:val="0"/>
          <w:bCs/>
          <w:sz w:val="28"/>
          <w:szCs w:val="28"/>
          <w:highlight w:val="none"/>
          <w:lang w:val="en-US" w:eastAsia="zh-CN"/>
        </w:rPr>
        <w:t>所有费用。</w:t>
      </w:r>
    </w:p>
    <w:bookmarkEnd w:id="487"/>
    <w:bookmarkEnd w:id="488"/>
    <w:p w14:paraId="7AEFA21C">
      <w:pPr>
        <w:numPr>
          <w:ilvl w:val="0"/>
          <w:numId w:val="0"/>
        </w:numPr>
        <w:spacing w:line="360" w:lineRule="auto"/>
        <w:ind w:leftChars="0"/>
        <w:jc w:val="both"/>
        <w:rPr>
          <w:rStyle w:val="48"/>
          <w:rFonts w:hint="default" w:ascii="仿宋" w:hAnsi="仿宋" w:eastAsia="仿宋" w:cs="仿宋"/>
          <w:b w:val="0"/>
          <w:bCs/>
          <w:sz w:val="28"/>
          <w:szCs w:val="28"/>
          <w:highlight w:val="none"/>
          <w:lang w:val="en-US" w:eastAsia="zh-CN"/>
        </w:rPr>
      </w:pPr>
      <w:bookmarkStart w:id="489" w:name="_Toc24478"/>
      <w:bookmarkStart w:id="490" w:name="_Toc12645"/>
      <w:r>
        <w:rPr>
          <w:rStyle w:val="48"/>
          <w:rFonts w:hint="eastAsia" w:ascii="仿宋" w:hAnsi="仿宋" w:eastAsia="仿宋" w:cs="仿宋"/>
          <w:b w:val="0"/>
          <w:bCs/>
          <w:sz w:val="28"/>
          <w:szCs w:val="28"/>
          <w:highlight w:val="none"/>
          <w:lang w:val="en-US" w:eastAsia="zh-CN"/>
        </w:rPr>
        <w:t>七、</w:t>
      </w:r>
      <w:r>
        <w:rPr>
          <w:rStyle w:val="48"/>
          <w:rFonts w:hint="default" w:ascii="仿宋" w:hAnsi="仿宋" w:eastAsia="仿宋" w:cs="仿宋"/>
          <w:b w:val="0"/>
          <w:bCs/>
          <w:sz w:val="28"/>
          <w:szCs w:val="28"/>
          <w:highlight w:val="none"/>
          <w:lang w:val="en-US" w:eastAsia="zh-CN"/>
        </w:rPr>
        <w:t>交付(实施)的时间(期限):</w:t>
      </w:r>
      <w:r>
        <w:rPr>
          <w:rStyle w:val="48"/>
          <w:rFonts w:hint="eastAsia" w:ascii="仿宋" w:hAnsi="仿宋" w:eastAsia="仿宋" w:cs="仿宋"/>
          <w:b w:val="0"/>
          <w:bCs/>
          <w:sz w:val="28"/>
          <w:szCs w:val="28"/>
          <w:highlight w:val="none"/>
          <w:lang w:val="en-US" w:eastAsia="zh-CN"/>
        </w:rPr>
        <w:t>签订合同之日起60天内完成供货、安装、调试、验收（具体以实际签订为准）及后期售后服务。</w:t>
      </w:r>
      <w:r>
        <w:rPr>
          <w:rStyle w:val="48"/>
          <w:rFonts w:hint="eastAsia" w:ascii="仿宋" w:hAnsi="仿宋" w:eastAsia="仿宋" w:cs="仿宋"/>
          <w:b/>
          <w:bCs w:val="0"/>
          <w:color w:val="auto"/>
          <w:sz w:val="28"/>
          <w:szCs w:val="28"/>
          <w:highlight w:val="none"/>
          <w:lang w:val="en-US" w:eastAsia="zh-CN"/>
        </w:rPr>
        <w:t>投标单位投标时需提供承诺书，</w:t>
      </w:r>
      <w:bookmarkEnd w:id="489"/>
      <w:r>
        <w:rPr>
          <w:rFonts w:hint="eastAsia" w:ascii="仿宋" w:hAnsi="仿宋" w:eastAsia="仿宋" w:cs="仿宋"/>
          <w:b/>
          <w:bCs w:val="0"/>
          <w:color w:val="auto"/>
          <w:sz w:val="28"/>
          <w:szCs w:val="28"/>
          <w:lang w:val="en-US" w:eastAsia="zh-CN"/>
        </w:rPr>
        <w:t>此项为实质性响应要求，投标人投标时提供，如未提供投标无效。</w:t>
      </w:r>
    </w:p>
    <w:bookmarkEnd w:id="490"/>
    <w:p w14:paraId="54B4A631">
      <w:pPr>
        <w:numPr>
          <w:ilvl w:val="0"/>
          <w:numId w:val="0"/>
        </w:numPr>
        <w:spacing w:line="360" w:lineRule="auto"/>
        <w:ind w:leftChars="0"/>
        <w:rPr>
          <w:rFonts w:hint="eastAsia" w:ascii="仿宋" w:hAnsi="仿宋" w:eastAsia="仿宋" w:cs="仿宋"/>
          <w:b w:val="0"/>
          <w:bCs w:val="0"/>
          <w:color w:val="auto"/>
          <w:sz w:val="28"/>
          <w:szCs w:val="28"/>
          <w:lang w:val="en-US" w:eastAsia="zh-CN"/>
        </w:rPr>
      </w:pPr>
      <w:bookmarkStart w:id="491" w:name="_Toc26752"/>
      <w:r>
        <w:rPr>
          <w:rFonts w:hint="eastAsia" w:ascii="仿宋" w:hAnsi="仿宋" w:eastAsia="仿宋" w:cs="仿宋"/>
          <w:b w:val="0"/>
          <w:bCs w:val="0"/>
          <w:color w:val="auto"/>
          <w:sz w:val="28"/>
          <w:szCs w:val="28"/>
          <w:lang w:val="en-US" w:eastAsia="zh-CN"/>
        </w:rPr>
        <w:t>八、交付地点:莎车县 83 个村、社区（请各投标单位自行了解莎车县地貌环境，考虑运距成本）。</w:t>
      </w:r>
      <w:bookmarkEnd w:id="491"/>
      <w:bookmarkStart w:id="492" w:name="_Toc16701"/>
    </w:p>
    <w:p w14:paraId="10F13413">
      <w:pPr>
        <w:numPr>
          <w:ilvl w:val="0"/>
          <w:numId w:val="0"/>
        </w:numPr>
        <w:spacing w:line="360" w:lineRule="auto"/>
        <w:ind w:leftChars="0"/>
        <w:rPr>
          <w:rStyle w:val="48"/>
          <w:rFonts w:hint="eastAsia" w:ascii="仿宋" w:hAnsi="仿宋" w:eastAsia="仿宋" w:cs="仿宋"/>
          <w:b/>
          <w:bCs w:val="0"/>
          <w:sz w:val="28"/>
          <w:szCs w:val="28"/>
          <w:highlight w:val="none"/>
          <w:lang w:val="en-US" w:eastAsia="zh-CN"/>
        </w:rPr>
      </w:pPr>
      <w:bookmarkStart w:id="493" w:name="_Toc17742"/>
      <w:r>
        <w:rPr>
          <w:rStyle w:val="48"/>
          <w:rFonts w:hint="eastAsia" w:ascii="仿宋" w:hAnsi="仿宋" w:eastAsia="仿宋" w:cs="仿宋"/>
          <w:b w:val="0"/>
          <w:bCs/>
          <w:sz w:val="28"/>
          <w:szCs w:val="28"/>
          <w:highlight w:val="none"/>
          <w:lang w:val="en-US" w:eastAsia="zh-CN"/>
        </w:rPr>
        <w:t>九、</w:t>
      </w:r>
      <w:r>
        <w:rPr>
          <w:rStyle w:val="48"/>
          <w:rFonts w:hint="default" w:ascii="仿宋" w:hAnsi="仿宋" w:eastAsia="仿宋" w:cs="仿宋"/>
          <w:b w:val="0"/>
          <w:bCs/>
          <w:sz w:val="28"/>
          <w:szCs w:val="28"/>
          <w:highlight w:val="none"/>
          <w:lang w:val="en-US" w:eastAsia="zh-CN"/>
        </w:rPr>
        <w:t>付款</w:t>
      </w:r>
      <w:r>
        <w:rPr>
          <w:rStyle w:val="48"/>
          <w:rFonts w:hint="eastAsia" w:ascii="仿宋" w:hAnsi="仿宋" w:eastAsia="仿宋" w:cs="仿宋"/>
          <w:b w:val="0"/>
          <w:bCs/>
          <w:sz w:val="28"/>
          <w:szCs w:val="28"/>
          <w:highlight w:val="none"/>
          <w:lang w:val="en-US" w:eastAsia="zh-CN"/>
        </w:rPr>
        <w:t>方式</w:t>
      </w:r>
      <w:r>
        <w:rPr>
          <w:rStyle w:val="48"/>
          <w:rFonts w:hint="default" w:ascii="仿宋" w:hAnsi="仿宋" w:eastAsia="仿宋" w:cs="仿宋"/>
          <w:b w:val="0"/>
          <w:bCs/>
          <w:sz w:val="28"/>
          <w:szCs w:val="28"/>
          <w:highlight w:val="none"/>
          <w:lang w:val="en-US" w:eastAsia="zh-CN"/>
        </w:rPr>
        <w:t>:</w:t>
      </w:r>
      <w:bookmarkEnd w:id="492"/>
      <w:bookmarkEnd w:id="493"/>
      <w:r>
        <w:rPr>
          <w:rFonts w:hint="eastAsia" w:ascii="仿宋" w:hAnsi="仿宋" w:eastAsia="仿宋" w:cs="仿宋"/>
          <w:b w:val="0"/>
          <w:bCs w:val="0"/>
          <w:color w:val="auto"/>
          <w:sz w:val="28"/>
          <w:szCs w:val="28"/>
          <w:lang w:val="en-US" w:eastAsia="zh-CN"/>
        </w:rPr>
        <w:t>签订合同后中标单位需缴纳5%履约保证金或履约保函，经甲乙双方协商，第一年签订合同后预付30%，完成供货、安装、调试、验收投入使用后，支付合同金额30%；第二年支付合同金额20%；第三年自合同签订之日起至第三年服务期完成后，经审计合格，支付剩余合同金额20%（具体以实际签订为准）</w:t>
      </w:r>
    </w:p>
    <w:p w14:paraId="545C388E">
      <w:pPr>
        <w:numPr>
          <w:ilvl w:val="0"/>
          <w:numId w:val="0"/>
        </w:numPr>
        <w:bidi w:val="0"/>
        <w:spacing w:line="360" w:lineRule="auto"/>
        <w:ind w:leftChars="0"/>
        <w:rPr>
          <w:rStyle w:val="48"/>
          <w:rFonts w:hint="eastAsia" w:ascii="仿宋" w:hAnsi="仿宋" w:eastAsia="仿宋" w:cs="仿宋"/>
          <w:b w:val="0"/>
          <w:bCs/>
          <w:sz w:val="28"/>
          <w:szCs w:val="28"/>
          <w:highlight w:val="none"/>
          <w:lang w:val="en-US" w:eastAsia="zh-CN"/>
        </w:rPr>
      </w:pPr>
      <w:bookmarkStart w:id="494" w:name="_Toc24584"/>
      <w:bookmarkStart w:id="495" w:name="_Toc28999"/>
      <w:r>
        <w:rPr>
          <w:rStyle w:val="48"/>
          <w:rFonts w:hint="eastAsia" w:ascii="仿宋" w:hAnsi="仿宋" w:eastAsia="仿宋" w:cs="仿宋"/>
          <w:b w:val="0"/>
          <w:bCs/>
          <w:sz w:val="28"/>
          <w:szCs w:val="28"/>
          <w:highlight w:val="none"/>
          <w:lang w:val="en-US" w:eastAsia="zh-CN"/>
        </w:rPr>
        <w:t>十、</w:t>
      </w:r>
      <w:bookmarkEnd w:id="494"/>
      <w:bookmarkStart w:id="496" w:name="_Toc26830"/>
      <w:r>
        <w:rPr>
          <w:rStyle w:val="48"/>
          <w:rFonts w:hint="eastAsia" w:ascii="仿宋" w:hAnsi="仿宋" w:eastAsia="仿宋" w:cs="仿宋"/>
          <w:b w:val="0"/>
          <w:bCs/>
          <w:sz w:val="28"/>
          <w:szCs w:val="28"/>
          <w:highlight w:val="none"/>
          <w:lang w:val="en-US" w:eastAsia="zh-CN"/>
        </w:rPr>
        <w:t>其他要求：</w:t>
      </w:r>
    </w:p>
    <w:bookmarkEnd w:id="495"/>
    <w:bookmarkEnd w:id="496"/>
    <w:p w14:paraId="3A35BCC2">
      <w:pPr>
        <w:numPr>
          <w:ilvl w:val="0"/>
          <w:numId w:val="0"/>
        </w:numPr>
        <w:spacing w:line="360" w:lineRule="auto"/>
        <w:ind w:firstLine="560" w:firstLineChars="200"/>
        <w:rPr>
          <w:rStyle w:val="48"/>
          <w:rFonts w:hint="eastAsia" w:ascii="仿宋" w:hAnsi="仿宋" w:eastAsia="仿宋" w:cs="仿宋"/>
          <w:b w:val="0"/>
          <w:bCs/>
          <w:sz w:val="28"/>
          <w:szCs w:val="28"/>
          <w:highlight w:val="none"/>
          <w:lang w:val="en-US" w:eastAsia="zh-CN"/>
        </w:rPr>
      </w:pPr>
      <w:bookmarkStart w:id="497" w:name="_Toc1521"/>
      <w:bookmarkStart w:id="498" w:name="_Toc3358"/>
      <w:r>
        <w:rPr>
          <w:rStyle w:val="48"/>
          <w:rFonts w:hint="eastAsia" w:ascii="仿宋" w:hAnsi="仿宋" w:eastAsia="仿宋" w:cs="仿宋"/>
          <w:b w:val="0"/>
          <w:bCs/>
          <w:sz w:val="28"/>
          <w:szCs w:val="28"/>
          <w:highlight w:val="none"/>
          <w:lang w:val="en-US" w:eastAsia="zh-CN"/>
        </w:rPr>
        <w:t>①、为确保使用单位尽快投入使用直饮纯净水设备，要求中标单位按照莎车县地理环境，各乡镇的分布情况，完善可行的实施方案、合理调配施工班组，能够实现多条线路同时安装调试，保证在招标文件规定的时间内完成，超出工期的按照合同价款1%/日缴纳逾期款，超过10日的采购人有权单方面解除合同并且不承担任何乙方损失。</w:t>
      </w:r>
    </w:p>
    <w:bookmarkEnd w:id="497"/>
    <w:bookmarkEnd w:id="498"/>
    <w:p w14:paraId="2573EB81">
      <w:pPr>
        <w:numPr>
          <w:ilvl w:val="0"/>
          <w:numId w:val="0"/>
        </w:numPr>
        <w:spacing w:line="360" w:lineRule="auto"/>
        <w:ind w:firstLine="560" w:firstLineChars="200"/>
        <w:jc w:val="both"/>
        <w:rPr>
          <w:rFonts w:hint="eastAsia" w:ascii="仿宋" w:hAnsi="仿宋" w:eastAsia="仿宋" w:cs="仿宋"/>
          <w:b/>
          <w:bCs/>
          <w:color w:val="0000FF"/>
          <w:sz w:val="28"/>
          <w:szCs w:val="28"/>
          <w:lang w:val="en-US" w:eastAsia="zh-CN"/>
        </w:rPr>
      </w:pPr>
      <w:bookmarkStart w:id="499" w:name="_Toc1874"/>
      <w:r>
        <w:rPr>
          <w:rStyle w:val="48"/>
          <w:rFonts w:hint="eastAsia" w:ascii="仿宋" w:hAnsi="仿宋" w:eastAsia="仿宋" w:cs="仿宋"/>
          <w:b w:val="0"/>
          <w:bCs/>
          <w:sz w:val="28"/>
          <w:szCs w:val="28"/>
          <w:highlight w:val="none"/>
          <w:lang w:val="en-US" w:eastAsia="zh-CN"/>
        </w:rPr>
        <w:t>②、所有安装及售后人员不得有传染病等疾病，具备有效期内健康证。设备安装前，采购人核验与投标文件一致的人员身份证件、健康证、社保缴纳记录，核验通过后签发开工通知后方可安装，如不能按照投标文件承诺的人员履约，采购人将解除合同并上报财政部门按照相关法律法规按照虚假材料谋取中标处理。</w:t>
      </w:r>
      <w:bookmarkEnd w:id="499"/>
    </w:p>
    <w:p w14:paraId="1290B217">
      <w:pPr>
        <w:numPr>
          <w:ilvl w:val="0"/>
          <w:numId w:val="0"/>
        </w:numPr>
        <w:spacing w:line="360" w:lineRule="auto"/>
        <w:jc w:val="both"/>
        <w:rPr>
          <w:rFonts w:hint="eastAsia" w:ascii="仿宋" w:hAnsi="仿宋" w:eastAsia="仿宋" w:cs="仿宋"/>
          <w:sz w:val="28"/>
          <w:szCs w:val="28"/>
          <w:lang w:val="en-US" w:eastAsia="zh-CN"/>
        </w:rPr>
      </w:pPr>
    </w:p>
    <w:p w14:paraId="2542D390">
      <w:pPr>
        <w:numPr>
          <w:ilvl w:val="0"/>
          <w:numId w:val="0"/>
        </w:numPr>
        <w:spacing w:line="360" w:lineRule="auto"/>
        <w:jc w:val="both"/>
        <w:rPr>
          <w:rFonts w:hint="eastAsia" w:ascii="仿宋" w:hAnsi="仿宋" w:eastAsia="仿宋" w:cs="仿宋"/>
          <w:sz w:val="28"/>
          <w:szCs w:val="28"/>
          <w:lang w:val="en-US" w:eastAsia="zh-CN"/>
        </w:rPr>
      </w:pPr>
    </w:p>
    <w:p w14:paraId="17AA78AC">
      <w:pPr>
        <w:numPr>
          <w:ilvl w:val="0"/>
          <w:numId w:val="0"/>
        </w:numPr>
        <w:spacing w:line="360" w:lineRule="auto"/>
        <w:jc w:val="both"/>
        <w:rPr>
          <w:rFonts w:hint="eastAsia" w:ascii="仿宋" w:hAnsi="仿宋" w:eastAsia="仿宋" w:cs="仿宋"/>
          <w:sz w:val="28"/>
          <w:szCs w:val="28"/>
          <w:lang w:val="en-US" w:eastAsia="zh-CN"/>
        </w:rPr>
      </w:pPr>
    </w:p>
    <w:p w14:paraId="5AC11A15">
      <w:pPr>
        <w:numPr>
          <w:ilvl w:val="0"/>
          <w:numId w:val="0"/>
        </w:numPr>
        <w:spacing w:line="360" w:lineRule="auto"/>
        <w:jc w:val="both"/>
        <w:rPr>
          <w:rFonts w:hint="eastAsia" w:ascii="仿宋" w:hAnsi="仿宋" w:eastAsia="仿宋" w:cs="仿宋"/>
          <w:sz w:val="28"/>
          <w:szCs w:val="28"/>
          <w:lang w:val="en-US" w:eastAsia="zh-CN"/>
        </w:rPr>
      </w:pPr>
    </w:p>
    <w:p w14:paraId="4800C14E">
      <w:pPr>
        <w:numPr>
          <w:ilvl w:val="0"/>
          <w:numId w:val="0"/>
        </w:numPr>
        <w:spacing w:line="360" w:lineRule="auto"/>
        <w:jc w:val="both"/>
        <w:rPr>
          <w:rFonts w:hint="eastAsia" w:ascii="仿宋" w:hAnsi="仿宋" w:eastAsia="仿宋" w:cs="仿宋"/>
          <w:sz w:val="28"/>
          <w:szCs w:val="28"/>
          <w:lang w:val="en-US" w:eastAsia="zh-CN"/>
        </w:rPr>
      </w:pPr>
    </w:p>
    <w:p w14:paraId="2C523440">
      <w:pPr>
        <w:numPr>
          <w:ilvl w:val="0"/>
          <w:numId w:val="0"/>
        </w:numPr>
        <w:spacing w:line="360" w:lineRule="auto"/>
        <w:jc w:val="both"/>
        <w:rPr>
          <w:rFonts w:hint="eastAsia" w:ascii="仿宋" w:hAnsi="仿宋" w:eastAsia="仿宋" w:cs="仿宋"/>
          <w:sz w:val="28"/>
          <w:szCs w:val="28"/>
          <w:lang w:val="en-US" w:eastAsia="zh-CN"/>
        </w:rPr>
      </w:pPr>
    </w:p>
    <w:p w14:paraId="7498AC27">
      <w:pPr>
        <w:numPr>
          <w:ilvl w:val="0"/>
          <w:numId w:val="0"/>
        </w:numPr>
        <w:spacing w:line="360" w:lineRule="auto"/>
        <w:jc w:val="both"/>
        <w:rPr>
          <w:rFonts w:hint="eastAsia" w:ascii="仿宋" w:hAnsi="仿宋" w:eastAsia="仿宋" w:cs="仿宋"/>
          <w:sz w:val="28"/>
          <w:szCs w:val="28"/>
          <w:lang w:val="en-US" w:eastAsia="zh-CN"/>
        </w:rPr>
      </w:pPr>
    </w:p>
    <w:p w14:paraId="4EC9A705">
      <w:pPr>
        <w:numPr>
          <w:ilvl w:val="0"/>
          <w:numId w:val="0"/>
        </w:numPr>
        <w:spacing w:line="360" w:lineRule="auto"/>
        <w:jc w:val="both"/>
        <w:rPr>
          <w:rFonts w:hint="eastAsia" w:ascii="仿宋" w:hAnsi="仿宋" w:eastAsia="仿宋" w:cs="仿宋"/>
          <w:sz w:val="28"/>
          <w:szCs w:val="28"/>
          <w:lang w:val="en-US" w:eastAsia="zh-CN"/>
        </w:rPr>
      </w:pPr>
    </w:p>
    <w:p w14:paraId="6016B5F4">
      <w:pPr>
        <w:numPr>
          <w:ilvl w:val="0"/>
          <w:numId w:val="0"/>
        </w:numPr>
        <w:spacing w:line="36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textWrapping"/>
      </w:r>
    </w:p>
    <w:p w14:paraId="59E91D4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478A170F">
      <w:pPr>
        <w:numPr>
          <w:ilvl w:val="0"/>
          <w:numId w:val="0"/>
        </w:numPr>
        <w:spacing w:line="36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十一、配套设备</w:t>
      </w:r>
    </w:p>
    <w:p w14:paraId="2A593D6C">
      <w:pPr>
        <w:rPr>
          <w:rFonts w:hint="eastAsia" w:ascii="仿宋" w:hAnsi="仿宋" w:eastAsia="仿宋" w:cs="仿宋"/>
          <w:sz w:val="28"/>
          <w:szCs w:val="28"/>
        </w:rPr>
      </w:pPr>
    </w:p>
    <w:tbl>
      <w:tblPr>
        <w:tblStyle w:val="41"/>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731"/>
        <w:gridCol w:w="6779"/>
        <w:gridCol w:w="750"/>
        <w:gridCol w:w="659"/>
      </w:tblGrid>
      <w:tr w14:paraId="4953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497" w:type="dxa"/>
            <w:gridSpan w:val="5"/>
            <w:noWrap w:val="0"/>
            <w:vAlign w:val="center"/>
          </w:tcPr>
          <w:p w14:paraId="03390EF9">
            <w:pPr>
              <w:keepNext w:val="0"/>
              <w:keepLines w:val="0"/>
              <w:suppressLineNumbers w:val="0"/>
              <w:snapToGrid w:val="0"/>
              <w:spacing w:before="0" w:beforeAutospacing="0" w:after="0" w:afterAutospacing="0"/>
              <w:ind w:left="0" w:right="0"/>
              <w:jc w:val="center"/>
              <w:rPr>
                <w:rStyle w:val="48"/>
                <w:rFonts w:hint="eastAsia" w:ascii="仿宋" w:hAnsi="仿宋" w:eastAsia="仿宋" w:cs="仿宋"/>
                <w:b w:val="0"/>
                <w:bCs/>
                <w:sz w:val="28"/>
                <w:szCs w:val="28"/>
                <w:highlight w:val="none"/>
                <w:lang w:val="en-US" w:eastAsia="zh-CN"/>
              </w:rPr>
            </w:pPr>
            <w:r>
              <w:rPr>
                <w:rStyle w:val="48"/>
                <w:rFonts w:hint="eastAsia" w:ascii="仿宋" w:hAnsi="仿宋" w:eastAsia="仿宋" w:cs="仿宋"/>
                <w:b w:val="0"/>
                <w:bCs/>
                <w:sz w:val="28"/>
                <w:szCs w:val="28"/>
                <w:highlight w:val="none"/>
                <w:lang w:val="en-US" w:eastAsia="zh-CN"/>
              </w:rPr>
              <w:t>直饮纯净水设备</w:t>
            </w:r>
          </w:p>
        </w:tc>
      </w:tr>
      <w:tr w14:paraId="0D0E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78" w:type="dxa"/>
            <w:noWrap w:val="0"/>
            <w:vAlign w:val="center"/>
          </w:tcPr>
          <w:p w14:paraId="3EAE8848">
            <w:pPr>
              <w:keepNext w:val="0"/>
              <w:keepLines w:val="0"/>
              <w:numPr>
                <w:ilvl w:val="0"/>
                <w:numId w:val="0"/>
              </w:numPr>
              <w:suppressLineNumbers w:val="0"/>
              <w:snapToGrid w:val="0"/>
              <w:spacing w:before="0" w:beforeAutospacing="0" w:after="0" w:afterAutospacing="0"/>
              <w:ind w:left="0" w:leftChars="0" w:right="0" w:rightChars="0"/>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val="en-US" w:eastAsia="zh-CN"/>
              </w:rPr>
              <w:t>序号</w:t>
            </w:r>
          </w:p>
        </w:tc>
        <w:tc>
          <w:tcPr>
            <w:tcW w:w="731" w:type="dxa"/>
            <w:noWrap w:val="0"/>
            <w:vAlign w:val="center"/>
          </w:tcPr>
          <w:p w14:paraId="45520CE5">
            <w:pPr>
              <w:keepNext w:val="0"/>
              <w:keepLines w:val="0"/>
              <w:suppressLineNumbers w:val="0"/>
              <w:snapToGrid w:val="0"/>
              <w:spacing w:before="0" w:beforeAutospacing="0" w:after="0" w:afterAutospacing="0"/>
              <w:ind w:left="0" w:right="0"/>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名称</w:t>
            </w:r>
          </w:p>
        </w:tc>
        <w:tc>
          <w:tcPr>
            <w:tcW w:w="6779" w:type="dxa"/>
            <w:noWrap w:val="0"/>
            <w:vAlign w:val="center"/>
          </w:tcPr>
          <w:p w14:paraId="2275C644">
            <w:pPr>
              <w:keepNext w:val="0"/>
              <w:keepLines w:val="0"/>
              <w:numPr>
                <w:ilvl w:val="0"/>
                <w:numId w:val="0"/>
              </w:numPr>
              <w:suppressLineNumbers w:val="0"/>
              <w:snapToGrid w:val="0"/>
              <w:spacing w:before="0" w:beforeAutospacing="0" w:after="0" w:afterAutospacing="0"/>
              <w:ind w:left="0" w:right="0" w:rightChars="0"/>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具体参数</w:t>
            </w:r>
          </w:p>
        </w:tc>
        <w:tc>
          <w:tcPr>
            <w:tcW w:w="750" w:type="dxa"/>
            <w:noWrap w:val="0"/>
            <w:vAlign w:val="center"/>
          </w:tcPr>
          <w:p w14:paraId="093823AB">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单位</w:t>
            </w:r>
          </w:p>
        </w:tc>
        <w:tc>
          <w:tcPr>
            <w:tcW w:w="659" w:type="dxa"/>
            <w:noWrap w:val="0"/>
            <w:vAlign w:val="center"/>
          </w:tcPr>
          <w:p w14:paraId="4EAEF737">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数量</w:t>
            </w:r>
          </w:p>
        </w:tc>
      </w:tr>
      <w:tr w14:paraId="23AB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78" w:type="dxa"/>
            <w:noWrap w:val="0"/>
            <w:vAlign w:val="center"/>
          </w:tcPr>
          <w:p w14:paraId="38219980">
            <w:pPr>
              <w:keepNext w:val="0"/>
              <w:keepLines w:val="0"/>
              <w:numPr>
                <w:ilvl w:val="0"/>
                <w:numId w:val="10"/>
              </w:numPr>
              <w:suppressLineNumbers w:val="0"/>
              <w:snapToGrid w:val="0"/>
              <w:spacing w:before="0" w:beforeAutospacing="0" w:after="0" w:afterAutospacing="0"/>
              <w:ind w:left="425" w:leftChars="0" w:right="0" w:hanging="425" w:firstLineChars="0"/>
              <w:rPr>
                <w:rFonts w:hint="eastAsia" w:ascii="仿宋" w:hAnsi="仿宋" w:eastAsia="仿宋" w:cs="仿宋"/>
                <w:color w:val="auto"/>
                <w:sz w:val="28"/>
                <w:szCs w:val="28"/>
                <w:highlight w:val="none"/>
                <w:vertAlign w:val="baseline"/>
                <w:lang w:eastAsia="zh-CN"/>
              </w:rPr>
            </w:pPr>
          </w:p>
        </w:tc>
        <w:tc>
          <w:tcPr>
            <w:tcW w:w="731" w:type="dxa"/>
            <w:noWrap w:val="0"/>
            <w:vAlign w:val="center"/>
          </w:tcPr>
          <w:p w14:paraId="662F05A7">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基本要求</w:t>
            </w:r>
          </w:p>
        </w:tc>
        <w:tc>
          <w:tcPr>
            <w:tcW w:w="6779" w:type="dxa"/>
            <w:noWrap w:val="0"/>
            <w:vAlign w:val="center"/>
          </w:tcPr>
          <w:p w14:paraId="52F0631C">
            <w:pPr>
              <w:keepNext w:val="0"/>
              <w:keepLines w:val="0"/>
              <w:numPr>
                <w:ilvl w:val="0"/>
                <w:numId w:val="11"/>
              </w:numPr>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镀锌钢板机身，亚克力面板；</w:t>
            </w:r>
          </w:p>
          <w:p w14:paraId="7B1F2118">
            <w:pPr>
              <w:keepNext w:val="0"/>
              <w:keepLines w:val="0"/>
              <w:numPr>
                <w:ilvl w:val="0"/>
                <w:numId w:val="11"/>
              </w:numPr>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低温抗寒防冻：内置保温材料，可根据环境温度自动启动；</w:t>
            </w:r>
          </w:p>
          <w:p w14:paraId="6BF8E9E5">
            <w:pPr>
              <w:keepNext w:val="0"/>
              <w:keepLines w:val="0"/>
              <w:numPr>
                <w:ilvl w:val="0"/>
                <w:numId w:val="11"/>
              </w:numPr>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集成≥18.5英寸LED广告屏，可播放村务通知、健康饮水知识，商业广告等；</w:t>
            </w:r>
          </w:p>
          <w:p w14:paraId="4BDFE361">
            <w:pPr>
              <w:keepNext w:val="0"/>
              <w:keepLines w:val="0"/>
              <w:numPr>
                <w:ilvl w:val="0"/>
                <w:numId w:val="11"/>
              </w:numPr>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双出水口。灌装用出水口：位于顶部，村民自带水桶，可直接获取纯净水；洗桶用出水口：位于底部，专门用于清洗水桶内部，配合洗桶功能，避免脏桶污染净水；</w:t>
            </w:r>
          </w:p>
          <w:p w14:paraId="62688784">
            <w:pPr>
              <w:keepNext w:val="0"/>
              <w:keepLines w:val="0"/>
              <w:numPr>
                <w:ilvl w:val="0"/>
                <w:numId w:val="11"/>
              </w:numPr>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机身具有电子显示屏，取水时可实时显示：取水量、卡内剩余水量、出水水质、进水水质等数据；</w:t>
            </w:r>
          </w:p>
          <w:p w14:paraId="3B6BC1DA">
            <w:pPr>
              <w:keepNext w:val="0"/>
              <w:keepLines w:val="0"/>
              <w:numPr>
                <w:ilvl w:val="0"/>
                <w:numId w:val="11"/>
              </w:numPr>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额定电源：220V~ 50Hz,≤10A；</w:t>
            </w:r>
          </w:p>
          <w:p w14:paraId="33C2FCDB">
            <w:pPr>
              <w:keepNext w:val="0"/>
              <w:keepLines w:val="0"/>
              <w:numPr>
                <w:ilvl w:val="0"/>
                <w:numId w:val="11"/>
              </w:numPr>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额定功率：≤2500W</w:t>
            </w:r>
          </w:p>
          <w:p w14:paraId="744B099E">
            <w:pPr>
              <w:keepNext w:val="0"/>
              <w:keepLines w:val="0"/>
              <w:numPr>
                <w:ilvl w:val="0"/>
                <w:numId w:val="11"/>
              </w:numPr>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净重：不做要求，投标人根据所有产品填写；</w:t>
            </w:r>
          </w:p>
          <w:p w14:paraId="5414D72C">
            <w:pPr>
              <w:keepNext w:val="0"/>
              <w:keepLines w:val="0"/>
              <w:numPr>
                <w:ilvl w:val="0"/>
                <w:numId w:val="11"/>
              </w:numPr>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产品尺寸：不做要求，投标人根据所有产品填写。</w:t>
            </w:r>
          </w:p>
          <w:p w14:paraId="57A600D3">
            <w:pPr>
              <w:keepNext w:val="0"/>
              <w:keepLines w:val="0"/>
              <w:numPr>
                <w:ilvl w:val="0"/>
                <w:numId w:val="11"/>
              </w:numPr>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具备4G-IOT智能云管理功能；</w:t>
            </w:r>
          </w:p>
          <w:p w14:paraId="6C96B449">
            <w:pPr>
              <w:keepNext w:val="0"/>
              <w:keepLines w:val="0"/>
              <w:numPr>
                <w:ilvl w:val="0"/>
                <w:numId w:val="11"/>
              </w:numPr>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取水模式：触摸式按键</w:t>
            </w:r>
          </w:p>
          <w:p w14:paraId="27829B46">
            <w:pPr>
              <w:keepNext w:val="0"/>
              <w:keepLines w:val="0"/>
              <w:numPr>
                <w:ilvl w:val="0"/>
                <w:numId w:val="11"/>
              </w:numPr>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出水嘴材质：SUS304不锈钢（需提供佐证材料）；</w:t>
            </w:r>
          </w:p>
          <w:p w14:paraId="2D78C447">
            <w:pPr>
              <w:keepNext w:val="0"/>
              <w:keepLines w:val="0"/>
              <w:numPr>
                <w:ilvl w:val="0"/>
                <w:numId w:val="11"/>
              </w:numPr>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整机管道要求：304不锈钢（需提供佐证材料）</w:t>
            </w:r>
          </w:p>
          <w:p w14:paraId="7E72A01E">
            <w:pPr>
              <w:keepNext w:val="0"/>
              <w:keepLines w:val="0"/>
              <w:numPr>
                <w:ilvl w:val="0"/>
                <w:numId w:val="11"/>
              </w:numPr>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安全保障：具备防触电，防水等级IPX4（需提供佐证材料）</w:t>
            </w:r>
          </w:p>
        </w:tc>
        <w:tc>
          <w:tcPr>
            <w:tcW w:w="750" w:type="dxa"/>
            <w:vMerge w:val="restart"/>
            <w:noWrap w:val="0"/>
            <w:vAlign w:val="center"/>
          </w:tcPr>
          <w:p w14:paraId="481E890C">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台</w:t>
            </w:r>
          </w:p>
        </w:tc>
        <w:tc>
          <w:tcPr>
            <w:tcW w:w="659" w:type="dxa"/>
            <w:vMerge w:val="restart"/>
            <w:noWrap w:val="0"/>
            <w:vAlign w:val="center"/>
          </w:tcPr>
          <w:p w14:paraId="659F158C">
            <w:pPr>
              <w:keepNext w:val="0"/>
              <w:keepLines w:val="0"/>
              <w:suppressLineNumbers w:val="0"/>
              <w:snapToGrid w:val="0"/>
              <w:spacing w:before="0" w:beforeAutospacing="0" w:after="0" w:afterAutospacing="0"/>
              <w:ind w:left="0" w:right="0"/>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83</w:t>
            </w:r>
          </w:p>
        </w:tc>
      </w:tr>
      <w:tr w14:paraId="7649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78" w:type="dxa"/>
            <w:noWrap w:val="0"/>
            <w:vAlign w:val="center"/>
          </w:tcPr>
          <w:p w14:paraId="02D562FF">
            <w:pPr>
              <w:keepNext w:val="0"/>
              <w:keepLines w:val="0"/>
              <w:numPr>
                <w:ilvl w:val="0"/>
                <w:numId w:val="10"/>
              </w:numPr>
              <w:suppressLineNumbers w:val="0"/>
              <w:snapToGrid w:val="0"/>
              <w:spacing w:before="0" w:beforeAutospacing="0" w:after="0" w:afterAutospacing="0"/>
              <w:ind w:left="425" w:leftChars="0" w:right="0" w:hanging="425" w:firstLineChars="0"/>
              <w:rPr>
                <w:rFonts w:hint="eastAsia" w:ascii="仿宋" w:hAnsi="仿宋" w:eastAsia="仿宋" w:cs="仿宋"/>
                <w:b w:val="0"/>
                <w:bCs w:val="0"/>
                <w:color w:val="auto"/>
                <w:sz w:val="28"/>
                <w:szCs w:val="28"/>
                <w:highlight w:val="none"/>
              </w:rPr>
            </w:pPr>
          </w:p>
        </w:tc>
        <w:tc>
          <w:tcPr>
            <w:tcW w:w="731" w:type="dxa"/>
            <w:noWrap w:val="0"/>
            <w:vAlign w:val="center"/>
          </w:tcPr>
          <w:p w14:paraId="0A2E3069">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rPr>
            </w:pPr>
            <w:r>
              <w:rPr>
                <w:rFonts w:hint="eastAsia" w:ascii="仿宋" w:hAnsi="仿宋" w:eastAsia="仿宋" w:cs="仿宋"/>
                <w:b w:val="0"/>
                <w:bCs w:val="0"/>
                <w:color w:val="auto"/>
                <w:sz w:val="28"/>
                <w:szCs w:val="28"/>
                <w:highlight w:val="none"/>
              </w:rPr>
              <w:t>额定总净水量</w:t>
            </w:r>
          </w:p>
        </w:tc>
        <w:tc>
          <w:tcPr>
            <w:tcW w:w="6779" w:type="dxa"/>
            <w:noWrap w:val="0"/>
            <w:vAlign w:val="center"/>
          </w:tcPr>
          <w:p w14:paraId="1F28F7CE">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lang w:val="en-US" w:eastAsia="zh-CN"/>
              </w:rPr>
              <w:t>8吨至100</w:t>
            </w:r>
            <w:r>
              <w:rPr>
                <w:rFonts w:hint="eastAsia" w:ascii="仿宋" w:hAnsi="仿宋" w:eastAsia="仿宋" w:cs="仿宋"/>
                <w:color w:val="auto"/>
                <w:sz w:val="28"/>
                <w:szCs w:val="28"/>
                <w:highlight w:val="none"/>
                <w:vertAlign w:val="baseline"/>
                <w:lang w:val="en-US" w:eastAsia="zh-CN"/>
              </w:rPr>
              <w:t>吨，</w:t>
            </w:r>
            <w:r>
              <w:rPr>
                <w:rFonts w:hint="eastAsia" w:ascii="仿宋" w:hAnsi="仿宋" w:eastAsia="仿宋" w:cs="仿宋"/>
                <w:color w:val="auto"/>
                <w:sz w:val="28"/>
                <w:szCs w:val="28"/>
                <w:highlight w:val="none"/>
                <w:lang w:val="en-US" w:eastAsia="zh-CN"/>
              </w:rPr>
              <w:t>提供所投产品设备省级及以上卫生健康行政部门出具的《涉及饮用水卫生安全产品许可批件》内额定总净水量数据佐证并附原件复印件。</w:t>
            </w:r>
          </w:p>
        </w:tc>
        <w:tc>
          <w:tcPr>
            <w:tcW w:w="750" w:type="dxa"/>
            <w:vMerge w:val="continue"/>
            <w:noWrap w:val="0"/>
            <w:vAlign w:val="center"/>
          </w:tcPr>
          <w:p w14:paraId="3E6F4BF4">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rPr>
            </w:pPr>
          </w:p>
        </w:tc>
        <w:tc>
          <w:tcPr>
            <w:tcW w:w="659" w:type="dxa"/>
            <w:vMerge w:val="continue"/>
            <w:noWrap w:val="0"/>
            <w:vAlign w:val="center"/>
          </w:tcPr>
          <w:p w14:paraId="77547D31">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rPr>
            </w:pPr>
          </w:p>
        </w:tc>
      </w:tr>
      <w:tr w14:paraId="314E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78" w:type="dxa"/>
            <w:noWrap w:val="0"/>
            <w:vAlign w:val="center"/>
          </w:tcPr>
          <w:p w14:paraId="2BE61341">
            <w:pPr>
              <w:keepNext w:val="0"/>
              <w:keepLines w:val="0"/>
              <w:numPr>
                <w:ilvl w:val="0"/>
                <w:numId w:val="10"/>
              </w:numPr>
              <w:suppressLineNumbers w:val="0"/>
              <w:snapToGrid w:val="0"/>
              <w:spacing w:before="0" w:beforeAutospacing="0" w:after="0" w:afterAutospacing="0"/>
              <w:ind w:left="425" w:leftChars="0" w:right="0" w:hanging="425" w:firstLineChars="0"/>
              <w:rPr>
                <w:rFonts w:hint="eastAsia" w:ascii="仿宋" w:hAnsi="仿宋" w:eastAsia="仿宋" w:cs="仿宋"/>
                <w:b w:val="0"/>
                <w:bCs w:val="0"/>
                <w:color w:val="auto"/>
                <w:sz w:val="28"/>
                <w:szCs w:val="28"/>
                <w:highlight w:val="none"/>
              </w:rPr>
            </w:pPr>
          </w:p>
        </w:tc>
        <w:tc>
          <w:tcPr>
            <w:tcW w:w="731" w:type="dxa"/>
            <w:noWrap w:val="0"/>
            <w:vAlign w:val="center"/>
          </w:tcPr>
          <w:p w14:paraId="6B08E41C">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rPr>
            </w:pPr>
            <w:r>
              <w:rPr>
                <w:rFonts w:hint="eastAsia" w:ascii="仿宋" w:hAnsi="仿宋" w:eastAsia="仿宋" w:cs="仿宋"/>
                <w:b w:val="0"/>
                <w:bCs w:val="0"/>
                <w:color w:val="auto"/>
                <w:sz w:val="28"/>
                <w:szCs w:val="28"/>
                <w:highlight w:val="none"/>
              </w:rPr>
              <w:t>过滤系统</w:t>
            </w:r>
          </w:p>
        </w:tc>
        <w:tc>
          <w:tcPr>
            <w:tcW w:w="6779" w:type="dxa"/>
            <w:noWrap w:val="0"/>
            <w:vAlign w:val="center"/>
          </w:tcPr>
          <w:p w14:paraId="136E5E64">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5级过滤，包含：</w:t>
            </w:r>
            <w:r>
              <w:rPr>
                <w:rFonts w:hint="eastAsia" w:ascii="仿宋" w:hAnsi="仿宋" w:eastAsia="仿宋" w:cs="仿宋"/>
                <w:b w:val="0"/>
                <w:bCs w:val="0"/>
                <w:color w:val="auto"/>
                <w:sz w:val="28"/>
                <w:szCs w:val="28"/>
                <w:highlight w:val="none"/>
              </w:rPr>
              <w:t>UF</w:t>
            </w:r>
            <w:r>
              <w:rPr>
                <w:rFonts w:hint="eastAsia" w:ascii="仿宋" w:hAnsi="仿宋" w:eastAsia="仿宋" w:cs="仿宋"/>
                <w:b w:val="0"/>
                <w:bCs w:val="0"/>
                <w:color w:val="auto"/>
                <w:sz w:val="28"/>
                <w:szCs w:val="28"/>
                <w:highlight w:val="none"/>
                <w:lang w:eastAsia="zh-CN"/>
              </w:rPr>
              <w:t>（超滤）、</w:t>
            </w:r>
            <w:r>
              <w:rPr>
                <w:rFonts w:hint="eastAsia" w:ascii="仿宋" w:hAnsi="仿宋" w:eastAsia="仿宋" w:cs="仿宋"/>
                <w:b w:val="0"/>
                <w:bCs w:val="0"/>
                <w:color w:val="auto"/>
                <w:sz w:val="28"/>
                <w:szCs w:val="28"/>
                <w:highlight w:val="none"/>
              </w:rPr>
              <w:t>CTO</w:t>
            </w:r>
            <w:r>
              <w:rPr>
                <w:rFonts w:hint="eastAsia" w:ascii="仿宋" w:hAnsi="仿宋" w:eastAsia="仿宋" w:cs="仿宋"/>
                <w:b w:val="0"/>
                <w:bCs w:val="0"/>
                <w:color w:val="auto"/>
                <w:sz w:val="28"/>
                <w:szCs w:val="28"/>
                <w:highlight w:val="none"/>
                <w:lang w:eastAsia="zh-CN"/>
              </w:rPr>
              <w:t>（活性炭棒）、</w:t>
            </w:r>
            <w:r>
              <w:rPr>
                <w:rFonts w:hint="eastAsia" w:ascii="仿宋" w:hAnsi="仿宋" w:eastAsia="仿宋" w:cs="仿宋"/>
                <w:b w:val="0"/>
                <w:bCs w:val="0"/>
                <w:color w:val="auto"/>
                <w:sz w:val="28"/>
                <w:szCs w:val="28"/>
                <w:highlight w:val="none"/>
              </w:rPr>
              <w:t>PP</w:t>
            </w:r>
            <w:r>
              <w:rPr>
                <w:rFonts w:hint="eastAsia" w:ascii="仿宋" w:hAnsi="仿宋" w:eastAsia="仿宋" w:cs="仿宋"/>
                <w:b w:val="0"/>
                <w:bCs w:val="0"/>
                <w:color w:val="auto"/>
                <w:sz w:val="28"/>
                <w:szCs w:val="28"/>
                <w:highlight w:val="none"/>
                <w:lang w:eastAsia="zh-CN"/>
              </w:rPr>
              <w:t>（聚丙烯），</w:t>
            </w:r>
            <w:r>
              <w:rPr>
                <w:rFonts w:hint="eastAsia" w:ascii="仿宋" w:hAnsi="仿宋" w:eastAsia="仿宋" w:cs="仿宋"/>
                <w:b w:val="0"/>
                <w:bCs w:val="0"/>
                <w:color w:val="auto"/>
                <w:sz w:val="28"/>
                <w:szCs w:val="28"/>
                <w:highlight w:val="none"/>
                <w:lang w:val="en-US" w:eastAsia="zh-CN"/>
              </w:rPr>
              <w:t>核心过滤模块采用RO反渗透过滤，滤芯需与所投设备为同一品牌（提供整机的检测报告及滤芯的涉及饮用水卫生安全许可批件或检测报告）。</w:t>
            </w:r>
          </w:p>
        </w:tc>
        <w:tc>
          <w:tcPr>
            <w:tcW w:w="750" w:type="dxa"/>
            <w:vMerge w:val="continue"/>
            <w:noWrap w:val="0"/>
            <w:vAlign w:val="center"/>
          </w:tcPr>
          <w:p w14:paraId="07162F1E">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rPr>
            </w:pPr>
          </w:p>
        </w:tc>
        <w:tc>
          <w:tcPr>
            <w:tcW w:w="659" w:type="dxa"/>
            <w:vMerge w:val="continue"/>
            <w:noWrap w:val="0"/>
            <w:vAlign w:val="center"/>
          </w:tcPr>
          <w:p w14:paraId="1F0EDAC2">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rPr>
            </w:pPr>
          </w:p>
        </w:tc>
      </w:tr>
      <w:tr w14:paraId="689B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78" w:type="dxa"/>
            <w:noWrap w:val="0"/>
            <w:vAlign w:val="center"/>
          </w:tcPr>
          <w:p w14:paraId="78345C17">
            <w:pPr>
              <w:keepNext w:val="0"/>
              <w:keepLines w:val="0"/>
              <w:numPr>
                <w:ilvl w:val="0"/>
                <w:numId w:val="10"/>
              </w:numPr>
              <w:suppressLineNumbers w:val="0"/>
              <w:snapToGrid w:val="0"/>
              <w:spacing w:before="0" w:beforeAutospacing="0" w:after="0" w:afterAutospacing="0"/>
              <w:ind w:left="425" w:leftChars="0" w:right="0" w:hanging="425" w:firstLineChars="0"/>
              <w:rPr>
                <w:rFonts w:hint="eastAsia" w:ascii="仿宋" w:hAnsi="仿宋" w:eastAsia="仿宋" w:cs="仿宋"/>
                <w:b w:val="0"/>
                <w:bCs w:val="0"/>
                <w:color w:val="auto"/>
                <w:sz w:val="28"/>
                <w:szCs w:val="28"/>
                <w:highlight w:val="none"/>
              </w:rPr>
            </w:pPr>
          </w:p>
        </w:tc>
        <w:tc>
          <w:tcPr>
            <w:tcW w:w="731" w:type="dxa"/>
            <w:noWrap w:val="0"/>
            <w:vAlign w:val="center"/>
          </w:tcPr>
          <w:p w14:paraId="339D53B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rPr>
            </w:pPr>
            <w:r>
              <w:rPr>
                <w:rFonts w:hint="eastAsia" w:ascii="仿宋" w:hAnsi="仿宋" w:eastAsia="仿宋" w:cs="仿宋"/>
                <w:b w:val="0"/>
                <w:bCs w:val="0"/>
                <w:color w:val="auto"/>
                <w:sz w:val="28"/>
                <w:szCs w:val="28"/>
                <w:highlight w:val="none"/>
              </w:rPr>
              <w:t>净水流量</w:t>
            </w:r>
          </w:p>
        </w:tc>
        <w:tc>
          <w:tcPr>
            <w:tcW w:w="6779" w:type="dxa"/>
            <w:noWrap w:val="0"/>
            <w:vAlign w:val="center"/>
          </w:tcPr>
          <w:p w14:paraId="1D6F852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不小于0.20m³/小时，</w:t>
            </w:r>
            <w:r>
              <w:rPr>
                <w:rFonts w:hint="eastAsia" w:ascii="仿宋" w:hAnsi="仿宋" w:eastAsia="仿宋" w:cs="仿宋"/>
                <w:color w:val="auto"/>
                <w:sz w:val="28"/>
                <w:szCs w:val="28"/>
                <w:highlight w:val="none"/>
                <w:lang w:val="en-US" w:eastAsia="zh-CN"/>
              </w:rPr>
              <w:t>提供所投产品</w:t>
            </w:r>
            <w:r>
              <w:rPr>
                <w:rFonts w:hint="eastAsia" w:ascii="仿宋" w:hAnsi="仿宋" w:eastAsia="仿宋" w:cs="仿宋"/>
                <w:color w:val="000000" w:themeColor="text1"/>
                <w:sz w:val="28"/>
                <w:szCs w:val="28"/>
                <w:lang w:val="en-US" w:eastAsia="zh-CN"/>
                <w14:textFill>
                  <w14:solidFill>
                    <w14:schemeClr w14:val="tx1"/>
                  </w14:solidFill>
                </w14:textFill>
              </w:rPr>
              <w:t>卫生健康行政部门</w:t>
            </w:r>
            <w:r>
              <w:rPr>
                <w:rFonts w:hint="eastAsia" w:ascii="仿宋" w:hAnsi="仿宋" w:eastAsia="仿宋" w:cs="仿宋"/>
                <w:color w:val="auto"/>
                <w:sz w:val="28"/>
                <w:szCs w:val="28"/>
                <w:highlight w:val="none"/>
                <w:lang w:val="en-US" w:eastAsia="zh-CN"/>
              </w:rPr>
              <w:t>出具的《涉及饮用水卫生安全产品许可批件》内净水流量数据佐证并附原件复印件</w:t>
            </w:r>
          </w:p>
        </w:tc>
        <w:tc>
          <w:tcPr>
            <w:tcW w:w="750" w:type="dxa"/>
            <w:vMerge w:val="continue"/>
            <w:noWrap w:val="0"/>
            <w:vAlign w:val="center"/>
          </w:tcPr>
          <w:p w14:paraId="4E567196">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rPr>
            </w:pPr>
          </w:p>
        </w:tc>
        <w:tc>
          <w:tcPr>
            <w:tcW w:w="659" w:type="dxa"/>
            <w:vMerge w:val="continue"/>
            <w:noWrap w:val="0"/>
            <w:vAlign w:val="center"/>
          </w:tcPr>
          <w:p w14:paraId="240BF084">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rPr>
            </w:pPr>
          </w:p>
        </w:tc>
      </w:tr>
      <w:tr w14:paraId="3535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78" w:type="dxa"/>
            <w:noWrap w:val="0"/>
            <w:vAlign w:val="center"/>
          </w:tcPr>
          <w:p w14:paraId="15B2AFAF">
            <w:pPr>
              <w:keepNext w:val="0"/>
              <w:keepLines w:val="0"/>
              <w:numPr>
                <w:ilvl w:val="0"/>
                <w:numId w:val="10"/>
              </w:numPr>
              <w:suppressLineNumbers w:val="0"/>
              <w:snapToGrid w:val="0"/>
              <w:spacing w:before="0" w:beforeAutospacing="0" w:after="0" w:afterAutospacing="0"/>
              <w:ind w:left="425" w:leftChars="0" w:right="0" w:hanging="425" w:firstLineChars="0"/>
              <w:rPr>
                <w:rFonts w:hint="eastAsia" w:ascii="仿宋" w:hAnsi="仿宋" w:eastAsia="仿宋" w:cs="仿宋"/>
                <w:b w:val="0"/>
                <w:bCs w:val="0"/>
                <w:color w:val="auto"/>
                <w:sz w:val="28"/>
                <w:szCs w:val="28"/>
                <w:highlight w:val="none"/>
              </w:rPr>
            </w:pPr>
          </w:p>
        </w:tc>
        <w:tc>
          <w:tcPr>
            <w:tcW w:w="731" w:type="dxa"/>
            <w:noWrap w:val="0"/>
            <w:vAlign w:val="center"/>
          </w:tcPr>
          <w:p w14:paraId="2C6AC3B0">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出水种类</w:t>
            </w:r>
          </w:p>
        </w:tc>
        <w:tc>
          <w:tcPr>
            <w:tcW w:w="6779" w:type="dxa"/>
            <w:noWrap w:val="0"/>
            <w:vAlign w:val="center"/>
          </w:tcPr>
          <w:p w14:paraId="72F0B10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rPr>
            </w:pPr>
            <w:r>
              <w:rPr>
                <w:rFonts w:hint="eastAsia" w:ascii="仿宋" w:hAnsi="仿宋" w:eastAsia="仿宋" w:cs="仿宋"/>
                <w:b w:val="0"/>
                <w:bCs w:val="0"/>
                <w:color w:val="auto"/>
                <w:sz w:val="28"/>
                <w:szCs w:val="28"/>
                <w:highlight w:val="none"/>
              </w:rPr>
              <w:t>常温水</w:t>
            </w:r>
          </w:p>
        </w:tc>
        <w:tc>
          <w:tcPr>
            <w:tcW w:w="750" w:type="dxa"/>
            <w:vMerge w:val="continue"/>
            <w:noWrap w:val="0"/>
            <w:vAlign w:val="center"/>
          </w:tcPr>
          <w:p w14:paraId="305FF035">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rPr>
            </w:pPr>
          </w:p>
        </w:tc>
        <w:tc>
          <w:tcPr>
            <w:tcW w:w="659" w:type="dxa"/>
            <w:vMerge w:val="continue"/>
            <w:noWrap w:val="0"/>
            <w:vAlign w:val="center"/>
          </w:tcPr>
          <w:p w14:paraId="43BF2C34">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rPr>
            </w:pPr>
          </w:p>
        </w:tc>
      </w:tr>
      <w:tr w14:paraId="6E50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78" w:type="dxa"/>
            <w:noWrap w:val="0"/>
            <w:vAlign w:val="center"/>
          </w:tcPr>
          <w:p w14:paraId="45FA4D00">
            <w:pPr>
              <w:keepNext w:val="0"/>
              <w:keepLines w:val="0"/>
              <w:numPr>
                <w:ilvl w:val="0"/>
                <w:numId w:val="10"/>
              </w:numPr>
              <w:suppressLineNumbers w:val="0"/>
              <w:snapToGrid w:val="0"/>
              <w:spacing w:before="0" w:beforeAutospacing="0" w:after="0" w:afterAutospacing="0"/>
              <w:ind w:left="425" w:leftChars="0" w:right="0" w:hanging="425" w:firstLineChars="0"/>
              <w:rPr>
                <w:rFonts w:hint="eastAsia" w:ascii="仿宋" w:hAnsi="仿宋" w:eastAsia="仿宋" w:cs="仿宋"/>
                <w:b w:val="0"/>
                <w:bCs w:val="0"/>
                <w:color w:val="auto"/>
                <w:sz w:val="28"/>
                <w:szCs w:val="28"/>
                <w:highlight w:val="none"/>
              </w:rPr>
            </w:pPr>
          </w:p>
        </w:tc>
        <w:tc>
          <w:tcPr>
            <w:tcW w:w="731" w:type="dxa"/>
            <w:noWrap w:val="0"/>
            <w:vAlign w:val="center"/>
          </w:tcPr>
          <w:p w14:paraId="48A3E739">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杀菌方式</w:t>
            </w:r>
          </w:p>
        </w:tc>
        <w:tc>
          <w:tcPr>
            <w:tcW w:w="6779" w:type="dxa"/>
            <w:noWrap w:val="0"/>
            <w:vAlign w:val="center"/>
          </w:tcPr>
          <w:p w14:paraId="6BA5EAE4">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rPr>
            </w:pPr>
            <w:r>
              <w:rPr>
                <w:rFonts w:hint="eastAsia" w:ascii="仿宋" w:hAnsi="仿宋" w:eastAsia="仿宋" w:cs="仿宋"/>
                <w:b w:val="0"/>
                <w:bCs w:val="0"/>
                <w:color w:val="auto"/>
                <w:sz w:val="28"/>
                <w:szCs w:val="28"/>
                <w:highlight w:val="none"/>
              </w:rPr>
              <w:t>紫外线杀菌</w:t>
            </w:r>
          </w:p>
        </w:tc>
        <w:tc>
          <w:tcPr>
            <w:tcW w:w="750" w:type="dxa"/>
            <w:vMerge w:val="continue"/>
            <w:noWrap w:val="0"/>
            <w:vAlign w:val="center"/>
          </w:tcPr>
          <w:p w14:paraId="0300D3F9">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rPr>
            </w:pPr>
          </w:p>
        </w:tc>
        <w:tc>
          <w:tcPr>
            <w:tcW w:w="659" w:type="dxa"/>
            <w:vMerge w:val="continue"/>
            <w:noWrap w:val="0"/>
            <w:vAlign w:val="center"/>
          </w:tcPr>
          <w:p w14:paraId="14464644">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rPr>
            </w:pPr>
          </w:p>
        </w:tc>
      </w:tr>
      <w:tr w14:paraId="2149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78" w:type="dxa"/>
            <w:noWrap w:val="0"/>
            <w:vAlign w:val="center"/>
          </w:tcPr>
          <w:p w14:paraId="7B4702F2">
            <w:pPr>
              <w:keepNext w:val="0"/>
              <w:keepLines w:val="0"/>
              <w:numPr>
                <w:ilvl w:val="0"/>
                <w:numId w:val="10"/>
              </w:numPr>
              <w:suppressLineNumbers w:val="0"/>
              <w:snapToGrid w:val="0"/>
              <w:spacing w:before="0" w:beforeAutospacing="0" w:after="0" w:afterAutospacing="0"/>
              <w:ind w:left="425" w:leftChars="0" w:right="0" w:hanging="425" w:firstLineChars="0"/>
              <w:rPr>
                <w:rFonts w:hint="eastAsia" w:ascii="仿宋" w:hAnsi="仿宋" w:eastAsia="仿宋" w:cs="仿宋"/>
                <w:b w:val="0"/>
                <w:bCs w:val="0"/>
                <w:color w:val="auto"/>
                <w:sz w:val="28"/>
                <w:szCs w:val="28"/>
                <w:highlight w:val="none"/>
              </w:rPr>
            </w:pPr>
          </w:p>
        </w:tc>
        <w:tc>
          <w:tcPr>
            <w:tcW w:w="731" w:type="dxa"/>
            <w:noWrap w:val="0"/>
            <w:vAlign w:val="center"/>
          </w:tcPr>
          <w:p w14:paraId="304A6479">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其他要求</w:t>
            </w:r>
          </w:p>
        </w:tc>
        <w:tc>
          <w:tcPr>
            <w:tcW w:w="6779" w:type="dxa"/>
            <w:noWrap w:val="0"/>
            <w:vAlign w:val="center"/>
          </w:tcPr>
          <w:p w14:paraId="7B174F47">
            <w:pPr>
              <w:keepNext w:val="0"/>
              <w:keepLines w:val="0"/>
              <w:numPr>
                <w:ilvl w:val="0"/>
                <w:numId w:val="12"/>
              </w:numPr>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核心反渗透膜元件脱盐率：不小于97%（需提供卫生许可批件佐证）；</w:t>
            </w:r>
          </w:p>
          <w:p w14:paraId="7DE85766">
            <w:pPr>
              <w:keepNext w:val="0"/>
              <w:keepLines w:val="0"/>
              <w:numPr>
                <w:ilvl w:val="0"/>
                <w:numId w:val="12"/>
              </w:numPr>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杀菌：大肠杆菌杀菌率≥99.99%（需提供具有CMA资质的检测机构出具的检测报告）；</w:t>
            </w:r>
          </w:p>
          <w:p w14:paraId="209D0808">
            <w:pPr>
              <w:keepNext w:val="0"/>
              <w:keepLines w:val="0"/>
              <w:numPr>
                <w:ilvl w:val="0"/>
                <w:numId w:val="12"/>
              </w:numPr>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出水水质：符合《生活饮用水水质处理器卫生安全与功能评价规范-反渗透处理装置》（2001）的要求（需提供卫生许可批件佐证）；</w:t>
            </w:r>
          </w:p>
          <w:p w14:paraId="47B05678">
            <w:pPr>
              <w:keepNext w:val="0"/>
              <w:keepLines w:val="0"/>
              <w:numPr>
                <w:ilvl w:val="0"/>
                <w:numId w:val="12"/>
              </w:numPr>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杀菌方式：</w:t>
            </w:r>
            <w:r>
              <w:rPr>
                <w:rFonts w:hint="eastAsia" w:ascii="仿宋" w:hAnsi="仿宋" w:eastAsia="仿宋" w:cs="仿宋"/>
                <w:b w:val="0"/>
                <w:bCs w:val="0"/>
                <w:color w:val="auto"/>
                <w:sz w:val="28"/>
                <w:szCs w:val="28"/>
                <w:highlight w:val="none"/>
              </w:rPr>
              <w:t>紫外线杀菌</w:t>
            </w:r>
            <w:r>
              <w:rPr>
                <w:rFonts w:hint="eastAsia" w:ascii="仿宋" w:hAnsi="仿宋" w:eastAsia="仿宋" w:cs="仿宋"/>
                <w:b w:val="0"/>
                <w:bCs w:val="0"/>
                <w:color w:val="auto"/>
                <w:sz w:val="28"/>
                <w:szCs w:val="28"/>
                <w:highlight w:val="none"/>
                <w:lang w:eastAsia="zh-CN"/>
              </w:rPr>
              <w:t>；</w:t>
            </w:r>
          </w:p>
          <w:p w14:paraId="7B09AA08">
            <w:pPr>
              <w:keepNext w:val="0"/>
              <w:keepLines w:val="0"/>
              <w:numPr>
                <w:ilvl w:val="0"/>
                <w:numId w:val="12"/>
              </w:numPr>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eastAsia="zh-CN"/>
              </w:rPr>
              <w:t>产品卫生：具备食品接触产品卫生认证。</w:t>
            </w:r>
          </w:p>
        </w:tc>
        <w:tc>
          <w:tcPr>
            <w:tcW w:w="750" w:type="dxa"/>
            <w:vMerge w:val="continue"/>
            <w:noWrap w:val="0"/>
            <w:vAlign w:val="center"/>
          </w:tcPr>
          <w:p w14:paraId="53293DD3">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rPr>
            </w:pPr>
          </w:p>
        </w:tc>
        <w:tc>
          <w:tcPr>
            <w:tcW w:w="659" w:type="dxa"/>
            <w:vMerge w:val="continue"/>
            <w:noWrap w:val="0"/>
            <w:vAlign w:val="center"/>
          </w:tcPr>
          <w:p w14:paraId="79E6D656">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rPr>
            </w:pPr>
          </w:p>
        </w:tc>
      </w:tr>
    </w:tbl>
    <w:p w14:paraId="39DDACCF">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7ECA086A">
      <w:pPr>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实施清单</w:t>
      </w:r>
    </w:p>
    <w:tbl>
      <w:tblPr>
        <w:tblStyle w:val="4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527"/>
        <w:gridCol w:w="6106"/>
      </w:tblGrid>
      <w:tr w14:paraId="745B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A0B967F">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w:t>
            </w:r>
          </w:p>
        </w:tc>
        <w:tc>
          <w:tcPr>
            <w:tcW w:w="1527" w:type="dxa"/>
            <w:vMerge w:val="restart"/>
            <w:noWrap w:val="0"/>
            <w:vAlign w:val="center"/>
          </w:tcPr>
          <w:p w14:paraId="37DD40F3">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城中街道</w:t>
            </w:r>
          </w:p>
        </w:tc>
        <w:tc>
          <w:tcPr>
            <w:tcW w:w="6106" w:type="dxa"/>
            <w:noWrap w:val="0"/>
            <w:vAlign w:val="center"/>
          </w:tcPr>
          <w:p w14:paraId="49CE6954">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巴格恰阿勒迪社区</w:t>
            </w:r>
          </w:p>
        </w:tc>
      </w:tr>
      <w:tr w14:paraId="49FD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9698E58">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w:t>
            </w:r>
          </w:p>
        </w:tc>
        <w:tc>
          <w:tcPr>
            <w:tcW w:w="1527" w:type="dxa"/>
            <w:vMerge w:val="continue"/>
            <w:noWrap w:val="0"/>
            <w:vAlign w:val="center"/>
          </w:tcPr>
          <w:p w14:paraId="5CC4DAAF">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588F4106">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巴格麦勒社区</w:t>
            </w:r>
          </w:p>
        </w:tc>
      </w:tr>
      <w:tr w14:paraId="2C5C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BD8C84F">
            <w:pPr>
              <w:keepNext w:val="0"/>
              <w:keepLines w:val="0"/>
              <w:numPr>
                <w:ilvl w:val="0"/>
                <w:numId w:val="0"/>
              </w:numPr>
              <w:suppressLineNumbers w:val="0"/>
              <w:snapToGrid w:val="0"/>
              <w:spacing w:before="0" w:beforeAutospacing="0" w:after="0" w:afterAutospacing="0"/>
              <w:ind w:left="0" w:leftChars="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w:t>
            </w:r>
          </w:p>
        </w:tc>
        <w:tc>
          <w:tcPr>
            <w:tcW w:w="1527" w:type="dxa"/>
            <w:vMerge w:val="continue"/>
            <w:noWrap w:val="0"/>
            <w:vAlign w:val="center"/>
          </w:tcPr>
          <w:p w14:paraId="7997D51B">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064A5D9B">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和平社区</w:t>
            </w:r>
          </w:p>
        </w:tc>
      </w:tr>
      <w:tr w14:paraId="7BBB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393A829">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w:t>
            </w:r>
          </w:p>
        </w:tc>
        <w:tc>
          <w:tcPr>
            <w:tcW w:w="1527" w:type="dxa"/>
            <w:vMerge w:val="continue"/>
            <w:noWrap w:val="0"/>
            <w:vAlign w:val="center"/>
          </w:tcPr>
          <w:p w14:paraId="6ABDD2C1">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6C9CAF54">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其乃巴格社区</w:t>
            </w:r>
          </w:p>
        </w:tc>
      </w:tr>
      <w:tr w14:paraId="1783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58D4D93">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5</w:t>
            </w:r>
          </w:p>
        </w:tc>
        <w:tc>
          <w:tcPr>
            <w:tcW w:w="1527" w:type="dxa"/>
            <w:vMerge w:val="continue"/>
            <w:noWrap w:val="0"/>
            <w:vAlign w:val="center"/>
          </w:tcPr>
          <w:p w14:paraId="26D1042E">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438A16C2">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东南社区</w:t>
            </w:r>
          </w:p>
        </w:tc>
      </w:tr>
      <w:tr w14:paraId="3022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3479778">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6</w:t>
            </w:r>
          </w:p>
        </w:tc>
        <w:tc>
          <w:tcPr>
            <w:tcW w:w="1527" w:type="dxa"/>
            <w:vMerge w:val="continue"/>
            <w:noWrap w:val="0"/>
            <w:vAlign w:val="center"/>
          </w:tcPr>
          <w:p w14:paraId="1AA687FC">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7CE50690">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协海尔巴格社区</w:t>
            </w:r>
          </w:p>
        </w:tc>
      </w:tr>
      <w:tr w14:paraId="2918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2E60E7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7</w:t>
            </w:r>
          </w:p>
        </w:tc>
        <w:tc>
          <w:tcPr>
            <w:tcW w:w="1527" w:type="dxa"/>
            <w:vMerge w:val="continue"/>
            <w:noWrap w:val="0"/>
            <w:vAlign w:val="center"/>
          </w:tcPr>
          <w:p w14:paraId="78FC6418">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3BE9A94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栏杆社区</w:t>
            </w:r>
          </w:p>
        </w:tc>
      </w:tr>
      <w:tr w14:paraId="53CE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F81D135">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8</w:t>
            </w:r>
          </w:p>
        </w:tc>
        <w:tc>
          <w:tcPr>
            <w:tcW w:w="1527" w:type="dxa"/>
            <w:vMerge w:val="restart"/>
            <w:noWrap w:val="0"/>
            <w:vAlign w:val="center"/>
          </w:tcPr>
          <w:p w14:paraId="2F975595">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古勒巴格镇</w:t>
            </w:r>
          </w:p>
        </w:tc>
        <w:tc>
          <w:tcPr>
            <w:tcW w:w="6106" w:type="dxa"/>
            <w:noWrap w:val="0"/>
            <w:vAlign w:val="center"/>
          </w:tcPr>
          <w:p w14:paraId="2A0E8287">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墩艾日克社区</w:t>
            </w:r>
          </w:p>
        </w:tc>
      </w:tr>
      <w:tr w14:paraId="1636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83C9166">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9</w:t>
            </w:r>
          </w:p>
        </w:tc>
        <w:tc>
          <w:tcPr>
            <w:tcW w:w="1527" w:type="dxa"/>
            <w:vMerge w:val="continue"/>
            <w:noWrap w:val="0"/>
            <w:vAlign w:val="center"/>
          </w:tcPr>
          <w:p w14:paraId="2CC3800B">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61345D91">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巴旦木社区</w:t>
            </w:r>
          </w:p>
        </w:tc>
      </w:tr>
      <w:tr w14:paraId="54BE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1ED3266">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w:t>
            </w:r>
          </w:p>
        </w:tc>
        <w:tc>
          <w:tcPr>
            <w:tcW w:w="1527" w:type="dxa"/>
            <w:vMerge w:val="continue"/>
            <w:noWrap w:val="0"/>
            <w:vAlign w:val="center"/>
          </w:tcPr>
          <w:p w14:paraId="621DD997">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21CFC4DE">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帕米尔社区</w:t>
            </w:r>
          </w:p>
        </w:tc>
      </w:tr>
      <w:tr w14:paraId="02C5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FD4BD44">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11</w:t>
            </w:r>
          </w:p>
        </w:tc>
        <w:tc>
          <w:tcPr>
            <w:tcW w:w="1527" w:type="dxa"/>
            <w:vMerge w:val="continue"/>
            <w:noWrap w:val="0"/>
            <w:vAlign w:val="center"/>
          </w:tcPr>
          <w:p w14:paraId="60ABDFD1">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3C65B52C">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兴业社区</w:t>
            </w:r>
          </w:p>
        </w:tc>
      </w:tr>
      <w:tr w14:paraId="0DC8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362BADB">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12</w:t>
            </w:r>
          </w:p>
        </w:tc>
        <w:tc>
          <w:tcPr>
            <w:tcW w:w="1527" w:type="dxa"/>
            <w:vMerge w:val="continue"/>
            <w:noWrap w:val="0"/>
            <w:vAlign w:val="center"/>
          </w:tcPr>
          <w:p w14:paraId="257C89D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5891AE36">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工业路社区</w:t>
            </w:r>
          </w:p>
        </w:tc>
      </w:tr>
      <w:tr w14:paraId="0802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292D2F9">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13</w:t>
            </w:r>
          </w:p>
        </w:tc>
        <w:tc>
          <w:tcPr>
            <w:tcW w:w="1527" w:type="dxa"/>
            <w:vMerge w:val="continue"/>
            <w:noWrap w:val="0"/>
            <w:vAlign w:val="center"/>
          </w:tcPr>
          <w:p w14:paraId="17520FE7">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2A2F39D1">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振兴社区</w:t>
            </w:r>
          </w:p>
        </w:tc>
      </w:tr>
      <w:tr w14:paraId="39A0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2B5CCBA">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14</w:t>
            </w:r>
          </w:p>
        </w:tc>
        <w:tc>
          <w:tcPr>
            <w:tcW w:w="1527" w:type="dxa"/>
            <w:vMerge w:val="continue"/>
            <w:noWrap w:val="0"/>
            <w:vAlign w:val="center"/>
          </w:tcPr>
          <w:p w14:paraId="1FE3DD7E">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5387030F">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恰依哈纳村</w:t>
            </w:r>
          </w:p>
        </w:tc>
      </w:tr>
      <w:tr w14:paraId="3B74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7EF1DC3">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15</w:t>
            </w:r>
          </w:p>
        </w:tc>
        <w:tc>
          <w:tcPr>
            <w:tcW w:w="1527" w:type="dxa"/>
            <w:vMerge w:val="continue"/>
            <w:noWrap w:val="0"/>
            <w:vAlign w:val="center"/>
          </w:tcPr>
          <w:p w14:paraId="2B7EE110">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47C47418">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巴格提坎村</w:t>
            </w:r>
          </w:p>
        </w:tc>
      </w:tr>
      <w:tr w14:paraId="2AC4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AE057D0">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16</w:t>
            </w:r>
          </w:p>
        </w:tc>
        <w:tc>
          <w:tcPr>
            <w:tcW w:w="1527" w:type="dxa"/>
            <w:vMerge w:val="continue"/>
            <w:noWrap w:val="0"/>
            <w:vAlign w:val="center"/>
          </w:tcPr>
          <w:p w14:paraId="3AFD75F2">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7CBB82F5">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阳光村</w:t>
            </w:r>
          </w:p>
        </w:tc>
      </w:tr>
      <w:tr w14:paraId="04CB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CD577E5">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17</w:t>
            </w:r>
          </w:p>
        </w:tc>
        <w:tc>
          <w:tcPr>
            <w:tcW w:w="1527" w:type="dxa"/>
            <w:vMerge w:val="continue"/>
            <w:noWrap w:val="0"/>
            <w:vAlign w:val="center"/>
          </w:tcPr>
          <w:p w14:paraId="44DB5DE2">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20B33648">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奥依巴格村</w:t>
            </w:r>
          </w:p>
        </w:tc>
      </w:tr>
      <w:tr w14:paraId="44CC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188FE87">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18</w:t>
            </w:r>
          </w:p>
        </w:tc>
        <w:tc>
          <w:tcPr>
            <w:tcW w:w="1527" w:type="dxa"/>
            <w:vMerge w:val="restart"/>
            <w:noWrap w:val="0"/>
            <w:vAlign w:val="center"/>
          </w:tcPr>
          <w:p w14:paraId="360D314F">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城东街道</w:t>
            </w:r>
          </w:p>
        </w:tc>
        <w:tc>
          <w:tcPr>
            <w:tcW w:w="6106" w:type="dxa"/>
            <w:noWrap w:val="0"/>
            <w:vAlign w:val="center"/>
          </w:tcPr>
          <w:p w14:paraId="35852087">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旅游路社区</w:t>
            </w:r>
          </w:p>
        </w:tc>
      </w:tr>
      <w:tr w14:paraId="7860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17CED7B">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19</w:t>
            </w:r>
          </w:p>
        </w:tc>
        <w:tc>
          <w:tcPr>
            <w:tcW w:w="1527" w:type="dxa"/>
            <w:vMerge w:val="continue"/>
            <w:noWrap w:val="0"/>
            <w:vAlign w:val="center"/>
          </w:tcPr>
          <w:p w14:paraId="1597D4EB">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79387549">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友谊社区</w:t>
            </w:r>
          </w:p>
        </w:tc>
      </w:tr>
      <w:tr w14:paraId="7B5B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ABA572F">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20</w:t>
            </w:r>
          </w:p>
        </w:tc>
        <w:tc>
          <w:tcPr>
            <w:tcW w:w="1527" w:type="dxa"/>
            <w:vMerge w:val="continue"/>
            <w:noWrap w:val="0"/>
            <w:vAlign w:val="center"/>
          </w:tcPr>
          <w:p w14:paraId="58C52E9E">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6F68D523">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团结社区</w:t>
            </w:r>
          </w:p>
        </w:tc>
      </w:tr>
      <w:tr w14:paraId="757F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AA2745C">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21</w:t>
            </w:r>
          </w:p>
        </w:tc>
        <w:tc>
          <w:tcPr>
            <w:tcW w:w="1527" w:type="dxa"/>
            <w:vMerge w:val="continue"/>
            <w:noWrap w:val="0"/>
            <w:vAlign w:val="center"/>
          </w:tcPr>
          <w:p w14:paraId="6A50F438">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56C5EACC">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老城社区</w:t>
            </w:r>
          </w:p>
        </w:tc>
      </w:tr>
      <w:tr w14:paraId="58BB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94A371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22</w:t>
            </w:r>
          </w:p>
        </w:tc>
        <w:tc>
          <w:tcPr>
            <w:tcW w:w="1527" w:type="dxa"/>
            <w:vMerge w:val="continue"/>
            <w:noWrap w:val="0"/>
            <w:vAlign w:val="center"/>
          </w:tcPr>
          <w:p w14:paraId="292D2FB7">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7429B14E">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前进村</w:t>
            </w:r>
          </w:p>
        </w:tc>
      </w:tr>
      <w:tr w14:paraId="0940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42A7C75">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23</w:t>
            </w:r>
          </w:p>
        </w:tc>
        <w:tc>
          <w:tcPr>
            <w:tcW w:w="1527" w:type="dxa"/>
            <w:vMerge w:val="continue"/>
            <w:noWrap w:val="0"/>
            <w:vAlign w:val="center"/>
          </w:tcPr>
          <w:p w14:paraId="13BBCF2B">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21DFEC9E">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昆其力克社区</w:t>
            </w:r>
          </w:p>
        </w:tc>
      </w:tr>
      <w:tr w14:paraId="0C83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B3FA868">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24</w:t>
            </w:r>
          </w:p>
        </w:tc>
        <w:tc>
          <w:tcPr>
            <w:tcW w:w="1527" w:type="dxa"/>
            <w:vMerge w:val="continue"/>
            <w:noWrap w:val="0"/>
            <w:vAlign w:val="center"/>
          </w:tcPr>
          <w:p w14:paraId="058DF6B3">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7432B37B">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古城社区</w:t>
            </w:r>
          </w:p>
        </w:tc>
      </w:tr>
      <w:tr w14:paraId="74B5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197B3D5">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25</w:t>
            </w:r>
          </w:p>
        </w:tc>
        <w:tc>
          <w:tcPr>
            <w:tcW w:w="1527" w:type="dxa"/>
            <w:vMerge w:val="continue"/>
            <w:noWrap w:val="0"/>
            <w:vAlign w:val="center"/>
          </w:tcPr>
          <w:p w14:paraId="664705A8">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0E5BA6EA">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阿依丁库勒社区</w:t>
            </w:r>
          </w:p>
        </w:tc>
      </w:tr>
      <w:tr w14:paraId="774A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AFF1084">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26</w:t>
            </w:r>
          </w:p>
        </w:tc>
        <w:tc>
          <w:tcPr>
            <w:tcW w:w="1527" w:type="dxa"/>
            <w:vMerge w:val="continue"/>
            <w:noWrap w:val="0"/>
            <w:vAlign w:val="center"/>
          </w:tcPr>
          <w:p w14:paraId="0A801F04">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2BC80ECC">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布拉克贝什社区</w:t>
            </w:r>
          </w:p>
        </w:tc>
      </w:tr>
      <w:tr w14:paraId="7359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56B1EE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27</w:t>
            </w:r>
          </w:p>
        </w:tc>
        <w:tc>
          <w:tcPr>
            <w:tcW w:w="1527" w:type="dxa"/>
            <w:vMerge w:val="continue"/>
            <w:noWrap w:val="0"/>
            <w:vAlign w:val="center"/>
          </w:tcPr>
          <w:p w14:paraId="04EEE260">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1C8A97D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惠民社区</w:t>
            </w:r>
          </w:p>
        </w:tc>
      </w:tr>
      <w:tr w14:paraId="7FD1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761F7B3">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28</w:t>
            </w:r>
          </w:p>
        </w:tc>
        <w:tc>
          <w:tcPr>
            <w:tcW w:w="1527" w:type="dxa"/>
            <w:vMerge w:val="continue"/>
            <w:noWrap w:val="0"/>
            <w:vAlign w:val="center"/>
          </w:tcPr>
          <w:p w14:paraId="49C1D914">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04AA2747">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长安路社区</w:t>
            </w:r>
          </w:p>
        </w:tc>
      </w:tr>
      <w:tr w14:paraId="787D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439117C">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29</w:t>
            </w:r>
          </w:p>
        </w:tc>
        <w:tc>
          <w:tcPr>
            <w:tcW w:w="1527" w:type="dxa"/>
            <w:vMerge w:val="continue"/>
            <w:noWrap w:val="0"/>
            <w:vAlign w:val="center"/>
          </w:tcPr>
          <w:p w14:paraId="77CE641A">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119EFB48">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安泰路社区</w:t>
            </w:r>
          </w:p>
        </w:tc>
      </w:tr>
      <w:tr w14:paraId="79D1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714F59E">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30</w:t>
            </w:r>
          </w:p>
        </w:tc>
        <w:tc>
          <w:tcPr>
            <w:tcW w:w="1527" w:type="dxa"/>
            <w:vMerge w:val="continue"/>
            <w:noWrap w:val="0"/>
            <w:vAlign w:val="center"/>
          </w:tcPr>
          <w:p w14:paraId="5B458941">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510508E9">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永乐社区</w:t>
            </w:r>
          </w:p>
        </w:tc>
      </w:tr>
      <w:tr w14:paraId="26B7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5F413E9">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31</w:t>
            </w:r>
          </w:p>
        </w:tc>
        <w:tc>
          <w:tcPr>
            <w:tcW w:w="1527" w:type="dxa"/>
            <w:vMerge w:val="continue"/>
            <w:noWrap w:val="0"/>
            <w:vAlign w:val="center"/>
          </w:tcPr>
          <w:p w14:paraId="33C22D85">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6B124F11">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疆南社区</w:t>
            </w:r>
          </w:p>
        </w:tc>
      </w:tr>
      <w:tr w14:paraId="51B6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C36BF79">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32</w:t>
            </w:r>
          </w:p>
        </w:tc>
        <w:tc>
          <w:tcPr>
            <w:tcW w:w="1527" w:type="dxa"/>
            <w:vMerge w:val="restart"/>
            <w:noWrap w:val="0"/>
            <w:vAlign w:val="center"/>
          </w:tcPr>
          <w:p w14:paraId="19BF7B62">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城北街道</w:t>
            </w:r>
          </w:p>
        </w:tc>
        <w:tc>
          <w:tcPr>
            <w:tcW w:w="6106" w:type="dxa"/>
            <w:noWrap w:val="0"/>
            <w:vAlign w:val="center"/>
          </w:tcPr>
          <w:p w14:paraId="74C4990B">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文化路社区</w:t>
            </w:r>
          </w:p>
        </w:tc>
      </w:tr>
      <w:tr w14:paraId="711D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57AF1C4">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33</w:t>
            </w:r>
          </w:p>
        </w:tc>
        <w:tc>
          <w:tcPr>
            <w:tcW w:w="1527" w:type="dxa"/>
            <w:vMerge w:val="continue"/>
            <w:noWrap w:val="0"/>
            <w:vAlign w:val="center"/>
          </w:tcPr>
          <w:p w14:paraId="119EA834">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4F43D33E">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园丁社区</w:t>
            </w:r>
          </w:p>
        </w:tc>
      </w:tr>
      <w:tr w14:paraId="5B6B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18EA4A6">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34</w:t>
            </w:r>
          </w:p>
        </w:tc>
        <w:tc>
          <w:tcPr>
            <w:tcW w:w="1527" w:type="dxa"/>
            <w:vMerge w:val="continue"/>
            <w:noWrap w:val="0"/>
            <w:vAlign w:val="center"/>
          </w:tcPr>
          <w:p w14:paraId="066144DA">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3DE0944B">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康宁社区</w:t>
            </w:r>
          </w:p>
        </w:tc>
      </w:tr>
      <w:tr w14:paraId="2725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2AD918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35</w:t>
            </w:r>
          </w:p>
        </w:tc>
        <w:tc>
          <w:tcPr>
            <w:tcW w:w="1527" w:type="dxa"/>
            <w:vMerge w:val="continue"/>
            <w:noWrap w:val="0"/>
            <w:vAlign w:val="center"/>
          </w:tcPr>
          <w:p w14:paraId="0E912EF4">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3CAAD959">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智慧路社区</w:t>
            </w:r>
          </w:p>
        </w:tc>
      </w:tr>
      <w:tr w14:paraId="00F0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4E6009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36</w:t>
            </w:r>
          </w:p>
        </w:tc>
        <w:tc>
          <w:tcPr>
            <w:tcW w:w="1527" w:type="dxa"/>
            <w:vMerge w:val="continue"/>
            <w:noWrap w:val="0"/>
            <w:vAlign w:val="center"/>
          </w:tcPr>
          <w:p w14:paraId="4E140CCF">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4C452975">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开发区社区</w:t>
            </w:r>
          </w:p>
        </w:tc>
      </w:tr>
      <w:tr w14:paraId="1D7E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5565743">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37</w:t>
            </w:r>
          </w:p>
        </w:tc>
        <w:tc>
          <w:tcPr>
            <w:tcW w:w="1527" w:type="dxa"/>
            <w:vMerge w:val="continue"/>
            <w:noWrap w:val="0"/>
            <w:vAlign w:val="center"/>
          </w:tcPr>
          <w:p w14:paraId="0238979C">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03CC200B">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英麦勒社区</w:t>
            </w:r>
          </w:p>
        </w:tc>
      </w:tr>
      <w:tr w14:paraId="3700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577CEF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38</w:t>
            </w:r>
          </w:p>
        </w:tc>
        <w:tc>
          <w:tcPr>
            <w:tcW w:w="1527" w:type="dxa"/>
            <w:vMerge w:val="continue"/>
            <w:noWrap w:val="0"/>
            <w:vAlign w:val="center"/>
          </w:tcPr>
          <w:p w14:paraId="4A6DD46F">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4DD8664F">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希望社区</w:t>
            </w:r>
          </w:p>
        </w:tc>
      </w:tr>
      <w:tr w14:paraId="11DE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EC754C3">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39</w:t>
            </w:r>
          </w:p>
        </w:tc>
        <w:tc>
          <w:tcPr>
            <w:tcW w:w="1527" w:type="dxa"/>
            <w:vMerge w:val="continue"/>
            <w:noWrap w:val="0"/>
            <w:vAlign w:val="center"/>
          </w:tcPr>
          <w:p w14:paraId="7917928F">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53EC841E">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新风路社区</w:t>
            </w:r>
          </w:p>
        </w:tc>
      </w:tr>
      <w:tr w14:paraId="352D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5D26B62">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40</w:t>
            </w:r>
          </w:p>
        </w:tc>
        <w:tc>
          <w:tcPr>
            <w:tcW w:w="1527" w:type="dxa"/>
            <w:vMerge w:val="restart"/>
            <w:noWrap w:val="0"/>
            <w:vAlign w:val="center"/>
          </w:tcPr>
          <w:p w14:paraId="74BCA9F2">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叶尔羌街道</w:t>
            </w:r>
          </w:p>
        </w:tc>
        <w:tc>
          <w:tcPr>
            <w:tcW w:w="6106" w:type="dxa"/>
            <w:noWrap w:val="0"/>
            <w:vAlign w:val="center"/>
          </w:tcPr>
          <w:p w14:paraId="2329E543">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向阳社区</w:t>
            </w:r>
          </w:p>
        </w:tc>
      </w:tr>
      <w:tr w14:paraId="0C00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CFE33A3">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41</w:t>
            </w:r>
          </w:p>
        </w:tc>
        <w:tc>
          <w:tcPr>
            <w:tcW w:w="1527" w:type="dxa"/>
            <w:vMerge w:val="continue"/>
            <w:noWrap w:val="0"/>
            <w:vAlign w:val="center"/>
          </w:tcPr>
          <w:p w14:paraId="02DF05B7">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6A6E1215">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加依铁热克社区</w:t>
            </w:r>
          </w:p>
        </w:tc>
      </w:tr>
      <w:tr w14:paraId="0601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242CC5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42</w:t>
            </w:r>
          </w:p>
        </w:tc>
        <w:tc>
          <w:tcPr>
            <w:tcW w:w="1527" w:type="dxa"/>
            <w:vMerge w:val="continue"/>
            <w:noWrap w:val="0"/>
            <w:vAlign w:val="center"/>
          </w:tcPr>
          <w:p w14:paraId="116CD880">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7E4CC861">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育才社区</w:t>
            </w:r>
          </w:p>
        </w:tc>
      </w:tr>
      <w:tr w14:paraId="0A46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E9872A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43</w:t>
            </w:r>
          </w:p>
        </w:tc>
        <w:tc>
          <w:tcPr>
            <w:tcW w:w="1527" w:type="dxa"/>
            <w:vMerge w:val="continue"/>
            <w:noWrap w:val="0"/>
            <w:vAlign w:val="center"/>
          </w:tcPr>
          <w:p w14:paraId="669A7F12">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5B18BE13">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迎宾路社区</w:t>
            </w:r>
          </w:p>
        </w:tc>
      </w:tr>
      <w:tr w14:paraId="6266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F1C80B3">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44</w:t>
            </w:r>
          </w:p>
        </w:tc>
        <w:tc>
          <w:tcPr>
            <w:tcW w:w="1527" w:type="dxa"/>
            <w:vMerge w:val="continue"/>
            <w:noWrap w:val="0"/>
            <w:vAlign w:val="center"/>
          </w:tcPr>
          <w:p w14:paraId="29D8E0BE">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5181E83D">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阿热木巴格社区</w:t>
            </w:r>
          </w:p>
        </w:tc>
      </w:tr>
      <w:tr w14:paraId="5D7E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37DC5CB">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45</w:t>
            </w:r>
          </w:p>
        </w:tc>
        <w:tc>
          <w:tcPr>
            <w:tcW w:w="1527" w:type="dxa"/>
            <w:vMerge w:val="continue"/>
            <w:noWrap w:val="0"/>
            <w:vAlign w:val="center"/>
          </w:tcPr>
          <w:p w14:paraId="0BCF97FB">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0BB92814">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巴格霍依拉社区</w:t>
            </w:r>
          </w:p>
        </w:tc>
      </w:tr>
      <w:tr w14:paraId="295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D0FE544">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46</w:t>
            </w:r>
          </w:p>
        </w:tc>
        <w:tc>
          <w:tcPr>
            <w:tcW w:w="1527" w:type="dxa"/>
            <w:vMerge w:val="continue"/>
            <w:noWrap w:val="0"/>
            <w:vAlign w:val="center"/>
          </w:tcPr>
          <w:p w14:paraId="197AE649">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2A7BAA93">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沪新路社区</w:t>
            </w:r>
          </w:p>
        </w:tc>
      </w:tr>
      <w:tr w14:paraId="7B67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B41AE6A">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47</w:t>
            </w:r>
          </w:p>
        </w:tc>
        <w:tc>
          <w:tcPr>
            <w:tcW w:w="1527" w:type="dxa"/>
            <w:vMerge w:val="restart"/>
            <w:noWrap w:val="0"/>
            <w:vAlign w:val="center"/>
          </w:tcPr>
          <w:p w14:paraId="530A5AC1">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莎车镇</w:t>
            </w:r>
          </w:p>
        </w:tc>
        <w:tc>
          <w:tcPr>
            <w:tcW w:w="6106" w:type="dxa"/>
            <w:noWrap w:val="0"/>
            <w:vAlign w:val="center"/>
          </w:tcPr>
          <w:p w14:paraId="4B6F1DCD">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库木当社区</w:t>
            </w:r>
          </w:p>
        </w:tc>
      </w:tr>
      <w:tr w14:paraId="3EFE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01DC018">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48</w:t>
            </w:r>
          </w:p>
        </w:tc>
        <w:tc>
          <w:tcPr>
            <w:tcW w:w="1527" w:type="dxa"/>
            <w:vMerge w:val="continue"/>
            <w:noWrap w:val="0"/>
            <w:vAlign w:val="center"/>
          </w:tcPr>
          <w:p w14:paraId="11ABE867">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1E378236">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亚阔恰社区</w:t>
            </w:r>
          </w:p>
        </w:tc>
      </w:tr>
      <w:tr w14:paraId="22B6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F3ED5A4">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49</w:t>
            </w:r>
          </w:p>
        </w:tc>
        <w:tc>
          <w:tcPr>
            <w:tcW w:w="1527" w:type="dxa"/>
            <w:vMerge w:val="continue"/>
            <w:noWrap w:val="0"/>
            <w:vAlign w:val="center"/>
          </w:tcPr>
          <w:p w14:paraId="18DB54A0">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7FEEFCBF">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萨热依库勒社 区</w:t>
            </w:r>
          </w:p>
        </w:tc>
      </w:tr>
      <w:tr w14:paraId="70B4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D9660B6">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50</w:t>
            </w:r>
          </w:p>
        </w:tc>
        <w:tc>
          <w:tcPr>
            <w:tcW w:w="1527" w:type="dxa"/>
            <w:vMerge w:val="continue"/>
            <w:noWrap w:val="0"/>
            <w:vAlign w:val="center"/>
          </w:tcPr>
          <w:p w14:paraId="1DBEBB5A">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2FA525F9">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丝绸社区</w:t>
            </w:r>
          </w:p>
        </w:tc>
      </w:tr>
      <w:tr w14:paraId="15F9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CC02B43">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51</w:t>
            </w:r>
          </w:p>
        </w:tc>
        <w:tc>
          <w:tcPr>
            <w:tcW w:w="1527" w:type="dxa"/>
            <w:vMerge w:val="continue"/>
            <w:noWrap w:val="0"/>
            <w:vAlign w:val="center"/>
          </w:tcPr>
          <w:p w14:paraId="6F9EBF16">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363D636A">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铁热克巴格社区</w:t>
            </w:r>
          </w:p>
        </w:tc>
      </w:tr>
      <w:tr w14:paraId="5FEF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05828DC">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52</w:t>
            </w:r>
          </w:p>
        </w:tc>
        <w:tc>
          <w:tcPr>
            <w:tcW w:w="1527" w:type="dxa"/>
            <w:vMerge w:val="continue"/>
            <w:noWrap w:val="0"/>
            <w:vAlign w:val="center"/>
          </w:tcPr>
          <w:p w14:paraId="6DDCE95E">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0526CA14">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铁热克巴格村</w:t>
            </w:r>
          </w:p>
        </w:tc>
      </w:tr>
      <w:tr w14:paraId="43BF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68B7047">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53</w:t>
            </w:r>
          </w:p>
        </w:tc>
        <w:tc>
          <w:tcPr>
            <w:tcW w:w="1527" w:type="dxa"/>
            <w:vMerge w:val="continue"/>
            <w:noWrap w:val="0"/>
            <w:vAlign w:val="center"/>
          </w:tcPr>
          <w:p w14:paraId="292516C8">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4FD92E52">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福利社区</w:t>
            </w:r>
          </w:p>
        </w:tc>
      </w:tr>
      <w:tr w14:paraId="2AAF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53EFF3B">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54</w:t>
            </w:r>
          </w:p>
        </w:tc>
        <w:tc>
          <w:tcPr>
            <w:tcW w:w="1527" w:type="dxa"/>
            <w:vMerge w:val="continue"/>
            <w:noWrap w:val="0"/>
            <w:vAlign w:val="center"/>
          </w:tcPr>
          <w:p w14:paraId="0E53D90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196C3A9B">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阿纳尔巴格社区</w:t>
            </w:r>
          </w:p>
        </w:tc>
      </w:tr>
      <w:tr w14:paraId="63CF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23AB031">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55</w:t>
            </w:r>
          </w:p>
        </w:tc>
        <w:tc>
          <w:tcPr>
            <w:tcW w:w="1527" w:type="dxa"/>
            <w:vMerge w:val="continue"/>
            <w:noWrap w:val="0"/>
            <w:vAlign w:val="center"/>
          </w:tcPr>
          <w:p w14:paraId="09A76432">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431AEB6F">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人民路社区</w:t>
            </w:r>
          </w:p>
        </w:tc>
      </w:tr>
      <w:tr w14:paraId="621C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8FC30D2">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56</w:t>
            </w:r>
          </w:p>
        </w:tc>
        <w:tc>
          <w:tcPr>
            <w:tcW w:w="1527" w:type="dxa"/>
            <w:vMerge w:val="continue"/>
            <w:noWrap w:val="0"/>
            <w:vAlign w:val="center"/>
          </w:tcPr>
          <w:p w14:paraId="11613D2A">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0949F623">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诚信社区</w:t>
            </w:r>
          </w:p>
        </w:tc>
      </w:tr>
      <w:tr w14:paraId="6ED3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F1F9B97">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57</w:t>
            </w:r>
          </w:p>
        </w:tc>
        <w:tc>
          <w:tcPr>
            <w:tcW w:w="1527" w:type="dxa"/>
            <w:vMerge w:val="continue"/>
            <w:noWrap w:val="0"/>
            <w:vAlign w:val="center"/>
          </w:tcPr>
          <w:p w14:paraId="25324CA0">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47C0981B">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库木当村</w:t>
            </w:r>
          </w:p>
        </w:tc>
      </w:tr>
      <w:tr w14:paraId="1AE0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B298038">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58</w:t>
            </w:r>
          </w:p>
        </w:tc>
        <w:tc>
          <w:tcPr>
            <w:tcW w:w="1527" w:type="dxa"/>
            <w:vMerge w:val="restart"/>
            <w:noWrap w:val="0"/>
            <w:vAlign w:val="center"/>
          </w:tcPr>
          <w:p w14:paraId="09B5086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阿热勒乡</w:t>
            </w:r>
          </w:p>
        </w:tc>
        <w:tc>
          <w:tcPr>
            <w:tcW w:w="6106" w:type="dxa"/>
            <w:noWrap w:val="0"/>
            <w:vAlign w:val="center"/>
          </w:tcPr>
          <w:p w14:paraId="215E3DEB">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布力买（1）村</w:t>
            </w:r>
          </w:p>
        </w:tc>
      </w:tr>
      <w:tr w14:paraId="3DD1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8D1E74E">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59</w:t>
            </w:r>
          </w:p>
        </w:tc>
        <w:tc>
          <w:tcPr>
            <w:tcW w:w="1527" w:type="dxa"/>
            <w:vMerge w:val="continue"/>
            <w:noWrap w:val="0"/>
            <w:vAlign w:val="center"/>
          </w:tcPr>
          <w:p w14:paraId="66D143E5">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6AF9E827">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恰吐克（2）村</w:t>
            </w:r>
          </w:p>
        </w:tc>
      </w:tr>
      <w:tr w14:paraId="109B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F762FFE">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60</w:t>
            </w:r>
          </w:p>
        </w:tc>
        <w:tc>
          <w:tcPr>
            <w:tcW w:w="1527" w:type="dxa"/>
            <w:vMerge w:val="continue"/>
            <w:noWrap w:val="0"/>
            <w:vAlign w:val="center"/>
          </w:tcPr>
          <w:p w14:paraId="56EBFB68">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48FDDFD7">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苏盖提力克 （3）村</w:t>
            </w:r>
          </w:p>
        </w:tc>
      </w:tr>
      <w:tr w14:paraId="2AC8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B55FDE5">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61</w:t>
            </w:r>
          </w:p>
        </w:tc>
        <w:tc>
          <w:tcPr>
            <w:tcW w:w="1527" w:type="dxa"/>
            <w:vMerge w:val="continue"/>
            <w:noWrap w:val="0"/>
            <w:vAlign w:val="center"/>
          </w:tcPr>
          <w:p w14:paraId="0068742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3E6C9F7E">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托盖塔塔尔 （4）村</w:t>
            </w:r>
          </w:p>
        </w:tc>
      </w:tr>
      <w:tr w14:paraId="5449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C567786">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62</w:t>
            </w:r>
          </w:p>
        </w:tc>
        <w:tc>
          <w:tcPr>
            <w:tcW w:w="1527" w:type="dxa"/>
            <w:vMerge w:val="continue"/>
            <w:noWrap w:val="0"/>
            <w:vAlign w:val="center"/>
          </w:tcPr>
          <w:p w14:paraId="7ADBFE20">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555498C6">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喀拉铁热克（5） 村</w:t>
            </w:r>
          </w:p>
        </w:tc>
      </w:tr>
      <w:tr w14:paraId="407E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61B8AE1">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63</w:t>
            </w:r>
          </w:p>
        </w:tc>
        <w:tc>
          <w:tcPr>
            <w:tcW w:w="1527" w:type="dxa"/>
            <w:vMerge w:val="continue"/>
            <w:noWrap w:val="0"/>
            <w:vAlign w:val="center"/>
          </w:tcPr>
          <w:p w14:paraId="099FA4AA">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3E4B6DA7">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吐格曼贝希 （6）村</w:t>
            </w:r>
          </w:p>
        </w:tc>
      </w:tr>
      <w:tr w14:paraId="3941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63743D1">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64</w:t>
            </w:r>
          </w:p>
        </w:tc>
        <w:tc>
          <w:tcPr>
            <w:tcW w:w="1527" w:type="dxa"/>
            <w:vMerge w:val="continue"/>
            <w:noWrap w:val="0"/>
            <w:vAlign w:val="center"/>
          </w:tcPr>
          <w:p w14:paraId="02CC9CF1">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0AE20A9B">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喀拉扎克（7） 村</w:t>
            </w:r>
          </w:p>
        </w:tc>
      </w:tr>
      <w:tr w14:paraId="536B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BC2B33F">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65</w:t>
            </w:r>
          </w:p>
        </w:tc>
        <w:tc>
          <w:tcPr>
            <w:tcW w:w="1527" w:type="dxa"/>
            <w:vMerge w:val="continue"/>
            <w:noWrap w:val="0"/>
            <w:vAlign w:val="center"/>
          </w:tcPr>
          <w:p w14:paraId="0B73FA85">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19138166">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色日克都维 （8）村</w:t>
            </w:r>
          </w:p>
        </w:tc>
      </w:tr>
      <w:tr w14:paraId="78EE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E097519">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66</w:t>
            </w:r>
          </w:p>
        </w:tc>
        <w:tc>
          <w:tcPr>
            <w:tcW w:w="1527" w:type="dxa"/>
            <w:vMerge w:val="continue"/>
            <w:noWrap w:val="0"/>
            <w:vAlign w:val="center"/>
          </w:tcPr>
          <w:p w14:paraId="089317FC">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31454107">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塔热木博依 （9）村</w:t>
            </w:r>
          </w:p>
        </w:tc>
      </w:tr>
      <w:tr w14:paraId="7B0B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C947670">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67</w:t>
            </w:r>
          </w:p>
        </w:tc>
        <w:tc>
          <w:tcPr>
            <w:tcW w:w="1527" w:type="dxa"/>
            <w:vMerge w:val="continue"/>
            <w:noWrap w:val="0"/>
            <w:vAlign w:val="center"/>
          </w:tcPr>
          <w:p w14:paraId="3D35F6C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1560F5A0">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琼吾斯塘（10） 村</w:t>
            </w:r>
          </w:p>
        </w:tc>
      </w:tr>
      <w:tr w14:paraId="3608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9655E2B">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68</w:t>
            </w:r>
          </w:p>
        </w:tc>
        <w:tc>
          <w:tcPr>
            <w:tcW w:w="1527" w:type="dxa"/>
            <w:vMerge w:val="continue"/>
            <w:noWrap w:val="0"/>
            <w:vAlign w:val="center"/>
          </w:tcPr>
          <w:p w14:paraId="5DCD5EC5">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62903024">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萨万拉（11） 村</w:t>
            </w:r>
          </w:p>
        </w:tc>
      </w:tr>
      <w:tr w14:paraId="6A24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CD4E867">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69</w:t>
            </w:r>
          </w:p>
        </w:tc>
        <w:tc>
          <w:tcPr>
            <w:tcW w:w="1527" w:type="dxa"/>
            <w:vMerge w:val="continue"/>
            <w:noWrap w:val="0"/>
            <w:vAlign w:val="center"/>
          </w:tcPr>
          <w:p w14:paraId="300A2F36">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2F52ABA5">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巴依都维（12） 村</w:t>
            </w:r>
          </w:p>
        </w:tc>
      </w:tr>
      <w:tr w14:paraId="4DB0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95AA894">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70</w:t>
            </w:r>
          </w:p>
        </w:tc>
        <w:tc>
          <w:tcPr>
            <w:tcW w:w="1527" w:type="dxa"/>
            <w:vMerge w:val="continue"/>
            <w:noWrap w:val="0"/>
            <w:vAlign w:val="center"/>
          </w:tcPr>
          <w:p w14:paraId="2B071D1C">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11B1B2CD">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阿热恰吐克 （13）村</w:t>
            </w:r>
          </w:p>
        </w:tc>
      </w:tr>
      <w:tr w14:paraId="7F39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4A5311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71</w:t>
            </w:r>
          </w:p>
        </w:tc>
        <w:tc>
          <w:tcPr>
            <w:tcW w:w="1527" w:type="dxa"/>
            <w:vMerge w:val="continue"/>
            <w:noWrap w:val="0"/>
            <w:vAlign w:val="center"/>
          </w:tcPr>
          <w:p w14:paraId="2C17AE7B">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2E349FF3">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阿孜干巴格 （14）村</w:t>
            </w:r>
          </w:p>
        </w:tc>
      </w:tr>
      <w:tr w14:paraId="358F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577FA43">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72</w:t>
            </w:r>
          </w:p>
        </w:tc>
        <w:tc>
          <w:tcPr>
            <w:tcW w:w="1527" w:type="dxa"/>
            <w:vMerge w:val="continue"/>
            <w:noWrap w:val="0"/>
            <w:vAlign w:val="center"/>
          </w:tcPr>
          <w:p w14:paraId="58346504">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797CDDB3">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桑霍依拉（15） 村</w:t>
            </w:r>
          </w:p>
        </w:tc>
      </w:tr>
      <w:tr w14:paraId="137A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EAD2659">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w:t>
            </w:r>
          </w:p>
        </w:tc>
        <w:tc>
          <w:tcPr>
            <w:tcW w:w="1527" w:type="dxa"/>
            <w:noWrap w:val="0"/>
            <w:vAlign w:val="center"/>
          </w:tcPr>
          <w:p w14:paraId="1D77F27F">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城西街道</w:t>
            </w:r>
          </w:p>
        </w:tc>
        <w:tc>
          <w:tcPr>
            <w:tcW w:w="6106" w:type="dxa"/>
            <w:noWrap w:val="0"/>
            <w:vAlign w:val="center"/>
          </w:tcPr>
          <w:p w14:paraId="2D7C392E">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光辉社区</w:t>
            </w:r>
          </w:p>
        </w:tc>
      </w:tr>
      <w:tr w14:paraId="73E8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91DD254">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74</w:t>
            </w:r>
          </w:p>
        </w:tc>
        <w:tc>
          <w:tcPr>
            <w:tcW w:w="1527" w:type="dxa"/>
            <w:vMerge w:val="restart"/>
            <w:noWrap w:val="0"/>
            <w:vAlign w:val="center"/>
          </w:tcPr>
          <w:p w14:paraId="070C4C5F">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val="0"/>
                <w:bCs w:val="0"/>
                <w:color w:val="auto"/>
                <w:sz w:val="28"/>
                <w:szCs w:val="28"/>
                <w:highlight w:val="none"/>
              </w:rPr>
              <w:t>米夏镇</w:t>
            </w:r>
          </w:p>
        </w:tc>
        <w:tc>
          <w:tcPr>
            <w:tcW w:w="6106" w:type="dxa"/>
            <w:noWrap w:val="0"/>
            <w:vAlign w:val="center"/>
          </w:tcPr>
          <w:p w14:paraId="7E2ACCE7">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英其开艾日克社区</w:t>
            </w:r>
          </w:p>
        </w:tc>
      </w:tr>
      <w:tr w14:paraId="642C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2EDBC48">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75</w:t>
            </w:r>
          </w:p>
        </w:tc>
        <w:tc>
          <w:tcPr>
            <w:tcW w:w="1527" w:type="dxa"/>
            <w:vMerge w:val="continue"/>
            <w:noWrap w:val="0"/>
            <w:vAlign w:val="center"/>
          </w:tcPr>
          <w:p w14:paraId="432A6B58">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2CD5ABB6">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塔瓦克其拉社区</w:t>
            </w:r>
          </w:p>
        </w:tc>
      </w:tr>
      <w:tr w14:paraId="0AEF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9425C97">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76</w:t>
            </w:r>
          </w:p>
        </w:tc>
        <w:tc>
          <w:tcPr>
            <w:tcW w:w="1527" w:type="dxa"/>
            <w:vMerge w:val="continue"/>
            <w:noWrap w:val="0"/>
            <w:vAlign w:val="center"/>
          </w:tcPr>
          <w:p w14:paraId="4B52D2D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72BC51C8">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夏马勒巴格 （2）村</w:t>
            </w:r>
          </w:p>
        </w:tc>
      </w:tr>
      <w:tr w14:paraId="465B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F83244A">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77</w:t>
            </w:r>
          </w:p>
        </w:tc>
        <w:tc>
          <w:tcPr>
            <w:tcW w:w="1527" w:type="dxa"/>
            <w:vMerge w:val="continue"/>
            <w:noWrap w:val="0"/>
            <w:vAlign w:val="center"/>
          </w:tcPr>
          <w:p w14:paraId="04CFE724">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7F2FF686">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托尕其（3）村</w:t>
            </w:r>
          </w:p>
        </w:tc>
      </w:tr>
      <w:tr w14:paraId="42C0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65E48E0">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78</w:t>
            </w:r>
          </w:p>
        </w:tc>
        <w:tc>
          <w:tcPr>
            <w:tcW w:w="1527" w:type="dxa"/>
            <w:vMerge w:val="continue"/>
            <w:noWrap w:val="0"/>
            <w:vAlign w:val="center"/>
          </w:tcPr>
          <w:p w14:paraId="113C067C">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19E25A8D">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亚勒古孜巴格 （15）村</w:t>
            </w:r>
          </w:p>
        </w:tc>
      </w:tr>
      <w:tr w14:paraId="3B8B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8D45E3A">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79</w:t>
            </w:r>
          </w:p>
        </w:tc>
        <w:tc>
          <w:tcPr>
            <w:tcW w:w="1527" w:type="dxa"/>
            <w:vMerge w:val="continue"/>
            <w:noWrap w:val="0"/>
            <w:vAlign w:val="center"/>
          </w:tcPr>
          <w:p w14:paraId="754D42F9">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115E2F4D">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吉格代艾日克 （16）村</w:t>
            </w:r>
          </w:p>
        </w:tc>
      </w:tr>
      <w:tr w14:paraId="2F4F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F4668E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80</w:t>
            </w:r>
          </w:p>
        </w:tc>
        <w:tc>
          <w:tcPr>
            <w:tcW w:w="1527" w:type="dxa"/>
            <w:vMerge w:val="continue"/>
            <w:noWrap w:val="0"/>
            <w:vAlign w:val="center"/>
          </w:tcPr>
          <w:p w14:paraId="5A7E9691">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3C32AC40">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克斯木其（17） 村</w:t>
            </w:r>
          </w:p>
        </w:tc>
      </w:tr>
      <w:tr w14:paraId="0CC5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CBD1425">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81</w:t>
            </w:r>
          </w:p>
        </w:tc>
        <w:tc>
          <w:tcPr>
            <w:tcW w:w="1527" w:type="dxa"/>
            <w:vMerge w:val="continue"/>
            <w:noWrap w:val="0"/>
            <w:vAlign w:val="center"/>
          </w:tcPr>
          <w:p w14:paraId="142A3F1C">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32D4A20F">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亚尕其拉（18） 村</w:t>
            </w:r>
          </w:p>
        </w:tc>
      </w:tr>
      <w:tr w14:paraId="63AC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FE94B43">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82</w:t>
            </w:r>
          </w:p>
        </w:tc>
        <w:tc>
          <w:tcPr>
            <w:tcW w:w="1527" w:type="dxa"/>
            <w:vMerge w:val="continue"/>
            <w:noWrap w:val="0"/>
            <w:vAlign w:val="center"/>
          </w:tcPr>
          <w:p w14:paraId="4706A5D6">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67F6C7D4">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英其开艾日克（19）村</w:t>
            </w:r>
          </w:p>
        </w:tc>
      </w:tr>
      <w:tr w14:paraId="3D30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13ACA85D">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83</w:t>
            </w:r>
          </w:p>
        </w:tc>
        <w:tc>
          <w:tcPr>
            <w:tcW w:w="1527" w:type="dxa"/>
            <w:vMerge w:val="continue"/>
            <w:noWrap w:val="0"/>
            <w:vAlign w:val="center"/>
          </w:tcPr>
          <w:p w14:paraId="2392B1F1">
            <w:pPr>
              <w:keepNext w:val="0"/>
              <w:keepLines w:val="0"/>
              <w:suppressLineNumbers w:val="0"/>
              <w:snapToGrid w:val="0"/>
              <w:spacing w:before="0" w:beforeAutospacing="0" w:after="0" w:afterAutospacing="0"/>
              <w:ind w:left="0" w:right="0"/>
              <w:rPr>
                <w:rFonts w:hint="eastAsia" w:ascii="仿宋" w:hAnsi="仿宋" w:eastAsia="仿宋" w:cs="仿宋"/>
                <w:color w:val="auto"/>
                <w:sz w:val="28"/>
                <w:szCs w:val="28"/>
                <w:highlight w:val="none"/>
                <w:vertAlign w:val="baseline"/>
                <w:lang w:eastAsia="zh-CN"/>
              </w:rPr>
            </w:pPr>
          </w:p>
        </w:tc>
        <w:tc>
          <w:tcPr>
            <w:tcW w:w="6106" w:type="dxa"/>
            <w:noWrap w:val="0"/>
            <w:vAlign w:val="center"/>
          </w:tcPr>
          <w:p w14:paraId="7798E38F">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铁提尔巴格（20）村</w:t>
            </w:r>
          </w:p>
        </w:tc>
      </w:tr>
    </w:tbl>
    <w:p w14:paraId="18C7586C">
      <w:pPr>
        <w:rPr>
          <w:rFonts w:hint="eastAsia" w:ascii="仿宋" w:hAnsi="仿宋" w:eastAsia="仿宋" w:cs="仿宋"/>
          <w:sz w:val="28"/>
          <w:szCs w:val="28"/>
          <w:lang w:val="en-US" w:eastAsia="zh-CN"/>
        </w:rPr>
      </w:pPr>
    </w:p>
    <w:p w14:paraId="709A11C4">
      <w:pPr>
        <w:numPr>
          <w:ilvl w:val="0"/>
          <w:numId w:val="0"/>
        </w:numPr>
        <w:spacing w:line="360" w:lineRule="auto"/>
        <w:rPr>
          <w:rStyle w:val="48"/>
          <w:rFonts w:hint="eastAsia" w:ascii="仿宋" w:hAnsi="仿宋" w:eastAsia="仿宋" w:cs="仿宋"/>
          <w:b w:val="0"/>
          <w:bCs/>
          <w:sz w:val="28"/>
          <w:szCs w:val="28"/>
          <w:highlight w:val="none"/>
          <w:lang w:val="en-US" w:eastAsia="zh-CN"/>
        </w:rPr>
      </w:pPr>
      <w:bookmarkStart w:id="500" w:name="_Toc13438"/>
      <w:bookmarkStart w:id="501" w:name="_Toc12061"/>
    </w:p>
    <w:bookmarkEnd w:id="500"/>
    <w:bookmarkEnd w:id="501"/>
    <w:p w14:paraId="3F4A062C">
      <w:pPr>
        <w:rPr>
          <w:rFonts w:hint="eastAsia" w:ascii="仿宋" w:hAnsi="仿宋" w:eastAsia="仿宋" w:cs="仿宋"/>
          <w:sz w:val="28"/>
          <w:szCs w:val="18"/>
          <w:lang w:val="en-US" w:eastAsia="zh-CN"/>
        </w:rPr>
      </w:pPr>
      <w:r>
        <w:rPr>
          <w:rFonts w:hint="eastAsia" w:ascii="仿宋" w:hAnsi="仿宋" w:eastAsia="仿宋" w:cs="仿宋"/>
          <w:sz w:val="28"/>
          <w:szCs w:val="18"/>
          <w:lang w:val="en-US" w:eastAsia="zh-CN"/>
        </w:rPr>
        <w:br w:type="page"/>
      </w:r>
    </w:p>
    <w:p w14:paraId="17298E5D">
      <w:pPr>
        <w:pStyle w:val="2"/>
        <w:bidi w:val="0"/>
        <w:rPr>
          <w:rFonts w:hint="eastAsia" w:ascii="仿宋" w:hAnsi="仿宋" w:eastAsia="仿宋" w:cs="仿宋"/>
          <w:sz w:val="28"/>
          <w:szCs w:val="18"/>
          <w:lang w:val="en-US" w:eastAsia="zh-CN"/>
        </w:rPr>
      </w:pPr>
      <w:bookmarkStart w:id="502" w:name="_Toc27122"/>
      <w:r>
        <w:rPr>
          <w:rFonts w:hint="eastAsia" w:ascii="仿宋" w:hAnsi="仿宋" w:eastAsia="仿宋" w:cs="仿宋"/>
          <w:sz w:val="28"/>
          <w:szCs w:val="18"/>
          <w:lang w:val="en-US" w:eastAsia="zh-CN"/>
        </w:rPr>
        <w:t xml:space="preserve">第6章  </w:t>
      </w:r>
      <w:bookmarkStart w:id="503" w:name="_Toc507399907"/>
      <w:bookmarkStart w:id="504" w:name="_Toc7971"/>
      <w:bookmarkStart w:id="505" w:name="_Toc515647832"/>
      <w:bookmarkStart w:id="506" w:name="_Toc32647"/>
      <w:r>
        <w:rPr>
          <w:rFonts w:hint="eastAsia" w:ascii="仿宋" w:hAnsi="仿宋" w:eastAsia="仿宋" w:cs="仿宋"/>
          <w:sz w:val="28"/>
          <w:szCs w:val="18"/>
          <w:lang w:val="en-US" w:eastAsia="zh-CN"/>
        </w:rPr>
        <w:t>评标方法和标准</w:t>
      </w:r>
      <w:bookmarkEnd w:id="502"/>
      <w:bookmarkEnd w:id="503"/>
      <w:bookmarkEnd w:id="504"/>
      <w:bookmarkEnd w:id="505"/>
      <w:bookmarkEnd w:id="506"/>
    </w:p>
    <w:p w14:paraId="7BAEB1AE">
      <w:pPr>
        <w:pStyle w:val="12"/>
        <w:tabs>
          <w:tab w:val="clear" w:pos="567"/>
        </w:tabs>
        <w:spacing w:before="0" w:line="240" w:lineRule="auto"/>
        <w:ind w:firstLine="540" w:firstLineChars="225"/>
        <w:rPr>
          <w:rFonts w:hint="eastAsia" w:ascii="仿宋" w:hAnsi="仿宋" w:eastAsia="仿宋" w:cs="仿宋"/>
          <w:color w:val="auto"/>
          <w:sz w:val="24"/>
          <w:szCs w:val="24"/>
          <w:highlight w:val="none"/>
        </w:rPr>
      </w:pPr>
    </w:p>
    <w:p w14:paraId="6BEC0188">
      <w:pPr>
        <w:pStyle w:val="12"/>
        <w:tabs>
          <w:tab w:val="clear" w:pos="567"/>
        </w:tabs>
        <w:spacing w:before="0" w:line="240" w:lineRule="auto"/>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本项目将按照招标文件第一章投标人须知中“五 开标及评标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六 确定中标”及本章的规定评标。</w:t>
      </w:r>
    </w:p>
    <w:p w14:paraId="63789D11">
      <w:pPr>
        <w:pStyle w:val="94"/>
        <w:numPr>
          <w:ilvl w:val="1"/>
          <w:numId w:val="13"/>
        </w:numPr>
        <w:tabs>
          <w:tab w:val="left" w:pos="420"/>
        </w:tabs>
        <w:spacing w:before="66" w:line="240" w:lineRule="auto"/>
        <w:ind w:left="1296" w:leftChars="0" w:hanging="1296" w:firstLineChars="0"/>
        <w:outlineLvl w:val="1"/>
        <w:rPr>
          <w:rFonts w:hint="eastAsia" w:ascii="仿宋" w:hAnsi="仿宋" w:eastAsia="仿宋" w:cs="仿宋"/>
          <w:color w:val="auto"/>
          <w:sz w:val="24"/>
          <w:szCs w:val="24"/>
          <w:highlight w:val="none"/>
        </w:rPr>
      </w:pPr>
      <w:bookmarkStart w:id="507" w:name="_Toc14078"/>
      <w:r>
        <w:rPr>
          <w:rFonts w:hint="eastAsia" w:ascii="仿宋" w:hAnsi="仿宋" w:eastAsia="仿宋" w:cs="仿宋"/>
          <w:color w:val="auto"/>
          <w:sz w:val="24"/>
          <w:szCs w:val="24"/>
          <w:highlight w:val="none"/>
        </w:rPr>
        <w:t>总则</w:t>
      </w:r>
      <w:bookmarkEnd w:id="507"/>
    </w:p>
    <w:p w14:paraId="39486F41">
      <w:pPr>
        <w:pStyle w:val="12"/>
        <w:spacing w:before="11" w:line="240" w:lineRule="auto"/>
        <w:rPr>
          <w:rFonts w:hint="eastAsia" w:ascii="仿宋" w:hAnsi="仿宋" w:eastAsia="仿宋" w:cs="仿宋"/>
          <w:b/>
          <w:color w:val="auto"/>
          <w:sz w:val="24"/>
          <w:szCs w:val="24"/>
          <w:highlight w:val="none"/>
        </w:rPr>
      </w:pPr>
    </w:p>
    <w:p w14:paraId="798E1C89">
      <w:pPr>
        <w:pStyle w:val="88"/>
        <w:numPr>
          <w:ilvl w:val="2"/>
          <w:numId w:val="13"/>
        </w:numPr>
        <w:spacing w:line="240" w:lineRule="auto"/>
        <w:ind w:left="521" w:leftChars="0" w:hanging="1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根据《中华人民共和国政府采购法》和《政府采购货物和服务招标投标管理办法》（财政部第 </w:t>
      </w:r>
      <w:r>
        <w:rPr>
          <w:rFonts w:hint="eastAsia" w:ascii="仿宋" w:hAnsi="仿宋" w:eastAsia="仿宋" w:cs="仿宋"/>
          <w:color w:val="auto"/>
          <w:sz w:val="24"/>
          <w:szCs w:val="24"/>
          <w:highlight w:val="none"/>
          <w:lang w:val="en-US" w:eastAsia="zh-CN"/>
        </w:rPr>
        <w:t>87</w:t>
      </w:r>
      <w:r>
        <w:rPr>
          <w:rFonts w:hint="eastAsia" w:ascii="仿宋" w:hAnsi="仿宋" w:eastAsia="仿宋" w:cs="仿宋"/>
          <w:color w:val="auto"/>
          <w:sz w:val="24"/>
          <w:szCs w:val="24"/>
          <w:highlight w:val="none"/>
        </w:rPr>
        <w:t xml:space="preserve"> 号令）等法律规章，结合采购项目特点制定本评标办法。</w:t>
      </w:r>
    </w:p>
    <w:p w14:paraId="321EE0C6">
      <w:pPr>
        <w:pStyle w:val="88"/>
        <w:numPr>
          <w:ilvl w:val="2"/>
          <w:numId w:val="13"/>
        </w:numPr>
        <w:spacing w:line="240" w:lineRule="auto"/>
        <w:ind w:left="521" w:leftChars="0" w:hanging="1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评标工作由招标代理机构负责组织，具体评标事务由招标代理机构依法组建的评标委员会负责。评标委员会由采购人代表和有关技术、经济等方面的专家组成；</w:t>
      </w:r>
    </w:p>
    <w:p w14:paraId="008D2A2B">
      <w:pPr>
        <w:pStyle w:val="88"/>
        <w:numPr>
          <w:ilvl w:val="2"/>
          <w:numId w:val="13"/>
        </w:numPr>
        <w:spacing w:line="240" w:lineRule="auto"/>
        <w:ind w:left="521" w:leftChars="0" w:hanging="1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评标工作应遵循公平、公正、科学及择优的原则，并以相同的评标程序和标准对待所有的投标人；</w:t>
      </w:r>
    </w:p>
    <w:p w14:paraId="33E447E4">
      <w:pPr>
        <w:pStyle w:val="88"/>
        <w:numPr>
          <w:ilvl w:val="2"/>
          <w:numId w:val="13"/>
        </w:numPr>
        <w:spacing w:line="240" w:lineRule="auto"/>
        <w:ind w:left="521" w:leftChars="0" w:hanging="1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评标委员会按照招标文件规定的评标方法和标准进行评标，并独立履行下列职责：</w:t>
      </w:r>
    </w:p>
    <w:p w14:paraId="7AACC231">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1.4.1</w:t>
      </w:r>
      <w:r>
        <w:rPr>
          <w:rFonts w:hint="eastAsia" w:ascii="仿宋" w:hAnsi="仿宋" w:eastAsia="仿宋" w:cs="仿宋"/>
          <w:color w:val="auto"/>
          <w:sz w:val="24"/>
          <w:szCs w:val="24"/>
          <w:highlight w:val="none"/>
        </w:rPr>
        <w:t>审查投标文件是否符合招标文件要求，并</w:t>
      </w:r>
      <w:r>
        <w:rPr>
          <w:rFonts w:hint="eastAsia" w:ascii="仿宋" w:hAnsi="仿宋" w:eastAsia="仿宋" w:cs="仿宋"/>
          <w:color w:val="auto"/>
          <w:sz w:val="24"/>
          <w:szCs w:val="24"/>
          <w:highlight w:val="none"/>
          <w:lang w:eastAsia="zh-CN"/>
        </w:rPr>
        <w:t>作出评价</w:t>
      </w:r>
      <w:r>
        <w:rPr>
          <w:rFonts w:hint="eastAsia" w:ascii="仿宋" w:hAnsi="仿宋" w:eastAsia="仿宋" w:cs="仿宋"/>
          <w:color w:val="auto"/>
          <w:sz w:val="24"/>
          <w:szCs w:val="24"/>
          <w:highlight w:val="none"/>
        </w:rPr>
        <w:t>；</w:t>
      </w:r>
    </w:p>
    <w:p w14:paraId="567CBCFB">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1.4.2</w:t>
      </w:r>
      <w:r>
        <w:rPr>
          <w:rFonts w:hint="eastAsia" w:ascii="仿宋" w:hAnsi="仿宋" w:eastAsia="仿宋" w:cs="仿宋"/>
          <w:color w:val="auto"/>
          <w:sz w:val="24"/>
          <w:szCs w:val="24"/>
          <w:highlight w:val="none"/>
        </w:rPr>
        <w:t>要求投标供应商对投标文件有关事项</w:t>
      </w:r>
      <w:r>
        <w:rPr>
          <w:rFonts w:hint="eastAsia" w:ascii="仿宋" w:hAnsi="仿宋" w:eastAsia="仿宋" w:cs="仿宋"/>
          <w:color w:val="auto"/>
          <w:sz w:val="24"/>
          <w:szCs w:val="24"/>
          <w:highlight w:val="none"/>
          <w:lang w:eastAsia="zh-CN"/>
        </w:rPr>
        <w:t>作出解释</w:t>
      </w:r>
      <w:r>
        <w:rPr>
          <w:rFonts w:hint="eastAsia" w:ascii="仿宋" w:hAnsi="仿宋" w:eastAsia="仿宋" w:cs="仿宋"/>
          <w:color w:val="auto"/>
          <w:sz w:val="24"/>
          <w:szCs w:val="24"/>
          <w:highlight w:val="none"/>
        </w:rPr>
        <w:t>或者澄清；</w:t>
      </w:r>
    </w:p>
    <w:p w14:paraId="53680FDF">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1.4.3</w:t>
      </w:r>
      <w:r>
        <w:rPr>
          <w:rFonts w:hint="eastAsia" w:ascii="仿宋" w:hAnsi="仿宋" w:eastAsia="仿宋" w:cs="仿宋"/>
          <w:color w:val="auto"/>
          <w:sz w:val="24"/>
          <w:szCs w:val="24"/>
          <w:highlight w:val="none"/>
        </w:rPr>
        <w:t>推荐中标候选供应商名单，或者受采购人委托按照事先确定的办法直接确定中标供应商；</w:t>
      </w:r>
    </w:p>
    <w:p w14:paraId="31150684">
      <w:pPr>
        <w:pStyle w:val="88"/>
        <w:numPr>
          <w:ilvl w:val="2"/>
          <w:numId w:val="13"/>
        </w:numPr>
        <w:spacing w:line="240" w:lineRule="auto"/>
        <w:ind w:left="521" w:leftChars="0" w:hanging="1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向招标采购单位或者有关部门报告非法干预评标工作的行为。</w:t>
      </w:r>
    </w:p>
    <w:p w14:paraId="11460FD7">
      <w:pPr>
        <w:pStyle w:val="94"/>
        <w:numPr>
          <w:ilvl w:val="1"/>
          <w:numId w:val="13"/>
        </w:numPr>
        <w:tabs>
          <w:tab w:val="left" w:pos="420"/>
        </w:tabs>
        <w:spacing w:before="66" w:line="240" w:lineRule="auto"/>
        <w:ind w:left="1296" w:leftChars="0" w:hanging="1296" w:firstLineChars="0"/>
        <w:outlineLvl w:val="1"/>
        <w:rPr>
          <w:rFonts w:hint="eastAsia" w:ascii="仿宋" w:hAnsi="仿宋" w:eastAsia="仿宋" w:cs="仿宋"/>
          <w:color w:val="auto"/>
          <w:sz w:val="24"/>
          <w:szCs w:val="24"/>
          <w:highlight w:val="none"/>
          <w:lang w:val="en-US" w:eastAsia="zh-CN"/>
        </w:rPr>
      </w:pPr>
      <w:bookmarkStart w:id="508" w:name="_Toc29456"/>
      <w:r>
        <w:rPr>
          <w:rFonts w:hint="eastAsia" w:ascii="仿宋" w:hAnsi="仿宋" w:eastAsia="仿宋" w:cs="仿宋"/>
          <w:color w:val="auto"/>
          <w:sz w:val="24"/>
          <w:szCs w:val="24"/>
          <w:highlight w:val="none"/>
          <w:lang w:val="en-US" w:eastAsia="zh-CN"/>
        </w:rPr>
        <w:t>开标程序</w:t>
      </w:r>
      <w:bookmarkEnd w:id="508"/>
    </w:p>
    <w:p w14:paraId="66255227">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采购人和采购代理机构将按</w:t>
      </w:r>
      <w:r>
        <w:rPr>
          <w:rFonts w:hint="eastAsia" w:ascii="仿宋" w:hAnsi="仿宋" w:eastAsia="仿宋" w:cs="仿宋"/>
          <w:color w:val="auto"/>
          <w:sz w:val="24"/>
          <w:szCs w:val="24"/>
          <w:highlight w:val="none"/>
          <w:u w:val="single"/>
        </w:rPr>
        <w:t>投标人须知资料表</w:t>
      </w:r>
      <w:r>
        <w:rPr>
          <w:rFonts w:hint="eastAsia" w:ascii="仿宋" w:hAnsi="仿宋" w:eastAsia="仿宋" w:cs="仿宋"/>
          <w:color w:val="auto"/>
          <w:sz w:val="24"/>
          <w:szCs w:val="24"/>
          <w:highlight w:val="none"/>
        </w:rPr>
        <w:t>中规定的开标时间和地点组织公开开标。</w:t>
      </w:r>
    </w:p>
    <w:p w14:paraId="373248A8">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在开标前，工作人员收取所有参会人员的手机，主持人宣读开标纪律。</w:t>
      </w:r>
    </w:p>
    <w:p w14:paraId="0A1E3B97">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在线签收投标文件，投标人不足3家的，不得开标。</w:t>
      </w:r>
    </w:p>
    <w:p w14:paraId="16F4503B">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投标人解密投标文件，解密时长为30分钟，供应商应使用与加密时使用的同一把CA锁进行解密操作，如出现非供应商自身原因造成的无法解密，</w:t>
      </w:r>
      <w:r>
        <w:rPr>
          <w:rFonts w:hint="eastAsia" w:ascii="仿宋" w:hAnsi="仿宋" w:eastAsia="仿宋" w:cs="仿宋"/>
          <w:color w:val="auto"/>
          <w:sz w:val="24"/>
          <w:szCs w:val="24"/>
          <w:highlight w:val="none"/>
          <w:lang w:eastAsia="zh-CN"/>
        </w:rPr>
        <w:t>由</w:t>
      </w:r>
      <w:r>
        <w:rPr>
          <w:rFonts w:hint="eastAsia" w:ascii="仿宋" w:hAnsi="仿宋" w:eastAsia="仿宋" w:cs="仿宋"/>
          <w:color w:val="auto"/>
          <w:sz w:val="24"/>
          <w:szCs w:val="24"/>
          <w:highlight w:val="none"/>
        </w:rPr>
        <w:t>采购代理机构使用备用投标文件进行解密操作。</w:t>
      </w:r>
    </w:p>
    <w:p w14:paraId="48535F20">
      <w:pPr>
        <w:pStyle w:val="88"/>
        <w:numPr>
          <w:ilvl w:val="0"/>
          <w:numId w:val="0"/>
        </w:numPr>
        <w:spacing w:line="24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组织评审委员会以不记名投票的形式选定评审委员会主任，并宣读评标会纪律，对评标委员会进行通讯工具管制及宣读相关法律法规。</w:t>
      </w:r>
    </w:p>
    <w:p w14:paraId="07502469">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）由代理公司工作人员开启报价文件并由供应商代表在线CA签字确认，报价确认时段限制为10分钟，由评审委员会进行报价评审及政策价格认定。</w:t>
      </w:r>
    </w:p>
    <w:p w14:paraId="6DE84759">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）采购人或采购代理机构将对开标过程进行记录，由参加开标的各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代表和相关工作人员签字确认，并存档备查。</w:t>
      </w:r>
    </w:p>
    <w:p w14:paraId="24C0CF01">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代表对开标过程和开标记录有疑义，以及认为采购人、采购代理机构相关工作人员有需要回避的情形的，应当场提出询问或者回避申请。投标人未参加开标的，视同认可开标结果。</w:t>
      </w:r>
    </w:p>
    <w:p w14:paraId="0054CE19">
      <w:pPr>
        <w:pStyle w:val="94"/>
        <w:numPr>
          <w:ilvl w:val="1"/>
          <w:numId w:val="13"/>
        </w:numPr>
        <w:tabs>
          <w:tab w:val="left" w:pos="420"/>
        </w:tabs>
        <w:spacing w:before="66" w:line="240" w:lineRule="auto"/>
        <w:ind w:left="1296" w:leftChars="0" w:hanging="1296" w:firstLineChars="0"/>
        <w:outlineLvl w:val="1"/>
        <w:rPr>
          <w:rFonts w:hint="eastAsia" w:ascii="仿宋" w:hAnsi="仿宋" w:eastAsia="仿宋" w:cs="仿宋"/>
          <w:color w:val="auto"/>
          <w:sz w:val="24"/>
          <w:szCs w:val="24"/>
          <w:highlight w:val="none"/>
        </w:rPr>
      </w:pPr>
      <w:bookmarkStart w:id="509" w:name="_Toc24939"/>
      <w:r>
        <w:rPr>
          <w:rFonts w:hint="eastAsia" w:ascii="仿宋" w:hAnsi="仿宋" w:eastAsia="仿宋" w:cs="仿宋"/>
          <w:color w:val="auto"/>
          <w:sz w:val="24"/>
          <w:szCs w:val="24"/>
          <w:highlight w:val="none"/>
        </w:rPr>
        <w:t>评标</w:t>
      </w:r>
      <w:r>
        <w:rPr>
          <w:rFonts w:hint="eastAsia" w:ascii="仿宋" w:hAnsi="仿宋" w:eastAsia="仿宋" w:cs="仿宋"/>
          <w:color w:val="auto"/>
          <w:sz w:val="24"/>
          <w:szCs w:val="24"/>
          <w:highlight w:val="none"/>
          <w:lang w:eastAsia="zh-CN"/>
        </w:rPr>
        <w:t>程序</w:t>
      </w:r>
      <w:bookmarkEnd w:id="509"/>
    </w:p>
    <w:p w14:paraId="556CA6A1">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（1）在政采云平台上随机抽取</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名评标委员会</w:t>
      </w:r>
      <w:r>
        <w:rPr>
          <w:rFonts w:hint="eastAsia" w:ascii="仿宋" w:hAnsi="仿宋" w:eastAsia="仿宋" w:cs="仿宋"/>
          <w:color w:val="auto"/>
          <w:sz w:val="24"/>
          <w:szCs w:val="24"/>
          <w:highlight w:val="none"/>
          <w:lang w:eastAsia="zh-CN"/>
        </w:rPr>
        <w:t>成员，</w:t>
      </w:r>
      <w:r>
        <w:rPr>
          <w:rFonts w:hint="eastAsia" w:ascii="仿宋" w:hAnsi="仿宋" w:eastAsia="仿宋" w:cs="仿宋"/>
          <w:color w:val="auto"/>
          <w:sz w:val="24"/>
          <w:szCs w:val="24"/>
          <w:highlight w:val="none"/>
        </w:rPr>
        <w:t>负责评标工作。</w:t>
      </w:r>
    </w:p>
    <w:p w14:paraId="5BCCC777">
      <w:pPr>
        <w:pStyle w:val="88"/>
        <w:numPr>
          <w:ilvl w:val="0"/>
          <w:numId w:val="0"/>
        </w:numPr>
        <w:spacing w:line="240" w:lineRule="auto"/>
        <w:ind w:left="420" w:lef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（2）评标前，</w:t>
      </w:r>
      <w:r>
        <w:rPr>
          <w:rFonts w:hint="eastAsia" w:ascii="仿宋" w:hAnsi="仿宋" w:eastAsia="仿宋" w:cs="仿宋"/>
          <w:color w:val="auto"/>
          <w:sz w:val="24"/>
          <w:szCs w:val="24"/>
          <w:highlight w:val="none"/>
          <w:lang w:val="en-US" w:eastAsia="zh-CN"/>
        </w:rPr>
        <w:t>核对评审专家身份和采购人代表授权函，采购人和采购代理机构将对评审专家在政府采购活动中职责履行情况予以记录，并及时将有关违法违规行为向财政部门报告。</w:t>
      </w:r>
    </w:p>
    <w:p w14:paraId="0977D576">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（3）通讯工具管理：专家老师将通讯工具调制成静音状态，交予代理机构统一保管。</w:t>
      </w:r>
    </w:p>
    <w:p w14:paraId="6DE0EF7F">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（4）组织评标委员会推选评标组长，宣布评标委员会成员姓名、工作单位、职称，以举手表决的方式选取。</w:t>
      </w:r>
    </w:p>
    <w:p w14:paraId="773C6243">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（5）采购人和采购代理机构，评标委员会成员要严格遵守政府采购相关法律制度，依法履行各自职责，公正、客观、审慎地组织和参与评审工作；</w:t>
      </w:r>
    </w:p>
    <w:p w14:paraId="66653B6D">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（6）评审委员会成员要依法独立评审，并对评审意见承担个人责任；</w:t>
      </w:r>
    </w:p>
    <w:p w14:paraId="22835AA2">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采购人、采购代理机构要确保评审活动在严格保密的情况下进行。评审委员会成员、采购人和采购代理机构工作人员、相关监督人员等与评审有关的人员，对评审情况以及在评审过程中获悉的国家秘密、商业秘密负有保密责任；</w:t>
      </w:r>
    </w:p>
    <w:p w14:paraId="58C38014">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（8）采购人、采购代理机构和评审委员会在评审工作中，要依法相互监督和制约，并自觉接受各级财政部门的监督；</w:t>
      </w:r>
    </w:p>
    <w:p w14:paraId="53F2BED0">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（9）评审委员会要根据政府采购法律法规和采购文件所载明的评审方法、标准进行评审。</w:t>
      </w:r>
    </w:p>
    <w:p w14:paraId="63BE3C42">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（10）评审专家如有以下情形，应当回避：</w:t>
      </w:r>
    </w:p>
    <w:p w14:paraId="233DF2A4">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1.参加采购活动前三年内，与供应商存在劳动关系，或者担任过供应商的董事、监事，或者是供应商的控股股东或者实际控制人；</w:t>
      </w:r>
    </w:p>
    <w:p w14:paraId="2F4B2BFA">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2.与供应商的法定代表人或者负责人有夫妻、直系血亲、三代以内旁系血亲或者近姻亲关系；</w:t>
      </w:r>
    </w:p>
    <w:p w14:paraId="5AF960C2">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3.与供应商有其他可能影响政府采购活动公平、公正进行的关系。</w:t>
      </w:r>
    </w:p>
    <w:p w14:paraId="3CF65DB2">
      <w:pPr>
        <w:pStyle w:val="88"/>
        <w:numPr>
          <w:ilvl w:val="0"/>
          <w:numId w:val="0"/>
        </w:numPr>
        <w:spacing w:line="240" w:lineRule="auto"/>
        <w:ind w:left="420" w:leftChars="0"/>
        <w:rPr>
          <w:rFonts w:hint="eastAsia" w:ascii="仿宋" w:hAnsi="仿宋" w:eastAsia="仿宋" w:cs="仿宋"/>
          <w:color w:val="auto"/>
          <w:sz w:val="24"/>
          <w:szCs w:val="24"/>
          <w:highlight w:val="none"/>
          <w:lang w:eastAsia="zh-CN"/>
        </w:rPr>
      </w:pPr>
    </w:p>
    <w:p w14:paraId="4760F978">
      <w:pPr>
        <w:pStyle w:val="28"/>
        <w:bidi w:val="0"/>
        <w:ind w:left="0" w:leftChars="0" w:firstLine="48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评标专家在政府采购活动中承担以下义务：</w:t>
      </w:r>
    </w:p>
    <w:p w14:paraId="148D1E43">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①遵纪守法，客观、公正、廉洁地履行职责；</w:t>
      </w:r>
    </w:p>
    <w:p w14:paraId="7FE763F8">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②按照政府采购法律法规和采购文件的规定要求对供应商的资格条件和供应商提供的产品价格、技术、服务等方面严格进行评判，提供科学合理、公平公正的评审意见，参与起草评审报告，并予签字确认；</w:t>
      </w:r>
    </w:p>
    <w:p w14:paraId="12977FA9">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③保守秘密。不得透露采购文件咨询情况，不得泄露供应商的投标文件及知悉的商业秘密，不得向供应商透露评审情况；</w:t>
      </w:r>
    </w:p>
    <w:p w14:paraId="455AB122">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④发现供应商在政府采购活动中有不正当竞争或恶意串通等违规行为，及时向政府采购评审工作的组织者或行政监管部门报告并加以制止；</w:t>
      </w:r>
    </w:p>
    <w:p w14:paraId="2A3A0DF3">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⑤发现采购人、招标代理机构及其工作人员在政府采购活动中有干预评审、发表倾向性和歧视性言论、受贿或者接受供应商的其他好处及其他违法违规行为，及时向行政监管部门报告；</w:t>
      </w:r>
    </w:p>
    <w:p w14:paraId="135DE291">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⑥解答有关方面对政府采购评审工作中有关问题的询问，配合采购人或者招标代理机构答复供应商质疑，配合行政监管部门的投诉处理工作等事宜；</w:t>
      </w:r>
    </w:p>
    <w:p w14:paraId="1852C5DB">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⑦法律、法规和规章规定的其他义务。</w:t>
      </w:r>
    </w:p>
    <w:p w14:paraId="1F2AB33F">
      <w:pPr>
        <w:pStyle w:val="13"/>
        <w:bidi w:val="0"/>
        <w:rPr>
          <w:rFonts w:hint="eastAsia" w:ascii="仿宋" w:hAnsi="仿宋" w:eastAsia="仿宋" w:cs="仿宋"/>
          <w:b/>
          <w:bCs/>
          <w:color w:val="auto"/>
          <w:highlight w:val="none"/>
        </w:rPr>
      </w:pPr>
      <w:r>
        <w:rPr>
          <w:rFonts w:hint="eastAsia" w:ascii="仿宋" w:hAnsi="仿宋" w:eastAsia="仿宋" w:cs="仿宋"/>
          <w:b/>
          <w:bCs/>
          <w:color w:val="auto"/>
          <w:highlight w:val="none"/>
        </w:rPr>
        <w:t>评审专家在政府采购活动中应当遵守以下工作纪律：</w:t>
      </w:r>
    </w:p>
    <w:p w14:paraId="6DBE9317">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①应邀按时参加评审和咨询活动。遇特殊情况不能出席或途中遇阻不能按时参加评审或咨询的，应及时告知采购人或者招标代理机构，不得私自转托他人；</w:t>
      </w:r>
    </w:p>
    <w:p w14:paraId="1B4B1139">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不得参加与自己有利害关系的政府采购项目的评审活动。对与自己有利害关系的评审项目，如受到邀请，应主动提出回避。行政监管部门、采购人或招标代理机构也可以要求该评审专家回避；有利害关系主要是指三年内曾在参加该采购项目的供应商中任职（包括一般工作） 或担任顾问，配偶或直系亲属在参加该采购项目的供应商中任职或担任顾问，与参加该采购项目的供应商发生过法律纠纷，以及其他可能影响公正评审的情况；</w:t>
      </w:r>
    </w:p>
    <w:p w14:paraId="75292CED">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③评审或咨询过程中关闭通讯设备，不得与外界联系。因发生不可预见情况，确实需要与外界联系的，应当有在场工作人员陪同；</w:t>
      </w:r>
    </w:p>
    <w:p w14:paraId="04AECC20">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评审过程中，不得发表影响评审公正的倾向性、歧视性言论；不得征询或者接受采购人的倾向性意见；不得以任何明示或暗示的方式要求参加该采购项目的供应商以澄清、说明或补正为借口，表达与其原投标文件原意不同的新意见；不得以采购文件没有规定的方法和标准作为评审的依据；不得违反规定的评审格式评分和撰写评审意见；不得拒绝对自己的评审意见签字确认；</w:t>
      </w:r>
    </w:p>
    <w:p w14:paraId="40EC6B7E">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⑤在咨询工作中，严格执行国家产业政策和产品标准，认真听取咨询方的合理要求， 提出科学合理的、无倾向性和歧视性的咨询方案，并对所提出的意见和建议承担个人责任；</w:t>
      </w:r>
    </w:p>
    <w:p w14:paraId="72D0C3F8">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⑥法律、法规和规章规定的其他评审工作纪律。</w:t>
      </w:r>
    </w:p>
    <w:p w14:paraId="3A68A51C">
      <w:pPr>
        <w:pStyle w:val="88"/>
        <w:numPr>
          <w:ilvl w:val="0"/>
          <w:numId w:val="14"/>
        </w:numPr>
        <w:spacing w:line="240" w:lineRule="auto"/>
        <w:ind w:left="1080" w:leftChars="257" w:hanging="540" w:firstLineChars="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澄清和答疑：</w:t>
      </w:r>
    </w:p>
    <w:p w14:paraId="3A3D90AF">
      <w:pPr>
        <w:pStyle w:val="88"/>
        <w:numPr>
          <w:ilvl w:val="0"/>
          <w:numId w:val="0"/>
        </w:numPr>
        <w:spacing w:line="240" w:lineRule="auto"/>
        <w:ind w:left="420" w:lef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lang w:eastAsia="zh-CN"/>
        </w:rPr>
        <w:t>为有助于对投标文件进行审查、评估和比较，评标委员会将对认为需要（不是所有）的投标人进行询标，请投标人澄清其投标内容，投标人有责任按照招标方通知的时间、方式指派专人进行答疑和澄清。投标人代表应在评标会结束前保持政采云及腾讯群在线，以便能及时地接受在线询标，询标时投标人代表应作书面记录，并对询问答疑的内容做出在线书面答复。</w:t>
      </w:r>
    </w:p>
    <w:p w14:paraId="32098932">
      <w:pPr>
        <w:pStyle w:val="88"/>
        <w:numPr>
          <w:ilvl w:val="0"/>
          <w:numId w:val="0"/>
        </w:numPr>
        <w:spacing w:line="240" w:lineRule="auto"/>
        <w:ind w:left="420" w:leftChars="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lang w:eastAsia="zh-CN"/>
        </w:rPr>
        <w:t>重要澄清的答复应是书面的，澄清答复不得对投标的价格、技术指标和参数等内容进行实质性修改。澄清文件须由投标人法定代表人或法人授权代表签字或加盖投标人公章后上传或者在线电子签章签字并作为投标文件的组成部分。</w:t>
      </w:r>
    </w:p>
    <w:p w14:paraId="62F9EF8A">
      <w:pPr>
        <w:pStyle w:val="88"/>
        <w:numPr>
          <w:ilvl w:val="0"/>
          <w:numId w:val="0"/>
        </w:numPr>
        <w:spacing w:line="240" w:lineRule="auto"/>
        <w:ind w:left="420" w:lef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lang w:eastAsia="zh-CN"/>
        </w:rPr>
        <w:t>供应商代表对开标过程和开标记录有异议，以及认为采购人、采购代理机构相关工作人员有需要回避的情形的，应当场提出询问或者回避申请。采购人、采购代理机构对供应商代表提出的询问或者回避申请应当及时处理。</w:t>
      </w:r>
    </w:p>
    <w:p w14:paraId="3B23BCFC">
      <w:pPr>
        <w:pStyle w:val="88"/>
        <w:numPr>
          <w:ilvl w:val="0"/>
          <w:numId w:val="0"/>
        </w:numPr>
        <w:spacing w:line="240" w:lineRule="auto"/>
        <w:ind w:left="420" w:lef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④供应商提出的询问或者质疑超出采购人对采购代理机构委托授权范围的，采购代理机构应当告知供应商向采购人提出。</w:t>
      </w:r>
    </w:p>
    <w:p w14:paraId="166CC16C">
      <w:pPr>
        <w:pStyle w:val="88"/>
        <w:numPr>
          <w:ilvl w:val="0"/>
          <w:numId w:val="0"/>
        </w:numPr>
        <w:spacing w:line="240" w:lineRule="auto"/>
        <w:ind w:left="420" w:leftChars="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kern w:val="2"/>
          <w:sz w:val="24"/>
          <w:szCs w:val="24"/>
          <w:highlight w:val="none"/>
          <w:lang w:val="en-US" w:eastAsia="zh-CN" w:bidi="ar-SA"/>
        </w:rPr>
        <w:t>计算错误的修改</w:t>
      </w:r>
    </w:p>
    <w:p w14:paraId="5F4B4A89">
      <w:pPr>
        <w:pStyle w:val="88"/>
        <w:numPr>
          <w:ilvl w:val="0"/>
          <w:numId w:val="0"/>
        </w:numPr>
        <w:tabs>
          <w:tab w:val="left" w:pos="1473"/>
        </w:tabs>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投标文件中如果出现计算上或累加上的算术错误，可按以下原则进行修改：</w:t>
      </w:r>
    </w:p>
    <w:p w14:paraId="5551BE65">
      <w:pPr>
        <w:pStyle w:val="88"/>
        <w:numPr>
          <w:ilvl w:val="0"/>
          <w:numId w:val="15"/>
        </w:numPr>
        <w:tabs>
          <w:tab w:val="left" w:pos="1654"/>
        </w:tabs>
        <w:spacing w:before="1"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用数字表示的金额和用文字表示的金额不一致，应以文字表示的金额为准；</w:t>
      </w:r>
    </w:p>
    <w:p w14:paraId="327BF6CE">
      <w:pPr>
        <w:pStyle w:val="88"/>
        <w:numPr>
          <w:ilvl w:val="0"/>
          <w:numId w:val="15"/>
        </w:numPr>
        <w:tabs>
          <w:tab w:val="left" w:pos="1654"/>
        </w:tabs>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单价和数量的乘积与总价不一致时，以单价为准，并修正总价；</w:t>
      </w:r>
    </w:p>
    <w:p w14:paraId="1308C21D">
      <w:pPr>
        <w:pStyle w:val="88"/>
        <w:numPr>
          <w:ilvl w:val="0"/>
          <w:numId w:val="15"/>
        </w:numPr>
        <w:tabs>
          <w:tab w:val="left" w:pos="1654"/>
        </w:tabs>
        <w:spacing w:before="1"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单价金额小数点有明显错误的，以总价为准，修正单价。</w:t>
      </w:r>
    </w:p>
    <w:p w14:paraId="381DD777">
      <w:pPr>
        <w:pStyle w:val="88"/>
        <w:numPr>
          <w:ilvl w:val="0"/>
          <w:numId w:val="0"/>
        </w:numPr>
        <w:tabs>
          <w:tab w:val="left" w:pos="1476"/>
        </w:tabs>
        <w:spacing w:line="240" w:lineRule="auto"/>
        <w:ind w:right="514"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按上述修正错误的方法调整的投标报价应对投标人具有约束力。如果投标人不接受修正后的价格，其投标将被拒绝。</w:t>
      </w:r>
    </w:p>
    <w:p w14:paraId="67BC3218">
      <w:pPr>
        <w:pStyle w:val="88"/>
        <w:numPr>
          <w:ilvl w:val="0"/>
          <w:numId w:val="0"/>
        </w:num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对资格审查合格的投标人，由评标委员会按以下程序进行。</w:t>
      </w:r>
    </w:p>
    <w:p w14:paraId="76A0A4B4">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（1）初步评审－符合性审查，符合性检查的内容及标准；</w:t>
      </w:r>
    </w:p>
    <w:p w14:paraId="7CBDFEF4">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商务符合性审查，符合性检查的内容及标准；</w:t>
      </w:r>
    </w:p>
    <w:p w14:paraId="40F36A35">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（2）澄清有关问题；</w:t>
      </w:r>
    </w:p>
    <w:p w14:paraId="3BB5F0CC">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（3）比较与评价；</w:t>
      </w:r>
    </w:p>
    <w:p w14:paraId="6AAE1A4B">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（4）推荐中标供应商名单；</w:t>
      </w:r>
    </w:p>
    <w:p w14:paraId="0EC6645D">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（5）编写评标报告。</w:t>
      </w:r>
    </w:p>
    <w:p w14:paraId="2296CAB9">
      <w:pPr>
        <w:pStyle w:val="94"/>
        <w:numPr>
          <w:ilvl w:val="1"/>
          <w:numId w:val="13"/>
        </w:numPr>
        <w:tabs>
          <w:tab w:val="left" w:pos="420"/>
        </w:tabs>
        <w:spacing w:before="66" w:line="240" w:lineRule="auto"/>
        <w:ind w:left="1296" w:leftChars="0" w:hanging="1296" w:firstLineChars="0"/>
        <w:outlineLvl w:val="1"/>
        <w:rPr>
          <w:rFonts w:hint="eastAsia" w:ascii="仿宋" w:hAnsi="仿宋" w:eastAsia="仿宋" w:cs="仿宋"/>
          <w:color w:val="auto"/>
          <w:sz w:val="24"/>
          <w:szCs w:val="24"/>
          <w:highlight w:val="none"/>
        </w:rPr>
      </w:pPr>
      <w:bookmarkStart w:id="510" w:name="_Toc18970"/>
      <w:r>
        <w:rPr>
          <w:rFonts w:hint="eastAsia" w:ascii="仿宋" w:hAnsi="仿宋" w:eastAsia="仿宋" w:cs="仿宋"/>
          <w:color w:val="auto"/>
          <w:sz w:val="24"/>
          <w:szCs w:val="24"/>
          <w:highlight w:val="none"/>
        </w:rPr>
        <w:t>定标程序</w:t>
      </w:r>
      <w:bookmarkEnd w:id="510"/>
    </w:p>
    <w:p w14:paraId="16FFD52D">
      <w:pPr>
        <w:pStyle w:val="88"/>
        <w:keepNext w:val="0"/>
        <w:keepLines w:val="0"/>
        <w:pageBreakBefore w:val="0"/>
        <w:widowControl w:val="0"/>
        <w:numPr>
          <w:ilvl w:val="0"/>
          <w:numId w:val="0"/>
        </w:numPr>
        <w:tabs>
          <w:tab w:val="left" w:pos="1654"/>
        </w:tabs>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（1）采购代理机构应当在评标结束后2个工作日内将评标报告送采购人。</w:t>
      </w:r>
    </w:p>
    <w:p w14:paraId="7EE068F2">
      <w:pPr>
        <w:pStyle w:val="88"/>
        <w:keepNext w:val="0"/>
        <w:keepLines w:val="0"/>
        <w:pageBreakBefore w:val="0"/>
        <w:widowControl w:val="0"/>
        <w:numPr>
          <w:ilvl w:val="0"/>
          <w:numId w:val="0"/>
        </w:numPr>
        <w:tabs>
          <w:tab w:val="left" w:pos="1654"/>
        </w:tabs>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（2）采购人应当自收到评标报告之日起5个工作日内，在评标报告确定的中标候选人名单中按顺序确定中标人。中标候选人并列的，由采购人按照招标文件规定的方式确定中标人。</w:t>
      </w:r>
    </w:p>
    <w:p w14:paraId="344DED5D">
      <w:pPr>
        <w:pStyle w:val="88"/>
        <w:keepNext w:val="0"/>
        <w:keepLines w:val="0"/>
        <w:pageBreakBefore w:val="0"/>
        <w:widowControl w:val="0"/>
        <w:numPr>
          <w:ilvl w:val="0"/>
          <w:numId w:val="0"/>
        </w:numPr>
        <w:tabs>
          <w:tab w:val="left" w:pos="1654"/>
        </w:tabs>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（3）采购人在收到评标报告5个工作日内未按评标报告推荐的中标候选人顺序确定中标人，又不能说明合法理由的，视同按评标报告推荐的顺序确定排名第一的中标候选人为中标人。</w:t>
      </w:r>
    </w:p>
    <w:p w14:paraId="65DE1082">
      <w:pPr>
        <w:pStyle w:val="12"/>
        <w:tabs>
          <w:tab w:val="clear" w:pos="567"/>
        </w:tabs>
        <w:spacing w:before="0" w:line="360" w:lineRule="auto"/>
        <w:ind w:left="-181" w:leftChars="-86" w:firstLine="180" w:firstLineChars="75"/>
        <w:rPr>
          <w:rFonts w:hint="eastAsia" w:ascii="仿宋" w:hAnsi="仿宋" w:eastAsia="仿宋" w:cs="仿宋"/>
          <w:highlight w:val="none"/>
        </w:rPr>
      </w:pPr>
      <w:r>
        <w:rPr>
          <w:rFonts w:hint="eastAsia" w:ascii="仿宋" w:hAnsi="仿宋" w:eastAsia="仿宋" w:cs="仿宋"/>
          <w:color w:val="auto"/>
          <w:sz w:val="24"/>
          <w:szCs w:val="24"/>
          <w:highlight w:val="none"/>
          <w:lang w:val="en-US" w:eastAsia="zh-CN"/>
        </w:rPr>
        <w:t>（4）中标候选人并列式时的处理方式：</w:t>
      </w:r>
      <w:r>
        <w:rPr>
          <w:rFonts w:hint="eastAsia" w:ascii="仿宋" w:hAnsi="仿宋" w:eastAsia="仿宋" w:cs="仿宋"/>
          <w:color w:val="auto"/>
          <w:sz w:val="24"/>
          <w:szCs w:val="24"/>
          <w:highlight w:val="none"/>
          <w:u w:val="single"/>
          <w:lang w:val="en-US" w:eastAsia="zh-CN"/>
        </w:rPr>
        <w:t>报价最低者优先，如报价相同，则采用随机抽取的方式确定。</w:t>
      </w:r>
    </w:p>
    <w:p w14:paraId="2916EE3D">
      <w:pPr>
        <w:pStyle w:val="94"/>
        <w:numPr>
          <w:ilvl w:val="1"/>
          <w:numId w:val="13"/>
        </w:numPr>
        <w:tabs>
          <w:tab w:val="left" w:pos="420"/>
        </w:tabs>
        <w:spacing w:before="66" w:line="240" w:lineRule="auto"/>
        <w:ind w:left="1296" w:leftChars="0" w:hanging="1296" w:firstLineChars="0"/>
        <w:outlineLvl w:val="1"/>
        <w:rPr>
          <w:rFonts w:hint="eastAsia" w:ascii="仿宋" w:hAnsi="仿宋" w:eastAsia="仿宋" w:cs="仿宋"/>
          <w:color w:val="auto"/>
          <w:sz w:val="24"/>
          <w:szCs w:val="24"/>
          <w:highlight w:val="none"/>
        </w:rPr>
      </w:pPr>
      <w:bookmarkStart w:id="511" w:name="_Toc25212"/>
      <w:r>
        <w:rPr>
          <w:rFonts w:hint="eastAsia" w:ascii="仿宋" w:hAnsi="仿宋" w:eastAsia="仿宋" w:cs="仿宋"/>
          <w:color w:val="auto"/>
          <w:sz w:val="24"/>
          <w:szCs w:val="24"/>
          <w:highlight w:val="none"/>
        </w:rPr>
        <w:t>评标细则及标准（综合评分法）</w:t>
      </w:r>
      <w:bookmarkEnd w:id="511"/>
    </w:p>
    <w:p w14:paraId="3D59F7B2">
      <w:pPr>
        <w:pStyle w:val="88"/>
        <w:numPr>
          <w:ilvl w:val="0"/>
          <w:numId w:val="0"/>
        </w:numPr>
        <w:spacing w:line="240" w:lineRule="auto"/>
        <w:ind w:right="511" w:rightChars="0" w:firstLine="230"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lang w:val="en-US" w:eastAsia="zh-CN"/>
        </w:rPr>
        <w:t>5.1</w:t>
      </w:r>
      <w:r>
        <w:rPr>
          <w:rFonts w:hint="eastAsia" w:ascii="仿宋" w:hAnsi="仿宋" w:eastAsia="仿宋" w:cs="仿宋"/>
          <w:color w:val="auto"/>
          <w:spacing w:val="-5"/>
          <w:sz w:val="24"/>
          <w:szCs w:val="24"/>
          <w:highlight w:val="none"/>
        </w:rPr>
        <w:t>本次综合评分的主要因素是：</w:t>
      </w:r>
      <w:r>
        <w:rPr>
          <w:rFonts w:hint="eastAsia" w:ascii="仿宋" w:hAnsi="仿宋" w:eastAsia="仿宋" w:cs="仿宋"/>
          <w:color w:val="auto"/>
          <w:spacing w:val="-5"/>
          <w:sz w:val="24"/>
          <w:szCs w:val="24"/>
          <w:highlight w:val="none"/>
          <w:lang w:eastAsia="zh-CN"/>
        </w:rPr>
        <w:t>投标报价、技术或者服务水平、履约能力、售后服务、</w:t>
      </w:r>
      <w:r>
        <w:rPr>
          <w:rFonts w:hint="eastAsia" w:ascii="仿宋" w:hAnsi="仿宋" w:eastAsia="仿宋" w:cs="仿宋"/>
          <w:color w:val="auto"/>
          <w:spacing w:val="-5"/>
          <w:sz w:val="24"/>
          <w:szCs w:val="24"/>
          <w:highlight w:val="none"/>
        </w:rPr>
        <w:t>对招标</w:t>
      </w:r>
      <w:r>
        <w:rPr>
          <w:rFonts w:hint="eastAsia" w:ascii="仿宋" w:hAnsi="仿宋" w:eastAsia="仿宋" w:cs="仿宋"/>
          <w:color w:val="auto"/>
          <w:sz w:val="24"/>
          <w:szCs w:val="24"/>
          <w:highlight w:val="none"/>
        </w:rPr>
        <w:t>文件的响应程度等；</w:t>
      </w:r>
    </w:p>
    <w:p w14:paraId="6789BFE9">
      <w:pPr>
        <w:pStyle w:val="88"/>
        <w:numPr>
          <w:ilvl w:val="0"/>
          <w:numId w:val="0"/>
        </w:numPr>
        <w:tabs>
          <w:tab w:val="left" w:pos="1593"/>
        </w:tabs>
        <w:spacing w:line="240" w:lineRule="auto"/>
        <w:ind w:right="511" w:rightChars="0" w:firstLine="232"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lang w:val="en-US" w:eastAsia="zh-CN"/>
        </w:rPr>
        <w:t>5.2</w:t>
      </w:r>
      <w:r>
        <w:rPr>
          <w:rFonts w:hint="eastAsia" w:ascii="仿宋" w:hAnsi="仿宋" w:eastAsia="仿宋" w:cs="仿宋"/>
          <w:color w:val="auto"/>
          <w:spacing w:val="-4"/>
          <w:sz w:val="24"/>
          <w:szCs w:val="24"/>
          <w:highlight w:val="none"/>
        </w:rPr>
        <w:t>除价格因素外，评委会成员应依据投标文件规定的评分标准和方法独立对其他因素</w:t>
      </w:r>
      <w:r>
        <w:rPr>
          <w:rFonts w:hint="eastAsia" w:ascii="仿宋" w:hAnsi="仿宋" w:eastAsia="仿宋" w:cs="仿宋"/>
          <w:color w:val="auto"/>
          <w:sz w:val="24"/>
          <w:szCs w:val="24"/>
          <w:highlight w:val="none"/>
        </w:rPr>
        <w:t>进行比较打分；</w:t>
      </w:r>
    </w:p>
    <w:p w14:paraId="2DF2DF89">
      <w:pPr>
        <w:pStyle w:val="88"/>
        <w:numPr>
          <w:ilvl w:val="0"/>
          <w:numId w:val="0"/>
        </w:numPr>
        <w:tabs>
          <w:tab w:val="left" w:pos="1593"/>
        </w:tabs>
        <w:spacing w:before="38" w:line="240" w:lineRule="auto"/>
        <w:ind w:firstLine="234"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5.3</w:t>
      </w:r>
      <w:r>
        <w:rPr>
          <w:rFonts w:hint="eastAsia" w:ascii="仿宋" w:hAnsi="仿宋" w:eastAsia="仿宋" w:cs="仿宋"/>
          <w:color w:val="auto"/>
          <w:spacing w:val="-3"/>
          <w:sz w:val="24"/>
          <w:szCs w:val="24"/>
          <w:highlight w:val="none"/>
        </w:rPr>
        <w:t>在评标过程中，投标文件响应招标文件出现的偏离，分为实质性偏离和非实质性偏</w:t>
      </w:r>
      <w:r>
        <w:rPr>
          <w:rFonts w:hint="eastAsia" w:ascii="仿宋" w:hAnsi="仿宋" w:eastAsia="仿宋" w:cs="仿宋"/>
          <w:color w:val="auto"/>
          <w:sz w:val="24"/>
          <w:szCs w:val="24"/>
          <w:highlight w:val="none"/>
        </w:rPr>
        <w:t>离。</w:t>
      </w:r>
    </w:p>
    <w:p w14:paraId="33D2EB18">
      <w:pPr>
        <w:pStyle w:val="88"/>
        <w:numPr>
          <w:ilvl w:val="0"/>
          <w:numId w:val="0"/>
        </w:numPr>
        <w:tabs>
          <w:tab w:val="left" w:pos="1814"/>
        </w:tabs>
        <w:spacing w:before="67" w:line="240" w:lineRule="auto"/>
        <w:ind w:firstLine="234"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5.3.1</w:t>
      </w:r>
      <w:r>
        <w:rPr>
          <w:rFonts w:hint="eastAsia" w:ascii="仿宋" w:hAnsi="仿宋" w:eastAsia="仿宋" w:cs="仿宋"/>
          <w:color w:val="auto"/>
          <w:spacing w:val="-5"/>
          <w:sz w:val="24"/>
          <w:szCs w:val="24"/>
          <w:highlight w:val="none"/>
        </w:rPr>
        <w:t>实质性偏离是指投标文件未能实质响应招标文件的要求。以下情况属于重大偏离：</w:t>
      </w:r>
    </w:p>
    <w:p w14:paraId="375F44DE">
      <w:pPr>
        <w:pStyle w:val="88"/>
        <w:numPr>
          <w:ilvl w:val="0"/>
          <w:numId w:val="0"/>
        </w:numPr>
        <w:tabs>
          <w:tab w:val="left" w:pos="1774"/>
        </w:tabs>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未按招标文件</w:t>
      </w:r>
      <w:r>
        <w:rPr>
          <w:rFonts w:hint="eastAsia" w:ascii="仿宋" w:hAnsi="仿宋" w:eastAsia="仿宋" w:cs="仿宋"/>
          <w:color w:val="auto"/>
          <w:sz w:val="24"/>
          <w:szCs w:val="24"/>
          <w:highlight w:val="none"/>
          <w:lang w:eastAsia="zh-CN"/>
        </w:rPr>
        <w:t>规定</w:t>
      </w:r>
      <w:r>
        <w:rPr>
          <w:rFonts w:hint="eastAsia" w:ascii="仿宋" w:hAnsi="仿宋" w:eastAsia="仿宋" w:cs="仿宋"/>
          <w:color w:val="auto"/>
          <w:sz w:val="24"/>
          <w:szCs w:val="24"/>
          <w:highlight w:val="none"/>
        </w:rPr>
        <w:t>提交投标保证金</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w:t>
      </w:r>
    </w:p>
    <w:p w14:paraId="681128D2">
      <w:pPr>
        <w:pStyle w:val="88"/>
        <w:numPr>
          <w:ilvl w:val="0"/>
          <w:numId w:val="0"/>
        </w:numPr>
        <w:tabs>
          <w:tab w:val="left" w:pos="1777"/>
        </w:tabs>
        <w:spacing w:line="240" w:lineRule="auto"/>
        <w:ind w:right="513"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pacing w:val="-1"/>
          <w:sz w:val="24"/>
          <w:szCs w:val="24"/>
          <w:highlight w:val="none"/>
        </w:rPr>
        <w:t>投标</w:t>
      </w:r>
      <w:r>
        <w:rPr>
          <w:rFonts w:hint="eastAsia" w:ascii="仿宋" w:hAnsi="仿宋" w:eastAsia="仿宋" w:cs="仿宋"/>
          <w:color w:val="auto"/>
          <w:spacing w:val="-1"/>
          <w:sz w:val="24"/>
          <w:szCs w:val="24"/>
          <w:highlight w:val="none"/>
          <w:lang w:eastAsia="zh-CN"/>
        </w:rPr>
        <w:t>文件</w:t>
      </w:r>
      <w:r>
        <w:rPr>
          <w:rFonts w:hint="eastAsia" w:ascii="仿宋" w:hAnsi="仿宋" w:eastAsia="仿宋" w:cs="仿宋"/>
          <w:color w:val="auto"/>
          <w:spacing w:val="-1"/>
          <w:sz w:val="24"/>
          <w:szCs w:val="24"/>
          <w:highlight w:val="none"/>
        </w:rPr>
        <w:t>、法定代表人授权委托书、开标一览表没有按招标文件的规定和要求</w:t>
      </w:r>
      <w:r>
        <w:rPr>
          <w:rFonts w:hint="eastAsia" w:ascii="仿宋" w:hAnsi="仿宋" w:eastAsia="仿宋" w:cs="仿宋"/>
          <w:color w:val="auto"/>
          <w:spacing w:val="-1"/>
          <w:sz w:val="24"/>
          <w:szCs w:val="24"/>
          <w:highlight w:val="none"/>
          <w:lang w:eastAsia="zh-CN"/>
        </w:rPr>
        <w:t>签署、</w:t>
      </w:r>
      <w:r>
        <w:rPr>
          <w:rFonts w:hint="eastAsia" w:ascii="仿宋" w:hAnsi="仿宋" w:eastAsia="仿宋" w:cs="仿宋"/>
          <w:color w:val="auto"/>
          <w:sz w:val="24"/>
          <w:szCs w:val="24"/>
          <w:highlight w:val="none"/>
        </w:rPr>
        <w:t>盖章</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w:t>
      </w:r>
    </w:p>
    <w:p w14:paraId="0A645B52">
      <w:pPr>
        <w:pStyle w:val="88"/>
        <w:numPr>
          <w:ilvl w:val="0"/>
          <w:numId w:val="0"/>
        </w:numPr>
        <w:tabs>
          <w:tab w:val="left" w:pos="1777"/>
        </w:tabs>
        <w:spacing w:line="240" w:lineRule="auto"/>
        <w:ind w:right="513"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）不具备招标文件中规定的资格要求的；</w:t>
      </w:r>
    </w:p>
    <w:p w14:paraId="615A83B5">
      <w:pPr>
        <w:pStyle w:val="88"/>
        <w:numPr>
          <w:ilvl w:val="0"/>
          <w:numId w:val="0"/>
        </w:numPr>
        <w:tabs>
          <w:tab w:val="left" w:pos="1774"/>
        </w:tabs>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投标人的投标报价超过了</w:t>
      </w:r>
      <w:r>
        <w:rPr>
          <w:rFonts w:hint="eastAsia" w:ascii="仿宋" w:hAnsi="仿宋" w:eastAsia="仿宋" w:cs="仿宋"/>
          <w:color w:val="auto"/>
          <w:sz w:val="24"/>
          <w:szCs w:val="24"/>
          <w:highlight w:val="none"/>
          <w:lang w:eastAsia="zh-CN"/>
        </w:rPr>
        <w:t>招标文件中规定的</w:t>
      </w:r>
      <w:r>
        <w:rPr>
          <w:rFonts w:hint="eastAsia" w:ascii="仿宋" w:hAnsi="仿宋" w:eastAsia="仿宋" w:cs="仿宋"/>
          <w:color w:val="auto"/>
          <w:sz w:val="24"/>
          <w:szCs w:val="24"/>
          <w:highlight w:val="none"/>
        </w:rPr>
        <w:t>预算</w:t>
      </w:r>
      <w:r>
        <w:rPr>
          <w:rFonts w:hint="eastAsia" w:ascii="仿宋" w:hAnsi="仿宋" w:eastAsia="仿宋" w:cs="仿宋"/>
          <w:color w:val="auto"/>
          <w:sz w:val="24"/>
          <w:szCs w:val="24"/>
          <w:highlight w:val="none"/>
          <w:lang w:eastAsia="zh-CN"/>
        </w:rPr>
        <w:t>金额最高限价的</w:t>
      </w:r>
      <w:r>
        <w:rPr>
          <w:rFonts w:hint="eastAsia" w:ascii="仿宋" w:hAnsi="仿宋" w:eastAsia="仿宋" w:cs="仿宋"/>
          <w:color w:val="auto"/>
          <w:sz w:val="24"/>
          <w:szCs w:val="24"/>
          <w:highlight w:val="none"/>
        </w:rPr>
        <w:t>；</w:t>
      </w:r>
    </w:p>
    <w:p w14:paraId="291B4C0D">
      <w:pPr>
        <w:pStyle w:val="88"/>
        <w:numPr>
          <w:ilvl w:val="0"/>
          <w:numId w:val="0"/>
        </w:numPr>
        <w:tabs>
          <w:tab w:val="left" w:pos="1774"/>
        </w:tabs>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投标文件中附有采购人不能接受的</w:t>
      </w:r>
      <w:r>
        <w:rPr>
          <w:rFonts w:hint="eastAsia" w:ascii="仿宋" w:hAnsi="仿宋" w:eastAsia="仿宋" w:cs="仿宋"/>
          <w:color w:val="auto"/>
          <w:sz w:val="24"/>
          <w:szCs w:val="24"/>
          <w:highlight w:val="none"/>
          <w:lang w:eastAsia="zh-CN"/>
        </w:rPr>
        <w:t>附加</w:t>
      </w:r>
      <w:r>
        <w:rPr>
          <w:rFonts w:hint="eastAsia" w:ascii="仿宋" w:hAnsi="仿宋" w:eastAsia="仿宋" w:cs="仿宋"/>
          <w:color w:val="auto"/>
          <w:sz w:val="24"/>
          <w:szCs w:val="24"/>
          <w:highlight w:val="none"/>
        </w:rPr>
        <w:t>条件；</w:t>
      </w:r>
    </w:p>
    <w:p w14:paraId="12CA461B">
      <w:pPr>
        <w:pStyle w:val="88"/>
        <w:numPr>
          <w:ilvl w:val="0"/>
          <w:numId w:val="0"/>
        </w:numPr>
        <w:tabs>
          <w:tab w:val="left" w:pos="1774"/>
        </w:tabs>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投标产品的技术规格、技术标准明显不符合招标项目的要求</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w:t>
      </w:r>
    </w:p>
    <w:p w14:paraId="14F359AA">
      <w:pPr>
        <w:pStyle w:val="88"/>
        <w:numPr>
          <w:ilvl w:val="0"/>
          <w:numId w:val="0"/>
        </w:numPr>
        <w:tabs>
          <w:tab w:val="left" w:pos="1774"/>
        </w:tabs>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评标委员会认为投标人的报价明显低于其他通过复核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仿宋" w:hAnsi="仿宋" w:eastAsia="仿宋" w:cs="仿宋"/>
          <w:b/>
          <w:bCs/>
          <w:color w:val="auto"/>
          <w:sz w:val="24"/>
          <w:szCs w:val="24"/>
          <w:highlight w:val="none"/>
          <w:lang w:eastAsia="zh-CN"/>
        </w:rPr>
        <w:t>无效投标</w:t>
      </w:r>
      <w:r>
        <w:rPr>
          <w:rFonts w:hint="eastAsia" w:ascii="仿宋" w:hAnsi="仿宋" w:eastAsia="仿宋" w:cs="仿宋"/>
          <w:color w:val="auto"/>
          <w:sz w:val="24"/>
          <w:szCs w:val="24"/>
          <w:highlight w:val="none"/>
          <w:lang w:eastAsia="zh-CN"/>
        </w:rPr>
        <w:t>处理；</w:t>
      </w:r>
    </w:p>
    <w:p w14:paraId="400A178A">
      <w:pPr>
        <w:pStyle w:val="88"/>
        <w:numPr>
          <w:ilvl w:val="0"/>
          <w:numId w:val="0"/>
        </w:num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）法律、法规和招标文件规定的其他无效情形。</w:t>
      </w:r>
    </w:p>
    <w:p w14:paraId="2CC99DAA">
      <w:pPr>
        <w:pStyle w:val="88"/>
        <w:numPr>
          <w:ilvl w:val="0"/>
          <w:numId w:val="0"/>
        </w:numPr>
        <w:tabs>
          <w:tab w:val="left" w:pos="1774"/>
        </w:tabs>
        <w:spacing w:line="240" w:lineRule="auto"/>
        <w:ind w:left="0"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投标文件有上述情形之一的，作</w:t>
      </w:r>
      <w:r>
        <w:rPr>
          <w:rFonts w:hint="eastAsia" w:ascii="仿宋" w:hAnsi="仿宋" w:eastAsia="仿宋" w:cs="仿宋"/>
          <w:b/>
          <w:bCs/>
          <w:color w:val="auto"/>
          <w:spacing w:val="-1"/>
          <w:sz w:val="24"/>
          <w:szCs w:val="24"/>
          <w:highlight w:val="none"/>
        </w:rPr>
        <w:t>无效投标</w:t>
      </w:r>
      <w:r>
        <w:rPr>
          <w:rFonts w:hint="eastAsia" w:ascii="仿宋" w:hAnsi="仿宋" w:eastAsia="仿宋" w:cs="仿宋"/>
          <w:color w:val="auto"/>
          <w:spacing w:val="-1"/>
          <w:sz w:val="24"/>
          <w:szCs w:val="24"/>
          <w:highlight w:val="none"/>
        </w:rPr>
        <w:t>处理。</w:t>
      </w:r>
    </w:p>
    <w:p w14:paraId="46CCEAA1">
      <w:pPr>
        <w:pStyle w:val="88"/>
        <w:numPr>
          <w:ilvl w:val="0"/>
          <w:numId w:val="0"/>
        </w:numPr>
        <w:tabs>
          <w:tab w:val="left" w:pos="1833"/>
        </w:tabs>
        <w:spacing w:before="2" w:line="240" w:lineRule="auto"/>
        <w:ind w:right="511" w:rightChars="0"/>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val="en-US" w:eastAsia="zh-CN"/>
        </w:rPr>
        <w:t>5.4</w:t>
      </w:r>
      <w:r>
        <w:rPr>
          <w:rFonts w:hint="eastAsia" w:ascii="仿宋" w:hAnsi="仿宋" w:eastAsia="仿宋" w:cs="仿宋"/>
          <w:color w:val="auto"/>
          <w:spacing w:val="-2"/>
          <w:sz w:val="24"/>
          <w:szCs w:val="24"/>
          <w:highlight w:val="none"/>
        </w:rPr>
        <w:t>非实质性偏离是指投标文件在实质上响应招标文件的要求，但在个别地方存在一</w:t>
      </w:r>
      <w:r>
        <w:rPr>
          <w:rFonts w:hint="eastAsia" w:ascii="仿宋" w:hAnsi="仿宋" w:eastAsia="仿宋" w:cs="仿宋"/>
          <w:color w:val="auto"/>
          <w:sz w:val="24"/>
          <w:szCs w:val="24"/>
          <w:highlight w:val="none"/>
        </w:rPr>
        <w:t>些不规则、不一致、不完整的内容，并且澄清、说明或者补正这些内容不会改变投标文件的实质性内容。以下情况属于非实质性偏离：</w:t>
      </w:r>
    </w:p>
    <w:p w14:paraId="5C8877DE">
      <w:pPr>
        <w:pStyle w:val="88"/>
        <w:numPr>
          <w:ilvl w:val="0"/>
          <w:numId w:val="0"/>
        </w:numPr>
        <w:tabs>
          <w:tab w:val="left" w:pos="1654"/>
        </w:tabs>
        <w:spacing w:before="1"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文字表述的内容含义不明确；</w:t>
      </w:r>
    </w:p>
    <w:p w14:paraId="1BA032F3">
      <w:pPr>
        <w:pStyle w:val="88"/>
        <w:numPr>
          <w:ilvl w:val="0"/>
          <w:numId w:val="0"/>
        </w:numPr>
        <w:tabs>
          <w:tab w:val="left" w:pos="1654"/>
        </w:tabs>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同类问题表述不一致；</w:t>
      </w:r>
    </w:p>
    <w:p w14:paraId="4F456189">
      <w:pPr>
        <w:pStyle w:val="88"/>
        <w:numPr>
          <w:ilvl w:val="0"/>
          <w:numId w:val="0"/>
        </w:numPr>
        <w:tabs>
          <w:tab w:val="left" w:pos="1654"/>
        </w:tabs>
        <w:spacing w:before="1"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有明显文字和计算错误；</w:t>
      </w:r>
    </w:p>
    <w:p w14:paraId="73005EDF">
      <w:pPr>
        <w:pStyle w:val="88"/>
        <w:numPr>
          <w:ilvl w:val="0"/>
          <w:numId w:val="0"/>
        </w:numPr>
        <w:tabs>
          <w:tab w:val="left" w:pos="1654"/>
        </w:tabs>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提供的技术信息和数据资料不完整；</w:t>
      </w:r>
    </w:p>
    <w:p w14:paraId="0A31B4DA">
      <w:pPr>
        <w:pStyle w:val="88"/>
        <w:numPr>
          <w:ilvl w:val="0"/>
          <w:numId w:val="0"/>
        </w:numPr>
        <w:tabs>
          <w:tab w:val="left" w:pos="1654"/>
        </w:tabs>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投标文件未按招标文件要求进行装订或未编制目录、页码；</w:t>
      </w:r>
    </w:p>
    <w:p w14:paraId="71CC6DAE">
      <w:pPr>
        <w:pStyle w:val="88"/>
        <w:numPr>
          <w:ilvl w:val="0"/>
          <w:numId w:val="0"/>
        </w:numPr>
        <w:tabs>
          <w:tab w:val="left" w:pos="1654"/>
        </w:tabs>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评标委员会认定的其他非实质性偏离。</w:t>
      </w:r>
    </w:p>
    <w:p w14:paraId="2D9978F1">
      <w:pPr>
        <w:pStyle w:val="12"/>
        <w:spacing w:line="240" w:lineRule="auto"/>
        <w:ind w:right="510"/>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投标文件有上述</w:t>
      </w:r>
      <w:r>
        <w:rPr>
          <w:rFonts w:hint="eastAsia" w:ascii="仿宋" w:hAnsi="仿宋" w:eastAsia="仿宋" w:cs="仿宋"/>
          <w:color w:val="auto"/>
          <w:spacing w:val="-6"/>
          <w:sz w:val="24"/>
          <w:szCs w:val="24"/>
          <w:highlight w:val="none"/>
        </w:rPr>
        <w:t>（1）--（6）</w:t>
      </w:r>
      <w:r>
        <w:rPr>
          <w:rFonts w:hint="eastAsia" w:ascii="仿宋" w:hAnsi="仿宋" w:eastAsia="仿宋" w:cs="仿宋"/>
          <w:color w:val="auto"/>
          <w:spacing w:val="-4"/>
          <w:sz w:val="24"/>
          <w:szCs w:val="24"/>
          <w:highlight w:val="none"/>
        </w:rPr>
        <w:t>情形之一的，视为投标文件制作不规范，按每一项非实质</w:t>
      </w:r>
      <w:r>
        <w:rPr>
          <w:rFonts w:hint="eastAsia" w:ascii="仿宋" w:hAnsi="仿宋" w:eastAsia="仿宋" w:cs="仿宋"/>
          <w:color w:val="auto"/>
          <w:sz w:val="24"/>
          <w:szCs w:val="24"/>
          <w:highlight w:val="none"/>
        </w:rPr>
        <w:t>性偏离进行扣分处理，直至该项分值扣完为止。评标委员会不接受投标人主动提出的澄清、说明或补正。</w:t>
      </w:r>
    </w:p>
    <w:p w14:paraId="435ECF6D">
      <w:pPr>
        <w:spacing w:line="240" w:lineRule="auto"/>
        <w:jc w:val="both"/>
        <w:rPr>
          <w:rFonts w:hint="eastAsia" w:ascii="仿宋" w:hAnsi="仿宋" w:eastAsia="仿宋" w:cs="仿宋"/>
          <w:color w:val="auto"/>
          <w:sz w:val="24"/>
          <w:szCs w:val="24"/>
          <w:highlight w:val="none"/>
        </w:rPr>
      </w:pPr>
    </w:p>
    <w:p w14:paraId="6D6DBE51">
      <w:pPr>
        <w:pStyle w:val="88"/>
        <w:numPr>
          <w:ilvl w:val="0"/>
          <w:numId w:val="0"/>
        </w:numPr>
        <w:tabs>
          <w:tab w:val="left" w:pos="1653"/>
        </w:tabs>
        <w:spacing w:before="38" w:line="240" w:lineRule="auto"/>
        <w:ind w:right="511" w:rightChars="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lang w:val="en-US" w:eastAsia="zh-CN"/>
        </w:rPr>
        <w:t>5.5</w:t>
      </w:r>
      <w:r>
        <w:rPr>
          <w:rFonts w:hint="eastAsia" w:ascii="仿宋" w:hAnsi="仿宋" w:eastAsia="仿宋" w:cs="仿宋"/>
          <w:color w:val="auto"/>
          <w:spacing w:val="-7"/>
          <w:sz w:val="24"/>
          <w:szCs w:val="24"/>
          <w:highlight w:val="none"/>
        </w:rPr>
        <w:t>在投标文件初审过程中，如果出现评标委员会成员意见不一致的情况，按照少数服</w:t>
      </w:r>
      <w:r>
        <w:rPr>
          <w:rFonts w:hint="eastAsia" w:ascii="仿宋" w:hAnsi="仿宋" w:eastAsia="仿宋" w:cs="仿宋"/>
          <w:color w:val="auto"/>
          <w:sz w:val="24"/>
          <w:szCs w:val="24"/>
          <w:highlight w:val="none"/>
        </w:rPr>
        <w:t>从多数的原则确定。</w:t>
      </w:r>
    </w:p>
    <w:p w14:paraId="62A0D019">
      <w:pPr>
        <w:pStyle w:val="88"/>
        <w:numPr>
          <w:ilvl w:val="0"/>
          <w:numId w:val="0"/>
        </w:numPr>
        <w:tabs>
          <w:tab w:val="left" w:pos="1653"/>
        </w:tabs>
        <w:spacing w:before="38" w:line="240" w:lineRule="auto"/>
        <w:ind w:left="1172" w:leftChars="0" w:right="511" w:rightChars="0"/>
        <w:rPr>
          <w:rFonts w:hint="eastAsia" w:ascii="仿宋" w:hAnsi="仿宋" w:eastAsia="仿宋" w:cs="仿宋"/>
          <w:b/>
          <w:color w:val="auto"/>
          <w:sz w:val="24"/>
          <w:szCs w:val="24"/>
          <w:highlight w:val="none"/>
          <w:vertAlign w:val="baseline"/>
        </w:rPr>
      </w:pPr>
    </w:p>
    <w:tbl>
      <w:tblPr>
        <w:tblStyle w:val="41"/>
        <w:tblpPr w:leftFromText="180" w:rightFromText="180" w:vertAnchor="text" w:tblpX="12139" w:tblpY="-104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tblGrid>
      <w:tr w14:paraId="34D5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83" w:type="dxa"/>
            <w:noWrap w:val="0"/>
            <w:vAlign w:val="top"/>
          </w:tcPr>
          <w:p w14:paraId="24510DC9">
            <w:pPr>
              <w:pStyle w:val="9"/>
              <w:keepNext w:val="0"/>
              <w:keepLines w:val="0"/>
              <w:suppressLineNumbers w:val="0"/>
              <w:spacing w:before="0" w:beforeAutospacing="0" w:after="0" w:afterAutospacing="0"/>
              <w:ind w:left="0" w:right="0"/>
              <w:rPr>
                <w:rFonts w:hint="eastAsia" w:ascii="仿宋" w:hAnsi="仿宋" w:eastAsia="仿宋" w:cs="仿宋"/>
                <w:color w:val="auto"/>
                <w:highlight w:val="none"/>
                <w:vertAlign w:val="baseline"/>
                <w:lang w:val="en-US" w:eastAsia="zh-CN"/>
              </w:rPr>
            </w:pPr>
          </w:p>
        </w:tc>
      </w:tr>
    </w:tbl>
    <w:p w14:paraId="34BBF4A6">
      <w:pPr>
        <w:pStyle w:val="94"/>
        <w:numPr>
          <w:ilvl w:val="0"/>
          <w:numId w:val="0"/>
        </w:numPr>
        <w:tabs>
          <w:tab w:val="left" w:pos="1297"/>
        </w:tabs>
        <w:spacing w:before="38" w:line="240" w:lineRule="auto"/>
        <w:outlineLvl w:val="1"/>
        <w:rPr>
          <w:rFonts w:hint="eastAsia" w:ascii="仿宋" w:hAnsi="仿宋" w:eastAsia="仿宋" w:cs="仿宋"/>
          <w:color w:val="auto"/>
          <w:sz w:val="24"/>
          <w:szCs w:val="24"/>
          <w:highlight w:val="none"/>
        </w:rPr>
      </w:pPr>
      <w:bookmarkStart w:id="512" w:name="_Toc6387"/>
      <w:r>
        <w:rPr>
          <w:rFonts w:hint="eastAsia" w:ascii="仿宋" w:hAnsi="仿宋" w:eastAsia="仿宋" w:cs="仿宋"/>
          <w:color w:val="auto"/>
          <w:sz w:val="24"/>
          <w:szCs w:val="24"/>
          <w:highlight w:val="none"/>
          <w:lang w:val="en-US" w:eastAsia="zh-CN"/>
        </w:rPr>
        <w:t>6.投标无效的情形：</w:t>
      </w:r>
      <w:bookmarkEnd w:id="512"/>
    </w:p>
    <w:p w14:paraId="1E0EF7A2">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（1）单位负责人为同一人或者存在直接控股、管理关系的不同供应商，其相关投标将被认定为投标无效。</w:t>
      </w:r>
    </w:p>
    <w:p w14:paraId="39E4A658">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（2）供应商报价超过招标文件规定的预算金额或者分项、分包最高限价的，其投标将被认定为投标无效。</w:t>
      </w:r>
    </w:p>
    <w:p w14:paraId="69612270">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3）供应商应认真阅读招标文件所有的事项、格式、条款和技术规范等。如供应商没有按照招标文件要求提交全部资料，或者投标文件没有对投标文件在各方面都做出实质性响应，可能导致其投标将被认定为投标无效。</w:t>
      </w:r>
    </w:p>
    <w:p w14:paraId="0781AF9E">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 xml:space="preserve"> （4）供应商应当对所投分包投标文件中“服务内容”所列的所有内容进行投标，如仅响应某一包中的部分内容，其该包投标将被认定为投标无效。</w:t>
      </w:r>
    </w:p>
    <w:p w14:paraId="2178343D">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（5）供应商未按本须知第12.1和12.3条规定提交投标保证金的，其投标资格将被认定为无效。</w:t>
      </w:r>
    </w:p>
    <w:p w14:paraId="3AFB444B">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6）所有投标均以人民币报价。供应商的投标报价应遵守《中华人民共和国价格法》。同时，根据《中华人民共和国政府采购法》第二条的规定，为保证公平竞争，如有服务主体部分的赠与行为，其投标将被认定为投标无效。</w:t>
      </w:r>
    </w:p>
    <w:p w14:paraId="266CADDB">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（7）供应商所报的各分项投标单价在合同履行过程中是固定不变的，不得以任何理由予以变更。任何包含价格调整要求的投标，其投标将被认定为投标无效。</w:t>
      </w:r>
    </w:p>
    <w:p w14:paraId="21CC1CB1">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（8）投标应在供应商须知资料表中规定时间内保持有效。投标有效期不满足要求的投标，其投标将被认定为投标无效。</w:t>
      </w:r>
    </w:p>
    <w:p w14:paraId="3CF08682">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（9）所有投标文件采用不可拆装的胶订方式装订，否则其投标将被认定为投标无效。</w:t>
      </w:r>
    </w:p>
    <w:p w14:paraId="59F5E8F6">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（10）采购人或采购代理机构将在开标前1个工作日至投标截止后1小时的期间内查询供应商的信用记录。供应商存在不良信用记录的，其投标将被认定为投标无效。</w:t>
      </w:r>
    </w:p>
    <w:p w14:paraId="6266F8E3">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11）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14:paraId="353AB52D">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12）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14:paraId="561554EC">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13）如发现下列情况之一的，其投标将被认定为投标无效：未按照招标文件规定的形式和金额提交投标保证金的；未按照招标文件规定要求签署、盖章的；未满足招标文件中技术条款的实质性要求；与其他供应商串通投标，或者与采购人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14:paraId="4D0BE881">
      <w:pPr>
        <w:pStyle w:val="88"/>
        <w:numPr>
          <w:ilvl w:val="0"/>
          <w:numId w:val="0"/>
        </w:numPr>
        <w:tabs>
          <w:tab w:val="left" w:pos="1476"/>
        </w:tabs>
        <w:spacing w:line="360" w:lineRule="auto"/>
        <w:ind w:right="-84" w:rightChars="0"/>
        <w:jc w:val="both"/>
        <w:rPr>
          <w:rFonts w:hint="eastAsia" w:ascii="仿宋" w:hAnsi="仿宋" w:eastAsia="仿宋" w:cs="仿宋"/>
          <w:color w:val="auto"/>
          <w:kern w:val="2"/>
          <w:sz w:val="24"/>
          <w:szCs w:val="24"/>
          <w:highlight w:val="none"/>
          <w:lang w:val="en-US" w:eastAsia="zh-CN" w:bidi="ar-SA"/>
        </w:rPr>
      </w:pPr>
    </w:p>
    <w:p w14:paraId="58CD243D">
      <w:pPr>
        <w:pStyle w:val="88"/>
        <w:numPr>
          <w:ilvl w:val="0"/>
          <w:numId w:val="0"/>
        </w:numPr>
        <w:tabs>
          <w:tab w:val="left" w:pos="1476"/>
        </w:tabs>
        <w:spacing w:line="360" w:lineRule="auto"/>
        <w:ind w:right="-84" w:right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注：1.</w:t>
      </w:r>
      <w:r>
        <w:rPr>
          <w:rFonts w:hint="eastAsia" w:ascii="仿宋" w:hAnsi="仿宋" w:eastAsia="仿宋" w:cs="仿宋"/>
          <w:b/>
          <w:bCs/>
          <w:color w:val="auto"/>
          <w:kern w:val="2"/>
          <w:sz w:val="24"/>
          <w:szCs w:val="24"/>
          <w:highlight w:val="none"/>
          <w:lang w:val="en-US" w:eastAsia="zh-CN" w:bidi="ar-SA"/>
        </w:rPr>
        <w:t>（本项目适用）</w:t>
      </w:r>
      <w:r>
        <w:rPr>
          <w:rFonts w:hint="eastAsia" w:ascii="仿宋" w:hAnsi="仿宋" w:eastAsia="仿宋" w:cs="仿宋"/>
          <w:color w:val="auto"/>
          <w:kern w:val="2"/>
          <w:sz w:val="24"/>
          <w:szCs w:val="24"/>
          <w:highlight w:val="none"/>
          <w:lang w:val="en-US" w:eastAsia="zh-CN" w:bidi="ar-SA"/>
        </w:rPr>
        <w:t>《政府采购促进中小企业发展管理办法》（财库〔2020〕46号）、《关于进一步加大政府采购支持中小企业力度的通知》（财库〔2022〕19号）、《财政部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对于未预留份额专门面向中小企业的采购项目，以及预留份额项目中的非预留部分采购包，采购人、采购代理机构应当对符合规定的小微企业报价给予</w:t>
      </w:r>
      <w:r>
        <w:rPr>
          <w:rFonts w:hint="eastAsia" w:ascii="仿宋" w:hAnsi="仿宋" w:eastAsia="仿宋" w:cs="仿宋"/>
          <w:color w:val="auto"/>
          <w:kern w:val="2"/>
          <w:sz w:val="24"/>
          <w:szCs w:val="24"/>
          <w:highlight w:val="none"/>
          <w:u w:val="single"/>
          <w:lang w:val="en-US" w:eastAsia="zh-CN" w:bidi="ar-SA"/>
        </w:rPr>
        <w:t>10%</w:t>
      </w:r>
      <w:r>
        <w:rPr>
          <w:rFonts w:hint="eastAsia" w:ascii="仿宋" w:hAnsi="仿宋" w:eastAsia="仿宋" w:cs="仿宋"/>
          <w:color w:val="auto"/>
          <w:kern w:val="2"/>
          <w:sz w:val="24"/>
          <w:szCs w:val="24"/>
          <w:highlight w:val="none"/>
          <w:lang w:val="en-US" w:eastAsia="zh-CN" w:bidi="ar-SA"/>
        </w:rPr>
        <w:t>的扣除，用扣除后的价格参加评审。对于同时属于小微企业、监狱企业或残疾人福利性单位的，不重复进行投标报价扣除。</w:t>
      </w:r>
    </w:p>
    <w:p w14:paraId="4296CC2E">
      <w:pPr>
        <w:widowControl/>
        <w:numPr>
          <w:ilvl w:val="0"/>
          <w:numId w:val="0"/>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b/>
          <w:bCs/>
          <w:color w:val="auto"/>
          <w:sz w:val="24"/>
          <w:highlight w:val="none"/>
          <w:lang w:eastAsia="zh-CN"/>
        </w:rPr>
        <w:t>（本项目</w:t>
      </w:r>
      <w:r>
        <w:rPr>
          <w:rFonts w:hint="eastAsia" w:ascii="仿宋" w:hAnsi="仿宋" w:eastAsia="仿宋" w:cs="仿宋"/>
          <w:b/>
          <w:bCs/>
          <w:color w:val="auto"/>
          <w:sz w:val="24"/>
          <w:highlight w:val="none"/>
          <w:lang w:val="en-US" w:eastAsia="zh-CN"/>
        </w:rPr>
        <w:t>不</w:t>
      </w:r>
      <w:r>
        <w:rPr>
          <w:rFonts w:hint="eastAsia" w:ascii="仿宋" w:hAnsi="仿宋" w:eastAsia="仿宋" w:cs="仿宋"/>
          <w:b/>
          <w:bCs/>
          <w:color w:val="auto"/>
          <w:sz w:val="24"/>
          <w:highlight w:val="none"/>
          <w:lang w:eastAsia="zh-CN"/>
        </w:rPr>
        <w:t>接受联合体投标）</w:t>
      </w:r>
      <w:r>
        <w:rPr>
          <w:rFonts w:hint="eastAsia" w:ascii="仿宋" w:hAnsi="仿宋" w:eastAsia="仿宋" w:cs="仿宋"/>
          <w:color w:val="auto"/>
          <w:sz w:val="24"/>
          <w:highlight w:val="none"/>
        </w:rPr>
        <w:t>联合协议中约定，小型、微型企业和监狱企业的协议合同金额占到联合体协议合同总金额30%以上的，可给予联合体</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%的价格扣除。联合体各方均为小型、微型企业和监狱企业的，联合体视同为小型、微型企业和监狱企业。</w:t>
      </w:r>
    </w:p>
    <w:p w14:paraId="79D5B8AC">
      <w:pPr>
        <w:pStyle w:val="12"/>
        <w:tabs>
          <w:tab w:val="clear" w:pos="567"/>
        </w:tabs>
        <w:spacing w:before="0"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详见评标办法</w:t>
      </w:r>
      <w:r>
        <w:rPr>
          <w:rFonts w:hint="eastAsia" w:ascii="仿宋" w:hAnsi="仿宋" w:eastAsia="仿宋" w:cs="仿宋"/>
          <w:color w:val="auto"/>
          <w:highlight w:val="none"/>
          <w:u w:val="single"/>
        </w:rPr>
        <w:t xml:space="preserve">     </w:t>
      </w:r>
    </w:p>
    <w:p w14:paraId="2BCCFD18">
      <w:pPr>
        <w:pStyle w:val="12"/>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如采购人所采购产品为政府强制采购的节能产品，投标人所投产品的品牌及型号必须为清单中有效期内产品并提供证明文件，否则其投标将被认定为</w:t>
      </w:r>
      <w:r>
        <w:rPr>
          <w:rFonts w:hint="eastAsia" w:ascii="仿宋" w:hAnsi="仿宋" w:eastAsia="仿宋" w:cs="仿宋"/>
          <w:b/>
          <w:bCs/>
          <w:color w:val="auto"/>
          <w:highlight w:val="none"/>
        </w:rPr>
        <w:t>投标无效</w:t>
      </w:r>
      <w:r>
        <w:rPr>
          <w:rFonts w:hint="eastAsia" w:ascii="仿宋" w:hAnsi="仿宋" w:eastAsia="仿宋" w:cs="仿宋"/>
          <w:color w:val="auto"/>
          <w:highlight w:val="none"/>
        </w:rPr>
        <w:t>。</w:t>
      </w:r>
    </w:p>
    <w:p w14:paraId="7939CD43">
      <w:pPr>
        <w:pStyle w:val="12"/>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.对创新产品或</w:t>
      </w:r>
      <w:r>
        <w:rPr>
          <w:rFonts w:hint="eastAsia" w:ascii="仿宋" w:hAnsi="仿宋" w:eastAsia="仿宋" w:cs="仿宋"/>
          <w:color w:val="auto"/>
          <w:highlight w:val="none"/>
          <w:lang w:eastAsia="zh-CN"/>
        </w:rPr>
        <w:t>创新型</w:t>
      </w:r>
      <w:r>
        <w:rPr>
          <w:rFonts w:hint="eastAsia" w:ascii="仿宋" w:hAnsi="仿宋" w:eastAsia="仿宋" w:cs="仿宋"/>
          <w:color w:val="auto"/>
          <w:highlight w:val="none"/>
        </w:rPr>
        <w:t>企业的优惠措施为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无</w:t>
      </w:r>
      <w:r>
        <w:rPr>
          <w:rFonts w:hint="eastAsia" w:ascii="仿宋" w:hAnsi="仿宋" w:eastAsia="仿宋" w:cs="仿宋"/>
          <w:color w:val="auto"/>
          <w:highlight w:val="none"/>
          <w:u w:val="single"/>
        </w:rPr>
        <w:t xml:space="preserve">      </w:t>
      </w:r>
    </w:p>
    <w:p w14:paraId="5A67EB01">
      <w:pPr>
        <w:pStyle w:val="12"/>
        <w:tabs>
          <w:tab w:val="clear" w:pos="567"/>
        </w:tabs>
        <w:spacing w:before="0"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r>
        <w:rPr>
          <w:rFonts w:hint="eastAsia" w:ascii="仿宋" w:hAnsi="仿宋" w:eastAsia="仿宋" w:cs="仿宋"/>
          <w:b/>
          <w:bCs/>
          <w:color w:val="auto"/>
          <w:highlight w:val="none"/>
          <w:lang w:val="en-US" w:eastAsia="zh-CN"/>
        </w:rPr>
        <w:t>本项目不适用</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eastAsia="zh-CN"/>
        </w:rPr>
        <w:t>相同品牌产品</w:t>
      </w:r>
      <w:r>
        <w:rPr>
          <w:rFonts w:hint="eastAsia" w:ascii="仿宋" w:hAnsi="仿宋" w:eastAsia="仿宋" w:cs="仿宋"/>
          <w:color w:val="auto"/>
          <w:highlight w:val="none"/>
        </w:rPr>
        <w:t>处理办法</w:t>
      </w:r>
      <w:r>
        <w:rPr>
          <w:rFonts w:hint="eastAsia" w:ascii="仿宋" w:hAnsi="仿宋" w:eastAsia="仿宋" w:cs="仿宋"/>
          <w:color w:val="auto"/>
          <w:highlight w:val="none"/>
          <w:lang w:eastAsia="zh-CN"/>
        </w:rPr>
        <w:t>：非单一产品采购项目，采购人应当根据采购项目的技术构成、产品价格比重等合理确定核心产品，并在招标文件中载明。多家投标人提供的核心产品品牌相同的，按以下规定处理</w:t>
      </w:r>
      <w:r>
        <w:rPr>
          <w:rFonts w:hint="eastAsia" w:ascii="仿宋" w:hAnsi="仿宋" w:eastAsia="仿宋" w:cs="仿宋"/>
          <w:color w:val="auto"/>
          <w:highlight w:val="none"/>
          <w:lang w:val="en-US" w:eastAsia="zh-CN"/>
        </w:rPr>
        <w:t>。</w:t>
      </w:r>
    </w:p>
    <w:p w14:paraId="2FC44894">
      <w:pPr>
        <w:pStyle w:val="12"/>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如采用最低评标</w:t>
      </w:r>
      <w:r>
        <w:rPr>
          <w:rFonts w:hint="eastAsia" w:ascii="仿宋" w:hAnsi="仿宋" w:eastAsia="仿宋" w:cs="仿宋"/>
          <w:color w:val="auto"/>
          <w:highlight w:val="none"/>
          <w:lang w:eastAsia="zh-CN"/>
        </w:rPr>
        <w:t>价</w:t>
      </w:r>
      <w:r>
        <w:rPr>
          <w:rFonts w:hint="eastAsia" w:ascii="仿宋" w:hAnsi="仿宋" w:eastAsia="仿宋" w:cs="仿宋"/>
          <w:color w:val="auto"/>
          <w:highlight w:val="none"/>
        </w:rPr>
        <w:t>法，则：</w:t>
      </w:r>
      <w:r>
        <w:rPr>
          <w:rFonts w:hint="eastAsia" w:ascii="仿宋" w:hAnsi="仿宋" w:eastAsia="仿宋" w:cs="仿宋"/>
          <w:color w:val="auto"/>
          <w:highlight w:val="none"/>
          <w:u w:val="single"/>
          <w:lang w:eastAsia="zh-CN"/>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r>
        <w:rPr>
          <w:rFonts w:hint="eastAsia" w:ascii="仿宋" w:hAnsi="仿宋" w:eastAsia="仿宋" w:cs="仿宋"/>
          <w:b/>
          <w:bCs/>
          <w:color w:val="auto"/>
          <w:highlight w:val="none"/>
          <w:u w:val="single"/>
          <w:lang w:eastAsia="zh-CN"/>
        </w:rPr>
        <w:t>规定：报价相同的，采用随机抽取方式确定</w:t>
      </w:r>
      <w:r>
        <w:rPr>
          <w:rFonts w:hint="eastAsia" w:ascii="仿宋" w:hAnsi="仿宋" w:eastAsia="仿宋" w:cs="仿宋"/>
          <w:color w:val="auto"/>
          <w:highlight w:val="none"/>
          <w:u w:val="single"/>
          <w:lang w:eastAsia="zh-CN"/>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3DB7C40C">
      <w:pPr>
        <w:pStyle w:val="12"/>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如采用综合评标法，则：</w:t>
      </w:r>
      <w:r>
        <w:rPr>
          <w:rFonts w:hint="eastAsia" w:ascii="仿宋" w:hAnsi="仿宋" w:eastAsia="仿宋" w:cs="仿宋"/>
          <w:color w:val="auto"/>
          <w:highlight w:val="none"/>
          <w:u w:val="single"/>
          <w:lang w:eastAsia="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r>
        <w:rPr>
          <w:rFonts w:hint="eastAsia" w:ascii="仿宋" w:hAnsi="仿宋" w:eastAsia="仿宋" w:cs="仿宋"/>
          <w:b/>
          <w:bCs/>
          <w:color w:val="auto"/>
          <w:highlight w:val="none"/>
          <w:u w:val="single"/>
          <w:lang w:eastAsia="zh-CN"/>
        </w:rPr>
        <w:t>规定：评审得分相同的，报价低的获得中标人推荐资格，报价分也相同的，采用随机抽取方式确定推荐资格</w:t>
      </w:r>
      <w:r>
        <w:rPr>
          <w:rFonts w:hint="eastAsia" w:ascii="仿宋" w:hAnsi="仿宋" w:eastAsia="仿宋" w:cs="仿宋"/>
          <w:color w:val="auto"/>
          <w:highlight w:val="none"/>
          <w:u w:val="single"/>
          <w:lang w:eastAsia="zh-CN"/>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0998E84A">
      <w:pPr>
        <w:pStyle w:val="12"/>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 xml:space="preserve">.中标候选人并列时的处理方式：   </w:t>
      </w:r>
    </w:p>
    <w:p w14:paraId="4B768B1B">
      <w:pPr>
        <w:pStyle w:val="12"/>
        <w:tabs>
          <w:tab w:val="clear" w:pos="567"/>
        </w:tabs>
        <w:spacing w:before="0" w:line="360" w:lineRule="auto"/>
        <w:ind w:left="-181" w:leftChars="-86" w:firstLine="180" w:firstLineChars="75"/>
        <w:rPr>
          <w:rFonts w:hint="eastAsia" w:ascii="仿宋" w:hAnsi="仿宋" w:eastAsia="仿宋" w:cs="仿宋"/>
          <w:color w:val="auto"/>
          <w:highlight w:val="none"/>
        </w:rPr>
      </w:pPr>
      <w:r>
        <w:rPr>
          <w:rFonts w:hint="eastAsia" w:ascii="仿宋" w:hAnsi="仿宋" w:eastAsia="仿宋" w:cs="仿宋"/>
          <w:color w:val="auto"/>
          <w:highlight w:val="none"/>
        </w:rPr>
        <w:t>如采用最低评标办法，则：</w:t>
      </w:r>
      <w:r>
        <w:rPr>
          <w:rFonts w:hint="eastAsia" w:ascii="仿宋" w:hAnsi="仿宋" w:eastAsia="仿宋" w:cs="仿宋"/>
          <w:color w:val="auto"/>
          <w:highlight w:val="none"/>
          <w:u w:val="single"/>
          <w:lang w:eastAsia="zh-CN"/>
        </w:rPr>
        <w:t>采用随机抽取的方式确定</w:t>
      </w:r>
      <w:r>
        <w:rPr>
          <w:rFonts w:hint="eastAsia" w:ascii="仿宋" w:hAnsi="仿宋" w:eastAsia="仿宋" w:cs="仿宋"/>
          <w:color w:val="auto"/>
          <w:highlight w:val="none"/>
        </w:rPr>
        <w:t>；</w:t>
      </w:r>
    </w:p>
    <w:p w14:paraId="30770F00">
      <w:pPr>
        <w:pStyle w:val="12"/>
        <w:tabs>
          <w:tab w:val="clear" w:pos="567"/>
        </w:tabs>
        <w:spacing w:before="0" w:line="360" w:lineRule="auto"/>
        <w:ind w:left="119" w:leftChars="28" w:hanging="60" w:hangingChars="25"/>
        <w:rPr>
          <w:rFonts w:hint="eastAsia" w:ascii="仿宋" w:hAnsi="仿宋" w:eastAsia="仿宋" w:cs="仿宋"/>
          <w:color w:val="auto"/>
          <w:highlight w:val="none"/>
        </w:rPr>
      </w:pPr>
      <w:r>
        <w:rPr>
          <w:rFonts w:hint="eastAsia" w:ascii="仿宋" w:hAnsi="仿宋" w:eastAsia="仿宋" w:cs="仿宋"/>
          <w:color w:val="auto"/>
          <w:highlight w:val="none"/>
        </w:rPr>
        <w:t>如采用综合评标法，则：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报价最低者优先，如报价相同，则采用随机抽取的方式确定</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2123D3F5">
      <w:pPr>
        <w:pStyle w:val="12"/>
        <w:tabs>
          <w:tab w:val="clear" w:pos="567"/>
        </w:tabs>
        <w:spacing w:before="0" w:line="360" w:lineRule="auto"/>
        <w:ind w:left="-181" w:leftChars="-86" w:firstLine="660" w:firstLineChars="275"/>
        <w:rPr>
          <w:rFonts w:hint="eastAsia" w:ascii="仿宋" w:hAnsi="仿宋" w:eastAsia="仿宋" w:cs="仿宋"/>
        </w:rPr>
      </w:pPr>
      <w:r>
        <w:rPr>
          <w:rFonts w:hint="eastAsia" w:ascii="仿宋" w:hAnsi="仿宋" w:eastAsia="仿宋" w:cs="仿宋"/>
          <w:color w:val="auto"/>
          <w:highlight w:val="none"/>
        </w:rPr>
        <w:br w:type="page"/>
      </w:r>
    </w:p>
    <w:tbl>
      <w:tblPr>
        <w:tblStyle w:val="40"/>
        <w:tblW w:w="95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3"/>
        <w:gridCol w:w="6587"/>
        <w:gridCol w:w="625"/>
        <w:gridCol w:w="643"/>
        <w:gridCol w:w="534"/>
        <w:gridCol w:w="670"/>
      </w:tblGrid>
      <w:tr w14:paraId="1B533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9572" w:type="dxa"/>
            <w:gridSpan w:val="6"/>
            <w:tcBorders>
              <w:top w:val="single" w:color="auto" w:sz="12" w:space="0"/>
              <w:left w:val="single" w:color="auto" w:sz="12" w:space="0"/>
              <w:bottom w:val="single" w:color="auto" w:sz="6" w:space="0"/>
              <w:right w:val="single" w:color="auto" w:sz="12" w:space="0"/>
            </w:tcBorders>
            <w:noWrap w:val="0"/>
            <w:vAlign w:val="center"/>
          </w:tcPr>
          <w:p w14:paraId="634E063B">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bCs/>
                <w:color w:val="auto"/>
                <w:kern w:val="0"/>
                <w:sz w:val="32"/>
                <w:szCs w:val="32"/>
                <w:highlight w:val="none"/>
                <w:lang w:val="en-US" w:eastAsia="zh-CN"/>
              </w:rPr>
              <w:t>初步符合性审查</w:t>
            </w:r>
          </w:p>
        </w:tc>
      </w:tr>
      <w:tr w14:paraId="0FF64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100" w:type="dxa"/>
            <w:gridSpan w:val="2"/>
            <w:vMerge w:val="restart"/>
            <w:tcBorders>
              <w:top w:val="single" w:color="auto" w:sz="12" w:space="0"/>
              <w:left w:val="single" w:color="auto" w:sz="12" w:space="0"/>
              <w:bottom w:val="single" w:color="auto" w:sz="6" w:space="0"/>
              <w:right w:val="single" w:color="auto" w:sz="4" w:space="0"/>
            </w:tcBorders>
            <w:noWrap w:val="0"/>
            <w:vAlign w:val="center"/>
          </w:tcPr>
          <w:p w14:paraId="60D3AAB4">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评审内容</w:t>
            </w:r>
          </w:p>
        </w:tc>
        <w:tc>
          <w:tcPr>
            <w:tcW w:w="2472" w:type="dxa"/>
            <w:gridSpan w:val="4"/>
            <w:tcBorders>
              <w:top w:val="single" w:color="auto" w:sz="12" w:space="0"/>
              <w:left w:val="single" w:color="auto" w:sz="4" w:space="0"/>
              <w:bottom w:val="single" w:color="auto" w:sz="4" w:space="0"/>
              <w:right w:val="single" w:color="auto" w:sz="12" w:space="0"/>
            </w:tcBorders>
            <w:noWrap w:val="0"/>
            <w:vAlign w:val="center"/>
          </w:tcPr>
          <w:p w14:paraId="15310231">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投标企业名称</w:t>
            </w:r>
          </w:p>
        </w:tc>
      </w:tr>
      <w:tr w14:paraId="39F06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7100" w:type="dxa"/>
            <w:gridSpan w:val="2"/>
            <w:vMerge w:val="continue"/>
            <w:tcBorders>
              <w:top w:val="single" w:color="auto" w:sz="12" w:space="0"/>
              <w:left w:val="single" w:color="auto" w:sz="12" w:space="0"/>
              <w:bottom w:val="single" w:color="auto" w:sz="6" w:space="0"/>
              <w:right w:val="single" w:color="auto" w:sz="4" w:space="0"/>
            </w:tcBorders>
            <w:noWrap w:val="0"/>
            <w:vAlign w:val="center"/>
          </w:tcPr>
          <w:p w14:paraId="4E428DF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color w:val="auto"/>
                <w:sz w:val="21"/>
                <w:szCs w:val="21"/>
                <w:highlight w:val="none"/>
              </w:rPr>
            </w:pPr>
          </w:p>
        </w:tc>
        <w:tc>
          <w:tcPr>
            <w:tcW w:w="625" w:type="dxa"/>
            <w:tcBorders>
              <w:top w:val="single" w:color="auto" w:sz="4" w:space="0"/>
              <w:left w:val="single" w:color="auto" w:sz="4" w:space="0"/>
              <w:bottom w:val="single" w:color="auto" w:sz="6" w:space="0"/>
              <w:right w:val="single" w:color="auto" w:sz="4" w:space="0"/>
            </w:tcBorders>
            <w:noWrap w:val="0"/>
            <w:vAlign w:val="top"/>
          </w:tcPr>
          <w:p w14:paraId="680C70DB">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w:t>
            </w:r>
          </w:p>
        </w:tc>
        <w:tc>
          <w:tcPr>
            <w:tcW w:w="643" w:type="dxa"/>
            <w:tcBorders>
              <w:top w:val="single" w:color="auto" w:sz="4" w:space="0"/>
              <w:left w:val="single" w:color="auto" w:sz="4" w:space="0"/>
              <w:bottom w:val="single" w:color="auto" w:sz="6" w:space="0"/>
              <w:right w:val="single" w:color="auto" w:sz="6" w:space="0"/>
            </w:tcBorders>
            <w:noWrap w:val="0"/>
            <w:vAlign w:val="top"/>
          </w:tcPr>
          <w:p w14:paraId="4DBC95A4">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w:t>
            </w:r>
          </w:p>
        </w:tc>
        <w:tc>
          <w:tcPr>
            <w:tcW w:w="534" w:type="dxa"/>
            <w:tcBorders>
              <w:top w:val="single" w:color="auto" w:sz="6" w:space="0"/>
              <w:left w:val="single" w:color="auto" w:sz="6" w:space="0"/>
              <w:bottom w:val="single" w:color="auto" w:sz="6" w:space="0"/>
              <w:right w:val="single" w:color="auto" w:sz="6" w:space="0"/>
            </w:tcBorders>
            <w:noWrap w:val="0"/>
            <w:vAlign w:val="center"/>
          </w:tcPr>
          <w:p w14:paraId="4E37240D">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3</w:t>
            </w:r>
          </w:p>
        </w:tc>
        <w:tc>
          <w:tcPr>
            <w:tcW w:w="670" w:type="dxa"/>
            <w:tcBorders>
              <w:top w:val="single" w:color="auto" w:sz="6" w:space="0"/>
              <w:left w:val="single" w:color="auto" w:sz="6" w:space="0"/>
              <w:bottom w:val="single" w:color="auto" w:sz="6" w:space="0"/>
              <w:right w:val="single" w:color="auto" w:sz="12" w:space="0"/>
            </w:tcBorders>
            <w:noWrap w:val="0"/>
            <w:vAlign w:val="center"/>
          </w:tcPr>
          <w:p w14:paraId="7E050992">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tc>
      </w:tr>
      <w:tr w14:paraId="335D0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513" w:type="dxa"/>
            <w:tcBorders>
              <w:top w:val="single" w:color="auto" w:sz="6" w:space="0"/>
              <w:left w:val="single" w:color="auto" w:sz="12" w:space="0"/>
              <w:bottom w:val="single" w:color="auto" w:sz="6" w:space="0"/>
              <w:right w:val="single" w:color="auto" w:sz="6" w:space="0"/>
            </w:tcBorders>
            <w:noWrap w:val="0"/>
            <w:vAlign w:val="center"/>
          </w:tcPr>
          <w:p w14:paraId="378F95C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1</w:t>
            </w:r>
          </w:p>
        </w:tc>
        <w:tc>
          <w:tcPr>
            <w:tcW w:w="6587" w:type="dxa"/>
            <w:tcBorders>
              <w:top w:val="single" w:color="auto" w:sz="6" w:space="0"/>
              <w:left w:val="single" w:color="auto" w:sz="6" w:space="0"/>
              <w:bottom w:val="single" w:color="auto" w:sz="6" w:space="0"/>
              <w:right w:val="single" w:color="auto" w:sz="4" w:space="0"/>
            </w:tcBorders>
            <w:noWrap w:val="0"/>
            <w:vAlign w:val="bottom"/>
          </w:tcPr>
          <w:p w14:paraId="5E91A623">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由政府立项核准、审批的采购项目，投标报价高于设定的采购预算价的；</w:t>
            </w:r>
          </w:p>
        </w:tc>
        <w:tc>
          <w:tcPr>
            <w:tcW w:w="625" w:type="dxa"/>
            <w:tcBorders>
              <w:top w:val="single" w:color="auto" w:sz="6" w:space="0"/>
              <w:left w:val="single" w:color="auto" w:sz="4" w:space="0"/>
              <w:bottom w:val="single" w:color="auto" w:sz="6" w:space="0"/>
              <w:right w:val="single" w:color="auto" w:sz="4" w:space="0"/>
            </w:tcBorders>
            <w:noWrap w:val="0"/>
            <w:vAlign w:val="center"/>
          </w:tcPr>
          <w:p w14:paraId="557BF688">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43" w:type="dxa"/>
            <w:tcBorders>
              <w:top w:val="single" w:color="auto" w:sz="6" w:space="0"/>
              <w:left w:val="single" w:color="auto" w:sz="4" w:space="0"/>
              <w:bottom w:val="single" w:color="auto" w:sz="6" w:space="0"/>
              <w:right w:val="single" w:color="auto" w:sz="6" w:space="0"/>
            </w:tcBorders>
            <w:noWrap w:val="0"/>
            <w:vAlign w:val="center"/>
          </w:tcPr>
          <w:p w14:paraId="6AB03CA4">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534" w:type="dxa"/>
            <w:tcBorders>
              <w:top w:val="single" w:color="auto" w:sz="6" w:space="0"/>
              <w:left w:val="single" w:color="auto" w:sz="6" w:space="0"/>
              <w:bottom w:val="single" w:color="auto" w:sz="6" w:space="0"/>
              <w:right w:val="single" w:color="auto" w:sz="4" w:space="0"/>
            </w:tcBorders>
            <w:noWrap w:val="0"/>
            <w:vAlign w:val="top"/>
          </w:tcPr>
          <w:p w14:paraId="3F805CAE">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70" w:type="dxa"/>
            <w:tcBorders>
              <w:top w:val="single" w:color="auto" w:sz="6" w:space="0"/>
              <w:left w:val="single" w:color="auto" w:sz="4" w:space="0"/>
              <w:bottom w:val="single" w:color="auto" w:sz="6" w:space="0"/>
              <w:right w:val="single" w:color="auto" w:sz="12" w:space="0"/>
            </w:tcBorders>
            <w:noWrap w:val="0"/>
            <w:vAlign w:val="top"/>
          </w:tcPr>
          <w:p w14:paraId="0250BA5B">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r>
      <w:tr w14:paraId="59360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513" w:type="dxa"/>
            <w:tcBorders>
              <w:top w:val="single" w:color="auto" w:sz="6" w:space="0"/>
              <w:left w:val="single" w:color="auto" w:sz="12" w:space="0"/>
              <w:bottom w:val="single" w:color="auto" w:sz="6" w:space="0"/>
              <w:right w:val="single" w:color="auto" w:sz="6" w:space="0"/>
            </w:tcBorders>
            <w:noWrap w:val="0"/>
            <w:vAlign w:val="center"/>
          </w:tcPr>
          <w:p w14:paraId="3DE128D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2</w:t>
            </w:r>
          </w:p>
        </w:tc>
        <w:tc>
          <w:tcPr>
            <w:tcW w:w="6587" w:type="dxa"/>
            <w:tcBorders>
              <w:top w:val="single" w:color="auto" w:sz="6" w:space="0"/>
              <w:left w:val="single" w:color="auto" w:sz="6" w:space="0"/>
              <w:bottom w:val="single" w:color="auto" w:sz="6" w:space="0"/>
              <w:right w:val="single" w:color="auto" w:sz="4" w:space="0"/>
            </w:tcBorders>
            <w:noWrap w:val="0"/>
            <w:vAlign w:val="bottom"/>
          </w:tcPr>
          <w:p w14:paraId="3D690C18">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供应商名称或组织机构与</w:t>
            </w:r>
            <w:r>
              <w:rPr>
                <w:rFonts w:hint="eastAsia" w:ascii="仿宋" w:hAnsi="仿宋" w:eastAsia="仿宋" w:cs="仿宋"/>
                <w:color w:val="auto"/>
                <w:kern w:val="0"/>
                <w:sz w:val="21"/>
                <w:szCs w:val="21"/>
                <w:highlight w:val="none"/>
                <w:lang w:eastAsia="zh-CN"/>
              </w:rPr>
              <w:t>获取</w:t>
            </w:r>
            <w:r>
              <w:rPr>
                <w:rFonts w:hint="eastAsia" w:ascii="仿宋" w:hAnsi="仿宋" w:eastAsia="仿宋" w:cs="仿宋"/>
                <w:color w:val="auto"/>
                <w:kern w:val="0"/>
                <w:sz w:val="21"/>
                <w:szCs w:val="21"/>
                <w:highlight w:val="none"/>
              </w:rPr>
              <w:t>招标文件时不一致，未提供有效证明文件；</w:t>
            </w:r>
          </w:p>
        </w:tc>
        <w:tc>
          <w:tcPr>
            <w:tcW w:w="625" w:type="dxa"/>
            <w:tcBorders>
              <w:top w:val="single" w:color="auto" w:sz="6" w:space="0"/>
              <w:left w:val="single" w:color="auto" w:sz="4" w:space="0"/>
              <w:bottom w:val="single" w:color="auto" w:sz="6" w:space="0"/>
              <w:right w:val="single" w:color="auto" w:sz="4" w:space="0"/>
            </w:tcBorders>
            <w:noWrap w:val="0"/>
            <w:vAlign w:val="center"/>
          </w:tcPr>
          <w:p w14:paraId="2C9EF0A5">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43" w:type="dxa"/>
            <w:tcBorders>
              <w:top w:val="single" w:color="auto" w:sz="6" w:space="0"/>
              <w:left w:val="single" w:color="auto" w:sz="4" w:space="0"/>
              <w:bottom w:val="single" w:color="auto" w:sz="6" w:space="0"/>
              <w:right w:val="single" w:color="auto" w:sz="6" w:space="0"/>
            </w:tcBorders>
            <w:noWrap w:val="0"/>
            <w:vAlign w:val="center"/>
          </w:tcPr>
          <w:p w14:paraId="6901D60F">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534" w:type="dxa"/>
            <w:tcBorders>
              <w:top w:val="single" w:color="auto" w:sz="6" w:space="0"/>
              <w:left w:val="single" w:color="auto" w:sz="6" w:space="0"/>
              <w:bottom w:val="single" w:color="auto" w:sz="6" w:space="0"/>
              <w:right w:val="single" w:color="auto" w:sz="4" w:space="0"/>
            </w:tcBorders>
            <w:noWrap w:val="0"/>
            <w:vAlign w:val="top"/>
          </w:tcPr>
          <w:p w14:paraId="1B05082D">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70" w:type="dxa"/>
            <w:tcBorders>
              <w:top w:val="single" w:color="auto" w:sz="6" w:space="0"/>
              <w:left w:val="single" w:color="auto" w:sz="4" w:space="0"/>
              <w:bottom w:val="single" w:color="auto" w:sz="6" w:space="0"/>
              <w:right w:val="single" w:color="auto" w:sz="12" w:space="0"/>
            </w:tcBorders>
            <w:noWrap w:val="0"/>
            <w:vAlign w:val="top"/>
          </w:tcPr>
          <w:p w14:paraId="63879691">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r>
      <w:tr w14:paraId="3BFDE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513" w:type="dxa"/>
            <w:tcBorders>
              <w:top w:val="single" w:color="auto" w:sz="6" w:space="0"/>
              <w:left w:val="single" w:color="auto" w:sz="12" w:space="0"/>
              <w:bottom w:val="single" w:color="auto" w:sz="6" w:space="0"/>
              <w:right w:val="single" w:color="auto" w:sz="6" w:space="0"/>
            </w:tcBorders>
            <w:noWrap w:val="0"/>
            <w:vAlign w:val="center"/>
          </w:tcPr>
          <w:p w14:paraId="46A8FD1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3</w:t>
            </w:r>
          </w:p>
        </w:tc>
        <w:tc>
          <w:tcPr>
            <w:tcW w:w="6587" w:type="dxa"/>
            <w:tcBorders>
              <w:top w:val="single" w:color="auto" w:sz="6" w:space="0"/>
              <w:left w:val="single" w:color="auto" w:sz="6" w:space="0"/>
              <w:bottom w:val="single" w:color="auto" w:sz="6" w:space="0"/>
              <w:right w:val="single" w:color="auto" w:sz="4" w:space="0"/>
            </w:tcBorders>
            <w:noWrap w:val="0"/>
            <w:vAlign w:val="bottom"/>
          </w:tcPr>
          <w:p w14:paraId="50F95CCB">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对招标文件主要条款和承诺存在重大出入或保留；</w:t>
            </w:r>
          </w:p>
        </w:tc>
        <w:tc>
          <w:tcPr>
            <w:tcW w:w="625" w:type="dxa"/>
            <w:tcBorders>
              <w:top w:val="single" w:color="auto" w:sz="6" w:space="0"/>
              <w:left w:val="single" w:color="auto" w:sz="4" w:space="0"/>
              <w:bottom w:val="single" w:color="auto" w:sz="6" w:space="0"/>
              <w:right w:val="single" w:color="auto" w:sz="4" w:space="0"/>
            </w:tcBorders>
            <w:noWrap w:val="0"/>
            <w:vAlign w:val="center"/>
          </w:tcPr>
          <w:p w14:paraId="6BC42878">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43" w:type="dxa"/>
            <w:tcBorders>
              <w:top w:val="single" w:color="auto" w:sz="6" w:space="0"/>
              <w:left w:val="single" w:color="auto" w:sz="4" w:space="0"/>
              <w:bottom w:val="single" w:color="auto" w:sz="6" w:space="0"/>
              <w:right w:val="single" w:color="auto" w:sz="6" w:space="0"/>
            </w:tcBorders>
            <w:noWrap w:val="0"/>
            <w:vAlign w:val="center"/>
          </w:tcPr>
          <w:p w14:paraId="237B2A0C">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534" w:type="dxa"/>
            <w:tcBorders>
              <w:top w:val="single" w:color="auto" w:sz="6" w:space="0"/>
              <w:left w:val="single" w:color="auto" w:sz="6" w:space="0"/>
              <w:bottom w:val="single" w:color="auto" w:sz="6" w:space="0"/>
              <w:right w:val="single" w:color="auto" w:sz="4" w:space="0"/>
            </w:tcBorders>
            <w:noWrap w:val="0"/>
            <w:vAlign w:val="top"/>
          </w:tcPr>
          <w:p w14:paraId="4498C761">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70" w:type="dxa"/>
            <w:tcBorders>
              <w:top w:val="single" w:color="auto" w:sz="6" w:space="0"/>
              <w:left w:val="single" w:color="auto" w:sz="4" w:space="0"/>
              <w:bottom w:val="single" w:color="auto" w:sz="6" w:space="0"/>
              <w:right w:val="single" w:color="auto" w:sz="12" w:space="0"/>
            </w:tcBorders>
            <w:noWrap w:val="0"/>
            <w:vAlign w:val="top"/>
          </w:tcPr>
          <w:p w14:paraId="26FAD003">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r>
      <w:tr w14:paraId="27581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513" w:type="dxa"/>
            <w:tcBorders>
              <w:top w:val="single" w:color="auto" w:sz="6" w:space="0"/>
              <w:left w:val="single" w:color="auto" w:sz="12" w:space="0"/>
              <w:bottom w:val="single" w:color="auto" w:sz="6" w:space="0"/>
              <w:right w:val="single" w:color="auto" w:sz="6" w:space="0"/>
            </w:tcBorders>
            <w:noWrap w:val="0"/>
            <w:vAlign w:val="center"/>
          </w:tcPr>
          <w:p w14:paraId="3F21EE3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4</w:t>
            </w:r>
          </w:p>
        </w:tc>
        <w:tc>
          <w:tcPr>
            <w:tcW w:w="6587" w:type="dxa"/>
            <w:tcBorders>
              <w:top w:val="single" w:color="auto" w:sz="6" w:space="0"/>
              <w:left w:val="single" w:color="auto" w:sz="6" w:space="0"/>
              <w:bottom w:val="single" w:color="auto" w:sz="6" w:space="0"/>
              <w:right w:val="single" w:color="auto" w:sz="4" w:space="0"/>
            </w:tcBorders>
            <w:noWrap w:val="0"/>
            <w:vAlign w:val="bottom"/>
          </w:tcPr>
          <w:p w14:paraId="0A6D00C7">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投标文件未按照招标文件要求编写、印鉴及签字；</w:t>
            </w:r>
          </w:p>
        </w:tc>
        <w:tc>
          <w:tcPr>
            <w:tcW w:w="625" w:type="dxa"/>
            <w:tcBorders>
              <w:top w:val="single" w:color="auto" w:sz="6" w:space="0"/>
              <w:left w:val="single" w:color="auto" w:sz="4" w:space="0"/>
              <w:bottom w:val="single" w:color="auto" w:sz="6" w:space="0"/>
              <w:right w:val="single" w:color="auto" w:sz="4" w:space="0"/>
            </w:tcBorders>
            <w:noWrap w:val="0"/>
            <w:vAlign w:val="center"/>
          </w:tcPr>
          <w:p w14:paraId="4581DF3D">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43" w:type="dxa"/>
            <w:tcBorders>
              <w:top w:val="single" w:color="auto" w:sz="6" w:space="0"/>
              <w:left w:val="single" w:color="auto" w:sz="4" w:space="0"/>
              <w:bottom w:val="single" w:color="auto" w:sz="6" w:space="0"/>
              <w:right w:val="single" w:color="auto" w:sz="6" w:space="0"/>
            </w:tcBorders>
            <w:noWrap w:val="0"/>
            <w:vAlign w:val="center"/>
          </w:tcPr>
          <w:p w14:paraId="4D1BFFEE">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534" w:type="dxa"/>
            <w:tcBorders>
              <w:top w:val="single" w:color="auto" w:sz="6" w:space="0"/>
              <w:left w:val="single" w:color="auto" w:sz="6" w:space="0"/>
              <w:bottom w:val="single" w:color="auto" w:sz="6" w:space="0"/>
              <w:right w:val="single" w:color="auto" w:sz="4" w:space="0"/>
            </w:tcBorders>
            <w:noWrap w:val="0"/>
            <w:vAlign w:val="top"/>
          </w:tcPr>
          <w:p w14:paraId="126A52D6">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70" w:type="dxa"/>
            <w:tcBorders>
              <w:top w:val="single" w:color="auto" w:sz="6" w:space="0"/>
              <w:left w:val="single" w:color="auto" w:sz="4" w:space="0"/>
              <w:bottom w:val="single" w:color="auto" w:sz="6" w:space="0"/>
              <w:right w:val="single" w:color="auto" w:sz="12" w:space="0"/>
            </w:tcBorders>
            <w:noWrap w:val="0"/>
            <w:vAlign w:val="top"/>
          </w:tcPr>
          <w:p w14:paraId="6B83722F">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r>
      <w:tr w14:paraId="13EA5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513" w:type="dxa"/>
            <w:tcBorders>
              <w:top w:val="single" w:color="auto" w:sz="6" w:space="0"/>
              <w:left w:val="single" w:color="auto" w:sz="12" w:space="0"/>
              <w:bottom w:val="single" w:color="auto" w:sz="6" w:space="0"/>
              <w:right w:val="single" w:color="auto" w:sz="6" w:space="0"/>
            </w:tcBorders>
            <w:noWrap w:val="0"/>
            <w:vAlign w:val="center"/>
          </w:tcPr>
          <w:p w14:paraId="3DD47CC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5</w:t>
            </w:r>
          </w:p>
        </w:tc>
        <w:tc>
          <w:tcPr>
            <w:tcW w:w="6587" w:type="dxa"/>
            <w:tcBorders>
              <w:top w:val="single" w:color="auto" w:sz="6" w:space="0"/>
              <w:left w:val="single" w:color="auto" w:sz="6" w:space="0"/>
              <w:bottom w:val="single" w:color="auto" w:sz="6" w:space="0"/>
              <w:right w:val="single" w:color="auto" w:sz="4" w:space="0"/>
            </w:tcBorders>
            <w:noWrap w:val="0"/>
            <w:vAlign w:val="bottom"/>
          </w:tcPr>
          <w:p w14:paraId="5C20FCDF">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供应商未按招标文件要求的格式填写，内容不全或关键字迹模糊、无法辨认的情况；</w:t>
            </w:r>
          </w:p>
        </w:tc>
        <w:tc>
          <w:tcPr>
            <w:tcW w:w="625" w:type="dxa"/>
            <w:tcBorders>
              <w:top w:val="single" w:color="auto" w:sz="6" w:space="0"/>
              <w:left w:val="single" w:color="auto" w:sz="4" w:space="0"/>
              <w:bottom w:val="single" w:color="auto" w:sz="6" w:space="0"/>
              <w:right w:val="single" w:color="auto" w:sz="4" w:space="0"/>
            </w:tcBorders>
            <w:noWrap w:val="0"/>
            <w:vAlign w:val="center"/>
          </w:tcPr>
          <w:p w14:paraId="5149E4FE">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43" w:type="dxa"/>
            <w:tcBorders>
              <w:top w:val="single" w:color="auto" w:sz="6" w:space="0"/>
              <w:left w:val="single" w:color="auto" w:sz="4" w:space="0"/>
              <w:bottom w:val="single" w:color="auto" w:sz="6" w:space="0"/>
              <w:right w:val="single" w:color="auto" w:sz="6" w:space="0"/>
            </w:tcBorders>
            <w:noWrap w:val="0"/>
            <w:vAlign w:val="center"/>
          </w:tcPr>
          <w:p w14:paraId="52D310AC">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534" w:type="dxa"/>
            <w:tcBorders>
              <w:top w:val="single" w:color="auto" w:sz="6" w:space="0"/>
              <w:left w:val="single" w:color="auto" w:sz="6" w:space="0"/>
              <w:bottom w:val="single" w:color="auto" w:sz="6" w:space="0"/>
              <w:right w:val="single" w:color="auto" w:sz="4" w:space="0"/>
            </w:tcBorders>
            <w:noWrap w:val="0"/>
            <w:vAlign w:val="top"/>
          </w:tcPr>
          <w:p w14:paraId="3C6C130D">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70" w:type="dxa"/>
            <w:tcBorders>
              <w:top w:val="single" w:color="auto" w:sz="6" w:space="0"/>
              <w:left w:val="single" w:color="auto" w:sz="4" w:space="0"/>
              <w:bottom w:val="single" w:color="auto" w:sz="6" w:space="0"/>
              <w:right w:val="single" w:color="auto" w:sz="12" w:space="0"/>
            </w:tcBorders>
            <w:noWrap w:val="0"/>
            <w:vAlign w:val="top"/>
          </w:tcPr>
          <w:p w14:paraId="184FF069">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r>
      <w:tr w14:paraId="6F11F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513" w:type="dxa"/>
            <w:tcBorders>
              <w:top w:val="single" w:color="auto" w:sz="6" w:space="0"/>
              <w:left w:val="single" w:color="auto" w:sz="12" w:space="0"/>
              <w:bottom w:val="single" w:color="auto" w:sz="6" w:space="0"/>
              <w:right w:val="single" w:color="auto" w:sz="6" w:space="0"/>
            </w:tcBorders>
            <w:noWrap w:val="0"/>
            <w:vAlign w:val="center"/>
          </w:tcPr>
          <w:p w14:paraId="21752BA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6</w:t>
            </w:r>
          </w:p>
        </w:tc>
        <w:tc>
          <w:tcPr>
            <w:tcW w:w="6587" w:type="dxa"/>
            <w:tcBorders>
              <w:top w:val="single" w:color="auto" w:sz="6" w:space="0"/>
              <w:left w:val="single" w:color="auto" w:sz="6" w:space="0"/>
              <w:bottom w:val="single" w:color="auto" w:sz="6" w:space="0"/>
              <w:right w:val="single" w:color="auto" w:sz="4" w:space="0"/>
            </w:tcBorders>
            <w:noWrap w:val="0"/>
            <w:vAlign w:val="bottom"/>
          </w:tcPr>
          <w:p w14:paraId="2BFE5E2E">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供应商有违反招标投标纪律的情况；</w:t>
            </w:r>
          </w:p>
        </w:tc>
        <w:tc>
          <w:tcPr>
            <w:tcW w:w="625" w:type="dxa"/>
            <w:tcBorders>
              <w:top w:val="single" w:color="auto" w:sz="6" w:space="0"/>
              <w:left w:val="single" w:color="auto" w:sz="4" w:space="0"/>
              <w:bottom w:val="single" w:color="auto" w:sz="6" w:space="0"/>
              <w:right w:val="single" w:color="auto" w:sz="4" w:space="0"/>
            </w:tcBorders>
            <w:noWrap w:val="0"/>
            <w:vAlign w:val="center"/>
          </w:tcPr>
          <w:p w14:paraId="569D1170">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43" w:type="dxa"/>
            <w:tcBorders>
              <w:top w:val="single" w:color="auto" w:sz="6" w:space="0"/>
              <w:left w:val="single" w:color="auto" w:sz="4" w:space="0"/>
              <w:bottom w:val="single" w:color="auto" w:sz="6" w:space="0"/>
              <w:right w:val="single" w:color="auto" w:sz="6" w:space="0"/>
            </w:tcBorders>
            <w:noWrap w:val="0"/>
            <w:vAlign w:val="center"/>
          </w:tcPr>
          <w:p w14:paraId="345CDADE">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534" w:type="dxa"/>
            <w:tcBorders>
              <w:top w:val="single" w:color="auto" w:sz="6" w:space="0"/>
              <w:left w:val="single" w:color="auto" w:sz="6" w:space="0"/>
              <w:bottom w:val="single" w:color="auto" w:sz="6" w:space="0"/>
              <w:right w:val="single" w:color="auto" w:sz="4" w:space="0"/>
            </w:tcBorders>
            <w:noWrap w:val="0"/>
            <w:vAlign w:val="top"/>
          </w:tcPr>
          <w:p w14:paraId="4A5B857B">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70" w:type="dxa"/>
            <w:tcBorders>
              <w:top w:val="single" w:color="auto" w:sz="6" w:space="0"/>
              <w:left w:val="single" w:color="auto" w:sz="4" w:space="0"/>
              <w:bottom w:val="single" w:color="auto" w:sz="6" w:space="0"/>
              <w:right w:val="single" w:color="auto" w:sz="12" w:space="0"/>
            </w:tcBorders>
            <w:noWrap w:val="0"/>
            <w:vAlign w:val="top"/>
          </w:tcPr>
          <w:p w14:paraId="1F5020B0">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r>
      <w:tr w14:paraId="50E74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513" w:type="dxa"/>
            <w:tcBorders>
              <w:top w:val="single" w:color="auto" w:sz="6" w:space="0"/>
              <w:left w:val="single" w:color="auto" w:sz="12" w:space="0"/>
              <w:bottom w:val="single" w:color="auto" w:sz="6" w:space="0"/>
              <w:right w:val="single" w:color="auto" w:sz="6" w:space="0"/>
            </w:tcBorders>
            <w:noWrap w:val="0"/>
            <w:vAlign w:val="center"/>
          </w:tcPr>
          <w:p w14:paraId="66DE3A9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7</w:t>
            </w:r>
          </w:p>
        </w:tc>
        <w:tc>
          <w:tcPr>
            <w:tcW w:w="6587" w:type="dxa"/>
            <w:tcBorders>
              <w:top w:val="single" w:color="auto" w:sz="6" w:space="0"/>
              <w:left w:val="single" w:color="auto" w:sz="6" w:space="0"/>
              <w:bottom w:val="single" w:color="auto" w:sz="6" w:space="0"/>
              <w:right w:val="single" w:color="auto" w:sz="4" w:space="0"/>
            </w:tcBorders>
            <w:noWrap w:val="0"/>
            <w:vAlign w:val="bottom"/>
          </w:tcPr>
          <w:p w14:paraId="5EA025D6">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r>
              <w:rPr>
                <w:rFonts w:hint="eastAsia" w:ascii="仿宋" w:hAnsi="仿宋" w:eastAsia="仿宋" w:cs="仿宋"/>
                <w:bCs/>
                <w:color w:val="auto"/>
                <w:sz w:val="21"/>
                <w:szCs w:val="21"/>
                <w:highlight w:val="none"/>
              </w:rPr>
              <w:t>未提供招标文件</w:t>
            </w:r>
            <w:r>
              <w:rPr>
                <w:rFonts w:hint="eastAsia" w:ascii="仿宋" w:hAnsi="仿宋" w:eastAsia="仿宋" w:cs="仿宋"/>
                <w:bCs/>
                <w:color w:val="auto"/>
                <w:kern w:val="0"/>
                <w:sz w:val="21"/>
                <w:szCs w:val="21"/>
                <w:highlight w:val="none"/>
              </w:rPr>
              <w:t>中规定的其他实质性要求；</w:t>
            </w:r>
          </w:p>
        </w:tc>
        <w:tc>
          <w:tcPr>
            <w:tcW w:w="625" w:type="dxa"/>
            <w:tcBorders>
              <w:top w:val="single" w:color="auto" w:sz="6" w:space="0"/>
              <w:left w:val="single" w:color="auto" w:sz="4" w:space="0"/>
              <w:bottom w:val="single" w:color="auto" w:sz="6" w:space="0"/>
              <w:right w:val="single" w:color="auto" w:sz="4" w:space="0"/>
            </w:tcBorders>
            <w:noWrap w:val="0"/>
            <w:vAlign w:val="center"/>
          </w:tcPr>
          <w:p w14:paraId="0C2305BD">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43" w:type="dxa"/>
            <w:tcBorders>
              <w:top w:val="single" w:color="auto" w:sz="6" w:space="0"/>
              <w:left w:val="single" w:color="auto" w:sz="4" w:space="0"/>
              <w:bottom w:val="single" w:color="auto" w:sz="6" w:space="0"/>
              <w:right w:val="single" w:color="auto" w:sz="6" w:space="0"/>
            </w:tcBorders>
            <w:noWrap w:val="0"/>
            <w:vAlign w:val="center"/>
          </w:tcPr>
          <w:p w14:paraId="288536E3">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534" w:type="dxa"/>
            <w:tcBorders>
              <w:top w:val="single" w:color="auto" w:sz="6" w:space="0"/>
              <w:left w:val="single" w:color="auto" w:sz="6" w:space="0"/>
              <w:bottom w:val="single" w:color="auto" w:sz="6" w:space="0"/>
              <w:right w:val="single" w:color="auto" w:sz="4" w:space="0"/>
            </w:tcBorders>
            <w:noWrap w:val="0"/>
            <w:vAlign w:val="top"/>
          </w:tcPr>
          <w:p w14:paraId="618560D8">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70" w:type="dxa"/>
            <w:tcBorders>
              <w:top w:val="single" w:color="auto" w:sz="6" w:space="0"/>
              <w:left w:val="single" w:color="auto" w:sz="4" w:space="0"/>
              <w:bottom w:val="single" w:color="auto" w:sz="6" w:space="0"/>
              <w:right w:val="single" w:color="auto" w:sz="12" w:space="0"/>
            </w:tcBorders>
            <w:noWrap w:val="0"/>
            <w:vAlign w:val="top"/>
          </w:tcPr>
          <w:p w14:paraId="30590DD4">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r>
      <w:tr w14:paraId="231E3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100" w:type="dxa"/>
            <w:gridSpan w:val="2"/>
            <w:tcBorders>
              <w:top w:val="single" w:color="auto" w:sz="6" w:space="0"/>
              <w:left w:val="single" w:color="auto" w:sz="12" w:space="0"/>
              <w:bottom w:val="single" w:color="auto" w:sz="12" w:space="0"/>
              <w:right w:val="single" w:color="auto" w:sz="4" w:space="0"/>
            </w:tcBorders>
            <w:noWrap w:val="0"/>
            <w:vAlign w:val="top"/>
          </w:tcPr>
          <w:p w14:paraId="2C34027F">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结论：是否通过评审</w:t>
            </w:r>
          </w:p>
          <w:p w14:paraId="2633AF29">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未通过初步评审的，为无效投标。</w:t>
            </w:r>
          </w:p>
        </w:tc>
        <w:tc>
          <w:tcPr>
            <w:tcW w:w="625" w:type="dxa"/>
            <w:tcBorders>
              <w:top w:val="single" w:color="auto" w:sz="6" w:space="0"/>
              <w:left w:val="single" w:color="auto" w:sz="4" w:space="0"/>
              <w:bottom w:val="single" w:color="auto" w:sz="12" w:space="0"/>
              <w:right w:val="single" w:color="auto" w:sz="4" w:space="0"/>
            </w:tcBorders>
            <w:noWrap w:val="0"/>
            <w:vAlign w:val="top"/>
          </w:tcPr>
          <w:p w14:paraId="0009CA60">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43" w:type="dxa"/>
            <w:tcBorders>
              <w:top w:val="single" w:color="auto" w:sz="6" w:space="0"/>
              <w:left w:val="single" w:color="auto" w:sz="4" w:space="0"/>
              <w:bottom w:val="single" w:color="auto" w:sz="12" w:space="0"/>
              <w:right w:val="single" w:color="auto" w:sz="6" w:space="0"/>
            </w:tcBorders>
            <w:noWrap w:val="0"/>
            <w:vAlign w:val="top"/>
          </w:tcPr>
          <w:p w14:paraId="77B89A19">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534" w:type="dxa"/>
            <w:tcBorders>
              <w:top w:val="single" w:color="auto" w:sz="6" w:space="0"/>
              <w:left w:val="single" w:color="auto" w:sz="6" w:space="0"/>
              <w:bottom w:val="single" w:color="auto" w:sz="12" w:space="0"/>
              <w:right w:val="single" w:color="auto" w:sz="6" w:space="0"/>
            </w:tcBorders>
            <w:noWrap w:val="0"/>
            <w:vAlign w:val="top"/>
          </w:tcPr>
          <w:p w14:paraId="78A3A648">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70" w:type="dxa"/>
            <w:tcBorders>
              <w:top w:val="single" w:color="auto" w:sz="6" w:space="0"/>
              <w:left w:val="single" w:color="auto" w:sz="6" w:space="0"/>
              <w:bottom w:val="single" w:color="auto" w:sz="12" w:space="0"/>
              <w:right w:val="single" w:color="auto" w:sz="12" w:space="0"/>
            </w:tcBorders>
            <w:noWrap w:val="0"/>
            <w:vAlign w:val="top"/>
          </w:tcPr>
          <w:p w14:paraId="7592E4D6">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r>
    </w:tbl>
    <w:p w14:paraId="1E980947">
      <w:pPr>
        <w:pStyle w:val="12"/>
        <w:spacing w:before="12" w:line="240" w:lineRule="auto"/>
        <w:rPr>
          <w:rFonts w:hint="eastAsia" w:ascii="仿宋" w:hAnsi="仿宋" w:eastAsia="仿宋" w:cs="仿宋"/>
          <w:color w:val="auto"/>
          <w:sz w:val="24"/>
          <w:szCs w:val="24"/>
          <w:highlight w:val="none"/>
        </w:rPr>
      </w:pPr>
    </w:p>
    <w:p w14:paraId="4E4673F1">
      <w:pPr>
        <w:pStyle w:val="12"/>
        <w:spacing w:before="12" w:line="240" w:lineRule="auto"/>
        <w:rPr>
          <w:rFonts w:hint="eastAsia" w:ascii="仿宋" w:hAnsi="仿宋" w:eastAsia="仿宋" w:cs="仿宋"/>
          <w:color w:val="auto"/>
          <w:sz w:val="24"/>
          <w:szCs w:val="24"/>
          <w:highlight w:val="none"/>
        </w:rPr>
      </w:pPr>
    </w:p>
    <w:p w14:paraId="11D55BA9">
      <w:pPr>
        <w:pStyle w:val="12"/>
        <w:spacing w:before="12" w:line="240" w:lineRule="auto"/>
        <w:rPr>
          <w:rFonts w:hint="eastAsia" w:ascii="仿宋" w:hAnsi="仿宋" w:eastAsia="仿宋" w:cs="仿宋"/>
          <w:color w:val="auto"/>
          <w:sz w:val="24"/>
          <w:szCs w:val="24"/>
          <w:highlight w:val="none"/>
        </w:rPr>
      </w:pPr>
    </w:p>
    <w:p w14:paraId="21D91CB5">
      <w:pPr>
        <w:rPr>
          <w:rFonts w:hint="eastAsia" w:ascii="仿宋" w:hAnsi="仿宋" w:eastAsia="仿宋" w:cs="仿宋"/>
          <w:color w:val="auto"/>
          <w:sz w:val="24"/>
          <w:szCs w:val="24"/>
          <w:highlight w:val="none"/>
        </w:rPr>
      </w:pPr>
    </w:p>
    <w:p w14:paraId="4A508421">
      <w:pPr>
        <w:pStyle w:val="26"/>
        <w:rPr>
          <w:rFonts w:hint="eastAsia" w:ascii="仿宋" w:hAnsi="仿宋" w:eastAsia="仿宋" w:cs="仿宋"/>
          <w:color w:val="auto"/>
          <w:sz w:val="24"/>
          <w:szCs w:val="24"/>
          <w:highlight w:val="none"/>
        </w:rPr>
      </w:pPr>
    </w:p>
    <w:p w14:paraId="3AE207D0">
      <w:pPr>
        <w:pStyle w:val="26"/>
        <w:rPr>
          <w:rFonts w:hint="eastAsia" w:ascii="仿宋" w:hAnsi="仿宋" w:eastAsia="仿宋" w:cs="仿宋"/>
          <w:color w:val="auto"/>
          <w:sz w:val="24"/>
          <w:szCs w:val="24"/>
          <w:highlight w:val="none"/>
        </w:rPr>
      </w:pPr>
    </w:p>
    <w:p w14:paraId="125E83FE">
      <w:pPr>
        <w:pStyle w:val="26"/>
        <w:rPr>
          <w:rFonts w:hint="eastAsia" w:ascii="仿宋" w:hAnsi="仿宋" w:eastAsia="仿宋" w:cs="仿宋"/>
          <w:color w:val="auto"/>
          <w:sz w:val="24"/>
          <w:szCs w:val="24"/>
          <w:highlight w:val="none"/>
        </w:rPr>
      </w:pPr>
    </w:p>
    <w:p w14:paraId="0CF02CD4">
      <w:pPr>
        <w:pStyle w:val="26"/>
        <w:rPr>
          <w:rFonts w:hint="eastAsia" w:ascii="仿宋" w:hAnsi="仿宋" w:eastAsia="仿宋" w:cs="仿宋"/>
          <w:color w:val="auto"/>
          <w:sz w:val="24"/>
          <w:szCs w:val="24"/>
          <w:highlight w:val="none"/>
        </w:rPr>
      </w:pPr>
    </w:p>
    <w:p w14:paraId="5AF0A9E4">
      <w:pPr>
        <w:pStyle w:val="26"/>
        <w:rPr>
          <w:rFonts w:hint="eastAsia" w:ascii="仿宋" w:hAnsi="仿宋" w:eastAsia="仿宋" w:cs="仿宋"/>
          <w:color w:val="auto"/>
          <w:sz w:val="24"/>
          <w:szCs w:val="24"/>
          <w:highlight w:val="none"/>
        </w:rPr>
      </w:pPr>
    </w:p>
    <w:p w14:paraId="6254582B">
      <w:pPr>
        <w:pStyle w:val="12"/>
        <w:spacing w:before="12" w:line="240" w:lineRule="auto"/>
        <w:rPr>
          <w:rFonts w:hint="eastAsia" w:ascii="仿宋" w:hAnsi="仿宋" w:eastAsia="仿宋" w:cs="仿宋"/>
          <w:color w:val="auto"/>
          <w:sz w:val="24"/>
          <w:szCs w:val="24"/>
          <w:highlight w:val="none"/>
        </w:rPr>
      </w:pPr>
    </w:p>
    <w:p w14:paraId="6F8262DE">
      <w:pPr>
        <w:pStyle w:val="12"/>
        <w:spacing w:before="12" w:line="240" w:lineRule="auto"/>
        <w:rPr>
          <w:rFonts w:hint="eastAsia" w:ascii="仿宋" w:hAnsi="仿宋" w:eastAsia="仿宋" w:cs="仿宋"/>
          <w:color w:val="auto"/>
          <w:sz w:val="24"/>
          <w:szCs w:val="24"/>
          <w:highlight w:val="none"/>
        </w:rPr>
      </w:pPr>
    </w:p>
    <w:p w14:paraId="205C1015">
      <w:pPr>
        <w:pStyle w:val="12"/>
        <w:spacing w:before="12"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tbl>
      <w:tblPr>
        <w:tblStyle w:val="40"/>
        <w:tblW w:w="8700" w:type="dxa"/>
        <w:tblInd w:w="108" w:type="dxa"/>
        <w:tblLayout w:type="fixed"/>
        <w:tblCellMar>
          <w:top w:w="0" w:type="dxa"/>
          <w:left w:w="108" w:type="dxa"/>
          <w:bottom w:w="0" w:type="dxa"/>
          <w:right w:w="108" w:type="dxa"/>
        </w:tblCellMar>
      </w:tblPr>
      <w:tblGrid>
        <w:gridCol w:w="2126"/>
        <w:gridCol w:w="2127"/>
        <w:gridCol w:w="1417"/>
        <w:gridCol w:w="1418"/>
        <w:gridCol w:w="1612"/>
      </w:tblGrid>
      <w:tr w14:paraId="46EED44C">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noWrap w:val="0"/>
            <w:vAlign w:val="center"/>
          </w:tcPr>
          <w:p w14:paraId="66C97756">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商务符合性审查表</w:t>
            </w:r>
          </w:p>
        </w:tc>
      </w:tr>
      <w:tr w14:paraId="52D239C6">
        <w:tblPrEx>
          <w:tblCellMar>
            <w:top w:w="0" w:type="dxa"/>
            <w:left w:w="108" w:type="dxa"/>
            <w:bottom w:w="0" w:type="dxa"/>
            <w:right w:w="108" w:type="dxa"/>
          </w:tblCellMar>
        </w:tblPrEx>
        <w:trPr>
          <w:trHeight w:val="754" w:hRule="atLeast"/>
        </w:trPr>
        <w:tc>
          <w:tcPr>
            <w:tcW w:w="4253" w:type="dxa"/>
            <w:gridSpan w:val="2"/>
            <w:tcBorders>
              <w:top w:val="single" w:color="auto" w:sz="4" w:space="0"/>
              <w:left w:val="single" w:color="auto" w:sz="4" w:space="0"/>
              <w:bottom w:val="single" w:color="auto" w:sz="4" w:space="0"/>
              <w:right w:val="single" w:color="auto" w:sz="4" w:space="0"/>
            </w:tcBorders>
            <w:noWrap w:val="0"/>
            <w:vAlign w:val="center"/>
          </w:tcPr>
          <w:p w14:paraId="465D740A">
            <w:pPr>
              <w:keepNext w:val="0"/>
              <w:keepLines w:val="0"/>
              <w:widowControl/>
              <w:suppressLineNumbers w:val="0"/>
              <w:spacing w:before="0" w:beforeAutospacing="0" w:after="0" w:afterAutospacing="0"/>
              <w:ind w:left="0" w:right="0"/>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审查事项</w:t>
            </w:r>
          </w:p>
        </w:tc>
        <w:tc>
          <w:tcPr>
            <w:tcW w:w="4447" w:type="dxa"/>
            <w:gridSpan w:val="3"/>
            <w:tcBorders>
              <w:top w:val="single" w:color="auto" w:sz="4" w:space="0"/>
              <w:left w:val="single" w:color="auto" w:sz="4" w:space="0"/>
              <w:bottom w:val="single" w:color="auto" w:sz="4" w:space="0"/>
              <w:right w:val="single" w:color="auto" w:sz="4" w:space="0"/>
            </w:tcBorders>
            <w:noWrap w:val="0"/>
            <w:vAlign w:val="center"/>
          </w:tcPr>
          <w:p w14:paraId="277F2A7E">
            <w:pPr>
              <w:keepNext w:val="0"/>
              <w:keepLines w:val="0"/>
              <w:widowControl/>
              <w:suppressLineNumbers w:val="0"/>
              <w:spacing w:before="0" w:beforeAutospacing="0" w:after="0" w:afterAutospacing="0"/>
              <w:ind w:left="0" w:right="0"/>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投标人名称及审查情况</w:t>
            </w:r>
          </w:p>
        </w:tc>
      </w:tr>
      <w:tr w14:paraId="3B405BF8">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3823678F">
            <w:pPr>
              <w:keepNext w:val="0"/>
              <w:keepLines w:val="0"/>
              <w:widowControl/>
              <w:suppressLineNumbers w:val="0"/>
              <w:spacing w:before="0" w:beforeAutospacing="0" w:after="0" w:afterAutospacing="0"/>
              <w:ind w:left="0" w:right="0"/>
              <w:jc w:val="left"/>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招标文件条款（投标人须知、投标人须知资料表条款号）</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110974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本项目要求</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74CD32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508FEF2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14:paraId="188FBDB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14:paraId="45EDB393">
        <w:tblPrEx>
          <w:tblCellMar>
            <w:top w:w="0" w:type="dxa"/>
            <w:left w:w="108" w:type="dxa"/>
            <w:bottom w:w="0" w:type="dxa"/>
            <w:right w:w="108" w:type="dxa"/>
          </w:tblCellMar>
        </w:tblPrEx>
        <w:trPr>
          <w:trHeight w:val="9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0BA59B95">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中小企业投标要求（1.3.6）</w:t>
            </w:r>
          </w:p>
        </w:tc>
        <w:tc>
          <w:tcPr>
            <w:tcW w:w="2127" w:type="dxa"/>
            <w:tcBorders>
              <w:top w:val="single" w:color="auto" w:sz="4" w:space="0"/>
              <w:left w:val="nil"/>
              <w:bottom w:val="single" w:color="auto" w:sz="4" w:space="0"/>
              <w:right w:val="single" w:color="auto" w:sz="4" w:space="0"/>
            </w:tcBorders>
            <w:noWrap w:val="0"/>
            <w:vAlign w:val="center"/>
          </w:tcPr>
          <w:p w14:paraId="3848E6C3">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投标人须提供承诺书，承诺将合同金额的 30% 用于向中小企业采购，其中向小微企业采购比例不少于中小企业采购额的 60%</w:t>
            </w:r>
          </w:p>
        </w:tc>
        <w:tc>
          <w:tcPr>
            <w:tcW w:w="1417" w:type="dxa"/>
            <w:tcBorders>
              <w:top w:val="single" w:color="auto" w:sz="4" w:space="0"/>
              <w:left w:val="nil"/>
              <w:bottom w:val="single" w:color="auto" w:sz="4" w:space="0"/>
              <w:right w:val="single" w:color="auto" w:sz="4" w:space="0"/>
            </w:tcBorders>
            <w:noWrap w:val="0"/>
            <w:vAlign w:val="center"/>
          </w:tcPr>
          <w:p w14:paraId="57C8681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F6043D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612" w:type="dxa"/>
            <w:tcBorders>
              <w:top w:val="single" w:color="auto" w:sz="4" w:space="0"/>
              <w:left w:val="nil"/>
              <w:bottom w:val="single" w:color="auto" w:sz="4" w:space="0"/>
              <w:right w:val="single" w:color="auto" w:sz="4" w:space="0"/>
            </w:tcBorders>
            <w:noWrap w:val="0"/>
            <w:vAlign w:val="center"/>
          </w:tcPr>
          <w:p w14:paraId="508160C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r>
      <w:tr w14:paraId="058CD4F9">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1AC6449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联合体投标规定</w:t>
            </w:r>
          </w:p>
          <w:p w14:paraId="2BD01EEB">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1.4</w:t>
            </w:r>
            <w:r>
              <w:rPr>
                <w:rFonts w:hint="eastAsia" w:ascii="仿宋" w:hAnsi="仿宋" w:eastAsia="仿宋" w:cs="仿宋"/>
                <w:color w:val="auto"/>
                <w:kern w:val="0"/>
                <w:sz w:val="22"/>
                <w:szCs w:val="22"/>
                <w:highlight w:val="none"/>
                <w:lang w:eastAsia="zh-CN"/>
              </w:rPr>
              <w:t>)</w:t>
            </w:r>
          </w:p>
        </w:tc>
        <w:tc>
          <w:tcPr>
            <w:tcW w:w="2127" w:type="dxa"/>
            <w:tcBorders>
              <w:top w:val="single" w:color="auto" w:sz="4" w:space="0"/>
              <w:left w:val="nil"/>
              <w:bottom w:val="single" w:color="auto" w:sz="4" w:space="0"/>
              <w:right w:val="single" w:color="auto" w:sz="4" w:space="0"/>
            </w:tcBorders>
            <w:noWrap w:val="0"/>
            <w:vAlign w:val="center"/>
          </w:tcPr>
          <w:p w14:paraId="57AE8E4D">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本项目</w:t>
            </w:r>
            <w:r>
              <w:rPr>
                <w:rFonts w:hint="eastAsia" w:ascii="仿宋" w:hAnsi="仿宋" w:eastAsia="仿宋" w:cs="仿宋"/>
                <w:color w:val="auto"/>
                <w:kern w:val="0"/>
                <w:szCs w:val="21"/>
                <w:highlight w:val="none"/>
                <w:u w:val="single"/>
                <w:lang w:val="en-US" w:eastAsia="zh-CN"/>
              </w:rPr>
              <w:t>不</w:t>
            </w:r>
            <w:r>
              <w:rPr>
                <w:rFonts w:hint="eastAsia" w:ascii="仿宋" w:hAnsi="仿宋" w:eastAsia="仿宋" w:cs="仿宋"/>
                <w:i/>
                <w:iCs/>
                <w:color w:val="auto"/>
                <w:kern w:val="0"/>
                <w:szCs w:val="21"/>
                <w:highlight w:val="none"/>
                <w:u w:val="single"/>
              </w:rPr>
              <w:t>接受</w:t>
            </w:r>
            <w:r>
              <w:rPr>
                <w:rFonts w:hint="eastAsia" w:ascii="仿宋" w:hAnsi="仿宋" w:eastAsia="仿宋" w:cs="仿宋"/>
                <w:color w:val="auto"/>
                <w:kern w:val="0"/>
                <w:szCs w:val="21"/>
                <w:highlight w:val="none"/>
              </w:rPr>
              <w:t>联合体投标</w:t>
            </w:r>
          </w:p>
        </w:tc>
        <w:tc>
          <w:tcPr>
            <w:tcW w:w="1417" w:type="dxa"/>
            <w:tcBorders>
              <w:top w:val="single" w:color="auto" w:sz="4" w:space="0"/>
              <w:left w:val="nil"/>
              <w:bottom w:val="single" w:color="auto" w:sz="4" w:space="0"/>
              <w:right w:val="single" w:color="auto" w:sz="4" w:space="0"/>
            </w:tcBorders>
            <w:noWrap w:val="0"/>
            <w:vAlign w:val="center"/>
          </w:tcPr>
          <w:p w14:paraId="51C2501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5688F12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14:paraId="5C404BE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14:paraId="7CAB495C">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3163C1AE">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投标人的关联性</w:t>
            </w:r>
          </w:p>
          <w:p w14:paraId="46480CF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1.5</w:t>
            </w:r>
            <w:r>
              <w:rPr>
                <w:rFonts w:hint="eastAsia" w:ascii="仿宋" w:hAnsi="仿宋" w:eastAsia="仿宋" w:cs="仿宋"/>
                <w:color w:val="auto"/>
                <w:kern w:val="0"/>
                <w:sz w:val="22"/>
                <w:szCs w:val="22"/>
                <w:highlight w:val="none"/>
                <w:lang w:eastAsia="zh-CN"/>
              </w:rPr>
              <w:t>)</w:t>
            </w:r>
          </w:p>
        </w:tc>
        <w:tc>
          <w:tcPr>
            <w:tcW w:w="2127" w:type="dxa"/>
            <w:tcBorders>
              <w:top w:val="single" w:color="auto" w:sz="4" w:space="0"/>
              <w:left w:val="nil"/>
              <w:bottom w:val="single" w:color="auto" w:sz="4" w:space="0"/>
              <w:right w:val="single" w:color="auto" w:sz="4" w:space="0"/>
            </w:tcBorders>
            <w:noWrap w:val="0"/>
            <w:vAlign w:val="center"/>
          </w:tcPr>
          <w:p w14:paraId="4685092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在同一标包内，单位负责人为非同一人或者不存在直接控股、管理关系的不同供应商。</w:t>
            </w:r>
          </w:p>
        </w:tc>
        <w:tc>
          <w:tcPr>
            <w:tcW w:w="1417" w:type="dxa"/>
            <w:tcBorders>
              <w:top w:val="single" w:color="auto" w:sz="4" w:space="0"/>
              <w:left w:val="nil"/>
              <w:bottom w:val="single" w:color="auto" w:sz="4" w:space="0"/>
              <w:right w:val="single" w:color="auto" w:sz="4" w:space="0"/>
            </w:tcBorders>
            <w:noWrap w:val="0"/>
            <w:vAlign w:val="center"/>
          </w:tcPr>
          <w:p w14:paraId="4495335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48B3618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14:paraId="6F0ABCE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14:paraId="410EA0C0">
        <w:tblPrEx>
          <w:tblCellMar>
            <w:top w:w="0" w:type="dxa"/>
            <w:left w:w="108" w:type="dxa"/>
            <w:bottom w:w="0" w:type="dxa"/>
            <w:right w:w="108" w:type="dxa"/>
          </w:tblCellMar>
        </w:tblPrEx>
        <w:trPr>
          <w:trHeight w:val="1331"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6B70CCB4">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未发现影响采购人决策行为（1.5）</w:t>
            </w:r>
          </w:p>
        </w:tc>
        <w:tc>
          <w:tcPr>
            <w:tcW w:w="2127" w:type="dxa"/>
            <w:tcBorders>
              <w:top w:val="single" w:color="auto" w:sz="4" w:space="0"/>
              <w:left w:val="nil"/>
              <w:bottom w:val="single" w:color="auto" w:sz="4" w:space="0"/>
              <w:right w:val="single" w:color="auto" w:sz="4" w:space="0"/>
            </w:tcBorders>
            <w:noWrap w:val="0"/>
            <w:vAlign w:val="center"/>
          </w:tcPr>
          <w:p w14:paraId="1A527E5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投标人在投标过程中未向采购人提供、给予任何有价值的物品，影响其正常决策行为。</w:t>
            </w:r>
          </w:p>
        </w:tc>
        <w:tc>
          <w:tcPr>
            <w:tcW w:w="1417" w:type="dxa"/>
            <w:tcBorders>
              <w:top w:val="single" w:color="auto" w:sz="4" w:space="0"/>
              <w:left w:val="nil"/>
              <w:bottom w:val="single" w:color="auto" w:sz="4" w:space="0"/>
              <w:right w:val="single" w:color="auto" w:sz="4" w:space="0"/>
            </w:tcBorders>
            <w:noWrap w:val="0"/>
            <w:vAlign w:val="center"/>
          </w:tcPr>
          <w:p w14:paraId="3CF87D3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D725E1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612" w:type="dxa"/>
            <w:tcBorders>
              <w:top w:val="single" w:color="auto" w:sz="4" w:space="0"/>
              <w:left w:val="nil"/>
              <w:bottom w:val="single" w:color="auto" w:sz="4" w:space="0"/>
              <w:right w:val="single" w:color="auto" w:sz="4" w:space="0"/>
            </w:tcBorders>
            <w:noWrap w:val="0"/>
            <w:vAlign w:val="center"/>
          </w:tcPr>
          <w:p w14:paraId="5DB0547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r>
      <w:tr w14:paraId="17F97E68">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0C99989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满足投标范围的完整性要求</w:t>
            </w:r>
          </w:p>
          <w:p w14:paraId="55DB31B5">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8.1</w:t>
            </w:r>
            <w:r>
              <w:rPr>
                <w:rFonts w:hint="eastAsia" w:ascii="仿宋" w:hAnsi="仿宋" w:eastAsia="仿宋" w:cs="仿宋"/>
                <w:color w:val="auto"/>
                <w:kern w:val="0"/>
                <w:sz w:val="22"/>
                <w:szCs w:val="22"/>
                <w:highlight w:val="none"/>
                <w:lang w:eastAsia="zh-CN"/>
              </w:rPr>
              <w:t>)</w:t>
            </w:r>
          </w:p>
        </w:tc>
        <w:tc>
          <w:tcPr>
            <w:tcW w:w="2127" w:type="dxa"/>
            <w:tcBorders>
              <w:top w:val="single" w:color="auto" w:sz="4" w:space="0"/>
              <w:left w:val="nil"/>
              <w:bottom w:val="single" w:color="auto" w:sz="4" w:space="0"/>
              <w:right w:val="single" w:color="auto" w:sz="4" w:space="0"/>
            </w:tcBorders>
            <w:noWrap w:val="0"/>
            <w:vAlign w:val="center"/>
          </w:tcPr>
          <w:p w14:paraId="7F78FEF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投标人对所投分包招标文件中所列的所有内容进行投标。</w:t>
            </w:r>
          </w:p>
        </w:tc>
        <w:tc>
          <w:tcPr>
            <w:tcW w:w="1417" w:type="dxa"/>
            <w:tcBorders>
              <w:top w:val="single" w:color="auto" w:sz="4" w:space="0"/>
              <w:left w:val="nil"/>
              <w:bottom w:val="single" w:color="auto" w:sz="4" w:space="0"/>
              <w:right w:val="single" w:color="auto" w:sz="4" w:space="0"/>
            </w:tcBorders>
            <w:noWrap w:val="0"/>
            <w:vAlign w:val="center"/>
          </w:tcPr>
          <w:p w14:paraId="0E104E5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248620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612" w:type="dxa"/>
            <w:tcBorders>
              <w:top w:val="single" w:color="auto" w:sz="4" w:space="0"/>
              <w:left w:val="nil"/>
              <w:bottom w:val="single" w:color="auto" w:sz="4" w:space="0"/>
              <w:right w:val="single" w:color="auto" w:sz="4" w:space="0"/>
            </w:tcBorders>
            <w:noWrap w:val="0"/>
            <w:vAlign w:val="center"/>
          </w:tcPr>
          <w:p w14:paraId="3973389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r>
      <w:tr w14:paraId="59AF147B">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19467DC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未包含价格调整要求</w:t>
            </w:r>
          </w:p>
          <w:p w14:paraId="048541D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11.4</w:t>
            </w:r>
            <w:r>
              <w:rPr>
                <w:rFonts w:hint="eastAsia" w:ascii="仿宋" w:hAnsi="仿宋" w:eastAsia="仿宋" w:cs="仿宋"/>
                <w:color w:val="auto"/>
                <w:kern w:val="0"/>
                <w:sz w:val="22"/>
                <w:szCs w:val="22"/>
                <w:highlight w:val="none"/>
                <w:lang w:eastAsia="zh-CN"/>
              </w:rPr>
              <w:t>)</w:t>
            </w:r>
          </w:p>
        </w:tc>
        <w:tc>
          <w:tcPr>
            <w:tcW w:w="2127" w:type="dxa"/>
            <w:tcBorders>
              <w:top w:val="single" w:color="auto" w:sz="4" w:space="0"/>
              <w:left w:val="nil"/>
              <w:bottom w:val="single" w:color="auto" w:sz="4" w:space="0"/>
              <w:right w:val="single" w:color="auto" w:sz="4" w:space="0"/>
            </w:tcBorders>
            <w:noWrap w:val="0"/>
            <w:vAlign w:val="center"/>
          </w:tcPr>
          <w:p w14:paraId="6CA4A14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投标人所报的各分项投标报价在合同履行过程中是固定不变的，不得以任何理由予以变更。</w:t>
            </w:r>
          </w:p>
        </w:tc>
        <w:tc>
          <w:tcPr>
            <w:tcW w:w="1417" w:type="dxa"/>
            <w:tcBorders>
              <w:top w:val="single" w:color="auto" w:sz="4" w:space="0"/>
              <w:left w:val="nil"/>
              <w:bottom w:val="single" w:color="auto" w:sz="4" w:space="0"/>
              <w:right w:val="single" w:color="auto" w:sz="4" w:space="0"/>
            </w:tcBorders>
            <w:noWrap w:val="0"/>
            <w:vAlign w:val="center"/>
          </w:tcPr>
          <w:p w14:paraId="2CA8358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32D827F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14:paraId="76A2EDA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14:paraId="09FCEC5D">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4786631B">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投标保证金（12.1）</w:t>
            </w:r>
          </w:p>
        </w:tc>
        <w:tc>
          <w:tcPr>
            <w:tcW w:w="2127" w:type="dxa"/>
            <w:tcBorders>
              <w:top w:val="single" w:color="auto" w:sz="4" w:space="0"/>
              <w:left w:val="nil"/>
              <w:bottom w:val="single" w:color="auto" w:sz="4" w:space="0"/>
              <w:right w:val="single" w:color="auto" w:sz="4" w:space="0"/>
            </w:tcBorders>
            <w:noWrap w:val="0"/>
            <w:vAlign w:val="center"/>
          </w:tcPr>
          <w:p w14:paraId="3CE298DD">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符合招标文件要求</w:t>
            </w:r>
          </w:p>
        </w:tc>
        <w:tc>
          <w:tcPr>
            <w:tcW w:w="1417" w:type="dxa"/>
            <w:tcBorders>
              <w:top w:val="single" w:color="auto" w:sz="4" w:space="0"/>
              <w:left w:val="nil"/>
              <w:bottom w:val="single" w:color="auto" w:sz="4" w:space="0"/>
              <w:right w:val="single" w:color="auto" w:sz="4" w:space="0"/>
            </w:tcBorders>
            <w:noWrap w:val="0"/>
            <w:vAlign w:val="center"/>
          </w:tcPr>
          <w:p w14:paraId="38C9604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66515C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612" w:type="dxa"/>
            <w:tcBorders>
              <w:top w:val="single" w:color="auto" w:sz="4" w:space="0"/>
              <w:left w:val="nil"/>
              <w:bottom w:val="single" w:color="auto" w:sz="4" w:space="0"/>
              <w:right w:val="single" w:color="auto" w:sz="4" w:space="0"/>
            </w:tcBorders>
            <w:noWrap w:val="0"/>
            <w:vAlign w:val="center"/>
          </w:tcPr>
          <w:p w14:paraId="419CD08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r>
      <w:tr w14:paraId="40B644EF">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7B2EB243">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投标有效期满足要求</w:t>
            </w:r>
          </w:p>
          <w:p w14:paraId="4E78CE6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13.1</w:t>
            </w:r>
            <w:r>
              <w:rPr>
                <w:rFonts w:hint="eastAsia" w:ascii="仿宋" w:hAnsi="仿宋" w:eastAsia="仿宋" w:cs="仿宋"/>
                <w:color w:val="auto"/>
                <w:kern w:val="0"/>
                <w:sz w:val="22"/>
                <w:szCs w:val="22"/>
                <w:highlight w:val="none"/>
                <w:lang w:eastAsia="zh-CN"/>
              </w:rPr>
              <w:t>)</w:t>
            </w:r>
          </w:p>
        </w:tc>
        <w:tc>
          <w:tcPr>
            <w:tcW w:w="2127" w:type="dxa"/>
            <w:tcBorders>
              <w:top w:val="single" w:color="auto" w:sz="4" w:space="0"/>
              <w:left w:val="nil"/>
              <w:bottom w:val="single" w:color="auto" w:sz="4" w:space="0"/>
              <w:right w:val="single" w:color="auto" w:sz="4" w:space="0"/>
            </w:tcBorders>
            <w:noWrap w:val="0"/>
            <w:vAlign w:val="center"/>
          </w:tcPr>
          <w:p w14:paraId="369F7BF5">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自提交投标文件截止之日起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90</w:t>
            </w:r>
            <w:r>
              <w:rPr>
                <w:rFonts w:hint="eastAsia" w:ascii="仿宋" w:hAnsi="仿宋" w:eastAsia="仿宋" w:cs="仿宋"/>
                <w:color w:val="auto"/>
                <w:szCs w:val="21"/>
                <w:highlight w:val="none"/>
                <w:u w:val="single"/>
              </w:rPr>
              <w:t xml:space="preserve"> 日</w:t>
            </w:r>
            <w:r>
              <w:rPr>
                <w:rFonts w:hint="eastAsia" w:ascii="仿宋" w:hAnsi="仿宋" w:eastAsia="仿宋" w:cs="仿宋"/>
                <w:color w:val="auto"/>
                <w:szCs w:val="21"/>
                <w:highlight w:val="none"/>
              </w:rPr>
              <w:t>历日内</w:t>
            </w:r>
          </w:p>
        </w:tc>
        <w:tc>
          <w:tcPr>
            <w:tcW w:w="1417" w:type="dxa"/>
            <w:tcBorders>
              <w:top w:val="single" w:color="auto" w:sz="4" w:space="0"/>
              <w:left w:val="nil"/>
              <w:bottom w:val="single" w:color="auto" w:sz="4" w:space="0"/>
              <w:right w:val="single" w:color="auto" w:sz="4" w:space="0"/>
            </w:tcBorders>
            <w:noWrap w:val="0"/>
            <w:vAlign w:val="center"/>
          </w:tcPr>
          <w:p w14:paraId="0664E2F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15DECE8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14:paraId="309D685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14:paraId="3F848AED">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4053A22F">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投标文件的签署和盖章符合要求</w:t>
            </w:r>
          </w:p>
          <w:p w14:paraId="0F56656E">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14.2</w:t>
            </w:r>
            <w:r>
              <w:rPr>
                <w:rFonts w:hint="eastAsia" w:ascii="仿宋" w:hAnsi="仿宋" w:eastAsia="仿宋" w:cs="仿宋"/>
                <w:color w:val="auto"/>
                <w:kern w:val="0"/>
                <w:sz w:val="22"/>
                <w:szCs w:val="22"/>
                <w:highlight w:val="none"/>
                <w:lang w:eastAsia="zh-CN"/>
              </w:rPr>
              <w:t>)</w:t>
            </w:r>
          </w:p>
        </w:tc>
        <w:tc>
          <w:tcPr>
            <w:tcW w:w="2127" w:type="dxa"/>
            <w:tcBorders>
              <w:top w:val="single" w:color="auto" w:sz="4" w:space="0"/>
              <w:left w:val="nil"/>
              <w:bottom w:val="single" w:color="auto" w:sz="4" w:space="0"/>
              <w:right w:val="single" w:color="auto" w:sz="4" w:space="0"/>
            </w:tcBorders>
            <w:noWrap w:val="0"/>
            <w:vAlign w:val="center"/>
          </w:tcPr>
          <w:p w14:paraId="4AB42669">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按照招标文件规定要求签署、盖章。</w:t>
            </w:r>
          </w:p>
        </w:tc>
        <w:tc>
          <w:tcPr>
            <w:tcW w:w="1417" w:type="dxa"/>
            <w:tcBorders>
              <w:top w:val="single" w:color="auto" w:sz="4" w:space="0"/>
              <w:left w:val="nil"/>
              <w:bottom w:val="single" w:color="auto" w:sz="4" w:space="0"/>
              <w:right w:val="single" w:color="auto" w:sz="4" w:space="0"/>
            </w:tcBorders>
            <w:noWrap w:val="0"/>
            <w:vAlign w:val="center"/>
          </w:tcPr>
          <w:p w14:paraId="70D32C1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E6AB9B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612" w:type="dxa"/>
            <w:tcBorders>
              <w:top w:val="single" w:color="auto" w:sz="4" w:space="0"/>
              <w:left w:val="nil"/>
              <w:bottom w:val="single" w:color="auto" w:sz="4" w:space="0"/>
              <w:right w:val="single" w:color="auto" w:sz="4" w:space="0"/>
            </w:tcBorders>
            <w:noWrap w:val="0"/>
            <w:vAlign w:val="center"/>
          </w:tcPr>
          <w:p w14:paraId="34325B3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r>
      <w:tr w14:paraId="5BD97C87">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7F6012AB">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接受价格的算术修正</w:t>
            </w:r>
          </w:p>
          <w:p w14:paraId="0DA498E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20.3</w:t>
            </w:r>
            <w:r>
              <w:rPr>
                <w:rFonts w:hint="eastAsia" w:ascii="仿宋" w:hAnsi="仿宋" w:eastAsia="仿宋" w:cs="仿宋"/>
                <w:color w:val="auto"/>
                <w:kern w:val="0"/>
                <w:sz w:val="22"/>
                <w:szCs w:val="22"/>
                <w:highlight w:val="none"/>
                <w:lang w:eastAsia="zh-CN"/>
              </w:rPr>
              <w:t>)</w:t>
            </w:r>
          </w:p>
        </w:tc>
        <w:tc>
          <w:tcPr>
            <w:tcW w:w="2127" w:type="dxa"/>
            <w:tcBorders>
              <w:top w:val="single" w:color="auto" w:sz="4" w:space="0"/>
              <w:left w:val="nil"/>
              <w:bottom w:val="single" w:color="auto" w:sz="4" w:space="0"/>
              <w:right w:val="single" w:color="auto" w:sz="4" w:space="0"/>
            </w:tcBorders>
            <w:noWrap w:val="0"/>
            <w:vAlign w:val="center"/>
          </w:tcPr>
          <w:p w14:paraId="1FB6524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投标文件报价出现前后不一致的，应按照招标文件规定的顺序修正。修正后的报价经投标人确认后产生约束力。</w:t>
            </w:r>
          </w:p>
        </w:tc>
        <w:tc>
          <w:tcPr>
            <w:tcW w:w="1417" w:type="dxa"/>
            <w:tcBorders>
              <w:top w:val="single" w:color="auto" w:sz="4" w:space="0"/>
              <w:left w:val="nil"/>
              <w:bottom w:val="single" w:color="auto" w:sz="4" w:space="0"/>
              <w:right w:val="single" w:color="auto" w:sz="4" w:space="0"/>
            </w:tcBorders>
            <w:noWrap w:val="0"/>
            <w:vAlign w:val="center"/>
          </w:tcPr>
          <w:p w14:paraId="3161FBF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5DC747D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14:paraId="60D7B4E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14:paraId="120076BB">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04958303">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符合强制采购节能产品要求</w:t>
            </w:r>
          </w:p>
          <w:p w14:paraId="63EC23A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20.6</w:t>
            </w:r>
            <w:r>
              <w:rPr>
                <w:rFonts w:hint="eastAsia" w:ascii="仿宋" w:hAnsi="仿宋" w:eastAsia="仿宋" w:cs="仿宋"/>
                <w:color w:val="auto"/>
                <w:kern w:val="0"/>
                <w:sz w:val="22"/>
                <w:szCs w:val="22"/>
                <w:highlight w:val="none"/>
                <w:lang w:eastAsia="zh-CN"/>
              </w:rPr>
              <w:t>)</w:t>
            </w:r>
          </w:p>
        </w:tc>
        <w:tc>
          <w:tcPr>
            <w:tcW w:w="2127" w:type="dxa"/>
            <w:tcBorders>
              <w:top w:val="single" w:color="auto" w:sz="4" w:space="0"/>
              <w:left w:val="nil"/>
              <w:bottom w:val="single" w:color="auto" w:sz="4" w:space="0"/>
              <w:right w:val="single" w:color="auto" w:sz="4" w:space="0"/>
            </w:tcBorders>
            <w:noWrap w:val="0"/>
            <w:vAlign w:val="center"/>
          </w:tcPr>
          <w:p w14:paraId="0BEA38F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本项目</w:t>
            </w:r>
            <w:r>
              <w:rPr>
                <w:rFonts w:hint="default" w:ascii="仿宋" w:hAnsi="仿宋" w:eastAsia="仿宋" w:cs="仿宋"/>
                <w:color w:val="auto"/>
                <w:kern w:val="0"/>
                <w:szCs w:val="21"/>
                <w:highlight w:val="none"/>
                <w:u w:val="single"/>
                <w:lang w:eastAsia="zh-CN"/>
              </w:rPr>
              <w:t>不</w:t>
            </w:r>
            <w:r>
              <w:rPr>
                <w:rFonts w:hint="eastAsia" w:ascii="仿宋" w:hAnsi="仿宋" w:eastAsia="仿宋" w:cs="仿宋"/>
                <w:i/>
                <w:iCs/>
                <w:color w:val="auto"/>
                <w:kern w:val="0"/>
                <w:szCs w:val="21"/>
                <w:highlight w:val="none"/>
                <w:u w:val="single"/>
                <w:lang w:eastAsia="zh-CN"/>
              </w:rPr>
              <w:t>适用</w:t>
            </w:r>
          </w:p>
        </w:tc>
        <w:tc>
          <w:tcPr>
            <w:tcW w:w="1417" w:type="dxa"/>
            <w:tcBorders>
              <w:top w:val="single" w:color="auto" w:sz="4" w:space="0"/>
              <w:left w:val="nil"/>
              <w:bottom w:val="single" w:color="auto" w:sz="4" w:space="0"/>
              <w:right w:val="single" w:color="auto" w:sz="4" w:space="0"/>
            </w:tcBorders>
            <w:noWrap w:val="0"/>
            <w:vAlign w:val="center"/>
          </w:tcPr>
          <w:p w14:paraId="2CBB995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3D92950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14:paraId="07B22DF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14:paraId="473B77BA">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0942BF09">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未发现串通投标（22.2）</w:t>
            </w:r>
          </w:p>
        </w:tc>
        <w:tc>
          <w:tcPr>
            <w:tcW w:w="2127" w:type="dxa"/>
            <w:tcBorders>
              <w:top w:val="single" w:color="auto" w:sz="4" w:space="0"/>
              <w:left w:val="nil"/>
              <w:bottom w:val="single" w:color="auto" w:sz="4" w:space="0"/>
              <w:right w:val="single" w:color="auto" w:sz="4" w:space="0"/>
            </w:tcBorders>
            <w:noWrap w:val="0"/>
            <w:vAlign w:val="center"/>
          </w:tcPr>
          <w:p w14:paraId="56FF220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未与其他投标人串通投标，或者与招标人串通投标。</w:t>
            </w:r>
          </w:p>
        </w:tc>
        <w:tc>
          <w:tcPr>
            <w:tcW w:w="1417" w:type="dxa"/>
            <w:tcBorders>
              <w:top w:val="single" w:color="auto" w:sz="4" w:space="0"/>
              <w:left w:val="nil"/>
              <w:bottom w:val="single" w:color="auto" w:sz="4" w:space="0"/>
              <w:right w:val="single" w:color="auto" w:sz="4" w:space="0"/>
            </w:tcBorders>
            <w:noWrap w:val="0"/>
            <w:vAlign w:val="center"/>
          </w:tcPr>
          <w:p w14:paraId="772D565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7010669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14:paraId="3C0823E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14:paraId="71A64A3C">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387DC86F">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报价说明可以接受（22.2）</w:t>
            </w:r>
          </w:p>
        </w:tc>
        <w:tc>
          <w:tcPr>
            <w:tcW w:w="2127" w:type="dxa"/>
            <w:tcBorders>
              <w:top w:val="single" w:color="auto" w:sz="4" w:space="0"/>
              <w:left w:val="nil"/>
              <w:bottom w:val="single" w:color="auto" w:sz="4" w:space="0"/>
              <w:right w:val="single" w:color="auto" w:sz="4" w:space="0"/>
            </w:tcBorders>
            <w:noWrap w:val="0"/>
            <w:vAlign w:val="center"/>
          </w:tcPr>
          <w:p w14:paraId="703E8244">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投标人的报价明显低于其他通过符合性检查投标人的报价，有可能影响履约的，投标人能按照规定证明其报价合理性。</w:t>
            </w:r>
          </w:p>
        </w:tc>
        <w:tc>
          <w:tcPr>
            <w:tcW w:w="1417" w:type="dxa"/>
            <w:tcBorders>
              <w:top w:val="single" w:color="auto" w:sz="4" w:space="0"/>
              <w:left w:val="nil"/>
              <w:bottom w:val="single" w:color="auto" w:sz="4" w:space="0"/>
              <w:right w:val="single" w:color="auto" w:sz="4" w:space="0"/>
            </w:tcBorders>
            <w:noWrap w:val="0"/>
            <w:vAlign w:val="center"/>
          </w:tcPr>
          <w:p w14:paraId="0CCAF76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1B75D3D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14:paraId="1A09B65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14:paraId="0EF8D2EB">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1E2A5FCE">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无采购人不能接受的附加条件（22.2）</w:t>
            </w:r>
          </w:p>
        </w:tc>
        <w:tc>
          <w:tcPr>
            <w:tcW w:w="2127" w:type="dxa"/>
            <w:tcBorders>
              <w:top w:val="single" w:color="auto" w:sz="4" w:space="0"/>
              <w:left w:val="nil"/>
              <w:bottom w:val="single" w:color="auto" w:sz="4" w:space="0"/>
              <w:right w:val="single" w:color="auto" w:sz="4" w:space="0"/>
            </w:tcBorders>
            <w:noWrap w:val="0"/>
            <w:vAlign w:val="center"/>
          </w:tcPr>
          <w:p w14:paraId="0F08A90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投标文件未含有采购人不能接受的附加条件。</w:t>
            </w:r>
          </w:p>
        </w:tc>
        <w:tc>
          <w:tcPr>
            <w:tcW w:w="1417" w:type="dxa"/>
            <w:tcBorders>
              <w:top w:val="single" w:color="auto" w:sz="4" w:space="0"/>
              <w:left w:val="nil"/>
              <w:bottom w:val="single" w:color="auto" w:sz="4" w:space="0"/>
              <w:right w:val="single" w:color="auto" w:sz="4" w:space="0"/>
            </w:tcBorders>
            <w:noWrap w:val="0"/>
            <w:vAlign w:val="center"/>
          </w:tcPr>
          <w:p w14:paraId="0F8CCA2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B3002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612" w:type="dxa"/>
            <w:tcBorders>
              <w:top w:val="single" w:color="auto" w:sz="4" w:space="0"/>
              <w:left w:val="nil"/>
              <w:bottom w:val="single" w:color="auto" w:sz="4" w:space="0"/>
              <w:right w:val="single" w:color="auto" w:sz="4" w:space="0"/>
            </w:tcBorders>
            <w:noWrap w:val="0"/>
            <w:vAlign w:val="center"/>
          </w:tcPr>
          <w:p w14:paraId="7A00089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r>
      <w:tr w14:paraId="42357380">
        <w:tblPrEx>
          <w:tblCellMar>
            <w:top w:w="0" w:type="dxa"/>
            <w:left w:w="108" w:type="dxa"/>
            <w:bottom w:w="0" w:type="dxa"/>
            <w:right w:w="108" w:type="dxa"/>
          </w:tblCellMar>
        </w:tblPrEx>
        <w:trPr>
          <w:trHeight w:val="774" w:hRule="atLeast"/>
        </w:trPr>
        <w:tc>
          <w:tcPr>
            <w:tcW w:w="4253" w:type="dxa"/>
            <w:gridSpan w:val="2"/>
            <w:tcBorders>
              <w:top w:val="single" w:color="auto" w:sz="4" w:space="0"/>
              <w:left w:val="single" w:color="auto" w:sz="4" w:space="0"/>
              <w:bottom w:val="single" w:color="auto" w:sz="4" w:space="0"/>
              <w:right w:val="single" w:color="auto" w:sz="4" w:space="0"/>
            </w:tcBorders>
            <w:noWrap w:val="0"/>
            <w:vAlign w:val="center"/>
          </w:tcPr>
          <w:p w14:paraId="5AF4BB56">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Cs w:val="21"/>
                <w:highlight w:val="none"/>
              </w:rPr>
            </w:pPr>
            <w:r>
              <w:rPr>
                <w:rFonts w:hint="eastAsia" w:ascii="仿宋" w:hAnsi="仿宋" w:eastAsia="仿宋" w:cs="仿宋"/>
                <w:b/>
                <w:color w:val="auto"/>
                <w:kern w:val="0"/>
                <w:sz w:val="22"/>
                <w:szCs w:val="22"/>
                <w:highlight w:val="none"/>
              </w:rPr>
              <w:t>结论</w:t>
            </w:r>
          </w:p>
        </w:tc>
        <w:tc>
          <w:tcPr>
            <w:tcW w:w="1417" w:type="dxa"/>
            <w:tcBorders>
              <w:top w:val="single" w:color="auto" w:sz="4" w:space="0"/>
              <w:left w:val="nil"/>
              <w:bottom w:val="single" w:color="auto" w:sz="4" w:space="0"/>
              <w:right w:val="single" w:color="auto" w:sz="4" w:space="0"/>
            </w:tcBorders>
            <w:noWrap w:val="0"/>
            <w:vAlign w:val="center"/>
          </w:tcPr>
          <w:p w14:paraId="361EBDA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098032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p>
        </w:tc>
        <w:tc>
          <w:tcPr>
            <w:tcW w:w="1612" w:type="dxa"/>
            <w:tcBorders>
              <w:top w:val="single" w:color="auto" w:sz="4" w:space="0"/>
              <w:left w:val="nil"/>
              <w:bottom w:val="single" w:color="auto" w:sz="4" w:space="0"/>
              <w:right w:val="single" w:color="auto" w:sz="4" w:space="0"/>
            </w:tcBorders>
            <w:noWrap w:val="0"/>
            <w:vAlign w:val="center"/>
          </w:tcPr>
          <w:p w14:paraId="56762A39">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p>
        </w:tc>
      </w:tr>
    </w:tbl>
    <w:p w14:paraId="691CFABE">
      <w:pPr>
        <w:pStyle w:val="39"/>
        <w:ind w:left="0" w:leftChars="0" w:firstLine="0" w:firstLineChars="0"/>
        <w:jc w:val="center"/>
        <w:rPr>
          <w:rFonts w:hint="eastAsia" w:ascii="仿宋" w:hAnsi="仿宋" w:eastAsia="仿宋" w:cs="仿宋"/>
        </w:rPr>
        <w:sectPr>
          <w:footerReference r:id="rId12" w:type="default"/>
          <w:pgSz w:w="11910" w:h="16840"/>
          <w:pgMar w:top="1440" w:right="1797" w:bottom="1440" w:left="1797" w:header="0" w:footer="913"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rPr>
        <w:br w:type="page"/>
      </w:r>
      <w:bookmarkStart w:id="513" w:name="_Toc507399904"/>
    </w:p>
    <w:p w14:paraId="1E1BB42E">
      <w:pPr>
        <w:jc w:val="center"/>
        <w:rPr>
          <w:rFonts w:hint="eastAsia" w:ascii="仿宋" w:hAnsi="仿宋" w:eastAsia="仿宋" w:cs="仿宋"/>
          <w:b/>
          <w:snapToGrid w:val="0"/>
          <w:color w:val="000000"/>
          <w:kern w:val="2"/>
          <w:sz w:val="30"/>
          <w:szCs w:val="30"/>
          <w:lang w:val="en-US" w:eastAsia="zh-CN" w:bidi="zh-CN"/>
        </w:rPr>
      </w:pPr>
      <w:r>
        <w:rPr>
          <w:rFonts w:hint="eastAsia" w:ascii="仿宋" w:hAnsi="仿宋" w:eastAsia="仿宋" w:cs="仿宋"/>
          <w:b/>
          <w:snapToGrid w:val="0"/>
          <w:color w:val="000000"/>
          <w:kern w:val="2"/>
          <w:sz w:val="30"/>
          <w:szCs w:val="30"/>
          <w:lang w:val="en-US" w:eastAsia="zh-CN" w:bidi="zh-CN"/>
        </w:rPr>
        <w:t>综合评分表</w:t>
      </w:r>
    </w:p>
    <w:tbl>
      <w:tblPr>
        <w:tblStyle w:val="41"/>
        <w:tblpPr w:leftFromText="180" w:rightFromText="180" w:vertAnchor="text" w:horzAnchor="page" w:tblpX="1320" w:tblpY="287"/>
        <w:tblOverlap w:val="never"/>
        <w:tblW w:w="56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201"/>
        <w:gridCol w:w="993"/>
        <w:gridCol w:w="6097"/>
      </w:tblGrid>
      <w:tr w14:paraId="6DCC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85" w:type="pct"/>
            <w:noWrap w:val="0"/>
            <w:vAlign w:val="center"/>
          </w:tcPr>
          <w:p w14:paraId="0239F8F3">
            <w:pPr>
              <w:pStyle w:val="95"/>
              <w:keepNext w:val="0"/>
              <w:keepLines w:val="0"/>
              <w:widowControl w:val="0"/>
              <w:suppressLineNumbers w:val="0"/>
              <w:spacing w:before="0" w:beforeLines="0" w:beforeAutospacing="0" w:after="0" w:afterLines="0" w:afterAutospacing="0" w:line="360" w:lineRule="auto"/>
              <w:ind w:left="0" w:leftChars="0" w:right="0"/>
              <w:jc w:val="center"/>
              <w:rPr>
                <w:rFonts w:hint="eastAsia" w:ascii="仿宋" w:hAnsi="仿宋" w:eastAsia="仿宋" w:cs="仿宋"/>
                <w:b/>
                <w:kern w:val="2"/>
                <w:sz w:val="22"/>
                <w:szCs w:val="22"/>
                <w:lang w:val="zh-CN" w:eastAsia="zh-CN" w:bidi="zh-CN"/>
              </w:rPr>
            </w:pPr>
            <w:r>
              <w:rPr>
                <w:rFonts w:hint="eastAsia" w:ascii="仿宋" w:hAnsi="仿宋" w:eastAsia="仿宋" w:cs="仿宋"/>
                <w:b/>
                <w:kern w:val="2"/>
                <w:sz w:val="22"/>
                <w:szCs w:val="22"/>
                <w:lang w:val="en-US" w:eastAsia="zh-CN" w:bidi="zh-CN"/>
              </w:rPr>
              <w:t>评标项目</w:t>
            </w:r>
          </w:p>
        </w:tc>
        <w:tc>
          <w:tcPr>
            <w:tcW w:w="624" w:type="pct"/>
            <w:noWrap w:val="0"/>
            <w:vAlign w:val="center"/>
          </w:tcPr>
          <w:p w14:paraId="557BD888">
            <w:pPr>
              <w:pStyle w:val="95"/>
              <w:keepNext w:val="0"/>
              <w:keepLines w:val="0"/>
              <w:widowControl w:val="0"/>
              <w:suppressLineNumbers w:val="0"/>
              <w:spacing w:before="1" w:beforeLines="0" w:beforeAutospacing="0" w:after="0" w:afterLines="0" w:afterAutospacing="0" w:line="360" w:lineRule="auto"/>
              <w:ind w:left="189" w:leftChars="0" w:right="178" w:rightChars="0"/>
              <w:jc w:val="center"/>
              <w:rPr>
                <w:rFonts w:hint="eastAsia" w:ascii="仿宋" w:hAnsi="仿宋" w:eastAsia="仿宋" w:cs="仿宋"/>
                <w:b/>
                <w:kern w:val="2"/>
                <w:sz w:val="22"/>
                <w:szCs w:val="22"/>
                <w:lang w:val="en-US" w:eastAsia="zh-CN" w:bidi="zh-CN"/>
              </w:rPr>
            </w:pPr>
            <w:r>
              <w:rPr>
                <w:rFonts w:hint="eastAsia" w:ascii="仿宋" w:hAnsi="仿宋" w:eastAsia="仿宋" w:cs="仿宋"/>
                <w:b/>
                <w:kern w:val="2"/>
                <w:sz w:val="22"/>
                <w:szCs w:val="22"/>
                <w:lang w:val="en-US" w:eastAsia="zh-CN" w:bidi="zh-CN"/>
              </w:rPr>
              <w:t>分项</w:t>
            </w:r>
          </w:p>
        </w:tc>
        <w:tc>
          <w:tcPr>
            <w:tcW w:w="516" w:type="pct"/>
            <w:noWrap w:val="0"/>
            <w:vAlign w:val="center"/>
          </w:tcPr>
          <w:p w14:paraId="07B0A52B">
            <w:pPr>
              <w:pStyle w:val="95"/>
              <w:keepNext w:val="0"/>
              <w:keepLines w:val="0"/>
              <w:widowControl w:val="0"/>
              <w:suppressLineNumbers w:val="0"/>
              <w:spacing w:before="1" w:beforeLines="0" w:beforeAutospacing="0" w:after="0" w:afterLines="0" w:afterAutospacing="0" w:line="360" w:lineRule="auto"/>
              <w:ind w:left="178" w:leftChars="0" w:right="170" w:rightChars="0"/>
              <w:jc w:val="both"/>
              <w:rPr>
                <w:rFonts w:hint="eastAsia" w:ascii="仿宋" w:hAnsi="仿宋" w:eastAsia="仿宋" w:cs="仿宋"/>
                <w:b/>
                <w:kern w:val="2"/>
                <w:sz w:val="22"/>
                <w:szCs w:val="22"/>
                <w:lang w:val="zh-CN" w:eastAsia="zh-CN" w:bidi="zh-CN"/>
              </w:rPr>
            </w:pPr>
            <w:r>
              <w:rPr>
                <w:rFonts w:hint="eastAsia" w:ascii="仿宋" w:hAnsi="仿宋" w:eastAsia="仿宋" w:cs="仿宋"/>
                <w:b/>
                <w:kern w:val="2"/>
                <w:sz w:val="22"/>
                <w:szCs w:val="22"/>
                <w:lang w:val="en-US" w:eastAsia="zh-CN" w:bidi="zh-CN"/>
              </w:rPr>
              <w:t>分值</w:t>
            </w:r>
          </w:p>
        </w:tc>
        <w:tc>
          <w:tcPr>
            <w:tcW w:w="3172" w:type="pct"/>
            <w:noWrap w:val="0"/>
            <w:vAlign w:val="center"/>
          </w:tcPr>
          <w:p w14:paraId="120E6E6F">
            <w:pPr>
              <w:pStyle w:val="95"/>
              <w:keepNext w:val="0"/>
              <w:keepLines w:val="0"/>
              <w:widowControl w:val="0"/>
              <w:suppressLineNumbers w:val="0"/>
              <w:spacing w:before="0" w:beforeLines="0" w:beforeAutospacing="0" w:after="0" w:afterLines="0" w:afterAutospacing="0" w:line="360" w:lineRule="auto"/>
              <w:ind w:left="0" w:right="0" w:rightChars="0"/>
              <w:jc w:val="center"/>
              <w:rPr>
                <w:rFonts w:hint="eastAsia" w:ascii="仿宋" w:hAnsi="仿宋" w:eastAsia="仿宋" w:cs="仿宋"/>
                <w:b/>
                <w:kern w:val="2"/>
                <w:sz w:val="22"/>
                <w:szCs w:val="22"/>
                <w:lang w:val="zh-CN" w:eastAsia="zh-CN" w:bidi="zh-CN"/>
              </w:rPr>
            </w:pPr>
            <w:r>
              <w:rPr>
                <w:rFonts w:hint="eastAsia" w:ascii="仿宋" w:hAnsi="仿宋" w:eastAsia="仿宋" w:cs="仿宋"/>
                <w:b/>
                <w:kern w:val="2"/>
                <w:sz w:val="22"/>
                <w:szCs w:val="22"/>
                <w:lang w:val="en-US" w:eastAsia="zh-CN" w:bidi="zh-CN"/>
              </w:rPr>
              <w:t>评审项目及分值</w:t>
            </w:r>
          </w:p>
        </w:tc>
      </w:tr>
      <w:tr w14:paraId="3DEF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85" w:type="pct"/>
            <w:noWrap w:val="0"/>
            <w:vAlign w:val="center"/>
          </w:tcPr>
          <w:p w14:paraId="6DF674A9">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eastAsia="zh-CN"/>
              </w:rPr>
            </w:pPr>
          </w:p>
          <w:p w14:paraId="39F494E6">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价格评审</w:t>
            </w:r>
          </w:p>
          <w:p w14:paraId="35789540">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p>
        </w:tc>
        <w:tc>
          <w:tcPr>
            <w:tcW w:w="624" w:type="pct"/>
            <w:noWrap w:val="0"/>
            <w:vAlign w:val="center"/>
          </w:tcPr>
          <w:p w14:paraId="68A6B3DF">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zh-CN" w:eastAsia="zh-CN"/>
              </w:rPr>
            </w:pPr>
            <w:r>
              <w:rPr>
                <w:rFonts w:hint="eastAsia" w:ascii="仿宋" w:hAnsi="仿宋" w:eastAsia="仿宋" w:cs="仿宋"/>
                <w:color w:val="auto"/>
                <w:sz w:val="22"/>
                <w:szCs w:val="22"/>
                <w:lang w:eastAsia="zh-CN"/>
              </w:rPr>
              <w:t>报价得分</w:t>
            </w:r>
          </w:p>
        </w:tc>
        <w:tc>
          <w:tcPr>
            <w:tcW w:w="516" w:type="pct"/>
            <w:noWrap w:val="0"/>
            <w:vAlign w:val="center"/>
          </w:tcPr>
          <w:p w14:paraId="0E9E7C2B">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10分</w:t>
            </w:r>
          </w:p>
        </w:tc>
        <w:tc>
          <w:tcPr>
            <w:tcW w:w="3172" w:type="pct"/>
            <w:noWrap w:val="0"/>
            <w:vAlign w:val="top"/>
          </w:tcPr>
          <w:p w14:paraId="066E1EA5">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1.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投标报价得分=（评标基准价/投标报价）×</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lang w:eastAsia="zh-CN"/>
              </w:rPr>
              <w:t>0%×100（计算分值时，百分比按四舍五入原则，保留小数点后二位数）</w:t>
            </w:r>
          </w:p>
          <w:p w14:paraId="193422D3">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2.（因落实政府采购政策进行价格扣除的，以扣除后的价格计算评标基准价和投标报价）</w:t>
            </w:r>
            <w:r>
              <w:rPr>
                <w:rFonts w:hint="eastAsia" w:ascii="仿宋" w:hAnsi="仿宋" w:eastAsia="仿宋" w:cs="仿宋"/>
                <w:b/>
                <w:bCs/>
                <w:snapToGrid w:val="0"/>
                <w:color w:val="FF0000"/>
                <w:kern w:val="2"/>
                <w:sz w:val="20"/>
                <w:szCs w:val="20"/>
                <w:u w:val="none"/>
                <w:lang w:val="en-US" w:eastAsia="zh-CN" w:bidi="ar-SA"/>
              </w:rPr>
              <w:t>本项目给予小微企业报价给予10%价格扣除。</w:t>
            </w:r>
          </w:p>
          <w:p w14:paraId="6E5B62FD">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eastAsia="zh-CN"/>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仿宋" w:hAnsi="仿宋" w:eastAsia="仿宋" w:cs="仿宋"/>
                <w:color w:val="auto"/>
                <w:sz w:val="22"/>
                <w:szCs w:val="22"/>
                <w:lang w:val="en-US" w:eastAsia="zh-CN"/>
              </w:rPr>
              <w:t>投标报价超过采购预算价的按废标处理。</w:t>
            </w:r>
          </w:p>
          <w:p w14:paraId="5BDA95BF">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3.评标期间，评标委员会根据关于推动解决政府采购异常低价问题的通知财库〔2026〕2号强化政府采购启动异常低价审查，采购人结合项目实际情况，启动异常低价投标（响应）审查的数值标准为65%。</w:t>
            </w:r>
          </w:p>
        </w:tc>
      </w:tr>
      <w:tr w14:paraId="4484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85" w:type="pct"/>
            <w:vMerge w:val="restart"/>
            <w:noWrap w:val="0"/>
            <w:vAlign w:val="center"/>
          </w:tcPr>
          <w:p w14:paraId="15F16C2D">
            <w:pPr>
              <w:pStyle w:val="95"/>
              <w:keepNext w:val="0"/>
              <w:keepLines w:val="0"/>
              <w:widowControl w:val="0"/>
              <w:suppressLineNumbers w:val="0"/>
              <w:spacing w:before="0" w:beforeLines="0" w:beforeAutospacing="0" w:after="0" w:afterLines="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商务评审</w:t>
            </w:r>
          </w:p>
          <w:p w14:paraId="4190D8EA">
            <w:pPr>
              <w:pStyle w:val="88"/>
              <w:keepNext w:val="0"/>
              <w:keepLines w:val="0"/>
              <w:widowControl w:val="0"/>
              <w:numPr>
                <w:ilvl w:val="0"/>
                <w:numId w:val="0"/>
              </w:numPr>
              <w:suppressLineNumbers w:val="0"/>
              <w:tabs>
                <w:tab w:val="left" w:pos="1653"/>
              </w:tabs>
              <w:spacing w:before="0" w:beforeAutospacing="0" w:after="0" w:afterAutospacing="0" w:line="360" w:lineRule="auto"/>
              <w:ind w:left="0" w:leftChars="0" w:right="0" w:rightChars="0" w:firstLine="0" w:firstLineChars="0"/>
              <w:jc w:val="center"/>
              <w:rPr>
                <w:rFonts w:hint="eastAsia" w:ascii="仿宋" w:hAnsi="仿宋" w:eastAsia="仿宋" w:cs="仿宋"/>
                <w:b/>
                <w:color w:val="auto"/>
                <w:kern w:val="2"/>
                <w:sz w:val="22"/>
                <w:szCs w:val="22"/>
                <w:highlight w:val="none"/>
                <w:vertAlign w:val="baseline"/>
                <w:lang w:val="en-US" w:eastAsia="zh-CN" w:bidi="ar-SA"/>
              </w:rPr>
            </w:pPr>
            <w:r>
              <w:rPr>
                <w:rFonts w:hint="eastAsia" w:ascii="仿宋" w:hAnsi="仿宋" w:eastAsia="仿宋" w:cs="仿宋"/>
                <w:b w:val="0"/>
                <w:bCs/>
                <w:color w:val="auto"/>
                <w:sz w:val="22"/>
                <w:szCs w:val="22"/>
                <w:highlight w:val="none"/>
                <w:vertAlign w:val="baseline"/>
                <w:lang w:val="en-US" w:eastAsia="zh-CN"/>
              </w:rPr>
              <w:t>25分</w:t>
            </w:r>
          </w:p>
          <w:p w14:paraId="6B3658F4">
            <w:pPr>
              <w:pStyle w:val="88"/>
              <w:keepNext w:val="0"/>
              <w:keepLines w:val="0"/>
              <w:widowControl w:val="0"/>
              <w:numPr>
                <w:ilvl w:val="0"/>
                <w:numId w:val="0"/>
              </w:numPr>
              <w:suppressLineNumbers w:val="0"/>
              <w:tabs>
                <w:tab w:val="left" w:pos="1653"/>
              </w:tabs>
              <w:spacing w:before="0" w:beforeAutospacing="0" w:after="0" w:afterAutospacing="0" w:line="360" w:lineRule="auto"/>
              <w:ind w:right="0" w:rightChars="0"/>
              <w:jc w:val="center"/>
              <w:rPr>
                <w:rFonts w:hint="eastAsia" w:ascii="仿宋" w:hAnsi="仿宋" w:eastAsia="仿宋" w:cs="仿宋"/>
                <w:b/>
                <w:sz w:val="22"/>
                <w:szCs w:val="22"/>
                <w:highlight w:val="yellow"/>
                <w:vertAlign w:val="baseline"/>
                <w:lang w:val="en-US" w:eastAsia="zh-CN"/>
              </w:rPr>
            </w:pPr>
          </w:p>
        </w:tc>
        <w:tc>
          <w:tcPr>
            <w:tcW w:w="624" w:type="pct"/>
            <w:noWrap w:val="0"/>
            <w:vAlign w:val="center"/>
          </w:tcPr>
          <w:p w14:paraId="4BA68491">
            <w:pPr>
              <w:pStyle w:val="95"/>
              <w:keepNext w:val="0"/>
              <w:keepLines w:val="0"/>
              <w:widowControl w:val="0"/>
              <w:numPr>
                <w:ilvl w:val="0"/>
                <w:numId w:val="0"/>
              </w:numPr>
              <w:suppressLineNumbers w:val="0"/>
              <w:spacing w:before="0" w:beforeAutospacing="0" w:after="0" w:afterAutospacing="0" w:line="360" w:lineRule="auto"/>
              <w:ind w:left="0" w:right="0" w:rightChars="0"/>
              <w:rPr>
                <w:rFonts w:hint="default" w:ascii="仿宋" w:hAnsi="仿宋" w:eastAsia="仿宋" w:cs="仿宋"/>
                <w:color w:val="auto"/>
                <w:sz w:val="22"/>
                <w:szCs w:val="22"/>
                <w:lang w:val="en-US" w:eastAsia="zh-CN"/>
              </w:rPr>
            </w:pPr>
            <w:r>
              <w:rPr>
                <w:rFonts w:hint="eastAsia" w:ascii="仿宋" w:hAnsi="仿宋" w:eastAsia="仿宋" w:cs="仿宋"/>
                <w:color w:val="auto"/>
                <w:kern w:val="2"/>
                <w:sz w:val="22"/>
                <w:szCs w:val="22"/>
                <w:rtl w:val="0"/>
                <w:cs w:val="0"/>
                <w:lang w:val="en-US" w:eastAsia="zh-CN" w:bidi="zh-CN"/>
              </w:rPr>
              <w:t>履约经验</w:t>
            </w:r>
          </w:p>
        </w:tc>
        <w:tc>
          <w:tcPr>
            <w:tcW w:w="516" w:type="pct"/>
            <w:noWrap w:val="0"/>
            <w:vAlign w:val="center"/>
          </w:tcPr>
          <w:p w14:paraId="0EC3DAEB">
            <w:pPr>
              <w:pStyle w:val="95"/>
              <w:keepNext w:val="0"/>
              <w:keepLines w:val="0"/>
              <w:widowControl w:val="0"/>
              <w:numPr>
                <w:ilvl w:val="0"/>
                <w:numId w:val="0"/>
              </w:numPr>
              <w:suppressLineNumbers w:val="0"/>
              <w:spacing w:before="0" w:beforeAutospacing="0" w:after="0" w:afterAutospacing="0" w:line="360" w:lineRule="auto"/>
              <w:ind w:left="0" w:right="0" w:rightChars="0"/>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4分</w:t>
            </w:r>
          </w:p>
        </w:tc>
        <w:tc>
          <w:tcPr>
            <w:tcW w:w="3172" w:type="pct"/>
            <w:noWrap w:val="0"/>
            <w:vAlign w:val="top"/>
          </w:tcPr>
          <w:p w14:paraId="402231A0">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kern w:val="2"/>
                <w:sz w:val="22"/>
                <w:szCs w:val="22"/>
                <w:cs w:val="0"/>
                <w:lang w:val="en-US" w:eastAsia="zh-CN" w:bidi="zh-CN"/>
              </w:rPr>
              <w:t>投标单位有</w:t>
            </w:r>
            <w:r>
              <w:rPr>
                <w:rFonts w:hint="eastAsia" w:ascii="仿宋" w:hAnsi="仿宋" w:eastAsia="仿宋" w:cs="仿宋"/>
                <w:color w:val="FF0000"/>
                <w:kern w:val="2"/>
                <w:sz w:val="22"/>
                <w:szCs w:val="22"/>
                <w:cs w:val="0"/>
                <w:lang w:val="en-US" w:eastAsia="zh-CN" w:bidi="zh-CN"/>
              </w:rPr>
              <w:t>类似项目</w:t>
            </w:r>
            <w:r>
              <w:rPr>
                <w:rFonts w:hint="eastAsia" w:ascii="仿宋" w:hAnsi="仿宋" w:eastAsia="仿宋" w:cs="仿宋"/>
                <w:color w:val="auto"/>
                <w:kern w:val="2"/>
                <w:sz w:val="22"/>
                <w:szCs w:val="22"/>
                <w:cs w:val="0"/>
                <w:lang w:val="en-US" w:eastAsia="zh-CN" w:bidi="zh-CN"/>
              </w:rPr>
              <w:t>履约记录；提供1套得2分，最多4分。（中标（成交）结果公告网站截图、中标（成交）通知书、合同）</w:t>
            </w:r>
          </w:p>
        </w:tc>
      </w:tr>
      <w:tr w14:paraId="6C2D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85" w:type="pct"/>
            <w:vMerge w:val="continue"/>
            <w:noWrap w:val="0"/>
            <w:vAlign w:val="center"/>
          </w:tcPr>
          <w:p w14:paraId="6467702E">
            <w:pPr>
              <w:pStyle w:val="88"/>
              <w:keepNext w:val="0"/>
              <w:keepLines w:val="0"/>
              <w:widowControl w:val="0"/>
              <w:numPr>
                <w:ilvl w:val="0"/>
                <w:numId w:val="0"/>
              </w:numPr>
              <w:suppressLineNumbers w:val="0"/>
              <w:tabs>
                <w:tab w:val="left" w:pos="1653"/>
              </w:tabs>
              <w:spacing w:before="0" w:beforeAutospacing="0" w:after="0" w:afterAutospacing="0" w:line="360" w:lineRule="auto"/>
              <w:ind w:right="0" w:rightChars="0"/>
              <w:jc w:val="center"/>
              <w:rPr>
                <w:rFonts w:hint="eastAsia" w:ascii="仿宋" w:hAnsi="仿宋" w:eastAsia="仿宋" w:cs="仿宋"/>
                <w:b/>
                <w:sz w:val="22"/>
                <w:szCs w:val="22"/>
                <w:highlight w:val="yellow"/>
                <w:vertAlign w:val="baseline"/>
                <w:lang w:val="en-US" w:eastAsia="zh-CN"/>
              </w:rPr>
            </w:pPr>
          </w:p>
        </w:tc>
        <w:tc>
          <w:tcPr>
            <w:tcW w:w="624" w:type="pct"/>
            <w:vMerge w:val="restart"/>
            <w:noWrap w:val="0"/>
            <w:vAlign w:val="center"/>
          </w:tcPr>
          <w:p w14:paraId="6335A569">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履约能力</w:t>
            </w:r>
          </w:p>
        </w:tc>
        <w:tc>
          <w:tcPr>
            <w:tcW w:w="516" w:type="pct"/>
            <w:noWrap w:val="0"/>
            <w:vAlign w:val="center"/>
          </w:tcPr>
          <w:p w14:paraId="6DDA464E">
            <w:pPr>
              <w:pStyle w:val="95"/>
              <w:keepNext w:val="0"/>
              <w:keepLines w:val="0"/>
              <w:widowControl w:val="0"/>
              <w:numPr>
                <w:ilvl w:val="0"/>
                <w:numId w:val="0"/>
              </w:numPr>
              <w:suppressLineNumbers w:val="0"/>
              <w:spacing w:before="0" w:beforeAutospacing="0" w:after="0" w:afterAutospacing="0" w:line="360" w:lineRule="auto"/>
              <w:ind w:left="0" w:right="0" w:rightChars="0"/>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3分</w:t>
            </w:r>
          </w:p>
        </w:tc>
        <w:tc>
          <w:tcPr>
            <w:tcW w:w="3172" w:type="pct"/>
            <w:noWrap w:val="0"/>
            <w:vAlign w:val="top"/>
          </w:tcPr>
          <w:p w14:paraId="2274FC77">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投标单位所投产品品牌方具有自有水效实验室（提供中国水效标识网查询截图）得3分，不提供不得分。</w:t>
            </w:r>
          </w:p>
        </w:tc>
      </w:tr>
      <w:tr w14:paraId="7073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85" w:type="pct"/>
            <w:vMerge w:val="continue"/>
            <w:noWrap w:val="0"/>
            <w:vAlign w:val="center"/>
          </w:tcPr>
          <w:p w14:paraId="4396BA5A">
            <w:pPr>
              <w:pStyle w:val="88"/>
              <w:keepNext w:val="0"/>
              <w:keepLines w:val="0"/>
              <w:widowControl w:val="0"/>
              <w:numPr>
                <w:ilvl w:val="0"/>
                <w:numId w:val="0"/>
              </w:numPr>
              <w:suppressLineNumbers w:val="0"/>
              <w:tabs>
                <w:tab w:val="left" w:pos="1653"/>
              </w:tabs>
              <w:spacing w:before="0" w:beforeAutospacing="0" w:after="0" w:afterAutospacing="0" w:line="360" w:lineRule="auto"/>
              <w:ind w:right="0" w:rightChars="0"/>
              <w:jc w:val="center"/>
              <w:rPr>
                <w:rFonts w:hint="eastAsia" w:ascii="仿宋" w:hAnsi="仿宋" w:eastAsia="仿宋" w:cs="仿宋"/>
                <w:b/>
                <w:sz w:val="22"/>
                <w:szCs w:val="22"/>
                <w:highlight w:val="yellow"/>
                <w:vertAlign w:val="baseline"/>
                <w:lang w:val="en-US" w:eastAsia="zh-CN"/>
              </w:rPr>
            </w:pPr>
          </w:p>
        </w:tc>
        <w:tc>
          <w:tcPr>
            <w:tcW w:w="624" w:type="pct"/>
            <w:vMerge w:val="continue"/>
            <w:noWrap w:val="0"/>
            <w:vAlign w:val="center"/>
          </w:tcPr>
          <w:p w14:paraId="377A5559">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p>
        </w:tc>
        <w:tc>
          <w:tcPr>
            <w:tcW w:w="516" w:type="pct"/>
            <w:noWrap w:val="0"/>
            <w:vAlign w:val="center"/>
          </w:tcPr>
          <w:p w14:paraId="5242D29E">
            <w:pPr>
              <w:pStyle w:val="95"/>
              <w:keepNext w:val="0"/>
              <w:keepLines w:val="0"/>
              <w:widowControl w:val="0"/>
              <w:numPr>
                <w:ilvl w:val="0"/>
                <w:numId w:val="0"/>
              </w:numPr>
              <w:suppressLineNumbers w:val="0"/>
              <w:spacing w:before="0" w:beforeAutospacing="0" w:after="0" w:afterAutospacing="0" w:line="360" w:lineRule="auto"/>
              <w:ind w:left="0" w:right="0" w:rightChars="0"/>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eastAsia="zh-CN"/>
              </w:rPr>
              <w:t>4</w:t>
            </w:r>
            <w:r>
              <w:rPr>
                <w:rFonts w:hint="eastAsia" w:ascii="仿宋" w:hAnsi="仿宋" w:eastAsia="仿宋" w:cs="仿宋"/>
                <w:color w:val="auto"/>
                <w:sz w:val="22"/>
                <w:szCs w:val="22"/>
                <w:lang w:val="en-US" w:eastAsia="zh-CN"/>
              </w:rPr>
              <w:t>分</w:t>
            </w:r>
          </w:p>
        </w:tc>
        <w:tc>
          <w:tcPr>
            <w:tcW w:w="3172" w:type="pct"/>
            <w:noWrap w:val="0"/>
            <w:vAlign w:val="top"/>
          </w:tcPr>
          <w:p w14:paraId="04ECEC94">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rPr>
            </w:pPr>
            <w:r>
              <w:rPr>
                <w:rFonts w:hint="eastAsia" w:ascii="仿宋" w:hAnsi="仿宋" w:eastAsia="仿宋" w:cs="仿宋"/>
                <w:color w:val="auto"/>
                <w:sz w:val="22"/>
                <w:szCs w:val="22"/>
              </w:rPr>
              <w:t>投标单位或生产厂商提供体系认证证书包含：①、质量管理体系认证证书；②、环境管理体系认证证书；③、职业健康安全管理体系认证证书；④、食品安全管理体系认证证书；每提供1项得1分，满分4分，不提供不得分（需提供证书扫描件及全国认证认可信息服务平台查询截图加盖投标单位公章）</w:t>
            </w:r>
          </w:p>
        </w:tc>
      </w:tr>
      <w:tr w14:paraId="2B95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85" w:type="pct"/>
            <w:vMerge w:val="continue"/>
            <w:noWrap w:val="0"/>
            <w:vAlign w:val="center"/>
          </w:tcPr>
          <w:p w14:paraId="1B056466">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p>
        </w:tc>
        <w:tc>
          <w:tcPr>
            <w:tcW w:w="624" w:type="pct"/>
            <w:noWrap w:val="0"/>
            <w:vAlign w:val="center"/>
          </w:tcPr>
          <w:p w14:paraId="4A179899">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专业技术人员</w:t>
            </w:r>
          </w:p>
        </w:tc>
        <w:tc>
          <w:tcPr>
            <w:tcW w:w="516" w:type="pct"/>
            <w:noWrap w:val="0"/>
            <w:vAlign w:val="center"/>
          </w:tcPr>
          <w:p w14:paraId="2FD7C889">
            <w:pPr>
              <w:pStyle w:val="95"/>
              <w:keepNext w:val="0"/>
              <w:keepLines w:val="0"/>
              <w:widowControl w:val="0"/>
              <w:numPr>
                <w:ilvl w:val="0"/>
                <w:numId w:val="0"/>
              </w:numPr>
              <w:suppressLineNumbers w:val="0"/>
              <w:spacing w:before="0" w:beforeAutospacing="0" w:after="0" w:afterAutospacing="0" w:line="360" w:lineRule="auto"/>
              <w:ind w:left="0" w:right="0" w:rightChars="0"/>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14分</w:t>
            </w:r>
          </w:p>
        </w:tc>
        <w:tc>
          <w:tcPr>
            <w:tcW w:w="3172" w:type="pct"/>
            <w:noWrap w:val="0"/>
            <w:vAlign w:val="top"/>
          </w:tcPr>
          <w:p w14:paraId="1DE91107">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投标人针对本项目所有内容提供专业技术人员：</w:t>
            </w:r>
          </w:p>
          <w:p w14:paraId="73511290">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根据项目具体情况，需提供专业技术安装人员（包含：①、劳动合同；②、身份证明；③、提供投标人或生产厂家人员近半年任意一个月社保缴费证明；④、技术人员名单（需与第③项提供专业技术安装人员一致）；⑤、有效期内健康证明；五项为一套完整资料，每提供1人得1分，最高5分，缺失或不提供此项不得分。</w:t>
            </w:r>
          </w:p>
          <w:p w14:paraId="54CA8C2C">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根据项目具体情况，需提供专业技术调试人员（包含：①、劳动合同；②、身份证明；③、提供投标人或生产厂家人员近半年任意一个月社保缴费证明；④、技术人员名单（需与第③项提供专业技术调试人员一致）；⑤、有效期内健康证明；五项为一套完整资料，每提供1人得1分，最高2分，缺失或不提供此项不得分。</w:t>
            </w:r>
          </w:p>
          <w:p w14:paraId="7A88B82E">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根据项目具体情况，需提供专业技术检测人员（包含：①、劳动合同；②、身份证明；③、提供投标人或生产厂家人员近半年任意一个月社保缴费证明；④、技术人员名单（需与第③项提供专业技术检测人员一致）；⑤、有效期内健康证明；五项为一套完整资料，每提供1人得0.5分，最高1分，缺失或不提供此项不得分。</w:t>
            </w:r>
          </w:p>
          <w:p w14:paraId="5AD8B674">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根据项目具体情况，需提供专业技术维修人员（包含：①、劳动合同、②、身份证明、③、提供投标人或生产厂家人员近半年任意一个月社保缴费证明；④、技术人员名单（需与第③项提供专业技术维修人员一致）；⑤、有效期内健康证明；五项为一套完整资料，每提供1人得0.5分，最高2分，缺失或不提供此项不得分。</w:t>
            </w:r>
          </w:p>
          <w:p w14:paraId="0BA4E300">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5、根据项目具体情况，需提供专业技术人员电工证（包含：①、劳动合同、②、身份证明、③、提供投标人或生产厂家人员近半年任意一个月社保缴费证明；④、电工证人员名单（需与第③项提供专业技术电工人员一致）；⑤、有效期内健康证明；五项为一套完整资料，每提供1人得1分，最高4分，缺失或不提供此项不得分。</w:t>
            </w:r>
          </w:p>
          <w:p w14:paraId="6A6736A0">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备注：提供以上安装、调试、检测、维修人员不得相同，如提供相同人员视为1人计算。</w:t>
            </w:r>
          </w:p>
        </w:tc>
      </w:tr>
      <w:tr w14:paraId="7E83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685" w:type="pct"/>
            <w:vMerge w:val="restart"/>
            <w:noWrap w:val="0"/>
            <w:vAlign w:val="center"/>
          </w:tcPr>
          <w:p w14:paraId="1BD3C656">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技术评审65分</w:t>
            </w:r>
          </w:p>
          <w:p w14:paraId="36788D9A">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p>
        </w:tc>
        <w:tc>
          <w:tcPr>
            <w:tcW w:w="624" w:type="pct"/>
            <w:noWrap w:val="0"/>
            <w:vAlign w:val="center"/>
          </w:tcPr>
          <w:p w14:paraId="51A7F603">
            <w:pPr>
              <w:pStyle w:val="95"/>
              <w:keepNext w:val="0"/>
              <w:keepLines w:val="0"/>
              <w:widowControl w:val="0"/>
              <w:numPr>
                <w:ilvl w:val="0"/>
                <w:numId w:val="0"/>
              </w:numPr>
              <w:suppressLineNumbers w:val="0"/>
              <w:spacing w:before="0" w:beforeAutospacing="0" w:after="0" w:afterAutospacing="0" w:line="360" w:lineRule="auto"/>
              <w:ind w:left="0" w:right="0" w:rightChars="0"/>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配套设备</w:t>
            </w:r>
          </w:p>
        </w:tc>
        <w:tc>
          <w:tcPr>
            <w:tcW w:w="516" w:type="pct"/>
            <w:noWrap w:val="0"/>
            <w:vAlign w:val="center"/>
          </w:tcPr>
          <w:p w14:paraId="554799AB">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25分</w:t>
            </w:r>
          </w:p>
        </w:tc>
        <w:tc>
          <w:tcPr>
            <w:tcW w:w="3172" w:type="pct"/>
            <w:noWrap w:val="0"/>
            <w:vAlign w:val="top"/>
          </w:tcPr>
          <w:p w14:paraId="5CEF6230">
            <w:pPr>
              <w:keepNext w:val="0"/>
              <w:keepLines w:val="0"/>
              <w:widowControl/>
              <w:numPr>
                <w:ilvl w:val="0"/>
                <w:numId w:val="0"/>
              </w:numPr>
              <w:suppressLineNumbers w:val="0"/>
              <w:adjustRightInd w:val="0"/>
              <w:spacing w:before="0" w:beforeAutospacing="0" w:after="0" w:afterAutospacing="0" w:line="360" w:lineRule="auto"/>
              <w:ind w:left="0" w:leftChars="0" w:right="0" w:rightChars="0"/>
              <w:rPr>
                <w:rFonts w:hint="eastAsia"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lang w:val="en-US" w:eastAsia="zh-CN" w:bidi="zh-CN"/>
              </w:rPr>
              <w:t>根据配套设备技术参数产品指标偏离程度打分：</w:t>
            </w:r>
          </w:p>
          <w:p w14:paraId="2985FB24">
            <w:pPr>
              <w:keepNext w:val="0"/>
              <w:keepLines w:val="0"/>
              <w:widowControl/>
              <w:numPr>
                <w:ilvl w:val="0"/>
                <w:numId w:val="0"/>
              </w:numPr>
              <w:suppressLineNumbers w:val="0"/>
              <w:adjustRightInd w:val="0"/>
              <w:spacing w:before="0" w:beforeAutospacing="0" w:after="0" w:afterAutospacing="0" w:line="360" w:lineRule="auto"/>
              <w:ind w:left="0" w:leftChars="0" w:right="0" w:rightChars="0"/>
              <w:rPr>
                <w:rFonts w:hint="eastAsia"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lang w:val="en-US" w:eastAsia="zh-CN" w:bidi="zh-CN"/>
              </w:rPr>
              <w:t>1、完全满足招标文件技术参数要求得20分；</w:t>
            </w:r>
          </w:p>
          <w:p w14:paraId="230865BE">
            <w:pPr>
              <w:pStyle w:val="13"/>
              <w:keepNext w:val="0"/>
              <w:keepLines w:val="0"/>
              <w:widowControl w:val="0"/>
              <w:numPr>
                <w:ilvl w:val="0"/>
                <w:numId w:val="0"/>
              </w:numPr>
              <w:suppressLineNumbers w:val="0"/>
              <w:tabs>
                <w:tab w:val="left" w:pos="600"/>
              </w:tabs>
              <w:spacing w:before="0" w:beforeAutospacing="0" w:after="0" w:afterAutospacing="0" w:line="360" w:lineRule="auto"/>
              <w:ind w:left="0" w:leftChars="0" w:right="0"/>
              <w:jc w:val="left"/>
              <w:rPr>
                <w:rFonts w:hint="eastAsia"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lang w:val="en-US" w:eastAsia="zh-CN" w:bidi="zh-CN"/>
              </w:rPr>
              <w:t>2、评审专家根据参数进行详细评审，一项正偏离加1分，最高5分；如有一项负偏离扣1分，扣完为止。</w:t>
            </w:r>
          </w:p>
        </w:tc>
      </w:tr>
      <w:tr w14:paraId="2F67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685" w:type="pct"/>
            <w:vMerge w:val="continue"/>
            <w:noWrap w:val="0"/>
            <w:vAlign w:val="center"/>
          </w:tcPr>
          <w:p w14:paraId="14E99C6F">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p>
        </w:tc>
        <w:tc>
          <w:tcPr>
            <w:tcW w:w="624" w:type="pct"/>
            <w:noWrap w:val="0"/>
            <w:vAlign w:val="center"/>
          </w:tcPr>
          <w:p w14:paraId="2A5C9FCB">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实施方案</w:t>
            </w:r>
          </w:p>
        </w:tc>
        <w:tc>
          <w:tcPr>
            <w:tcW w:w="516" w:type="pct"/>
            <w:noWrap w:val="0"/>
            <w:vAlign w:val="center"/>
          </w:tcPr>
          <w:p w14:paraId="10CE2012">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8分</w:t>
            </w:r>
          </w:p>
        </w:tc>
        <w:tc>
          <w:tcPr>
            <w:tcW w:w="3172" w:type="pct"/>
            <w:noWrap w:val="0"/>
            <w:vAlign w:val="top"/>
          </w:tcPr>
          <w:p w14:paraId="42072D96">
            <w:pPr>
              <w:pStyle w:val="13"/>
              <w:keepNext w:val="0"/>
              <w:keepLines w:val="0"/>
              <w:widowControl w:val="0"/>
              <w:numPr>
                <w:ilvl w:val="0"/>
                <w:numId w:val="0"/>
              </w:numPr>
              <w:suppressLineNumbers w:val="0"/>
              <w:tabs>
                <w:tab w:val="left" w:pos="600"/>
              </w:tabs>
              <w:spacing w:before="0" w:beforeAutospacing="0" w:after="0" w:afterAutospacing="0" w:line="360" w:lineRule="auto"/>
              <w:ind w:left="0" w:leftChars="0" w:right="0"/>
              <w:jc w:val="left"/>
              <w:rPr>
                <w:rFonts w:hint="eastAsia"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lang w:val="en-US" w:eastAsia="zh-CN" w:bidi="zh-CN"/>
              </w:rPr>
              <w:t>投标人针对服务内容提供详细的服务方案，包含：（1）、服务项目人员组织机构及人员分工（附本项目参与成员表及岗位分配表、项目经理职责；（2）、项目实施服务时间进度计划表；（3）、服务环节质量控制措施；（4）、服务报告复核；（5）、风险管理措施方案；（6）信息加密措施方案；（7）、档案管理制度；（8）服务全部过程的财务管理制度；评标委员会根据方案内容进行详细评审，每项评分按1分计算，满分8分；每有一项内容不完整或每有一处不具有针对性或逻辑性错误或与实际需求不相符的每项按0.5分计算。</w:t>
            </w:r>
            <w:r>
              <w:rPr>
                <w:rFonts w:hint="eastAsia" w:ascii="仿宋" w:hAnsi="仿宋" w:eastAsia="仿宋" w:cs="仿宋"/>
                <w:color w:val="auto"/>
                <w:kern w:val="2"/>
                <w:sz w:val="22"/>
                <w:szCs w:val="22"/>
                <w:lang w:val="en-US" w:eastAsia="zh-CN" w:bidi="zh-CN"/>
              </w:rPr>
              <w:br w:type="textWrapping"/>
            </w:r>
            <w:r>
              <w:rPr>
                <w:rFonts w:hint="eastAsia" w:ascii="仿宋" w:hAnsi="仿宋" w:eastAsia="仿宋" w:cs="仿宋"/>
                <w:b/>
                <w:bCs/>
                <w:color w:val="auto"/>
                <w:kern w:val="2"/>
                <w:sz w:val="22"/>
                <w:szCs w:val="22"/>
                <w:lang w:val="en-US" w:eastAsia="zh-CN" w:bidi="zh-CN"/>
              </w:rPr>
              <w:t>注：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tc>
      </w:tr>
      <w:tr w14:paraId="226E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85" w:type="pct"/>
            <w:vMerge w:val="continue"/>
            <w:noWrap w:val="0"/>
            <w:vAlign w:val="center"/>
          </w:tcPr>
          <w:p w14:paraId="3B820D60">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p>
        </w:tc>
        <w:tc>
          <w:tcPr>
            <w:tcW w:w="624" w:type="pct"/>
            <w:noWrap w:val="0"/>
            <w:vAlign w:val="center"/>
          </w:tcPr>
          <w:p w14:paraId="6A6D67AF">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质量保证措施方案</w:t>
            </w:r>
          </w:p>
        </w:tc>
        <w:tc>
          <w:tcPr>
            <w:tcW w:w="516" w:type="pct"/>
            <w:noWrap w:val="0"/>
            <w:vAlign w:val="center"/>
          </w:tcPr>
          <w:p w14:paraId="04EB93E4">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6分</w:t>
            </w:r>
          </w:p>
        </w:tc>
        <w:tc>
          <w:tcPr>
            <w:tcW w:w="3172" w:type="pct"/>
            <w:noWrap w:val="0"/>
            <w:vAlign w:val="top"/>
          </w:tcPr>
          <w:p w14:paraId="2BDF09FF">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投标单位需提供质量保证措施方案（包含：①、项目需求分析；②、工作进度计划；③、服务人员架构；④、服务保障措施；⑤、安全文明施工措施；⑥、质量目标保障措施；</w:t>
            </w:r>
            <w:r>
              <w:rPr>
                <w:rFonts w:hint="eastAsia" w:ascii="仿宋" w:hAnsi="仿宋" w:eastAsia="仿宋" w:cs="仿宋"/>
                <w:color w:val="auto"/>
                <w:kern w:val="2"/>
                <w:sz w:val="22"/>
                <w:szCs w:val="22"/>
                <w:lang w:val="en-US" w:eastAsia="zh-CN" w:bidi="zh-CN"/>
              </w:rPr>
              <w:t>评标委员会根据方案内容进行详细评审，每项评分按1分计算，满分6分；每有一项内容不完整或每有一处不具有针对性或逻辑性错误或与实际需求不相符的每项按0.5分计算。</w:t>
            </w:r>
            <w:r>
              <w:rPr>
                <w:rFonts w:hint="eastAsia" w:ascii="仿宋" w:hAnsi="仿宋" w:eastAsia="仿宋" w:cs="仿宋"/>
                <w:color w:val="auto"/>
                <w:kern w:val="2"/>
                <w:sz w:val="22"/>
                <w:szCs w:val="22"/>
                <w:lang w:val="en-US" w:eastAsia="zh-CN" w:bidi="zh-CN"/>
              </w:rPr>
              <w:br w:type="textWrapping"/>
            </w:r>
            <w:r>
              <w:rPr>
                <w:rFonts w:hint="eastAsia" w:ascii="仿宋" w:hAnsi="仿宋" w:eastAsia="仿宋" w:cs="仿宋"/>
                <w:b/>
                <w:bCs/>
                <w:color w:val="auto"/>
                <w:kern w:val="2"/>
                <w:sz w:val="22"/>
                <w:szCs w:val="22"/>
                <w:lang w:val="en-US" w:eastAsia="zh-CN" w:bidi="zh-CN"/>
              </w:rPr>
              <w:t>注：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tc>
      </w:tr>
      <w:tr w14:paraId="072B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685" w:type="pct"/>
            <w:vMerge w:val="continue"/>
            <w:noWrap w:val="0"/>
            <w:vAlign w:val="center"/>
          </w:tcPr>
          <w:p w14:paraId="69F7C7C6">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p>
        </w:tc>
        <w:tc>
          <w:tcPr>
            <w:tcW w:w="624" w:type="pct"/>
            <w:noWrap w:val="0"/>
            <w:vAlign w:val="center"/>
          </w:tcPr>
          <w:p w14:paraId="2E5D7844">
            <w:pPr>
              <w:pStyle w:val="13"/>
              <w:keepNext w:val="0"/>
              <w:keepLines w:val="0"/>
              <w:widowControl w:val="0"/>
              <w:suppressLineNumbers w:val="0"/>
              <w:tabs>
                <w:tab w:val="left" w:pos="600"/>
              </w:tabs>
              <w:spacing w:before="0" w:beforeAutospacing="0" w:after="0" w:afterAutospacing="0" w:line="360" w:lineRule="auto"/>
              <w:ind w:left="0" w:leftChars="0" w:right="0" w:firstLine="220" w:firstLineChars="100"/>
              <w:jc w:val="left"/>
              <w:rPr>
                <w:rFonts w:hint="eastAsia"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lang w:val="en-US" w:eastAsia="zh-CN" w:bidi="zh-CN"/>
              </w:rPr>
              <w:t>服务</w:t>
            </w:r>
          </w:p>
          <w:p w14:paraId="0A5C924B">
            <w:pPr>
              <w:pStyle w:val="13"/>
              <w:keepNext w:val="0"/>
              <w:keepLines w:val="0"/>
              <w:widowControl w:val="0"/>
              <w:suppressLineNumbers w:val="0"/>
              <w:tabs>
                <w:tab w:val="left" w:pos="600"/>
              </w:tabs>
              <w:spacing w:before="0" w:beforeAutospacing="0" w:after="0" w:afterAutospacing="0" w:line="360" w:lineRule="auto"/>
              <w:ind w:left="0" w:leftChars="0" w:right="0" w:firstLine="220" w:firstLineChars="100"/>
              <w:jc w:val="left"/>
              <w:rPr>
                <w:rFonts w:hint="eastAsia"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lang w:val="en-US" w:eastAsia="zh-CN" w:bidi="zh-CN"/>
              </w:rPr>
              <w:t>时间</w:t>
            </w:r>
          </w:p>
        </w:tc>
        <w:tc>
          <w:tcPr>
            <w:tcW w:w="516" w:type="pct"/>
            <w:noWrap w:val="0"/>
            <w:vAlign w:val="center"/>
          </w:tcPr>
          <w:p w14:paraId="203536FC">
            <w:pPr>
              <w:pStyle w:val="13"/>
              <w:keepNext w:val="0"/>
              <w:keepLines w:val="0"/>
              <w:widowControl w:val="0"/>
              <w:suppressLineNumbers w:val="0"/>
              <w:tabs>
                <w:tab w:val="left" w:pos="600"/>
              </w:tabs>
              <w:spacing w:before="0" w:beforeAutospacing="0" w:after="0" w:afterAutospacing="0" w:line="360" w:lineRule="auto"/>
              <w:ind w:left="0" w:leftChars="0" w:right="0" w:firstLine="220" w:firstLineChars="100"/>
              <w:jc w:val="left"/>
              <w:rPr>
                <w:rFonts w:hint="eastAsia"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lang w:val="en-US" w:eastAsia="zh-CN" w:bidi="zh-CN"/>
              </w:rPr>
              <w:t>2分</w:t>
            </w:r>
          </w:p>
        </w:tc>
        <w:tc>
          <w:tcPr>
            <w:tcW w:w="3172" w:type="pct"/>
            <w:noWrap w:val="0"/>
            <w:vAlign w:val="center"/>
          </w:tcPr>
          <w:p w14:paraId="0C645A83">
            <w:pPr>
              <w:pStyle w:val="13"/>
              <w:keepNext w:val="0"/>
              <w:keepLines w:val="0"/>
              <w:widowControl w:val="0"/>
              <w:numPr>
                <w:ilvl w:val="0"/>
                <w:numId w:val="0"/>
              </w:numPr>
              <w:suppressLineNumbers w:val="0"/>
              <w:tabs>
                <w:tab w:val="left" w:pos="600"/>
              </w:tabs>
              <w:spacing w:before="0" w:beforeAutospacing="0" w:after="0" w:afterAutospacing="0" w:line="360" w:lineRule="auto"/>
              <w:ind w:left="0" w:leftChars="0" w:right="0" w:firstLine="0" w:firstLineChars="0"/>
              <w:jc w:val="left"/>
              <w:rPr>
                <w:rFonts w:hint="eastAsia"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lang w:val="en-US" w:eastAsia="zh-CN" w:bidi="zh-CN"/>
              </w:rPr>
              <w:t>服务时间能做到24小时随时作出响应，8小时内到达现场得1分，每提前1小时到达得0.5分，提供承诺书，不提供不得分，此项满分得2分</w:t>
            </w:r>
          </w:p>
        </w:tc>
      </w:tr>
      <w:tr w14:paraId="0E26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85" w:type="pct"/>
            <w:vMerge w:val="continue"/>
            <w:noWrap w:val="0"/>
            <w:vAlign w:val="center"/>
          </w:tcPr>
          <w:p w14:paraId="4CEFD511">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p>
        </w:tc>
        <w:tc>
          <w:tcPr>
            <w:tcW w:w="624" w:type="pct"/>
            <w:noWrap w:val="0"/>
            <w:vAlign w:val="center"/>
          </w:tcPr>
          <w:p w14:paraId="6E4F69B1">
            <w:pPr>
              <w:pStyle w:val="13"/>
              <w:keepNext w:val="0"/>
              <w:keepLines w:val="0"/>
              <w:widowControl w:val="0"/>
              <w:numPr>
                <w:ilvl w:val="0"/>
                <w:numId w:val="0"/>
              </w:numPr>
              <w:suppressLineNumbers w:val="0"/>
              <w:tabs>
                <w:tab w:val="left" w:pos="600"/>
              </w:tabs>
              <w:spacing w:before="0" w:beforeAutospacing="0" w:after="0" w:afterAutospacing="0" w:line="360" w:lineRule="auto"/>
              <w:ind w:left="0" w:right="0"/>
              <w:jc w:val="left"/>
              <w:rPr>
                <w:rFonts w:hint="default"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lang w:val="en-US" w:eastAsia="zh-CN" w:bidi="zh-CN"/>
              </w:rPr>
              <w:t>安装方案</w:t>
            </w:r>
          </w:p>
        </w:tc>
        <w:tc>
          <w:tcPr>
            <w:tcW w:w="516" w:type="pct"/>
            <w:noWrap w:val="0"/>
            <w:vAlign w:val="center"/>
          </w:tcPr>
          <w:p w14:paraId="505635A5">
            <w:pPr>
              <w:pStyle w:val="13"/>
              <w:keepNext w:val="0"/>
              <w:keepLines w:val="0"/>
              <w:widowControl w:val="0"/>
              <w:numPr>
                <w:ilvl w:val="0"/>
                <w:numId w:val="0"/>
              </w:numPr>
              <w:suppressLineNumbers w:val="0"/>
              <w:tabs>
                <w:tab w:val="left" w:pos="600"/>
              </w:tabs>
              <w:spacing w:before="0" w:beforeAutospacing="0" w:after="0" w:afterAutospacing="0" w:line="360" w:lineRule="auto"/>
              <w:ind w:left="0" w:leftChars="0" w:right="0" w:firstLine="220" w:firstLineChars="100"/>
              <w:jc w:val="left"/>
              <w:rPr>
                <w:rFonts w:hint="eastAsia"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lang w:val="en-US" w:eastAsia="zh-CN" w:bidi="zh-CN"/>
              </w:rPr>
              <w:t>12分</w:t>
            </w:r>
          </w:p>
        </w:tc>
        <w:tc>
          <w:tcPr>
            <w:tcW w:w="3172" w:type="pct"/>
            <w:noWrap w:val="0"/>
            <w:vAlign w:val="center"/>
          </w:tcPr>
          <w:p w14:paraId="5FB6F6FC">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lang w:val="en-US" w:eastAsia="zh-CN" w:bidi="zh-CN"/>
              </w:rPr>
              <w:t>1、现场勘查、点位规划、安全防护、施工流程完整，每项评分按1分计算，满分4分；每有一项内容不完整或每有一处不具有针对性或逻辑性错误或与实际需求不相符的每项按0.5分计算。</w:t>
            </w:r>
          </w:p>
          <w:p w14:paraId="7CA390F1">
            <w:pPr>
              <w:pStyle w:val="13"/>
              <w:keepNext w:val="0"/>
              <w:keepLines w:val="0"/>
              <w:widowControl w:val="0"/>
              <w:numPr>
                <w:ilvl w:val="0"/>
                <w:numId w:val="0"/>
              </w:numPr>
              <w:suppressLineNumbers w:val="0"/>
              <w:tabs>
                <w:tab w:val="left" w:pos="600"/>
              </w:tabs>
              <w:spacing w:before="0" w:beforeAutospacing="0" w:after="0" w:afterAutospacing="0" w:line="360" w:lineRule="auto"/>
              <w:ind w:left="0" w:leftChars="0" w:right="0" w:firstLine="0" w:firstLineChars="0"/>
              <w:jc w:val="left"/>
              <w:rPr>
                <w:rFonts w:hint="eastAsia" w:ascii="仿宋" w:hAnsi="仿宋" w:eastAsia="宋体" w:cs="仿宋"/>
                <w:color w:val="auto"/>
                <w:kern w:val="2"/>
                <w:sz w:val="22"/>
                <w:szCs w:val="22"/>
                <w:lang w:val="en-US" w:eastAsia="zh-CN" w:bidi="zh-CN"/>
              </w:rPr>
            </w:pPr>
            <w:r>
              <w:rPr>
                <w:rFonts w:hint="eastAsia" w:ascii="仿宋" w:hAnsi="仿宋" w:eastAsia="仿宋" w:cs="仿宋"/>
                <w:color w:val="auto"/>
                <w:kern w:val="2"/>
                <w:sz w:val="22"/>
                <w:szCs w:val="22"/>
                <w:lang w:val="en-US" w:eastAsia="zh-CN" w:bidi="zh-CN"/>
              </w:rPr>
              <w:t>2、水电改造规范、接地保护、防水处理、管路密封达标，每项评分按1分计算，满分4分；每有一项内容不完整或每有一处不具有针对性或逻辑性错误或与实际需求不相符的每项按0.5分计算。</w:t>
            </w:r>
            <w:r>
              <w:rPr>
                <w:rFonts w:hint="eastAsia" w:ascii="仿宋" w:hAnsi="仿宋" w:eastAsia="仿宋" w:cs="仿宋"/>
                <w:color w:val="auto"/>
                <w:kern w:val="2"/>
                <w:sz w:val="22"/>
                <w:szCs w:val="22"/>
                <w:lang w:val="en-US" w:eastAsia="zh-CN" w:bidi="zh-CN"/>
              </w:rPr>
              <w:br w:type="textWrapping"/>
            </w:r>
            <w:r>
              <w:rPr>
                <w:rFonts w:hint="eastAsia" w:ascii="仿宋" w:hAnsi="仿宋" w:eastAsia="仿宋" w:cs="仿宋"/>
                <w:color w:val="auto"/>
                <w:kern w:val="2"/>
                <w:sz w:val="22"/>
                <w:szCs w:val="22"/>
                <w:lang w:val="en-US" w:eastAsia="zh-CN" w:bidi="zh-CN"/>
              </w:rPr>
              <w:t>3、设备固定、水平校准、建立平</w:t>
            </w:r>
            <w:r>
              <w:rPr>
                <w:rFonts w:hint="eastAsia" w:ascii="仿宋" w:hAnsi="仿宋" w:eastAsia="仿宋" w:cs="仿宋"/>
                <w:snapToGrid w:val="0"/>
                <w:color w:val="auto"/>
                <w:kern w:val="0"/>
                <w:sz w:val="24"/>
                <w:szCs w:val="24"/>
                <w:highlight w:val="none"/>
                <w:lang w:val="en-US" w:eastAsia="zh-CN" w:bidi="ar-SA"/>
              </w:rPr>
              <w:t>台（包含：</w:t>
            </w:r>
            <w:r>
              <w:rPr>
                <w:rFonts w:hint="eastAsia" w:ascii="仿宋" w:hAnsi="仿宋" w:eastAsia="仿宋" w:cs="仿宋"/>
                <w:snapToGrid w:val="0"/>
                <w:color w:val="auto"/>
                <w:kern w:val="0"/>
                <w:sz w:val="24"/>
                <w:szCs w:val="24"/>
                <w:highlight w:val="none"/>
                <w:lang w:val="en-US" w:eastAsia="en-US" w:bidi="ar-SA"/>
              </w:rPr>
              <w:t>平台部署</w:t>
            </w:r>
            <w:r>
              <w:rPr>
                <w:rFonts w:hint="eastAsia" w:ascii="仿宋" w:hAnsi="仿宋" w:eastAsia="仿宋" w:cs="仿宋"/>
                <w:snapToGrid w:val="0"/>
                <w:color w:val="auto"/>
                <w:kern w:val="0"/>
                <w:sz w:val="24"/>
                <w:szCs w:val="24"/>
                <w:highlight w:val="none"/>
                <w:lang w:val="en-US" w:eastAsia="zh-CN" w:bidi="ar-SA"/>
              </w:rPr>
              <w:t>、</w:t>
            </w:r>
            <w:r>
              <w:rPr>
                <w:rFonts w:hint="eastAsia" w:ascii="仿宋" w:hAnsi="仿宋" w:eastAsia="仿宋" w:cs="仿宋"/>
                <w:snapToGrid w:val="0"/>
                <w:color w:val="auto"/>
                <w:kern w:val="0"/>
                <w:sz w:val="24"/>
                <w:szCs w:val="24"/>
                <w:highlight w:val="none"/>
                <w:lang w:val="en-US" w:eastAsia="en-US" w:bidi="ar-SA"/>
              </w:rPr>
              <w:t>联网、数据实时上传</w:t>
            </w:r>
            <w:r>
              <w:rPr>
                <w:rFonts w:hint="eastAsia" w:ascii="仿宋" w:hAnsi="仿宋" w:eastAsia="仿宋" w:cs="仿宋"/>
                <w:snapToGrid w:val="0"/>
                <w:color w:val="auto"/>
                <w:kern w:val="0"/>
                <w:sz w:val="24"/>
                <w:szCs w:val="24"/>
                <w:highlight w:val="none"/>
                <w:lang w:val="en-US" w:eastAsia="zh-CN" w:bidi="ar-SA"/>
              </w:rPr>
              <w:t>）、</w:t>
            </w:r>
            <w:r>
              <w:rPr>
                <w:rFonts w:hint="eastAsia" w:ascii="仿宋" w:hAnsi="仿宋" w:eastAsia="仿宋" w:cs="仿宋"/>
                <w:color w:val="auto"/>
                <w:kern w:val="2"/>
                <w:sz w:val="22"/>
                <w:szCs w:val="22"/>
                <w:lang w:val="en-US" w:eastAsia="zh-CN" w:bidi="zh-CN"/>
              </w:rPr>
              <w:t>设备调试，每项评分按1分计算，满分4分；每有一项内容不完整或每有一处不具有针对性或逻辑性错误或与实际需求不相符的每项按0.5分计算。</w:t>
            </w:r>
            <w:r>
              <w:rPr>
                <w:rFonts w:hint="eastAsia" w:ascii="仿宋" w:hAnsi="仿宋" w:eastAsia="宋体" w:cs="仿宋"/>
                <w:color w:val="auto"/>
                <w:kern w:val="2"/>
                <w:sz w:val="22"/>
                <w:szCs w:val="22"/>
                <w:lang w:val="en-US" w:eastAsia="zh-CN" w:bidi="zh-CN"/>
              </w:rPr>
              <w:br w:type="textWrapping"/>
            </w:r>
            <w:r>
              <w:rPr>
                <w:rFonts w:hint="eastAsia" w:ascii="仿宋" w:hAnsi="仿宋" w:eastAsia="仿宋" w:cs="仿宋"/>
                <w:b/>
                <w:bCs/>
                <w:color w:val="auto"/>
                <w:kern w:val="2"/>
                <w:sz w:val="22"/>
                <w:szCs w:val="22"/>
                <w:lang w:val="en-US" w:eastAsia="zh-CN" w:bidi="zh-CN"/>
              </w:rPr>
              <w:t>注：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tc>
      </w:tr>
      <w:tr w14:paraId="4F3A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685" w:type="pct"/>
            <w:vMerge w:val="continue"/>
            <w:noWrap w:val="0"/>
            <w:vAlign w:val="center"/>
          </w:tcPr>
          <w:p w14:paraId="2743365B">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p>
        </w:tc>
        <w:tc>
          <w:tcPr>
            <w:tcW w:w="624" w:type="pct"/>
            <w:noWrap w:val="0"/>
            <w:vAlign w:val="center"/>
          </w:tcPr>
          <w:p w14:paraId="4D1C153A">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培训方案</w:t>
            </w:r>
          </w:p>
        </w:tc>
        <w:tc>
          <w:tcPr>
            <w:tcW w:w="516" w:type="pct"/>
            <w:noWrap w:val="0"/>
            <w:vAlign w:val="center"/>
          </w:tcPr>
          <w:p w14:paraId="5492E506">
            <w:pPr>
              <w:pStyle w:val="95"/>
              <w:keepNext w:val="0"/>
              <w:keepLines w:val="0"/>
              <w:widowControl w:val="0"/>
              <w:numPr>
                <w:ilvl w:val="0"/>
                <w:numId w:val="0"/>
              </w:numPr>
              <w:suppressLineNumbers w:val="0"/>
              <w:spacing w:before="0" w:beforeAutospacing="0" w:after="0" w:afterAutospacing="0" w:line="360" w:lineRule="auto"/>
              <w:ind w:left="0" w:right="0" w:rightChars="0" w:firstLine="220" w:firstLineChars="10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3分</w:t>
            </w:r>
          </w:p>
        </w:tc>
        <w:tc>
          <w:tcPr>
            <w:tcW w:w="3172" w:type="pct"/>
            <w:noWrap w:val="0"/>
            <w:vAlign w:val="top"/>
          </w:tcPr>
          <w:p w14:paraId="04899099">
            <w:pPr>
              <w:pStyle w:val="13"/>
              <w:keepNext w:val="0"/>
              <w:keepLines w:val="0"/>
              <w:widowControl w:val="0"/>
              <w:numPr>
                <w:ilvl w:val="0"/>
                <w:numId w:val="0"/>
              </w:numPr>
              <w:suppressLineNumbers w:val="0"/>
              <w:tabs>
                <w:tab w:val="left" w:pos="600"/>
              </w:tabs>
              <w:spacing w:before="0" w:beforeAutospacing="0" w:after="0" w:afterAutospacing="0" w:line="360" w:lineRule="auto"/>
              <w:ind w:left="0" w:right="0"/>
              <w:jc w:val="left"/>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1、投标人针对本项目服务内容提供专业培训作出详细培训方案满得1分；</w:t>
            </w:r>
            <w:r>
              <w:rPr>
                <w:rFonts w:hint="eastAsia" w:ascii="仿宋" w:hAnsi="仿宋" w:eastAsia="仿宋" w:cs="仿宋"/>
                <w:color w:val="auto"/>
                <w:kern w:val="2"/>
                <w:sz w:val="22"/>
                <w:szCs w:val="22"/>
                <w:lang w:val="en-US" w:eastAsia="zh-CN" w:bidi="zh-CN"/>
              </w:rPr>
              <w:t>内容不完整或不提供不得分</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lang w:val="en-US" w:eastAsia="zh-CN"/>
              </w:rPr>
              <w:br w:type="textWrapping"/>
            </w:r>
            <w:r>
              <w:rPr>
                <w:rFonts w:hint="eastAsia" w:ascii="仿宋" w:hAnsi="仿宋" w:eastAsia="仿宋" w:cs="仿宋"/>
                <w:color w:val="auto"/>
                <w:sz w:val="22"/>
                <w:szCs w:val="22"/>
                <w:lang w:val="en-US" w:eastAsia="zh-CN"/>
              </w:rPr>
              <w:t>2、每提供1名培训人员得1分，最高得2分，需提供：①、培训人员名单；②、劳务合同；③、身份证明；④培训人员须具备人力资源社会保障部或工业和信息化部颁发的高级岗位证书（健康管理、水能水效、饮水安全、网络工程等任意相关专业证书，需提供人社部或工业和信息化部官方网站查询截图）⑤投标人或品牌方近半年任意一个月的社保缴费证明。</w:t>
            </w:r>
          </w:p>
        </w:tc>
      </w:tr>
      <w:tr w14:paraId="2D47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85" w:type="pct"/>
            <w:vMerge w:val="continue"/>
            <w:noWrap w:val="0"/>
            <w:vAlign w:val="center"/>
          </w:tcPr>
          <w:p w14:paraId="793ACDE5">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p>
        </w:tc>
        <w:tc>
          <w:tcPr>
            <w:tcW w:w="624" w:type="pct"/>
            <w:noWrap w:val="0"/>
            <w:vAlign w:val="center"/>
          </w:tcPr>
          <w:p w14:paraId="3CEA625E">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zh-CN" w:eastAsia="zh-CN"/>
              </w:rPr>
              <w:t>售后服务</w:t>
            </w:r>
            <w:r>
              <w:rPr>
                <w:rFonts w:hint="eastAsia" w:ascii="仿宋" w:hAnsi="仿宋" w:eastAsia="仿宋" w:cs="仿宋"/>
                <w:color w:val="auto"/>
                <w:sz w:val="22"/>
                <w:szCs w:val="22"/>
                <w:lang w:val="en-US" w:eastAsia="zh-CN"/>
              </w:rPr>
              <w:t>方案</w:t>
            </w:r>
          </w:p>
        </w:tc>
        <w:tc>
          <w:tcPr>
            <w:tcW w:w="516" w:type="pct"/>
            <w:noWrap w:val="0"/>
            <w:vAlign w:val="center"/>
          </w:tcPr>
          <w:p w14:paraId="6BD46938">
            <w:pPr>
              <w:pStyle w:val="95"/>
              <w:keepNext w:val="0"/>
              <w:keepLines w:val="0"/>
              <w:widowControl w:val="0"/>
              <w:numPr>
                <w:ilvl w:val="0"/>
                <w:numId w:val="0"/>
              </w:numPr>
              <w:suppressLineNumbers w:val="0"/>
              <w:spacing w:before="0" w:beforeAutospacing="0" w:after="0" w:afterAutospacing="0" w:line="360" w:lineRule="auto"/>
              <w:ind w:left="0" w:right="0" w:rightChars="0" w:firstLine="220" w:firstLineChars="10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9分</w:t>
            </w:r>
          </w:p>
          <w:p w14:paraId="58360057">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p>
        </w:tc>
        <w:tc>
          <w:tcPr>
            <w:tcW w:w="3172" w:type="pct"/>
            <w:noWrap w:val="0"/>
            <w:vAlign w:val="top"/>
          </w:tcPr>
          <w:p w14:paraId="1F7BDEE4">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1、为保证项目服务售后质量，需设置独立售后服务机构，设立400售后服务热线，提供7*24小时的技术支持，</w:t>
            </w:r>
            <w:r>
              <w:rPr>
                <w:rFonts w:hint="eastAsia" w:ascii="仿宋" w:hAnsi="仿宋" w:eastAsia="仿宋" w:cs="仿宋"/>
                <w:color w:val="auto"/>
                <w:kern w:val="2"/>
                <w:sz w:val="22"/>
                <w:szCs w:val="22"/>
                <w:lang w:val="en-US" w:eastAsia="zh-CN" w:bidi="zh-CN"/>
              </w:rPr>
              <w:t>评标委员会根据方案内容进行详细评审，提供得2分，不提供或缺失不得分</w:t>
            </w:r>
          </w:p>
          <w:p w14:paraId="492D4323">
            <w:pPr>
              <w:pStyle w:val="95"/>
              <w:keepNext w:val="0"/>
              <w:keepLines w:val="0"/>
              <w:widowControl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kern w:val="2"/>
                <w:sz w:val="22"/>
                <w:szCs w:val="22"/>
                <w:lang w:val="en-US" w:eastAsia="zh-CN" w:bidi="zh-CN"/>
              </w:rPr>
            </w:pPr>
            <w:r>
              <w:rPr>
                <w:rFonts w:hint="eastAsia" w:ascii="仿宋" w:hAnsi="仿宋" w:eastAsia="仿宋" w:cs="仿宋"/>
                <w:color w:val="auto"/>
                <w:sz w:val="22"/>
                <w:szCs w:val="22"/>
                <w:lang w:val="en-US" w:eastAsia="zh-CN"/>
              </w:rPr>
              <w:t>2、投标单位需提供详细的售后服务方案（包含：①、售后服务计划；②、售后人员及车辆的调配；③、应对突发事件的应急措施和解决方案；④、巡检方案；</w:t>
            </w:r>
            <w:r>
              <w:rPr>
                <w:rFonts w:hint="eastAsia" w:ascii="仿宋" w:hAnsi="仿宋" w:eastAsia="仿宋" w:cs="仿宋"/>
                <w:color w:val="auto"/>
                <w:kern w:val="2"/>
                <w:sz w:val="22"/>
                <w:szCs w:val="22"/>
                <w:lang w:val="en-US" w:eastAsia="zh-CN" w:bidi="zh-CN"/>
              </w:rPr>
              <w:t>评标委员会根据方案内容进行详细评审，每项评分按1分计算，满分4分；每有一项内容不完整或每有一处不具有针对性或逻辑性错误或与实际需求不相符的每项按0.5分计算。</w:t>
            </w:r>
          </w:p>
          <w:p w14:paraId="741154BA">
            <w:pPr>
              <w:pStyle w:val="95"/>
              <w:keepNext w:val="0"/>
              <w:keepLines w:val="0"/>
              <w:widowControl w:val="0"/>
              <w:numPr>
                <w:ilvl w:val="0"/>
                <w:numId w:val="0"/>
              </w:numPr>
              <w:suppressLineNumbers w:val="0"/>
              <w:spacing w:before="0" w:beforeAutospacing="0" w:after="0" w:afterAutospacing="0" w:line="360" w:lineRule="auto"/>
              <w:ind w:left="0" w:right="0" w:rightChars="0"/>
              <w:rPr>
                <w:rFonts w:hint="default"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rtl w:val="0"/>
                <w:cs w:val="0"/>
                <w:lang w:val="en-US" w:eastAsia="zh-CN" w:bidi="zh-CN"/>
              </w:rPr>
              <w:t>3、投标人针对项目完成后的服务方案（包含：底稿的存档工作方案，后续交接配合工作方案）提供资料详细完整得3分，提供不全得0.5分，不提供不得分，此项满分3分。</w:t>
            </w:r>
            <w:r>
              <w:rPr>
                <w:rFonts w:hint="eastAsia" w:ascii="仿宋" w:hAnsi="仿宋" w:eastAsia="仿宋" w:cs="仿宋"/>
                <w:color w:val="auto"/>
                <w:kern w:val="2"/>
                <w:sz w:val="22"/>
                <w:szCs w:val="22"/>
                <w:rtl w:val="0"/>
                <w:cs w:val="0"/>
                <w:lang w:val="en-US" w:eastAsia="zh-CN" w:bidi="zh-CN"/>
              </w:rPr>
              <w:br w:type="textWrapping"/>
            </w:r>
            <w:r>
              <w:rPr>
                <w:rFonts w:hint="eastAsia" w:ascii="仿宋" w:hAnsi="仿宋" w:eastAsia="仿宋" w:cs="仿宋"/>
                <w:b/>
                <w:bCs/>
                <w:color w:val="auto"/>
                <w:kern w:val="2"/>
                <w:sz w:val="22"/>
                <w:szCs w:val="22"/>
                <w:rtl w:val="0"/>
                <w:cs w:val="0"/>
                <w:lang w:val="en-US" w:eastAsia="zh-CN" w:bidi="zh-CN"/>
              </w:rPr>
              <w:t>注：</w:t>
            </w:r>
            <w:r>
              <w:rPr>
                <w:rFonts w:hint="eastAsia" w:ascii="仿宋" w:hAnsi="仿宋" w:eastAsia="仿宋" w:cs="仿宋"/>
                <w:b/>
                <w:bCs/>
                <w:color w:val="auto"/>
                <w:kern w:val="2"/>
                <w:sz w:val="22"/>
                <w:szCs w:val="22"/>
                <w:lang w:val="en-US" w:eastAsia="zh-CN" w:bidi="zh-CN"/>
              </w:rPr>
              <w:t>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tc>
      </w:tr>
    </w:tbl>
    <w:p w14:paraId="5FBD48E2">
      <w:pPr>
        <w:pStyle w:val="39"/>
        <w:ind w:left="0" w:leftChars="0" w:firstLine="0" w:firstLineChars="0"/>
        <w:jc w:val="center"/>
        <w:rPr>
          <w:rFonts w:hint="eastAsia" w:ascii="仿宋" w:hAnsi="仿宋" w:eastAsia="仿宋" w:cs="仿宋"/>
          <w:lang w:val="en-US" w:eastAsia="zh-CN"/>
        </w:rPr>
      </w:pPr>
    </w:p>
    <w:p w14:paraId="4A5CC62B">
      <w:pPr>
        <w:rPr>
          <w:rFonts w:hint="eastAsia"/>
          <w:lang w:eastAsia="zh-CN"/>
        </w:rPr>
        <w:sectPr>
          <w:pgSz w:w="11910" w:h="16840"/>
          <w:pgMar w:top="1440" w:right="1797" w:bottom="1440" w:left="1797" w:header="0" w:footer="913" w:gutter="0"/>
          <w:pgBorders>
            <w:top w:val="none" w:sz="0" w:space="0"/>
            <w:left w:val="none" w:sz="0" w:space="0"/>
            <w:bottom w:val="none" w:sz="0" w:space="0"/>
            <w:right w:val="none" w:sz="0" w:space="0"/>
          </w:pgBorders>
          <w:pgNumType w:fmt="decimal"/>
          <w:cols w:space="720" w:num="1"/>
        </w:sectPr>
      </w:pPr>
    </w:p>
    <w:p w14:paraId="1CAF5321">
      <w:pPr>
        <w:pStyle w:val="10"/>
        <w:rPr>
          <w:rFonts w:hint="eastAsia"/>
          <w:lang w:eastAsia="zh-CN"/>
        </w:rPr>
      </w:pPr>
    </w:p>
    <w:p w14:paraId="165E8AEA">
      <w:pPr>
        <w:pStyle w:val="9"/>
        <w:rPr>
          <w:rFonts w:hint="eastAsia"/>
          <w:lang w:eastAsia="zh-CN"/>
        </w:rPr>
      </w:pPr>
    </w:p>
    <w:p w14:paraId="7958F147">
      <w:pPr>
        <w:pStyle w:val="10"/>
        <w:rPr>
          <w:rFonts w:hint="eastAsia"/>
          <w:lang w:eastAsia="zh-CN"/>
        </w:rPr>
      </w:pPr>
    </w:p>
    <w:p w14:paraId="31F587BF">
      <w:pPr>
        <w:rPr>
          <w:rFonts w:hint="eastAsia" w:ascii="仿宋" w:hAnsi="仿宋" w:eastAsia="仿宋" w:cs="仿宋"/>
          <w:b/>
          <w:bCs/>
          <w:color w:val="auto"/>
          <w:kern w:val="0"/>
          <w:sz w:val="52"/>
          <w:szCs w:val="52"/>
          <w:highlight w:val="none"/>
          <w:lang w:eastAsia="zh-CN"/>
        </w:rPr>
      </w:pPr>
    </w:p>
    <w:p w14:paraId="30F88E22">
      <w:pPr>
        <w:pStyle w:val="26"/>
        <w:jc w:val="center"/>
        <w:rPr>
          <w:rFonts w:hint="eastAsia" w:ascii="仿宋" w:hAnsi="仿宋" w:eastAsia="仿宋" w:cs="仿宋"/>
          <w:b/>
          <w:bCs/>
          <w:color w:val="auto"/>
          <w:kern w:val="0"/>
          <w:sz w:val="44"/>
          <w:szCs w:val="44"/>
          <w:highlight w:val="none"/>
          <w:lang w:eastAsia="zh-CN"/>
        </w:rPr>
      </w:pPr>
      <w:r>
        <w:rPr>
          <w:rFonts w:hint="eastAsia" w:ascii="仿宋" w:hAnsi="仿宋" w:eastAsia="仿宋" w:cs="仿宋"/>
          <w:b/>
          <w:bCs/>
          <w:color w:val="auto"/>
          <w:kern w:val="0"/>
          <w:sz w:val="44"/>
          <w:szCs w:val="44"/>
          <w:highlight w:val="none"/>
          <w:lang w:eastAsia="zh-CN"/>
        </w:rPr>
        <w:t>莎车县乡村振兴建设（安全优质饮水工程）项目</w:t>
      </w:r>
    </w:p>
    <w:p w14:paraId="15BBC5A4">
      <w:pPr>
        <w:pStyle w:val="26"/>
        <w:rPr>
          <w:rFonts w:hint="eastAsia" w:ascii="仿宋" w:hAnsi="仿宋" w:eastAsia="仿宋" w:cs="仿宋"/>
          <w:b/>
          <w:bCs/>
          <w:color w:val="auto"/>
          <w:kern w:val="0"/>
          <w:sz w:val="44"/>
          <w:szCs w:val="44"/>
          <w:highlight w:val="none"/>
        </w:rPr>
      </w:pPr>
    </w:p>
    <w:p w14:paraId="77C296D9">
      <w:pPr>
        <w:pStyle w:val="12"/>
        <w:rPr>
          <w:rFonts w:hint="eastAsia" w:ascii="仿宋" w:hAnsi="仿宋" w:eastAsia="仿宋" w:cs="仿宋"/>
          <w:b/>
          <w:bCs/>
          <w:color w:val="auto"/>
          <w:kern w:val="0"/>
          <w:sz w:val="44"/>
          <w:szCs w:val="44"/>
          <w:highlight w:val="none"/>
        </w:rPr>
      </w:pPr>
    </w:p>
    <w:p w14:paraId="055CB837">
      <w:pPr>
        <w:pStyle w:val="38"/>
        <w:rPr>
          <w:rFonts w:hint="eastAsia" w:ascii="仿宋" w:hAnsi="仿宋" w:eastAsia="仿宋" w:cs="仿宋"/>
          <w:b/>
          <w:bCs/>
          <w:color w:val="auto"/>
          <w:kern w:val="0"/>
          <w:sz w:val="44"/>
          <w:szCs w:val="44"/>
          <w:highlight w:val="none"/>
        </w:rPr>
      </w:pPr>
    </w:p>
    <w:p w14:paraId="4C16F707">
      <w:pPr>
        <w:rPr>
          <w:rFonts w:hint="eastAsia"/>
        </w:rPr>
      </w:pPr>
    </w:p>
    <w:p w14:paraId="44A9F338">
      <w:pPr>
        <w:spacing w:line="240" w:lineRule="atLeast"/>
        <w:ind w:left="1080" w:leftChars="257" w:hanging="540"/>
        <w:jc w:val="center"/>
        <w:rPr>
          <w:rFonts w:hint="eastAsia" w:ascii="仿宋" w:hAnsi="仿宋" w:eastAsia="仿宋" w:cs="仿宋"/>
          <w:b/>
          <w:bCs/>
          <w:color w:val="auto"/>
          <w:kern w:val="0"/>
          <w:sz w:val="48"/>
          <w:szCs w:val="48"/>
          <w:highlight w:val="none"/>
        </w:rPr>
      </w:pPr>
      <w:r>
        <w:rPr>
          <w:rFonts w:hint="eastAsia" w:ascii="仿宋" w:hAnsi="仿宋" w:eastAsia="仿宋" w:cs="仿宋"/>
          <w:b/>
          <w:bCs/>
          <w:color w:val="auto"/>
          <w:kern w:val="0"/>
          <w:sz w:val="48"/>
          <w:szCs w:val="48"/>
          <w:highlight w:val="none"/>
        </w:rPr>
        <w:t>招标文件（</w:t>
      </w:r>
      <w:r>
        <w:rPr>
          <w:rFonts w:hint="eastAsia" w:ascii="仿宋" w:hAnsi="仿宋" w:eastAsia="仿宋" w:cs="仿宋"/>
          <w:b/>
          <w:color w:val="auto"/>
          <w:sz w:val="48"/>
          <w:szCs w:val="48"/>
          <w:highlight w:val="none"/>
        </w:rPr>
        <w:t>第</w:t>
      </w:r>
      <w:r>
        <w:rPr>
          <w:rFonts w:hint="eastAsia" w:ascii="仿宋" w:hAnsi="仿宋" w:eastAsia="仿宋" w:cs="仿宋"/>
          <w:b/>
          <w:color w:val="auto"/>
          <w:sz w:val="48"/>
          <w:szCs w:val="48"/>
          <w:highlight w:val="none"/>
          <w:lang w:eastAsia="zh-CN"/>
        </w:rPr>
        <w:t>三</w:t>
      </w:r>
      <w:r>
        <w:rPr>
          <w:rFonts w:hint="eastAsia" w:ascii="仿宋" w:hAnsi="仿宋" w:eastAsia="仿宋" w:cs="仿宋"/>
          <w:b/>
          <w:color w:val="auto"/>
          <w:sz w:val="48"/>
          <w:szCs w:val="48"/>
          <w:highlight w:val="none"/>
        </w:rPr>
        <w:t>册</w:t>
      </w:r>
      <w:r>
        <w:rPr>
          <w:rFonts w:hint="eastAsia" w:ascii="仿宋" w:hAnsi="仿宋" w:eastAsia="仿宋" w:cs="仿宋"/>
          <w:b/>
          <w:bCs/>
          <w:color w:val="auto"/>
          <w:kern w:val="0"/>
          <w:sz w:val="48"/>
          <w:szCs w:val="48"/>
          <w:highlight w:val="none"/>
        </w:rPr>
        <w:t>）</w:t>
      </w:r>
    </w:p>
    <w:p w14:paraId="0168E93F">
      <w:pPr>
        <w:pStyle w:val="39"/>
        <w:rPr>
          <w:rFonts w:hint="eastAsia" w:ascii="仿宋" w:hAnsi="仿宋" w:eastAsia="仿宋" w:cs="仿宋"/>
          <w:color w:val="auto"/>
          <w:highlight w:val="none"/>
        </w:rPr>
      </w:pPr>
    </w:p>
    <w:p w14:paraId="4483A5BF">
      <w:pPr>
        <w:rPr>
          <w:rFonts w:hint="eastAsia" w:ascii="仿宋" w:hAnsi="仿宋" w:eastAsia="仿宋" w:cs="仿宋"/>
          <w:color w:val="auto"/>
          <w:highlight w:val="none"/>
        </w:rPr>
      </w:pPr>
    </w:p>
    <w:p w14:paraId="22D0B425">
      <w:pPr>
        <w:pStyle w:val="39"/>
        <w:rPr>
          <w:rFonts w:hint="eastAsia" w:ascii="仿宋" w:hAnsi="仿宋" w:eastAsia="仿宋" w:cs="仿宋"/>
          <w:color w:val="auto"/>
          <w:highlight w:val="none"/>
        </w:rPr>
      </w:pPr>
    </w:p>
    <w:p w14:paraId="06E39018">
      <w:pPr>
        <w:pStyle w:val="39"/>
        <w:rPr>
          <w:rFonts w:hint="eastAsia" w:ascii="仿宋" w:hAnsi="仿宋" w:eastAsia="仿宋" w:cs="仿宋"/>
          <w:color w:val="auto"/>
          <w:highlight w:val="none"/>
        </w:rPr>
      </w:pPr>
    </w:p>
    <w:p w14:paraId="54437E7E">
      <w:pPr>
        <w:pStyle w:val="39"/>
        <w:spacing w:line="240" w:lineRule="auto"/>
        <w:ind w:firstLine="0" w:firstLineChars="0"/>
        <w:rPr>
          <w:rFonts w:hint="eastAsia" w:ascii="仿宋" w:hAnsi="仿宋" w:eastAsia="仿宋" w:cs="仿宋"/>
          <w:color w:val="auto"/>
          <w:highlight w:val="none"/>
        </w:rPr>
      </w:pPr>
    </w:p>
    <w:p w14:paraId="19762F3F">
      <w:pPr>
        <w:pStyle w:val="39"/>
        <w:ind w:left="0" w:leftChars="0" w:firstLine="0" w:firstLineChars="0"/>
        <w:rPr>
          <w:rFonts w:hint="eastAsia" w:ascii="仿宋" w:hAnsi="仿宋" w:eastAsia="仿宋" w:cs="仿宋"/>
          <w:color w:val="auto"/>
          <w:highlight w:val="none"/>
        </w:rPr>
      </w:pPr>
    </w:p>
    <w:p w14:paraId="1707D2AC">
      <w:pPr>
        <w:pStyle w:val="39"/>
        <w:rPr>
          <w:rFonts w:hint="eastAsia" w:ascii="仿宋" w:hAnsi="仿宋" w:eastAsia="仿宋" w:cs="仿宋"/>
          <w:color w:val="auto"/>
          <w:highlight w:val="none"/>
        </w:rPr>
      </w:pPr>
    </w:p>
    <w:p w14:paraId="686B6E0B">
      <w:pPr>
        <w:pStyle w:val="39"/>
        <w:rPr>
          <w:rFonts w:hint="eastAsia" w:ascii="仿宋" w:hAnsi="仿宋" w:eastAsia="仿宋" w:cs="仿宋"/>
          <w:color w:val="auto"/>
          <w:highlight w:val="none"/>
        </w:rPr>
      </w:pPr>
    </w:p>
    <w:p w14:paraId="595E23B8">
      <w:pPr>
        <w:pStyle w:val="39"/>
        <w:rPr>
          <w:rFonts w:hint="eastAsia" w:ascii="仿宋" w:hAnsi="仿宋" w:eastAsia="仿宋" w:cs="仿宋"/>
          <w:color w:val="auto"/>
          <w:highlight w:val="none"/>
        </w:rPr>
      </w:pPr>
    </w:p>
    <w:p w14:paraId="0932A777">
      <w:pPr>
        <w:pStyle w:val="39"/>
        <w:rPr>
          <w:rFonts w:hint="eastAsia" w:ascii="仿宋" w:hAnsi="仿宋" w:eastAsia="仿宋" w:cs="仿宋"/>
          <w:color w:val="auto"/>
          <w:highlight w:val="none"/>
        </w:rPr>
      </w:pPr>
    </w:p>
    <w:p w14:paraId="184BF46F">
      <w:pPr>
        <w:pStyle w:val="39"/>
        <w:rPr>
          <w:rFonts w:hint="eastAsia" w:ascii="仿宋" w:hAnsi="仿宋" w:eastAsia="仿宋" w:cs="仿宋"/>
          <w:color w:val="auto"/>
          <w:highlight w:val="none"/>
        </w:rPr>
      </w:pPr>
    </w:p>
    <w:p w14:paraId="0B16237E">
      <w:pPr>
        <w:pStyle w:val="39"/>
        <w:rPr>
          <w:rFonts w:hint="eastAsia" w:ascii="仿宋" w:hAnsi="仿宋" w:eastAsia="仿宋" w:cs="仿宋"/>
          <w:color w:val="auto"/>
          <w:highlight w:val="none"/>
        </w:rPr>
      </w:pP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51"/>
        <w:gridCol w:w="6471"/>
      </w:tblGrid>
      <w:tr w14:paraId="4275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52" w:type="dxa"/>
            <w:noWrap w:val="0"/>
            <w:vAlign w:val="top"/>
          </w:tcPr>
          <w:p w14:paraId="76AAAAE4">
            <w:pPr>
              <w:pStyle w:val="39"/>
              <w:keepNext w:val="0"/>
              <w:keepLines w:val="0"/>
              <w:suppressLineNumbers w:val="0"/>
              <w:spacing w:before="0" w:beforeAutospacing="0" w:after="0" w:afterAutospacing="0"/>
              <w:ind w:left="0" w:leftChars="0" w:right="0" w:firstLine="0" w:firstLineChars="0"/>
              <w:jc w:val="distribute"/>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采购代理机构：</w:t>
            </w:r>
          </w:p>
        </w:tc>
        <w:tc>
          <w:tcPr>
            <w:tcW w:w="6476" w:type="dxa"/>
            <w:noWrap w:val="0"/>
            <w:vAlign w:val="top"/>
          </w:tcPr>
          <w:p w14:paraId="1116147A">
            <w:pPr>
              <w:pStyle w:val="39"/>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新疆金正建设工程管理有限公司</w:t>
            </w:r>
          </w:p>
        </w:tc>
      </w:tr>
      <w:tr w14:paraId="6A00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52" w:type="dxa"/>
            <w:noWrap w:val="0"/>
            <w:vAlign w:val="top"/>
          </w:tcPr>
          <w:p w14:paraId="7762EAB1">
            <w:pPr>
              <w:pStyle w:val="39"/>
              <w:keepNext w:val="0"/>
              <w:keepLines w:val="0"/>
              <w:suppressLineNumbers w:val="0"/>
              <w:spacing w:before="0" w:beforeAutospacing="0" w:after="0" w:afterAutospacing="0"/>
              <w:ind w:left="0" w:leftChars="0" w:right="0" w:firstLine="0" w:firstLineChars="0"/>
              <w:jc w:val="distribute"/>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发出日期：</w:t>
            </w:r>
          </w:p>
        </w:tc>
        <w:tc>
          <w:tcPr>
            <w:tcW w:w="6476" w:type="dxa"/>
            <w:noWrap w:val="0"/>
            <w:vAlign w:val="top"/>
          </w:tcPr>
          <w:p w14:paraId="6C85FFE5">
            <w:pPr>
              <w:keepNext w:val="0"/>
              <w:keepLines w:val="0"/>
              <w:suppressLineNumbers w:val="0"/>
              <w:bidi w:val="0"/>
              <w:spacing w:before="0" w:beforeAutospacing="0" w:after="0" w:afterAutospacing="0"/>
              <w:ind w:left="0" w:right="0"/>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二〇二六年五月</w:t>
            </w:r>
          </w:p>
        </w:tc>
      </w:tr>
    </w:tbl>
    <w:p w14:paraId="7765B258">
      <w:pPr>
        <w:pStyle w:val="39"/>
        <w:ind w:left="0" w:leftChars="0" w:firstLine="0" w:firstLineChars="0"/>
        <w:rPr>
          <w:rFonts w:hint="eastAsia" w:ascii="仿宋" w:hAnsi="仿宋" w:eastAsia="仿宋" w:cs="仿宋"/>
          <w:color w:val="auto"/>
          <w:highlight w:val="none"/>
        </w:rPr>
      </w:pPr>
    </w:p>
    <w:p w14:paraId="2B11CA7F">
      <w:pPr>
        <w:rPr>
          <w:rFonts w:hint="eastAsia"/>
          <w:lang w:val="en-US" w:eastAsia="zh-CN"/>
        </w:rPr>
      </w:pPr>
      <w:bookmarkStart w:id="514" w:name="_Toc515647833"/>
      <w:bookmarkStart w:id="515" w:name="_Toc4796"/>
      <w:bookmarkStart w:id="516" w:name="_Toc6865"/>
    </w:p>
    <w:p w14:paraId="391AA1EA">
      <w:pPr>
        <w:pStyle w:val="10"/>
        <w:rPr>
          <w:rFonts w:hint="eastAsia"/>
          <w:lang w:val="en-US" w:eastAsia="zh-CN"/>
        </w:rPr>
      </w:pPr>
    </w:p>
    <w:bookmarkEnd w:id="513"/>
    <w:bookmarkEnd w:id="514"/>
    <w:bookmarkEnd w:id="515"/>
    <w:bookmarkEnd w:id="516"/>
    <w:p w14:paraId="101A7909">
      <w:pPr>
        <w:ind w:firstLine="2209" w:firstLineChars="500"/>
        <w:rPr>
          <w:rFonts w:hint="eastAsia" w:ascii="仿宋" w:hAnsi="仿宋" w:eastAsia="仿宋" w:cs="仿宋"/>
          <w:b/>
          <w:color w:val="000000"/>
          <w:sz w:val="44"/>
          <w:szCs w:val="44"/>
        </w:rPr>
      </w:pPr>
    </w:p>
    <w:p w14:paraId="3A528C51">
      <w:pPr>
        <w:ind w:firstLine="2209" w:firstLineChars="500"/>
        <w:rPr>
          <w:rFonts w:hint="eastAsia" w:ascii="仿宋" w:hAnsi="仿宋" w:eastAsia="仿宋" w:cs="仿宋"/>
          <w:b/>
          <w:color w:val="000000"/>
          <w:sz w:val="44"/>
          <w:szCs w:val="44"/>
        </w:rPr>
      </w:pPr>
      <w:r>
        <w:rPr>
          <w:rFonts w:hint="eastAsia" w:ascii="仿宋" w:hAnsi="仿宋" w:eastAsia="仿宋" w:cs="仿宋"/>
          <w:b/>
          <w:color w:val="000000"/>
          <w:sz w:val="44"/>
          <w:szCs w:val="44"/>
        </w:rPr>
        <w:t>政府采购合同参考范本</w:t>
      </w:r>
    </w:p>
    <w:p w14:paraId="735F4CCF">
      <w:pPr>
        <w:rPr>
          <w:rFonts w:hint="eastAsia" w:ascii="仿宋" w:hAnsi="仿宋" w:eastAsia="仿宋" w:cs="仿宋"/>
          <w:b/>
          <w:bCs/>
          <w:spacing w:val="5"/>
          <w:sz w:val="31"/>
          <w:szCs w:val="31"/>
        </w:rPr>
      </w:pPr>
    </w:p>
    <w:p w14:paraId="3A0A3144">
      <w:pPr>
        <w:rPr>
          <w:rFonts w:cs="仿宋"/>
          <w:highlight w:val="none"/>
          <w:u w:val="single"/>
        </w:rPr>
      </w:pPr>
      <w:r>
        <w:rPr>
          <w:rFonts w:hint="eastAsia" w:cs="仿宋"/>
          <w:highlight w:val="none"/>
        </w:rPr>
        <w:t>合同编号：</w:t>
      </w:r>
    </w:p>
    <w:p w14:paraId="77C37642">
      <w:pPr>
        <w:spacing w:line="480" w:lineRule="auto"/>
        <w:jc w:val="center"/>
        <w:rPr>
          <w:rFonts w:cs="仿宋"/>
          <w:b/>
          <w:szCs w:val="28"/>
          <w:highlight w:val="none"/>
        </w:rPr>
      </w:pPr>
    </w:p>
    <w:p w14:paraId="0E9647EC">
      <w:pPr>
        <w:spacing w:line="480" w:lineRule="auto"/>
        <w:jc w:val="center"/>
        <w:rPr>
          <w:rFonts w:cs="仿宋"/>
          <w:b/>
          <w:szCs w:val="28"/>
          <w:highlight w:val="none"/>
        </w:rPr>
      </w:pPr>
    </w:p>
    <w:p w14:paraId="7D1E8FD7">
      <w:pPr>
        <w:spacing w:line="480" w:lineRule="auto"/>
        <w:jc w:val="center"/>
        <w:rPr>
          <w:rFonts w:cs="仿宋"/>
          <w:b/>
          <w:szCs w:val="28"/>
          <w:highlight w:val="none"/>
        </w:rPr>
      </w:pPr>
    </w:p>
    <w:p w14:paraId="5946CB8A">
      <w:pPr>
        <w:spacing w:line="480" w:lineRule="auto"/>
        <w:jc w:val="center"/>
        <w:rPr>
          <w:rFonts w:cs="仿宋"/>
          <w:b/>
          <w:sz w:val="44"/>
          <w:szCs w:val="44"/>
          <w:highlight w:val="none"/>
        </w:rPr>
      </w:pPr>
      <w:r>
        <w:rPr>
          <w:rFonts w:hint="eastAsia" w:cs="仿宋"/>
          <w:b/>
          <w:sz w:val="44"/>
          <w:szCs w:val="44"/>
          <w:highlight w:val="none"/>
        </w:rPr>
        <w:t>政府采购合同参考范本</w:t>
      </w:r>
    </w:p>
    <w:p w14:paraId="1075A0E4">
      <w:pPr>
        <w:spacing w:line="480" w:lineRule="auto"/>
        <w:jc w:val="center"/>
        <w:rPr>
          <w:rFonts w:cs="仿宋"/>
          <w:b/>
          <w:highlight w:val="none"/>
        </w:rPr>
      </w:pPr>
      <w:r>
        <w:rPr>
          <w:rFonts w:hint="eastAsia" w:cs="仿宋"/>
          <w:b/>
          <w:highlight w:val="none"/>
        </w:rPr>
        <w:t>（服务类）</w:t>
      </w:r>
    </w:p>
    <w:p w14:paraId="4D821BBB">
      <w:pPr>
        <w:autoSpaceDE w:val="0"/>
        <w:autoSpaceDN w:val="0"/>
        <w:adjustRightInd w:val="0"/>
        <w:rPr>
          <w:rFonts w:cs="仿宋"/>
          <w:highlight w:val="none"/>
        </w:rPr>
      </w:pPr>
    </w:p>
    <w:p w14:paraId="29337BC4">
      <w:pPr>
        <w:autoSpaceDE w:val="0"/>
        <w:autoSpaceDN w:val="0"/>
        <w:adjustRightInd w:val="0"/>
        <w:rPr>
          <w:rFonts w:cs="仿宋"/>
          <w:highlight w:val="none"/>
        </w:rPr>
      </w:pPr>
    </w:p>
    <w:p w14:paraId="5A4DE5E5">
      <w:pPr>
        <w:autoSpaceDE w:val="0"/>
        <w:autoSpaceDN w:val="0"/>
        <w:adjustRightInd w:val="0"/>
        <w:rPr>
          <w:rFonts w:cs="仿宋"/>
          <w:highlight w:val="none"/>
        </w:rPr>
      </w:pPr>
    </w:p>
    <w:p w14:paraId="6591311B">
      <w:pPr>
        <w:autoSpaceDE w:val="0"/>
        <w:autoSpaceDN w:val="0"/>
        <w:adjustRightInd w:val="0"/>
        <w:jc w:val="center"/>
        <w:rPr>
          <w:rFonts w:cs="仿宋"/>
          <w:b/>
          <w:highlight w:val="none"/>
        </w:rPr>
      </w:pPr>
      <w:r>
        <w:rPr>
          <w:rFonts w:hint="eastAsia" w:cs="仿宋"/>
          <w:b/>
          <w:highlight w:val="none"/>
        </w:rPr>
        <w:t>第一部分 合同书</w:t>
      </w:r>
    </w:p>
    <w:p w14:paraId="2E3498FC">
      <w:pPr>
        <w:autoSpaceDE w:val="0"/>
        <w:autoSpaceDN w:val="0"/>
        <w:adjustRightInd w:val="0"/>
        <w:rPr>
          <w:rFonts w:cs="仿宋"/>
          <w:highlight w:val="none"/>
        </w:rPr>
      </w:pPr>
    </w:p>
    <w:p w14:paraId="6BAFA676">
      <w:pPr>
        <w:autoSpaceDE w:val="0"/>
        <w:autoSpaceDN w:val="0"/>
        <w:adjustRightInd w:val="0"/>
        <w:rPr>
          <w:rFonts w:cs="仿宋"/>
          <w:highlight w:val="none"/>
        </w:rPr>
      </w:pPr>
    </w:p>
    <w:p w14:paraId="52EC6B8E">
      <w:pPr>
        <w:spacing w:before="120" w:line="22" w:lineRule="atLeast"/>
        <w:rPr>
          <w:rFonts w:cs="仿宋"/>
          <w:highlight w:val="none"/>
        </w:rPr>
      </w:pPr>
    </w:p>
    <w:p w14:paraId="2A7DF64C">
      <w:pPr>
        <w:spacing w:before="120" w:line="22" w:lineRule="atLeast"/>
        <w:ind w:left="960"/>
        <w:rPr>
          <w:rFonts w:cs="仿宋"/>
          <w:highlight w:val="none"/>
        </w:rPr>
      </w:pPr>
      <w:r>
        <w:rPr>
          <w:rFonts w:hint="eastAsia" w:cs="仿宋"/>
          <w:highlight w:val="none"/>
        </w:rPr>
        <w:t>项目名称：</w:t>
      </w:r>
    </w:p>
    <w:p w14:paraId="464BE039">
      <w:pPr>
        <w:spacing w:before="120" w:line="22" w:lineRule="atLeast"/>
        <w:rPr>
          <w:rFonts w:cs="仿宋"/>
          <w:highlight w:val="none"/>
        </w:rPr>
      </w:pPr>
    </w:p>
    <w:p w14:paraId="4123A14A">
      <w:pPr>
        <w:spacing w:before="120" w:line="22" w:lineRule="atLeast"/>
        <w:rPr>
          <w:rFonts w:cs="仿宋"/>
          <w:highlight w:val="none"/>
        </w:rPr>
      </w:pPr>
    </w:p>
    <w:p w14:paraId="75C540CC">
      <w:pPr>
        <w:rPr>
          <w:rFonts w:cs="仿宋"/>
          <w:highlight w:val="none"/>
        </w:rPr>
      </w:pPr>
    </w:p>
    <w:p w14:paraId="34BBC402">
      <w:pPr>
        <w:spacing w:before="120" w:line="22" w:lineRule="atLeast"/>
        <w:ind w:left="960"/>
        <w:rPr>
          <w:rFonts w:cs="仿宋"/>
          <w:highlight w:val="none"/>
          <w:u w:val="single"/>
        </w:rPr>
      </w:pPr>
      <w:r>
        <w:rPr>
          <w:rFonts w:hint="eastAsia" w:cs="仿宋"/>
          <w:highlight w:val="none"/>
        </w:rPr>
        <w:t>甲方：</w:t>
      </w:r>
    </w:p>
    <w:p w14:paraId="68F61975">
      <w:pPr>
        <w:spacing w:before="120" w:line="22" w:lineRule="atLeast"/>
        <w:rPr>
          <w:rFonts w:cs="仿宋"/>
          <w:highlight w:val="none"/>
        </w:rPr>
      </w:pPr>
    </w:p>
    <w:p w14:paraId="320ECB16">
      <w:pPr>
        <w:spacing w:before="120" w:line="22" w:lineRule="atLeast"/>
        <w:ind w:left="960"/>
        <w:rPr>
          <w:rFonts w:cs="仿宋"/>
          <w:highlight w:val="none"/>
          <w:u w:val="single"/>
        </w:rPr>
      </w:pPr>
      <w:r>
        <w:rPr>
          <w:rFonts w:hint="eastAsia" w:cs="仿宋"/>
          <w:highlight w:val="none"/>
        </w:rPr>
        <w:t>乙方：</w:t>
      </w:r>
    </w:p>
    <w:p w14:paraId="422C66C3">
      <w:pPr>
        <w:spacing w:before="120" w:line="22" w:lineRule="atLeast"/>
        <w:rPr>
          <w:rFonts w:cs="仿宋"/>
          <w:highlight w:val="none"/>
        </w:rPr>
      </w:pPr>
    </w:p>
    <w:p w14:paraId="2AF74690">
      <w:pPr>
        <w:spacing w:before="120" w:line="22" w:lineRule="atLeast"/>
        <w:ind w:firstLine="840" w:firstLineChars="400"/>
        <w:rPr>
          <w:rFonts w:cs="仿宋"/>
          <w:highlight w:val="none"/>
          <w:u w:val="single"/>
        </w:rPr>
      </w:pPr>
      <w:r>
        <w:rPr>
          <w:rFonts w:hint="eastAsia" w:cs="仿宋"/>
          <w:highlight w:val="none"/>
        </w:rPr>
        <w:t>签订地：</w:t>
      </w:r>
    </w:p>
    <w:p w14:paraId="5E05BAA0">
      <w:pPr>
        <w:spacing w:before="120" w:line="22" w:lineRule="atLeast"/>
        <w:rPr>
          <w:rFonts w:cs="仿宋"/>
          <w:highlight w:val="none"/>
        </w:rPr>
      </w:pPr>
    </w:p>
    <w:p w14:paraId="7B22C804">
      <w:pPr>
        <w:spacing w:before="120" w:line="22" w:lineRule="atLeast"/>
        <w:ind w:firstLine="840" w:firstLineChars="400"/>
        <w:rPr>
          <w:rFonts w:cs="仿宋"/>
          <w:highlight w:val="none"/>
        </w:rPr>
      </w:pPr>
      <w:r>
        <w:rPr>
          <w:rFonts w:hint="eastAsia" w:cs="仿宋"/>
          <w:highlight w:val="none"/>
        </w:rPr>
        <w:t>签订日期：年月日</w:t>
      </w:r>
    </w:p>
    <w:p w14:paraId="2F85922F">
      <w:pPr>
        <w:spacing w:line="560" w:lineRule="exact"/>
        <w:ind w:firstLine="420" w:firstLineChars="200"/>
        <w:rPr>
          <w:rFonts w:cs="仿宋"/>
          <w:highlight w:val="none"/>
          <w:lang w:val="zh-CN"/>
        </w:rPr>
      </w:pPr>
    </w:p>
    <w:p w14:paraId="6D80E92A">
      <w:pPr>
        <w:spacing w:line="560" w:lineRule="exact"/>
        <w:ind w:firstLine="420" w:firstLineChars="200"/>
        <w:rPr>
          <w:rFonts w:cs="仿宋"/>
          <w:highlight w:val="none"/>
          <w:lang w:val="zh-CN"/>
        </w:rPr>
      </w:pPr>
    </w:p>
    <w:p w14:paraId="0BB038A0">
      <w:pPr>
        <w:spacing w:line="560" w:lineRule="exact"/>
        <w:ind w:firstLine="420" w:firstLineChars="200"/>
        <w:rPr>
          <w:rFonts w:cs="仿宋"/>
          <w:highlight w:val="none"/>
          <w:lang w:val="zh-CN"/>
        </w:rPr>
      </w:pPr>
    </w:p>
    <w:p w14:paraId="6F6F1854">
      <w:pPr>
        <w:spacing w:line="560" w:lineRule="exact"/>
        <w:ind w:firstLine="420" w:firstLineChars="200"/>
        <w:rPr>
          <w:rFonts w:cs="仿宋"/>
          <w:highlight w:val="none"/>
        </w:rPr>
      </w:pPr>
      <w:r>
        <w:rPr>
          <w:rFonts w:hint="eastAsia" w:cs="仿宋"/>
          <w:highlight w:val="none"/>
          <w:lang w:val="zh-CN"/>
        </w:rPr>
        <w:t>年月日</w:t>
      </w:r>
      <w:r>
        <w:rPr>
          <w:rFonts w:hint="eastAsia" w:cs="仿宋"/>
          <w:highlight w:val="none"/>
        </w:rPr>
        <w:t>，</w:t>
      </w:r>
      <w:r>
        <w:rPr>
          <w:rFonts w:hint="eastAsia" w:cs="仿宋"/>
          <w:highlight w:val="none"/>
          <w:u w:val="single"/>
        </w:rPr>
        <w:t xml:space="preserve">   （采购人名称）   </w:t>
      </w:r>
      <w:r>
        <w:rPr>
          <w:rFonts w:hint="eastAsia" w:cs="仿宋"/>
          <w:highlight w:val="none"/>
        </w:rPr>
        <w:t>以</w:t>
      </w:r>
      <w:r>
        <w:rPr>
          <w:rFonts w:hint="eastAsia" w:cs="仿宋"/>
          <w:highlight w:val="none"/>
          <w:u w:val="single"/>
        </w:rPr>
        <w:t xml:space="preserve">   （政府采购方式）  </w:t>
      </w:r>
      <w:r>
        <w:rPr>
          <w:rFonts w:hint="eastAsia" w:cs="仿宋"/>
          <w:highlight w:val="none"/>
        </w:rPr>
        <w:t>对</w:t>
      </w:r>
      <w:r>
        <w:rPr>
          <w:rFonts w:hint="eastAsia" w:cs="仿宋"/>
          <w:highlight w:val="none"/>
          <w:u w:val="single"/>
        </w:rPr>
        <w:t xml:space="preserve">   （同前页项目名称）   </w:t>
      </w:r>
      <w:r>
        <w:rPr>
          <w:rFonts w:hint="eastAsia" w:cs="仿宋"/>
          <w:highlight w:val="none"/>
        </w:rPr>
        <w:t>项目进行了采购。经</w:t>
      </w:r>
      <w:r>
        <w:rPr>
          <w:rFonts w:hint="eastAsia" w:cs="仿宋"/>
          <w:highlight w:val="none"/>
          <w:u w:val="single"/>
        </w:rPr>
        <w:t xml:space="preserve">   （相关评定主体名称）   </w:t>
      </w:r>
      <w:r>
        <w:rPr>
          <w:rFonts w:hint="eastAsia" w:cs="仿宋"/>
          <w:highlight w:val="none"/>
        </w:rPr>
        <w:t>评定，</w:t>
      </w:r>
      <w:r>
        <w:rPr>
          <w:rFonts w:hint="eastAsia" w:cs="仿宋"/>
          <w:highlight w:val="none"/>
          <w:u w:val="single"/>
        </w:rPr>
        <w:t xml:space="preserve">（中标（成交）供应商名称） </w:t>
      </w:r>
      <w:r>
        <w:rPr>
          <w:rFonts w:hint="eastAsia" w:cs="仿宋"/>
          <w:highlight w:val="none"/>
        </w:rPr>
        <w:t>为该项目中标（成交）供应商。现于中标通知书发出之日起三十日内，按照采购文件确定的事项签订本合同。</w:t>
      </w:r>
    </w:p>
    <w:p w14:paraId="0E64FA04">
      <w:pPr>
        <w:spacing w:line="560" w:lineRule="exact"/>
        <w:ind w:firstLine="420" w:firstLineChars="200"/>
        <w:rPr>
          <w:rFonts w:cs="仿宋"/>
          <w:highlight w:val="none"/>
        </w:rPr>
      </w:pPr>
      <w:r>
        <w:rPr>
          <w:rFonts w:hint="eastAsia" w:cs="仿宋"/>
          <w:highlight w:val="none"/>
          <w:lang w:val="zh-CN"/>
        </w:rPr>
        <w:t>根据《中华人民共和国民法典》、《中华人民共和国政府采购法》等相关法律法规之规定，按照平等、自愿、公平和诚实信用的原则，经</w:t>
      </w:r>
      <w:r>
        <w:rPr>
          <w:rFonts w:hint="eastAsia" w:cs="仿宋"/>
          <w:highlight w:val="none"/>
          <w:u w:val="single"/>
        </w:rPr>
        <w:t xml:space="preserve">   （采购人名称）   </w:t>
      </w:r>
      <w:r>
        <w:rPr>
          <w:rFonts w:hint="eastAsia" w:cs="仿宋"/>
          <w:highlight w:val="none"/>
          <w:lang w:val="zh-CN"/>
        </w:rPr>
        <w:t>(以下简称：甲方)和</w:t>
      </w:r>
      <w:r>
        <w:rPr>
          <w:rFonts w:hint="eastAsia" w:cs="仿宋"/>
          <w:highlight w:val="none"/>
          <w:u w:val="single"/>
        </w:rPr>
        <w:t xml:space="preserve">   （中标（成交）供应商名称）   </w:t>
      </w:r>
      <w:r>
        <w:rPr>
          <w:rFonts w:hint="eastAsia" w:cs="仿宋"/>
          <w:highlight w:val="none"/>
          <w:lang w:val="zh-CN"/>
        </w:rPr>
        <w:t>(以下简称：乙方)协商一致，约定以下合同</w:t>
      </w:r>
      <w:r>
        <w:rPr>
          <w:rFonts w:hint="eastAsia" w:cs="仿宋"/>
          <w:highlight w:val="none"/>
        </w:rPr>
        <w:t>条款，以兹共同遵守、全面履行。</w:t>
      </w:r>
    </w:p>
    <w:p w14:paraId="5FDEDEA3">
      <w:pPr>
        <w:spacing w:line="560" w:lineRule="exact"/>
        <w:ind w:firstLine="422" w:firstLineChars="200"/>
        <w:outlineLvl w:val="0"/>
        <w:rPr>
          <w:rFonts w:cs="仿宋"/>
          <w:highlight w:val="none"/>
        </w:rPr>
      </w:pPr>
      <w:bookmarkStart w:id="517" w:name="_Toc20421"/>
      <w:bookmarkStart w:id="518" w:name="_Toc23023"/>
      <w:bookmarkStart w:id="519" w:name="_Toc15367"/>
      <w:bookmarkStart w:id="520" w:name="_Toc28855"/>
      <w:bookmarkStart w:id="521" w:name="_Toc19273"/>
      <w:r>
        <w:rPr>
          <w:rFonts w:hint="eastAsia" w:cs="仿宋"/>
          <w:b/>
          <w:highlight w:val="none"/>
        </w:rPr>
        <w:t>1.1 合同组成部分</w:t>
      </w:r>
      <w:bookmarkEnd w:id="517"/>
      <w:bookmarkEnd w:id="518"/>
      <w:bookmarkEnd w:id="519"/>
      <w:bookmarkEnd w:id="520"/>
      <w:bookmarkEnd w:id="521"/>
    </w:p>
    <w:p w14:paraId="07F369CA">
      <w:pPr>
        <w:spacing w:line="560" w:lineRule="exact"/>
        <w:ind w:firstLine="420" w:firstLineChars="200"/>
        <w:rPr>
          <w:rFonts w:cs="仿宋"/>
          <w:highlight w:val="none"/>
        </w:rPr>
      </w:pPr>
      <w:r>
        <w:rPr>
          <w:rFonts w:hint="eastAsia" w:cs="仿宋"/>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6207ED2">
      <w:pPr>
        <w:spacing w:line="560" w:lineRule="exact"/>
        <w:ind w:firstLine="420" w:firstLineChars="200"/>
        <w:rPr>
          <w:rFonts w:cs="仿宋"/>
          <w:highlight w:val="none"/>
        </w:rPr>
      </w:pPr>
      <w:r>
        <w:rPr>
          <w:rFonts w:hint="eastAsia" w:cs="仿宋"/>
          <w:highlight w:val="none"/>
        </w:rPr>
        <w:t>1.1.1 本合同及其补充合同、变更协议；</w:t>
      </w:r>
    </w:p>
    <w:p w14:paraId="33752FC2">
      <w:pPr>
        <w:spacing w:line="560" w:lineRule="exact"/>
        <w:ind w:firstLine="420" w:firstLineChars="200"/>
        <w:rPr>
          <w:rFonts w:cs="仿宋"/>
          <w:highlight w:val="none"/>
        </w:rPr>
      </w:pPr>
      <w:r>
        <w:rPr>
          <w:rFonts w:hint="eastAsia" w:cs="仿宋"/>
          <w:highlight w:val="none"/>
        </w:rPr>
        <w:t>1.1.2 中标（成交）通知书；</w:t>
      </w:r>
    </w:p>
    <w:p w14:paraId="6EA0845D">
      <w:pPr>
        <w:spacing w:line="560" w:lineRule="exact"/>
        <w:ind w:firstLine="420" w:firstLineChars="200"/>
        <w:rPr>
          <w:rFonts w:cs="仿宋"/>
          <w:highlight w:val="none"/>
        </w:rPr>
      </w:pPr>
      <w:r>
        <w:rPr>
          <w:rFonts w:hint="eastAsia" w:cs="仿宋"/>
          <w:highlight w:val="none"/>
        </w:rPr>
        <w:t>1.1.3 投标文件（含澄清或者说明文件）；</w:t>
      </w:r>
    </w:p>
    <w:p w14:paraId="68A9B89B">
      <w:pPr>
        <w:spacing w:line="560" w:lineRule="exact"/>
        <w:ind w:firstLine="420" w:firstLineChars="200"/>
        <w:rPr>
          <w:rFonts w:cs="仿宋"/>
          <w:highlight w:val="none"/>
        </w:rPr>
      </w:pPr>
      <w:r>
        <w:rPr>
          <w:rFonts w:hint="eastAsia" w:cs="仿宋"/>
          <w:highlight w:val="none"/>
        </w:rPr>
        <w:t>1.1.4 招标文件（含澄清或者修改文件）；</w:t>
      </w:r>
    </w:p>
    <w:p w14:paraId="59880DEE">
      <w:pPr>
        <w:spacing w:line="560" w:lineRule="exact"/>
        <w:ind w:firstLine="420" w:firstLineChars="200"/>
        <w:rPr>
          <w:rFonts w:cs="仿宋"/>
          <w:highlight w:val="none"/>
        </w:rPr>
      </w:pPr>
      <w:r>
        <w:rPr>
          <w:rFonts w:hint="eastAsia" w:cs="仿宋"/>
          <w:highlight w:val="none"/>
        </w:rPr>
        <w:t>1.1.5 其他相关采购文件。</w:t>
      </w:r>
    </w:p>
    <w:p w14:paraId="24DD3D44">
      <w:pPr>
        <w:spacing w:line="560" w:lineRule="exact"/>
        <w:ind w:firstLine="422" w:firstLineChars="200"/>
        <w:outlineLvl w:val="0"/>
        <w:rPr>
          <w:rFonts w:cs="仿宋"/>
          <w:b/>
          <w:highlight w:val="none"/>
        </w:rPr>
      </w:pPr>
      <w:bookmarkStart w:id="522" w:name="_Toc19760"/>
      <w:bookmarkStart w:id="523" w:name="_Toc6773"/>
      <w:bookmarkStart w:id="524" w:name="_Toc22185"/>
      <w:bookmarkStart w:id="525" w:name="_Toc18585"/>
      <w:bookmarkStart w:id="526" w:name="_Toc2918"/>
      <w:bookmarkStart w:id="527" w:name="_Toc6311"/>
      <w:r>
        <w:rPr>
          <w:rFonts w:hint="eastAsia" w:cs="仿宋"/>
          <w:b/>
          <w:highlight w:val="none"/>
        </w:rPr>
        <w:t>1.2 标的</w:t>
      </w:r>
      <w:bookmarkEnd w:id="522"/>
      <w:bookmarkEnd w:id="523"/>
      <w:bookmarkEnd w:id="524"/>
      <w:bookmarkEnd w:id="525"/>
      <w:bookmarkEnd w:id="526"/>
      <w:bookmarkEnd w:id="527"/>
    </w:p>
    <w:p w14:paraId="65236166">
      <w:pPr>
        <w:spacing w:line="560" w:lineRule="exact"/>
        <w:ind w:firstLine="420" w:firstLineChars="200"/>
        <w:rPr>
          <w:rFonts w:cs="仿宋"/>
          <w:highlight w:val="none"/>
          <w:u w:val="single"/>
        </w:rPr>
      </w:pPr>
      <w:r>
        <w:rPr>
          <w:rFonts w:hint="eastAsia" w:cs="仿宋"/>
          <w:highlight w:val="none"/>
        </w:rPr>
        <w:t>1.2.1 标的名称：；</w:t>
      </w:r>
    </w:p>
    <w:p w14:paraId="5BD4668D">
      <w:pPr>
        <w:spacing w:line="560" w:lineRule="exact"/>
        <w:ind w:firstLine="420" w:firstLineChars="200"/>
        <w:rPr>
          <w:rFonts w:cs="仿宋"/>
          <w:highlight w:val="none"/>
          <w:u w:val="single"/>
        </w:rPr>
      </w:pPr>
      <w:r>
        <w:rPr>
          <w:rFonts w:hint="eastAsia" w:cs="仿宋"/>
          <w:highlight w:val="none"/>
        </w:rPr>
        <w:t>1.2.2 标的数量：；</w:t>
      </w:r>
    </w:p>
    <w:p w14:paraId="50784476">
      <w:pPr>
        <w:spacing w:line="560" w:lineRule="exact"/>
        <w:ind w:firstLine="422" w:firstLineChars="200"/>
        <w:outlineLvl w:val="0"/>
        <w:rPr>
          <w:rFonts w:cs="仿宋"/>
          <w:b/>
          <w:highlight w:val="none"/>
        </w:rPr>
      </w:pPr>
      <w:bookmarkStart w:id="528" w:name="_Toc21124"/>
      <w:bookmarkStart w:id="529" w:name="_Toc27733"/>
      <w:bookmarkStart w:id="530" w:name="_Toc13918"/>
      <w:bookmarkStart w:id="531" w:name="_Toc5635"/>
      <w:bookmarkStart w:id="532" w:name="_Toc4929"/>
      <w:bookmarkStart w:id="533" w:name="_Toc1386"/>
      <w:r>
        <w:rPr>
          <w:rFonts w:hint="eastAsia" w:cs="仿宋"/>
          <w:b/>
          <w:highlight w:val="none"/>
        </w:rPr>
        <w:t>1.3 价款</w:t>
      </w:r>
      <w:bookmarkEnd w:id="528"/>
      <w:bookmarkEnd w:id="529"/>
      <w:bookmarkEnd w:id="530"/>
      <w:bookmarkEnd w:id="531"/>
      <w:bookmarkEnd w:id="532"/>
      <w:bookmarkEnd w:id="533"/>
    </w:p>
    <w:p w14:paraId="6A22ABF0">
      <w:pPr>
        <w:spacing w:line="560" w:lineRule="exact"/>
        <w:ind w:firstLine="420" w:firstLineChars="200"/>
        <w:rPr>
          <w:rFonts w:cs="仿宋"/>
          <w:highlight w:val="none"/>
        </w:rPr>
      </w:pPr>
      <w:r>
        <w:rPr>
          <w:rFonts w:hint="eastAsia" w:cs="仿宋"/>
          <w:highlight w:val="none"/>
        </w:rPr>
        <w:t>本合同总价为：￥元（大写：元人民币）。</w:t>
      </w:r>
    </w:p>
    <w:p w14:paraId="1DEB90DD">
      <w:pPr>
        <w:spacing w:line="560" w:lineRule="exact"/>
        <w:ind w:firstLine="420" w:firstLineChars="200"/>
        <w:rPr>
          <w:rFonts w:cs="仿宋"/>
          <w:highlight w:val="none"/>
          <w:u w:val="single"/>
        </w:rPr>
      </w:pPr>
      <w:r>
        <w:rPr>
          <w:rFonts w:hint="eastAsia" w:cs="仿宋"/>
          <w:highlight w:val="none"/>
        </w:rPr>
        <w:t>分项价格：</w:t>
      </w:r>
    </w:p>
    <w:tbl>
      <w:tblPr>
        <w:tblStyle w:val="4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F4C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183C76D6">
            <w:pPr>
              <w:keepNext w:val="0"/>
              <w:keepLines w:val="0"/>
              <w:suppressLineNumbers w:val="0"/>
              <w:adjustRightInd w:val="0"/>
              <w:spacing w:before="0" w:beforeAutospacing="0" w:after="0" w:afterAutospacing="0" w:line="560" w:lineRule="exact"/>
              <w:ind w:left="0" w:right="0"/>
              <w:jc w:val="center"/>
              <w:textAlignment w:val="baseline"/>
              <w:rPr>
                <w:rFonts w:cs="仿宋"/>
                <w:highlight w:val="none"/>
              </w:rPr>
            </w:pPr>
            <w:r>
              <w:rPr>
                <w:rFonts w:hint="eastAsia" w:cs="仿宋"/>
                <w:highlight w:val="none"/>
              </w:rPr>
              <w:t>序号</w:t>
            </w:r>
          </w:p>
        </w:tc>
        <w:tc>
          <w:tcPr>
            <w:tcW w:w="3402" w:type="dxa"/>
            <w:noWrap/>
            <w:vAlign w:val="center"/>
          </w:tcPr>
          <w:p w14:paraId="61FF3E57">
            <w:pPr>
              <w:keepNext w:val="0"/>
              <w:keepLines w:val="0"/>
              <w:suppressLineNumbers w:val="0"/>
              <w:adjustRightInd w:val="0"/>
              <w:spacing w:before="0" w:beforeAutospacing="0" w:after="0" w:afterAutospacing="0" w:line="560" w:lineRule="exact"/>
              <w:ind w:left="0" w:right="0" w:firstLine="200"/>
              <w:jc w:val="center"/>
              <w:textAlignment w:val="baseline"/>
              <w:rPr>
                <w:rFonts w:cs="仿宋"/>
                <w:highlight w:val="none"/>
              </w:rPr>
            </w:pPr>
            <w:r>
              <w:rPr>
                <w:rFonts w:hint="eastAsia" w:cs="仿宋"/>
                <w:highlight w:val="none"/>
              </w:rPr>
              <w:t>分项名称</w:t>
            </w:r>
          </w:p>
        </w:tc>
        <w:tc>
          <w:tcPr>
            <w:tcW w:w="2552" w:type="dxa"/>
            <w:noWrap/>
            <w:vAlign w:val="center"/>
          </w:tcPr>
          <w:p w14:paraId="0C790776">
            <w:pPr>
              <w:keepNext w:val="0"/>
              <w:keepLines w:val="0"/>
              <w:suppressLineNumbers w:val="0"/>
              <w:adjustRightInd w:val="0"/>
              <w:spacing w:before="0" w:beforeAutospacing="0" w:after="0" w:afterAutospacing="0" w:line="560" w:lineRule="exact"/>
              <w:ind w:left="0" w:right="0"/>
              <w:jc w:val="center"/>
              <w:textAlignment w:val="baseline"/>
              <w:rPr>
                <w:rFonts w:cs="仿宋"/>
                <w:highlight w:val="none"/>
              </w:rPr>
            </w:pPr>
            <w:r>
              <w:rPr>
                <w:rFonts w:hint="eastAsia" w:cs="仿宋"/>
                <w:highlight w:val="none"/>
              </w:rPr>
              <w:t>分项价格</w:t>
            </w:r>
          </w:p>
        </w:tc>
      </w:tr>
      <w:tr w14:paraId="5827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3D0BD91F">
            <w:pPr>
              <w:keepNext w:val="0"/>
              <w:keepLines w:val="0"/>
              <w:suppressLineNumbers w:val="0"/>
              <w:adjustRightInd w:val="0"/>
              <w:spacing w:before="0" w:beforeAutospacing="0" w:after="0" w:afterAutospacing="0" w:line="560" w:lineRule="exact"/>
              <w:ind w:left="0" w:right="0" w:firstLine="200"/>
              <w:jc w:val="center"/>
              <w:textAlignment w:val="baseline"/>
              <w:rPr>
                <w:rFonts w:cs="仿宋"/>
                <w:highlight w:val="none"/>
              </w:rPr>
            </w:pPr>
          </w:p>
        </w:tc>
        <w:tc>
          <w:tcPr>
            <w:tcW w:w="3402" w:type="dxa"/>
            <w:noWrap/>
            <w:vAlign w:val="center"/>
          </w:tcPr>
          <w:p w14:paraId="169C59C0">
            <w:pPr>
              <w:keepNext w:val="0"/>
              <w:keepLines w:val="0"/>
              <w:suppressLineNumbers w:val="0"/>
              <w:adjustRightInd w:val="0"/>
              <w:spacing w:before="0" w:beforeAutospacing="0" w:after="0" w:afterAutospacing="0" w:line="560" w:lineRule="exact"/>
              <w:ind w:left="0" w:right="0" w:firstLine="200"/>
              <w:jc w:val="center"/>
              <w:textAlignment w:val="baseline"/>
              <w:rPr>
                <w:rFonts w:cs="仿宋"/>
                <w:highlight w:val="none"/>
              </w:rPr>
            </w:pPr>
          </w:p>
        </w:tc>
        <w:tc>
          <w:tcPr>
            <w:tcW w:w="2552" w:type="dxa"/>
            <w:noWrap/>
            <w:vAlign w:val="center"/>
          </w:tcPr>
          <w:p w14:paraId="5FC89944">
            <w:pPr>
              <w:keepNext w:val="0"/>
              <w:keepLines w:val="0"/>
              <w:suppressLineNumbers w:val="0"/>
              <w:adjustRightInd w:val="0"/>
              <w:spacing w:before="0" w:beforeAutospacing="0" w:after="0" w:afterAutospacing="0" w:line="560" w:lineRule="exact"/>
              <w:ind w:left="0" w:right="0" w:firstLine="200"/>
              <w:jc w:val="center"/>
              <w:textAlignment w:val="baseline"/>
              <w:rPr>
                <w:rFonts w:cs="仿宋"/>
                <w:highlight w:val="none"/>
              </w:rPr>
            </w:pPr>
          </w:p>
        </w:tc>
      </w:tr>
      <w:tr w14:paraId="2029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06DC6FD3">
            <w:pPr>
              <w:keepNext w:val="0"/>
              <w:keepLines w:val="0"/>
              <w:suppressLineNumbers w:val="0"/>
              <w:spacing w:before="120" w:beforeAutospacing="0" w:after="0" w:afterAutospacing="0"/>
              <w:ind w:left="0" w:right="0"/>
              <w:rPr>
                <w:rFonts w:cs="仿宋"/>
                <w:highlight w:val="none"/>
              </w:rPr>
            </w:pPr>
          </w:p>
        </w:tc>
        <w:tc>
          <w:tcPr>
            <w:tcW w:w="3402" w:type="dxa"/>
            <w:noWrap/>
            <w:vAlign w:val="center"/>
          </w:tcPr>
          <w:p w14:paraId="15394426">
            <w:pPr>
              <w:keepNext w:val="0"/>
              <w:keepLines w:val="0"/>
              <w:suppressLineNumbers w:val="0"/>
              <w:adjustRightInd w:val="0"/>
              <w:spacing w:before="0" w:beforeAutospacing="0" w:after="0" w:afterAutospacing="0" w:line="560" w:lineRule="exact"/>
              <w:ind w:left="0" w:right="0" w:firstLine="200"/>
              <w:jc w:val="center"/>
              <w:textAlignment w:val="baseline"/>
              <w:rPr>
                <w:rFonts w:cs="仿宋"/>
                <w:highlight w:val="none"/>
              </w:rPr>
            </w:pPr>
          </w:p>
        </w:tc>
        <w:tc>
          <w:tcPr>
            <w:tcW w:w="2552" w:type="dxa"/>
            <w:noWrap/>
            <w:vAlign w:val="center"/>
          </w:tcPr>
          <w:p w14:paraId="0AF2E09D">
            <w:pPr>
              <w:keepNext w:val="0"/>
              <w:keepLines w:val="0"/>
              <w:suppressLineNumbers w:val="0"/>
              <w:adjustRightInd w:val="0"/>
              <w:spacing w:before="0" w:beforeAutospacing="0" w:after="0" w:afterAutospacing="0" w:line="560" w:lineRule="exact"/>
              <w:ind w:left="0" w:right="0" w:firstLine="200"/>
              <w:jc w:val="center"/>
              <w:textAlignment w:val="baseline"/>
              <w:rPr>
                <w:rFonts w:cs="仿宋"/>
                <w:highlight w:val="none"/>
              </w:rPr>
            </w:pPr>
          </w:p>
        </w:tc>
      </w:tr>
      <w:tr w14:paraId="71F9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3B1873FF">
            <w:pPr>
              <w:keepNext w:val="0"/>
              <w:keepLines w:val="0"/>
              <w:suppressLineNumbers w:val="0"/>
              <w:adjustRightInd w:val="0"/>
              <w:spacing w:before="0" w:beforeAutospacing="0" w:after="0" w:afterAutospacing="0" w:line="560" w:lineRule="exact"/>
              <w:ind w:left="0" w:right="0" w:firstLine="200"/>
              <w:jc w:val="center"/>
              <w:textAlignment w:val="baseline"/>
              <w:rPr>
                <w:rFonts w:cs="仿宋"/>
                <w:highlight w:val="none"/>
              </w:rPr>
            </w:pPr>
          </w:p>
        </w:tc>
        <w:tc>
          <w:tcPr>
            <w:tcW w:w="3402" w:type="dxa"/>
            <w:noWrap/>
            <w:vAlign w:val="center"/>
          </w:tcPr>
          <w:p w14:paraId="70E69F21">
            <w:pPr>
              <w:keepNext w:val="0"/>
              <w:keepLines w:val="0"/>
              <w:suppressLineNumbers w:val="0"/>
              <w:adjustRightInd w:val="0"/>
              <w:spacing w:before="0" w:beforeAutospacing="0" w:after="0" w:afterAutospacing="0" w:line="560" w:lineRule="exact"/>
              <w:ind w:left="0" w:right="0" w:firstLine="200"/>
              <w:jc w:val="center"/>
              <w:textAlignment w:val="baseline"/>
              <w:rPr>
                <w:rFonts w:cs="仿宋"/>
                <w:highlight w:val="none"/>
              </w:rPr>
            </w:pPr>
          </w:p>
        </w:tc>
        <w:tc>
          <w:tcPr>
            <w:tcW w:w="2552" w:type="dxa"/>
            <w:noWrap/>
            <w:vAlign w:val="center"/>
          </w:tcPr>
          <w:p w14:paraId="7D22572D">
            <w:pPr>
              <w:keepNext w:val="0"/>
              <w:keepLines w:val="0"/>
              <w:suppressLineNumbers w:val="0"/>
              <w:adjustRightInd w:val="0"/>
              <w:spacing w:before="0" w:beforeAutospacing="0" w:after="0" w:afterAutospacing="0" w:line="560" w:lineRule="exact"/>
              <w:ind w:left="0" w:right="0" w:firstLine="200"/>
              <w:jc w:val="center"/>
              <w:textAlignment w:val="baseline"/>
              <w:rPr>
                <w:rFonts w:cs="仿宋"/>
                <w:highlight w:val="none"/>
              </w:rPr>
            </w:pPr>
          </w:p>
        </w:tc>
      </w:tr>
      <w:tr w14:paraId="41AB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06715394">
            <w:pPr>
              <w:keepNext w:val="0"/>
              <w:keepLines w:val="0"/>
              <w:suppressLineNumbers w:val="0"/>
              <w:adjustRightInd w:val="0"/>
              <w:spacing w:before="0" w:beforeAutospacing="0" w:after="0" w:afterAutospacing="0" w:line="560" w:lineRule="exact"/>
              <w:ind w:left="0" w:right="0" w:firstLine="200"/>
              <w:jc w:val="center"/>
              <w:textAlignment w:val="baseline"/>
              <w:rPr>
                <w:rFonts w:cs="仿宋"/>
                <w:highlight w:val="none"/>
              </w:rPr>
            </w:pPr>
          </w:p>
        </w:tc>
        <w:tc>
          <w:tcPr>
            <w:tcW w:w="3402" w:type="dxa"/>
            <w:noWrap/>
            <w:vAlign w:val="center"/>
          </w:tcPr>
          <w:p w14:paraId="7F0C41D1">
            <w:pPr>
              <w:keepNext w:val="0"/>
              <w:keepLines w:val="0"/>
              <w:suppressLineNumbers w:val="0"/>
              <w:adjustRightInd w:val="0"/>
              <w:spacing w:before="0" w:beforeAutospacing="0" w:after="0" w:afterAutospacing="0" w:line="560" w:lineRule="exact"/>
              <w:ind w:left="0" w:right="0" w:firstLine="200"/>
              <w:jc w:val="center"/>
              <w:textAlignment w:val="baseline"/>
              <w:rPr>
                <w:rFonts w:cs="仿宋"/>
                <w:highlight w:val="none"/>
              </w:rPr>
            </w:pPr>
          </w:p>
        </w:tc>
        <w:tc>
          <w:tcPr>
            <w:tcW w:w="2552" w:type="dxa"/>
            <w:noWrap/>
            <w:vAlign w:val="center"/>
          </w:tcPr>
          <w:p w14:paraId="353484BC">
            <w:pPr>
              <w:keepNext w:val="0"/>
              <w:keepLines w:val="0"/>
              <w:suppressLineNumbers w:val="0"/>
              <w:adjustRightInd w:val="0"/>
              <w:spacing w:before="0" w:beforeAutospacing="0" w:after="0" w:afterAutospacing="0" w:line="560" w:lineRule="exact"/>
              <w:ind w:left="0" w:right="0" w:firstLine="200"/>
              <w:jc w:val="center"/>
              <w:textAlignment w:val="baseline"/>
              <w:rPr>
                <w:rFonts w:cs="仿宋"/>
                <w:highlight w:val="none"/>
              </w:rPr>
            </w:pPr>
          </w:p>
        </w:tc>
      </w:tr>
      <w:tr w14:paraId="3581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ign w:val="center"/>
          </w:tcPr>
          <w:p w14:paraId="38CD2C94">
            <w:pPr>
              <w:keepNext w:val="0"/>
              <w:keepLines w:val="0"/>
              <w:suppressLineNumbers w:val="0"/>
              <w:adjustRightInd w:val="0"/>
              <w:spacing w:before="0" w:beforeAutospacing="0" w:after="0" w:afterAutospacing="0" w:line="560" w:lineRule="exact"/>
              <w:ind w:left="0" w:right="0" w:firstLine="200"/>
              <w:jc w:val="center"/>
              <w:textAlignment w:val="baseline"/>
              <w:rPr>
                <w:rFonts w:cs="仿宋"/>
                <w:highlight w:val="none"/>
              </w:rPr>
            </w:pPr>
            <w:r>
              <w:rPr>
                <w:rFonts w:hint="eastAsia" w:cs="仿宋"/>
                <w:highlight w:val="none"/>
              </w:rPr>
              <w:t>总价</w:t>
            </w:r>
          </w:p>
        </w:tc>
        <w:tc>
          <w:tcPr>
            <w:tcW w:w="2552" w:type="dxa"/>
            <w:noWrap/>
            <w:vAlign w:val="center"/>
          </w:tcPr>
          <w:p w14:paraId="7F960B9B">
            <w:pPr>
              <w:keepNext w:val="0"/>
              <w:keepLines w:val="0"/>
              <w:suppressLineNumbers w:val="0"/>
              <w:adjustRightInd w:val="0"/>
              <w:spacing w:before="0" w:beforeAutospacing="0" w:after="0" w:afterAutospacing="0" w:line="560" w:lineRule="exact"/>
              <w:ind w:left="0" w:right="0" w:firstLine="200"/>
              <w:jc w:val="center"/>
              <w:textAlignment w:val="baseline"/>
              <w:rPr>
                <w:rFonts w:cs="仿宋"/>
                <w:highlight w:val="none"/>
              </w:rPr>
            </w:pPr>
          </w:p>
        </w:tc>
      </w:tr>
    </w:tbl>
    <w:p w14:paraId="32E727E2">
      <w:pPr>
        <w:spacing w:line="560" w:lineRule="exact"/>
        <w:ind w:firstLine="422" w:firstLineChars="200"/>
        <w:outlineLvl w:val="0"/>
        <w:rPr>
          <w:rFonts w:cs="仿宋"/>
          <w:b/>
          <w:highlight w:val="none"/>
        </w:rPr>
      </w:pPr>
      <w:bookmarkStart w:id="534" w:name="_Toc14993"/>
      <w:bookmarkStart w:id="535" w:name="_Toc3654"/>
      <w:bookmarkStart w:id="536" w:name="_Toc30506"/>
      <w:bookmarkStart w:id="537" w:name="_Toc14108"/>
      <w:bookmarkStart w:id="538" w:name="_Toc30158"/>
      <w:bookmarkStart w:id="539" w:name="_Toc26916"/>
      <w:r>
        <w:rPr>
          <w:rFonts w:hint="eastAsia" w:cs="仿宋"/>
          <w:b/>
          <w:highlight w:val="none"/>
        </w:rPr>
        <w:t>1.4 付款方式和发票开具方式</w:t>
      </w:r>
      <w:bookmarkEnd w:id="534"/>
      <w:bookmarkEnd w:id="535"/>
      <w:bookmarkEnd w:id="536"/>
      <w:bookmarkEnd w:id="537"/>
      <w:bookmarkEnd w:id="538"/>
      <w:bookmarkEnd w:id="539"/>
    </w:p>
    <w:p w14:paraId="3CFDD31F">
      <w:pPr>
        <w:spacing w:line="560" w:lineRule="exact"/>
        <w:ind w:firstLine="420" w:firstLineChars="200"/>
        <w:rPr>
          <w:rFonts w:cs="仿宋"/>
          <w:highlight w:val="none"/>
        </w:rPr>
      </w:pPr>
      <w:r>
        <w:rPr>
          <w:rFonts w:hint="eastAsia" w:cs="仿宋"/>
          <w:highlight w:val="none"/>
        </w:rPr>
        <w:t>1.4.1付款方式：；</w:t>
      </w:r>
    </w:p>
    <w:p w14:paraId="60B93A96">
      <w:pPr>
        <w:spacing w:line="560" w:lineRule="exact"/>
        <w:ind w:firstLine="420" w:firstLineChars="200"/>
        <w:rPr>
          <w:rFonts w:cs="仿宋"/>
          <w:highlight w:val="none"/>
        </w:rPr>
      </w:pPr>
      <w:r>
        <w:rPr>
          <w:rFonts w:hint="eastAsia" w:cs="仿宋"/>
          <w:highlight w:val="none"/>
        </w:rPr>
        <w:t>1.4.2 发票开具方式：。</w:t>
      </w:r>
    </w:p>
    <w:p w14:paraId="47ACBF59">
      <w:pPr>
        <w:spacing w:line="560" w:lineRule="exact"/>
        <w:ind w:firstLine="422" w:firstLineChars="200"/>
        <w:outlineLvl w:val="0"/>
        <w:rPr>
          <w:rFonts w:cs="仿宋"/>
          <w:b/>
          <w:highlight w:val="none"/>
        </w:rPr>
      </w:pPr>
      <w:bookmarkStart w:id="540" w:name="_Toc4760"/>
      <w:bookmarkStart w:id="541" w:name="_Toc25935"/>
      <w:bookmarkStart w:id="542" w:name="_Toc31421"/>
      <w:bookmarkStart w:id="543" w:name="_Toc3625"/>
      <w:bookmarkStart w:id="544" w:name="_Toc11108"/>
      <w:bookmarkStart w:id="545" w:name="_Toc8772"/>
      <w:r>
        <w:rPr>
          <w:rFonts w:hint="eastAsia" w:cs="仿宋"/>
          <w:b/>
          <w:highlight w:val="none"/>
        </w:rPr>
        <w:t>1.5 履行期限、地点和方式</w:t>
      </w:r>
      <w:bookmarkEnd w:id="540"/>
      <w:bookmarkEnd w:id="541"/>
      <w:bookmarkEnd w:id="542"/>
      <w:bookmarkEnd w:id="543"/>
      <w:bookmarkEnd w:id="544"/>
      <w:bookmarkEnd w:id="545"/>
    </w:p>
    <w:p w14:paraId="7403F373">
      <w:pPr>
        <w:spacing w:line="560" w:lineRule="exact"/>
        <w:ind w:firstLine="420" w:firstLineChars="200"/>
        <w:rPr>
          <w:rFonts w:cs="仿宋"/>
          <w:highlight w:val="none"/>
          <w:u w:val="single"/>
        </w:rPr>
      </w:pPr>
      <w:r>
        <w:rPr>
          <w:rFonts w:hint="eastAsia" w:cs="仿宋"/>
          <w:highlight w:val="none"/>
        </w:rPr>
        <w:t>1.5.1 履行期限：；</w:t>
      </w:r>
    </w:p>
    <w:p w14:paraId="0AF33461">
      <w:pPr>
        <w:spacing w:line="560" w:lineRule="exact"/>
        <w:ind w:firstLine="420" w:firstLineChars="200"/>
        <w:rPr>
          <w:rFonts w:cs="仿宋"/>
          <w:highlight w:val="none"/>
        </w:rPr>
      </w:pPr>
      <w:r>
        <w:rPr>
          <w:rFonts w:hint="eastAsia" w:cs="仿宋"/>
          <w:highlight w:val="none"/>
        </w:rPr>
        <w:t>1.5.2 履行地点：；</w:t>
      </w:r>
    </w:p>
    <w:p w14:paraId="324FA1D6">
      <w:pPr>
        <w:spacing w:line="560" w:lineRule="exact"/>
        <w:ind w:firstLine="420" w:firstLineChars="200"/>
        <w:rPr>
          <w:rFonts w:cs="仿宋"/>
          <w:highlight w:val="none"/>
        </w:rPr>
      </w:pPr>
      <w:r>
        <w:rPr>
          <w:rFonts w:hint="eastAsia" w:cs="仿宋"/>
          <w:highlight w:val="none"/>
        </w:rPr>
        <w:t>1.5.3 履行方式：</w:t>
      </w:r>
      <w:r>
        <w:rPr>
          <w:rFonts w:hint="eastAsia" w:cs="仿宋"/>
          <w:highlight w:val="none"/>
          <w:u w:val="single"/>
        </w:rPr>
        <w:t xml:space="preserve">　　　　　　　　　                      　      </w:t>
      </w:r>
      <w:r>
        <w:rPr>
          <w:rFonts w:hint="eastAsia" w:cs="仿宋"/>
          <w:highlight w:val="none"/>
        </w:rPr>
        <w:t>。</w:t>
      </w:r>
    </w:p>
    <w:p w14:paraId="5150587F">
      <w:pPr>
        <w:spacing w:line="560" w:lineRule="exact"/>
        <w:ind w:firstLine="422" w:firstLineChars="200"/>
        <w:outlineLvl w:val="0"/>
        <w:rPr>
          <w:rFonts w:cs="仿宋"/>
          <w:highlight w:val="none"/>
          <w:u w:val="single"/>
        </w:rPr>
      </w:pPr>
      <w:bookmarkStart w:id="546" w:name="_Toc24662"/>
      <w:bookmarkStart w:id="547" w:name="_Toc5698"/>
      <w:bookmarkStart w:id="548" w:name="_Toc2375"/>
      <w:bookmarkStart w:id="549" w:name="_Toc8586"/>
      <w:bookmarkStart w:id="550" w:name="_Toc22926"/>
      <w:bookmarkStart w:id="551" w:name="_Toc3079"/>
      <w:r>
        <w:rPr>
          <w:rFonts w:hint="eastAsia" w:cs="仿宋"/>
          <w:b/>
          <w:highlight w:val="none"/>
        </w:rPr>
        <w:t>1.6 违约责任</w:t>
      </w:r>
      <w:bookmarkEnd w:id="546"/>
      <w:bookmarkEnd w:id="547"/>
      <w:bookmarkEnd w:id="548"/>
      <w:bookmarkEnd w:id="549"/>
      <w:bookmarkEnd w:id="550"/>
      <w:bookmarkEnd w:id="551"/>
    </w:p>
    <w:p w14:paraId="64A6E279">
      <w:pPr>
        <w:spacing w:line="560" w:lineRule="exact"/>
        <w:ind w:firstLine="420" w:firstLineChars="200"/>
        <w:rPr>
          <w:rFonts w:cs="仿宋"/>
          <w:highlight w:val="none"/>
        </w:rPr>
      </w:pPr>
      <w:r>
        <w:rPr>
          <w:rFonts w:hint="eastAsia" w:cs="仿宋"/>
          <w:highlight w:val="none"/>
        </w:rPr>
        <w:t>1.6.1 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04F2C0D8">
      <w:pPr>
        <w:spacing w:line="560" w:lineRule="exact"/>
        <w:ind w:firstLine="420" w:firstLineChars="200"/>
        <w:rPr>
          <w:rFonts w:cs="仿宋"/>
          <w:highlight w:val="none"/>
        </w:rPr>
      </w:pPr>
      <w:r>
        <w:rPr>
          <w:rFonts w:hint="eastAsia" w:cs="仿宋"/>
          <w:highlight w:val="none"/>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56D5A391">
      <w:pPr>
        <w:spacing w:line="560" w:lineRule="exact"/>
        <w:ind w:firstLine="420" w:firstLineChars="200"/>
        <w:rPr>
          <w:rFonts w:cs="仿宋"/>
          <w:highlight w:val="none"/>
        </w:rPr>
      </w:pPr>
      <w:r>
        <w:rPr>
          <w:rFonts w:hint="eastAsia" w:cs="仿宋"/>
          <w:highlight w:val="none"/>
        </w:rPr>
        <w:t>1.6.3 除不可抗力外，任何一方未能履行本合同约定的其他主要义务，经催告后在合理期限内仍未履行的，或者任何一方有其他违约行为致使不能实现合同目的的，或者存在欺诈行为（即：以谎报事实或隐瞒真相的方法来影响对方当事人在合同签订、履行过程中的行为）的，对方当事人可以书面通知违约方解除本合同；</w:t>
      </w:r>
    </w:p>
    <w:p w14:paraId="10356A6D">
      <w:pPr>
        <w:spacing w:line="560" w:lineRule="exact"/>
        <w:ind w:firstLine="420" w:firstLineChars="200"/>
        <w:rPr>
          <w:rFonts w:cs="仿宋"/>
          <w:highlight w:val="none"/>
        </w:rPr>
      </w:pPr>
      <w:r>
        <w:rPr>
          <w:rFonts w:hint="eastAsia" w:cs="仿宋"/>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w:t>
      </w:r>
    </w:p>
    <w:p w14:paraId="639012CE">
      <w:pPr>
        <w:spacing w:line="560" w:lineRule="exact"/>
        <w:ind w:firstLine="420" w:firstLineChars="200"/>
        <w:rPr>
          <w:rFonts w:cs="仿宋"/>
          <w:highlight w:val="none"/>
        </w:rPr>
      </w:pPr>
      <w:r>
        <w:rPr>
          <w:rFonts w:hint="eastAsia" w:cs="仿宋"/>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8C1A7FF">
      <w:pPr>
        <w:spacing w:line="560" w:lineRule="exact"/>
        <w:ind w:firstLine="420" w:firstLineChars="200"/>
        <w:rPr>
          <w:rFonts w:cs="仿宋"/>
          <w:highlight w:val="none"/>
        </w:rPr>
      </w:pPr>
      <w:r>
        <w:rPr>
          <w:rFonts w:hint="eastAsia" w:cs="仿宋"/>
          <w:highlight w:val="none"/>
        </w:rPr>
        <w:t>1.6.6 如果出现政府采购监督管理部门在处理投诉事项期间，书面通知甲方暂停采购活动的情形，或者询问或质疑事项可能影响中标（成交）结果的，导致甲方中止履行合同的情形，均不视为甲方违约。</w:t>
      </w:r>
    </w:p>
    <w:p w14:paraId="0B283614">
      <w:pPr>
        <w:spacing w:line="560" w:lineRule="exact"/>
        <w:ind w:firstLine="422" w:firstLineChars="200"/>
        <w:outlineLvl w:val="0"/>
        <w:rPr>
          <w:rFonts w:cs="仿宋"/>
          <w:b/>
          <w:highlight w:val="none"/>
        </w:rPr>
      </w:pPr>
      <w:bookmarkStart w:id="552" w:name="_Toc16632"/>
      <w:bookmarkStart w:id="553" w:name="_Toc32454"/>
      <w:bookmarkStart w:id="554" w:name="_Toc18683"/>
      <w:bookmarkStart w:id="555" w:name="_Toc30329"/>
      <w:bookmarkStart w:id="556" w:name="_Toc9497"/>
      <w:bookmarkStart w:id="557" w:name="_Toc26807"/>
      <w:r>
        <w:rPr>
          <w:rFonts w:hint="eastAsia" w:cs="仿宋"/>
          <w:b/>
          <w:highlight w:val="none"/>
        </w:rPr>
        <w:t>1.7 合同争议的解决</w:t>
      </w:r>
      <w:bookmarkEnd w:id="552"/>
      <w:bookmarkEnd w:id="553"/>
      <w:bookmarkEnd w:id="554"/>
      <w:bookmarkEnd w:id="555"/>
      <w:bookmarkEnd w:id="556"/>
      <w:bookmarkEnd w:id="557"/>
    </w:p>
    <w:p w14:paraId="451FCB3A">
      <w:pPr>
        <w:spacing w:line="560" w:lineRule="exact"/>
        <w:ind w:firstLine="420" w:firstLineChars="200"/>
        <w:rPr>
          <w:rFonts w:cs="仿宋"/>
          <w:highlight w:val="none"/>
        </w:rPr>
      </w:pPr>
      <w:r>
        <w:rPr>
          <w:rFonts w:hint="eastAsia" w:cs="仿宋"/>
          <w:highlight w:val="none"/>
        </w:rPr>
        <w:t>本合同履行过程中发生的任何争议，双方当事人均可通过和解或者调解解决；不愿和解、调解或者和解、调解不成的，可以选择下列第种方式解决：</w:t>
      </w:r>
    </w:p>
    <w:p w14:paraId="2EAB02FF">
      <w:pPr>
        <w:spacing w:line="560" w:lineRule="exact"/>
        <w:ind w:firstLine="420" w:firstLineChars="200"/>
        <w:rPr>
          <w:rFonts w:cs="仿宋"/>
          <w:highlight w:val="none"/>
        </w:rPr>
      </w:pPr>
      <w:r>
        <w:rPr>
          <w:rFonts w:hint="eastAsia" w:cs="仿宋"/>
          <w:highlight w:val="none"/>
        </w:rPr>
        <w:t>1.7.1 将争议提交仲裁委员会依申请仲裁时其现行有效的仲裁规则裁决；</w:t>
      </w:r>
    </w:p>
    <w:p w14:paraId="1867A4C5">
      <w:pPr>
        <w:spacing w:line="560" w:lineRule="exact"/>
        <w:ind w:firstLine="420" w:firstLineChars="200"/>
        <w:rPr>
          <w:rFonts w:cs="仿宋"/>
          <w:highlight w:val="none"/>
        </w:rPr>
      </w:pPr>
      <w:r>
        <w:rPr>
          <w:rFonts w:hint="eastAsia" w:cs="仿宋"/>
          <w:highlight w:val="none"/>
        </w:rPr>
        <w:t>1.7.2 向</w:t>
      </w:r>
      <w:r>
        <w:rPr>
          <w:rFonts w:hint="eastAsia" w:cs="仿宋"/>
          <w:highlight w:val="none"/>
          <w:u w:val="single"/>
        </w:rPr>
        <w:t xml:space="preserve">   （被告住所地、合同履行地、合同签订地、原告住所地、标的物所在地等与争议有实际联系的地点中选出的人民法院名称）    </w:t>
      </w:r>
      <w:r>
        <w:rPr>
          <w:rFonts w:hint="eastAsia" w:cs="仿宋"/>
          <w:highlight w:val="none"/>
        </w:rPr>
        <w:t>人民法院起诉。</w:t>
      </w:r>
    </w:p>
    <w:p w14:paraId="08236DBC">
      <w:pPr>
        <w:spacing w:line="560" w:lineRule="exact"/>
        <w:ind w:firstLine="422" w:firstLineChars="200"/>
        <w:outlineLvl w:val="0"/>
        <w:rPr>
          <w:rFonts w:cs="仿宋"/>
          <w:b/>
          <w:highlight w:val="none"/>
        </w:rPr>
      </w:pPr>
      <w:bookmarkStart w:id="558" w:name="_Toc15415"/>
      <w:bookmarkStart w:id="559" w:name="_Toc26227"/>
      <w:bookmarkStart w:id="560" w:name="_Toc15827"/>
      <w:bookmarkStart w:id="561" w:name="_Toc12273"/>
      <w:bookmarkStart w:id="562" w:name="_Toc23784"/>
      <w:bookmarkStart w:id="563" w:name="_Toc16417"/>
      <w:r>
        <w:rPr>
          <w:rFonts w:hint="eastAsia" w:cs="仿宋"/>
          <w:b/>
          <w:highlight w:val="none"/>
        </w:rPr>
        <w:t>1.8 合同生效</w:t>
      </w:r>
      <w:bookmarkEnd w:id="558"/>
      <w:bookmarkEnd w:id="559"/>
      <w:bookmarkEnd w:id="560"/>
      <w:bookmarkEnd w:id="561"/>
      <w:bookmarkEnd w:id="562"/>
      <w:bookmarkEnd w:id="563"/>
    </w:p>
    <w:p w14:paraId="00B518A5">
      <w:pPr>
        <w:spacing w:line="560" w:lineRule="exact"/>
        <w:ind w:firstLine="420" w:firstLineChars="200"/>
        <w:rPr>
          <w:rFonts w:cs="仿宋"/>
          <w:b/>
          <w:highlight w:val="none"/>
        </w:rPr>
      </w:pPr>
      <w:r>
        <w:rPr>
          <w:rFonts w:hint="eastAsia" w:cs="仿宋"/>
          <w:highlight w:val="none"/>
        </w:rPr>
        <w:t>本合同自双方当事人盖章或者签字时生效。</w:t>
      </w:r>
    </w:p>
    <w:p w14:paraId="35493192">
      <w:pPr>
        <w:autoSpaceDE w:val="0"/>
        <w:autoSpaceDN w:val="0"/>
        <w:adjustRightInd w:val="0"/>
        <w:spacing w:line="560" w:lineRule="exact"/>
        <w:rPr>
          <w:rFonts w:cs="仿宋"/>
          <w:highlight w:val="none"/>
          <w:lang w:val="zh-CN"/>
        </w:rPr>
      </w:pPr>
    </w:p>
    <w:p w14:paraId="0711A5BD">
      <w:pPr>
        <w:autoSpaceDE w:val="0"/>
        <w:autoSpaceDN w:val="0"/>
        <w:adjustRightInd w:val="0"/>
        <w:spacing w:line="560" w:lineRule="exact"/>
        <w:rPr>
          <w:rFonts w:cs="仿宋"/>
          <w:highlight w:val="none"/>
          <w:lang w:val="zh-CN"/>
        </w:rPr>
      </w:pPr>
      <w:r>
        <w:rPr>
          <w:rFonts w:hint="eastAsia" w:cs="仿宋"/>
          <w:b/>
          <w:highlight w:val="none"/>
          <w:lang w:val="zh-CN"/>
        </w:rPr>
        <w:t>甲方</w:t>
      </w:r>
      <w:r>
        <w:rPr>
          <w:rFonts w:hint="eastAsia" w:cs="仿宋"/>
          <w:highlight w:val="none"/>
          <w:lang w:val="zh-CN"/>
        </w:rPr>
        <w:t xml:space="preserve">：                             </w:t>
      </w:r>
      <w:r>
        <w:rPr>
          <w:rFonts w:hint="eastAsia" w:cs="仿宋"/>
          <w:b/>
          <w:highlight w:val="none"/>
          <w:lang w:val="zh-CN"/>
        </w:rPr>
        <w:t xml:space="preserve">      乙方</w:t>
      </w:r>
      <w:r>
        <w:rPr>
          <w:rFonts w:hint="eastAsia" w:cs="仿宋"/>
          <w:highlight w:val="none"/>
          <w:lang w:val="zh-CN"/>
        </w:rPr>
        <w:t>：</w:t>
      </w:r>
    </w:p>
    <w:p w14:paraId="2415FE94">
      <w:pPr>
        <w:autoSpaceDE w:val="0"/>
        <w:autoSpaceDN w:val="0"/>
        <w:adjustRightInd w:val="0"/>
        <w:spacing w:line="560" w:lineRule="exact"/>
        <w:rPr>
          <w:rFonts w:cs="仿宋"/>
          <w:highlight w:val="none"/>
          <w:lang w:val="zh-CN"/>
        </w:rPr>
      </w:pPr>
      <w:r>
        <w:rPr>
          <w:rFonts w:hint="eastAsia" w:cs="仿宋"/>
          <w:highlight w:val="none"/>
          <w:lang w:val="zh-CN"/>
        </w:rPr>
        <w:t>统一社会信用代码：                        统一社会信用代码或身份证号码：</w:t>
      </w:r>
    </w:p>
    <w:p w14:paraId="1CEBC484">
      <w:pPr>
        <w:autoSpaceDE w:val="0"/>
        <w:autoSpaceDN w:val="0"/>
        <w:adjustRightInd w:val="0"/>
        <w:spacing w:line="560" w:lineRule="exact"/>
        <w:rPr>
          <w:rFonts w:cs="仿宋"/>
          <w:highlight w:val="none"/>
          <w:lang w:val="zh-CN"/>
        </w:rPr>
      </w:pPr>
    </w:p>
    <w:p w14:paraId="7707E485">
      <w:pPr>
        <w:autoSpaceDE w:val="0"/>
        <w:autoSpaceDN w:val="0"/>
        <w:adjustRightInd w:val="0"/>
        <w:spacing w:line="560" w:lineRule="exact"/>
        <w:rPr>
          <w:rFonts w:cs="仿宋"/>
          <w:highlight w:val="none"/>
          <w:lang w:val="zh-CN"/>
        </w:rPr>
      </w:pPr>
      <w:r>
        <w:rPr>
          <w:rFonts w:hint="eastAsia" w:cs="仿宋"/>
          <w:highlight w:val="none"/>
          <w:lang w:val="zh-CN"/>
        </w:rPr>
        <w:t>住所：                                   住所：</w:t>
      </w:r>
    </w:p>
    <w:p w14:paraId="26862258">
      <w:pPr>
        <w:autoSpaceDE w:val="0"/>
        <w:autoSpaceDN w:val="0"/>
        <w:adjustRightInd w:val="0"/>
        <w:spacing w:line="560" w:lineRule="exact"/>
        <w:rPr>
          <w:rFonts w:cs="仿宋"/>
          <w:highlight w:val="none"/>
          <w:lang w:val="zh-CN"/>
        </w:rPr>
      </w:pPr>
      <w:r>
        <w:rPr>
          <w:rFonts w:hint="eastAsia" w:cs="仿宋"/>
          <w:highlight w:val="none"/>
          <w:lang w:val="zh-CN"/>
        </w:rPr>
        <w:t>法定代表人或                             法定代表人</w:t>
      </w:r>
    </w:p>
    <w:p w14:paraId="33C0D641">
      <w:pPr>
        <w:autoSpaceDE w:val="0"/>
        <w:autoSpaceDN w:val="0"/>
        <w:adjustRightInd w:val="0"/>
        <w:spacing w:line="560" w:lineRule="exact"/>
        <w:rPr>
          <w:rFonts w:cs="仿宋"/>
          <w:highlight w:val="none"/>
          <w:lang w:val="zh-CN"/>
        </w:rPr>
      </w:pPr>
      <w:r>
        <w:rPr>
          <w:rFonts w:hint="eastAsia" w:cs="仿宋"/>
          <w:highlight w:val="none"/>
          <w:lang w:val="zh-CN"/>
        </w:rPr>
        <w:t xml:space="preserve">授权代表（签字）：                        或授权代表（签字）: </w:t>
      </w:r>
    </w:p>
    <w:p w14:paraId="42BC771D">
      <w:pPr>
        <w:autoSpaceDE w:val="0"/>
        <w:autoSpaceDN w:val="0"/>
        <w:adjustRightInd w:val="0"/>
        <w:spacing w:line="560" w:lineRule="exact"/>
        <w:rPr>
          <w:rFonts w:cs="仿宋"/>
          <w:highlight w:val="none"/>
          <w:lang w:val="zh-CN"/>
        </w:rPr>
      </w:pPr>
      <w:r>
        <w:rPr>
          <w:rFonts w:hint="eastAsia" w:cs="仿宋"/>
          <w:highlight w:val="none"/>
          <w:lang w:val="zh-CN"/>
        </w:rPr>
        <w:t>联系人：                                 联系人：</w:t>
      </w:r>
    </w:p>
    <w:p w14:paraId="0B177B30">
      <w:pPr>
        <w:autoSpaceDE w:val="0"/>
        <w:autoSpaceDN w:val="0"/>
        <w:adjustRightInd w:val="0"/>
        <w:spacing w:line="560" w:lineRule="exact"/>
        <w:rPr>
          <w:rFonts w:cs="仿宋"/>
          <w:highlight w:val="none"/>
          <w:lang w:val="zh-CN"/>
        </w:rPr>
      </w:pPr>
      <w:r>
        <w:rPr>
          <w:rFonts w:hint="eastAsia" w:cs="仿宋"/>
          <w:highlight w:val="none"/>
          <w:lang w:val="zh-CN"/>
        </w:rPr>
        <w:t>约定送达地址：                           约定送达地址：</w:t>
      </w:r>
    </w:p>
    <w:p w14:paraId="1F9A6380">
      <w:pPr>
        <w:autoSpaceDE w:val="0"/>
        <w:autoSpaceDN w:val="0"/>
        <w:adjustRightInd w:val="0"/>
        <w:spacing w:line="560" w:lineRule="exact"/>
        <w:rPr>
          <w:rFonts w:cs="仿宋"/>
          <w:highlight w:val="none"/>
          <w:lang w:val="zh-CN"/>
        </w:rPr>
      </w:pPr>
      <w:r>
        <w:rPr>
          <w:rFonts w:hint="eastAsia" w:cs="仿宋"/>
          <w:highlight w:val="none"/>
          <w:lang w:val="zh-CN"/>
        </w:rPr>
        <w:t>邮政编码：                               邮政编码：</w:t>
      </w:r>
    </w:p>
    <w:p w14:paraId="3F16B20C">
      <w:pPr>
        <w:autoSpaceDE w:val="0"/>
        <w:autoSpaceDN w:val="0"/>
        <w:adjustRightInd w:val="0"/>
        <w:spacing w:line="560" w:lineRule="exact"/>
        <w:rPr>
          <w:rFonts w:cs="仿宋"/>
          <w:highlight w:val="none"/>
          <w:lang w:val="zh-CN"/>
        </w:rPr>
      </w:pPr>
      <w:r>
        <w:rPr>
          <w:rFonts w:hint="eastAsia" w:cs="仿宋"/>
          <w:highlight w:val="none"/>
          <w:lang w:val="zh-CN"/>
        </w:rPr>
        <w:t xml:space="preserve">电话:                                    电话: </w:t>
      </w:r>
    </w:p>
    <w:p w14:paraId="315941AC">
      <w:pPr>
        <w:autoSpaceDE w:val="0"/>
        <w:autoSpaceDN w:val="0"/>
        <w:adjustRightInd w:val="0"/>
        <w:spacing w:line="560" w:lineRule="exact"/>
        <w:rPr>
          <w:rFonts w:cs="仿宋"/>
          <w:highlight w:val="none"/>
          <w:lang w:val="zh-CN"/>
        </w:rPr>
      </w:pPr>
      <w:r>
        <w:rPr>
          <w:rFonts w:hint="eastAsia" w:cs="仿宋"/>
          <w:highlight w:val="none"/>
          <w:lang w:val="zh-CN"/>
        </w:rPr>
        <w:t>传真:                                    传真:</w:t>
      </w:r>
    </w:p>
    <w:p w14:paraId="435FE8C0">
      <w:pPr>
        <w:autoSpaceDE w:val="0"/>
        <w:autoSpaceDN w:val="0"/>
        <w:adjustRightInd w:val="0"/>
        <w:spacing w:line="560" w:lineRule="exact"/>
        <w:rPr>
          <w:rFonts w:cs="仿宋"/>
          <w:highlight w:val="none"/>
        </w:rPr>
      </w:pPr>
      <w:r>
        <w:rPr>
          <w:rFonts w:hint="eastAsia" w:cs="仿宋"/>
          <w:highlight w:val="none"/>
          <w:lang w:val="zh-CN"/>
        </w:rPr>
        <w:t>电子邮箱：                               电子邮箱：</w:t>
      </w:r>
    </w:p>
    <w:p w14:paraId="11E25D9D">
      <w:pPr>
        <w:autoSpaceDE w:val="0"/>
        <w:autoSpaceDN w:val="0"/>
        <w:adjustRightInd w:val="0"/>
        <w:spacing w:line="560" w:lineRule="exact"/>
        <w:rPr>
          <w:rFonts w:cs="仿宋"/>
          <w:highlight w:val="none"/>
        </w:rPr>
      </w:pPr>
      <w:r>
        <w:rPr>
          <w:rFonts w:hint="eastAsia" w:cs="仿宋"/>
          <w:highlight w:val="none"/>
        </w:rPr>
        <w:t xml:space="preserve">开户银行：                               开户银行： </w:t>
      </w:r>
    </w:p>
    <w:p w14:paraId="185B7013">
      <w:pPr>
        <w:autoSpaceDE w:val="0"/>
        <w:autoSpaceDN w:val="0"/>
        <w:adjustRightInd w:val="0"/>
        <w:spacing w:line="560" w:lineRule="exact"/>
        <w:rPr>
          <w:rFonts w:cs="仿宋"/>
          <w:highlight w:val="none"/>
        </w:rPr>
      </w:pPr>
      <w:r>
        <w:rPr>
          <w:rFonts w:hint="eastAsia" w:cs="仿宋"/>
          <w:highlight w:val="none"/>
        </w:rPr>
        <w:t xml:space="preserve">开户名称：                               开户名称： </w:t>
      </w:r>
    </w:p>
    <w:p w14:paraId="0D9AB0F2">
      <w:pPr>
        <w:autoSpaceDE w:val="0"/>
        <w:autoSpaceDN w:val="0"/>
        <w:adjustRightInd w:val="0"/>
        <w:spacing w:line="560" w:lineRule="exact"/>
        <w:rPr>
          <w:rFonts w:cs="仿宋"/>
          <w:highlight w:val="none"/>
        </w:rPr>
      </w:pPr>
      <w:r>
        <w:rPr>
          <w:rFonts w:hint="eastAsia" w:cs="仿宋"/>
          <w:highlight w:val="none"/>
        </w:rPr>
        <w:t>开户账号：开户账号：</w:t>
      </w:r>
    </w:p>
    <w:p w14:paraId="1DE6880E">
      <w:pPr>
        <w:spacing w:line="560" w:lineRule="exact"/>
        <w:rPr>
          <w:rFonts w:cs="仿宋"/>
          <w:b/>
          <w:highlight w:val="none"/>
        </w:rPr>
      </w:pPr>
      <w:bookmarkStart w:id="564" w:name="_Toc331685783"/>
    </w:p>
    <w:p w14:paraId="1F2FD653">
      <w:pPr>
        <w:spacing w:line="560" w:lineRule="exact"/>
        <w:rPr>
          <w:rFonts w:cs="仿宋"/>
          <w:b/>
          <w:highlight w:val="none"/>
        </w:rPr>
      </w:pPr>
    </w:p>
    <w:p w14:paraId="442A04DB">
      <w:pPr>
        <w:spacing w:line="560" w:lineRule="exact"/>
        <w:rPr>
          <w:rFonts w:cs="仿宋"/>
          <w:b/>
          <w:highlight w:val="none"/>
        </w:rPr>
      </w:pPr>
    </w:p>
    <w:p w14:paraId="30FC48F7">
      <w:pPr>
        <w:spacing w:line="560" w:lineRule="exact"/>
        <w:rPr>
          <w:rFonts w:cs="仿宋"/>
          <w:b/>
          <w:highlight w:val="none"/>
        </w:rPr>
      </w:pPr>
    </w:p>
    <w:p w14:paraId="258D6944">
      <w:pPr>
        <w:spacing w:line="560" w:lineRule="exact"/>
        <w:rPr>
          <w:rFonts w:cs="仿宋"/>
          <w:b/>
          <w:highlight w:val="none"/>
        </w:rPr>
      </w:pPr>
      <w:r>
        <w:rPr>
          <w:rFonts w:hint="eastAsia" w:cs="仿宋"/>
          <w:b/>
          <w:highlight w:val="none"/>
        </w:rPr>
        <w:br w:type="page"/>
      </w:r>
    </w:p>
    <w:p w14:paraId="50CF9086">
      <w:pPr>
        <w:autoSpaceDE w:val="0"/>
        <w:autoSpaceDN w:val="0"/>
        <w:adjustRightInd w:val="0"/>
        <w:spacing w:line="560" w:lineRule="exact"/>
        <w:ind w:firstLine="200"/>
        <w:jc w:val="center"/>
        <w:rPr>
          <w:rFonts w:cs="仿宋"/>
          <w:b/>
          <w:highlight w:val="none"/>
        </w:rPr>
      </w:pPr>
      <w:r>
        <w:rPr>
          <w:rFonts w:hint="eastAsia" w:cs="仿宋"/>
          <w:b/>
          <w:highlight w:val="none"/>
        </w:rPr>
        <w:t>第二部分 合同一般条款</w:t>
      </w:r>
      <w:bookmarkEnd w:id="564"/>
    </w:p>
    <w:p w14:paraId="218C8711">
      <w:pPr>
        <w:spacing w:line="560" w:lineRule="exact"/>
        <w:ind w:firstLine="422" w:firstLineChars="200"/>
        <w:outlineLvl w:val="0"/>
        <w:rPr>
          <w:rFonts w:cs="仿宋"/>
          <w:b/>
          <w:highlight w:val="none"/>
        </w:rPr>
      </w:pPr>
      <w:bookmarkStart w:id="565" w:name="_Toc14021"/>
      <w:bookmarkStart w:id="566" w:name="_Ref467379205"/>
      <w:bookmarkStart w:id="567" w:name="_Toc5228"/>
      <w:bookmarkStart w:id="568" w:name="_Toc487900349"/>
      <w:bookmarkStart w:id="569" w:name="_Toc25079"/>
      <w:bookmarkStart w:id="570" w:name="_Toc259093669"/>
      <w:bookmarkStart w:id="571" w:name="_Ref467378404"/>
      <w:bookmarkStart w:id="572" w:name="_Ref467378499"/>
      <w:bookmarkStart w:id="573" w:name="_Ref467379094"/>
      <w:bookmarkStart w:id="574" w:name="_Toc31297"/>
      <w:bookmarkStart w:id="575" w:name="_Toc31799"/>
      <w:bookmarkStart w:id="576" w:name="_Ref467378463"/>
      <w:bookmarkStart w:id="577" w:name="_Ref467379101"/>
      <w:bookmarkStart w:id="578" w:name="_Ref467379195"/>
      <w:bookmarkStart w:id="579" w:name="_Toc279701240"/>
      <w:bookmarkStart w:id="580" w:name="_Toc19680"/>
      <w:bookmarkStart w:id="581" w:name="_Ref467379225"/>
      <w:bookmarkStart w:id="582" w:name="_Ref467379214"/>
      <w:bookmarkStart w:id="583" w:name="_Ref467379109"/>
      <w:r>
        <w:rPr>
          <w:rFonts w:hint="eastAsia" w:cs="仿宋"/>
          <w:b/>
          <w:highlight w:val="none"/>
        </w:rPr>
        <w:t>2.1 定义</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774A4407">
      <w:pPr>
        <w:spacing w:line="560" w:lineRule="exact"/>
        <w:ind w:firstLine="420" w:firstLineChars="200"/>
        <w:rPr>
          <w:rFonts w:cs="仿宋"/>
          <w:highlight w:val="none"/>
        </w:rPr>
      </w:pPr>
      <w:r>
        <w:rPr>
          <w:rFonts w:hint="eastAsia" w:cs="仿宋"/>
          <w:highlight w:val="none"/>
        </w:rPr>
        <w:t>本合同中的下列词语应按以下内容进行解释：</w:t>
      </w:r>
    </w:p>
    <w:p w14:paraId="47549673">
      <w:pPr>
        <w:spacing w:line="560" w:lineRule="exact"/>
        <w:ind w:firstLine="420" w:firstLineChars="200"/>
        <w:rPr>
          <w:rFonts w:cs="仿宋"/>
          <w:highlight w:val="none"/>
        </w:rPr>
      </w:pPr>
      <w:r>
        <w:rPr>
          <w:rFonts w:hint="eastAsia" w:cs="仿宋"/>
          <w:highlight w:val="none"/>
        </w:rPr>
        <w:t>2.1.1 “合同”系指采购人和中标（成交）供应商签订的载明双方当事人所达成的协议，并包括所有的附件、附录和构成合同的其他文件。</w:t>
      </w:r>
    </w:p>
    <w:p w14:paraId="35587E6C">
      <w:pPr>
        <w:spacing w:line="560" w:lineRule="exact"/>
        <w:ind w:firstLine="420" w:firstLineChars="200"/>
        <w:rPr>
          <w:rFonts w:cs="仿宋"/>
          <w:highlight w:val="none"/>
        </w:rPr>
      </w:pPr>
      <w:r>
        <w:rPr>
          <w:rFonts w:hint="eastAsia" w:cs="仿宋"/>
          <w:highlight w:val="none"/>
        </w:rPr>
        <w:t>2.1.2 “合同价”系指根据合同约定，中标（成交）供应商在完全履行合同义务后，采购人应支付给中标（成交）供应商的价格。</w:t>
      </w:r>
    </w:p>
    <w:p w14:paraId="7C7B340C">
      <w:pPr>
        <w:spacing w:line="560" w:lineRule="exact"/>
        <w:ind w:firstLine="420" w:firstLineChars="200"/>
        <w:rPr>
          <w:rFonts w:cs="仿宋"/>
          <w:highlight w:val="none"/>
        </w:rPr>
      </w:pPr>
      <w:r>
        <w:rPr>
          <w:rFonts w:hint="eastAsia" w:cs="仿宋"/>
          <w:highlight w:val="none"/>
        </w:rPr>
        <w:t>2.1.3 “服务”系指中标（成交）供应商根据合同约定应向采购人履行的除货物和工程以外的其他政府采购对象，包括采购人自身需要的服务和向社会公众提供的公共服务。</w:t>
      </w:r>
    </w:p>
    <w:p w14:paraId="670A6B03">
      <w:pPr>
        <w:spacing w:line="560" w:lineRule="exact"/>
        <w:ind w:firstLine="420" w:firstLineChars="200"/>
        <w:rPr>
          <w:rFonts w:cs="仿宋"/>
          <w:highlight w:val="none"/>
        </w:rPr>
      </w:pPr>
      <w:bookmarkStart w:id="584" w:name="_Ref467378840"/>
      <w:r>
        <w:rPr>
          <w:rFonts w:hint="eastAsia" w:cs="仿宋"/>
          <w:highlight w:val="none"/>
        </w:rPr>
        <w:t>2.1.4 “甲方”系指与中标（成交）供应商签署合同的采购人</w:t>
      </w:r>
      <w:bookmarkEnd w:id="584"/>
      <w:r>
        <w:rPr>
          <w:rFonts w:hint="eastAsia" w:cs="仿宋"/>
          <w:highlight w:val="none"/>
        </w:rPr>
        <w:t>；采购人委托采购代理机构代表其与乙方签订合同的，采购人的授权委托书作为合同附件。</w:t>
      </w:r>
    </w:p>
    <w:p w14:paraId="28F2CD3A">
      <w:pPr>
        <w:spacing w:line="560" w:lineRule="exact"/>
        <w:ind w:firstLine="420" w:firstLineChars="200"/>
        <w:rPr>
          <w:rFonts w:cs="仿宋"/>
          <w:highlight w:val="none"/>
        </w:rPr>
      </w:pPr>
      <w:bookmarkStart w:id="585" w:name="_Ref467379400"/>
      <w:r>
        <w:rPr>
          <w:rFonts w:hint="eastAsia" w:cs="仿宋"/>
          <w:highlight w:val="none"/>
        </w:rPr>
        <w:t>2.1.5 “乙方”系指根据合同约定提供服务的</w:t>
      </w:r>
      <w:bookmarkEnd w:id="585"/>
      <w:r>
        <w:rPr>
          <w:rFonts w:hint="eastAsia" w:cs="仿宋"/>
          <w:highlight w:val="none"/>
        </w:rPr>
        <w:t>中标（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21EBCBB">
      <w:pPr>
        <w:spacing w:line="560" w:lineRule="exact"/>
        <w:ind w:firstLine="420" w:firstLineChars="200"/>
        <w:rPr>
          <w:rFonts w:cs="仿宋"/>
          <w:highlight w:val="none"/>
        </w:rPr>
      </w:pPr>
      <w:bookmarkStart w:id="586" w:name="_Ref467379436"/>
      <w:r>
        <w:rPr>
          <w:rFonts w:hint="eastAsia" w:cs="仿宋"/>
          <w:highlight w:val="none"/>
        </w:rPr>
        <w:t>2.1.6 “现场”系指合同约定提供服务的地点。</w:t>
      </w:r>
      <w:bookmarkEnd w:id="586"/>
    </w:p>
    <w:p w14:paraId="7E78FB11">
      <w:pPr>
        <w:spacing w:line="560" w:lineRule="exact"/>
        <w:ind w:firstLine="422" w:firstLineChars="200"/>
        <w:outlineLvl w:val="0"/>
        <w:rPr>
          <w:rFonts w:cs="仿宋"/>
          <w:b/>
          <w:highlight w:val="none"/>
        </w:rPr>
      </w:pPr>
      <w:bookmarkStart w:id="587" w:name="_Toc23289"/>
      <w:bookmarkStart w:id="588" w:name="_Toc16752"/>
      <w:bookmarkStart w:id="589" w:name="_Toc5232"/>
      <w:bookmarkStart w:id="590" w:name="_Toc259093670"/>
      <w:bookmarkStart w:id="591" w:name="_Toc487900350"/>
      <w:bookmarkStart w:id="592" w:name="_Toc31402"/>
      <w:bookmarkStart w:id="593" w:name="_Toc3769"/>
      <w:bookmarkStart w:id="594" w:name="_Toc19539"/>
      <w:bookmarkStart w:id="595" w:name="_Toc279701241"/>
      <w:r>
        <w:rPr>
          <w:rFonts w:hint="eastAsia" w:cs="仿宋"/>
          <w:b/>
          <w:highlight w:val="none"/>
        </w:rPr>
        <w:t>2.2 技术规范</w:t>
      </w:r>
      <w:bookmarkEnd w:id="587"/>
      <w:bookmarkEnd w:id="588"/>
      <w:bookmarkEnd w:id="589"/>
      <w:bookmarkEnd w:id="590"/>
      <w:bookmarkEnd w:id="591"/>
      <w:bookmarkEnd w:id="592"/>
      <w:bookmarkEnd w:id="593"/>
      <w:bookmarkEnd w:id="594"/>
      <w:bookmarkEnd w:id="595"/>
    </w:p>
    <w:p w14:paraId="04E45944">
      <w:pPr>
        <w:spacing w:line="560" w:lineRule="exact"/>
        <w:ind w:firstLine="420" w:firstLineChars="200"/>
        <w:rPr>
          <w:rFonts w:cs="仿宋"/>
          <w:highlight w:val="none"/>
        </w:rPr>
      </w:pPr>
      <w:r>
        <w:rPr>
          <w:rFonts w:hint="eastAsia" w:cs="仿宋"/>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08FF615">
      <w:pPr>
        <w:spacing w:line="560" w:lineRule="exact"/>
        <w:ind w:firstLine="422" w:firstLineChars="200"/>
        <w:outlineLvl w:val="0"/>
        <w:rPr>
          <w:rFonts w:cs="仿宋"/>
          <w:b/>
          <w:highlight w:val="none"/>
        </w:rPr>
      </w:pPr>
      <w:bookmarkStart w:id="596" w:name="_Toc259093671"/>
      <w:bookmarkStart w:id="597" w:name="_Toc9161"/>
      <w:bookmarkStart w:id="598" w:name="_Toc27945"/>
      <w:bookmarkStart w:id="599" w:name="_Toc15048"/>
      <w:bookmarkStart w:id="600" w:name="_Toc12412"/>
      <w:bookmarkStart w:id="601" w:name="_Toc4133"/>
      <w:bookmarkStart w:id="602" w:name="_Toc13673"/>
      <w:bookmarkStart w:id="603" w:name="_Toc279701242"/>
      <w:bookmarkStart w:id="604" w:name="_Toc487900351"/>
      <w:r>
        <w:rPr>
          <w:rFonts w:hint="eastAsia" w:cs="仿宋"/>
          <w:b/>
          <w:highlight w:val="none"/>
        </w:rPr>
        <w:t>2.3 知识产权</w:t>
      </w:r>
      <w:bookmarkEnd w:id="596"/>
      <w:bookmarkEnd w:id="597"/>
      <w:bookmarkEnd w:id="598"/>
      <w:bookmarkEnd w:id="599"/>
      <w:bookmarkEnd w:id="600"/>
      <w:bookmarkEnd w:id="601"/>
      <w:bookmarkEnd w:id="602"/>
      <w:bookmarkEnd w:id="603"/>
      <w:bookmarkEnd w:id="604"/>
    </w:p>
    <w:p w14:paraId="53F0F9A4">
      <w:pPr>
        <w:spacing w:line="560" w:lineRule="exact"/>
        <w:ind w:firstLine="420" w:firstLineChars="200"/>
        <w:rPr>
          <w:rFonts w:cs="仿宋"/>
          <w:highlight w:val="none"/>
        </w:rPr>
      </w:pPr>
      <w:r>
        <w:rPr>
          <w:rFonts w:hint="eastAsia" w:cs="仿宋"/>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5C60E910">
      <w:pPr>
        <w:spacing w:line="560" w:lineRule="exact"/>
        <w:ind w:firstLine="420" w:firstLineChars="200"/>
        <w:rPr>
          <w:rFonts w:cs="仿宋"/>
          <w:highlight w:val="none"/>
        </w:rPr>
      </w:pPr>
      <w:r>
        <w:rPr>
          <w:rFonts w:hint="eastAsia" w:cs="仿宋"/>
          <w:highlight w:val="none"/>
        </w:rPr>
        <w:t>2.3.2 合同涉及技术成果的归属和收益的分成办法的，详见</w:t>
      </w:r>
      <w:r>
        <w:rPr>
          <w:rFonts w:hint="eastAsia" w:cs="仿宋"/>
          <w:b/>
          <w:highlight w:val="none"/>
          <w:u w:val="single"/>
        </w:rPr>
        <w:t>合同专用条款</w:t>
      </w:r>
      <w:r>
        <w:rPr>
          <w:rFonts w:hint="eastAsia" w:cs="仿宋"/>
          <w:highlight w:val="none"/>
        </w:rPr>
        <w:t>。</w:t>
      </w:r>
    </w:p>
    <w:p w14:paraId="18999502">
      <w:pPr>
        <w:spacing w:line="560" w:lineRule="exact"/>
        <w:ind w:firstLine="422" w:firstLineChars="200"/>
        <w:rPr>
          <w:rFonts w:cs="仿宋"/>
          <w:b/>
          <w:highlight w:val="none"/>
        </w:rPr>
      </w:pPr>
      <w:r>
        <w:rPr>
          <w:rFonts w:hint="eastAsia" w:cs="仿宋"/>
          <w:b/>
          <w:highlight w:val="none"/>
        </w:rPr>
        <w:t>2.4 履约检查和问题反馈</w:t>
      </w:r>
    </w:p>
    <w:p w14:paraId="1646B662">
      <w:pPr>
        <w:spacing w:line="560" w:lineRule="exact"/>
        <w:ind w:firstLine="420" w:firstLineChars="200"/>
        <w:rPr>
          <w:rFonts w:cs="仿宋"/>
          <w:highlight w:val="none"/>
        </w:rPr>
      </w:pPr>
      <w:bookmarkStart w:id="605" w:name="_Ref467379657"/>
      <w:r>
        <w:rPr>
          <w:rFonts w:hint="eastAsia" w:cs="仿宋"/>
          <w:highlight w:val="none"/>
        </w:rPr>
        <w:t>2.4.1</w:t>
      </w:r>
      <w:bookmarkEnd w:id="605"/>
      <w:bookmarkStart w:id="606" w:name="_Toc186431854"/>
      <w:bookmarkStart w:id="607" w:name="_Toc279701247"/>
      <w:bookmarkStart w:id="608" w:name="_Toc259093676"/>
      <w:bookmarkStart w:id="609" w:name="_Ref467379807"/>
      <w:bookmarkStart w:id="610" w:name="_Ref467379793"/>
      <w:bookmarkStart w:id="611" w:name="_Toc487900357"/>
      <w:r>
        <w:rPr>
          <w:rFonts w:hint="eastAsia" w:cs="仿宋"/>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4FEFAB52">
      <w:pPr>
        <w:spacing w:line="560" w:lineRule="exact"/>
        <w:ind w:firstLine="420" w:firstLineChars="200"/>
        <w:rPr>
          <w:rFonts w:cs="仿宋"/>
          <w:highlight w:val="none"/>
        </w:rPr>
      </w:pPr>
      <w:r>
        <w:rPr>
          <w:rFonts w:hint="eastAsia" w:cs="仿宋"/>
          <w:highlight w:val="none"/>
        </w:rPr>
        <w:t>2.4.2 合同履行期间，甲方有权将履行过程中出现的问题反馈给乙方，双方当事人应以书面形式约定需要完善和改进的内容</w:t>
      </w:r>
      <w:bookmarkEnd w:id="606"/>
      <w:bookmarkStart w:id="612" w:name="_Toc186431855"/>
      <w:r>
        <w:rPr>
          <w:rFonts w:hint="eastAsia" w:cs="仿宋"/>
          <w:highlight w:val="none"/>
        </w:rPr>
        <w:t>。</w:t>
      </w:r>
    </w:p>
    <w:bookmarkEnd w:id="612"/>
    <w:p w14:paraId="0D792D9B">
      <w:pPr>
        <w:spacing w:line="560" w:lineRule="exact"/>
        <w:ind w:firstLine="422" w:firstLineChars="200"/>
        <w:outlineLvl w:val="0"/>
        <w:rPr>
          <w:rFonts w:cs="仿宋"/>
          <w:b/>
          <w:highlight w:val="none"/>
        </w:rPr>
      </w:pPr>
      <w:bookmarkStart w:id="613" w:name="_Toc15447"/>
      <w:bookmarkStart w:id="614" w:name="_Toc21419"/>
      <w:bookmarkStart w:id="615" w:name="_Toc31233"/>
      <w:bookmarkStart w:id="616" w:name="_Toc22011"/>
      <w:bookmarkStart w:id="617" w:name="_Toc26555"/>
      <w:r>
        <w:rPr>
          <w:rFonts w:hint="eastAsia" w:cs="仿宋"/>
          <w:b/>
          <w:highlight w:val="none"/>
        </w:rPr>
        <w:t>2.5 结算方式和付款条件</w:t>
      </w:r>
      <w:bookmarkEnd w:id="607"/>
      <w:bookmarkEnd w:id="608"/>
      <w:bookmarkEnd w:id="609"/>
      <w:bookmarkEnd w:id="610"/>
      <w:bookmarkEnd w:id="611"/>
      <w:bookmarkEnd w:id="613"/>
      <w:bookmarkEnd w:id="614"/>
      <w:bookmarkEnd w:id="615"/>
      <w:bookmarkEnd w:id="616"/>
      <w:bookmarkEnd w:id="617"/>
    </w:p>
    <w:p w14:paraId="65AF047B">
      <w:pPr>
        <w:spacing w:line="560" w:lineRule="exact"/>
        <w:ind w:firstLine="420" w:firstLineChars="200"/>
        <w:rPr>
          <w:rFonts w:cs="仿宋"/>
          <w:highlight w:val="none"/>
        </w:rPr>
      </w:pPr>
      <w:r>
        <w:rPr>
          <w:rFonts w:hint="eastAsia" w:cs="仿宋"/>
          <w:highlight w:val="none"/>
        </w:rPr>
        <w:t>详见</w:t>
      </w:r>
      <w:r>
        <w:rPr>
          <w:rFonts w:hint="eastAsia" w:cs="仿宋"/>
          <w:b/>
          <w:highlight w:val="none"/>
          <w:u w:val="single"/>
        </w:rPr>
        <w:t>合同专用条款</w:t>
      </w:r>
      <w:r>
        <w:rPr>
          <w:rFonts w:hint="eastAsia" w:cs="仿宋"/>
          <w:highlight w:val="none"/>
        </w:rPr>
        <w:t>。</w:t>
      </w:r>
    </w:p>
    <w:p w14:paraId="5CE22D1E">
      <w:pPr>
        <w:spacing w:line="560" w:lineRule="exact"/>
        <w:ind w:firstLine="422" w:firstLineChars="200"/>
        <w:outlineLvl w:val="0"/>
        <w:rPr>
          <w:rFonts w:cs="仿宋"/>
          <w:b/>
          <w:highlight w:val="none"/>
        </w:rPr>
      </w:pPr>
      <w:bookmarkStart w:id="618" w:name="_Toc487900358"/>
      <w:bookmarkStart w:id="619" w:name="_Toc279701248"/>
      <w:bookmarkStart w:id="620" w:name="_Ref467379923"/>
      <w:bookmarkStart w:id="621" w:name="_Toc259093677"/>
      <w:bookmarkStart w:id="622" w:name="_Ref467379852"/>
      <w:bookmarkStart w:id="623" w:name="_Ref467379863"/>
      <w:bookmarkStart w:id="624" w:name="_Toc13467"/>
      <w:bookmarkStart w:id="625" w:name="_Toc13154"/>
      <w:bookmarkStart w:id="626" w:name="_Toc30507"/>
      <w:bookmarkStart w:id="627" w:name="_Toc18990"/>
      <w:bookmarkStart w:id="628" w:name="_Toc6766"/>
      <w:bookmarkStart w:id="629" w:name="_Toc16163"/>
      <w:r>
        <w:rPr>
          <w:rFonts w:hint="eastAsia" w:cs="仿宋"/>
          <w:b/>
          <w:highlight w:val="none"/>
        </w:rPr>
        <w:t>2.6 技术资料</w:t>
      </w:r>
      <w:bookmarkEnd w:id="618"/>
      <w:bookmarkEnd w:id="619"/>
      <w:bookmarkEnd w:id="620"/>
      <w:bookmarkEnd w:id="621"/>
      <w:bookmarkEnd w:id="622"/>
      <w:bookmarkEnd w:id="623"/>
      <w:r>
        <w:rPr>
          <w:rFonts w:hint="eastAsia" w:cs="仿宋"/>
          <w:b/>
          <w:highlight w:val="none"/>
        </w:rPr>
        <w:t>和保密义务</w:t>
      </w:r>
      <w:bookmarkEnd w:id="624"/>
      <w:bookmarkEnd w:id="625"/>
      <w:bookmarkEnd w:id="626"/>
      <w:bookmarkEnd w:id="627"/>
      <w:bookmarkEnd w:id="628"/>
      <w:bookmarkEnd w:id="629"/>
    </w:p>
    <w:p w14:paraId="60378754">
      <w:pPr>
        <w:spacing w:line="560" w:lineRule="exact"/>
        <w:ind w:firstLine="420" w:firstLineChars="200"/>
        <w:rPr>
          <w:rFonts w:cs="仿宋"/>
          <w:highlight w:val="none"/>
        </w:rPr>
      </w:pPr>
      <w:r>
        <w:rPr>
          <w:rFonts w:hint="eastAsia" w:cs="仿宋"/>
          <w:highlight w:val="none"/>
        </w:rPr>
        <w:t>2.6.1 乙方有权依据合同约定和项目需要，向甲方了解有关情况，调阅有关资料等，甲方应予积极配合；</w:t>
      </w:r>
    </w:p>
    <w:p w14:paraId="28B30420">
      <w:pPr>
        <w:spacing w:line="560" w:lineRule="exact"/>
        <w:ind w:firstLine="420" w:firstLineChars="200"/>
        <w:rPr>
          <w:rFonts w:cs="仿宋"/>
          <w:highlight w:val="none"/>
        </w:rPr>
      </w:pPr>
      <w:r>
        <w:rPr>
          <w:rFonts w:hint="eastAsia" w:cs="仿宋"/>
          <w:highlight w:val="none"/>
        </w:rPr>
        <w:t>2.6.2 乙方有义务妥善保管和保护由甲方提供的前款信息和资料等；</w:t>
      </w:r>
    </w:p>
    <w:p w14:paraId="5AE650B9">
      <w:pPr>
        <w:spacing w:line="560" w:lineRule="exact"/>
        <w:ind w:firstLine="420" w:firstLineChars="200"/>
        <w:rPr>
          <w:rFonts w:cs="仿宋"/>
          <w:highlight w:val="none"/>
        </w:rPr>
      </w:pPr>
      <w:r>
        <w:rPr>
          <w:rFonts w:hint="eastAsia" w:cs="仿宋"/>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DAB5FA6">
      <w:pPr>
        <w:spacing w:line="560" w:lineRule="exact"/>
        <w:ind w:firstLine="422" w:firstLineChars="200"/>
        <w:outlineLvl w:val="0"/>
        <w:rPr>
          <w:rFonts w:cs="仿宋"/>
          <w:b/>
          <w:highlight w:val="none"/>
        </w:rPr>
      </w:pPr>
      <w:bookmarkStart w:id="630" w:name="_Toc12877"/>
      <w:bookmarkStart w:id="631" w:name="_Toc19069"/>
      <w:bookmarkStart w:id="632" w:name="_Toc259093681"/>
      <w:bookmarkStart w:id="633" w:name="_Toc279701252"/>
      <w:bookmarkStart w:id="634" w:name="_Toc487900362"/>
      <w:r>
        <w:rPr>
          <w:rFonts w:hint="eastAsia" w:cs="仿宋"/>
          <w:b/>
          <w:highlight w:val="none"/>
        </w:rPr>
        <w:t>2.7 质量保证</w:t>
      </w:r>
      <w:bookmarkEnd w:id="630"/>
      <w:bookmarkEnd w:id="631"/>
    </w:p>
    <w:p w14:paraId="3A35FD27">
      <w:pPr>
        <w:spacing w:line="560" w:lineRule="exact"/>
        <w:ind w:firstLine="420" w:firstLineChars="200"/>
        <w:rPr>
          <w:rFonts w:cs="仿宋"/>
          <w:highlight w:val="none"/>
        </w:rPr>
      </w:pPr>
      <w:r>
        <w:rPr>
          <w:rFonts w:hint="eastAsia" w:cs="仿宋"/>
          <w:highlight w:val="none"/>
        </w:rPr>
        <w:t>2.7.1 乙方应建立和完善履行合同的内部质量保证体系，并提供相关内部规章制度给甲方，以便甲方进行监督检查；</w:t>
      </w:r>
    </w:p>
    <w:p w14:paraId="5217C495">
      <w:pPr>
        <w:spacing w:line="560" w:lineRule="exact"/>
        <w:ind w:firstLine="420" w:firstLineChars="200"/>
        <w:rPr>
          <w:rFonts w:cs="仿宋"/>
          <w:highlight w:val="none"/>
        </w:rPr>
      </w:pPr>
      <w:r>
        <w:rPr>
          <w:rFonts w:hint="eastAsia" w:cs="仿宋"/>
          <w:highlight w:val="none"/>
        </w:rPr>
        <w:t>2.7.2 乙方应保证履行合同的人员数量和素质、软件和硬件设备的配置、场地、环境和设施等满足全面履行合同的要求，并应接受甲方的监督检查。</w:t>
      </w:r>
    </w:p>
    <w:p w14:paraId="511592F8">
      <w:pPr>
        <w:spacing w:line="560" w:lineRule="exact"/>
        <w:ind w:firstLine="422" w:firstLineChars="200"/>
        <w:outlineLvl w:val="0"/>
        <w:rPr>
          <w:rFonts w:cs="仿宋"/>
          <w:b/>
          <w:highlight w:val="none"/>
        </w:rPr>
      </w:pPr>
      <w:bookmarkStart w:id="635" w:name="_Toc1258"/>
      <w:bookmarkStart w:id="636" w:name="_Toc22267"/>
      <w:r>
        <w:rPr>
          <w:rFonts w:hint="eastAsia" w:cs="仿宋"/>
          <w:b/>
          <w:highlight w:val="none"/>
        </w:rPr>
        <w:t>2.8 延迟</w:t>
      </w:r>
      <w:bookmarkEnd w:id="632"/>
      <w:bookmarkEnd w:id="633"/>
      <w:bookmarkEnd w:id="634"/>
      <w:r>
        <w:rPr>
          <w:rFonts w:hint="eastAsia" w:cs="仿宋"/>
          <w:b/>
          <w:highlight w:val="none"/>
        </w:rPr>
        <w:t>履行</w:t>
      </w:r>
      <w:bookmarkEnd w:id="635"/>
      <w:bookmarkEnd w:id="636"/>
    </w:p>
    <w:p w14:paraId="077DEE13">
      <w:pPr>
        <w:spacing w:line="560" w:lineRule="exact"/>
        <w:ind w:firstLine="420" w:firstLineChars="200"/>
        <w:rPr>
          <w:rFonts w:cs="仿宋"/>
          <w:highlight w:val="none"/>
        </w:rPr>
      </w:pPr>
      <w:r>
        <w:rPr>
          <w:rFonts w:hint="eastAsia" w:cs="仿宋"/>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F1CEE41">
      <w:pPr>
        <w:spacing w:line="560" w:lineRule="exact"/>
        <w:ind w:firstLine="422" w:firstLineChars="200"/>
        <w:outlineLvl w:val="0"/>
        <w:rPr>
          <w:rFonts w:cs="仿宋"/>
          <w:b/>
          <w:highlight w:val="none"/>
        </w:rPr>
      </w:pPr>
      <w:bookmarkStart w:id="637" w:name="_Toc10611"/>
      <w:bookmarkStart w:id="638" w:name="_Toc25178"/>
      <w:bookmarkStart w:id="639" w:name="_Toc259093683"/>
      <w:bookmarkStart w:id="640" w:name="_Ref467378121"/>
      <w:bookmarkStart w:id="641" w:name="_Toc279701254"/>
      <w:bookmarkStart w:id="642" w:name="_Toc487900364"/>
      <w:r>
        <w:rPr>
          <w:rFonts w:hint="eastAsia" w:cs="仿宋"/>
          <w:b/>
          <w:highlight w:val="none"/>
        </w:rPr>
        <w:t>2.9 合同变更</w:t>
      </w:r>
      <w:bookmarkEnd w:id="637"/>
      <w:bookmarkEnd w:id="638"/>
    </w:p>
    <w:p w14:paraId="105D1E9A">
      <w:pPr>
        <w:spacing w:line="560" w:lineRule="exact"/>
        <w:ind w:firstLine="420" w:firstLineChars="200"/>
        <w:rPr>
          <w:rFonts w:cs="仿宋"/>
          <w:highlight w:val="none"/>
        </w:rPr>
      </w:pPr>
      <w:r>
        <w:rPr>
          <w:rFonts w:hint="eastAsia" w:cs="仿宋"/>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50D337B7">
      <w:pPr>
        <w:spacing w:line="560" w:lineRule="exact"/>
        <w:ind w:firstLine="420" w:firstLineChars="200"/>
        <w:rPr>
          <w:rFonts w:cs="仿宋"/>
          <w:highlight w:val="none"/>
        </w:rPr>
      </w:pPr>
      <w:r>
        <w:rPr>
          <w:rFonts w:hint="eastAsia" w:cs="仿宋"/>
          <w:highlight w:val="none"/>
        </w:rPr>
        <w:t>2.9.2 合同继续履行将损害国家利益和社会公共利益的，双方当事人应当以书面形式变更合同。有过错的一方应当承担赔偿责任，双方当事人都有过错的，各自承担相应的责任。</w:t>
      </w:r>
      <w:bookmarkStart w:id="643" w:name="_Toc259093688"/>
      <w:bookmarkStart w:id="644" w:name="_Toc279701259"/>
      <w:bookmarkStart w:id="645" w:name="_Toc487900369"/>
    </w:p>
    <w:p w14:paraId="68D39E03">
      <w:pPr>
        <w:spacing w:line="560" w:lineRule="exact"/>
        <w:ind w:firstLine="422" w:firstLineChars="200"/>
        <w:outlineLvl w:val="0"/>
        <w:rPr>
          <w:rFonts w:cs="仿宋"/>
          <w:b/>
          <w:highlight w:val="none"/>
        </w:rPr>
      </w:pPr>
      <w:bookmarkStart w:id="646" w:name="_Toc26689"/>
      <w:bookmarkStart w:id="647" w:name="_Toc21830"/>
      <w:bookmarkStart w:id="648" w:name="_Toc7781"/>
      <w:bookmarkStart w:id="649" w:name="_Toc10663"/>
      <w:bookmarkStart w:id="650" w:name="_Toc42"/>
      <w:bookmarkStart w:id="651" w:name="_Toc23368"/>
      <w:r>
        <w:rPr>
          <w:rFonts w:hint="eastAsia" w:cs="仿宋"/>
          <w:b/>
          <w:highlight w:val="none"/>
        </w:rPr>
        <w:t>2.10 合同转让</w:t>
      </w:r>
      <w:bookmarkEnd w:id="643"/>
      <w:bookmarkEnd w:id="644"/>
      <w:bookmarkEnd w:id="645"/>
      <w:r>
        <w:rPr>
          <w:rFonts w:hint="eastAsia" w:cs="仿宋"/>
          <w:b/>
          <w:highlight w:val="none"/>
        </w:rPr>
        <w:t>和分包</w:t>
      </w:r>
      <w:bookmarkEnd w:id="646"/>
      <w:bookmarkEnd w:id="647"/>
      <w:bookmarkEnd w:id="648"/>
      <w:bookmarkEnd w:id="649"/>
      <w:bookmarkEnd w:id="650"/>
      <w:bookmarkEnd w:id="651"/>
    </w:p>
    <w:p w14:paraId="264489D3">
      <w:pPr>
        <w:spacing w:line="560" w:lineRule="exact"/>
        <w:ind w:firstLine="420" w:firstLineChars="200"/>
        <w:rPr>
          <w:rFonts w:cs="仿宋"/>
          <w:highlight w:val="none"/>
        </w:rPr>
      </w:pPr>
      <w:r>
        <w:rPr>
          <w:rFonts w:hint="eastAsia" w:cs="仿宋"/>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FEDCC2E">
      <w:pPr>
        <w:spacing w:line="560" w:lineRule="exact"/>
        <w:ind w:firstLine="422" w:firstLineChars="200"/>
        <w:outlineLvl w:val="0"/>
        <w:rPr>
          <w:rFonts w:cs="仿宋"/>
          <w:b/>
          <w:highlight w:val="none"/>
        </w:rPr>
      </w:pPr>
      <w:bookmarkStart w:id="652" w:name="_Toc32494"/>
      <w:bookmarkStart w:id="653" w:name="_Toc14371"/>
      <w:bookmarkStart w:id="654" w:name="_Toc25571"/>
      <w:bookmarkStart w:id="655" w:name="_Toc26633"/>
      <w:bookmarkStart w:id="656" w:name="_Toc12453"/>
      <w:bookmarkStart w:id="657" w:name="_Toc4720"/>
      <w:r>
        <w:rPr>
          <w:rFonts w:hint="eastAsia" w:cs="仿宋"/>
          <w:b/>
          <w:highlight w:val="none"/>
        </w:rPr>
        <w:t>2.11 不可抗力</w:t>
      </w:r>
      <w:bookmarkEnd w:id="652"/>
      <w:bookmarkEnd w:id="653"/>
      <w:bookmarkEnd w:id="654"/>
      <w:bookmarkEnd w:id="655"/>
      <w:bookmarkEnd w:id="656"/>
      <w:bookmarkEnd w:id="657"/>
    </w:p>
    <w:p w14:paraId="1D4B40EA">
      <w:pPr>
        <w:spacing w:line="560" w:lineRule="exact"/>
        <w:ind w:firstLine="420" w:firstLineChars="200"/>
        <w:rPr>
          <w:rFonts w:cs="仿宋"/>
          <w:highlight w:val="none"/>
        </w:rPr>
      </w:pPr>
      <w:r>
        <w:rPr>
          <w:rFonts w:hint="eastAsia" w:cs="仿宋"/>
          <w:highlight w:val="none"/>
        </w:rPr>
        <w:t>2.11.1如果任何一方遭遇法律规定的不可抗力，致使合同履行受阻时，履行合同的期限应予延长，延长的期限应相当于不可抗力所影响的时间；</w:t>
      </w:r>
    </w:p>
    <w:p w14:paraId="5B6710F9">
      <w:pPr>
        <w:spacing w:line="560" w:lineRule="exact"/>
        <w:ind w:firstLine="420" w:firstLineChars="200"/>
        <w:rPr>
          <w:rFonts w:cs="仿宋"/>
          <w:highlight w:val="none"/>
        </w:rPr>
      </w:pPr>
      <w:r>
        <w:rPr>
          <w:rFonts w:hint="eastAsia" w:cs="仿宋"/>
          <w:highlight w:val="none"/>
        </w:rPr>
        <w:t>2.11.2 因不可抗力致使不能实现合同目的的，当事人可以解除合同；</w:t>
      </w:r>
    </w:p>
    <w:p w14:paraId="56BD2564">
      <w:pPr>
        <w:spacing w:line="560" w:lineRule="exact"/>
        <w:ind w:firstLine="420" w:firstLineChars="200"/>
        <w:rPr>
          <w:rFonts w:cs="仿宋"/>
          <w:highlight w:val="none"/>
        </w:rPr>
      </w:pPr>
      <w:r>
        <w:rPr>
          <w:rFonts w:hint="eastAsia" w:cs="仿宋"/>
          <w:highlight w:val="none"/>
        </w:rPr>
        <w:t>2.11.3 因不可抗力致使合同有变更必要的，双方当事人应在</w:t>
      </w:r>
      <w:r>
        <w:rPr>
          <w:rFonts w:hint="eastAsia" w:cs="仿宋"/>
          <w:b/>
          <w:highlight w:val="none"/>
          <w:u w:val="single"/>
        </w:rPr>
        <w:t>合同专用条款</w:t>
      </w:r>
      <w:r>
        <w:rPr>
          <w:rFonts w:hint="eastAsia" w:cs="仿宋"/>
          <w:highlight w:val="none"/>
        </w:rPr>
        <w:t>约定时间内以书面形式变更合同；</w:t>
      </w:r>
    </w:p>
    <w:p w14:paraId="78BFAFB1">
      <w:pPr>
        <w:spacing w:line="560" w:lineRule="exact"/>
        <w:ind w:firstLine="420" w:firstLineChars="200"/>
        <w:rPr>
          <w:rFonts w:cs="仿宋"/>
          <w:highlight w:val="none"/>
        </w:rPr>
      </w:pPr>
      <w:r>
        <w:rPr>
          <w:rFonts w:hint="eastAsia" w:cs="仿宋"/>
          <w:highlight w:val="none"/>
        </w:rPr>
        <w:t>2.11.4受不可抗力影响的一方在不可抗力发生后，应在</w:t>
      </w:r>
      <w:r>
        <w:rPr>
          <w:rFonts w:hint="eastAsia" w:cs="仿宋"/>
          <w:b/>
          <w:highlight w:val="none"/>
          <w:u w:val="single"/>
        </w:rPr>
        <w:t>合同专用条款</w:t>
      </w:r>
      <w:r>
        <w:rPr>
          <w:rFonts w:hint="eastAsia" w:cs="仿宋"/>
          <w:highlight w:val="none"/>
        </w:rPr>
        <w:t>约定时间内以书面形式通知对方当事人，并在</w:t>
      </w:r>
      <w:r>
        <w:rPr>
          <w:rFonts w:hint="eastAsia" w:cs="仿宋"/>
          <w:b/>
          <w:highlight w:val="none"/>
          <w:u w:val="single"/>
        </w:rPr>
        <w:t>合同专用条款</w:t>
      </w:r>
      <w:r>
        <w:rPr>
          <w:rFonts w:hint="eastAsia" w:cs="仿宋"/>
          <w:highlight w:val="none"/>
        </w:rPr>
        <w:t>约定时间内，将有关部门出具的证明文件送达对方当事人。</w:t>
      </w:r>
    </w:p>
    <w:p w14:paraId="1E65DEEF">
      <w:pPr>
        <w:spacing w:line="560" w:lineRule="exact"/>
        <w:ind w:firstLine="422" w:firstLineChars="200"/>
        <w:outlineLvl w:val="0"/>
        <w:rPr>
          <w:rFonts w:cs="仿宋"/>
          <w:b/>
          <w:highlight w:val="none"/>
        </w:rPr>
      </w:pPr>
      <w:bookmarkStart w:id="658" w:name="_Toc24465"/>
      <w:bookmarkStart w:id="659" w:name="_Toc25783"/>
      <w:bookmarkStart w:id="660" w:name="_Toc487900365"/>
      <w:bookmarkStart w:id="661" w:name="_Toc23854"/>
      <w:bookmarkStart w:id="662" w:name="_Toc259093684"/>
      <w:bookmarkStart w:id="663" w:name="_Toc7278"/>
      <w:bookmarkStart w:id="664" w:name="_Toc279701255"/>
      <w:bookmarkStart w:id="665" w:name="_Toc14115"/>
      <w:bookmarkStart w:id="666" w:name="_Toc3638"/>
      <w:r>
        <w:rPr>
          <w:rFonts w:hint="eastAsia" w:cs="仿宋"/>
          <w:b/>
          <w:highlight w:val="none"/>
        </w:rPr>
        <w:t>2.12 税费</w:t>
      </w:r>
      <w:bookmarkEnd w:id="658"/>
      <w:bookmarkEnd w:id="659"/>
      <w:bookmarkEnd w:id="660"/>
      <w:bookmarkEnd w:id="661"/>
      <w:bookmarkEnd w:id="662"/>
      <w:bookmarkEnd w:id="663"/>
      <w:bookmarkEnd w:id="664"/>
      <w:bookmarkEnd w:id="665"/>
      <w:bookmarkEnd w:id="666"/>
    </w:p>
    <w:p w14:paraId="770CCDDA">
      <w:pPr>
        <w:spacing w:line="560" w:lineRule="exact"/>
        <w:ind w:firstLine="420" w:firstLineChars="200"/>
        <w:rPr>
          <w:rFonts w:cs="仿宋"/>
          <w:highlight w:val="none"/>
        </w:rPr>
      </w:pPr>
      <w:r>
        <w:rPr>
          <w:rFonts w:hint="eastAsia" w:cs="仿宋"/>
          <w:highlight w:val="none"/>
        </w:rPr>
        <w:t>与合同有关的一切税费，均按照中华人民共和国法律的相关规定缴纳。</w:t>
      </w:r>
    </w:p>
    <w:p w14:paraId="56503FBB">
      <w:pPr>
        <w:spacing w:line="560" w:lineRule="exact"/>
        <w:ind w:firstLine="422" w:firstLineChars="200"/>
        <w:outlineLvl w:val="0"/>
        <w:rPr>
          <w:rFonts w:cs="仿宋"/>
          <w:b/>
          <w:highlight w:val="none"/>
        </w:rPr>
      </w:pPr>
      <w:bookmarkStart w:id="667" w:name="_Toc30105"/>
      <w:bookmarkStart w:id="668" w:name="_Toc259093687"/>
      <w:bookmarkStart w:id="669" w:name="_Toc487900368"/>
      <w:bookmarkStart w:id="670" w:name="_Toc7315"/>
      <w:bookmarkStart w:id="671" w:name="_Toc25525"/>
      <w:bookmarkStart w:id="672" w:name="_Toc14814"/>
      <w:bookmarkStart w:id="673" w:name="_Toc20579"/>
      <w:bookmarkStart w:id="674" w:name="_Toc279701258"/>
      <w:bookmarkStart w:id="675" w:name="_Toc26883"/>
      <w:r>
        <w:rPr>
          <w:rFonts w:hint="eastAsia" w:cs="仿宋"/>
          <w:b/>
          <w:highlight w:val="none"/>
        </w:rPr>
        <w:t>2.13 乙方破产</w:t>
      </w:r>
      <w:bookmarkEnd w:id="667"/>
      <w:bookmarkEnd w:id="668"/>
      <w:bookmarkEnd w:id="669"/>
      <w:bookmarkEnd w:id="670"/>
      <w:bookmarkEnd w:id="671"/>
      <w:bookmarkEnd w:id="672"/>
      <w:bookmarkEnd w:id="673"/>
      <w:bookmarkEnd w:id="674"/>
      <w:bookmarkEnd w:id="675"/>
    </w:p>
    <w:p w14:paraId="651DB3B8">
      <w:pPr>
        <w:spacing w:line="560" w:lineRule="exact"/>
        <w:ind w:firstLine="420" w:firstLineChars="200"/>
        <w:rPr>
          <w:rFonts w:cs="仿宋"/>
          <w:highlight w:val="none"/>
        </w:rPr>
      </w:pPr>
      <w:r>
        <w:rPr>
          <w:rFonts w:hint="eastAsia" w:cs="仿宋"/>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AAFB14D">
      <w:pPr>
        <w:spacing w:line="560" w:lineRule="exact"/>
        <w:ind w:firstLine="422" w:firstLineChars="200"/>
        <w:outlineLvl w:val="0"/>
        <w:rPr>
          <w:rFonts w:cs="仿宋"/>
          <w:b/>
          <w:highlight w:val="none"/>
        </w:rPr>
      </w:pPr>
      <w:bookmarkStart w:id="676" w:name="_Toc1123"/>
      <w:bookmarkStart w:id="677" w:name="_Toc2016"/>
      <w:bookmarkStart w:id="678" w:name="_Toc29126"/>
      <w:r>
        <w:rPr>
          <w:rFonts w:hint="eastAsia" w:cs="仿宋"/>
          <w:b/>
          <w:highlight w:val="none"/>
        </w:rPr>
        <w:t>2.14 合同中止、终止</w:t>
      </w:r>
      <w:bookmarkEnd w:id="676"/>
      <w:bookmarkEnd w:id="677"/>
      <w:bookmarkEnd w:id="678"/>
    </w:p>
    <w:p w14:paraId="7218B78A">
      <w:pPr>
        <w:spacing w:line="560" w:lineRule="exact"/>
        <w:ind w:firstLine="420" w:firstLineChars="200"/>
        <w:rPr>
          <w:rFonts w:cs="仿宋"/>
          <w:highlight w:val="none"/>
        </w:rPr>
      </w:pPr>
      <w:r>
        <w:rPr>
          <w:rFonts w:hint="eastAsia" w:cs="仿宋"/>
          <w:highlight w:val="none"/>
        </w:rPr>
        <w:t>2.14.1 双方当事人不得擅自中止或者终止合同；</w:t>
      </w:r>
    </w:p>
    <w:p w14:paraId="1A117A71">
      <w:pPr>
        <w:spacing w:line="560" w:lineRule="exact"/>
        <w:ind w:firstLine="420" w:firstLineChars="200"/>
        <w:rPr>
          <w:rFonts w:cs="仿宋"/>
          <w:highlight w:val="none"/>
        </w:rPr>
      </w:pPr>
      <w:r>
        <w:rPr>
          <w:rFonts w:hint="eastAsia" w:cs="仿宋"/>
          <w:highlight w:val="none"/>
        </w:rPr>
        <w:t>2.14.2合同继续履行将损害国家利益和社会公共利益的，双方当事人应当中止或者终止合同。有过错的一方应当承担赔偿责任，双方当事人都有过错的，各自承担相应的责任。</w:t>
      </w:r>
    </w:p>
    <w:p w14:paraId="5FA352CB">
      <w:pPr>
        <w:spacing w:line="560" w:lineRule="exact"/>
        <w:ind w:firstLine="422" w:firstLineChars="200"/>
        <w:outlineLvl w:val="0"/>
        <w:rPr>
          <w:rFonts w:cs="仿宋"/>
          <w:b/>
          <w:highlight w:val="none"/>
        </w:rPr>
      </w:pPr>
      <w:bookmarkStart w:id="679" w:name="_Toc17363"/>
      <w:bookmarkStart w:id="680" w:name="_Toc11333"/>
      <w:bookmarkStart w:id="681" w:name="_Toc1969"/>
      <w:bookmarkStart w:id="682" w:name="_Toc14525"/>
      <w:r>
        <w:rPr>
          <w:rFonts w:hint="eastAsia" w:cs="仿宋"/>
          <w:b/>
          <w:highlight w:val="none"/>
        </w:rPr>
        <w:t>2.15 检验和验收</w:t>
      </w:r>
      <w:bookmarkEnd w:id="679"/>
      <w:bookmarkEnd w:id="680"/>
      <w:bookmarkEnd w:id="681"/>
      <w:bookmarkEnd w:id="682"/>
    </w:p>
    <w:p w14:paraId="4B523649">
      <w:pPr>
        <w:tabs>
          <w:tab w:val="left" w:pos="360"/>
          <w:tab w:val="left" w:pos="540"/>
          <w:tab w:val="left" w:pos="1080"/>
        </w:tabs>
        <w:spacing w:line="560" w:lineRule="exact"/>
        <w:ind w:firstLine="420" w:firstLineChars="200"/>
        <w:rPr>
          <w:rFonts w:cs="仿宋"/>
          <w:highlight w:val="none"/>
        </w:rPr>
      </w:pPr>
      <w:r>
        <w:rPr>
          <w:rFonts w:hint="eastAsia" w:cs="仿宋"/>
          <w:highlight w:val="none"/>
        </w:rPr>
        <w:t>2.15.1 乙方按照</w:t>
      </w:r>
      <w:r>
        <w:rPr>
          <w:rFonts w:hint="eastAsia" w:cs="仿宋"/>
          <w:b/>
          <w:highlight w:val="none"/>
          <w:u w:val="single"/>
        </w:rPr>
        <w:t>合同专用条款</w:t>
      </w:r>
      <w:r>
        <w:rPr>
          <w:rFonts w:hint="eastAsia" w:cs="仿宋"/>
          <w:highlight w:val="none"/>
        </w:rPr>
        <w:t>的约定，定期提交服务报告，甲方按照</w:t>
      </w:r>
      <w:r>
        <w:rPr>
          <w:rFonts w:hint="eastAsia" w:cs="仿宋"/>
          <w:b/>
          <w:highlight w:val="none"/>
          <w:u w:val="single"/>
        </w:rPr>
        <w:t>合同专用条款</w:t>
      </w:r>
      <w:r>
        <w:rPr>
          <w:rFonts w:hint="eastAsia" w:cs="仿宋"/>
          <w:highlight w:val="none"/>
        </w:rPr>
        <w:t>的约定进行定期验收；</w:t>
      </w:r>
    </w:p>
    <w:p w14:paraId="7C17FF1F">
      <w:pPr>
        <w:tabs>
          <w:tab w:val="left" w:pos="360"/>
          <w:tab w:val="left" w:pos="540"/>
          <w:tab w:val="left" w:pos="1080"/>
        </w:tabs>
        <w:spacing w:line="560" w:lineRule="exact"/>
        <w:ind w:firstLine="420" w:firstLineChars="200"/>
        <w:rPr>
          <w:rFonts w:cs="仿宋"/>
          <w:highlight w:val="none"/>
        </w:rPr>
      </w:pPr>
      <w:r>
        <w:rPr>
          <w:rFonts w:hint="eastAsia" w:cs="仿宋"/>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BBD4234">
      <w:pPr>
        <w:tabs>
          <w:tab w:val="left" w:pos="360"/>
          <w:tab w:val="left" w:pos="540"/>
          <w:tab w:val="left" w:pos="1080"/>
        </w:tabs>
        <w:spacing w:line="560" w:lineRule="exact"/>
        <w:ind w:firstLine="420" w:firstLineChars="200"/>
        <w:rPr>
          <w:rFonts w:cs="仿宋"/>
          <w:highlight w:val="none"/>
        </w:rPr>
      </w:pPr>
      <w:r>
        <w:rPr>
          <w:rFonts w:hint="eastAsia" w:cs="仿宋"/>
          <w:highlight w:val="none"/>
        </w:rPr>
        <w:t>2.15.3 检验和验收标准、程序等具体内容以及前述验收书的效力详见</w:t>
      </w:r>
      <w:r>
        <w:rPr>
          <w:rFonts w:hint="eastAsia" w:cs="仿宋"/>
          <w:b/>
          <w:highlight w:val="none"/>
          <w:u w:val="single"/>
        </w:rPr>
        <w:t>合同专用条款</w:t>
      </w:r>
      <w:r>
        <w:rPr>
          <w:rFonts w:hint="eastAsia" w:cs="仿宋"/>
          <w:highlight w:val="none"/>
        </w:rPr>
        <w:t>。</w:t>
      </w:r>
    </w:p>
    <w:bookmarkEnd w:id="639"/>
    <w:bookmarkEnd w:id="640"/>
    <w:bookmarkEnd w:id="641"/>
    <w:bookmarkEnd w:id="642"/>
    <w:p w14:paraId="754229D5">
      <w:pPr>
        <w:spacing w:line="560" w:lineRule="exact"/>
        <w:ind w:firstLine="422" w:firstLineChars="200"/>
        <w:outlineLvl w:val="0"/>
        <w:rPr>
          <w:rFonts w:cs="仿宋"/>
          <w:b/>
          <w:highlight w:val="none"/>
        </w:rPr>
      </w:pPr>
      <w:bookmarkStart w:id="683" w:name="_Toc279701261"/>
      <w:bookmarkStart w:id="684" w:name="_Toc487900371"/>
      <w:bookmarkStart w:id="685" w:name="_Toc259093690"/>
      <w:bookmarkStart w:id="686" w:name="_Toc9808"/>
      <w:bookmarkStart w:id="687" w:name="_Toc23938"/>
      <w:bookmarkStart w:id="688" w:name="_Toc12666"/>
      <w:bookmarkStart w:id="689" w:name="_Toc31892"/>
      <w:bookmarkStart w:id="690" w:name="_Toc25198"/>
      <w:bookmarkStart w:id="691" w:name="_Toc2308"/>
      <w:r>
        <w:rPr>
          <w:rFonts w:hint="eastAsia" w:cs="仿宋"/>
          <w:b/>
          <w:highlight w:val="none"/>
        </w:rPr>
        <w:t>2.16 通知</w:t>
      </w:r>
      <w:bookmarkEnd w:id="683"/>
      <w:bookmarkEnd w:id="684"/>
      <w:bookmarkEnd w:id="685"/>
      <w:r>
        <w:rPr>
          <w:rFonts w:hint="eastAsia" w:cs="仿宋"/>
          <w:b/>
          <w:highlight w:val="none"/>
        </w:rPr>
        <w:t>和送达</w:t>
      </w:r>
      <w:bookmarkEnd w:id="686"/>
      <w:bookmarkEnd w:id="687"/>
      <w:bookmarkEnd w:id="688"/>
      <w:bookmarkEnd w:id="689"/>
      <w:bookmarkEnd w:id="690"/>
      <w:bookmarkEnd w:id="691"/>
    </w:p>
    <w:p w14:paraId="1BEFBDF9">
      <w:pPr>
        <w:spacing w:line="560" w:lineRule="exact"/>
        <w:ind w:firstLine="420" w:firstLineChars="200"/>
        <w:rPr>
          <w:rFonts w:cs="仿宋"/>
          <w:highlight w:val="none"/>
        </w:rPr>
      </w:pPr>
      <w:bookmarkStart w:id="692" w:name="_Toc7073"/>
      <w:bookmarkStart w:id="693" w:name="_Toc29220"/>
      <w:bookmarkStart w:id="694" w:name="_Toc259093691"/>
      <w:bookmarkStart w:id="695" w:name="_Toc487900372"/>
      <w:bookmarkStart w:id="696" w:name="_Toc279701262"/>
      <w:r>
        <w:rPr>
          <w:rFonts w:hint="eastAsia" w:cs="仿宋"/>
          <w:highlight w:val="none"/>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692"/>
      <w:bookmarkEnd w:id="693"/>
    </w:p>
    <w:p w14:paraId="7E9CA843">
      <w:pPr>
        <w:spacing w:line="560" w:lineRule="exact"/>
        <w:ind w:firstLine="420" w:firstLineChars="200"/>
        <w:rPr>
          <w:rFonts w:cs="仿宋"/>
          <w:highlight w:val="none"/>
        </w:rPr>
      </w:pPr>
      <w:bookmarkStart w:id="697" w:name="_Toc18401"/>
      <w:bookmarkStart w:id="698" w:name="_Toc27674"/>
      <w:r>
        <w:rPr>
          <w:rFonts w:hint="eastAsia" w:cs="仿宋"/>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697"/>
      <w:bookmarkEnd w:id="698"/>
    </w:p>
    <w:bookmarkEnd w:id="694"/>
    <w:bookmarkEnd w:id="695"/>
    <w:bookmarkEnd w:id="696"/>
    <w:p w14:paraId="260556CE">
      <w:pPr>
        <w:spacing w:line="560" w:lineRule="exact"/>
        <w:ind w:firstLine="422" w:firstLineChars="200"/>
        <w:outlineLvl w:val="0"/>
        <w:rPr>
          <w:rFonts w:cs="仿宋"/>
          <w:b/>
          <w:highlight w:val="none"/>
        </w:rPr>
      </w:pPr>
      <w:bookmarkStart w:id="699" w:name="_Toc5063"/>
      <w:bookmarkStart w:id="700" w:name="_Toc487900373"/>
      <w:bookmarkStart w:id="701" w:name="_Toc259093692"/>
      <w:bookmarkStart w:id="702" w:name="_Toc12687"/>
      <w:bookmarkStart w:id="703" w:name="_Toc20808"/>
      <w:bookmarkStart w:id="704" w:name="_Toc279701263"/>
      <w:bookmarkStart w:id="705" w:name="_Toc28906"/>
      <w:bookmarkStart w:id="706" w:name="_Toc27644"/>
      <w:bookmarkStart w:id="707" w:name="_Toc12254"/>
      <w:r>
        <w:rPr>
          <w:rFonts w:hint="eastAsia" w:cs="仿宋"/>
          <w:b/>
          <w:highlight w:val="none"/>
        </w:rPr>
        <w:t>2.17 合同使用的文字和适用的法律</w:t>
      </w:r>
      <w:bookmarkEnd w:id="699"/>
      <w:bookmarkEnd w:id="700"/>
      <w:bookmarkEnd w:id="701"/>
      <w:bookmarkEnd w:id="702"/>
      <w:bookmarkEnd w:id="703"/>
      <w:bookmarkEnd w:id="704"/>
      <w:bookmarkEnd w:id="705"/>
      <w:bookmarkEnd w:id="706"/>
      <w:bookmarkEnd w:id="707"/>
    </w:p>
    <w:p w14:paraId="3C31B8D8">
      <w:pPr>
        <w:spacing w:line="560" w:lineRule="exact"/>
        <w:ind w:firstLine="420" w:firstLineChars="200"/>
        <w:rPr>
          <w:rFonts w:cs="仿宋"/>
          <w:highlight w:val="none"/>
        </w:rPr>
      </w:pPr>
      <w:r>
        <w:rPr>
          <w:rFonts w:hint="eastAsia" w:cs="仿宋"/>
          <w:highlight w:val="none"/>
        </w:rPr>
        <w:t>2.17.1 合同使用汉语书就、变更和解释；</w:t>
      </w:r>
    </w:p>
    <w:p w14:paraId="6E4EC35C">
      <w:pPr>
        <w:spacing w:line="560" w:lineRule="exact"/>
        <w:ind w:firstLine="420" w:firstLineChars="200"/>
        <w:rPr>
          <w:rFonts w:cs="仿宋"/>
          <w:highlight w:val="none"/>
        </w:rPr>
      </w:pPr>
      <w:r>
        <w:rPr>
          <w:rFonts w:hint="eastAsia" w:cs="仿宋"/>
          <w:highlight w:val="none"/>
        </w:rPr>
        <w:t>2.17.2 合同适用中华人民共和国法律。</w:t>
      </w:r>
    </w:p>
    <w:p w14:paraId="4B9FF35F">
      <w:pPr>
        <w:spacing w:line="560" w:lineRule="exact"/>
        <w:ind w:firstLine="422" w:firstLineChars="200"/>
        <w:outlineLvl w:val="0"/>
        <w:rPr>
          <w:rFonts w:cs="仿宋"/>
          <w:b/>
          <w:highlight w:val="none"/>
        </w:rPr>
      </w:pPr>
      <w:bookmarkStart w:id="708" w:name="_Toc22266"/>
      <w:bookmarkStart w:id="709" w:name="_Toc259093693"/>
      <w:bookmarkStart w:id="710" w:name="_Toc1492"/>
      <w:bookmarkStart w:id="711" w:name="_Toc27127"/>
      <w:bookmarkStart w:id="712" w:name="_Toc8271"/>
      <w:bookmarkStart w:id="713" w:name="_Toc279701264"/>
      <w:bookmarkStart w:id="714" w:name="_Toc27403"/>
      <w:bookmarkStart w:id="715" w:name="_Toc30096"/>
      <w:bookmarkStart w:id="716" w:name="_Toc487900374"/>
      <w:r>
        <w:rPr>
          <w:rFonts w:hint="eastAsia" w:cs="仿宋"/>
          <w:b/>
          <w:highlight w:val="none"/>
        </w:rPr>
        <w:t>2.18 履约保证金</w:t>
      </w:r>
      <w:bookmarkEnd w:id="708"/>
      <w:bookmarkEnd w:id="709"/>
      <w:bookmarkEnd w:id="710"/>
      <w:bookmarkEnd w:id="711"/>
      <w:bookmarkEnd w:id="712"/>
      <w:bookmarkEnd w:id="713"/>
      <w:bookmarkEnd w:id="714"/>
      <w:bookmarkEnd w:id="715"/>
    </w:p>
    <w:p w14:paraId="3C56D7A8">
      <w:pPr>
        <w:spacing w:line="560" w:lineRule="exact"/>
        <w:ind w:firstLine="420" w:firstLineChars="200"/>
        <w:rPr>
          <w:rFonts w:cs="仿宋"/>
          <w:highlight w:val="none"/>
        </w:rPr>
      </w:pPr>
      <w:r>
        <w:rPr>
          <w:rFonts w:hint="eastAsia" w:cs="仿宋"/>
          <w:highlight w:val="none"/>
        </w:rPr>
        <w:t>2.18.1 采购文件要求乙方提交履约保证金的，乙方应按</w:t>
      </w:r>
      <w:r>
        <w:rPr>
          <w:rFonts w:hint="eastAsia" w:cs="仿宋"/>
          <w:b/>
          <w:highlight w:val="none"/>
          <w:u w:val="single"/>
        </w:rPr>
        <w:t>合同专用条款</w:t>
      </w:r>
      <w:r>
        <w:rPr>
          <w:rFonts w:hint="eastAsia" w:cs="仿宋"/>
          <w:highlight w:val="none"/>
        </w:rPr>
        <w:t>约定的方式，以支票、汇票、本票或者金融机构、担保机构出具的保函等非现金形式，提交不超过合同价10%的履约保证金；</w:t>
      </w:r>
    </w:p>
    <w:p w14:paraId="627577C7">
      <w:pPr>
        <w:spacing w:line="560" w:lineRule="exact"/>
        <w:ind w:firstLine="420" w:firstLineChars="200"/>
        <w:rPr>
          <w:rFonts w:cs="仿宋"/>
          <w:highlight w:val="none"/>
        </w:rPr>
      </w:pPr>
      <w:r>
        <w:rPr>
          <w:rFonts w:hint="eastAsia" w:cs="仿宋"/>
          <w:highlight w:val="none"/>
        </w:rPr>
        <w:t>2.18.2 履约保证金在</w:t>
      </w:r>
      <w:r>
        <w:rPr>
          <w:rFonts w:hint="eastAsia" w:cs="仿宋"/>
          <w:b/>
          <w:highlight w:val="none"/>
          <w:u w:val="single"/>
        </w:rPr>
        <w:t>合同专用条款</w:t>
      </w:r>
      <w:r>
        <w:rPr>
          <w:rFonts w:hint="eastAsia" w:cs="仿宋"/>
          <w:highlight w:val="none"/>
        </w:rPr>
        <w:t>约定期间内不予退还或者应完全有效，前述约定期间届满之日起个工作日内，甲方应将履约保证金退还乙方；</w:t>
      </w:r>
    </w:p>
    <w:p w14:paraId="2C16BED1">
      <w:pPr>
        <w:spacing w:line="560" w:lineRule="exact"/>
        <w:ind w:firstLine="420" w:firstLineChars="200"/>
        <w:rPr>
          <w:rFonts w:cs="仿宋"/>
          <w:highlight w:val="none"/>
        </w:rPr>
      </w:pPr>
      <w:r>
        <w:rPr>
          <w:rFonts w:hint="eastAsia" w:cs="仿宋"/>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16"/>
    <w:p w14:paraId="2D197ECF">
      <w:pPr>
        <w:spacing w:line="560" w:lineRule="exact"/>
        <w:ind w:firstLine="422" w:firstLineChars="200"/>
        <w:rPr>
          <w:rFonts w:cs="仿宋"/>
          <w:b/>
          <w:highlight w:val="none"/>
        </w:rPr>
      </w:pPr>
      <w:r>
        <w:rPr>
          <w:rFonts w:hint="eastAsia" w:cs="仿宋"/>
          <w:b/>
          <w:highlight w:val="none"/>
        </w:rPr>
        <w:t>2.19 合同份数</w:t>
      </w:r>
    </w:p>
    <w:p w14:paraId="321478E1">
      <w:pPr>
        <w:spacing w:line="560" w:lineRule="exact"/>
        <w:ind w:firstLine="420" w:firstLineChars="200"/>
        <w:rPr>
          <w:rFonts w:cs="仿宋"/>
          <w:highlight w:val="none"/>
        </w:rPr>
      </w:pPr>
      <w:r>
        <w:rPr>
          <w:rFonts w:hint="eastAsia" w:cs="仿宋"/>
          <w:highlight w:val="none"/>
        </w:rPr>
        <w:t>合同份数按</w:t>
      </w:r>
      <w:r>
        <w:rPr>
          <w:rFonts w:hint="eastAsia" w:cs="仿宋"/>
          <w:b/>
          <w:highlight w:val="none"/>
          <w:u w:val="single"/>
        </w:rPr>
        <w:t>合同专用条款</w:t>
      </w:r>
      <w:r>
        <w:rPr>
          <w:rFonts w:hint="eastAsia" w:cs="仿宋"/>
          <w:highlight w:val="none"/>
        </w:rPr>
        <w:t>规定，每份均具有同等法律效力。</w:t>
      </w:r>
    </w:p>
    <w:p w14:paraId="2334902C">
      <w:pPr>
        <w:autoSpaceDE w:val="0"/>
        <w:autoSpaceDN w:val="0"/>
        <w:adjustRightInd w:val="0"/>
        <w:spacing w:line="560" w:lineRule="exact"/>
        <w:jc w:val="center"/>
        <w:rPr>
          <w:rFonts w:cs="仿宋"/>
          <w:b/>
          <w:highlight w:val="none"/>
        </w:rPr>
      </w:pPr>
      <w:r>
        <w:rPr>
          <w:rFonts w:hint="eastAsia" w:cs="仿宋"/>
          <w:highlight w:val="none"/>
        </w:rPr>
        <w:br w:type="page"/>
      </w:r>
      <w:bookmarkStart w:id="717" w:name="_Toc331685784"/>
      <w:r>
        <w:rPr>
          <w:rFonts w:hint="eastAsia" w:cs="仿宋"/>
          <w:b/>
          <w:highlight w:val="none"/>
        </w:rPr>
        <w:t>第三部分  合同专用条款</w:t>
      </w:r>
      <w:bookmarkEnd w:id="717"/>
    </w:p>
    <w:p w14:paraId="30EC8257">
      <w:pPr>
        <w:spacing w:line="560" w:lineRule="exact"/>
        <w:ind w:firstLine="420" w:firstLineChars="200"/>
        <w:rPr>
          <w:rFonts w:cs="仿宋"/>
          <w:highlight w:val="none"/>
        </w:rPr>
      </w:pPr>
      <w:r>
        <w:rPr>
          <w:rFonts w:hint="eastAsia" w:cs="仿宋"/>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0"/>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2746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ign w:val="center"/>
          </w:tcPr>
          <w:p w14:paraId="661E658F">
            <w:pPr>
              <w:keepNext w:val="0"/>
              <w:keepLines w:val="0"/>
              <w:suppressLineNumbers w:val="0"/>
              <w:spacing w:before="0" w:beforeAutospacing="0" w:after="0" w:afterAutospacing="0" w:line="560" w:lineRule="exact"/>
              <w:ind w:left="0" w:right="0"/>
              <w:jc w:val="center"/>
              <w:rPr>
                <w:rFonts w:cs="仿宋"/>
                <w:b/>
                <w:highlight w:val="none"/>
              </w:rPr>
            </w:pPr>
            <w:r>
              <w:rPr>
                <w:rFonts w:hint="eastAsia" w:cs="仿宋"/>
                <w:b/>
                <w:highlight w:val="none"/>
              </w:rPr>
              <w:t>条款号</w:t>
            </w:r>
          </w:p>
        </w:tc>
        <w:tc>
          <w:tcPr>
            <w:tcW w:w="7633" w:type="dxa"/>
            <w:noWrap/>
            <w:vAlign w:val="center"/>
          </w:tcPr>
          <w:p w14:paraId="4BEADCC9">
            <w:pPr>
              <w:keepNext w:val="0"/>
              <w:keepLines w:val="0"/>
              <w:suppressLineNumbers w:val="0"/>
              <w:spacing w:before="0" w:beforeAutospacing="0" w:after="0" w:afterAutospacing="0" w:line="560" w:lineRule="exact"/>
              <w:ind w:left="0" w:right="0"/>
              <w:jc w:val="center"/>
              <w:rPr>
                <w:rFonts w:cs="仿宋"/>
                <w:b/>
                <w:highlight w:val="none"/>
              </w:rPr>
            </w:pPr>
            <w:r>
              <w:rPr>
                <w:rFonts w:hint="eastAsia" w:cs="仿宋"/>
                <w:b/>
                <w:highlight w:val="none"/>
              </w:rPr>
              <w:t>约定内容</w:t>
            </w:r>
          </w:p>
        </w:tc>
      </w:tr>
      <w:tr w14:paraId="04489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ign w:val="center"/>
          </w:tcPr>
          <w:p w14:paraId="33B1337E">
            <w:pPr>
              <w:keepNext w:val="0"/>
              <w:keepLines w:val="0"/>
              <w:suppressLineNumbers w:val="0"/>
              <w:spacing w:before="0" w:beforeAutospacing="0" w:after="0" w:afterAutospacing="0" w:line="560" w:lineRule="exact"/>
              <w:ind w:left="0" w:right="0"/>
              <w:rPr>
                <w:rFonts w:cs="仿宋"/>
                <w:highlight w:val="none"/>
              </w:rPr>
            </w:pPr>
          </w:p>
        </w:tc>
        <w:tc>
          <w:tcPr>
            <w:tcW w:w="7633" w:type="dxa"/>
            <w:noWrap/>
            <w:vAlign w:val="center"/>
          </w:tcPr>
          <w:p w14:paraId="638CB7B6">
            <w:pPr>
              <w:keepNext w:val="0"/>
              <w:keepLines w:val="0"/>
              <w:suppressLineNumbers w:val="0"/>
              <w:spacing w:before="0" w:beforeAutospacing="0" w:after="0" w:afterAutospacing="0" w:line="560" w:lineRule="exact"/>
              <w:ind w:left="0" w:right="0"/>
              <w:rPr>
                <w:rFonts w:cs="仿宋"/>
                <w:highlight w:val="none"/>
              </w:rPr>
            </w:pPr>
          </w:p>
        </w:tc>
      </w:tr>
      <w:tr w14:paraId="34B27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14:paraId="7291CED1">
            <w:pPr>
              <w:keepNext w:val="0"/>
              <w:keepLines w:val="0"/>
              <w:suppressLineNumbers w:val="0"/>
              <w:spacing w:before="0" w:beforeAutospacing="0" w:after="0" w:afterAutospacing="0" w:line="560" w:lineRule="exact"/>
              <w:ind w:left="0" w:right="0"/>
              <w:rPr>
                <w:rFonts w:cs="仿宋"/>
                <w:highlight w:val="none"/>
              </w:rPr>
            </w:pPr>
          </w:p>
        </w:tc>
        <w:tc>
          <w:tcPr>
            <w:tcW w:w="7633" w:type="dxa"/>
            <w:noWrap/>
            <w:vAlign w:val="center"/>
          </w:tcPr>
          <w:p w14:paraId="1060646B">
            <w:pPr>
              <w:keepNext w:val="0"/>
              <w:keepLines w:val="0"/>
              <w:suppressLineNumbers w:val="0"/>
              <w:spacing w:before="0" w:beforeAutospacing="0" w:after="0" w:afterAutospacing="0" w:line="560" w:lineRule="exact"/>
              <w:ind w:left="0" w:right="0"/>
              <w:rPr>
                <w:rFonts w:cs="仿宋"/>
                <w:highlight w:val="none"/>
              </w:rPr>
            </w:pPr>
          </w:p>
        </w:tc>
      </w:tr>
      <w:tr w14:paraId="2319B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14:paraId="3B9E733D">
            <w:pPr>
              <w:keepNext w:val="0"/>
              <w:keepLines w:val="0"/>
              <w:suppressLineNumbers w:val="0"/>
              <w:spacing w:before="0" w:beforeAutospacing="0" w:after="0" w:afterAutospacing="0" w:line="560" w:lineRule="exact"/>
              <w:ind w:left="0" w:right="0"/>
              <w:rPr>
                <w:rFonts w:cs="仿宋"/>
                <w:highlight w:val="none"/>
              </w:rPr>
            </w:pPr>
          </w:p>
        </w:tc>
        <w:tc>
          <w:tcPr>
            <w:tcW w:w="7633" w:type="dxa"/>
            <w:noWrap/>
            <w:vAlign w:val="center"/>
          </w:tcPr>
          <w:p w14:paraId="3E13F497">
            <w:pPr>
              <w:keepNext w:val="0"/>
              <w:keepLines w:val="0"/>
              <w:suppressLineNumbers w:val="0"/>
              <w:spacing w:before="0" w:beforeAutospacing="0" w:after="0" w:afterAutospacing="0" w:line="560" w:lineRule="exact"/>
              <w:ind w:left="0" w:right="0"/>
              <w:rPr>
                <w:rFonts w:cs="仿宋"/>
                <w:highlight w:val="none"/>
              </w:rPr>
            </w:pPr>
          </w:p>
        </w:tc>
      </w:tr>
      <w:tr w14:paraId="2843D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14:paraId="5303E14C">
            <w:pPr>
              <w:keepNext w:val="0"/>
              <w:keepLines w:val="0"/>
              <w:suppressLineNumbers w:val="0"/>
              <w:spacing w:before="0" w:beforeAutospacing="0" w:after="0" w:afterAutospacing="0" w:line="560" w:lineRule="exact"/>
              <w:ind w:left="0" w:right="0"/>
              <w:rPr>
                <w:rFonts w:cs="仿宋"/>
                <w:highlight w:val="none"/>
              </w:rPr>
            </w:pPr>
          </w:p>
        </w:tc>
        <w:tc>
          <w:tcPr>
            <w:tcW w:w="7633" w:type="dxa"/>
            <w:noWrap/>
            <w:vAlign w:val="center"/>
          </w:tcPr>
          <w:p w14:paraId="04BC1818">
            <w:pPr>
              <w:keepNext w:val="0"/>
              <w:keepLines w:val="0"/>
              <w:suppressLineNumbers w:val="0"/>
              <w:spacing w:before="0" w:beforeAutospacing="0" w:after="0" w:afterAutospacing="0" w:line="560" w:lineRule="exact"/>
              <w:ind w:left="0" w:right="0"/>
              <w:rPr>
                <w:rFonts w:cs="仿宋"/>
                <w:highlight w:val="none"/>
              </w:rPr>
            </w:pPr>
          </w:p>
        </w:tc>
      </w:tr>
      <w:tr w14:paraId="2A959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6A914882">
            <w:pPr>
              <w:keepNext w:val="0"/>
              <w:keepLines w:val="0"/>
              <w:suppressLineNumbers w:val="0"/>
              <w:spacing w:before="0" w:beforeAutospacing="0" w:after="0" w:afterAutospacing="0" w:line="560" w:lineRule="exact"/>
              <w:ind w:left="0" w:right="0"/>
              <w:rPr>
                <w:rFonts w:cs="仿宋"/>
                <w:highlight w:val="none"/>
              </w:rPr>
            </w:pPr>
          </w:p>
        </w:tc>
        <w:tc>
          <w:tcPr>
            <w:tcW w:w="7633" w:type="dxa"/>
            <w:noWrap/>
            <w:vAlign w:val="center"/>
          </w:tcPr>
          <w:p w14:paraId="0A67D797">
            <w:pPr>
              <w:keepNext w:val="0"/>
              <w:keepLines w:val="0"/>
              <w:suppressLineNumbers w:val="0"/>
              <w:spacing w:before="0" w:beforeAutospacing="0" w:after="0" w:afterAutospacing="0" w:line="560" w:lineRule="exact"/>
              <w:ind w:left="0" w:right="0"/>
              <w:rPr>
                <w:rFonts w:cs="仿宋"/>
                <w:highlight w:val="none"/>
                <w:u w:val="single"/>
              </w:rPr>
            </w:pPr>
          </w:p>
        </w:tc>
      </w:tr>
      <w:tr w14:paraId="325CE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2F3FF9DD">
            <w:pPr>
              <w:keepNext w:val="0"/>
              <w:keepLines w:val="0"/>
              <w:suppressLineNumbers w:val="0"/>
              <w:spacing w:before="0" w:beforeAutospacing="0" w:after="0" w:afterAutospacing="0" w:line="560" w:lineRule="exact"/>
              <w:ind w:left="0" w:right="0"/>
              <w:rPr>
                <w:rFonts w:cs="仿宋"/>
                <w:highlight w:val="none"/>
              </w:rPr>
            </w:pPr>
          </w:p>
        </w:tc>
        <w:tc>
          <w:tcPr>
            <w:tcW w:w="7633" w:type="dxa"/>
            <w:noWrap/>
            <w:vAlign w:val="center"/>
          </w:tcPr>
          <w:p w14:paraId="481FC38C">
            <w:pPr>
              <w:keepNext w:val="0"/>
              <w:keepLines w:val="0"/>
              <w:suppressLineNumbers w:val="0"/>
              <w:spacing w:before="0" w:beforeAutospacing="0" w:after="0" w:afterAutospacing="0" w:line="560" w:lineRule="exact"/>
              <w:ind w:left="0" w:right="0"/>
              <w:rPr>
                <w:rFonts w:cs="仿宋"/>
                <w:highlight w:val="none"/>
              </w:rPr>
            </w:pPr>
          </w:p>
        </w:tc>
      </w:tr>
      <w:tr w14:paraId="6FD27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14:paraId="794F4C65">
            <w:pPr>
              <w:keepNext w:val="0"/>
              <w:keepLines w:val="0"/>
              <w:suppressLineNumbers w:val="0"/>
              <w:spacing w:before="0" w:beforeAutospacing="0" w:after="0" w:afterAutospacing="0" w:line="560" w:lineRule="exact"/>
              <w:ind w:left="0" w:right="0"/>
              <w:rPr>
                <w:rFonts w:cs="仿宋"/>
                <w:highlight w:val="none"/>
              </w:rPr>
            </w:pPr>
          </w:p>
        </w:tc>
        <w:tc>
          <w:tcPr>
            <w:tcW w:w="7633" w:type="dxa"/>
            <w:noWrap/>
            <w:vAlign w:val="center"/>
          </w:tcPr>
          <w:p w14:paraId="408AFCEC">
            <w:pPr>
              <w:keepNext w:val="0"/>
              <w:keepLines w:val="0"/>
              <w:suppressLineNumbers w:val="0"/>
              <w:spacing w:before="0" w:beforeAutospacing="0" w:after="0" w:afterAutospacing="0" w:line="560" w:lineRule="exact"/>
              <w:ind w:left="0" w:right="0"/>
              <w:rPr>
                <w:rFonts w:cs="仿宋"/>
                <w:highlight w:val="none"/>
                <w:u w:val="single"/>
              </w:rPr>
            </w:pPr>
          </w:p>
        </w:tc>
      </w:tr>
      <w:tr w14:paraId="1F491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5FEF913E">
            <w:pPr>
              <w:keepNext w:val="0"/>
              <w:keepLines w:val="0"/>
              <w:suppressLineNumbers w:val="0"/>
              <w:spacing w:before="0" w:beforeAutospacing="0" w:after="0" w:afterAutospacing="0" w:line="560" w:lineRule="exact"/>
              <w:ind w:left="0" w:right="0"/>
              <w:rPr>
                <w:rFonts w:cs="仿宋"/>
                <w:highlight w:val="none"/>
              </w:rPr>
            </w:pPr>
          </w:p>
        </w:tc>
        <w:tc>
          <w:tcPr>
            <w:tcW w:w="7633" w:type="dxa"/>
            <w:noWrap/>
            <w:vAlign w:val="center"/>
          </w:tcPr>
          <w:p w14:paraId="020E51AC">
            <w:pPr>
              <w:keepNext w:val="0"/>
              <w:keepLines w:val="0"/>
              <w:suppressLineNumbers w:val="0"/>
              <w:spacing w:before="0" w:beforeAutospacing="0" w:after="0" w:afterAutospacing="0" w:line="560" w:lineRule="exact"/>
              <w:ind w:left="0" w:right="0"/>
              <w:rPr>
                <w:rFonts w:cs="仿宋"/>
                <w:highlight w:val="none"/>
              </w:rPr>
            </w:pPr>
          </w:p>
        </w:tc>
      </w:tr>
      <w:tr w14:paraId="5AF6B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30327F36">
            <w:pPr>
              <w:keepNext w:val="0"/>
              <w:keepLines w:val="0"/>
              <w:suppressLineNumbers w:val="0"/>
              <w:spacing w:before="0" w:beforeAutospacing="0" w:after="0" w:afterAutospacing="0" w:line="560" w:lineRule="exact"/>
              <w:ind w:left="0" w:right="0"/>
              <w:rPr>
                <w:rFonts w:cs="仿宋"/>
                <w:highlight w:val="none"/>
              </w:rPr>
            </w:pPr>
          </w:p>
        </w:tc>
        <w:tc>
          <w:tcPr>
            <w:tcW w:w="7633" w:type="dxa"/>
            <w:noWrap/>
            <w:vAlign w:val="center"/>
          </w:tcPr>
          <w:p w14:paraId="60A157F9">
            <w:pPr>
              <w:keepNext w:val="0"/>
              <w:keepLines w:val="0"/>
              <w:suppressLineNumbers w:val="0"/>
              <w:spacing w:before="0" w:beforeAutospacing="0" w:after="0" w:afterAutospacing="0" w:line="560" w:lineRule="exact"/>
              <w:ind w:left="0" w:right="0"/>
              <w:rPr>
                <w:rFonts w:cs="仿宋"/>
                <w:highlight w:val="none"/>
              </w:rPr>
            </w:pPr>
          </w:p>
        </w:tc>
      </w:tr>
      <w:tr w14:paraId="55A18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4BEAE58B">
            <w:pPr>
              <w:keepNext w:val="0"/>
              <w:keepLines w:val="0"/>
              <w:suppressLineNumbers w:val="0"/>
              <w:spacing w:before="0" w:beforeAutospacing="0" w:after="0" w:afterAutospacing="0" w:line="560" w:lineRule="exact"/>
              <w:ind w:left="0" w:right="0"/>
              <w:rPr>
                <w:rFonts w:cs="仿宋"/>
                <w:highlight w:val="none"/>
              </w:rPr>
            </w:pPr>
          </w:p>
        </w:tc>
        <w:tc>
          <w:tcPr>
            <w:tcW w:w="7633" w:type="dxa"/>
            <w:noWrap/>
            <w:vAlign w:val="center"/>
          </w:tcPr>
          <w:p w14:paraId="702845EC">
            <w:pPr>
              <w:keepNext w:val="0"/>
              <w:keepLines w:val="0"/>
              <w:suppressLineNumbers w:val="0"/>
              <w:spacing w:before="0" w:beforeAutospacing="0" w:after="0" w:afterAutospacing="0" w:line="560" w:lineRule="exact"/>
              <w:ind w:left="0" w:right="0"/>
              <w:rPr>
                <w:rFonts w:cs="仿宋"/>
                <w:highlight w:val="none"/>
              </w:rPr>
            </w:pPr>
          </w:p>
        </w:tc>
      </w:tr>
      <w:tr w14:paraId="4715A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14:paraId="490C8A82">
            <w:pPr>
              <w:keepNext w:val="0"/>
              <w:keepLines w:val="0"/>
              <w:suppressLineNumbers w:val="0"/>
              <w:spacing w:before="0" w:beforeAutospacing="0" w:after="0" w:afterAutospacing="0" w:line="560" w:lineRule="exact"/>
              <w:ind w:left="0" w:right="0"/>
              <w:rPr>
                <w:rFonts w:cs="仿宋"/>
                <w:highlight w:val="none"/>
              </w:rPr>
            </w:pPr>
          </w:p>
        </w:tc>
        <w:tc>
          <w:tcPr>
            <w:tcW w:w="7633" w:type="dxa"/>
            <w:tcBorders>
              <w:top w:val="single" w:color="auto" w:sz="6" w:space="0"/>
              <w:left w:val="single" w:color="auto" w:sz="6" w:space="0"/>
              <w:bottom w:val="single" w:color="auto" w:sz="6" w:space="0"/>
              <w:right w:val="single" w:color="auto" w:sz="6" w:space="0"/>
            </w:tcBorders>
            <w:noWrap/>
            <w:vAlign w:val="center"/>
          </w:tcPr>
          <w:p w14:paraId="5B173D92">
            <w:pPr>
              <w:keepNext w:val="0"/>
              <w:keepLines w:val="0"/>
              <w:suppressLineNumbers w:val="0"/>
              <w:spacing w:before="0" w:beforeAutospacing="0" w:after="0" w:afterAutospacing="0" w:line="560" w:lineRule="exact"/>
              <w:ind w:left="0" w:right="0"/>
              <w:rPr>
                <w:rFonts w:cs="仿宋"/>
                <w:highlight w:val="none"/>
              </w:rPr>
            </w:pPr>
          </w:p>
        </w:tc>
      </w:tr>
      <w:tr w14:paraId="3391D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14:paraId="0AF9FAE3">
            <w:pPr>
              <w:keepNext w:val="0"/>
              <w:keepLines w:val="0"/>
              <w:suppressLineNumbers w:val="0"/>
              <w:spacing w:before="0" w:beforeAutospacing="0" w:after="0" w:afterAutospacing="0" w:line="560" w:lineRule="exact"/>
              <w:ind w:left="0" w:right="0"/>
              <w:rPr>
                <w:rFonts w:cs="仿宋"/>
                <w:highlight w:val="none"/>
              </w:rPr>
            </w:pPr>
          </w:p>
        </w:tc>
        <w:tc>
          <w:tcPr>
            <w:tcW w:w="7633" w:type="dxa"/>
            <w:tcBorders>
              <w:top w:val="single" w:color="auto" w:sz="6" w:space="0"/>
              <w:left w:val="single" w:color="auto" w:sz="6" w:space="0"/>
              <w:bottom w:val="single" w:color="auto" w:sz="6" w:space="0"/>
              <w:right w:val="single" w:color="auto" w:sz="6" w:space="0"/>
            </w:tcBorders>
            <w:noWrap/>
            <w:vAlign w:val="center"/>
          </w:tcPr>
          <w:p w14:paraId="0910075D">
            <w:pPr>
              <w:keepNext w:val="0"/>
              <w:keepLines w:val="0"/>
              <w:suppressLineNumbers w:val="0"/>
              <w:spacing w:before="0" w:beforeAutospacing="0" w:after="0" w:afterAutospacing="0" w:line="560" w:lineRule="exact"/>
              <w:ind w:left="0" w:right="0"/>
              <w:rPr>
                <w:rFonts w:cs="仿宋"/>
                <w:highlight w:val="none"/>
              </w:rPr>
            </w:pPr>
          </w:p>
        </w:tc>
      </w:tr>
    </w:tbl>
    <w:p w14:paraId="721C678D">
      <w:pPr>
        <w:rPr>
          <w:rFonts w:hint="eastAsia" w:ascii="仿宋" w:hAnsi="仿宋" w:eastAsia="仿宋" w:cs="仿宋"/>
          <w:color w:val="auto"/>
          <w:highlight w:val="none"/>
        </w:rPr>
      </w:pPr>
    </w:p>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94BD5D6-B361-4495-ADEF-B6F8E22D9094}"/>
  </w:font>
  <w:font w:name="黑体">
    <w:panose1 w:val="02010609060101010101"/>
    <w:charset w:val="86"/>
    <w:family w:val="auto"/>
    <w:pitch w:val="default"/>
    <w:sig w:usb0="800002BF" w:usb1="38CF7CFA" w:usb2="00000016" w:usb3="00000000" w:csb0="00040001" w:csb1="00000000"/>
    <w:embedRegular r:id="rId2" w:fontKey="{241C5FCC-46F6-487D-B472-C94F23F5C7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D22B52FB-450E-46AC-A2C0-3BE3BB538538}"/>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Noto Sans Mono CJK JP 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embedRegular r:id="rId4" w:fontKey="{037D9417-44E2-41AD-8C9E-5EFE182B26EE}"/>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0755E">
    <w:pPr>
      <w:tabs>
        <w:tab w:val="center" w:pos="4153"/>
        <w:tab w:val="right" w:pos="8306"/>
      </w:tabs>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423A">
    <w:pPr>
      <w:tabs>
        <w:tab w:val="center" w:pos="4153"/>
        <w:tab w:val="right" w:pos="8306"/>
      </w:tabs>
      <w:ind w:right="360"/>
      <w:jc w:val="both"/>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034A6">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E034A6">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8B576">
    <w:pPr>
      <w:tabs>
        <w:tab w:val="center" w:pos="4153"/>
        <w:tab w:val="right" w:pos="8306"/>
      </w:tabs>
      <w:ind w:right="360"/>
      <w:jc w:val="both"/>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941FC">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7E941FC">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DA354">
    <w:pPr>
      <w:pStyle w:val="21"/>
      <w:ind w:right="360" w:firstLine="360"/>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FD10D">
                          <w:pPr>
                            <w:pStyle w:val="2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A5FD10D">
                    <w:pPr>
                      <w:pStyle w:val="2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4B093">
    <w:pPr>
      <w:pStyle w:val="2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634C2">
                          <w:pPr>
                            <w:pStyle w:val="2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E1634C2">
                    <w:pPr>
                      <w:pStyle w:val="21"/>
                    </w:pPr>
                    <w:r>
                      <w:fldChar w:fldCharType="begin"/>
                    </w:r>
                    <w:r>
                      <w:instrText xml:space="preserve"> PAGE  \* MERGEFORMAT </w:instrText>
                    </w:r>
                    <w:r>
                      <w:fldChar w:fldCharType="separate"/>
                    </w:r>
                    <w:r>
                      <w:t>41</w:t>
                    </w:r>
                    <w:r>
                      <w:fldChar w:fldCharType="end"/>
                    </w:r>
                  </w:p>
                </w:txbxContent>
              </v:textbox>
            </v:shape>
          </w:pict>
        </mc:Fallback>
      </mc:AlternateContent>
    </w:r>
  </w:p>
  <w:p w14:paraId="4E473CFE">
    <w:pPr>
      <w:pStyle w:val="21"/>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1B18">
    <w:pPr>
      <w:tabs>
        <w:tab w:val="center" w:pos="4153"/>
        <w:tab w:val="right" w:pos="8306"/>
      </w:tabs>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4114E">
                          <w:pPr>
                            <w:pStyle w:val="2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674114E">
                    <w:pPr>
                      <w:pStyle w:val="21"/>
                    </w:pPr>
                    <w:r>
                      <w:fldChar w:fldCharType="begin"/>
                    </w:r>
                    <w:r>
                      <w:instrText xml:space="preserve"> PAGE  \* MERGEFORMAT </w:instrText>
                    </w:r>
                    <w:r>
                      <w:fldChar w:fldCharType="separate"/>
                    </w:r>
                    <w:r>
                      <w:t>43</w:t>
                    </w:r>
                    <w:r>
                      <w:fldChar w:fldCharType="end"/>
                    </w:r>
                  </w:p>
                </w:txbxContent>
              </v:textbox>
            </v:shape>
          </w:pict>
        </mc:Fallback>
      </mc:AlternateContent>
    </w:r>
  </w:p>
  <w:p w14:paraId="71CB3E54">
    <w:pPr>
      <w:tabs>
        <w:tab w:val="center" w:pos="4153"/>
        <w:tab w:val="right" w:pos="8306"/>
      </w:tabs>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7E937">
    <w:pPr>
      <w:pStyle w:val="12"/>
      <w:spacing w:line="14" w:lineRule="auto"/>
      <w:rPr>
        <w:sz w:val="12"/>
      </w:rPr>
    </w:pPr>
    <w:r>
      <w:rPr>
        <w:sz w:val="1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D3944">
                          <w:pPr>
                            <w:pStyle w:val="21"/>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5D3944">
                    <w:pPr>
                      <w:pStyle w:val="21"/>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F579C">
    <w:pPr>
      <w:pStyle w:val="2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5E523">
                          <w:pPr>
                            <w:pStyle w:val="21"/>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705E523">
                    <w:pPr>
                      <w:pStyle w:val="21"/>
                    </w:pPr>
                    <w:r>
                      <w:fldChar w:fldCharType="begin"/>
                    </w:r>
                    <w:r>
                      <w:instrText xml:space="preserve"> PAGE  \* MERGEFORMAT </w:instrText>
                    </w:r>
                    <w:r>
                      <w:fldChar w:fldCharType="separate"/>
                    </w:r>
                    <w:r>
                      <w:t>85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30CBE">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B9B16">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21507">
    <w:pPr>
      <w:pStyle w:val="22"/>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9681">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FDC05"/>
    <w:multiLevelType w:val="singleLevel"/>
    <w:tmpl w:val="801FDC05"/>
    <w:lvl w:ilvl="0" w:tentative="0">
      <w:start w:val="1"/>
      <w:numFmt w:val="decimal"/>
      <w:suff w:val="nothing"/>
      <w:lvlText w:val="%1、"/>
      <w:lvlJc w:val="left"/>
    </w:lvl>
  </w:abstractNum>
  <w:abstractNum w:abstractNumId="1">
    <w:nsid w:val="885E304E"/>
    <w:multiLevelType w:val="singleLevel"/>
    <w:tmpl w:val="885E304E"/>
    <w:lvl w:ilvl="0" w:tentative="0">
      <w:start w:val="6"/>
      <w:numFmt w:val="chineseCounting"/>
      <w:suff w:val="nothing"/>
      <w:lvlText w:val="%1、"/>
      <w:lvlJc w:val="left"/>
      <w:rPr>
        <w:rFonts w:hint="eastAsia"/>
      </w:rPr>
    </w:lvl>
  </w:abstractNum>
  <w:abstractNum w:abstractNumId="2">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DDA9F6E8"/>
    <w:multiLevelType w:val="singleLevel"/>
    <w:tmpl w:val="DDA9F6E8"/>
    <w:lvl w:ilvl="0" w:tentative="0">
      <w:start w:val="5"/>
      <w:numFmt w:val="decimal"/>
      <w:suff w:val="space"/>
      <w:lvlText w:val="第%1章"/>
      <w:lvlJc w:val="left"/>
    </w:lvl>
  </w:abstractNum>
  <w:abstractNum w:abstractNumId="4">
    <w:nsid w:val="051423B4"/>
    <w:multiLevelType w:val="singleLevel"/>
    <w:tmpl w:val="051423B4"/>
    <w:lvl w:ilvl="0" w:tentative="0">
      <w:start w:val="8"/>
      <w:numFmt w:val="decimal"/>
      <w:suff w:val="nothing"/>
      <w:lvlText w:val="%1）"/>
      <w:lvlJc w:val="left"/>
    </w:lvl>
  </w:abstractNum>
  <w:abstractNum w:abstractNumId="5">
    <w:nsid w:val="0C02CDE8"/>
    <w:multiLevelType w:val="singleLevel"/>
    <w:tmpl w:val="0C02CDE8"/>
    <w:lvl w:ilvl="0" w:tentative="0">
      <w:start w:val="1"/>
      <w:numFmt w:val="chineseCounting"/>
      <w:suff w:val="nothing"/>
      <w:lvlText w:val="（%1）"/>
      <w:lvlJc w:val="left"/>
      <w:rPr>
        <w:rFonts w:hint="eastAsia"/>
      </w:rPr>
    </w:lvl>
  </w:abstractNum>
  <w:abstractNum w:abstractNumId="6">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7">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362600FE"/>
    <w:multiLevelType w:val="multilevel"/>
    <w:tmpl w:val="362600FE"/>
    <w:lvl w:ilvl="0" w:tentative="0">
      <w:start w:val="1"/>
      <w:numFmt w:val="decimal"/>
      <w:lvlText w:val="（%1）"/>
      <w:lvlJc w:val="left"/>
      <w:pPr>
        <w:ind w:left="1653" w:hanging="601"/>
      </w:pPr>
      <w:rPr>
        <w:rFonts w:hint="default" w:ascii="宋体" w:hAnsi="宋体" w:eastAsia="宋体" w:cs="宋体"/>
        <w:w w:val="100"/>
        <w:sz w:val="22"/>
        <w:szCs w:val="22"/>
      </w:rPr>
    </w:lvl>
    <w:lvl w:ilvl="1" w:tentative="0">
      <w:start w:val="0"/>
      <w:numFmt w:val="bullet"/>
      <w:lvlText w:val="•"/>
      <w:lvlJc w:val="left"/>
      <w:pPr>
        <w:ind w:left="2566" w:hanging="601"/>
      </w:pPr>
      <w:rPr>
        <w:rFonts w:hint="default"/>
      </w:rPr>
    </w:lvl>
    <w:lvl w:ilvl="2" w:tentative="0">
      <w:start w:val="0"/>
      <w:numFmt w:val="bullet"/>
      <w:lvlText w:val="•"/>
      <w:lvlJc w:val="left"/>
      <w:pPr>
        <w:ind w:left="3473" w:hanging="601"/>
      </w:pPr>
      <w:rPr>
        <w:rFonts w:hint="default"/>
      </w:rPr>
    </w:lvl>
    <w:lvl w:ilvl="3" w:tentative="0">
      <w:start w:val="0"/>
      <w:numFmt w:val="bullet"/>
      <w:lvlText w:val="•"/>
      <w:lvlJc w:val="left"/>
      <w:pPr>
        <w:ind w:left="4380" w:hanging="601"/>
      </w:pPr>
      <w:rPr>
        <w:rFonts w:hint="default"/>
      </w:rPr>
    </w:lvl>
    <w:lvl w:ilvl="4" w:tentative="0">
      <w:start w:val="0"/>
      <w:numFmt w:val="bullet"/>
      <w:lvlText w:val="•"/>
      <w:lvlJc w:val="left"/>
      <w:pPr>
        <w:ind w:left="5286" w:hanging="601"/>
      </w:pPr>
      <w:rPr>
        <w:rFonts w:hint="default"/>
      </w:rPr>
    </w:lvl>
    <w:lvl w:ilvl="5" w:tentative="0">
      <w:start w:val="0"/>
      <w:numFmt w:val="bullet"/>
      <w:lvlText w:val="•"/>
      <w:lvlJc w:val="left"/>
      <w:pPr>
        <w:ind w:left="6193" w:hanging="601"/>
      </w:pPr>
      <w:rPr>
        <w:rFonts w:hint="default"/>
      </w:rPr>
    </w:lvl>
    <w:lvl w:ilvl="6" w:tentative="0">
      <w:start w:val="0"/>
      <w:numFmt w:val="bullet"/>
      <w:lvlText w:val="•"/>
      <w:lvlJc w:val="left"/>
      <w:pPr>
        <w:ind w:left="7100" w:hanging="601"/>
      </w:pPr>
      <w:rPr>
        <w:rFonts w:hint="default"/>
      </w:rPr>
    </w:lvl>
    <w:lvl w:ilvl="7" w:tentative="0">
      <w:start w:val="0"/>
      <w:numFmt w:val="bullet"/>
      <w:lvlText w:val="•"/>
      <w:lvlJc w:val="left"/>
      <w:pPr>
        <w:ind w:left="8006" w:hanging="601"/>
      </w:pPr>
      <w:rPr>
        <w:rFonts w:hint="default"/>
      </w:rPr>
    </w:lvl>
    <w:lvl w:ilvl="8" w:tentative="0">
      <w:start w:val="0"/>
      <w:numFmt w:val="bullet"/>
      <w:lvlText w:val="•"/>
      <w:lvlJc w:val="left"/>
      <w:pPr>
        <w:ind w:left="8913" w:hanging="601"/>
      </w:pPr>
      <w:rPr>
        <w:rFonts w:hint="default"/>
      </w:rPr>
    </w:lvl>
  </w:abstractNum>
  <w:abstractNum w:abstractNumId="9">
    <w:nsid w:val="43874994"/>
    <w:multiLevelType w:val="multilevel"/>
    <w:tmpl w:val="43874994"/>
    <w:lvl w:ilvl="0" w:tentative="0">
      <w:start w:val="1"/>
      <w:numFmt w:val="decimal"/>
      <w:lvlText w:val="%1."/>
      <w:lvlJc w:val="left"/>
      <w:pPr>
        <w:ind w:left="460" w:hanging="360"/>
      </w:pPr>
      <w:rPr>
        <w:rFonts w:hint="default" w:ascii="宋体" w:hAnsi="宋体" w:eastAsia="宋体" w:cs="宋体"/>
        <w:w w:val="100"/>
        <w:sz w:val="24"/>
        <w:szCs w:val="24"/>
      </w:rPr>
    </w:lvl>
    <w:lvl w:ilvl="1" w:tentative="0">
      <w:start w:val="1"/>
      <w:numFmt w:val="decimal"/>
      <w:lvlText w:val="%2."/>
      <w:lvlJc w:val="left"/>
      <w:pPr>
        <w:ind w:left="1296" w:hanging="244"/>
      </w:pPr>
      <w:rPr>
        <w:rFonts w:hint="default" w:ascii="宋体" w:hAnsi="宋体" w:eastAsia="宋体" w:cs="宋体"/>
        <w:b/>
        <w:bCs/>
        <w:spacing w:val="0"/>
        <w:w w:val="99"/>
        <w:sz w:val="22"/>
        <w:szCs w:val="22"/>
      </w:rPr>
    </w:lvl>
    <w:lvl w:ilvl="2" w:tentative="0">
      <w:start w:val="1"/>
      <w:numFmt w:val="decimal"/>
      <w:lvlText w:val="%2.%3"/>
      <w:lvlJc w:val="left"/>
      <w:pPr>
        <w:ind w:left="1561" w:hanging="423"/>
      </w:pPr>
      <w:rPr>
        <w:rFonts w:hint="default" w:ascii="宋体" w:hAnsi="宋体" w:eastAsia="宋体" w:cs="宋体"/>
        <w:w w:val="100"/>
        <w:sz w:val="24"/>
        <w:szCs w:val="24"/>
      </w:rPr>
    </w:lvl>
    <w:lvl w:ilvl="3" w:tentative="0">
      <w:start w:val="1"/>
      <w:numFmt w:val="decimal"/>
      <w:lvlText w:val="%2.%3.%4"/>
      <w:lvlJc w:val="left"/>
      <w:pPr>
        <w:ind w:left="2111" w:hanging="641"/>
      </w:pPr>
      <w:rPr>
        <w:rFonts w:hint="default" w:ascii="宋体" w:hAnsi="宋体" w:eastAsia="宋体" w:cs="宋体"/>
        <w:w w:val="100"/>
        <w:sz w:val="24"/>
        <w:szCs w:val="24"/>
      </w:rPr>
    </w:lvl>
    <w:lvl w:ilvl="4" w:tentative="0">
      <w:start w:val="0"/>
      <w:numFmt w:val="bullet"/>
      <w:lvlText w:val="•"/>
      <w:lvlJc w:val="left"/>
      <w:pPr>
        <w:ind w:left="1820" w:hanging="641"/>
      </w:pPr>
      <w:rPr>
        <w:rFonts w:hint="default"/>
      </w:rPr>
    </w:lvl>
    <w:lvl w:ilvl="5" w:tentative="0">
      <w:start w:val="0"/>
      <w:numFmt w:val="bullet"/>
      <w:lvlText w:val="•"/>
      <w:lvlJc w:val="left"/>
      <w:pPr>
        <w:ind w:left="3094" w:hanging="641"/>
      </w:pPr>
      <w:rPr>
        <w:rFonts w:hint="default"/>
      </w:rPr>
    </w:lvl>
    <w:lvl w:ilvl="6" w:tentative="0">
      <w:start w:val="0"/>
      <w:numFmt w:val="bullet"/>
      <w:lvlText w:val="•"/>
      <w:lvlJc w:val="left"/>
      <w:pPr>
        <w:ind w:left="4369" w:hanging="641"/>
      </w:pPr>
      <w:rPr>
        <w:rFonts w:hint="default"/>
      </w:rPr>
    </w:lvl>
    <w:lvl w:ilvl="7" w:tentative="0">
      <w:start w:val="0"/>
      <w:numFmt w:val="bullet"/>
      <w:lvlText w:val="•"/>
      <w:lvlJc w:val="left"/>
      <w:pPr>
        <w:ind w:left="5643" w:hanging="641"/>
      </w:pPr>
      <w:rPr>
        <w:rFonts w:hint="default"/>
      </w:rPr>
    </w:lvl>
    <w:lvl w:ilvl="8" w:tentative="0">
      <w:start w:val="0"/>
      <w:numFmt w:val="bullet"/>
      <w:lvlText w:val="•"/>
      <w:lvlJc w:val="left"/>
      <w:pPr>
        <w:ind w:left="6918" w:hanging="641"/>
      </w:pPr>
      <w:rPr>
        <w:rFonts w:hint="default"/>
      </w:rPr>
    </w:lvl>
  </w:abstractNum>
  <w:abstractNum w:abstractNumId="10">
    <w:nsid w:val="479B5BBA"/>
    <w:multiLevelType w:val="multilevel"/>
    <w:tmpl w:val="479B5BBA"/>
    <w:lvl w:ilvl="0" w:tentative="0">
      <w:start w:val="1"/>
      <w:numFmt w:val="chineseCountingThousand"/>
      <w:suff w:val="space"/>
      <w:lvlText w:val="第 %1 章"/>
      <w:lvlJc w:val="left"/>
      <w:pPr>
        <w:ind w:left="4543" w:hanging="431"/>
      </w:pPr>
      <w:rPr>
        <w:rFonts w:hint="default" w:ascii="Times New Roman" w:hAnsi="Times New Roman" w:eastAsia="黑体"/>
        <w:b w:val="0"/>
        <w:i w:val="0"/>
        <w:sz w:val="44"/>
      </w:rPr>
    </w:lvl>
    <w:lvl w:ilvl="1" w:tentative="0">
      <w:start w:val="1"/>
      <w:numFmt w:val="decimal"/>
      <w:isLgl/>
      <w:suff w:val="space"/>
      <w:lvlText w:val="%1.%2"/>
      <w:lvlJc w:val="left"/>
      <w:pPr>
        <w:ind w:left="4112" w:hanging="567"/>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shd w:val="clear" w:color="auto" w:fill="auto"/>
        <w:vertAlign w:val="baseline"/>
      </w:rPr>
    </w:lvl>
    <w:lvl w:ilvl="2" w:tentative="0">
      <w:start w:val="1"/>
      <w:numFmt w:val="decimal"/>
      <w:isLgl/>
      <w:suff w:val="space"/>
      <w:lvlText w:val="%1.%2.%3"/>
      <w:lvlJc w:val="left"/>
      <w:pPr>
        <w:ind w:left="4690" w:hanging="72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5"/>
      <w:isLgl/>
      <w:suff w:val="space"/>
      <w:lvlText w:val="%1.%2.%3.%4"/>
      <w:lvlJc w:val="left"/>
      <w:pPr>
        <w:ind w:left="2424" w:hanging="864"/>
      </w:pPr>
      <w:rPr>
        <w:rFonts w:hint="default" w:ascii="Arial" w:hAnsi="Arial" w:eastAsia="黑体"/>
        <w:b w:val="0"/>
        <w:i w:val="0"/>
        <w:sz w:val="30"/>
      </w:rPr>
    </w:lvl>
    <w:lvl w:ilvl="4" w:tentative="0">
      <w:start w:val="1"/>
      <w:numFmt w:val="decimal"/>
      <w:pStyle w:val="6"/>
      <w:isLgl/>
      <w:suff w:val="space"/>
      <w:lvlText w:val="%1.%2.%3.%4.%5"/>
      <w:lvlJc w:val="left"/>
      <w:pPr>
        <w:ind w:left="1848" w:hanging="1008"/>
      </w:pPr>
      <w:rPr>
        <w:rFonts w:hint="default" w:ascii="Arial" w:hAnsi="Arial" w:eastAsia="黑体"/>
        <w:b w:val="0"/>
        <w:i w:val="0"/>
        <w:sz w:val="28"/>
      </w:rPr>
    </w:lvl>
    <w:lvl w:ilvl="5" w:tentative="0">
      <w:start w:val="1"/>
      <w:numFmt w:val="decimal"/>
      <w:pStyle w:val="7"/>
      <w:lvlText w:val="%1.%2.%3.%4.%5.%6"/>
      <w:lvlJc w:val="left"/>
      <w:pPr>
        <w:tabs>
          <w:tab w:val="left" w:pos="1992"/>
        </w:tabs>
        <w:ind w:left="1992" w:hanging="1152"/>
      </w:pPr>
      <w:rPr>
        <w:rFonts w:hint="eastAsia"/>
      </w:rPr>
    </w:lvl>
    <w:lvl w:ilvl="6" w:tentative="0">
      <w:start w:val="1"/>
      <w:numFmt w:val="decimal"/>
      <w:lvlText w:val="%1.%2.%3.%4.%5.%6.%7"/>
      <w:lvlJc w:val="left"/>
      <w:pPr>
        <w:tabs>
          <w:tab w:val="left" w:pos="2136"/>
        </w:tabs>
        <w:ind w:left="2136" w:hanging="1296"/>
      </w:pPr>
      <w:rPr>
        <w:rFonts w:hint="eastAsia"/>
      </w:rPr>
    </w:lvl>
    <w:lvl w:ilvl="7" w:tentative="0">
      <w:start w:val="1"/>
      <w:numFmt w:val="decimal"/>
      <w:lvlText w:val="%1.%2.%3.%4.%5.%6.%7.%8"/>
      <w:lvlJc w:val="left"/>
      <w:pPr>
        <w:tabs>
          <w:tab w:val="left" w:pos="2280"/>
        </w:tabs>
        <w:ind w:left="2280" w:hanging="1440"/>
      </w:pPr>
      <w:rPr>
        <w:rFonts w:hint="eastAsia"/>
      </w:rPr>
    </w:lvl>
    <w:lvl w:ilvl="8" w:tentative="0">
      <w:start w:val="1"/>
      <w:numFmt w:val="decimal"/>
      <w:lvlText w:val="%1.%2.%3.%4.%5.%6.%7.%8.%9"/>
      <w:lvlJc w:val="left"/>
      <w:pPr>
        <w:tabs>
          <w:tab w:val="left" w:pos="2424"/>
        </w:tabs>
        <w:ind w:left="2424" w:hanging="1584"/>
      </w:pPr>
      <w:rPr>
        <w:rFonts w:hint="eastAsia"/>
      </w:rPr>
    </w:lvl>
  </w:abstractNum>
  <w:abstractNum w:abstractNumId="11">
    <w:nsid w:val="62F3A94E"/>
    <w:multiLevelType w:val="singleLevel"/>
    <w:tmpl w:val="62F3A94E"/>
    <w:lvl w:ilvl="0" w:tentative="0">
      <w:start w:val="1"/>
      <w:numFmt w:val="decimal"/>
      <w:suff w:val="nothing"/>
      <w:lvlText w:val="%1、"/>
      <w:lvlJc w:val="left"/>
    </w:lvl>
  </w:abstractNum>
  <w:abstractNum w:abstractNumId="12">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3">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4">
    <w:nsid w:val="7FEB0C3E"/>
    <w:multiLevelType w:val="singleLevel"/>
    <w:tmpl w:val="7FEB0C3E"/>
    <w:lvl w:ilvl="0" w:tentative="0">
      <w:start w:val="1"/>
      <w:numFmt w:val="decimal"/>
      <w:lvlText w:val="%1."/>
      <w:lvlJc w:val="left"/>
      <w:pPr>
        <w:ind w:left="425" w:hanging="425"/>
      </w:pPr>
      <w:rPr>
        <w:rFonts w:hint="default"/>
      </w:rPr>
    </w:lvl>
  </w:abstractNum>
  <w:num w:numId="1">
    <w:abstractNumId w:val="10"/>
  </w:num>
  <w:num w:numId="2">
    <w:abstractNumId w:val="7"/>
  </w:num>
  <w:num w:numId="3">
    <w:abstractNumId w:val="12"/>
  </w:num>
  <w:num w:numId="4">
    <w:abstractNumId w:val="2"/>
  </w:num>
  <w:num w:numId="5">
    <w:abstractNumId w:val="6"/>
  </w:num>
  <w:num w:numId="6">
    <w:abstractNumId w:val="5"/>
  </w:num>
  <w:num w:numId="7">
    <w:abstractNumId w:val="4"/>
  </w:num>
  <w:num w:numId="8">
    <w:abstractNumId w:val="1"/>
  </w:num>
  <w:num w:numId="9">
    <w:abstractNumId w:val="3"/>
  </w:num>
  <w:num w:numId="10">
    <w:abstractNumId w:val="14"/>
  </w:num>
  <w:num w:numId="11">
    <w:abstractNumId w:val="11"/>
  </w:num>
  <w:num w:numId="12">
    <w:abstractNumId w:val="0"/>
  </w:num>
  <w:num w:numId="13">
    <w:abstractNumId w:val="9"/>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TE3ZWYwOTUxY2JkNTJmNzQyMDlmMzk4NDZiNzRjMGEifQ=="/>
    <w:docVar w:name="VTCASE" w:val="4"/>
    <w:docVar w:name="VTCommandPending" w:val="NONE"/>
  </w:docVars>
  <w:rsids>
    <w:rsidRoot w:val="00172A27"/>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0C6A"/>
    <w:rsid w:val="000612B3"/>
    <w:rsid w:val="00061B68"/>
    <w:rsid w:val="00063750"/>
    <w:rsid w:val="00065379"/>
    <w:rsid w:val="000673C5"/>
    <w:rsid w:val="00070907"/>
    <w:rsid w:val="000719AB"/>
    <w:rsid w:val="00073852"/>
    <w:rsid w:val="00076670"/>
    <w:rsid w:val="00080B56"/>
    <w:rsid w:val="00080FC7"/>
    <w:rsid w:val="00081D11"/>
    <w:rsid w:val="00083115"/>
    <w:rsid w:val="0008460B"/>
    <w:rsid w:val="0009075B"/>
    <w:rsid w:val="00093645"/>
    <w:rsid w:val="000942B7"/>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1925"/>
    <w:rsid w:val="000E3784"/>
    <w:rsid w:val="000E37E0"/>
    <w:rsid w:val="000E47A0"/>
    <w:rsid w:val="000E597F"/>
    <w:rsid w:val="000E5BFC"/>
    <w:rsid w:val="000E5D71"/>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5135"/>
    <w:rsid w:val="00137694"/>
    <w:rsid w:val="00141EAC"/>
    <w:rsid w:val="00143652"/>
    <w:rsid w:val="0014627C"/>
    <w:rsid w:val="0015142E"/>
    <w:rsid w:val="00157C74"/>
    <w:rsid w:val="00157D8E"/>
    <w:rsid w:val="00161678"/>
    <w:rsid w:val="00161D71"/>
    <w:rsid w:val="00162805"/>
    <w:rsid w:val="00165014"/>
    <w:rsid w:val="001669D4"/>
    <w:rsid w:val="0017180F"/>
    <w:rsid w:val="001733C3"/>
    <w:rsid w:val="00173BFF"/>
    <w:rsid w:val="00174749"/>
    <w:rsid w:val="00174FCA"/>
    <w:rsid w:val="00175AFB"/>
    <w:rsid w:val="00176F12"/>
    <w:rsid w:val="001770BE"/>
    <w:rsid w:val="00177A3E"/>
    <w:rsid w:val="00183E4B"/>
    <w:rsid w:val="00186BF0"/>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181C"/>
    <w:rsid w:val="002231A4"/>
    <w:rsid w:val="00223245"/>
    <w:rsid w:val="002235CA"/>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349C"/>
    <w:rsid w:val="002745E7"/>
    <w:rsid w:val="002760AC"/>
    <w:rsid w:val="00276E33"/>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449"/>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1550"/>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66"/>
    <w:rsid w:val="003A6B72"/>
    <w:rsid w:val="003B020F"/>
    <w:rsid w:val="003B3917"/>
    <w:rsid w:val="003B41D9"/>
    <w:rsid w:val="003B4356"/>
    <w:rsid w:val="003B5422"/>
    <w:rsid w:val="003B643A"/>
    <w:rsid w:val="003B7293"/>
    <w:rsid w:val="003B7D7E"/>
    <w:rsid w:val="003C0EF3"/>
    <w:rsid w:val="003C53B2"/>
    <w:rsid w:val="003C6422"/>
    <w:rsid w:val="003C6C9A"/>
    <w:rsid w:val="003D6961"/>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E0517"/>
    <w:rsid w:val="004E0C12"/>
    <w:rsid w:val="004E13F0"/>
    <w:rsid w:val="004E4854"/>
    <w:rsid w:val="004E5FCE"/>
    <w:rsid w:val="004F036B"/>
    <w:rsid w:val="004F052D"/>
    <w:rsid w:val="004F0E54"/>
    <w:rsid w:val="004F7B7E"/>
    <w:rsid w:val="00500138"/>
    <w:rsid w:val="00501785"/>
    <w:rsid w:val="00503724"/>
    <w:rsid w:val="00504E3C"/>
    <w:rsid w:val="00507AD5"/>
    <w:rsid w:val="00513F7C"/>
    <w:rsid w:val="005149B8"/>
    <w:rsid w:val="005168FA"/>
    <w:rsid w:val="005175C0"/>
    <w:rsid w:val="00520001"/>
    <w:rsid w:val="00521717"/>
    <w:rsid w:val="0052391C"/>
    <w:rsid w:val="0052393A"/>
    <w:rsid w:val="00523EB0"/>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EC"/>
    <w:rsid w:val="00586FF5"/>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0597"/>
    <w:rsid w:val="00612A91"/>
    <w:rsid w:val="00615BD4"/>
    <w:rsid w:val="006176D9"/>
    <w:rsid w:val="0062063C"/>
    <w:rsid w:val="00621EEA"/>
    <w:rsid w:val="00622049"/>
    <w:rsid w:val="006267AC"/>
    <w:rsid w:val="006275F8"/>
    <w:rsid w:val="00630C8F"/>
    <w:rsid w:val="0063126C"/>
    <w:rsid w:val="006321D9"/>
    <w:rsid w:val="00635ACD"/>
    <w:rsid w:val="00645991"/>
    <w:rsid w:val="00645F9B"/>
    <w:rsid w:val="006462F4"/>
    <w:rsid w:val="00646C7B"/>
    <w:rsid w:val="00653EEF"/>
    <w:rsid w:val="00656DB1"/>
    <w:rsid w:val="0065706C"/>
    <w:rsid w:val="006570F3"/>
    <w:rsid w:val="006574CA"/>
    <w:rsid w:val="00661709"/>
    <w:rsid w:val="00663087"/>
    <w:rsid w:val="00666E6E"/>
    <w:rsid w:val="00667926"/>
    <w:rsid w:val="00672A07"/>
    <w:rsid w:val="00672A3D"/>
    <w:rsid w:val="00673284"/>
    <w:rsid w:val="00673C56"/>
    <w:rsid w:val="00674E3C"/>
    <w:rsid w:val="00684218"/>
    <w:rsid w:val="00684A17"/>
    <w:rsid w:val="0068548A"/>
    <w:rsid w:val="00686ACA"/>
    <w:rsid w:val="006904AF"/>
    <w:rsid w:val="006911F9"/>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0CE9"/>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63E1"/>
    <w:rsid w:val="007910D3"/>
    <w:rsid w:val="0079336E"/>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547E"/>
    <w:rsid w:val="0081653B"/>
    <w:rsid w:val="00821DF6"/>
    <w:rsid w:val="00823CCC"/>
    <w:rsid w:val="00827179"/>
    <w:rsid w:val="0083029A"/>
    <w:rsid w:val="00830426"/>
    <w:rsid w:val="00830E02"/>
    <w:rsid w:val="00831C83"/>
    <w:rsid w:val="00831E0A"/>
    <w:rsid w:val="008322BB"/>
    <w:rsid w:val="008343C4"/>
    <w:rsid w:val="00835847"/>
    <w:rsid w:val="00835C6F"/>
    <w:rsid w:val="00837429"/>
    <w:rsid w:val="0083745B"/>
    <w:rsid w:val="00840252"/>
    <w:rsid w:val="00840420"/>
    <w:rsid w:val="00842DE3"/>
    <w:rsid w:val="00844F5E"/>
    <w:rsid w:val="00846701"/>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189B"/>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0C60"/>
    <w:rsid w:val="008E1010"/>
    <w:rsid w:val="008E2C2E"/>
    <w:rsid w:val="008E72A8"/>
    <w:rsid w:val="008F0627"/>
    <w:rsid w:val="008F1FF1"/>
    <w:rsid w:val="008F2498"/>
    <w:rsid w:val="008F41FB"/>
    <w:rsid w:val="008F4B49"/>
    <w:rsid w:val="008F5977"/>
    <w:rsid w:val="008F5C9B"/>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503F"/>
    <w:rsid w:val="00936E93"/>
    <w:rsid w:val="00937FDA"/>
    <w:rsid w:val="00947632"/>
    <w:rsid w:val="0094786C"/>
    <w:rsid w:val="00947B9F"/>
    <w:rsid w:val="00947FB4"/>
    <w:rsid w:val="00952D2F"/>
    <w:rsid w:val="00952D60"/>
    <w:rsid w:val="00952E44"/>
    <w:rsid w:val="00953D9C"/>
    <w:rsid w:val="00955447"/>
    <w:rsid w:val="00955A17"/>
    <w:rsid w:val="00957C50"/>
    <w:rsid w:val="00960E12"/>
    <w:rsid w:val="0096331F"/>
    <w:rsid w:val="00963914"/>
    <w:rsid w:val="00963A90"/>
    <w:rsid w:val="009729D8"/>
    <w:rsid w:val="0097453F"/>
    <w:rsid w:val="00974577"/>
    <w:rsid w:val="00975045"/>
    <w:rsid w:val="00975D66"/>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A4"/>
    <w:rsid w:val="009C11B1"/>
    <w:rsid w:val="009C1722"/>
    <w:rsid w:val="009C6235"/>
    <w:rsid w:val="009C6E76"/>
    <w:rsid w:val="009D00B8"/>
    <w:rsid w:val="009D3E42"/>
    <w:rsid w:val="009D682E"/>
    <w:rsid w:val="009E40F9"/>
    <w:rsid w:val="009E5844"/>
    <w:rsid w:val="009E653F"/>
    <w:rsid w:val="009E7C9A"/>
    <w:rsid w:val="009F4C6D"/>
    <w:rsid w:val="009F5062"/>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44D"/>
    <w:rsid w:val="00A62660"/>
    <w:rsid w:val="00A62D2C"/>
    <w:rsid w:val="00A64D6A"/>
    <w:rsid w:val="00A66A0F"/>
    <w:rsid w:val="00A67FB0"/>
    <w:rsid w:val="00A700BE"/>
    <w:rsid w:val="00A7038D"/>
    <w:rsid w:val="00A73440"/>
    <w:rsid w:val="00A75908"/>
    <w:rsid w:val="00A75D01"/>
    <w:rsid w:val="00A76B01"/>
    <w:rsid w:val="00A813D7"/>
    <w:rsid w:val="00A83AD0"/>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0BD6"/>
    <w:rsid w:val="00B02305"/>
    <w:rsid w:val="00B02E23"/>
    <w:rsid w:val="00B060D5"/>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6918"/>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CDD"/>
    <w:rsid w:val="00B95E2C"/>
    <w:rsid w:val="00BA2C17"/>
    <w:rsid w:val="00BA40F3"/>
    <w:rsid w:val="00BA5F6B"/>
    <w:rsid w:val="00BA6BD0"/>
    <w:rsid w:val="00BB0589"/>
    <w:rsid w:val="00BB1AF8"/>
    <w:rsid w:val="00BB2E2A"/>
    <w:rsid w:val="00BB4B39"/>
    <w:rsid w:val="00BC3515"/>
    <w:rsid w:val="00BC3A1F"/>
    <w:rsid w:val="00BC59C2"/>
    <w:rsid w:val="00BD02CC"/>
    <w:rsid w:val="00BD22C7"/>
    <w:rsid w:val="00BD277B"/>
    <w:rsid w:val="00BD530D"/>
    <w:rsid w:val="00BE205B"/>
    <w:rsid w:val="00BE264E"/>
    <w:rsid w:val="00BE4E80"/>
    <w:rsid w:val="00BE68B4"/>
    <w:rsid w:val="00C029B6"/>
    <w:rsid w:val="00C03B0F"/>
    <w:rsid w:val="00C03E68"/>
    <w:rsid w:val="00C05139"/>
    <w:rsid w:val="00C11035"/>
    <w:rsid w:val="00C124B7"/>
    <w:rsid w:val="00C16AB3"/>
    <w:rsid w:val="00C17224"/>
    <w:rsid w:val="00C17685"/>
    <w:rsid w:val="00C20CBD"/>
    <w:rsid w:val="00C223A5"/>
    <w:rsid w:val="00C23A93"/>
    <w:rsid w:val="00C23BCF"/>
    <w:rsid w:val="00C2546E"/>
    <w:rsid w:val="00C2648A"/>
    <w:rsid w:val="00C2711D"/>
    <w:rsid w:val="00C275B4"/>
    <w:rsid w:val="00C30909"/>
    <w:rsid w:val="00C310A0"/>
    <w:rsid w:val="00C351DB"/>
    <w:rsid w:val="00C36A88"/>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1C98"/>
    <w:rsid w:val="00C9219D"/>
    <w:rsid w:val="00C923D5"/>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6D2A"/>
    <w:rsid w:val="00CE70E4"/>
    <w:rsid w:val="00CF0889"/>
    <w:rsid w:val="00CF2156"/>
    <w:rsid w:val="00CF41C5"/>
    <w:rsid w:val="00CF4D7B"/>
    <w:rsid w:val="00CF5500"/>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4FF0"/>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607"/>
    <w:rsid w:val="00D72C4E"/>
    <w:rsid w:val="00D7438A"/>
    <w:rsid w:val="00D756CA"/>
    <w:rsid w:val="00D77713"/>
    <w:rsid w:val="00D7798A"/>
    <w:rsid w:val="00D8307B"/>
    <w:rsid w:val="00D8327C"/>
    <w:rsid w:val="00D836F7"/>
    <w:rsid w:val="00D84645"/>
    <w:rsid w:val="00D864F8"/>
    <w:rsid w:val="00D879A3"/>
    <w:rsid w:val="00D9012D"/>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50F94"/>
    <w:rsid w:val="00E528C9"/>
    <w:rsid w:val="00E5462E"/>
    <w:rsid w:val="00E56518"/>
    <w:rsid w:val="00E62AD0"/>
    <w:rsid w:val="00E65605"/>
    <w:rsid w:val="00E65AFF"/>
    <w:rsid w:val="00E6767D"/>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7916"/>
    <w:rsid w:val="00EF1C6E"/>
    <w:rsid w:val="00EF2C80"/>
    <w:rsid w:val="00EF4D3B"/>
    <w:rsid w:val="00EF6A34"/>
    <w:rsid w:val="00EF7579"/>
    <w:rsid w:val="00EF7950"/>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DF"/>
    <w:rsid w:val="00F50CE7"/>
    <w:rsid w:val="00F51438"/>
    <w:rsid w:val="00F52A8D"/>
    <w:rsid w:val="00F5301A"/>
    <w:rsid w:val="00F549E7"/>
    <w:rsid w:val="00F5550D"/>
    <w:rsid w:val="00F618BB"/>
    <w:rsid w:val="00F6302F"/>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03164E"/>
    <w:rsid w:val="010C3E21"/>
    <w:rsid w:val="01101675"/>
    <w:rsid w:val="011473B7"/>
    <w:rsid w:val="01167762"/>
    <w:rsid w:val="011B6997"/>
    <w:rsid w:val="011E6883"/>
    <w:rsid w:val="01284C10"/>
    <w:rsid w:val="012E3330"/>
    <w:rsid w:val="013637D1"/>
    <w:rsid w:val="01395070"/>
    <w:rsid w:val="013F4829"/>
    <w:rsid w:val="014632E9"/>
    <w:rsid w:val="014A102B"/>
    <w:rsid w:val="014B08FF"/>
    <w:rsid w:val="01514167"/>
    <w:rsid w:val="01541EA9"/>
    <w:rsid w:val="01543C57"/>
    <w:rsid w:val="01545A05"/>
    <w:rsid w:val="0156352C"/>
    <w:rsid w:val="01592D24"/>
    <w:rsid w:val="015B3238"/>
    <w:rsid w:val="015B4FE6"/>
    <w:rsid w:val="016025FC"/>
    <w:rsid w:val="01633E9B"/>
    <w:rsid w:val="016A347B"/>
    <w:rsid w:val="017240DE"/>
    <w:rsid w:val="01761E20"/>
    <w:rsid w:val="01775986"/>
    <w:rsid w:val="01785B98"/>
    <w:rsid w:val="0179129D"/>
    <w:rsid w:val="018067FB"/>
    <w:rsid w:val="01822573"/>
    <w:rsid w:val="01825D39"/>
    <w:rsid w:val="01826A17"/>
    <w:rsid w:val="018372BC"/>
    <w:rsid w:val="0187402D"/>
    <w:rsid w:val="018A58CB"/>
    <w:rsid w:val="018D025D"/>
    <w:rsid w:val="018E7ABF"/>
    <w:rsid w:val="018F2EE2"/>
    <w:rsid w:val="018F6A3E"/>
    <w:rsid w:val="01910A08"/>
    <w:rsid w:val="019404F8"/>
    <w:rsid w:val="0198796C"/>
    <w:rsid w:val="01995B0E"/>
    <w:rsid w:val="019A5F8D"/>
    <w:rsid w:val="019B3634"/>
    <w:rsid w:val="019D55FE"/>
    <w:rsid w:val="019D73AC"/>
    <w:rsid w:val="019E3125"/>
    <w:rsid w:val="01AD6E7F"/>
    <w:rsid w:val="01AE15BA"/>
    <w:rsid w:val="01AF5332"/>
    <w:rsid w:val="01B110AA"/>
    <w:rsid w:val="01B464A4"/>
    <w:rsid w:val="01BD17FD"/>
    <w:rsid w:val="01BE7323"/>
    <w:rsid w:val="01C133B8"/>
    <w:rsid w:val="01C40DDD"/>
    <w:rsid w:val="01C456AC"/>
    <w:rsid w:val="01CC1A40"/>
    <w:rsid w:val="01D134FA"/>
    <w:rsid w:val="01D152A8"/>
    <w:rsid w:val="01DB1C83"/>
    <w:rsid w:val="01DD3C4D"/>
    <w:rsid w:val="01E07299"/>
    <w:rsid w:val="01F40F97"/>
    <w:rsid w:val="01F80A87"/>
    <w:rsid w:val="01FA47FF"/>
    <w:rsid w:val="020F2171"/>
    <w:rsid w:val="02145195"/>
    <w:rsid w:val="0219496B"/>
    <w:rsid w:val="021F7DC1"/>
    <w:rsid w:val="022C24DE"/>
    <w:rsid w:val="022E26FA"/>
    <w:rsid w:val="02315D47"/>
    <w:rsid w:val="02331ABF"/>
    <w:rsid w:val="0233386D"/>
    <w:rsid w:val="024261A6"/>
    <w:rsid w:val="02510197"/>
    <w:rsid w:val="025238EF"/>
    <w:rsid w:val="02555ED9"/>
    <w:rsid w:val="025739FF"/>
    <w:rsid w:val="025D4D8E"/>
    <w:rsid w:val="025D6B3C"/>
    <w:rsid w:val="0264611C"/>
    <w:rsid w:val="02693733"/>
    <w:rsid w:val="02725307"/>
    <w:rsid w:val="0281282A"/>
    <w:rsid w:val="02906F11"/>
    <w:rsid w:val="02935B81"/>
    <w:rsid w:val="02954528"/>
    <w:rsid w:val="029A1B3E"/>
    <w:rsid w:val="029A7D90"/>
    <w:rsid w:val="029B70E4"/>
    <w:rsid w:val="02A3645B"/>
    <w:rsid w:val="02AE1145"/>
    <w:rsid w:val="02B0310F"/>
    <w:rsid w:val="02B20C36"/>
    <w:rsid w:val="02B40E52"/>
    <w:rsid w:val="02B71B0E"/>
    <w:rsid w:val="02BA21E0"/>
    <w:rsid w:val="02BC3862"/>
    <w:rsid w:val="02BC7D06"/>
    <w:rsid w:val="02BE582C"/>
    <w:rsid w:val="02BF64DF"/>
    <w:rsid w:val="02C10E79"/>
    <w:rsid w:val="02C1356F"/>
    <w:rsid w:val="02CE17E8"/>
    <w:rsid w:val="02D212D8"/>
    <w:rsid w:val="02D45050"/>
    <w:rsid w:val="02DA1F3A"/>
    <w:rsid w:val="02DC5A07"/>
    <w:rsid w:val="02DF57A3"/>
    <w:rsid w:val="02E37041"/>
    <w:rsid w:val="02EB64A7"/>
    <w:rsid w:val="02ED4364"/>
    <w:rsid w:val="02EF1E8A"/>
    <w:rsid w:val="02F6716B"/>
    <w:rsid w:val="02F778BD"/>
    <w:rsid w:val="02FE3E7B"/>
    <w:rsid w:val="03011BBD"/>
    <w:rsid w:val="0308368E"/>
    <w:rsid w:val="030A6CC4"/>
    <w:rsid w:val="030D0562"/>
    <w:rsid w:val="030D40BE"/>
    <w:rsid w:val="03121468"/>
    <w:rsid w:val="0316433C"/>
    <w:rsid w:val="03195159"/>
    <w:rsid w:val="03196F07"/>
    <w:rsid w:val="031C2553"/>
    <w:rsid w:val="0324226E"/>
    <w:rsid w:val="03280EF8"/>
    <w:rsid w:val="032A1D61"/>
    <w:rsid w:val="032D650E"/>
    <w:rsid w:val="03354231"/>
    <w:rsid w:val="033B35FB"/>
    <w:rsid w:val="033C2BF5"/>
    <w:rsid w:val="03411FB9"/>
    <w:rsid w:val="034B4BE6"/>
    <w:rsid w:val="034D08F3"/>
    <w:rsid w:val="03511AD9"/>
    <w:rsid w:val="035148F2"/>
    <w:rsid w:val="03525F75"/>
    <w:rsid w:val="035717DD"/>
    <w:rsid w:val="035F2367"/>
    <w:rsid w:val="03655CA8"/>
    <w:rsid w:val="036F6B27"/>
    <w:rsid w:val="037759DB"/>
    <w:rsid w:val="037979A5"/>
    <w:rsid w:val="03802AE2"/>
    <w:rsid w:val="03822C68"/>
    <w:rsid w:val="0388408C"/>
    <w:rsid w:val="0394658D"/>
    <w:rsid w:val="039C5442"/>
    <w:rsid w:val="039F2BBC"/>
    <w:rsid w:val="03B17C92"/>
    <w:rsid w:val="03B44E81"/>
    <w:rsid w:val="03B60BF9"/>
    <w:rsid w:val="03B75CC0"/>
    <w:rsid w:val="03B95FF4"/>
    <w:rsid w:val="03C01FEA"/>
    <w:rsid w:val="03C2759E"/>
    <w:rsid w:val="03C30C20"/>
    <w:rsid w:val="03C85AA2"/>
    <w:rsid w:val="03C9092D"/>
    <w:rsid w:val="03D66BA6"/>
    <w:rsid w:val="03D96AC5"/>
    <w:rsid w:val="03DB240E"/>
    <w:rsid w:val="03DE2CFF"/>
    <w:rsid w:val="03E219EE"/>
    <w:rsid w:val="03E312C3"/>
    <w:rsid w:val="03E5328D"/>
    <w:rsid w:val="03F217C1"/>
    <w:rsid w:val="03F4702C"/>
    <w:rsid w:val="03F67248"/>
    <w:rsid w:val="03FA6D38"/>
    <w:rsid w:val="03FF434E"/>
    <w:rsid w:val="040354C1"/>
    <w:rsid w:val="04043713"/>
    <w:rsid w:val="04051239"/>
    <w:rsid w:val="0408409C"/>
    <w:rsid w:val="04117BDE"/>
    <w:rsid w:val="04133956"/>
    <w:rsid w:val="04172F62"/>
    <w:rsid w:val="04180F6C"/>
    <w:rsid w:val="04194CE4"/>
    <w:rsid w:val="041A1188"/>
    <w:rsid w:val="041D47A4"/>
    <w:rsid w:val="041F054D"/>
    <w:rsid w:val="04221DEB"/>
    <w:rsid w:val="04247911"/>
    <w:rsid w:val="042518DB"/>
    <w:rsid w:val="042713D5"/>
    <w:rsid w:val="04275653"/>
    <w:rsid w:val="04277401"/>
    <w:rsid w:val="042913CB"/>
    <w:rsid w:val="04293179"/>
    <w:rsid w:val="042D7C0E"/>
    <w:rsid w:val="0431202E"/>
    <w:rsid w:val="043438CC"/>
    <w:rsid w:val="04461F7D"/>
    <w:rsid w:val="04477AA3"/>
    <w:rsid w:val="044B1342"/>
    <w:rsid w:val="044C6E68"/>
    <w:rsid w:val="045F303F"/>
    <w:rsid w:val="04602913"/>
    <w:rsid w:val="046643CE"/>
    <w:rsid w:val="04671EF4"/>
    <w:rsid w:val="04674E6C"/>
    <w:rsid w:val="04700DA8"/>
    <w:rsid w:val="04706FFA"/>
    <w:rsid w:val="0475016D"/>
    <w:rsid w:val="04762137"/>
    <w:rsid w:val="047A5783"/>
    <w:rsid w:val="04826D2E"/>
    <w:rsid w:val="04877EA0"/>
    <w:rsid w:val="04900C60"/>
    <w:rsid w:val="049525BD"/>
    <w:rsid w:val="04965593"/>
    <w:rsid w:val="049820AD"/>
    <w:rsid w:val="04992B7E"/>
    <w:rsid w:val="049A5E25"/>
    <w:rsid w:val="049D6ACC"/>
    <w:rsid w:val="04A863DD"/>
    <w:rsid w:val="04A86794"/>
    <w:rsid w:val="04BA0275"/>
    <w:rsid w:val="04D05CEB"/>
    <w:rsid w:val="04D550AF"/>
    <w:rsid w:val="04ED26DD"/>
    <w:rsid w:val="04F36F01"/>
    <w:rsid w:val="05025778"/>
    <w:rsid w:val="05071955"/>
    <w:rsid w:val="05082565"/>
    <w:rsid w:val="0508379F"/>
    <w:rsid w:val="05087233"/>
    <w:rsid w:val="050B36B6"/>
    <w:rsid w:val="050E236F"/>
    <w:rsid w:val="05123C0E"/>
    <w:rsid w:val="05137986"/>
    <w:rsid w:val="051E25B2"/>
    <w:rsid w:val="051E3875"/>
    <w:rsid w:val="051F457C"/>
    <w:rsid w:val="052027CE"/>
    <w:rsid w:val="05281683"/>
    <w:rsid w:val="052851DF"/>
    <w:rsid w:val="052B1173"/>
    <w:rsid w:val="0532605E"/>
    <w:rsid w:val="0533125B"/>
    <w:rsid w:val="053E601B"/>
    <w:rsid w:val="053F68D2"/>
    <w:rsid w:val="05410997"/>
    <w:rsid w:val="05432019"/>
    <w:rsid w:val="05485881"/>
    <w:rsid w:val="0548762F"/>
    <w:rsid w:val="054F4EE9"/>
    <w:rsid w:val="055373A5"/>
    <w:rsid w:val="05551D4C"/>
    <w:rsid w:val="05575AC4"/>
    <w:rsid w:val="055E50A5"/>
    <w:rsid w:val="056106F1"/>
    <w:rsid w:val="05614B95"/>
    <w:rsid w:val="05687CD1"/>
    <w:rsid w:val="05706B86"/>
    <w:rsid w:val="05746676"/>
    <w:rsid w:val="058C0013"/>
    <w:rsid w:val="05942874"/>
    <w:rsid w:val="05997B94"/>
    <w:rsid w:val="059B1E55"/>
    <w:rsid w:val="05A70DBE"/>
    <w:rsid w:val="05AA2098"/>
    <w:rsid w:val="05B11678"/>
    <w:rsid w:val="05B178CA"/>
    <w:rsid w:val="05B20F4D"/>
    <w:rsid w:val="05B41169"/>
    <w:rsid w:val="05B9052D"/>
    <w:rsid w:val="05C23886"/>
    <w:rsid w:val="05C50C80"/>
    <w:rsid w:val="05C80770"/>
    <w:rsid w:val="05D37841"/>
    <w:rsid w:val="05DC421B"/>
    <w:rsid w:val="05E82BC0"/>
    <w:rsid w:val="05E9638D"/>
    <w:rsid w:val="05EA6938"/>
    <w:rsid w:val="05F6352F"/>
    <w:rsid w:val="06007F0A"/>
    <w:rsid w:val="060914B4"/>
    <w:rsid w:val="060C68AF"/>
    <w:rsid w:val="06112117"/>
    <w:rsid w:val="061121E6"/>
    <w:rsid w:val="061F2A86"/>
    <w:rsid w:val="0624009C"/>
    <w:rsid w:val="06250AAB"/>
    <w:rsid w:val="06257970"/>
    <w:rsid w:val="062E0F1B"/>
    <w:rsid w:val="062F07EF"/>
    <w:rsid w:val="062F259D"/>
    <w:rsid w:val="063302DF"/>
    <w:rsid w:val="063A78C0"/>
    <w:rsid w:val="063F4ED6"/>
    <w:rsid w:val="063F6C84"/>
    <w:rsid w:val="064323A1"/>
    <w:rsid w:val="06450013"/>
    <w:rsid w:val="064A5629"/>
    <w:rsid w:val="064E336B"/>
    <w:rsid w:val="06585F98"/>
    <w:rsid w:val="065D407D"/>
    <w:rsid w:val="066E1317"/>
    <w:rsid w:val="0671705A"/>
    <w:rsid w:val="067D155B"/>
    <w:rsid w:val="06824DC3"/>
    <w:rsid w:val="06910BEE"/>
    <w:rsid w:val="06963AFE"/>
    <w:rsid w:val="069F7723"/>
    <w:rsid w:val="06A27213"/>
    <w:rsid w:val="06A343A0"/>
    <w:rsid w:val="06AB5586"/>
    <w:rsid w:val="06B64308"/>
    <w:rsid w:val="06BE6A51"/>
    <w:rsid w:val="06C278B5"/>
    <w:rsid w:val="06C60CA2"/>
    <w:rsid w:val="06C90C44"/>
    <w:rsid w:val="06CB44B7"/>
    <w:rsid w:val="06CF5125"/>
    <w:rsid w:val="06DA69AD"/>
    <w:rsid w:val="06DD649D"/>
    <w:rsid w:val="06E23AB3"/>
    <w:rsid w:val="06EB0BBA"/>
    <w:rsid w:val="06EE20B1"/>
    <w:rsid w:val="06FC39FE"/>
    <w:rsid w:val="070215A3"/>
    <w:rsid w:val="07034156"/>
    <w:rsid w:val="071874D5"/>
    <w:rsid w:val="071A4FFB"/>
    <w:rsid w:val="071C5217"/>
    <w:rsid w:val="07261BF2"/>
    <w:rsid w:val="07287718"/>
    <w:rsid w:val="072B545A"/>
    <w:rsid w:val="072D4D2F"/>
    <w:rsid w:val="07322F04"/>
    <w:rsid w:val="07342561"/>
    <w:rsid w:val="07347581"/>
    <w:rsid w:val="073A744C"/>
    <w:rsid w:val="073E6F3C"/>
    <w:rsid w:val="073F4A62"/>
    <w:rsid w:val="074327A4"/>
    <w:rsid w:val="07481B68"/>
    <w:rsid w:val="074A1D85"/>
    <w:rsid w:val="074F4C03"/>
    <w:rsid w:val="075A189C"/>
    <w:rsid w:val="075A7AEE"/>
    <w:rsid w:val="075B63E2"/>
    <w:rsid w:val="075D28A2"/>
    <w:rsid w:val="075E313A"/>
    <w:rsid w:val="07626558"/>
    <w:rsid w:val="076C043D"/>
    <w:rsid w:val="076D7821"/>
    <w:rsid w:val="077216DE"/>
    <w:rsid w:val="07723089"/>
    <w:rsid w:val="07740BAF"/>
    <w:rsid w:val="077741FC"/>
    <w:rsid w:val="077E558A"/>
    <w:rsid w:val="07866B35"/>
    <w:rsid w:val="0797489E"/>
    <w:rsid w:val="07990616"/>
    <w:rsid w:val="07B134A9"/>
    <w:rsid w:val="07B1625B"/>
    <w:rsid w:val="07B23486"/>
    <w:rsid w:val="07B516BC"/>
    <w:rsid w:val="07B74F40"/>
    <w:rsid w:val="07BB67DE"/>
    <w:rsid w:val="07C03DF5"/>
    <w:rsid w:val="07C05BA3"/>
    <w:rsid w:val="07C733D5"/>
    <w:rsid w:val="07CA07CF"/>
    <w:rsid w:val="07CD02C0"/>
    <w:rsid w:val="07D23B28"/>
    <w:rsid w:val="07D72EEC"/>
    <w:rsid w:val="07D93108"/>
    <w:rsid w:val="07D96E9C"/>
    <w:rsid w:val="07DB401C"/>
    <w:rsid w:val="07DC0503"/>
    <w:rsid w:val="07DF7E70"/>
    <w:rsid w:val="07E01DA1"/>
    <w:rsid w:val="07E07FF3"/>
    <w:rsid w:val="07E31891"/>
    <w:rsid w:val="07E5385B"/>
    <w:rsid w:val="07EC2E3C"/>
    <w:rsid w:val="07EC6998"/>
    <w:rsid w:val="07F414F5"/>
    <w:rsid w:val="07F43A9E"/>
    <w:rsid w:val="07F615C4"/>
    <w:rsid w:val="07F910B5"/>
    <w:rsid w:val="07FB307F"/>
    <w:rsid w:val="080A32C2"/>
    <w:rsid w:val="080A5070"/>
    <w:rsid w:val="080F2686"/>
    <w:rsid w:val="08114650"/>
    <w:rsid w:val="081303C8"/>
    <w:rsid w:val="081859DF"/>
    <w:rsid w:val="081C4DA3"/>
    <w:rsid w:val="0822060B"/>
    <w:rsid w:val="0825634E"/>
    <w:rsid w:val="082A6064"/>
    <w:rsid w:val="082D0D5E"/>
    <w:rsid w:val="082F2D28"/>
    <w:rsid w:val="082F4AD6"/>
    <w:rsid w:val="083420ED"/>
    <w:rsid w:val="08346591"/>
    <w:rsid w:val="08362309"/>
    <w:rsid w:val="08362BC8"/>
    <w:rsid w:val="083E11BD"/>
    <w:rsid w:val="084560A8"/>
    <w:rsid w:val="084E7652"/>
    <w:rsid w:val="08534B88"/>
    <w:rsid w:val="085D7896"/>
    <w:rsid w:val="08634780"/>
    <w:rsid w:val="08640C24"/>
    <w:rsid w:val="087071EE"/>
    <w:rsid w:val="08713341"/>
    <w:rsid w:val="08730E67"/>
    <w:rsid w:val="087573C0"/>
    <w:rsid w:val="087F5A5E"/>
    <w:rsid w:val="088E3EF3"/>
    <w:rsid w:val="08955281"/>
    <w:rsid w:val="089963F4"/>
    <w:rsid w:val="089D4136"/>
    <w:rsid w:val="08A2799E"/>
    <w:rsid w:val="08A52FEB"/>
    <w:rsid w:val="08B35707"/>
    <w:rsid w:val="08B5322E"/>
    <w:rsid w:val="08B84ACC"/>
    <w:rsid w:val="08C47915"/>
    <w:rsid w:val="08C571E9"/>
    <w:rsid w:val="08C90A87"/>
    <w:rsid w:val="08CE2541"/>
    <w:rsid w:val="08CE78BD"/>
    <w:rsid w:val="08D00067"/>
    <w:rsid w:val="08D31906"/>
    <w:rsid w:val="08D5567E"/>
    <w:rsid w:val="08D613F6"/>
    <w:rsid w:val="08DB6A0C"/>
    <w:rsid w:val="08E43B13"/>
    <w:rsid w:val="08E753B1"/>
    <w:rsid w:val="08E91129"/>
    <w:rsid w:val="08ED38E2"/>
    <w:rsid w:val="08F0070A"/>
    <w:rsid w:val="08F062C2"/>
    <w:rsid w:val="08F33D56"/>
    <w:rsid w:val="090146C5"/>
    <w:rsid w:val="09016473"/>
    <w:rsid w:val="090715AF"/>
    <w:rsid w:val="09077801"/>
    <w:rsid w:val="09081D34"/>
    <w:rsid w:val="090B19E1"/>
    <w:rsid w:val="0910646C"/>
    <w:rsid w:val="09137F54"/>
    <w:rsid w:val="09151F1E"/>
    <w:rsid w:val="09175C96"/>
    <w:rsid w:val="09185B72"/>
    <w:rsid w:val="0922463B"/>
    <w:rsid w:val="09297778"/>
    <w:rsid w:val="092B34F0"/>
    <w:rsid w:val="093A1985"/>
    <w:rsid w:val="093C74AB"/>
    <w:rsid w:val="09410F65"/>
    <w:rsid w:val="09436A8B"/>
    <w:rsid w:val="09491A2C"/>
    <w:rsid w:val="094C3466"/>
    <w:rsid w:val="094E71DE"/>
    <w:rsid w:val="09510A7C"/>
    <w:rsid w:val="095A3DD5"/>
    <w:rsid w:val="0960548E"/>
    <w:rsid w:val="096802A0"/>
    <w:rsid w:val="096D3B08"/>
    <w:rsid w:val="096E0694"/>
    <w:rsid w:val="0970184A"/>
    <w:rsid w:val="097053A7"/>
    <w:rsid w:val="09726D61"/>
    <w:rsid w:val="09727371"/>
    <w:rsid w:val="09764484"/>
    <w:rsid w:val="09772BD9"/>
    <w:rsid w:val="097A6225"/>
    <w:rsid w:val="097D3E59"/>
    <w:rsid w:val="09815806"/>
    <w:rsid w:val="09834B42"/>
    <w:rsid w:val="098E3A7F"/>
    <w:rsid w:val="099739D0"/>
    <w:rsid w:val="099866AB"/>
    <w:rsid w:val="099E0166"/>
    <w:rsid w:val="09A60DC8"/>
    <w:rsid w:val="09AC6517"/>
    <w:rsid w:val="09AF4121"/>
    <w:rsid w:val="09B259BF"/>
    <w:rsid w:val="09B42F1C"/>
    <w:rsid w:val="09C35E1E"/>
    <w:rsid w:val="09C53944"/>
    <w:rsid w:val="09C6146A"/>
    <w:rsid w:val="09C83435"/>
    <w:rsid w:val="09C95AF0"/>
    <w:rsid w:val="09CA0F5B"/>
    <w:rsid w:val="09CF6571"/>
    <w:rsid w:val="09D174B9"/>
    <w:rsid w:val="09D73678"/>
    <w:rsid w:val="09D9119E"/>
    <w:rsid w:val="09DC47EA"/>
    <w:rsid w:val="09E15530"/>
    <w:rsid w:val="09E55D95"/>
    <w:rsid w:val="09EC7123"/>
    <w:rsid w:val="09F47D86"/>
    <w:rsid w:val="09F9539C"/>
    <w:rsid w:val="09FB2800"/>
    <w:rsid w:val="09FD121A"/>
    <w:rsid w:val="0A03446D"/>
    <w:rsid w:val="0A037FC9"/>
    <w:rsid w:val="0A0F2E11"/>
    <w:rsid w:val="0A0F4BBF"/>
    <w:rsid w:val="0A123C5E"/>
    <w:rsid w:val="0A171CC6"/>
    <w:rsid w:val="0A195A3E"/>
    <w:rsid w:val="0A1B17B6"/>
    <w:rsid w:val="0A1B58FF"/>
    <w:rsid w:val="0A256191"/>
    <w:rsid w:val="0A2C5771"/>
    <w:rsid w:val="0A312D88"/>
    <w:rsid w:val="0A40121D"/>
    <w:rsid w:val="0A40746F"/>
    <w:rsid w:val="0A432ABB"/>
    <w:rsid w:val="0A456833"/>
    <w:rsid w:val="0A4A3E4A"/>
    <w:rsid w:val="0A51342A"/>
    <w:rsid w:val="0A5151D8"/>
    <w:rsid w:val="0A516F86"/>
    <w:rsid w:val="0A576F02"/>
    <w:rsid w:val="0A590531"/>
    <w:rsid w:val="0A5B6057"/>
    <w:rsid w:val="0A5D1DCF"/>
    <w:rsid w:val="0A5D206A"/>
    <w:rsid w:val="0A5E7487"/>
    <w:rsid w:val="0A60366D"/>
    <w:rsid w:val="0A634F0B"/>
    <w:rsid w:val="0A690774"/>
    <w:rsid w:val="0A6C2012"/>
    <w:rsid w:val="0A6D7B49"/>
    <w:rsid w:val="0A6F565E"/>
    <w:rsid w:val="0A747118"/>
    <w:rsid w:val="0A7B1045"/>
    <w:rsid w:val="0A821835"/>
    <w:rsid w:val="0A8455AD"/>
    <w:rsid w:val="0A84735B"/>
    <w:rsid w:val="0A8729A8"/>
    <w:rsid w:val="0A8A2498"/>
    <w:rsid w:val="0A8D3D36"/>
    <w:rsid w:val="0A951569"/>
    <w:rsid w:val="0A960E3D"/>
    <w:rsid w:val="0A9B46A5"/>
    <w:rsid w:val="0AA236FF"/>
    <w:rsid w:val="0AA417AC"/>
    <w:rsid w:val="0AA479FE"/>
    <w:rsid w:val="0AA51080"/>
    <w:rsid w:val="0AAE6F90"/>
    <w:rsid w:val="0AB45767"/>
    <w:rsid w:val="0AB86F14"/>
    <w:rsid w:val="0ABF65E6"/>
    <w:rsid w:val="0AC92FC0"/>
    <w:rsid w:val="0AC97464"/>
    <w:rsid w:val="0ACA2CA7"/>
    <w:rsid w:val="0ACC0D02"/>
    <w:rsid w:val="0AD100C7"/>
    <w:rsid w:val="0AD11D45"/>
    <w:rsid w:val="0AD32091"/>
    <w:rsid w:val="0AD656DD"/>
    <w:rsid w:val="0ADB2CF4"/>
    <w:rsid w:val="0ADF0F5E"/>
    <w:rsid w:val="0AE0655C"/>
    <w:rsid w:val="0AE4604C"/>
    <w:rsid w:val="0AE903B8"/>
    <w:rsid w:val="0AF04AB4"/>
    <w:rsid w:val="0AF3003D"/>
    <w:rsid w:val="0AF50259"/>
    <w:rsid w:val="0AF67B2D"/>
    <w:rsid w:val="0AFF2E86"/>
    <w:rsid w:val="0B016BFE"/>
    <w:rsid w:val="0B04049C"/>
    <w:rsid w:val="0B0926BC"/>
    <w:rsid w:val="0B095AB3"/>
    <w:rsid w:val="0B097861"/>
    <w:rsid w:val="0B0B182B"/>
    <w:rsid w:val="0B1701D0"/>
    <w:rsid w:val="0B1873A5"/>
    <w:rsid w:val="0B1A6CF9"/>
    <w:rsid w:val="0B1B1342"/>
    <w:rsid w:val="0B256440"/>
    <w:rsid w:val="0B2B77D7"/>
    <w:rsid w:val="0B2D6095"/>
    <w:rsid w:val="0B2E376B"/>
    <w:rsid w:val="0B372620"/>
    <w:rsid w:val="0B422D73"/>
    <w:rsid w:val="0B444D3D"/>
    <w:rsid w:val="0B4D1E43"/>
    <w:rsid w:val="0B521208"/>
    <w:rsid w:val="0B5221AF"/>
    <w:rsid w:val="0B5605CC"/>
    <w:rsid w:val="0B5A630E"/>
    <w:rsid w:val="0B5B5EC2"/>
    <w:rsid w:val="0B5C5BE2"/>
    <w:rsid w:val="0B5D7BAD"/>
    <w:rsid w:val="0B5F3925"/>
    <w:rsid w:val="0B633694"/>
    <w:rsid w:val="0B642CE9"/>
    <w:rsid w:val="0B680A2B"/>
    <w:rsid w:val="0B7218AA"/>
    <w:rsid w:val="0B7462A1"/>
    <w:rsid w:val="0B792C38"/>
    <w:rsid w:val="0B7C44D7"/>
    <w:rsid w:val="0B7D1FFD"/>
    <w:rsid w:val="0B7F1F6E"/>
    <w:rsid w:val="0B896BF3"/>
    <w:rsid w:val="0B8B296C"/>
    <w:rsid w:val="0B8D0492"/>
    <w:rsid w:val="0B925AA8"/>
    <w:rsid w:val="0B980BE5"/>
    <w:rsid w:val="0B994743"/>
    <w:rsid w:val="0BA16641"/>
    <w:rsid w:val="0BA47589"/>
    <w:rsid w:val="0BA852CC"/>
    <w:rsid w:val="0BA94BA0"/>
    <w:rsid w:val="0BB05F2E"/>
    <w:rsid w:val="0BB21CA6"/>
    <w:rsid w:val="0BB2614A"/>
    <w:rsid w:val="0BB377CC"/>
    <w:rsid w:val="0BC35C62"/>
    <w:rsid w:val="0BCD2653"/>
    <w:rsid w:val="0BD53BE7"/>
    <w:rsid w:val="0BDE0CED"/>
    <w:rsid w:val="0BDE6F3F"/>
    <w:rsid w:val="0BE1433A"/>
    <w:rsid w:val="0BE95D18"/>
    <w:rsid w:val="0BEB6F66"/>
    <w:rsid w:val="0BEF4CA9"/>
    <w:rsid w:val="0C104C1F"/>
    <w:rsid w:val="0C175FAD"/>
    <w:rsid w:val="0C1A784C"/>
    <w:rsid w:val="0C1B5A9E"/>
    <w:rsid w:val="0C1E10EA"/>
    <w:rsid w:val="0C236700"/>
    <w:rsid w:val="0C261DCE"/>
    <w:rsid w:val="0C2D757F"/>
    <w:rsid w:val="0C386BFE"/>
    <w:rsid w:val="0C3923C8"/>
    <w:rsid w:val="0C3B7EEE"/>
    <w:rsid w:val="0C3D1EB8"/>
    <w:rsid w:val="0C445A9E"/>
    <w:rsid w:val="0C474054"/>
    <w:rsid w:val="0C476893"/>
    <w:rsid w:val="0C4A0131"/>
    <w:rsid w:val="0C4D7C21"/>
    <w:rsid w:val="0C542D5E"/>
    <w:rsid w:val="0C547201"/>
    <w:rsid w:val="0C57284E"/>
    <w:rsid w:val="0C5745FC"/>
    <w:rsid w:val="0C580AA0"/>
    <w:rsid w:val="0C5D60B6"/>
    <w:rsid w:val="0C5E3BDC"/>
    <w:rsid w:val="0C5E598A"/>
    <w:rsid w:val="0C605BA6"/>
    <w:rsid w:val="0C607954"/>
    <w:rsid w:val="0C61547A"/>
    <w:rsid w:val="0C632FA1"/>
    <w:rsid w:val="0C727688"/>
    <w:rsid w:val="0C7962FE"/>
    <w:rsid w:val="0C7E7DDA"/>
    <w:rsid w:val="0C801DA5"/>
    <w:rsid w:val="0C807FF6"/>
    <w:rsid w:val="0C874EE1"/>
    <w:rsid w:val="0C8A677F"/>
    <w:rsid w:val="0C8F023A"/>
    <w:rsid w:val="0CA041F5"/>
    <w:rsid w:val="0CAC6BB6"/>
    <w:rsid w:val="0CAD246E"/>
    <w:rsid w:val="0CAF4438"/>
    <w:rsid w:val="0CB33F28"/>
    <w:rsid w:val="0CB47CA0"/>
    <w:rsid w:val="0CB641E8"/>
    <w:rsid w:val="0CB657C6"/>
    <w:rsid w:val="0CB67574"/>
    <w:rsid w:val="0CBD0903"/>
    <w:rsid w:val="0CBD6B55"/>
    <w:rsid w:val="0CC06645"/>
    <w:rsid w:val="0CC2416B"/>
    <w:rsid w:val="0CC34F37"/>
    <w:rsid w:val="0CC7352F"/>
    <w:rsid w:val="0CCA3020"/>
    <w:rsid w:val="0CD45C4C"/>
    <w:rsid w:val="0CEA1C84"/>
    <w:rsid w:val="0CF27FD7"/>
    <w:rsid w:val="0CF62067"/>
    <w:rsid w:val="0CFD33F5"/>
    <w:rsid w:val="0CFF0F1B"/>
    <w:rsid w:val="0D006A41"/>
    <w:rsid w:val="0D020643"/>
    <w:rsid w:val="0D026C5D"/>
    <w:rsid w:val="0D027920"/>
    <w:rsid w:val="0D062877"/>
    <w:rsid w:val="0D076022"/>
    <w:rsid w:val="0D136775"/>
    <w:rsid w:val="0D1F15BD"/>
    <w:rsid w:val="0D240982"/>
    <w:rsid w:val="0D2564A8"/>
    <w:rsid w:val="0D270472"/>
    <w:rsid w:val="0D2E35AF"/>
    <w:rsid w:val="0D366907"/>
    <w:rsid w:val="0D395874"/>
    <w:rsid w:val="0D3A63F7"/>
    <w:rsid w:val="0D476810"/>
    <w:rsid w:val="0D4E59FF"/>
    <w:rsid w:val="0D505C1B"/>
    <w:rsid w:val="0D6671EC"/>
    <w:rsid w:val="0D7116ED"/>
    <w:rsid w:val="0D782A7C"/>
    <w:rsid w:val="0D784C24"/>
    <w:rsid w:val="0D7A4A46"/>
    <w:rsid w:val="0D7D4536"/>
    <w:rsid w:val="0D814026"/>
    <w:rsid w:val="0D841421"/>
    <w:rsid w:val="0D844E64"/>
    <w:rsid w:val="0D864353"/>
    <w:rsid w:val="0D887163"/>
    <w:rsid w:val="0D8A1F3D"/>
    <w:rsid w:val="0D8B27AF"/>
    <w:rsid w:val="0D950425"/>
    <w:rsid w:val="0D957AD2"/>
    <w:rsid w:val="0D975FF4"/>
    <w:rsid w:val="0D9A2BAA"/>
    <w:rsid w:val="0DA129FB"/>
    <w:rsid w:val="0DA815B3"/>
    <w:rsid w:val="0DA90385"/>
    <w:rsid w:val="0DA9532B"/>
    <w:rsid w:val="0DAE46EF"/>
    <w:rsid w:val="0DAE649D"/>
    <w:rsid w:val="0DB77A48"/>
    <w:rsid w:val="0DB8556E"/>
    <w:rsid w:val="0DBB6D5E"/>
    <w:rsid w:val="0DBC0BBA"/>
    <w:rsid w:val="0DBE0DD6"/>
    <w:rsid w:val="0DC44067"/>
    <w:rsid w:val="0DC45CC1"/>
    <w:rsid w:val="0DC7755F"/>
    <w:rsid w:val="0DC932D7"/>
    <w:rsid w:val="0DCB34F3"/>
    <w:rsid w:val="0DCF792E"/>
    <w:rsid w:val="0DD505F0"/>
    <w:rsid w:val="0DD8176C"/>
    <w:rsid w:val="0DD81E33"/>
    <w:rsid w:val="0DDA3736"/>
    <w:rsid w:val="0DE04A0B"/>
    <w:rsid w:val="0DE574E6"/>
    <w:rsid w:val="0DE85ED6"/>
    <w:rsid w:val="0DEA5E6A"/>
    <w:rsid w:val="0DEB76F2"/>
    <w:rsid w:val="0DEE0F90"/>
    <w:rsid w:val="0DF447F8"/>
    <w:rsid w:val="0DFC18FF"/>
    <w:rsid w:val="0DFC2E62"/>
    <w:rsid w:val="0DFC36FB"/>
    <w:rsid w:val="0DFE7425"/>
    <w:rsid w:val="0DFF319D"/>
    <w:rsid w:val="0E082052"/>
    <w:rsid w:val="0E0C37D7"/>
    <w:rsid w:val="0E0C604A"/>
    <w:rsid w:val="0E0D74C3"/>
    <w:rsid w:val="0E15651D"/>
    <w:rsid w:val="0E1C5AFD"/>
    <w:rsid w:val="0E1F1149"/>
    <w:rsid w:val="0E26072A"/>
    <w:rsid w:val="0E263B19"/>
    <w:rsid w:val="0E2C21E4"/>
    <w:rsid w:val="0E3015A8"/>
    <w:rsid w:val="0E356BBF"/>
    <w:rsid w:val="0E372937"/>
    <w:rsid w:val="0E375F44"/>
    <w:rsid w:val="0E3E7DA6"/>
    <w:rsid w:val="0E415563"/>
    <w:rsid w:val="0E464928"/>
    <w:rsid w:val="0E506DB7"/>
    <w:rsid w:val="0E5559B0"/>
    <w:rsid w:val="0E5B4877"/>
    <w:rsid w:val="0E601E8E"/>
    <w:rsid w:val="0E653000"/>
    <w:rsid w:val="0E6574A4"/>
    <w:rsid w:val="0E6B25E0"/>
    <w:rsid w:val="0E7C3317"/>
    <w:rsid w:val="0E7D2A40"/>
    <w:rsid w:val="0E7E0566"/>
    <w:rsid w:val="0E811E04"/>
    <w:rsid w:val="0E85495D"/>
    <w:rsid w:val="0E9008CD"/>
    <w:rsid w:val="0E910299"/>
    <w:rsid w:val="0E971374"/>
    <w:rsid w:val="0E9B2EC6"/>
    <w:rsid w:val="0E9F65F4"/>
    <w:rsid w:val="0EA76379"/>
    <w:rsid w:val="0EA77ABC"/>
    <w:rsid w:val="0EAB648E"/>
    <w:rsid w:val="0EB2020F"/>
    <w:rsid w:val="0EB37705"/>
    <w:rsid w:val="0EB6385C"/>
    <w:rsid w:val="0EB67D00"/>
    <w:rsid w:val="0EBD108E"/>
    <w:rsid w:val="0EC51CF1"/>
    <w:rsid w:val="0EE02FCE"/>
    <w:rsid w:val="0EE26D46"/>
    <w:rsid w:val="0EE7435D"/>
    <w:rsid w:val="0EE77EB9"/>
    <w:rsid w:val="0EE91E83"/>
    <w:rsid w:val="0EEA1757"/>
    <w:rsid w:val="0EEA5BFB"/>
    <w:rsid w:val="0EEC54CF"/>
    <w:rsid w:val="0EF10D38"/>
    <w:rsid w:val="0EF34E2C"/>
    <w:rsid w:val="0EF44384"/>
    <w:rsid w:val="0EF64C2F"/>
    <w:rsid w:val="0EFC3B45"/>
    <w:rsid w:val="0EFE3455"/>
    <w:rsid w:val="0F011B8B"/>
    <w:rsid w:val="0F0D26CC"/>
    <w:rsid w:val="0F126021"/>
    <w:rsid w:val="0F155CD5"/>
    <w:rsid w:val="0F16254C"/>
    <w:rsid w:val="0F184ADA"/>
    <w:rsid w:val="0F191599"/>
    <w:rsid w:val="0F234C69"/>
    <w:rsid w:val="0F24110D"/>
    <w:rsid w:val="0F247CAD"/>
    <w:rsid w:val="0F25585D"/>
    <w:rsid w:val="0F276507"/>
    <w:rsid w:val="0F29227F"/>
    <w:rsid w:val="0F2C6178"/>
    <w:rsid w:val="0F3330FE"/>
    <w:rsid w:val="0F334EAC"/>
    <w:rsid w:val="0F360E40"/>
    <w:rsid w:val="0F39623B"/>
    <w:rsid w:val="0F3B6457"/>
    <w:rsid w:val="0F44355D"/>
    <w:rsid w:val="0F4470B9"/>
    <w:rsid w:val="0F4B669A"/>
    <w:rsid w:val="0F4C0664"/>
    <w:rsid w:val="0F517A28"/>
    <w:rsid w:val="0F621C35"/>
    <w:rsid w:val="0F655282"/>
    <w:rsid w:val="0F6634D4"/>
    <w:rsid w:val="0F7554C5"/>
    <w:rsid w:val="0F7A0AA7"/>
    <w:rsid w:val="0F7A6F7F"/>
    <w:rsid w:val="0F7F6343"/>
    <w:rsid w:val="0F804919"/>
    <w:rsid w:val="0F84395A"/>
    <w:rsid w:val="0F8442F1"/>
    <w:rsid w:val="0F8E75B2"/>
    <w:rsid w:val="0F9A13CF"/>
    <w:rsid w:val="0F9C5147"/>
    <w:rsid w:val="0FA1669B"/>
    <w:rsid w:val="0FA20284"/>
    <w:rsid w:val="0FC226D4"/>
    <w:rsid w:val="0FC33A40"/>
    <w:rsid w:val="0FD20B69"/>
    <w:rsid w:val="0FD77F2D"/>
    <w:rsid w:val="0FD85A54"/>
    <w:rsid w:val="0FDD12BC"/>
    <w:rsid w:val="0FDF3286"/>
    <w:rsid w:val="0FDF5034"/>
    <w:rsid w:val="0FEE34C9"/>
    <w:rsid w:val="0FFA07FB"/>
    <w:rsid w:val="0FFC3E38"/>
    <w:rsid w:val="100920B1"/>
    <w:rsid w:val="100B407B"/>
    <w:rsid w:val="100E76C7"/>
    <w:rsid w:val="100F5919"/>
    <w:rsid w:val="10142F30"/>
    <w:rsid w:val="101A2510"/>
    <w:rsid w:val="101C0036"/>
    <w:rsid w:val="101E0F8B"/>
    <w:rsid w:val="102962AF"/>
    <w:rsid w:val="10325B95"/>
    <w:rsid w:val="10374E70"/>
    <w:rsid w:val="104906FF"/>
    <w:rsid w:val="104B091B"/>
    <w:rsid w:val="104F5C21"/>
    <w:rsid w:val="10507CE0"/>
    <w:rsid w:val="105C48D7"/>
    <w:rsid w:val="10656D47"/>
    <w:rsid w:val="1066305F"/>
    <w:rsid w:val="106A6FF4"/>
    <w:rsid w:val="107240FA"/>
    <w:rsid w:val="107F4121"/>
    <w:rsid w:val="10802373"/>
    <w:rsid w:val="10806817"/>
    <w:rsid w:val="10817E99"/>
    <w:rsid w:val="109127D2"/>
    <w:rsid w:val="10953945"/>
    <w:rsid w:val="109B53FF"/>
    <w:rsid w:val="109E6C9D"/>
    <w:rsid w:val="109F4BD4"/>
    <w:rsid w:val="10AA3E49"/>
    <w:rsid w:val="10AC760C"/>
    <w:rsid w:val="10B75AD1"/>
    <w:rsid w:val="10B95885"/>
    <w:rsid w:val="10BF0E4F"/>
    <w:rsid w:val="10C009C2"/>
    <w:rsid w:val="10C20BDE"/>
    <w:rsid w:val="10C34956"/>
    <w:rsid w:val="10CA6968"/>
    <w:rsid w:val="10EF538B"/>
    <w:rsid w:val="10F60887"/>
    <w:rsid w:val="10F66AD9"/>
    <w:rsid w:val="10F845FF"/>
    <w:rsid w:val="10FB7C4C"/>
    <w:rsid w:val="11005262"/>
    <w:rsid w:val="11034D52"/>
    <w:rsid w:val="110A4333"/>
    <w:rsid w:val="111164AB"/>
    <w:rsid w:val="111927C8"/>
    <w:rsid w:val="111B209C"/>
    <w:rsid w:val="111D4066"/>
    <w:rsid w:val="111E393A"/>
    <w:rsid w:val="111F7DDE"/>
    <w:rsid w:val="11254CC9"/>
    <w:rsid w:val="112C42A9"/>
    <w:rsid w:val="11312DC0"/>
    <w:rsid w:val="113373E5"/>
    <w:rsid w:val="11366ED6"/>
    <w:rsid w:val="113B1525"/>
    <w:rsid w:val="113B273E"/>
    <w:rsid w:val="113E38EC"/>
    <w:rsid w:val="113F222E"/>
    <w:rsid w:val="11405FA6"/>
    <w:rsid w:val="11423ACC"/>
    <w:rsid w:val="114333A1"/>
    <w:rsid w:val="114701EB"/>
    <w:rsid w:val="11496C09"/>
    <w:rsid w:val="11511F61"/>
    <w:rsid w:val="115455AE"/>
    <w:rsid w:val="116972AB"/>
    <w:rsid w:val="116B3023"/>
    <w:rsid w:val="116F4D23"/>
    <w:rsid w:val="11716160"/>
    <w:rsid w:val="11733C86"/>
    <w:rsid w:val="117619C8"/>
    <w:rsid w:val="117874EE"/>
    <w:rsid w:val="117D2D56"/>
    <w:rsid w:val="11812847"/>
    <w:rsid w:val="11875983"/>
    <w:rsid w:val="118848CF"/>
    <w:rsid w:val="11902A8A"/>
    <w:rsid w:val="119105B0"/>
    <w:rsid w:val="11991213"/>
    <w:rsid w:val="119A56B6"/>
    <w:rsid w:val="119B31DD"/>
    <w:rsid w:val="11A93B4C"/>
    <w:rsid w:val="11AC53EA"/>
    <w:rsid w:val="11B60016"/>
    <w:rsid w:val="11BD13A5"/>
    <w:rsid w:val="11BF511D"/>
    <w:rsid w:val="11C049F1"/>
    <w:rsid w:val="11C10E95"/>
    <w:rsid w:val="11C11380"/>
    <w:rsid w:val="11C269BB"/>
    <w:rsid w:val="11C73FD2"/>
    <w:rsid w:val="11C75D80"/>
    <w:rsid w:val="11CB5870"/>
    <w:rsid w:val="11CE5360"/>
    <w:rsid w:val="11D3768E"/>
    <w:rsid w:val="11DA5AB3"/>
    <w:rsid w:val="11E37FA7"/>
    <w:rsid w:val="11E91075"/>
    <w:rsid w:val="11EE155E"/>
    <w:rsid w:val="11EE5FC9"/>
    <w:rsid w:val="11F0177A"/>
    <w:rsid w:val="11F1104F"/>
    <w:rsid w:val="11F33019"/>
    <w:rsid w:val="11F86286"/>
    <w:rsid w:val="11FC1ECD"/>
    <w:rsid w:val="120174E4"/>
    <w:rsid w:val="1202325C"/>
    <w:rsid w:val="12092462"/>
    <w:rsid w:val="120E7E53"/>
    <w:rsid w:val="120F2891"/>
    <w:rsid w:val="12135469"/>
    <w:rsid w:val="12152F8F"/>
    <w:rsid w:val="121D403F"/>
    <w:rsid w:val="122431D2"/>
    <w:rsid w:val="122F0A2C"/>
    <w:rsid w:val="12346A30"/>
    <w:rsid w:val="12374CB3"/>
    <w:rsid w:val="123D6042"/>
    <w:rsid w:val="123F000C"/>
    <w:rsid w:val="12411FD6"/>
    <w:rsid w:val="12442667"/>
    <w:rsid w:val="1246139A"/>
    <w:rsid w:val="12463148"/>
    <w:rsid w:val="124666C8"/>
    <w:rsid w:val="12496F44"/>
    <w:rsid w:val="124B4C03"/>
    <w:rsid w:val="124B69B1"/>
    <w:rsid w:val="12505D75"/>
    <w:rsid w:val="12535865"/>
    <w:rsid w:val="12555A81"/>
    <w:rsid w:val="125848EC"/>
    <w:rsid w:val="125A3098"/>
    <w:rsid w:val="125C0BBE"/>
    <w:rsid w:val="125F51BD"/>
    <w:rsid w:val="12614426"/>
    <w:rsid w:val="12665599"/>
    <w:rsid w:val="126C4A67"/>
    <w:rsid w:val="127759F8"/>
    <w:rsid w:val="127777A6"/>
    <w:rsid w:val="127A55B4"/>
    <w:rsid w:val="127B54E8"/>
    <w:rsid w:val="12851EC3"/>
    <w:rsid w:val="1286241A"/>
    <w:rsid w:val="128B3251"/>
    <w:rsid w:val="12942106"/>
    <w:rsid w:val="129A61A5"/>
    <w:rsid w:val="129B31AF"/>
    <w:rsid w:val="129E4D32"/>
    <w:rsid w:val="129F7C67"/>
    <w:rsid w:val="12BB3B36"/>
    <w:rsid w:val="12BC340B"/>
    <w:rsid w:val="12C10A21"/>
    <w:rsid w:val="12C16C73"/>
    <w:rsid w:val="12CF75E2"/>
    <w:rsid w:val="12D76496"/>
    <w:rsid w:val="12DF5486"/>
    <w:rsid w:val="12E2233F"/>
    <w:rsid w:val="12E235A9"/>
    <w:rsid w:val="12E56E05"/>
    <w:rsid w:val="12E60488"/>
    <w:rsid w:val="12EA7F78"/>
    <w:rsid w:val="12F6691D"/>
    <w:rsid w:val="12FB03D7"/>
    <w:rsid w:val="12FE0E52"/>
    <w:rsid w:val="130946C9"/>
    <w:rsid w:val="130F5C30"/>
    <w:rsid w:val="13135720"/>
    <w:rsid w:val="13143247"/>
    <w:rsid w:val="131E5E73"/>
    <w:rsid w:val="131E7C21"/>
    <w:rsid w:val="1323348A"/>
    <w:rsid w:val="13261758"/>
    <w:rsid w:val="132711CC"/>
    <w:rsid w:val="1329181A"/>
    <w:rsid w:val="13380DD8"/>
    <w:rsid w:val="133E02C4"/>
    <w:rsid w:val="133E2072"/>
    <w:rsid w:val="133E4052"/>
    <w:rsid w:val="13421B62"/>
    <w:rsid w:val="13426006"/>
    <w:rsid w:val="1344521A"/>
    <w:rsid w:val="13460D42"/>
    <w:rsid w:val="135B2C24"/>
    <w:rsid w:val="135D4DFE"/>
    <w:rsid w:val="136046DE"/>
    <w:rsid w:val="13645ACB"/>
    <w:rsid w:val="13646721"/>
    <w:rsid w:val="136A2E67"/>
    <w:rsid w:val="136B2FF2"/>
    <w:rsid w:val="13710699"/>
    <w:rsid w:val="13765CAF"/>
    <w:rsid w:val="137B32C6"/>
    <w:rsid w:val="13854144"/>
    <w:rsid w:val="13985C26"/>
    <w:rsid w:val="139879D4"/>
    <w:rsid w:val="139A199E"/>
    <w:rsid w:val="13A740BB"/>
    <w:rsid w:val="13AC16D1"/>
    <w:rsid w:val="13AD4F94"/>
    <w:rsid w:val="13B16CE7"/>
    <w:rsid w:val="13BF1404"/>
    <w:rsid w:val="13C91FE9"/>
    <w:rsid w:val="13CE5AEB"/>
    <w:rsid w:val="13CF471A"/>
    <w:rsid w:val="13D11138"/>
    <w:rsid w:val="13D36C5E"/>
    <w:rsid w:val="13DF5603"/>
    <w:rsid w:val="13E9022F"/>
    <w:rsid w:val="13E957B5"/>
    <w:rsid w:val="13EB21F9"/>
    <w:rsid w:val="13EC5F71"/>
    <w:rsid w:val="13F54664"/>
    <w:rsid w:val="13F56BD4"/>
    <w:rsid w:val="14096B23"/>
    <w:rsid w:val="141334FE"/>
    <w:rsid w:val="141C495F"/>
    <w:rsid w:val="141D75E8"/>
    <w:rsid w:val="14207171"/>
    <w:rsid w:val="14213FC1"/>
    <w:rsid w:val="14215C1B"/>
    <w:rsid w:val="14223741"/>
    <w:rsid w:val="142A67B4"/>
    <w:rsid w:val="142B0848"/>
    <w:rsid w:val="142C2815"/>
    <w:rsid w:val="143771ED"/>
    <w:rsid w:val="14412BB2"/>
    <w:rsid w:val="14496F20"/>
    <w:rsid w:val="14506500"/>
    <w:rsid w:val="14537D9F"/>
    <w:rsid w:val="14587163"/>
    <w:rsid w:val="14627FE2"/>
    <w:rsid w:val="14667AD2"/>
    <w:rsid w:val="14686756"/>
    <w:rsid w:val="146B333A"/>
    <w:rsid w:val="146B50E8"/>
    <w:rsid w:val="146F2D0E"/>
    <w:rsid w:val="14700951"/>
    <w:rsid w:val="147541B9"/>
    <w:rsid w:val="147F2942"/>
    <w:rsid w:val="148461AA"/>
    <w:rsid w:val="14891A12"/>
    <w:rsid w:val="148937C0"/>
    <w:rsid w:val="148B578A"/>
    <w:rsid w:val="14904B4F"/>
    <w:rsid w:val="14962FFE"/>
    <w:rsid w:val="14977C8B"/>
    <w:rsid w:val="14A14FAE"/>
    <w:rsid w:val="14A32AD4"/>
    <w:rsid w:val="14A423A8"/>
    <w:rsid w:val="14AA3E63"/>
    <w:rsid w:val="14AD5701"/>
    <w:rsid w:val="14AE3227"/>
    <w:rsid w:val="14AF76CB"/>
    <w:rsid w:val="14B7657F"/>
    <w:rsid w:val="14BC6537"/>
    <w:rsid w:val="14BE16BC"/>
    <w:rsid w:val="14C36CD2"/>
    <w:rsid w:val="14C71D43"/>
    <w:rsid w:val="14CB202B"/>
    <w:rsid w:val="14D62EA9"/>
    <w:rsid w:val="14ED3D4F"/>
    <w:rsid w:val="14EF0366"/>
    <w:rsid w:val="14F055ED"/>
    <w:rsid w:val="14FC3F92"/>
    <w:rsid w:val="150F1F18"/>
    <w:rsid w:val="15107A3E"/>
    <w:rsid w:val="1514752E"/>
    <w:rsid w:val="151574F7"/>
    <w:rsid w:val="15190FE8"/>
    <w:rsid w:val="15197EAA"/>
    <w:rsid w:val="151C4634"/>
    <w:rsid w:val="151C5C19"/>
    <w:rsid w:val="151E65FF"/>
    <w:rsid w:val="152359C3"/>
    <w:rsid w:val="1528122B"/>
    <w:rsid w:val="15282FD9"/>
    <w:rsid w:val="15284D87"/>
    <w:rsid w:val="153D4CD7"/>
    <w:rsid w:val="15436065"/>
    <w:rsid w:val="15455939"/>
    <w:rsid w:val="154A73F4"/>
    <w:rsid w:val="155344FA"/>
    <w:rsid w:val="15542020"/>
    <w:rsid w:val="155838BF"/>
    <w:rsid w:val="15597637"/>
    <w:rsid w:val="155C2C83"/>
    <w:rsid w:val="15610299"/>
    <w:rsid w:val="15632263"/>
    <w:rsid w:val="1564320E"/>
    <w:rsid w:val="156F6E5A"/>
    <w:rsid w:val="157601E9"/>
    <w:rsid w:val="15785D0F"/>
    <w:rsid w:val="157D5323"/>
    <w:rsid w:val="158D108E"/>
    <w:rsid w:val="158F3058"/>
    <w:rsid w:val="15916DD0"/>
    <w:rsid w:val="15966195"/>
    <w:rsid w:val="15A078BC"/>
    <w:rsid w:val="15A24B3A"/>
    <w:rsid w:val="15A5287C"/>
    <w:rsid w:val="15A5462A"/>
    <w:rsid w:val="15AC7766"/>
    <w:rsid w:val="15AE34DE"/>
    <w:rsid w:val="15AE733A"/>
    <w:rsid w:val="15B914BE"/>
    <w:rsid w:val="15BD5E17"/>
    <w:rsid w:val="15C342FB"/>
    <w:rsid w:val="15C64DAB"/>
    <w:rsid w:val="15CE1DD3"/>
    <w:rsid w:val="15DE18EA"/>
    <w:rsid w:val="15DF5D8E"/>
    <w:rsid w:val="15E96C0C"/>
    <w:rsid w:val="15F31839"/>
    <w:rsid w:val="15FA4976"/>
    <w:rsid w:val="15FF3D3A"/>
    <w:rsid w:val="16077093"/>
    <w:rsid w:val="160B6B83"/>
    <w:rsid w:val="160E370D"/>
    <w:rsid w:val="16135A37"/>
    <w:rsid w:val="16145F86"/>
    <w:rsid w:val="1618304E"/>
    <w:rsid w:val="1626576B"/>
    <w:rsid w:val="1629525B"/>
    <w:rsid w:val="162E2871"/>
    <w:rsid w:val="163F682C"/>
    <w:rsid w:val="164125A5"/>
    <w:rsid w:val="16465E0D"/>
    <w:rsid w:val="16500A3A"/>
    <w:rsid w:val="165E7A3D"/>
    <w:rsid w:val="165F2A2B"/>
    <w:rsid w:val="166444E5"/>
    <w:rsid w:val="1666200B"/>
    <w:rsid w:val="166D339A"/>
    <w:rsid w:val="1672275E"/>
    <w:rsid w:val="16726C02"/>
    <w:rsid w:val="16734728"/>
    <w:rsid w:val="167F4E7B"/>
    <w:rsid w:val="16810BF3"/>
    <w:rsid w:val="168129A1"/>
    <w:rsid w:val="168D3A3C"/>
    <w:rsid w:val="1693354C"/>
    <w:rsid w:val="1697220B"/>
    <w:rsid w:val="169C5D3E"/>
    <w:rsid w:val="169D3553"/>
    <w:rsid w:val="16A42B33"/>
    <w:rsid w:val="16A668AC"/>
    <w:rsid w:val="16B965DF"/>
    <w:rsid w:val="16BE1E47"/>
    <w:rsid w:val="16C805D0"/>
    <w:rsid w:val="16CA259A"/>
    <w:rsid w:val="16CD208A"/>
    <w:rsid w:val="16E40024"/>
    <w:rsid w:val="16E42F30"/>
    <w:rsid w:val="16E95732"/>
    <w:rsid w:val="16E96798"/>
    <w:rsid w:val="16EA49EA"/>
    <w:rsid w:val="16EF0253"/>
    <w:rsid w:val="16F21AF1"/>
    <w:rsid w:val="16F93153"/>
    <w:rsid w:val="16F94C2D"/>
    <w:rsid w:val="16FC296F"/>
    <w:rsid w:val="17011D34"/>
    <w:rsid w:val="17033CFE"/>
    <w:rsid w:val="17035AAC"/>
    <w:rsid w:val="17203A74"/>
    <w:rsid w:val="1720607C"/>
    <w:rsid w:val="17231CAA"/>
    <w:rsid w:val="17237EFC"/>
    <w:rsid w:val="172A1253"/>
    <w:rsid w:val="173043C7"/>
    <w:rsid w:val="1732013F"/>
    <w:rsid w:val="1735378C"/>
    <w:rsid w:val="17367C2F"/>
    <w:rsid w:val="173B5246"/>
    <w:rsid w:val="173C4B1A"/>
    <w:rsid w:val="17424826"/>
    <w:rsid w:val="175329EC"/>
    <w:rsid w:val="175B58E8"/>
    <w:rsid w:val="175C73AE"/>
    <w:rsid w:val="175D340E"/>
    <w:rsid w:val="176127D3"/>
    <w:rsid w:val="17620A24"/>
    <w:rsid w:val="17640624"/>
    <w:rsid w:val="17654071"/>
    <w:rsid w:val="1767428D"/>
    <w:rsid w:val="177E3384"/>
    <w:rsid w:val="178D1819"/>
    <w:rsid w:val="178F5592"/>
    <w:rsid w:val="178F7340"/>
    <w:rsid w:val="179D1A5D"/>
    <w:rsid w:val="179E3A27"/>
    <w:rsid w:val="17A96653"/>
    <w:rsid w:val="17B60D70"/>
    <w:rsid w:val="17B66759"/>
    <w:rsid w:val="17BD5C5B"/>
    <w:rsid w:val="17C4348D"/>
    <w:rsid w:val="17C43C1A"/>
    <w:rsid w:val="17C70888"/>
    <w:rsid w:val="17CF3BE0"/>
    <w:rsid w:val="17CF3EFF"/>
    <w:rsid w:val="17D32356"/>
    <w:rsid w:val="17D336D0"/>
    <w:rsid w:val="17D82A95"/>
    <w:rsid w:val="17D86F39"/>
    <w:rsid w:val="17D920F9"/>
    <w:rsid w:val="17D9680D"/>
    <w:rsid w:val="17DA4A5F"/>
    <w:rsid w:val="17DB07D7"/>
    <w:rsid w:val="17E21B65"/>
    <w:rsid w:val="17E5696C"/>
    <w:rsid w:val="17E7717C"/>
    <w:rsid w:val="17EE22B8"/>
    <w:rsid w:val="17F11DA8"/>
    <w:rsid w:val="17F17FFA"/>
    <w:rsid w:val="17F673BF"/>
    <w:rsid w:val="17FB6783"/>
    <w:rsid w:val="17FD6923"/>
    <w:rsid w:val="17FF2717"/>
    <w:rsid w:val="1800023D"/>
    <w:rsid w:val="18055854"/>
    <w:rsid w:val="1807337A"/>
    <w:rsid w:val="180A2E6A"/>
    <w:rsid w:val="180E64B6"/>
    <w:rsid w:val="181250E3"/>
    <w:rsid w:val="18147845"/>
    <w:rsid w:val="18155A97"/>
    <w:rsid w:val="18221F62"/>
    <w:rsid w:val="18267CA4"/>
    <w:rsid w:val="18273A1C"/>
    <w:rsid w:val="182757CA"/>
    <w:rsid w:val="182A7068"/>
    <w:rsid w:val="182C1032"/>
    <w:rsid w:val="18316649"/>
    <w:rsid w:val="18381785"/>
    <w:rsid w:val="183B1275"/>
    <w:rsid w:val="183B3024"/>
    <w:rsid w:val="1840063A"/>
    <w:rsid w:val="18441ED8"/>
    <w:rsid w:val="18475E6C"/>
    <w:rsid w:val="184B14B9"/>
    <w:rsid w:val="185650AD"/>
    <w:rsid w:val="18574301"/>
    <w:rsid w:val="185760AF"/>
    <w:rsid w:val="1859748B"/>
    <w:rsid w:val="185D11EC"/>
    <w:rsid w:val="186407CC"/>
    <w:rsid w:val="186C142F"/>
    <w:rsid w:val="18752259"/>
    <w:rsid w:val="187C5B16"/>
    <w:rsid w:val="187D188E"/>
    <w:rsid w:val="187D363C"/>
    <w:rsid w:val="18820C52"/>
    <w:rsid w:val="18842C1C"/>
    <w:rsid w:val="188665BA"/>
    <w:rsid w:val="18893D8F"/>
    <w:rsid w:val="188E5849"/>
    <w:rsid w:val="18904498"/>
    <w:rsid w:val="189B3AC2"/>
    <w:rsid w:val="18A3471E"/>
    <w:rsid w:val="18AB63FB"/>
    <w:rsid w:val="18AB740B"/>
    <w:rsid w:val="18BC5F12"/>
    <w:rsid w:val="18C1275A"/>
    <w:rsid w:val="18C179CD"/>
    <w:rsid w:val="18C80D5B"/>
    <w:rsid w:val="18C82B09"/>
    <w:rsid w:val="18CB25F9"/>
    <w:rsid w:val="18CD0291"/>
    <w:rsid w:val="18CD6371"/>
    <w:rsid w:val="18D019BE"/>
    <w:rsid w:val="18D314AE"/>
    <w:rsid w:val="18D33CBD"/>
    <w:rsid w:val="18D47700"/>
    <w:rsid w:val="18DC4807"/>
    <w:rsid w:val="18DF7E53"/>
    <w:rsid w:val="18EE62E8"/>
    <w:rsid w:val="18F41B50"/>
    <w:rsid w:val="18FA6A3B"/>
    <w:rsid w:val="18FC6C57"/>
    <w:rsid w:val="18FE477D"/>
    <w:rsid w:val="18FF22A3"/>
    <w:rsid w:val="190A1374"/>
    <w:rsid w:val="190E0700"/>
    <w:rsid w:val="190F0738"/>
    <w:rsid w:val="19102702"/>
    <w:rsid w:val="192B12EA"/>
    <w:rsid w:val="192B4DF7"/>
    <w:rsid w:val="192C753C"/>
    <w:rsid w:val="192E125B"/>
    <w:rsid w:val="192F2B88"/>
    <w:rsid w:val="19377C8F"/>
    <w:rsid w:val="19393A07"/>
    <w:rsid w:val="193C7053"/>
    <w:rsid w:val="193E726F"/>
    <w:rsid w:val="193F21E0"/>
    <w:rsid w:val="19467ED2"/>
    <w:rsid w:val="19516FA3"/>
    <w:rsid w:val="19550115"/>
    <w:rsid w:val="195A572B"/>
    <w:rsid w:val="195F2D42"/>
    <w:rsid w:val="19614D0C"/>
    <w:rsid w:val="19650358"/>
    <w:rsid w:val="19670574"/>
    <w:rsid w:val="196C651D"/>
    <w:rsid w:val="19742C91"/>
    <w:rsid w:val="197607B7"/>
    <w:rsid w:val="19801636"/>
    <w:rsid w:val="19921369"/>
    <w:rsid w:val="199307ED"/>
    <w:rsid w:val="199B6470"/>
    <w:rsid w:val="19A277FE"/>
    <w:rsid w:val="19AE61A3"/>
    <w:rsid w:val="19B27315"/>
    <w:rsid w:val="19B80DD0"/>
    <w:rsid w:val="19BA6371"/>
    <w:rsid w:val="19C07C84"/>
    <w:rsid w:val="19CA0B03"/>
    <w:rsid w:val="19CF1C75"/>
    <w:rsid w:val="19CF7EC7"/>
    <w:rsid w:val="19D7627D"/>
    <w:rsid w:val="19DB2105"/>
    <w:rsid w:val="19DC4392"/>
    <w:rsid w:val="19E00326"/>
    <w:rsid w:val="19E576EB"/>
    <w:rsid w:val="19E73463"/>
    <w:rsid w:val="19EA2F53"/>
    <w:rsid w:val="19EA6AAF"/>
    <w:rsid w:val="19EC0A79"/>
    <w:rsid w:val="19F44E85"/>
    <w:rsid w:val="19F811CC"/>
    <w:rsid w:val="19F90D7B"/>
    <w:rsid w:val="19FE07AD"/>
    <w:rsid w:val="1A004525"/>
    <w:rsid w:val="1A046220"/>
    <w:rsid w:val="1A057D8D"/>
    <w:rsid w:val="1A0A7151"/>
    <w:rsid w:val="1A0C2EC9"/>
    <w:rsid w:val="1A136006"/>
    <w:rsid w:val="1A2024D1"/>
    <w:rsid w:val="1A21737F"/>
    <w:rsid w:val="1A304E0A"/>
    <w:rsid w:val="1A3348FA"/>
    <w:rsid w:val="1A444411"/>
    <w:rsid w:val="1A450189"/>
    <w:rsid w:val="1A473F02"/>
    <w:rsid w:val="1A4964D8"/>
    <w:rsid w:val="1A4C59BC"/>
    <w:rsid w:val="1A4D2CE2"/>
    <w:rsid w:val="1A4E34E2"/>
    <w:rsid w:val="1A4E703E"/>
    <w:rsid w:val="1A512FD2"/>
    <w:rsid w:val="1A530AF8"/>
    <w:rsid w:val="1A5403CD"/>
    <w:rsid w:val="1A62627D"/>
    <w:rsid w:val="1A645229"/>
    <w:rsid w:val="1A68624C"/>
    <w:rsid w:val="1A7647E7"/>
    <w:rsid w:val="1A7840BB"/>
    <w:rsid w:val="1A7D3DC7"/>
    <w:rsid w:val="1A7F369B"/>
    <w:rsid w:val="1A8B0292"/>
    <w:rsid w:val="1A8D5BE9"/>
    <w:rsid w:val="1A91517D"/>
    <w:rsid w:val="1A933344"/>
    <w:rsid w:val="1A951111"/>
    <w:rsid w:val="1A9609E5"/>
    <w:rsid w:val="1A9A2283"/>
    <w:rsid w:val="1AA475A6"/>
    <w:rsid w:val="1AA72BF2"/>
    <w:rsid w:val="1AA974C6"/>
    <w:rsid w:val="1AAB26E2"/>
    <w:rsid w:val="1AAD645B"/>
    <w:rsid w:val="1AAE5D2F"/>
    <w:rsid w:val="1AAE63AE"/>
    <w:rsid w:val="1AB5583C"/>
    <w:rsid w:val="1AB570BD"/>
    <w:rsid w:val="1AB64BE3"/>
    <w:rsid w:val="1AB8095B"/>
    <w:rsid w:val="1ABC48F0"/>
    <w:rsid w:val="1AC612CA"/>
    <w:rsid w:val="1AC94917"/>
    <w:rsid w:val="1AC957E1"/>
    <w:rsid w:val="1AD25EC1"/>
    <w:rsid w:val="1AD80FFE"/>
    <w:rsid w:val="1ADB5C6C"/>
    <w:rsid w:val="1ADC6D40"/>
    <w:rsid w:val="1ADF05DE"/>
    <w:rsid w:val="1AF6583C"/>
    <w:rsid w:val="1AFD474E"/>
    <w:rsid w:val="1AFF2A2E"/>
    <w:rsid w:val="1B0B3181"/>
    <w:rsid w:val="1B1C538E"/>
    <w:rsid w:val="1B1E590D"/>
    <w:rsid w:val="1B245FF1"/>
    <w:rsid w:val="1B2D759B"/>
    <w:rsid w:val="1B3267BA"/>
    <w:rsid w:val="1B36558E"/>
    <w:rsid w:val="1B3679AD"/>
    <w:rsid w:val="1B386A83"/>
    <w:rsid w:val="1B397CEE"/>
    <w:rsid w:val="1B414DF5"/>
    <w:rsid w:val="1B446693"/>
    <w:rsid w:val="1B4548E5"/>
    <w:rsid w:val="1B46240B"/>
    <w:rsid w:val="1B496E6A"/>
    <w:rsid w:val="1B4A3CA9"/>
    <w:rsid w:val="1B4D19EC"/>
    <w:rsid w:val="1B593EEC"/>
    <w:rsid w:val="1B6034CD"/>
    <w:rsid w:val="1B610FF3"/>
    <w:rsid w:val="1B654F02"/>
    <w:rsid w:val="1B682381"/>
    <w:rsid w:val="1B684130"/>
    <w:rsid w:val="1B6F54BE"/>
    <w:rsid w:val="1B6F7443"/>
    <w:rsid w:val="1B742AD4"/>
    <w:rsid w:val="1B7A7D1C"/>
    <w:rsid w:val="1B7B66B5"/>
    <w:rsid w:val="1B854CE1"/>
    <w:rsid w:val="1B886580"/>
    <w:rsid w:val="1B8A679C"/>
    <w:rsid w:val="1B8D003A"/>
    <w:rsid w:val="1B972C67"/>
    <w:rsid w:val="1B9B2757"/>
    <w:rsid w:val="1BAB04C0"/>
    <w:rsid w:val="1BB67591"/>
    <w:rsid w:val="1BB92BDD"/>
    <w:rsid w:val="1BBB0703"/>
    <w:rsid w:val="1BBC26CD"/>
    <w:rsid w:val="1BC27E9A"/>
    <w:rsid w:val="1BC3478C"/>
    <w:rsid w:val="1BCD48DA"/>
    <w:rsid w:val="1BD87507"/>
    <w:rsid w:val="1BDC68CC"/>
    <w:rsid w:val="1BE51C24"/>
    <w:rsid w:val="1BE547F8"/>
    <w:rsid w:val="1BE774DC"/>
    <w:rsid w:val="1BEA0FE8"/>
    <w:rsid w:val="1BEC4D61"/>
    <w:rsid w:val="1BFB5DF8"/>
    <w:rsid w:val="1C055E22"/>
    <w:rsid w:val="1C1222ED"/>
    <w:rsid w:val="1C136791"/>
    <w:rsid w:val="1C185B56"/>
    <w:rsid w:val="1C1E6EE4"/>
    <w:rsid w:val="1C224C26"/>
    <w:rsid w:val="1C225F98"/>
    <w:rsid w:val="1C2362A8"/>
    <w:rsid w:val="1C272EF4"/>
    <w:rsid w:val="1C295FB5"/>
    <w:rsid w:val="1C297D63"/>
    <w:rsid w:val="1C2A3ADB"/>
    <w:rsid w:val="1C387FA6"/>
    <w:rsid w:val="1C3F5AF9"/>
    <w:rsid w:val="1C4921B3"/>
    <w:rsid w:val="1C497DA3"/>
    <w:rsid w:val="1C533D7D"/>
    <w:rsid w:val="1C556DAA"/>
    <w:rsid w:val="1C5841A4"/>
    <w:rsid w:val="1C591B70"/>
    <w:rsid w:val="1C5B3ECA"/>
    <w:rsid w:val="1C5B5A42"/>
    <w:rsid w:val="1C5D17BA"/>
    <w:rsid w:val="1C5E5533"/>
    <w:rsid w:val="1C632B49"/>
    <w:rsid w:val="1C6449AB"/>
    <w:rsid w:val="1C646FED"/>
    <w:rsid w:val="1C72396A"/>
    <w:rsid w:val="1C730FDE"/>
    <w:rsid w:val="1C7865F4"/>
    <w:rsid w:val="1C7D00AF"/>
    <w:rsid w:val="1C86718F"/>
    <w:rsid w:val="1C876837"/>
    <w:rsid w:val="1C901B90"/>
    <w:rsid w:val="1C9571A6"/>
    <w:rsid w:val="1C986C96"/>
    <w:rsid w:val="1CA05B4B"/>
    <w:rsid w:val="1CA218C3"/>
    <w:rsid w:val="1CA4563B"/>
    <w:rsid w:val="1CA53161"/>
    <w:rsid w:val="1CAE0268"/>
    <w:rsid w:val="1CB05D8E"/>
    <w:rsid w:val="1CB33AD0"/>
    <w:rsid w:val="1CB57848"/>
    <w:rsid w:val="1CB6536F"/>
    <w:rsid w:val="1CB6711D"/>
    <w:rsid w:val="1CBA6C0D"/>
    <w:rsid w:val="1CBD04AB"/>
    <w:rsid w:val="1CC31397"/>
    <w:rsid w:val="1CC96E50"/>
    <w:rsid w:val="1CDC3027"/>
    <w:rsid w:val="1CE24D71"/>
    <w:rsid w:val="1CE617B0"/>
    <w:rsid w:val="1CE7377A"/>
    <w:rsid w:val="1CE819CC"/>
    <w:rsid w:val="1CEC2B3E"/>
    <w:rsid w:val="1CEE2D5A"/>
    <w:rsid w:val="1CF00880"/>
    <w:rsid w:val="1CF245F9"/>
    <w:rsid w:val="1CF85987"/>
    <w:rsid w:val="1D036806"/>
    <w:rsid w:val="1D077978"/>
    <w:rsid w:val="1D102CD1"/>
    <w:rsid w:val="1D1722B1"/>
    <w:rsid w:val="1D1A2726"/>
    <w:rsid w:val="1D2231FE"/>
    <w:rsid w:val="1D300C7D"/>
    <w:rsid w:val="1D320A97"/>
    <w:rsid w:val="1D3541D9"/>
    <w:rsid w:val="1D392227"/>
    <w:rsid w:val="1D3E6FE0"/>
    <w:rsid w:val="1D444728"/>
    <w:rsid w:val="1D4F2685"/>
    <w:rsid w:val="1D547137"/>
    <w:rsid w:val="1D5D57EA"/>
    <w:rsid w:val="1D635DB9"/>
    <w:rsid w:val="1D682B0D"/>
    <w:rsid w:val="1D6D3C7F"/>
    <w:rsid w:val="1D76333F"/>
    <w:rsid w:val="1D772D50"/>
    <w:rsid w:val="1D80245F"/>
    <w:rsid w:val="1D840FC9"/>
    <w:rsid w:val="1D85546D"/>
    <w:rsid w:val="1D880AB9"/>
    <w:rsid w:val="1D8A4831"/>
    <w:rsid w:val="1D8B05A9"/>
    <w:rsid w:val="1D8D3444"/>
    <w:rsid w:val="1D903E12"/>
    <w:rsid w:val="1D921938"/>
    <w:rsid w:val="1D994A74"/>
    <w:rsid w:val="1D9A07EC"/>
    <w:rsid w:val="1D9E652E"/>
    <w:rsid w:val="1DA84CB7"/>
    <w:rsid w:val="1DAA4ED3"/>
    <w:rsid w:val="1DAD0520"/>
    <w:rsid w:val="1DB63878"/>
    <w:rsid w:val="1DB7314C"/>
    <w:rsid w:val="1DB76F65"/>
    <w:rsid w:val="1DB93368"/>
    <w:rsid w:val="1DBE272D"/>
    <w:rsid w:val="1DC064A5"/>
    <w:rsid w:val="1DC55869"/>
    <w:rsid w:val="1DC738B3"/>
    <w:rsid w:val="1DCF493A"/>
    <w:rsid w:val="1DD2650A"/>
    <w:rsid w:val="1DD957B9"/>
    <w:rsid w:val="1DE859FC"/>
    <w:rsid w:val="1DEC54EC"/>
    <w:rsid w:val="1DF63C75"/>
    <w:rsid w:val="1E002D45"/>
    <w:rsid w:val="1E012619"/>
    <w:rsid w:val="1E0C3498"/>
    <w:rsid w:val="1E114F52"/>
    <w:rsid w:val="1E1265D5"/>
    <w:rsid w:val="1E1B27D3"/>
    <w:rsid w:val="1E1F070E"/>
    <w:rsid w:val="1E25455A"/>
    <w:rsid w:val="1E28404A"/>
    <w:rsid w:val="1E29229C"/>
    <w:rsid w:val="1E2A1B70"/>
    <w:rsid w:val="1E30754B"/>
    <w:rsid w:val="1E3173A3"/>
    <w:rsid w:val="1E3649B9"/>
    <w:rsid w:val="1E3B1FCF"/>
    <w:rsid w:val="1E3E2D25"/>
    <w:rsid w:val="1E430DCA"/>
    <w:rsid w:val="1E4507E4"/>
    <w:rsid w:val="1E4E1D03"/>
    <w:rsid w:val="1E5170FD"/>
    <w:rsid w:val="1E544141"/>
    <w:rsid w:val="1E5D0198"/>
    <w:rsid w:val="1E5D3F45"/>
    <w:rsid w:val="1E6210B8"/>
    <w:rsid w:val="1E672DC4"/>
    <w:rsid w:val="1E676920"/>
    <w:rsid w:val="1E707ECB"/>
    <w:rsid w:val="1E7554E1"/>
    <w:rsid w:val="1E764DB5"/>
    <w:rsid w:val="1E7D6144"/>
    <w:rsid w:val="1E8079E2"/>
    <w:rsid w:val="1E8C6387"/>
    <w:rsid w:val="1E94348E"/>
    <w:rsid w:val="1E9D2342"/>
    <w:rsid w:val="1EA062D6"/>
    <w:rsid w:val="1EA25BAA"/>
    <w:rsid w:val="1EB04546"/>
    <w:rsid w:val="1EB26790"/>
    <w:rsid w:val="1EC014EF"/>
    <w:rsid w:val="1EC024D4"/>
    <w:rsid w:val="1EC21DA9"/>
    <w:rsid w:val="1EC57AEB"/>
    <w:rsid w:val="1EC664F8"/>
    <w:rsid w:val="1ED65854"/>
    <w:rsid w:val="1ED67C62"/>
    <w:rsid w:val="1EDA6951"/>
    <w:rsid w:val="1EEC32CA"/>
    <w:rsid w:val="1EF1268E"/>
    <w:rsid w:val="1EF74148"/>
    <w:rsid w:val="1F022AED"/>
    <w:rsid w:val="1F02489B"/>
    <w:rsid w:val="1F071EB1"/>
    <w:rsid w:val="1F073C5F"/>
    <w:rsid w:val="1F134CFA"/>
    <w:rsid w:val="1F166EB8"/>
    <w:rsid w:val="1F170346"/>
    <w:rsid w:val="1F1840BF"/>
    <w:rsid w:val="1F1A7E37"/>
    <w:rsid w:val="1F1C595D"/>
    <w:rsid w:val="1F220A99"/>
    <w:rsid w:val="1F242A63"/>
    <w:rsid w:val="1F291E28"/>
    <w:rsid w:val="1F2B5BA0"/>
    <w:rsid w:val="1F2C5E1E"/>
    <w:rsid w:val="1F2D6848"/>
    <w:rsid w:val="1F2D7B6A"/>
    <w:rsid w:val="1F301408"/>
    <w:rsid w:val="1F331A12"/>
    <w:rsid w:val="1F38206B"/>
    <w:rsid w:val="1F38650F"/>
    <w:rsid w:val="1F3B3C7C"/>
    <w:rsid w:val="1F3E1D77"/>
    <w:rsid w:val="1F3F164B"/>
    <w:rsid w:val="1F4E7AE0"/>
    <w:rsid w:val="1F51312D"/>
    <w:rsid w:val="1F5817D8"/>
    <w:rsid w:val="1F5A46D7"/>
    <w:rsid w:val="1F5C044F"/>
    <w:rsid w:val="1F5F1CED"/>
    <w:rsid w:val="1F75506D"/>
    <w:rsid w:val="1F7A08D5"/>
    <w:rsid w:val="1F7F413E"/>
    <w:rsid w:val="1F811C64"/>
    <w:rsid w:val="1F833C2E"/>
    <w:rsid w:val="1F864856"/>
    <w:rsid w:val="1F8B663F"/>
    <w:rsid w:val="1F9D6372"/>
    <w:rsid w:val="1F9F033C"/>
    <w:rsid w:val="1FA164E3"/>
    <w:rsid w:val="1FAD1142"/>
    <w:rsid w:val="1FB30B39"/>
    <w:rsid w:val="1FB512FE"/>
    <w:rsid w:val="1FC102B2"/>
    <w:rsid w:val="1FC447F8"/>
    <w:rsid w:val="1FC55FF4"/>
    <w:rsid w:val="1FC87893"/>
    <w:rsid w:val="1FC97167"/>
    <w:rsid w:val="1FD0572F"/>
    <w:rsid w:val="1FD47FE6"/>
    <w:rsid w:val="1FD60202"/>
    <w:rsid w:val="1FD7674C"/>
    <w:rsid w:val="1FD77AD6"/>
    <w:rsid w:val="1FDB301F"/>
    <w:rsid w:val="1FE27D80"/>
    <w:rsid w:val="1FE83CDD"/>
    <w:rsid w:val="1FEF3071"/>
    <w:rsid w:val="1FF4042C"/>
    <w:rsid w:val="1FF91559"/>
    <w:rsid w:val="200E038C"/>
    <w:rsid w:val="20144886"/>
    <w:rsid w:val="20176124"/>
    <w:rsid w:val="201A79C2"/>
    <w:rsid w:val="201C373B"/>
    <w:rsid w:val="20232D1B"/>
    <w:rsid w:val="20254CE5"/>
    <w:rsid w:val="20270A5D"/>
    <w:rsid w:val="20280331"/>
    <w:rsid w:val="202C6073"/>
    <w:rsid w:val="203211B0"/>
    <w:rsid w:val="20346CD6"/>
    <w:rsid w:val="203805B3"/>
    <w:rsid w:val="2040567B"/>
    <w:rsid w:val="20482782"/>
    <w:rsid w:val="20580C17"/>
    <w:rsid w:val="2059498F"/>
    <w:rsid w:val="205B4263"/>
    <w:rsid w:val="205D447F"/>
    <w:rsid w:val="20607ACB"/>
    <w:rsid w:val="20670E5A"/>
    <w:rsid w:val="206C2914"/>
    <w:rsid w:val="206C6470"/>
    <w:rsid w:val="207417C9"/>
    <w:rsid w:val="2079293B"/>
    <w:rsid w:val="207B2B57"/>
    <w:rsid w:val="208C2574"/>
    <w:rsid w:val="208D63E6"/>
    <w:rsid w:val="2099122F"/>
    <w:rsid w:val="209B0B03"/>
    <w:rsid w:val="209D2ACD"/>
    <w:rsid w:val="209E23A2"/>
    <w:rsid w:val="20A025BE"/>
    <w:rsid w:val="20A21E92"/>
    <w:rsid w:val="20A91472"/>
    <w:rsid w:val="20AA343C"/>
    <w:rsid w:val="20AA6F98"/>
    <w:rsid w:val="20AE2021"/>
    <w:rsid w:val="20AF0CAD"/>
    <w:rsid w:val="20B10327"/>
    <w:rsid w:val="20C22534"/>
    <w:rsid w:val="20C52024"/>
    <w:rsid w:val="20CE0ED9"/>
    <w:rsid w:val="20D93AEE"/>
    <w:rsid w:val="20DD111C"/>
    <w:rsid w:val="20DE6C42"/>
    <w:rsid w:val="20E00C0C"/>
    <w:rsid w:val="20E06E5E"/>
    <w:rsid w:val="20E424AA"/>
    <w:rsid w:val="20E56222"/>
    <w:rsid w:val="20E652A4"/>
    <w:rsid w:val="20EE50D7"/>
    <w:rsid w:val="20EF48A3"/>
    <w:rsid w:val="20F326ED"/>
    <w:rsid w:val="20F46465"/>
    <w:rsid w:val="21026DD4"/>
    <w:rsid w:val="210E4B7A"/>
    <w:rsid w:val="21132D8F"/>
    <w:rsid w:val="21182154"/>
    <w:rsid w:val="211A5ECC"/>
    <w:rsid w:val="2123319E"/>
    <w:rsid w:val="21254871"/>
    <w:rsid w:val="2129610F"/>
    <w:rsid w:val="212D20A3"/>
    <w:rsid w:val="213827F6"/>
    <w:rsid w:val="213B5E42"/>
    <w:rsid w:val="213D1BBA"/>
    <w:rsid w:val="21464F13"/>
    <w:rsid w:val="21486EDD"/>
    <w:rsid w:val="21494A03"/>
    <w:rsid w:val="214B2529"/>
    <w:rsid w:val="214E3DC8"/>
    <w:rsid w:val="214E5896"/>
    <w:rsid w:val="21521B0A"/>
    <w:rsid w:val="21570ECE"/>
    <w:rsid w:val="21584C46"/>
    <w:rsid w:val="21617F9F"/>
    <w:rsid w:val="21635AC5"/>
    <w:rsid w:val="216A3851"/>
    <w:rsid w:val="21701F90"/>
    <w:rsid w:val="21723F5A"/>
    <w:rsid w:val="2173382E"/>
    <w:rsid w:val="217D46AD"/>
    <w:rsid w:val="218477E9"/>
    <w:rsid w:val="21875B03"/>
    <w:rsid w:val="219709C9"/>
    <w:rsid w:val="219C18E8"/>
    <w:rsid w:val="21A3266E"/>
    <w:rsid w:val="21AE4866"/>
    <w:rsid w:val="21B00981"/>
    <w:rsid w:val="21B31E7D"/>
    <w:rsid w:val="21B87493"/>
    <w:rsid w:val="21BA2B72"/>
    <w:rsid w:val="21BA6164"/>
    <w:rsid w:val="21BE0F4D"/>
    <w:rsid w:val="21BE719F"/>
    <w:rsid w:val="21C3620C"/>
    <w:rsid w:val="21C61BB0"/>
    <w:rsid w:val="21CA5B44"/>
    <w:rsid w:val="21D27BAA"/>
    <w:rsid w:val="21D544E9"/>
    <w:rsid w:val="21DE15EF"/>
    <w:rsid w:val="21E12E8E"/>
    <w:rsid w:val="21E14C3C"/>
    <w:rsid w:val="21E27646"/>
    <w:rsid w:val="21E62252"/>
    <w:rsid w:val="21EA7F94"/>
    <w:rsid w:val="21ED35E0"/>
    <w:rsid w:val="21ED538F"/>
    <w:rsid w:val="21F726B1"/>
    <w:rsid w:val="21FC1A76"/>
    <w:rsid w:val="21FF5648"/>
    <w:rsid w:val="220426D8"/>
    <w:rsid w:val="22056B7C"/>
    <w:rsid w:val="220D3C83"/>
    <w:rsid w:val="22155EFF"/>
    <w:rsid w:val="221B014E"/>
    <w:rsid w:val="222039B6"/>
    <w:rsid w:val="2221772E"/>
    <w:rsid w:val="222B5EB7"/>
    <w:rsid w:val="22372AAE"/>
    <w:rsid w:val="22486A69"/>
    <w:rsid w:val="224A0A33"/>
    <w:rsid w:val="224C47AB"/>
    <w:rsid w:val="224F1BA5"/>
    <w:rsid w:val="2250591D"/>
    <w:rsid w:val="2253194F"/>
    <w:rsid w:val="22543660"/>
    <w:rsid w:val="2256684B"/>
    <w:rsid w:val="22592A24"/>
    <w:rsid w:val="225B2C40"/>
    <w:rsid w:val="225C2514"/>
    <w:rsid w:val="226006F6"/>
    <w:rsid w:val="22617B2B"/>
    <w:rsid w:val="227B5090"/>
    <w:rsid w:val="227C4964"/>
    <w:rsid w:val="22802924"/>
    <w:rsid w:val="22813D29"/>
    <w:rsid w:val="228201CD"/>
    <w:rsid w:val="22830971"/>
    <w:rsid w:val="22853819"/>
    <w:rsid w:val="228A52D3"/>
    <w:rsid w:val="228F28EA"/>
    <w:rsid w:val="22916662"/>
    <w:rsid w:val="22925F36"/>
    <w:rsid w:val="22947F00"/>
    <w:rsid w:val="229677D4"/>
    <w:rsid w:val="229E2B2D"/>
    <w:rsid w:val="22A16179"/>
    <w:rsid w:val="22A30143"/>
    <w:rsid w:val="22AA7723"/>
    <w:rsid w:val="22AB6FED"/>
    <w:rsid w:val="22B42350"/>
    <w:rsid w:val="22B440FE"/>
    <w:rsid w:val="22B72FCA"/>
    <w:rsid w:val="22BB36DF"/>
    <w:rsid w:val="22BD1205"/>
    <w:rsid w:val="22C04851"/>
    <w:rsid w:val="22C407E5"/>
    <w:rsid w:val="22CA3922"/>
    <w:rsid w:val="22CA56D0"/>
    <w:rsid w:val="22CC1448"/>
    <w:rsid w:val="22CD6F6E"/>
    <w:rsid w:val="22CF0F38"/>
    <w:rsid w:val="22D12F02"/>
    <w:rsid w:val="22D14C16"/>
    <w:rsid w:val="22D30A28"/>
    <w:rsid w:val="22D447A0"/>
    <w:rsid w:val="22DD5403"/>
    <w:rsid w:val="22E61AD1"/>
    <w:rsid w:val="23040BE2"/>
    <w:rsid w:val="231352C9"/>
    <w:rsid w:val="23137077"/>
    <w:rsid w:val="23160915"/>
    <w:rsid w:val="23164DB9"/>
    <w:rsid w:val="23207452"/>
    <w:rsid w:val="232079E6"/>
    <w:rsid w:val="232272BA"/>
    <w:rsid w:val="23241284"/>
    <w:rsid w:val="232A43C0"/>
    <w:rsid w:val="232E3EB1"/>
    <w:rsid w:val="23377209"/>
    <w:rsid w:val="233A0BA3"/>
    <w:rsid w:val="233A2855"/>
    <w:rsid w:val="234731C4"/>
    <w:rsid w:val="234E4553"/>
    <w:rsid w:val="23582CFD"/>
    <w:rsid w:val="235D02F2"/>
    <w:rsid w:val="23614286"/>
    <w:rsid w:val="2364528E"/>
    <w:rsid w:val="236B6EB3"/>
    <w:rsid w:val="236D2C2B"/>
    <w:rsid w:val="23700025"/>
    <w:rsid w:val="237B69CA"/>
    <w:rsid w:val="237D6BE6"/>
    <w:rsid w:val="238B1303"/>
    <w:rsid w:val="238B4C82"/>
    <w:rsid w:val="238D1EED"/>
    <w:rsid w:val="23907C91"/>
    <w:rsid w:val="2392443F"/>
    <w:rsid w:val="239448A4"/>
    <w:rsid w:val="2395665B"/>
    <w:rsid w:val="2398757C"/>
    <w:rsid w:val="239C706C"/>
    <w:rsid w:val="23A622B4"/>
    <w:rsid w:val="23A979DB"/>
    <w:rsid w:val="23AE0B4E"/>
    <w:rsid w:val="23C6058D"/>
    <w:rsid w:val="23C87E61"/>
    <w:rsid w:val="23C91E2B"/>
    <w:rsid w:val="23D04F68"/>
    <w:rsid w:val="23D305B4"/>
    <w:rsid w:val="23D902C0"/>
    <w:rsid w:val="23D94172"/>
    <w:rsid w:val="23DE7685"/>
    <w:rsid w:val="23E80503"/>
    <w:rsid w:val="23F24EDE"/>
    <w:rsid w:val="23FA0237"/>
    <w:rsid w:val="24030E99"/>
    <w:rsid w:val="240F3CE2"/>
    <w:rsid w:val="24111CD9"/>
    <w:rsid w:val="241412F8"/>
    <w:rsid w:val="241A2687"/>
    <w:rsid w:val="241A4435"/>
    <w:rsid w:val="242A28CA"/>
    <w:rsid w:val="242F7EE0"/>
    <w:rsid w:val="243948BB"/>
    <w:rsid w:val="2446347C"/>
    <w:rsid w:val="244D0366"/>
    <w:rsid w:val="244D65B8"/>
    <w:rsid w:val="244F2331"/>
    <w:rsid w:val="245416F5"/>
    <w:rsid w:val="24575689"/>
    <w:rsid w:val="24577437"/>
    <w:rsid w:val="245C0B6C"/>
    <w:rsid w:val="245C2C9F"/>
    <w:rsid w:val="24612064"/>
    <w:rsid w:val="24635DDC"/>
    <w:rsid w:val="246758CC"/>
    <w:rsid w:val="24763D61"/>
    <w:rsid w:val="247732CE"/>
    <w:rsid w:val="24805C1D"/>
    <w:rsid w:val="2483647E"/>
    <w:rsid w:val="248D4C07"/>
    <w:rsid w:val="2492221D"/>
    <w:rsid w:val="24973CD7"/>
    <w:rsid w:val="24A00DDE"/>
    <w:rsid w:val="24A26904"/>
    <w:rsid w:val="24A3267C"/>
    <w:rsid w:val="24A501A2"/>
    <w:rsid w:val="24AA57B9"/>
    <w:rsid w:val="24AF7273"/>
    <w:rsid w:val="24B623B0"/>
    <w:rsid w:val="24B77ED6"/>
    <w:rsid w:val="24B853ED"/>
    <w:rsid w:val="24BD373E"/>
    <w:rsid w:val="24C34ACD"/>
    <w:rsid w:val="24C70119"/>
    <w:rsid w:val="24CC3981"/>
    <w:rsid w:val="24CF3471"/>
    <w:rsid w:val="24D16B39"/>
    <w:rsid w:val="24D34D10"/>
    <w:rsid w:val="24D80578"/>
    <w:rsid w:val="24E231A5"/>
    <w:rsid w:val="24E24F53"/>
    <w:rsid w:val="24E707BB"/>
    <w:rsid w:val="24F36825"/>
    <w:rsid w:val="24F46A34"/>
    <w:rsid w:val="24F66C50"/>
    <w:rsid w:val="2504718E"/>
    <w:rsid w:val="250749E2"/>
    <w:rsid w:val="25096983"/>
    <w:rsid w:val="250A44A9"/>
    <w:rsid w:val="250D0F04"/>
    <w:rsid w:val="250F386E"/>
    <w:rsid w:val="251175E6"/>
    <w:rsid w:val="25137802"/>
    <w:rsid w:val="25161906"/>
    <w:rsid w:val="251A293E"/>
    <w:rsid w:val="252512E3"/>
    <w:rsid w:val="25253091"/>
    <w:rsid w:val="25284930"/>
    <w:rsid w:val="25290DD3"/>
    <w:rsid w:val="252D66FD"/>
    <w:rsid w:val="252E1F46"/>
    <w:rsid w:val="253908EB"/>
    <w:rsid w:val="2539485F"/>
    <w:rsid w:val="253A4D8F"/>
    <w:rsid w:val="253F23A5"/>
    <w:rsid w:val="254259F1"/>
    <w:rsid w:val="25445D9E"/>
    <w:rsid w:val="254479BB"/>
    <w:rsid w:val="254603E7"/>
    <w:rsid w:val="254B431E"/>
    <w:rsid w:val="254F6B4D"/>
    <w:rsid w:val="2552768B"/>
    <w:rsid w:val="255816B9"/>
    <w:rsid w:val="255F65A3"/>
    <w:rsid w:val="25695674"/>
    <w:rsid w:val="256A4F48"/>
    <w:rsid w:val="256F255E"/>
    <w:rsid w:val="25783B09"/>
    <w:rsid w:val="25787665"/>
    <w:rsid w:val="257D2A53"/>
    <w:rsid w:val="257F27A2"/>
    <w:rsid w:val="2580651A"/>
    <w:rsid w:val="25822292"/>
    <w:rsid w:val="25826736"/>
    <w:rsid w:val="25861D82"/>
    <w:rsid w:val="25875AFA"/>
    <w:rsid w:val="25944EBB"/>
    <w:rsid w:val="25950217"/>
    <w:rsid w:val="259B3353"/>
    <w:rsid w:val="25A62424"/>
    <w:rsid w:val="25A8619C"/>
    <w:rsid w:val="25AB3597"/>
    <w:rsid w:val="25B032A3"/>
    <w:rsid w:val="25B35FEA"/>
    <w:rsid w:val="25BD776E"/>
    <w:rsid w:val="25BF7042"/>
    <w:rsid w:val="25C64874"/>
    <w:rsid w:val="25CE6AF1"/>
    <w:rsid w:val="25D02FFD"/>
    <w:rsid w:val="25D074A1"/>
    <w:rsid w:val="25D24FC7"/>
    <w:rsid w:val="25D725DE"/>
    <w:rsid w:val="25E90563"/>
    <w:rsid w:val="25E940BF"/>
    <w:rsid w:val="25F25669"/>
    <w:rsid w:val="25F5515A"/>
    <w:rsid w:val="25FA451E"/>
    <w:rsid w:val="2610789E"/>
    <w:rsid w:val="26123616"/>
    <w:rsid w:val="263A1E25"/>
    <w:rsid w:val="263D4A6F"/>
    <w:rsid w:val="264628A4"/>
    <w:rsid w:val="26467763"/>
    <w:rsid w:val="265303C3"/>
    <w:rsid w:val="26541E80"/>
    <w:rsid w:val="2657371E"/>
    <w:rsid w:val="265B26B4"/>
    <w:rsid w:val="265D7087"/>
    <w:rsid w:val="265E2CFF"/>
    <w:rsid w:val="266D2C13"/>
    <w:rsid w:val="267442D0"/>
    <w:rsid w:val="26906C30"/>
    <w:rsid w:val="269A360B"/>
    <w:rsid w:val="269B7AAF"/>
    <w:rsid w:val="26A06E73"/>
    <w:rsid w:val="26A12BEB"/>
    <w:rsid w:val="26A34BB6"/>
    <w:rsid w:val="26A5448A"/>
    <w:rsid w:val="26A60202"/>
    <w:rsid w:val="26A81988"/>
    <w:rsid w:val="26AF70B6"/>
    <w:rsid w:val="26B172D2"/>
    <w:rsid w:val="26B648E9"/>
    <w:rsid w:val="26B84614"/>
    <w:rsid w:val="26B96187"/>
    <w:rsid w:val="26CA2142"/>
    <w:rsid w:val="26CA3EF0"/>
    <w:rsid w:val="26CB1A16"/>
    <w:rsid w:val="26CD578F"/>
    <w:rsid w:val="26CF57CC"/>
    <w:rsid w:val="26D44D6F"/>
    <w:rsid w:val="26D62895"/>
    <w:rsid w:val="26D92385"/>
    <w:rsid w:val="26DA41FF"/>
    <w:rsid w:val="26DB60FD"/>
    <w:rsid w:val="26DD1E76"/>
    <w:rsid w:val="26E256DE"/>
    <w:rsid w:val="26EC36BA"/>
    <w:rsid w:val="26F176CF"/>
    <w:rsid w:val="26F251F5"/>
    <w:rsid w:val="26F70A5D"/>
    <w:rsid w:val="26F7280B"/>
    <w:rsid w:val="27022042"/>
    <w:rsid w:val="270513CC"/>
    <w:rsid w:val="27053614"/>
    <w:rsid w:val="27167136"/>
    <w:rsid w:val="27174C5C"/>
    <w:rsid w:val="27223D2C"/>
    <w:rsid w:val="27363334"/>
    <w:rsid w:val="273D2914"/>
    <w:rsid w:val="27404DC7"/>
    <w:rsid w:val="27441EF5"/>
    <w:rsid w:val="274C6FFB"/>
    <w:rsid w:val="275B723E"/>
    <w:rsid w:val="275D4F4C"/>
    <w:rsid w:val="27602AA7"/>
    <w:rsid w:val="2769195B"/>
    <w:rsid w:val="276C144B"/>
    <w:rsid w:val="276C29FF"/>
    <w:rsid w:val="276F7982"/>
    <w:rsid w:val="27702CEA"/>
    <w:rsid w:val="27723922"/>
    <w:rsid w:val="27750300"/>
    <w:rsid w:val="27781B9E"/>
    <w:rsid w:val="277A5916"/>
    <w:rsid w:val="27822A1D"/>
    <w:rsid w:val="278247CB"/>
    <w:rsid w:val="27893DAB"/>
    <w:rsid w:val="27930786"/>
    <w:rsid w:val="27932534"/>
    <w:rsid w:val="279F712B"/>
    <w:rsid w:val="27A012F8"/>
    <w:rsid w:val="27A6670B"/>
    <w:rsid w:val="27A72484"/>
    <w:rsid w:val="27AA02DA"/>
    <w:rsid w:val="27AA5AD0"/>
    <w:rsid w:val="27B13177"/>
    <w:rsid w:val="27B20448"/>
    <w:rsid w:val="27B83B2E"/>
    <w:rsid w:val="27BB1A8B"/>
    <w:rsid w:val="27BD3A55"/>
    <w:rsid w:val="27C22E19"/>
    <w:rsid w:val="27C923FA"/>
    <w:rsid w:val="27CA2A7A"/>
    <w:rsid w:val="27CB7F20"/>
    <w:rsid w:val="27CC3C98"/>
    <w:rsid w:val="27D139D1"/>
    <w:rsid w:val="27DA0163"/>
    <w:rsid w:val="27E64D5A"/>
    <w:rsid w:val="27EC60E8"/>
    <w:rsid w:val="27F154AD"/>
    <w:rsid w:val="27F258DB"/>
    <w:rsid w:val="27F33FEA"/>
    <w:rsid w:val="27FF6A4F"/>
    <w:rsid w:val="280276BA"/>
    <w:rsid w:val="28095340"/>
    <w:rsid w:val="280B4FF2"/>
    <w:rsid w:val="280E605F"/>
    <w:rsid w:val="281713B7"/>
    <w:rsid w:val="282E04AF"/>
    <w:rsid w:val="283310F0"/>
    <w:rsid w:val="28377363"/>
    <w:rsid w:val="283E4B96"/>
    <w:rsid w:val="28445F24"/>
    <w:rsid w:val="2847771B"/>
    <w:rsid w:val="28485A15"/>
    <w:rsid w:val="28520641"/>
    <w:rsid w:val="285D03D0"/>
    <w:rsid w:val="28610884"/>
    <w:rsid w:val="286363AA"/>
    <w:rsid w:val="286B2CA4"/>
    <w:rsid w:val="286B2E69"/>
    <w:rsid w:val="286F11F3"/>
    <w:rsid w:val="287961D1"/>
    <w:rsid w:val="287C56BE"/>
    <w:rsid w:val="287F6F5C"/>
    <w:rsid w:val="288307FB"/>
    <w:rsid w:val="28846321"/>
    <w:rsid w:val="28855885"/>
    <w:rsid w:val="28855A7D"/>
    <w:rsid w:val="288822B5"/>
    <w:rsid w:val="28911ACC"/>
    <w:rsid w:val="28916946"/>
    <w:rsid w:val="2899001E"/>
    <w:rsid w:val="28A3685F"/>
    <w:rsid w:val="28A54C15"/>
    <w:rsid w:val="28A7421F"/>
    <w:rsid w:val="28AD3ACA"/>
    <w:rsid w:val="28AF7842"/>
    <w:rsid w:val="28B430AA"/>
    <w:rsid w:val="28B74948"/>
    <w:rsid w:val="28BE1833"/>
    <w:rsid w:val="28C11323"/>
    <w:rsid w:val="28CA642A"/>
    <w:rsid w:val="28CD7CC8"/>
    <w:rsid w:val="28D15A0A"/>
    <w:rsid w:val="28D177B8"/>
    <w:rsid w:val="28D41056"/>
    <w:rsid w:val="28D70B46"/>
    <w:rsid w:val="28D92B11"/>
    <w:rsid w:val="28DE1ED5"/>
    <w:rsid w:val="28DE2A6B"/>
    <w:rsid w:val="28DF17A9"/>
    <w:rsid w:val="28E072CF"/>
    <w:rsid w:val="28ED036A"/>
    <w:rsid w:val="28EF7C3E"/>
    <w:rsid w:val="28F11C08"/>
    <w:rsid w:val="28F147A8"/>
    <w:rsid w:val="28FC235B"/>
    <w:rsid w:val="28FD69FA"/>
    <w:rsid w:val="2912661F"/>
    <w:rsid w:val="29143B49"/>
    <w:rsid w:val="29183639"/>
    <w:rsid w:val="291B0A33"/>
    <w:rsid w:val="291D0C4F"/>
    <w:rsid w:val="29220014"/>
    <w:rsid w:val="29226266"/>
    <w:rsid w:val="2927387C"/>
    <w:rsid w:val="292813A2"/>
    <w:rsid w:val="292A511A"/>
    <w:rsid w:val="292F0982"/>
    <w:rsid w:val="29332221"/>
    <w:rsid w:val="2934651F"/>
    <w:rsid w:val="293715E5"/>
    <w:rsid w:val="29373393"/>
    <w:rsid w:val="293B2E83"/>
    <w:rsid w:val="294A756A"/>
    <w:rsid w:val="294D2BB7"/>
    <w:rsid w:val="295108F9"/>
    <w:rsid w:val="29534671"/>
    <w:rsid w:val="29587103"/>
    <w:rsid w:val="296057E6"/>
    <w:rsid w:val="296543A4"/>
    <w:rsid w:val="2967011C"/>
    <w:rsid w:val="296B6CBA"/>
    <w:rsid w:val="296C74E1"/>
    <w:rsid w:val="2973086F"/>
    <w:rsid w:val="29752839"/>
    <w:rsid w:val="297840D8"/>
    <w:rsid w:val="29890093"/>
    <w:rsid w:val="298E7457"/>
    <w:rsid w:val="298F31CF"/>
    <w:rsid w:val="298F4F7D"/>
    <w:rsid w:val="29982084"/>
    <w:rsid w:val="299A22A0"/>
    <w:rsid w:val="299D3B3E"/>
    <w:rsid w:val="29A30A29"/>
    <w:rsid w:val="29AE5D4B"/>
    <w:rsid w:val="29B13146"/>
    <w:rsid w:val="29B175E9"/>
    <w:rsid w:val="29BD5F8E"/>
    <w:rsid w:val="29C15A7E"/>
    <w:rsid w:val="29C323D4"/>
    <w:rsid w:val="29C56BF1"/>
    <w:rsid w:val="29C9048F"/>
    <w:rsid w:val="29CC61D1"/>
    <w:rsid w:val="29CE1F49"/>
    <w:rsid w:val="29D11A3A"/>
    <w:rsid w:val="29D33D5E"/>
    <w:rsid w:val="29D46E34"/>
    <w:rsid w:val="29D55086"/>
    <w:rsid w:val="29D82DC8"/>
    <w:rsid w:val="29DD218D"/>
    <w:rsid w:val="29DF7CB3"/>
    <w:rsid w:val="29E057D9"/>
    <w:rsid w:val="29E452C9"/>
    <w:rsid w:val="29EB624B"/>
    <w:rsid w:val="29F1029B"/>
    <w:rsid w:val="29F714A0"/>
    <w:rsid w:val="2A047719"/>
    <w:rsid w:val="2A0B4F4C"/>
    <w:rsid w:val="2A0C4820"/>
    <w:rsid w:val="2A104310"/>
    <w:rsid w:val="2A17569E"/>
    <w:rsid w:val="2A1D4C7F"/>
    <w:rsid w:val="2A21310B"/>
    <w:rsid w:val="2A24600D"/>
    <w:rsid w:val="2A247DBB"/>
    <w:rsid w:val="2A2D4EC2"/>
    <w:rsid w:val="2A331DAD"/>
    <w:rsid w:val="2A351FC9"/>
    <w:rsid w:val="2A36189D"/>
    <w:rsid w:val="2A37772A"/>
    <w:rsid w:val="2A392CAE"/>
    <w:rsid w:val="2A3D0E7D"/>
    <w:rsid w:val="2A41271B"/>
    <w:rsid w:val="2A4160C7"/>
    <w:rsid w:val="2A420242"/>
    <w:rsid w:val="2A472991"/>
    <w:rsid w:val="2A497822"/>
    <w:rsid w:val="2A4E653F"/>
    <w:rsid w:val="2A636B36"/>
    <w:rsid w:val="2A677CA8"/>
    <w:rsid w:val="2A697EC4"/>
    <w:rsid w:val="2A7E3970"/>
    <w:rsid w:val="2A7F1496"/>
    <w:rsid w:val="2A7F4FF2"/>
    <w:rsid w:val="2A84085A"/>
    <w:rsid w:val="2A88659C"/>
    <w:rsid w:val="2A8E5B5E"/>
    <w:rsid w:val="2A8F792B"/>
    <w:rsid w:val="2A930A9D"/>
    <w:rsid w:val="2A9434E8"/>
    <w:rsid w:val="2A97233B"/>
    <w:rsid w:val="2AA1765E"/>
    <w:rsid w:val="2AA64C74"/>
    <w:rsid w:val="2AA8279A"/>
    <w:rsid w:val="2AAC58FF"/>
    <w:rsid w:val="2AAE58D7"/>
    <w:rsid w:val="2AB06293"/>
    <w:rsid w:val="2AB31D3F"/>
    <w:rsid w:val="2AB32EED"/>
    <w:rsid w:val="2AB54EB7"/>
    <w:rsid w:val="2ABB25E3"/>
    <w:rsid w:val="2ABF25ED"/>
    <w:rsid w:val="2AC31382"/>
    <w:rsid w:val="2AC33130"/>
    <w:rsid w:val="2AC3330D"/>
    <w:rsid w:val="2AC86999"/>
    <w:rsid w:val="2ACA2711"/>
    <w:rsid w:val="2ACF5F79"/>
    <w:rsid w:val="2AD73080"/>
    <w:rsid w:val="2AD90BA6"/>
    <w:rsid w:val="2AD92954"/>
    <w:rsid w:val="2AE015D7"/>
    <w:rsid w:val="2AE61515"/>
    <w:rsid w:val="2AEF3F25"/>
    <w:rsid w:val="2AF27EBA"/>
    <w:rsid w:val="2AF43C32"/>
    <w:rsid w:val="2AF459E0"/>
    <w:rsid w:val="2AF4778E"/>
    <w:rsid w:val="2AFE685E"/>
    <w:rsid w:val="2B004618"/>
    <w:rsid w:val="2B013C59"/>
    <w:rsid w:val="2B02634F"/>
    <w:rsid w:val="2B0A0D5F"/>
    <w:rsid w:val="2B1E480B"/>
    <w:rsid w:val="2B1F7399"/>
    <w:rsid w:val="2B230073"/>
    <w:rsid w:val="2B232BDB"/>
    <w:rsid w:val="2B285689"/>
    <w:rsid w:val="2B2A3917"/>
    <w:rsid w:val="2B32482A"/>
    <w:rsid w:val="2B367DA6"/>
    <w:rsid w:val="2B3758CC"/>
    <w:rsid w:val="2B3B360F"/>
    <w:rsid w:val="2B4C723F"/>
    <w:rsid w:val="2B520958"/>
    <w:rsid w:val="2B5446D0"/>
    <w:rsid w:val="2B54647E"/>
    <w:rsid w:val="2B5621F6"/>
    <w:rsid w:val="2B6058E0"/>
    <w:rsid w:val="2B612949"/>
    <w:rsid w:val="2B6366C1"/>
    <w:rsid w:val="2B69794E"/>
    <w:rsid w:val="2B7663F5"/>
    <w:rsid w:val="2B811635"/>
    <w:rsid w:val="2B8F74B6"/>
    <w:rsid w:val="2B97636B"/>
    <w:rsid w:val="2B980A61"/>
    <w:rsid w:val="2B9E76FA"/>
    <w:rsid w:val="2B9E7BC7"/>
    <w:rsid w:val="2BA03472"/>
    <w:rsid w:val="2BA411B4"/>
    <w:rsid w:val="2BA5645F"/>
    <w:rsid w:val="2BAE12E7"/>
    <w:rsid w:val="2BB62C95"/>
    <w:rsid w:val="2BB94533"/>
    <w:rsid w:val="2BBB02AC"/>
    <w:rsid w:val="2BC255A4"/>
    <w:rsid w:val="2BD17ACF"/>
    <w:rsid w:val="2BD32520"/>
    <w:rsid w:val="2BD33847"/>
    <w:rsid w:val="2BD66E93"/>
    <w:rsid w:val="2BDB6BA0"/>
    <w:rsid w:val="2BE07D12"/>
    <w:rsid w:val="2BE23A8A"/>
    <w:rsid w:val="2BE95450"/>
    <w:rsid w:val="2BEA1CFB"/>
    <w:rsid w:val="2BEB4B93"/>
    <w:rsid w:val="2BF26F01"/>
    <w:rsid w:val="2BF33EE9"/>
    <w:rsid w:val="2BF51A0F"/>
    <w:rsid w:val="2C0440A1"/>
    <w:rsid w:val="2C10541E"/>
    <w:rsid w:val="2C11611D"/>
    <w:rsid w:val="2C1C51EE"/>
    <w:rsid w:val="2C210A56"/>
    <w:rsid w:val="2C2643AF"/>
    <w:rsid w:val="2C2A71DF"/>
    <w:rsid w:val="2C2E3173"/>
    <w:rsid w:val="2C3F712F"/>
    <w:rsid w:val="2C41345C"/>
    <w:rsid w:val="2C464019"/>
    <w:rsid w:val="2C475FE3"/>
    <w:rsid w:val="2C4B5AD3"/>
    <w:rsid w:val="2C4C35F9"/>
    <w:rsid w:val="2C4C3F30"/>
    <w:rsid w:val="2C4C53A8"/>
    <w:rsid w:val="2C5030EA"/>
    <w:rsid w:val="2C506C46"/>
    <w:rsid w:val="2C526E62"/>
    <w:rsid w:val="2C536736"/>
    <w:rsid w:val="2C5F332D"/>
    <w:rsid w:val="2C5F50DB"/>
    <w:rsid w:val="2C673F8F"/>
    <w:rsid w:val="2C6941AB"/>
    <w:rsid w:val="2C6B1CD2"/>
    <w:rsid w:val="2C6B3A80"/>
    <w:rsid w:val="2C6D5A4A"/>
    <w:rsid w:val="2C6E3570"/>
    <w:rsid w:val="2C7C5C8D"/>
    <w:rsid w:val="2C7F577D"/>
    <w:rsid w:val="2C826E81"/>
    <w:rsid w:val="2C862667"/>
    <w:rsid w:val="2C8D1C48"/>
    <w:rsid w:val="2C970D19"/>
    <w:rsid w:val="2C9805ED"/>
    <w:rsid w:val="2C9E3E55"/>
    <w:rsid w:val="2CA014EB"/>
    <w:rsid w:val="2CA13945"/>
    <w:rsid w:val="2CA451E4"/>
    <w:rsid w:val="2CA70830"/>
    <w:rsid w:val="2CA84CD4"/>
    <w:rsid w:val="2CAA0A5A"/>
    <w:rsid w:val="2CAF6062"/>
    <w:rsid w:val="2CB76CC5"/>
    <w:rsid w:val="2CC17B44"/>
    <w:rsid w:val="2CC76232"/>
    <w:rsid w:val="2CC87124"/>
    <w:rsid w:val="2CC969F8"/>
    <w:rsid w:val="2CD258AD"/>
    <w:rsid w:val="2CD3327F"/>
    <w:rsid w:val="2CD77367"/>
    <w:rsid w:val="2CDA29B3"/>
    <w:rsid w:val="2CDA5A6E"/>
    <w:rsid w:val="2CDF4B0F"/>
    <w:rsid w:val="2CE101E6"/>
    <w:rsid w:val="2CED0939"/>
    <w:rsid w:val="2CED6B8B"/>
    <w:rsid w:val="2CF03F85"/>
    <w:rsid w:val="2CF271A5"/>
    <w:rsid w:val="2CF33A75"/>
    <w:rsid w:val="2CFA4E04"/>
    <w:rsid w:val="2CFF066C"/>
    <w:rsid w:val="2D0363AE"/>
    <w:rsid w:val="2D041698"/>
    <w:rsid w:val="2D087520"/>
    <w:rsid w:val="2D0B7011"/>
    <w:rsid w:val="2D0D4B37"/>
    <w:rsid w:val="2D1063D5"/>
    <w:rsid w:val="2D1C2FCC"/>
    <w:rsid w:val="2D1E0AF2"/>
    <w:rsid w:val="2D281971"/>
    <w:rsid w:val="2D395076"/>
    <w:rsid w:val="2D3E1194"/>
    <w:rsid w:val="2D426A09"/>
    <w:rsid w:val="2D4367AA"/>
    <w:rsid w:val="2D450775"/>
    <w:rsid w:val="2D46629B"/>
    <w:rsid w:val="2D524C40"/>
    <w:rsid w:val="2D563C6B"/>
    <w:rsid w:val="2D564730"/>
    <w:rsid w:val="2D590A8D"/>
    <w:rsid w:val="2D69305E"/>
    <w:rsid w:val="2D6F57F1"/>
    <w:rsid w:val="2D744BB6"/>
    <w:rsid w:val="2D7C30AE"/>
    <w:rsid w:val="2D7C3A6A"/>
    <w:rsid w:val="2D7E3C87"/>
    <w:rsid w:val="2D83304B"/>
    <w:rsid w:val="2D8400D7"/>
    <w:rsid w:val="2D851D9A"/>
    <w:rsid w:val="2D960FD0"/>
    <w:rsid w:val="2D9708A4"/>
    <w:rsid w:val="2D9C5EBB"/>
    <w:rsid w:val="2DA30834"/>
    <w:rsid w:val="2DAD00C8"/>
    <w:rsid w:val="2DAF5BEE"/>
    <w:rsid w:val="2DB256DE"/>
    <w:rsid w:val="2DBA2F11"/>
    <w:rsid w:val="2DC07DFB"/>
    <w:rsid w:val="2DC84F02"/>
    <w:rsid w:val="2DD41AF8"/>
    <w:rsid w:val="2DD92C6B"/>
    <w:rsid w:val="2DD9710F"/>
    <w:rsid w:val="2DDD6BFF"/>
    <w:rsid w:val="2DDE2E00"/>
    <w:rsid w:val="2DDF4725"/>
    <w:rsid w:val="2DE13A8A"/>
    <w:rsid w:val="2DE33AEA"/>
    <w:rsid w:val="2DE41D3C"/>
    <w:rsid w:val="2DE55AB4"/>
    <w:rsid w:val="2DE75388"/>
    <w:rsid w:val="2DEC6E42"/>
    <w:rsid w:val="2DF8044C"/>
    <w:rsid w:val="2E183793"/>
    <w:rsid w:val="2E1A575D"/>
    <w:rsid w:val="2E20089A"/>
    <w:rsid w:val="2E2959A0"/>
    <w:rsid w:val="2E2E2FB7"/>
    <w:rsid w:val="2E341F8D"/>
    <w:rsid w:val="2E3C2288"/>
    <w:rsid w:val="2E424CB4"/>
    <w:rsid w:val="2E4E7A03"/>
    <w:rsid w:val="2E580034"/>
    <w:rsid w:val="2E5A0250"/>
    <w:rsid w:val="2E5F13C2"/>
    <w:rsid w:val="2E67471B"/>
    <w:rsid w:val="2E690493"/>
    <w:rsid w:val="2E6B21B4"/>
    <w:rsid w:val="2E725599"/>
    <w:rsid w:val="2E81758A"/>
    <w:rsid w:val="2E822546"/>
    <w:rsid w:val="2E861045"/>
    <w:rsid w:val="2E8C5F2F"/>
    <w:rsid w:val="2E8E1CA7"/>
    <w:rsid w:val="2E9372BE"/>
    <w:rsid w:val="2E960B5C"/>
    <w:rsid w:val="2E9A0862"/>
    <w:rsid w:val="2EA65243"/>
    <w:rsid w:val="2EAD65D1"/>
    <w:rsid w:val="2EBA0CEE"/>
    <w:rsid w:val="2EC61441"/>
    <w:rsid w:val="2ED00512"/>
    <w:rsid w:val="2ED05F2C"/>
    <w:rsid w:val="2ED26038"/>
    <w:rsid w:val="2EDC6EB7"/>
    <w:rsid w:val="2EDD678B"/>
    <w:rsid w:val="2EDE0726"/>
    <w:rsid w:val="2EE23DA1"/>
    <w:rsid w:val="2EE32F12"/>
    <w:rsid w:val="2EE3501E"/>
    <w:rsid w:val="2EE43FBD"/>
    <w:rsid w:val="2EE93382"/>
    <w:rsid w:val="2EEB70FA"/>
    <w:rsid w:val="2EEE2746"/>
    <w:rsid w:val="2EEF5E4C"/>
    <w:rsid w:val="2EF557BC"/>
    <w:rsid w:val="2F063F34"/>
    <w:rsid w:val="2F0D7070"/>
    <w:rsid w:val="2F133481"/>
    <w:rsid w:val="2F1877C3"/>
    <w:rsid w:val="2F1C3757"/>
    <w:rsid w:val="2F285C58"/>
    <w:rsid w:val="2F300FB0"/>
    <w:rsid w:val="2F324D29"/>
    <w:rsid w:val="2F3320DE"/>
    <w:rsid w:val="2F3A3BDD"/>
    <w:rsid w:val="2F407445"/>
    <w:rsid w:val="2F503401"/>
    <w:rsid w:val="2F560A17"/>
    <w:rsid w:val="2F561217"/>
    <w:rsid w:val="2F5A7DDB"/>
    <w:rsid w:val="2F5B427F"/>
    <w:rsid w:val="2F662C24"/>
    <w:rsid w:val="2F6D3490"/>
    <w:rsid w:val="2F6D7B0F"/>
    <w:rsid w:val="2F6F3887"/>
    <w:rsid w:val="2F7075FF"/>
    <w:rsid w:val="2F77273B"/>
    <w:rsid w:val="2F792957"/>
    <w:rsid w:val="2F7B10A8"/>
    <w:rsid w:val="2F7E3ACA"/>
    <w:rsid w:val="2F880DEC"/>
    <w:rsid w:val="2F963509"/>
    <w:rsid w:val="2F971030"/>
    <w:rsid w:val="2F996B56"/>
    <w:rsid w:val="2F9B28CE"/>
    <w:rsid w:val="2FA23C5C"/>
    <w:rsid w:val="2FAA1469"/>
    <w:rsid w:val="2FAD2601"/>
    <w:rsid w:val="2FAD7A6F"/>
    <w:rsid w:val="2FB13E9F"/>
    <w:rsid w:val="2FB35E69"/>
    <w:rsid w:val="2FBB2F70"/>
    <w:rsid w:val="2FC11C09"/>
    <w:rsid w:val="2FC260AC"/>
    <w:rsid w:val="2FC5794B"/>
    <w:rsid w:val="2FC71915"/>
    <w:rsid w:val="2FCC0CD9"/>
    <w:rsid w:val="2FCF2577"/>
    <w:rsid w:val="2FD162F0"/>
    <w:rsid w:val="2FD45DE0"/>
    <w:rsid w:val="2FD83F7E"/>
    <w:rsid w:val="2FD91648"/>
    <w:rsid w:val="2FE7396B"/>
    <w:rsid w:val="2FEA115F"/>
    <w:rsid w:val="2FEC3129"/>
    <w:rsid w:val="2FF975F4"/>
    <w:rsid w:val="30006BD5"/>
    <w:rsid w:val="300D7D4A"/>
    <w:rsid w:val="300F506A"/>
    <w:rsid w:val="301461DC"/>
    <w:rsid w:val="30191A45"/>
    <w:rsid w:val="302544BC"/>
    <w:rsid w:val="302C1778"/>
    <w:rsid w:val="302C5C1C"/>
    <w:rsid w:val="3038011D"/>
    <w:rsid w:val="30384C45"/>
    <w:rsid w:val="303B5E5F"/>
    <w:rsid w:val="30461790"/>
    <w:rsid w:val="304940D8"/>
    <w:rsid w:val="304A7E50"/>
    <w:rsid w:val="304C5976"/>
    <w:rsid w:val="30534F57"/>
    <w:rsid w:val="30536D05"/>
    <w:rsid w:val="305413C9"/>
    <w:rsid w:val="30562C99"/>
    <w:rsid w:val="305A4537"/>
    <w:rsid w:val="305B02AF"/>
    <w:rsid w:val="305D4027"/>
    <w:rsid w:val="305E56A9"/>
    <w:rsid w:val="305F4CF6"/>
    <w:rsid w:val="306233EC"/>
    <w:rsid w:val="3062519A"/>
    <w:rsid w:val="306727B0"/>
    <w:rsid w:val="306B04F2"/>
    <w:rsid w:val="306E3B3E"/>
    <w:rsid w:val="30703D5A"/>
    <w:rsid w:val="307B44AD"/>
    <w:rsid w:val="307D6477"/>
    <w:rsid w:val="30890978"/>
    <w:rsid w:val="30894E1C"/>
    <w:rsid w:val="308A649E"/>
    <w:rsid w:val="309612E7"/>
    <w:rsid w:val="309D08C8"/>
    <w:rsid w:val="30A12166"/>
    <w:rsid w:val="30B11C7D"/>
    <w:rsid w:val="30B33C47"/>
    <w:rsid w:val="30B654E5"/>
    <w:rsid w:val="30BB2AFC"/>
    <w:rsid w:val="30BC6FA0"/>
    <w:rsid w:val="30C35F52"/>
    <w:rsid w:val="30C6397A"/>
    <w:rsid w:val="30C776F3"/>
    <w:rsid w:val="30D00355"/>
    <w:rsid w:val="30D36097"/>
    <w:rsid w:val="30D75B88"/>
    <w:rsid w:val="30DA7426"/>
    <w:rsid w:val="30DD2A72"/>
    <w:rsid w:val="30E71077"/>
    <w:rsid w:val="30E965CE"/>
    <w:rsid w:val="30EB1633"/>
    <w:rsid w:val="30F322CE"/>
    <w:rsid w:val="30F54260"/>
    <w:rsid w:val="30F57DBC"/>
    <w:rsid w:val="30FA3624"/>
    <w:rsid w:val="310224D9"/>
    <w:rsid w:val="310B75DF"/>
    <w:rsid w:val="31102E48"/>
    <w:rsid w:val="311A1F18"/>
    <w:rsid w:val="311E37B6"/>
    <w:rsid w:val="312132A7"/>
    <w:rsid w:val="312468F3"/>
    <w:rsid w:val="312B7C81"/>
    <w:rsid w:val="313308E4"/>
    <w:rsid w:val="313703D4"/>
    <w:rsid w:val="313A1C72"/>
    <w:rsid w:val="313E3CF9"/>
    <w:rsid w:val="314107E5"/>
    <w:rsid w:val="3143321D"/>
    <w:rsid w:val="314671C3"/>
    <w:rsid w:val="3152520E"/>
    <w:rsid w:val="31532D34"/>
    <w:rsid w:val="315A40C3"/>
    <w:rsid w:val="315E09D5"/>
    <w:rsid w:val="31684A32"/>
    <w:rsid w:val="317653A0"/>
    <w:rsid w:val="3179279B"/>
    <w:rsid w:val="317C228B"/>
    <w:rsid w:val="317E1D05"/>
    <w:rsid w:val="318178A1"/>
    <w:rsid w:val="319121DA"/>
    <w:rsid w:val="319677F1"/>
    <w:rsid w:val="319D02D5"/>
    <w:rsid w:val="31A6555A"/>
    <w:rsid w:val="31A83080"/>
    <w:rsid w:val="31AC0DC2"/>
    <w:rsid w:val="31B41A25"/>
    <w:rsid w:val="31B859B9"/>
    <w:rsid w:val="31B934DF"/>
    <w:rsid w:val="31BC4D7D"/>
    <w:rsid w:val="31BE2D2D"/>
    <w:rsid w:val="31C679AA"/>
    <w:rsid w:val="31C83722"/>
    <w:rsid w:val="31CD79A4"/>
    <w:rsid w:val="31CF685F"/>
    <w:rsid w:val="31D43E75"/>
    <w:rsid w:val="31DB3455"/>
    <w:rsid w:val="31DD5420"/>
    <w:rsid w:val="31E367AE"/>
    <w:rsid w:val="31EF6F01"/>
    <w:rsid w:val="31F12C79"/>
    <w:rsid w:val="31F2254D"/>
    <w:rsid w:val="31F255AF"/>
    <w:rsid w:val="31FB7654"/>
    <w:rsid w:val="31FD161E"/>
    <w:rsid w:val="31FE7C49"/>
    <w:rsid w:val="32004C6A"/>
    <w:rsid w:val="32026C34"/>
    <w:rsid w:val="32032B23"/>
    <w:rsid w:val="32105CA4"/>
    <w:rsid w:val="3216623C"/>
    <w:rsid w:val="32171FB4"/>
    <w:rsid w:val="3219034B"/>
    <w:rsid w:val="321921D0"/>
    <w:rsid w:val="3220530C"/>
    <w:rsid w:val="322070BA"/>
    <w:rsid w:val="3227669B"/>
    <w:rsid w:val="322A7F37"/>
    <w:rsid w:val="32324544"/>
    <w:rsid w:val="323808A8"/>
    <w:rsid w:val="3239017C"/>
    <w:rsid w:val="324463DD"/>
    <w:rsid w:val="324A4137"/>
    <w:rsid w:val="324C6101"/>
    <w:rsid w:val="324E00CB"/>
    <w:rsid w:val="325154C6"/>
    <w:rsid w:val="32544FB6"/>
    <w:rsid w:val="325B00F2"/>
    <w:rsid w:val="325B4596"/>
    <w:rsid w:val="32625925"/>
    <w:rsid w:val="326571C3"/>
    <w:rsid w:val="32672F3B"/>
    <w:rsid w:val="32676A97"/>
    <w:rsid w:val="326A4C5E"/>
    <w:rsid w:val="326C0551"/>
    <w:rsid w:val="32785148"/>
    <w:rsid w:val="327B2543"/>
    <w:rsid w:val="327B69E7"/>
    <w:rsid w:val="32876D44"/>
    <w:rsid w:val="328C4750"/>
    <w:rsid w:val="32904240"/>
    <w:rsid w:val="32931F82"/>
    <w:rsid w:val="32981347"/>
    <w:rsid w:val="329B0E37"/>
    <w:rsid w:val="329D070B"/>
    <w:rsid w:val="32AB107A"/>
    <w:rsid w:val="32AD1D1E"/>
    <w:rsid w:val="32AE46C6"/>
    <w:rsid w:val="32B1065A"/>
    <w:rsid w:val="32B55A55"/>
    <w:rsid w:val="32BC3287"/>
    <w:rsid w:val="32BD0DAD"/>
    <w:rsid w:val="32BD6371"/>
    <w:rsid w:val="32BF4B25"/>
    <w:rsid w:val="32C97752"/>
    <w:rsid w:val="32CC0FF0"/>
    <w:rsid w:val="32D0096E"/>
    <w:rsid w:val="32D228C1"/>
    <w:rsid w:val="32DA7B71"/>
    <w:rsid w:val="32DB1233"/>
    <w:rsid w:val="32E93950"/>
    <w:rsid w:val="32EA65B6"/>
    <w:rsid w:val="32F56799"/>
    <w:rsid w:val="32FD564D"/>
    <w:rsid w:val="32FE5564"/>
    <w:rsid w:val="32FF3174"/>
    <w:rsid w:val="33010C9A"/>
    <w:rsid w:val="33015C08"/>
    <w:rsid w:val="330662B0"/>
    <w:rsid w:val="330668C7"/>
    <w:rsid w:val="330864CC"/>
    <w:rsid w:val="33092244"/>
    <w:rsid w:val="33093135"/>
    <w:rsid w:val="33174961"/>
    <w:rsid w:val="331D1F7D"/>
    <w:rsid w:val="331F3816"/>
    <w:rsid w:val="33274478"/>
    <w:rsid w:val="332D7CE1"/>
    <w:rsid w:val="332E3A59"/>
    <w:rsid w:val="333C6176"/>
    <w:rsid w:val="334119DE"/>
    <w:rsid w:val="334420FC"/>
    <w:rsid w:val="33492641"/>
    <w:rsid w:val="334D0383"/>
    <w:rsid w:val="334D2131"/>
    <w:rsid w:val="335C4122"/>
    <w:rsid w:val="335D0B51"/>
    <w:rsid w:val="335D7E9A"/>
    <w:rsid w:val="335E433E"/>
    <w:rsid w:val="335F1E64"/>
    <w:rsid w:val="336D23E5"/>
    <w:rsid w:val="336E0395"/>
    <w:rsid w:val="336E7E90"/>
    <w:rsid w:val="33727DEA"/>
    <w:rsid w:val="337C47C4"/>
    <w:rsid w:val="33833DA5"/>
    <w:rsid w:val="33843679"/>
    <w:rsid w:val="338F274A"/>
    <w:rsid w:val="33945FB2"/>
    <w:rsid w:val="339E473B"/>
    <w:rsid w:val="33A04957"/>
    <w:rsid w:val="33A45AC9"/>
    <w:rsid w:val="33AF4B9A"/>
    <w:rsid w:val="33B26438"/>
    <w:rsid w:val="33BE302F"/>
    <w:rsid w:val="33C66680"/>
    <w:rsid w:val="33D075EA"/>
    <w:rsid w:val="33D20888"/>
    <w:rsid w:val="33DC5263"/>
    <w:rsid w:val="33E67E90"/>
    <w:rsid w:val="33E74334"/>
    <w:rsid w:val="33EF5A15"/>
    <w:rsid w:val="33F94067"/>
    <w:rsid w:val="33F97DCE"/>
    <w:rsid w:val="33FB393B"/>
    <w:rsid w:val="340139A0"/>
    <w:rsid w:val="34022C78"/>
    <w:rsid w:val="34076784"/>
    <w:rsid w:val="340A2E41"/>
    <w:rsid w:val="340E3385"/>
    <w:rsid w:val="340F5638"/>
    <w:rsid w:val="34125129"/>
    <w:rsid w:val="34142C4F"/>
    <w:rsid w:val="34164C19"/>
    <w:rsid w:val="341669C7"/>
    <w:rsid w:val="34182AF8"/>
    <w:rsid w:val="341D5FA7"/>
    <w:rsid w:val="341E3ACD"/>
    <w:rsid w:val="342310E4"/>
    <w:rsid w:val="342D5ABF"/>
    <w:rsid w:val="342F7A89"/>
    <w:rsid w:val="3431735D"/>
    <w:rsid w:val="34403A44"/>
    <w:rsid w:val="34452E08"/>
    <w:rsid w:val="344572AC"/>
    <w:rsid w:val="34496D9C"/>
    <w:rsid w:val="34533777"/>
    <w:rsid w:val="3454129D"/>
    <w:rsid w:val="34627E5E"/>
    <w:rsid w:val="34637732"/>
    <w:rsid w:val="346644D8"/>
    <w:rsid w:val="34761214"/>
    <w:rsid w:val="34767465"/>
    <w:rsid w:val="347E631A"/>
    <w:rsid w:val="348778C5"/>
    <w:rsid w:val="348F0527"/>
    <w:rsid w:val="34931DC5"/>
    <w:rsid w:val="34A55F9D"/>
    <w:rsid w:val="34AE1BA1"/>
    <w:rsid w:val="34B0549C"/>
    <w:rsid w:val="34B1049E"/>
    <w:rsid w:val="34B30DCC"/>
    <w:rsid w:val="34B34216"/>
    <w:rsid w:val="34B35455"/>
    <w:rsid w:val="34B87A7E"/>
    <w:rsid w:val="34BA6286"/>
    <w:rsid w:val="34BB3C1A"/>
    <w:rsid w:val="34C06933"/>
    <w:rsid w:val="34C5119A"/>
    <w:rsid w:val="34C93A39"/>
    <w:rsid w:val="34CB5A03"/>
    <w:rsid w:val="34CE2DFE"/>
    <w:rsid w:val="34D32B0A"/>
    <w:rsid w:val="34D84DA0"/>
    <w:rsid w:val="34DB140D"/>
    <w:rsid w:val="34E72111"/>
    <w:rsid w:val="34E940DB"/>
    <w:rsid w:val="34F226A3"/>
    <w:rsid w:val="34F52A80"/>
    <w:rsid w:val="34F62354"/>
    <w:rsid w:val="34FF56AD"/>
    <w:rsid w:val="35011425"/>
    <w:rsid w:val="35066A3B"/>
    <w:rsid w:val="350902DA"/>
    <w:rsid w:val="35106CB2"/>
    <w:rsid w:val="35141C21"/>
    <w:rsid w:val="351647A5"/>
    <w:rsid w:val="351C000D"/>
    <w:rsid w:val="351D1FD7"/>
    <w:rsid w:val="351F5D4F"/>
    <w:rsid w:val="35213875"/>
    <w:rsid w:val="352670DE"/>
    <w:rsid w:val="352944D8"/>
    <w:rsid w:val="354258EB"/>
    <w:rsid w:val="35494B7A"/>
    <w:rsid w:val="354B444E"/>
    <w:rsid w:val="35584DBD"/>
    <w:rsid w:val="35586B6B"/>
    <w:rsid w:val="355A0B35"/>
    <w:rsid w:val="355A28E3"/>
    <w:rsid w:val="35611EC4"/>
    <w:rsid w:val="356B5D6B"/>
    <w:rsid w:val="357165DC"/>
    <w:rsid w:val="357716E7"/>
    <w:rsid w:val="357A11D7"/>
    <w:rsid w:val="357C0AAC"/>
    <w:rsid w:val="357E0CC8"/>
    <w:rsid w:val="3583008C"/>
    <w:rsid w:val="35847960"/>
    <w:rsid w:val="358A08C4"/>
    <w:rsid w:val="358B6F41"/>
    <w:rsid w:val="358D2CB9"/>
    <w:rsid w:val="359305B1"/>
    <w:rsid w:val="359C2EFC"/>
    <w:rsid w:val="359E6C74"/>
    <w:rsid w:val="35A87AF3"/>
    <w:rsid w:val="35AA386B"/>
    <w:rsid w:val="35B244CD"/>
    <w:rsid w:val="35B30245"/>
    <w:rsid w:val="35B6520A"/>
    <w:rsid w:val="35B75F88"/>
    <w:rsid w:val="35BC70FA"/>
    <w:rsid w:val="35BE10C4"/>
    <w:rsid w:val="35BE7316"/>
    <w:rsid w:val="35C506A4"/>
    <w:rsid w:val="35C7361F"/>
    <w:rsid w:val="35CA5CBB"/>
    <w:rsid w:val="35D22DC1"/>
    <w:rsid w:val="35DE52C2"/>
    <w:rsid w:val="35E52AF5"/>
    <w:rsid w:val="35E548A3"/>
    <w:rsid w:val="35F15590"/>
    <w:rsid w:val="35F20D6E"/>
    <w:rsid w:val="35F42D38"/>
    <w:rsid w:val="360607D9"/>
    <w:rsid w:val="361138EA"/>
    <w:rsid w:val="36140CE4"/>
    <w:rsid w:val="36190C5C"/>
    <w:rsid w:val="361C0286"/>
    <w:rsid w:val="361C361A"/>
    <w:rsid w:val="361E7DB5"/>
    <w:rsid w:val="36203B2D"/>
    <w:rsid w:val="36257395"/>
    <w:rsid w:val="36274EBB"/>
    <w:rsid w:val="36281C7A"/>
    <w:rsid w:val="362A49AB"/>
    <w:rsid w:val="362B4280"/>
    <w:rsid w:val="36315D3A"/>
    <w:rsid w:val="36341386"/>
    <w:rsid w:val="36370B9C"/>
    <w:rsid w:val="363D46DF"/>
    <w:rsid w:val="363D616D"/>
    <w:rsid w:val="363E2205"/>
    <w:rsid w:val="364610BA"/>
    <w:rsid w:val="36467CF5"/>
    <w:rsid w:val="36495A34"/>
    <w:rsid w:val="364C4922"/>
    <w:rsid w:val="364E58BC"/>
    <w:rsid w:val="3652180C"/>
    <w:rsid w:val="36545584"/>
    <w:rsid w:val="36547DFA"/>
    <w:rsid w:val="36581519"/>
    <w:rsid w:val="3660217B"/>
    <w:rsid w:val="36603F29"/>
    <w:rsid w:val="36611E1B"/>
    <w:rsid w:val="36637EBD"/>
    <w:rsid w:val="366559E4"/>
    <w:rsid w:val="36657792"/>
    <w:rsid w:val="36681030"/>
    <w:rsid w:val="366C6D72"/>
    <w:rsid w:val="366D10AA"/>
    <w:rsid w:val="367050B6"/>
    <w:rsid w:val="36723C5D"/>
    <w:rsid w:val="36767BF1"/>
    <w:rsid w:val="367E0761"/>
    <w:rsid w:val="3680580C"/>
    <w:rsid w:val="36806379"/>
    <w:rsid w:val="368220F2"/>
    <w:rsid w:val="368563E3"/>
    <w:rsid w:val="36884601"/>
    <w:rsid w:val="36900CA3"/>
    <w:rsid w:val="369267B0"/>
    <w:rsid w:val="369462C9"/>
    <w:rsid w:val="369736C3"/>
    <w:rsid w:val="369E2CA4"/>
    <w:rsid w:val="36A209E6"/>
    <w:rsid w:val="36A4650C"/>
    <w:rsid w:val="36B614D4"/>
    <w:rsid w:val="36B9188B"/>
    <w:rsid w:val="36C344B8"/>
    <w:rsid w:val="36C721FA"/>
    <w:rsid w:val="36DD1A1E"/>
    <w:rsid w:val="36DD557A"/>
    <w:rsid w:val="36DE7CD7"/>
    <w:rsid w:val="36E032BC"/>
    <w:rsid w:val="36E763F9"/>
    <w:rsid w:val="36E8788B"/>
    <w:rsid w:val="36F17277"/>
    <w:rsid w:val="36FF1994"/>
    <w:rsid w:val="37070849"/>
    <w:rsid w:val="370945C1"/>
    <w:rsid w:val="370B789B"/>
    <w:rsid w:val="370C40B1"/>
    <w:rsid w:val="37135440"/>
    <w:rsid w:val="37166CDE"/>
    <w:rsid w:val="37215DAE"/>
    <w:rsid w:val="372431A9"/>
    <w:rsid w:val="372C6501"/>
    <w:rsid w:val="372E0CF4"/>
    <w:rsid w:val="373A0C1E"/>
    <w:rsid w:val="37531CE0"/>
    <w:rsid w:val="376938B1"/>
    <w:rsid w:val="376F3581"/>
    <w:rsid w:val="37751BBC"/>
    <w:rsid w:val="3787198A"/>
    <w:rsid w:val="378833EB"/>
    <w:rsid w:val="37887BDC"/>
    <w:rsid w:val="378C0679"/>
    <w:rsid w:val="378D6FA0"/>
    <w:rsid w:val="378E2D18"/>
    <w:rsid w:val="37976071"/>
    <w:rsid w:val="379F6CD3"/>
    <w:rsid w:val="37A02C15"/>
    <w:rsid w:val="37A31457"/>
    <w:rsid w:val="37AC319E"/>
    <w:rsid w:val="37B02C8E"/>
    <w:rsid w:val="37B07132"/>
    <w:rsid w:val="37B7401D"/>
    <w:rsid w:val="37BC5AD7"/>
    <w:rsid w:val="37BE5938"/>
    <w:rsid w:val="37C624B2"/>
    <w:rsid w:val="37CB5D1A"/>
    <w:rsid w:val="37CD55EE"/>
    <w:rsid w:val="37CE542D"/>
    <w:rsid w:val="37D20E57"/>
    <w:rsid w:val="37D864DF"/>
    <w:rsid w:val="37DE3C9F"/>
    <w:rsid w:val="37E50F72"/>
    <w:rsid w:val="37F232A7"/>
    <w:rsid w:val="37F7266B"/>
    <w:rsid w:val="37FC4126"/>
    <w:rsid w:val="37FE39FA"/>
    <w:rsid w:val="3806412E"/>
    <w:rsid w:val="380B25BB"/>
    <w:rsid w:val="3810197F"/>
    <w:rsid w:val="38190834"/>
    <w:rsid w:val="38286CC9"/>
    <w:rsid w:val="382A0C93"/>
    <w:rsid w:val="382A2A41"/>
    <w:rsid w:val="38303DCF"/>
    <w:rsid w:val="38315C5A"/>
    <w:rsid w:val="383218F5"/>
    <w:rsid w:val="3836588A"/>
    <w:rsid w:val="38376F0C"/>
    <w:rsid w:val="383C09C6"/>
    <w:rsid w:val="38440873"/>
    <w:rsid w:val="38482EC7"/>
    <w:rsid w:val="384F06F9"/>
    <w:rsid w:val="38575800"/>
    <w:rsid w:val="385A07E5"/>
    <w:rsid w:val="385D73CC"/>
    <w:rsid w:val="385E6B8E"/>
    <w:rsid w:val="385F7597"/>
    <w:rsid w:val="38664899"/>
    <w:rsid w:val="38685317"/>
    <w:rsid w:val="386F2B4A"/>
    <w:rsid w:val="38765C86"/>
    <w:rsid w:val="38787C50"/>
    <w:rsid w:val="387E0FDF"/>
    <w:rsid w:val="387E2D8D"/>
    <w:rsid w:val="388175F1"/>
    <w:rsid w:val="38877E93"/>
    <w:rsid w:val="388F6676"/>
    <w:rsid w:val="38966328"/>
    <w:rsid w:val="38975BFC"/>
    <w:rsid w:val="38992830"/>
    <w:rsid w:val="389E008F"/>
    <w:rsid w:val="38A94C99"/>
    <w:rsid w:val="38B30C88"/>
    <w:rsid w:val="38B7004D"/>
    <w:rsid w:val="38BB5D8F"/>
    <w:rsid w:val="38BD5663"/>
    <w:rsid w:val="38C20ECB"/>
    <w:rsid w:val="38CA5FD2"/>
    <w:rsid w:val="38D15764"/>
    <w:rsid w:val="38D6246F"/>
    <w:rsid w:val="38D96215"/>
    <w:rsid w:val="38E01351"/>
    <w:rsid w:val="38E26757"/>
    <w:rsid w:val="38E3340E"/>
    <w:rsid w:val="38E76B84"/>
    <w:rsid w:val="38EE7F12"/>
    <w:rsid w:val="38F00189"/>
    <w:rsid w:val="38F117B0"/>
    <w:rsid w:val="38FA68B7"/>
    <w:rsid w:val="38FB262F"/>
    <w:rsid w:val="3905525C"/>
    <w:rsid w:val="390E2362"/>
    <w:rsid w:val="39113C01"/>
    <w:rsid w:val="39131727"/>
    <w:rsid w:val="39162FC5"/>
    <w:rsid w:val="391D25A6"/>
    <w:rsid w:val="391F658F"/>
    <w:rsid w:val="392A081F"/>
    <w:rsid w:val="3932058D"/>
    <w:rsid w:val="39351F15"/>
    <w:rsid w:val="394A0EC1"/>
    <w:rsid w:val="394C69E7"/>
    <w:rsid w:val="39504729"/>
    <w:rsid w:val="39513FFD"/>
    <w:rsid w:val="395F671A"/>
    <w:rsid w:val="39673821"/>
    <w:rsid w:val="396A1CC8"/>
    <w:rsid w:val="396B1563"/>
    <w:rsid w:val="396C7089"/>
    <w:rsid w:val="397D1296"/>
    <w:rsid w:val="398268AC"/>
    <w:rsid w:val="398B5761"/>
    <w:rsid w:val="398C7670"/>
    <w:rsid w:val="3995213C"/>
    <w:rsid w:val="39970445"/>
    <w:rsid w:val="399D7242"/>
    <w:rsid w:val="39A14F85"/>
    <w:rsid w:val="39A26EE3"/>
    <w:rsid w:val="39A86313"/>
    <w:rsid w:val="39AB5E03"/>
    <w:rsid w:val="39AE76A2"/>
    <w:rsid w:val="39B0790D"/>
    <w:rsid w:val="39B12CEE"/>
    <w:rsid w:val="39B95BEC"/>
    <w:rsid w:val="39BA70D7"/>
    <w:rsid w:val="39BC591B"/>
    <w:rsid w:val="39C46EC5"/>
    <w:rsid w:val="39C742BF"/>
    <w:rsid w:val="39CE21CB"/>
    <w:rsid w:val="39D07618"/>
    <w:rsid w:val="39D37108"/>
    <w:rsid w:val="39E430C3"/>
    <w:rsid w:val="39EB4452"/>
    <w:rsid w:val="39EB6200"/>
    <w:rsid w:val="39F552D0"/>
    <w:rsid w:val="39FE4185"/>
    <w:rsid w:val="3A045513"/>
    <w:rsid w:val="3A0472C2"/>
    <w:rsid w:val="3A0F1ED5"/>
    <w:rsid w:val="3A145757"/>
    <w:rsid w:val="3A15327D"/>
    <w:rsid w:val="3A23599A"/>
    <w:rsid w:val="3A267238"/>
    <w:rsid w:val="3A322081"/>
    <w:rsid w:val="3A345DF9"/>
    <w:rsid w:val="3A371445"/>
    <w:rsid w:val="3A3758E9"/>
    <w:rsid w:val="3A3C4CAD"/>
    <w:rsid w:val="3A3C70DA"/>
    <w:rsid w:val="3A414072"/>
    <w:rsid w:val="3A4934F6"/>
    <w:rsid w:val="3A4D2A17"/>
    <w:rsid w:val="3A4F2C33"/>
    <w:rsid w:val="3A5169AB"/>
    <w:rsid w:val="3A5913BB"/>
    <w:rsid w:val="3A5E4C24"/>
    <w:rsid w:val="3A646B9F"/>
    <w:rsid w:val="3A647D60"/>
    <w:rsid w:val="3A6B096B"/>
    <w:rsid w:val="3A6B7341"/>
    <w:rsid w:val="3A6C5593"/>
    <w:rsid w:val="3A712BA9"/>
    <w:rsid w:val="3A7461F5"/>
    <w:rsid w:val="3A7E52C6"/>
    <w:rsid w:val="3A865F28"/>
    <w:rsid w:val="3A8A77C7"/>
    <w:rsid w:val="3A8B1E81"/>
    <w:rsid w:val="3A8E5D10"/>
    <w:rsid w:val="3A9C399E"/>
    <w:rsid w:val="3A9E14C4"/>
    <w:rsid w:val="3AA30888"/>
    <w:rsid w:val="3AA60379"/>
    <w:rsid w:val="3AB02FA5"/>
    <w:rsid w:val="3AB15DF4"/>
    <w:rsid w:val="3AB962FE"/>
    <w:rsid w:val="3AD2116E"/>
    <w:rsid w:val="3AD969A0"/>
    <w:rsid w:val="3AE07D2F"/>
    <w:rsid w:val="3AE11A4E"/>
    <w:rsid w:val="3AE20E7B"/>
    <w:rsid w:val="3AEA64B7"/>
    <w:rsid w:val="3AF45588"/>
    <w:rsid w:val="3AF61300"/>
    <w:rsid w:val="3AF85078"/>
    <w:rsid w:val="3AF86E26"/>
    <w:rsid w:val="3AFB06C4"/>
    <w:rsid w:val="3AFE015A"/>
    <w:rsid w:val="3AFE1F63"/>
    <w:rsid w:val="3B00217F"/>
    <w:rsid w:val="3B021A53"/>
    <w:rsid w:val="3B057795"/>
    <w:rsid w:val="3B06492D"/>
    <w:rsid w:val="3B070E17"/>
    <w:rsid w:val="3B07350D"/>
    <w:rsid w:val="3B0E03F8"/>
    <w:rsid w:val="3B10495E"/>
    <w:rsid w:val="3B11613A"/>
    <w:rsid w:val="3B143534"/>
    <w:rsid w:val="3B145AF3"/>
    <w:rsid w:val="3B163750"/>
    <w:rsid w:val="3B1765B9"/>
    <w:rsid w:val="3B1874C8"/>
    <w:rsid w:val="3B223EA3"/>
    <w:rsid w:val="3B225C51"/>
    <w:rsid w:val="3B272BC0"/>
    <w:rsid w:val="3B2A2D58"/>
    <w:rsid w:val="3B2A4FB6"/>
    <w:rsid w:val="3B2F036E"/>
    <w:rsid w:val="3B345984"/>
    <w:rsid w:val="3B365BA1"/>
    <w:rsid w:val="3B404329"/>
    <w:rsid w:val="3B471E8D"/>
    <w:rsid w:val="3B4C7172"/>
    <w:rsid w:val="3B514788"/>
    <w:rsid w:val="3B5B1163"/>
    <w:rsid w:val="3B6444BC"/>
    <w:rsid w:val="3B6C3376"/>
    <w:rsid w:val="3B6C511E"/>
    <w:rsid w:val="3B710987"/>
    <w:rsid w:val="3B716BD9"/>
    <w:rsid w:val="3B7364AD"/>
    <w:rsid w:val="3B765F9D"/>
    <w:rsid w:val="3B84149C"/>
    <w:rsid w:val="3B932D9C"/>
    <w:rsid w:val="3B934DA1"/>
    <w:rsid w:val="3B974891"/>
    <w:rsid w:val="3B9823B7"/>
    <w:rsid w:val="3B985F13"/>
    <w:rsid w:val="3B9D352A"/>
    <w:rsid w:val="3BB0325D"/>
    <w:rsid w:val="3BB54D17"/>
    <w:rsid w:val="3BB645EB"/>
    <w:rsid w:val="3BB70A8F"/>
    <w:rsid w:val="3BBF7934"/>
    <w:rsid w:val="3BC136BC"/>
    <w:rsid w:val="3BC21196"/>
    <w:rsid w:val="3BCD02B3"/>
    <w:rsid w:val="3BD26834"/>
    <w:rsid w:val="3BD333EF"/>
    <w:rsid w:val="3BD86C58"/>
    <w:rsid w:val="3BDA004C"/>
    <w:rsid w:val="3BDD601C"/>
    <w:rsid w:val="3BE41159"/>
    <w:rsid w:val="3BE63123"/>
    <w:rsid w:val="3BE92C13"/>
    <w:rsid w:val="3BE949C1"/>
    <w:rsid w:val="3BED7890"/>
    <w:rsid w:val="3BEE1FD7"/>
    <w:rsid w:val="3BF910A8"/>
    <w:rsid w:val="3BFA6BCE"/>
    <w:rsid w:val="3C016C03"/>
    <w:rsid w:val="3C027831"/>
    <w:rsid w:val="3C0637C5"/>
    <w:rsid w:val="3C0B4937"/>
    <w:rsid w:val="3C19288C"/>
    <w:rsid w:val="3C1A7270"/>
    <w:rsid w:val="3C1C6B44"/>
    <w:rsid w:val="3C1E28BD"/>
    <w:rsid w:val="3C221C81"/>
    <w:rsid w:val="3C241E9D"/>
    <w:rsid w:val="3C2974B3"/>
    <w:rsid w:val="3C2B2CDD"/>
    <w:rsid w:val="3C2D0D52"/>
    <w:rsid w:val="3C44609B"/>
    <w:rsid w:val="3C4542ED"/>
    <w:rsid w:val="3C463BC1"/>
    <w:rsid w:val="3C4816E7"/>
    <w:rsid w:val="3C575DCE"/>
    <w:rsid w:val="3C5E64CC"/>
    <w:rsid w:val="3C65673D"/>
    <w:rsid w:val="3C6D55F2"/>
    <w:rsid w:val="3C795D45"/>
    <w:rsid w:val="3C7C3A87"/>
    <w:rsid w:val="3C860462"/>
    <w:rsid w:val="3C8A7F52"/>
    <w:rsid w:val="3C8D359F"/>
    <w:rsid w:val="3C8F37BA"/>
    <w:rsid w:val="3C9012E0"/>
    <w:rsid w:val="3C926C30"/>
    <w:rsid w:val="3C942B7F"/>
    <w:rsid w:val="3C97441D"/>
    <w:rsid w:val="3C990195"/>
    <w:rsid w:val="3C991F43"/>
    <w:rsid w:val="3C9C5ED7"/>
    <w:rsid w:val="3CA31014"/>
    <w:rsid w:val="3CA3386E"/>
    <w:rsid w:val="3CA408E8"/>
    <w:rsid w:val="3CA54696"/>
    <w:rsid w:val="3CA8662A"/>
    <w:rsid w:val="3CAC611A"/>
    <w:rsid w:val="3CB74ABF"/>
    <w:rsid w:val="3CB95BEC"/>
    <w:rsid w:val="3CBA43FC"/>
    <w:rsid w:val="3CBC3E83"/>
    <w:rsid w:val="3CC01BC6"/>
    <w:rsid w:val="3CC72F54"/>
    <w:rsid w:val="3CC82828"/>
    <w:rsid w:val="3CCE5FE8"/>
    <w:rsid w:val="3CDC62D4"/>
    <w:rsid w:val="3CE60F00"/>
    <w:rsid w:val="3CED6733"/>
    <w:rsid w:val="3CF11D7F"/>
    <w:rsid w:val="3CF14471"/>
    <w:rsid w:val="3CF4186F"/>
    <w:rsid w:val="3CF96E86"/>
    <w:rsid w:val="3CFB2BFE"/>
    <w:rsid w:val="3CFD6976"/>
    <w:rsid w:val="3D023F8C"/>
    <w:rsid w:val="3D0870C9"/>
    <w:rsid w:val="3D143CBF"/>
    <w:rsid w:val="3D197528"/>
    <w:rsid w:val="3D1A6D6D"/>
    <w:rsid w:val="3D1B32A0"/>
    <w:rsid w:val="3D1B504E"/>
    <w:rsid w:val="3D251A29"/>
    <w:rsid w:val="3D255ECD"/>
    <w:rsid w:val="3D2D6B2F"/>
    <w:rsid w:val="3D332398"/>
    <w:rsid w:val="3D335DE1"/>
    <w:rsid w:val="3D3377DE"/>
    <w:rsid w:val="3D363C36"/>
    <w:rsid w:val="3D3A7955"/>
    <w:rsid w:val="3D3D4FC4"/>
    <w:rsid w:val="3D4C5207"/>
    <w:rsid w:val="3D562397"/>
    <w:rsid w:val="3D573AAE"/>
    <w:rsid w:val="3D595B76"/>
    <w:rsid w:val="3D65451B"/>
    <w:rsid w:val="3D6F7148"/>
    <w:rsid w:val="3D7B3B93"/>
    <w:rsid w:val="3D7F382F"/>
    <w:rsid w:val="3D803103"/>
    <w:rsid w:val="3D8175A7"/>
    <w:rsid w:val="3D820C29"/>
    <w:rsid w:val="3D826E7B"/>
    <w:rsid w:val="3D845548"/>
    <w:rsid w:val="3D885DAE"/>
    <w:rsid w:val="3D8C7CFA"/>
    <w:rsid w:val="3D8E3A72"/>
    <w:rsid w:val="3D8F7B2C"/>
    <w:rsid w:val="3D931088"/>
    <w:rsid w:val="3D98669F"/>
    <w:rsid w:val="3D9A2417"/>
    <w:rsid w:val="3DA45043"/>
    <w:rsid w:val="3DA46DF1"/>
    <w:rsid w:val="3DA87F93"/>
    <w:rsid w:val="3DAE1A1E"/>
    <w:rsid w:val="3DB01C3A"/>
    <w:rsid w:val="3DB63F00"/>
    <w:rsid w:val="3DC41242"/>
    <w:rsid w:val="3DCC7E1D"/>
    <w:rsid w:val="3DCE3E6E"/>
    <w:rsid w:val="3DD0408A"/>
    <w:rsid w:val="3DD671C7"/>
    <w:rsid w:val="3DD75419"/>
    <w:rsid w:val="3DD84CED"/>
    <w:rsid w:val="3DDA2813"/>
    <w:rsid w:val="3DDC6AF7"/>
    <w:rsid w:val="3DE2791A"/>
    <w:rsid w:val="3DEB2C72"/>
    <w:rsid w:val="3DEE62BF"/>
    <w:rsid w:val="3DF2491B"/>
    <w:rsid w:val="3DF338D5"/>
    <w:rsid w:val="3E045AE2"/>
    <w:rsid w:val="3E087DD7"/>
    <w:rsid w:val="3E0930F8"/>
    <w:rsid w:val="3E1321C9"/>
    <w:rsid w:val="3E1675C3"/>
    <w:rsid w:val="3E216BCF"/>
    <w:rsid w:val="3E287A22"/>
    <w:rsid w:val="3E2919ED"/>
    <w:rsid w:val="3E29379B"/>
    <w:rsid w:val="3E2B7513"/>
    <w:rsid w:val="3E2C6DE7"/>
    <w:rsid w:val="3E2E7003"/>
    <w:rsid w:val="3E344619"/>
    <w:rsid w:val="3E3A1504"/>
    <w:rsid w:val="3E401EDE"/>
    <w:rsid w:val="3E491747"/>
    <w:rsid w:val="3E495BEB"/>
    <w:rsid w:val="3E52684D"/>
    <w:rsid w:val="3E5720B6"/>
    <w:rsid w:val="3E5F1E94"/>
    <w:rsid w:val="3E660695"/>
    <w:rsid w:val="3E6622F9"/>
    <w:rsid w:val="3E691DE9"/>
    <w:rsid w:val="3E6D7B2B"/>
    <w:rsid w:val="3E6F5651"/>
    <w:rsid w:val="3E7756FF"/>
    <w:rsid w:val="3E7C1B1C"/>
    <w:rsid w:val="3E815385"/>
    <w:rsid w:val="3E834C59"/>
    <w:rsid w:val="3E8F1850"/>
    <w:rsid w:val="3E9B4698"/>
    <w:rsid w:val="3E9E7CE5"/>
    <w:rsid w:val="3EA03A5D"/>
    <w:rsid w:val="3EA11583"/>
    <w:rsid w:val="3EA370A9"/>
    <w:rsid w:val="3EA572C5"/>
    <w:rsid w:val="3EA66B99"/>
    <w:rsid w:val="3EAB41B0"/>
    <w:rsid w:val="3EAD617A"/>
    <w:rsid w:val="3EAE5A4E"/>
    <w:rsid w:val="3EB14856"/>
    <w:rsid w:val="3EB42483"/>
    <w:rsid w:val="3EC139D3"/>
    <w:rsid w:val="3EC534C3"/>
    <w:rsid w:val="3EC62D97"/>
    <w:rsid w:val="3ECA0ADA"/>
    <w:rsid w:val="3ECA74C1"/>
    <w:rsid w:val="3ECA772F"/>
    <w:rsid w:val="3ED43706"/>
    <w:rsid w:val="3EE020AB"/>
    <w:rsid w:val="3EEB0A50"/>
    <w:rsid w:val="3EEC6CA2"/>
    <w:rsid w:val="3EF20030"/>
    <w:rsid w:val="3EF2616B"/>
    <w:rsid w:val="3EFE0737"/>
    <w:rsid w:val="3F022944"/>
    <w:rsid w:val="3F0538C0"/>
    <w:rsid w:val="3F081602"/>
    <w:rsid w:val="3F0833B0"/>
    <w:rsid w:val="3F125943"/>
    <w:rsid w:val="3F163D1F"/>
    <w:rsid w:val="3F1C6E5B"/>
    <w:rsid w:val="3F1D09B5"/>
    <w:rsid w:val="3F1E0E25"/>
    <w:rsid w:val="3F211766"/>
    <w:rsid w:val="3F312907"/>
    <w:rsid w:val="3F32667F"/>
    <w:rsid w:val="3F3917BB"/>
    <w:rsid w:val="3F402745"/>
    <w:rsid w:val="3F422D66"/>
    <w:rsid w:val="3F424B14"/>
    <w:rsid w:val="3F43088C"/>
    <w:rsid w:val="3F454604"/>
    <w:rsid w:val="3F4940F4"/>
    <w:rsid w:val="3F4C0AAE"/>
    <w:rsid w:val="3F4E170B"/>
    <w:rsid w:val="3F4F7231"/>
    <w:rsid w:val="3F52287D"/>
    <w:rsid w:val="3F577E93"/>
    <w:rsid w:val="3F5C459C"/>
    <w:rsid w:val="3F5D3B8E"/>
    <w:rsid w:val="3F650802"/>
    <w:rsid w:val="3F6A7BC7"/>
    <w:rsid w:val="3F6C393F"/>
    <w:rsid w:val="3F732F1F"/>
    <w:rsid w:val="3F7B1DD4"/>
    <w:rsid w:val="3F80388E"/>
    <w:rsid w:val="3F817D6A"/>
    <w:rsid w:val="3F836EDA"/>
    <w:rsid w:val="3F854A01"/>
    <w:rsid w:val="3F88629F"/>
    <w:rsid w:val="3F8E1B07"/>
    <w:rsid w:val="3F9D7F9C"/>
    <w:rsid w:val="3FA56E51"/>
    <w:rsid w:val="3FA72BC9"/>
    <w:rsid w:val="3FAE21A9"/>
    <w:rsid w:val="3FAF4912"/>
    <w:rsid w:val="3FB07F0A"/>
    <w:rsid w:val="3FB377C0"/>
    <w:rsid w:val="3FBB0422"/>
    <w:rsid w:val="3FBE7F13"/>
    <w:rsid w:val="3FC25C55"/>
    <w:rsid w:val="3FC27A03"/>
    <w:rsid w:val="3FC4377B"/>
    <w:rsid w:val="3FCA4B09"/>
    <w:rsid w:val="3FCD6998"/>
    <w:rsid w:val="3FCF129E"/>
    <w:rsid w:val="3FD140EA"/>
    <w:rsid w:val="3FD80FD4"/>
    <w:rsid w:val="3FE23C01"/>
    <w:rsid w:val="3FE71217"/>
    <w:rsid w:val="3FE756BB"/>
    <w:rsid w:val="3FE862D3"/>
    <w:rsid w:val="3FEB29BB"/>
    <w:rsid w:val="3FF102E8"/>
    <w:rsid w:val="3FF17EB1"/>
    <w:rsid w:val="3FFE2572"/>
    <w:rsid w:val="40161AFD"/>
    <w:rsid w:val="40170FC7"/>
    <w:rsid w:val="401A783F"/>
    <w:rsid w:val="401C35B7"/>
    <w:rsid w:val="40295CD4"/>
    <w:rsid w:val="40316936"/>
    <w:rsid w:val="4033445D"/>
    <w:rsid w:val="40356427"/>
    <w:rsid w:val="403F1053"/>
    <w:rsid w:val="404623E2"/>
    <w:rsid w:val="4047615A"/>
    <w:rsid w:val="404E74E8"/>
    <w:rsid w:val="405745EF"/>
    <w:rsid w:val="4057639D"/>
    <w:rsid w:val="40582115"/>
    <w:rsid w:val="405D772B"/>
    <w:rsid w:val="40646D0C"/>
    <w:rsid w:val="40664832"/>
    <w:rsid w:val="406665E0"/>
    <w:rsid w:val="40674515"/>
    <w:rsid w:val="406A72FF"/>
    <w:rsid w:val="406E36E7"/>
    <w:rsid w:val="40723D23"/>
    <w:rsid w:val="40736F4F"/>
    <w:rsid w:val="407451A1"/>
    <w:rsid w:val="40774C91"/>
    <w:rsid w:val="40784565"/>
    <w:rsid w:val="40787CE9"/>
    <w:rsid w:val="407D1B7C"/>
    <w:rsid w:val="407F3B46"/>
    <w:rsid w:val="40821279"/>
    <w:rsid w:val="40970E8F"/>
    <w:rsid w:val="409A44DC"/>
    <w:rsid w:val="409B6212"/>
    <w:rsid w:val="40A610D2"/>
    <w:rsid w:val="40A67324"/>
    <w:rsid w:val="40A95282"/>
    <w:rsid w:val="40AD420F"/>
    <w:rsid w:val="40AE7F87"/>
    <w:rsid w:val="40B437EF"/>
    <w:rsid w:val="40BA692C"/>
    <w:rsid w:val="40C003E6"/>
    <w:rsid w:val="40C03509"/>
    <w:rsid w:val="40CA0F1F"/>
    <w:rsid w:val="40CB6D8B"/>
    <w:rsid w:val="40CD787E"/>
    <w:rsid w:val="40D0614F"/>
    <w:rsid w:val="40D66097"/>
    <w:rsid w:val="40DE0018"/>
    <w:rsid w:val="40E65973"/>
    <w:rsid w:val="40E731F2"/>
    <w:rsid w:val="40E85247"/>
    <w:rsid w:val="40EF2A79"/>
    <w:rsid w:val="40F21C7A"/>
    <w:rsid w:val="40F84641"/>
    <w:rsid w:val="40FA4F7A"/>
    <w:rsid w:val="40FC6F44"/>
    <w:rsid w:val="40FF230D"/>
    <w:rsid w:val="4105404B"/>
    <w:rsid w:val="41055DF9"/>
    <w:rsid w:val="410F4ECA"/>
    <w:rsid w:val="41195D48"/>
    <w:rsid w:val="411C3143"/>
    <w:rsid w:val="411C75E7"/>
    <w:rsid w:val="411E335F"/>
    <w:rsid w:val="411E510D"/>
    <w:rsid w:val="412D70FE"/>
    <w:rsid w:val="412F731A"/>
    <w:rsid w:val="4132239B"/>
    <w:rsid w:val="41344930"/>
    <w:rsid w:val="414032D5"/>
    <w:rsid w:val="41474664"/>
    <w:rsid w:val="41484619"/>
    <w:rsid w:val="41566655"/>
    <w:rsid w:val="415B010F"/>
    <w:rsid w:val="415D5900"/>
    <w:rsid w:val="41665E32"/>
    <w:rsid w:val="41670FDA"/>
    <w:rsid w:val="41676AB4"/>
    <w:rsid w:val="416A65A4"/>
    <w:rsid w:val="416D399E"/>
    <w:rsid w:val="416F3BBA"/>
    <w:rsid w:val="417164E9"/>
    <w:rsid w:val="41760AA5"/>
    <w:rsid w:val="418238EE"/>
    <w:rsid w:val="41832E9E"/>
    <w:rsid w:val="41852436"/>
    <w:rsid w:val="41874A60"/>
    <w:rsid w:val="41882165"/>
    <w:rsid w:val="41902D4E"/>
    <w:rsid w:val="4191768D"/>
    <w:rsid w:val="4192308F"/>
    <w:rsid w:val="41943621"/>
    <w:rsid w:val="41A43864"/>
    <w:rsid w:val="41AA2E44"/>
    <w:rsid w:val="41AA4BF2"/>
    <w:rsid w:val="41B63597"/>
    <w:rsid w:val="41B96BE3"/>
    <w:rsid w:val="41C2018E"/>
    <w:rsid w:val="41C31810"/>
    <w:rsid w:val="41CF2A5F"/>
    <w:rsid w:val="41CF6407"/>
    <w:rsid w:val="41D13F2D"/>
    <w:rsid w:val="41D63C39"/>
    <w:rsid w:val="41DD28D2"/>
    <w:rsid w:val="41E579D9"/>
    <w:rsid w:val="41E73751"/>
    <w:rsid w:val="41E75040"/>
    <w:rsid w:val="41F52311"/>
    <w:rsid w:val="41F67393"/>
    <w:rsid w:val="41FB544E"/>
    <w:rsid w:val="41FF0A9A"/>
    <w:rsid w:val="42010CB6"/>
    <w:rsid w:val="420626C6"/>
    <w:rsid w:val="42097B6B"/>
    <w:rsid w:val="420C2CFA"/>
    <w:rsid w:val="42122868"/>
    <w:rsid w:val="42165DE4"/>
    <w:rsid w:val="421B7832"/>
    <w:rsid w:val="421F2EEA"/>
    <w:rsid w:val="42254A34"/>
    <w:rsid w:val="422C1AAB"/>
    <w:rsid w:val="422C5BEA"/>
    <w:rsid w:val="4230334A"/>
    <w:rsid w:val="42324373"/>
    <w:rsid w:val="423C0FCC"/>
    <w:rsid w:val="423C66CB"/>
    <w:rsid w:val="42417305"/>
    <w:rsid w:val="424566C9"/>
    <w:rsid w:val="42462B6D"/>
    <w:rsid w:val="424B13CE"/>
    <w:rsid w:val="424C5CAA"/>
    <w:rsid w:val="424E1A22"/>
    <w:rsid w:val="424F0BAF"/>
    <w:rsid w:val="4250579A"/>
    <w:rsid w:val="425132C0"/>
    <w:rsid w:val="4251506E"/>
    <w:rsid w:val="425A03C6"/>
    <w:rsid w:val="426052B1"/>
    <w:rsid w:val="42611755"/>
    <w:rsid w:val="42621029"/>
    <w:rsid w:val="42660B19"/>
    <w:rsid w:val="426D634C"/>
    <w:rsid w:val="42786A9F"/>
    <w:rsid w:val="427B20EB"/>
    <w:rsid w:val="42817701"/>
    <w:rsid w:val="428216CB"/>
    <w:rsid w:val="42823479"/>
    <w:rsid w:val="4283791D"/>
    <w:rsid w:val="42870F07"/>
    <w:rsid w:val="4290203A"/>
    <w:rsid w:val="429462ED"/>
    <w:rsid w:val="429531AD"/>
    <w:rsid w:val="42982C9D"/>
    <w:rsid w:val="42A11B51"/>
    <w:rsid w:val="42A47894"/>
    <w:rsid w:val="42A930FC"/>
    <w:rsid w:val="42A96C58"/>
    <w:rsid w:val="42AE24C0"/>
    <w:rsid w:val="42B06238"/>
    <w:rsid w:val="42B21FB1"/>
    <w:rsid w:val="42BA2C13"/>
    <w:rsid w:val="42BC7DDF"/>
    <w:rsid w:val="42C6199F"/>
    <w:rsid w:val="42CB4E20"/>
    <w:rsid w:val="42D24401"/>
    <w:rsid w:val="42D33CD5"/>
    <w:rsid w:val="42D40179"/>
    <w:rsid w:val="42D71A17"/>
    <w:rsid w:val="42DF08CC"/>
    <w:rsid w:val="42E303BC"/>
    <w:rsid w:val="42EA174A"/>
    <w:rsid w:val="42EE0B0F"/>
    <w:rsid w:val="42F02AD9"/>
    <w:rsid w:val="42F04887"/>
    <w:rsid w:val="42F1530D"/>
    <w:rsid w:val="43076C51"/>
    <w:rsid w:val="43100A85"/>
    <w:rsid w:val="4311222E"/>
    <w:rsid w:val="43160791"/>
    <w:rsid w:val="431A7B56"/>
    <w:rsid w:val="431C4ECF"/>
    <w:rsid w:val="431C742A"/>
    <w:rsid w:val="431D67C6"/>
    <w:rsid w:val="43210EE4"/>
    <w:rsid w:val="432664FB"/>
    <w:rsid w:val="432A5FEB"/>
    <w:rsid w:val="43340C18"/>
    <w:rsid w:val="434075BC"/>
    <w:rsid w:val="43413334"/>
    <w:rsid w:val="43476B9D"/>
    <w:rsid w:val="434A043B"/>
    <w:rsid w:val="434D1CD9"/>
    <w:rsid w:val="43566DE0"/>
    <w:rsid w:val="435B2648"/>
    <w:rsid w:val="435C1F1C"/>
    <w:rsid w:val="435C3DCD"/>
    <w:rsid w:val="43601A0D"/>
    <w:rsid w:val="436112E1"/>
    <w:rsid w:val="43670FED"/>
    <w:rsid w:val="4368266F"/>
    <w:rsid w:val="43686B13"/>
    <w:rsid w:val="43707776"/>
    <w:rsid w:val="437159C8"/>
    <w:rsid w:val="43741A13"/>
    <w:rsid w:val="43761230"/>
    <w:rsid w:val="437A5F67"/>
    <w:rsid w:val="437E00E5"/>
    <w:rsid w:val="437E2698"/>
    <w:rsid w:val="43803E5D"/>
    <w:rsid w:val="43825005"/>
    <w:rsid w:val="438C2802"/>
    <w:rsid w:val="4391606A"/>
    <w:rsid w:val="439174EF"/>
    <w:rsid w:val="439E2535"/>
    <w:rsid w:val="43A40430"/>
    <w:rsid w:val="43AD43B9"/>
    <w:rsid w:val="43B342D5"/>
    <w:rsid w:val="43B64397"/>
    <w:rsid w:val="43B6787E"/>
    <w:rsid w:val="43B753A5"/>
    <w:rsid w:val="43BA2D18"/>
    <w:rsid w:val="43BC29BB"/>
    <w:rsid w:val="43BE0389"/>
    <w:rsid w:val="43C02A2D"/>
    <w:rsid w:val="43C53F65"/>
    <w:rsid w:val="43CD6976"/>
    <w:rsid w:val="43CF26EE"/>
    <w:rsid w:val="43D23F8D"/>
    <w:rsid w:val="43D47D05"/>
    <w:rsid w:val="43D917BF"/>
    <w:rsid w:val="43DB416E"/>
    <w:rsid w:val="43DD4E0B"/>
    <w:rsid w:val="43E02B4D"/>
    <w:rsid w:val="43E443EC"/>
    <w:rsid w:val="43E50164"/>
    <w:rsid w:val="43E837B0"/>
    <w:rsid w:val="4404683C"/>
    <w:rsid w:val="440525B4"/>
    <w:rsid w:val="44093E52"/>
    <w:rsid w:val="44143B7E"/>
    <w:rsid w:val="44191BBB"/>
    <w:rsid w:val="441B1DD7"/>
    <w:rsid w:val="441C0974"/>
    <w:rsid w:val="44201AAB"/>
    <w:rsid w:val="442347E8"/>
    <w:rsid w:val="442C5D93"/>
    <w:rsid w:val="442C7B41"/>
    <w:rsid w:val="44315157"/>
    <w:rsid w:val="44332C7D"/>
    <w:rsid w:val="4436451B"/>
    <w:rsid w:val="44366C11"/>
    <w:rsid w:val="444B4E82"/>
    <w:rsid w:val="444C01E3"/>
    <w:rsid w:val="444E7AB7"/>
    <w:rsid w:val="44507440"/>
    <w:rsid w:val="445175A7"/>
    <w:rsid w:val="4453331F"/>
    <w:rsid w:val="445678A0"/>
    <w:rsid w:val="44580936"/>
    <w:rsid w:val="44581A9C"/>
    <w:rsid w:val="445C763E"/>
    <w:rsid w:val="445F3A72"/>
    <w:rsid w:val="44670B79"/>
    <w:rsid w:val="446A2417"/>
    <w:rsid w:val="4473751E"/>
    <w:rsid w:val="44784B34"/>
    <w:rsid w:val="447A164A"/>
    <w:rsid w:val="44801C3A"/>
    <w:rsid w:val="4484172B"/>
    <w:rsid w:val="448434D9"/>
    <w:rsid w:val="448A72D9"/>
    <w:rsid w:val="449A2CFC"/>
    <w:rsid w:val="44A26055"/>
    <w:rsid w:val="44A57770"/>
    <w:rsid w:val="44A95728"/>
    <w:rsid w:val="44B00772"/>
    <w:rsid w:val="44B813D4"/>
    <w:rsid w:val="44BA15F0"/>
    <w:rsid w:val="44BB309D"/>
    <w:rsid w:val="44BE2E8F"/>
    <w:rsid w:val="44C22034"/>
    <w:rsid w:val="44C4421D"/>
    <w:rsid w:val="44C61D43"/>
    <w:rsid w:val="44CD30D2"/>
    <w:rsid w:val="44D0152D"/>
    <w:rsid w:val="44D3620E"/>
    <w:rsid w:val="44D53D34"/>
    <w:rsid w:val="44D77AAC"/>
    <w:rsid w:val="44DA57EF"/>
    <w:rsid w:val="44DA759D"/>
    <w:rsid w:val="44DE708D"/>
    <w:rsid w:val="44E16B7D"/>
    <w:rsid w:val="44E4666D"/>
    <w:rsid w:val="44E87F0C"/>
    <w:rsid w:val="44E93C84"/>
    <w:rsid w:val="44EE4DF6"/>
    <w:rsid w:val="44EF1B82"/>
    <w:rsid w:val="44F22B38"/>
    <w:rsid w:val="44F3065E"/>
    <w:rsid w:val="44F763A1"/>
    <w:rsid w:val="44FA7C3F"/>
    <w:rsid w:val="4504286C"/>
    <w:rsid w:val="45091B37"/>
    <w:rsid w:val="450D0C9B"/>
    <w:rsid w:val="450D1720"/>
    <w:rsid w:val="450E2551"/>
    <w:rsid w:val="45102FBE"/>
    <w:rsid w:val="45102FC3"/>
    <w:rsid w:val="45154A79"/>
    <w:rsid w:val="451707F1"/>
    <w:rsid w:val="451C7BB5"/>
    <w:rsid w:val="45237196"/>
    <w:rsid w:val="4530540F"/>
    <w:rsid w:val="45336CAD"/>
    <w:rsid w:val="4537679D"/>
    <w:rsid w:val="45390767"/>
    <w:rsid w:val="453E3FCF"/>
    <w:rsid w:val="454A6268"/>
    <w:rsid w:val="454B049A"/>
    <w:rsid w:val="454F3AE7"/>
    <w:rsid w:val="455235D7"/>
    <w:rsid w:val="45561319"/>
    <w:rsid w:val="45594965"/>
    <w:rsid w:val="455E01CE"/>
    <w:rsid w:val="45637592"/>
    <w:rsid w:val="4565155C"/>
    <w:rsid w:val="45664FC9"/>
    <w:rsid w:val="456D21BF"/>
    <w:rsid w:val="4572682B"/>
    <w:rsid w:val="4574179F"/>
    <w:rsid w:val="45797C51"/>
    <w:rsid w:val="457B2B2E"/>
    <w:rsid w:val="457E617A"/>
    <w:rsid w:val="457F1EF2"/>
    <w:rsid w:val="45857508"/>
    <w:rsid w:val="4588349D"/>
    <w:rsid w:val="458D460F"/>
    <w:rsid w:val="459260C9"/>
    <w:rsid w:val="45991206"/>
    <w:rsid w:val="45997458"/>
    <w:rsid w:val="459A5616"/>
    <w:rsid w:val="459B31D0"/>
    <w:rsid w:val="45A168B6"/>
    <w:rsid w:val="45A32084"/>
    <w:rsid w:val="45A55DFD"/>
    <w:rsid w:val="45AB2CE7"/>
    <w:rsid w:val="45AD2F03"/>
    <w:rsid w:val="45AF0A29"/>
    <w:rsid w:val="45B55914"/>
    <w:rsid w:val="45B95404"/>
    <w:rsid w:val="45C1250B"/>
    <w:rsid w:val="45C269AF"/>
    <w:rsid w:val="45C33F05"/>
    <w:rsid w:val="45C83899"/>
    <w:rsid w:val="45CA3563"/>
    <w:rsid w:val="45CB307C"/>
    <w:rsid w:val="45CC15DB"/>
    <w:rsid w:val="45CC5137"/>
    <w:rsid w:val="45D069FA"/>
    <w:rsid w:val="45D466E2"/>
    <w:rsid w:val="45DB35CC"/>
    <w:rsid w:val="45DE58C9"/>
    <w:rsid w:val="45E00BE3"/>
    <w:rsid w:val="45E561F9"/>
    <w:rsid w:val="45E83F3B"/>
    <w:rsid w:val="45EC7588"/>
    <w:rsid w:val="45EE4E64"/>
    <w:rsid w:val="45F12DF0"/>
    <w:rsid w:val="45F66658"/>
    <w:rsid w:val="45F8417E"/>
    <w:rsid w:val="46050649"/>
    <w:rsid w:val="460D323F"/>
    <w:rsid w:val="460F3276"/>
    <w:rsid w:val="46164604"/>
    <w:rsid w:val="461A0599"/>
    <w:rsid w:val="461B2714"/>
    <w:rsid w:val="461E170B"/>
    <w:rsid w:val="462E5DF2"/>
    <w:rsid w:val="462F3918"/>
    <w:rsid w:val="46333408"/>
    <w:rsid w:val="46342CDD"/>
    <w:rsid w:val="46364CA7"/>
    <w:rsid w:val="463B406B"/>
    <w:rsid w:val="46401681"/>
    <w:rsid w:val="46492C2C"/>
    <w:rsid w:val="464E3D9E"/>
    <w:rsid w:val="464F2947"/>
    <w:rsid w:val="46603AD2"/>
    <w:rsid w:val="46641814"/>
    <w:rsid w:val="46671304"/>
    <w:rsid w:val="46674E60"/>
    <w:rsid w:val="466E2692"/>
    <w:rsid w:val="466F1F67"/>
    <w:rsid w:val="46711033"/>
    <w:rsid w:val="46841EB6"/>
    <w:rsid w:val="468C0D6B"/>
    <w:rsid w:val="469321A2"/>
    <w:rsid w:val="46957C1F"/>
    <w:rsid w:val="469D4D26"/>
    <w:rsid w:val="469F0A9E"/>
    <w:rsid w:val="46A2233C"/>
    <w:rsid w:val="46AD4F74"/>
    <w:rsid w:val="46AE0B03"/>
    <w:rsid w:val="46B5206F"/>
    <w:rsid w:val="46BD0F24"/>
    <w:rsid w:val="46C6427C"/>
    <w:rsid w:val="46CE3131"/>
    <w:rsid w:val="46D1677D"/>
    <w:rsid w:val="46D63D94"/>
    <w:rsid w:val="46DF0E9A"/>
    <w:rsid w:val="46E12E64"/>
    <w:rsid w:val="46F10BCE"/>
    <w:rsid w:val="46F41301"/>
    <w:rsid w:val="46F54B62"/>
    <w:rsid w:val="46FA3F26"/>
    <w:rsid w:val="46FC1A4C"/>
    <w:rsid w:val="46FC6C97"/>
    <w:rsid w:val="46FD1A7F"/>
    <w:rsid w:val="46FE3A16"/>
    <w:rsid w:val="470628CB"/>
    <w:rsid w:val="4707219F"/>
    <w:rsid w:val="47084895"/>
    <w:rsid w:val="47094169"/>
    <w:rsid w:val="470D1EAB"/>
    <w:rsid w:val="470D6E20"/>
    <w:rsid w:val="470E1780"/>
    <w:rsid w:val="4712301E"/>
    <w:rsid w:val="47190850"/>
    <w:rsid w:val="472004A5"/>
    <w:rsid w:val="47217705"/>
    <w:rsid w:val="472B0583"/>
    <w:rsid w:val="472D1F28"/>
    <w:rsid w:val="47356D0C"/>
    <w:rsid w:val="47370CD6"/>
    <w:rsid w:val="47372A84"/>
    <w:rsid w:val="473D2DF8"/>
    <w:rsid w:val="473E73A3"/>
    <w:rsid w:val="47431429"/>
    <w:rsid w:val="4743457C"/>
    <w:rsid w:val="4743767B"/>
    <w:rsid w:val="474433F3"/>
    <w:rsid w:val="474D22A8"/>
    <w:rsid w:val="474D6356"/>
    <w:rsid w:val="474E3B19"/>
    <w:rsid w:val="475353E4"/>
    <w:rsid w:val="47542219"/>
    <w:rsid w:val="475C073D"/>
    <w:rsid w:val="47653A95"/>
    <w:rsid w:val="47655843"/>
    <w:rsid w:val="476562C5"/>
    <w:rsid w:val="476B6BD2"/>
    <w:rsid w:val="476D294A"/>
    <w:rsid w:val="476D46F8"/>
    <w:rsid w:val="476D64A6"/>
    <w:rsid w:val="47723ABC"/>
    <w:rsid w:val="4773055C"/>
    <w:rsid w:val="47745A86"/>
    <w:rsid w:val="477737C9"/>
    <w:rsid w:val="47797541"/>
    <w:rsid w:val="477C26A4"/>
    <w:rsid w:val="477D4101"/>
    <w:rsid w:val="47835CCA"/>
    <w:rsid w:val="478E1CE8"/>
    <w:rsid w:val="479779C7"/>
    <w:rsid w:val="479C322F"/>
    <w:rsid w:val="47A143A2"/>
    <w:rsid w:val="47AF4ADF"/>
    <w:rsid w:val="47B916EB"/>
    <w:rsid w:val="47C87B80"/>
    <w:rsid w:val="47CB2B77"/>
    <w:rsid w:val="47CE74DE"/>
    <w:rsid w:val="47CF53B3"/>
    <w:rsid w:val="47D4097B"/>
    <w:rsid w:val="47D46525"/>
    <w:rsid w:val="47D66741"/>
    <w:rsid w:val="47D76015"/>
    <w:rsid w:val="47D93B3C"/>
    <w:rsid w:val="47E26E94"/>
    <w:rsid w:val="47E66258"/>
    <w:rsid w:val="47EA630C"/>
    <w:rsid w:val="47EC35F1"/>
    <w:rsid w:val="47F00E85"/>
    <w:rsid w:val="47F6649C"/>
    <w:rsid w:val="47F66832"/>
    <w:rsid w:val="47F92430"/>
    <w:rsid w:val="47FD3CCE"/>
    <w:rsid w:val="47FE7A46"/>
    <w:rsid w:val="48050DD4"/>
    <w:rsid w:val="480F1C53"/>
    <w:rsid w:val="48141018"/>
    <w:rsid w:val="48255D8A"/>
    <w:rsid w:val="48293097"/>
    <w:rsid w:val="48303FB9"/>
    <w:rsid w:val="483416BA"/>
    <w:rsid w:val="48360F8E"/>
    <w:rsid w:val="48376AB4"/>
    <w:rsid w:val="483D056E"/>
    <w:rsid w:val="483E7E42"/>
    <w:rsid w:val="484418FD"/>
    <w:rsid w:val="484A4A39"/>
    <w:rsid w:val="48531B40"/>
    <w:rsid w:val="48580F04"/>
    <w:rsid w:val="48592ECE"/>
    <w:rsid w:val="485A1120"/>
    <w:rsid w:val="486755EB"/>
    <w:rsid w:val="48763A80"/>
    <w:rsid w:val="48766FC9"/>
    <w:rsid w:val="487C2C1A"/>
    <w:rsid w:val="4884619D"/>
    <w:rsid w:val="48877A3B"/>
    <w:rsid w:val="488F069E"/>
    <w:rsid w:val="48904B42"/>
    <w:rsid w:val="48943F06"/>
    <w:rsid w:val="489A151D"/>
    <w:rsid w:val="48A24875"/>
    <w:rsid w:val="48A4795F"/>
    <w:rsid w:val="48AA06AF"/>
    <w:rsid w:val="48AE4FC8"/>
    <w:rsid w:val="48BB76E5"/>
    <w:rsid w:val="48BD16AF"/>
    <w:rsid w:val="48BF5427"/>
    <w:rsid w:val="48C91E02"/>
    <w:rsid w:val="48D32C81"/>
    <w:rsid w:val="48DA400F"/>
    <w:rsid w:val="48DC0EB5"/>
    <w:rsid w:val="48E5353B"/>
    <w:rsid w:val="48E7672C"/>
    <w:rsid w:val="48EC3D42"/>
    <w:rsid w:val="48F25C9A"/>
    <w:rsid w:val="490177EE"/>
    <w:rsid w:val="49042E3A"/>
    <w:rsid w:val="49060960"/>
    <w:rsid w:val="491858F6"/>
    <w:rsid w:val="491C0184"/>
    <w:rsid w:val="492141FC"/>
    <w:rsid w:val="49290AF3"/>
    <w:rsid w:val="492A04FD"/>
    <w:rsid w:val="492E435B"/>
    <w:rsid w:val="49325BF9"/>
    <w:rsid w:val="49331971"/>
    <w:rsid w:val="49357497"/>
    <w:rsid w:val="49366D6C"/>
    <w:rsid w:val="493A685C"/>
    <w:rsid w:val="4941408E"/>
    <w:rsid w:val="4944592C"/>
    <w:rsid w:val="494B6CBB"/>
    <w:rsid w:val="49583186"/>
    <w:rsid w:val="495C4A24"/>
    <w:rsid w:val="496B4C67"/>
    <w:rsid w:val="496D09DF"/>
    <w:rsid w:val="496E4757"/>
    <w:rsid w:val="4970227E"/>
    <w:rsid w:val="497A134E"/>
    <w:rsid w:val="497A4025"/>
    <w:rsid w:val="497C50C6"/>
    <w:rsid w:val="4981092F"/>
    <w:rsid w:val="4981448B"/>
    <w:rsid w:val="498521CD"/>
    <w:rsid w:val="49867CF3"/>
    <w:rsid w:val="49883A6B"/>
    <w:rsid w:val="49920446"/>
    <w:rsid w:val="499248EA"/>
    <w:rsid w:val="499E328F"/>
    <w:rsid w:val="49A14B2D"/>
    <w:rsid w:val="49A33231"/>
    <w:rsid w:val="49A81A17"/>
    <w:rsid w:val="49A87C69"/>
    <w:rsid w:val="49AD6EB4"/>
    <w:rsid w:val="49B04D70"/>
    <w:rsid w:val="49B605D8"/>
    <w:rsid w:val="49B760FE"/>
    <w:rsid w:val="49B8763F"/>
    <w:rsid w:val="49BF6D61"/>
    <w:rsid w:val="49C01457"/>
    <w:rsid w:val="49C51B7C"/>
    <w:rsid w:val="49C83E68"/>
    <w:rsid w:val="49CC7DFC"/>
    <w:rsid w:val="49CD5922"/>
    <w:rsid w:val="49CD76D0"/>
    <w:rsid w:val="49D15412"/>
    <w:rsid w:val="49D4280C"/>
    <w:rsid w:val="49DA6049"/>
    <w:rsid w:val="49DB003F"/>
    <w:rsid w:val="49DC7913"/>
    <w:rsid w:val="49DD5E2E"/>
    <w:rsid w:val="49DE368B"/>
    <w:rsid w:val="49DF11B1"/>
    <w:rsid w:val="49E54A1A"/>
    <w:rsid w:val="49E60792"/>
    <w:rsid w:val="49F27137"/>
    <w:rsid w:val="49F42EAF"/>
    <w:rsid w:val="49F7299F"/>
    <w:rsid w:val="49F866F1"/>
    <w:rsid w:val="49F96717"/>
    <w:rsid w:val="49FA5FEB"/>
    <w:rsid w:val="4A001853"/>
    <w:rsid w:val="4A007AA5"/>
    <w:rsid w:val="4A01737A"/>
    <w:rsid w:val="4A017A91"/>
    <w:rsid w:val="4A0330F2"/>
    <w:rsid w:val="4A05330E"/>
    <w:rsid w:val="4A077A34"/>
    <w:rsid w:val="4A093CE7"/>
    <w:rsid w:val="4A0A64C5"/>
    <w:rsid w:val="4A196EAA"/>
    <w:rsid w:val="4A1C38C9"/>
    <w:rsid w:val="4A1E1CDA"/>
    <w:rsid w:val="4A1E3175"/>
    <w:rsid w:val="4A1E617D"/>
    <w:rsid w:val="4A225C6E"/>
    <w:rsid w:val="4A2512BA"/>
    <w:rsid w:val="4A253068"/>
    <w:rsid w:val="4A272146"/>
    <w:rsid w:val="4A2A719E"/>
    <w:rsid w:val="4A3814EB"/>
    <w:rsid w:val="4A3C158D"/>
    <w:rsid w:val="4A407C50"/>
    <w:rsid w:val="4A413C1A"/>
    <w:rsid w:val="4A431740"/>
    <w:rsid w:val="4A440938"/>
    <w:rsid w:val="4A45370A"/>
    <w:rsid w:val="4A484FA8"/>
    <w:rsid w:val="4A4A6F73"/>
    <w:rsid w:val="4A4D0811"/>
    <w:rsid w:val="4A4E6A63"/>
    <w:rsid w:val="4A4F4589"/>
    <w:rsid w:val="4A58168F"/>
    <w:rsid w:val="4A58343D"/>
    <w:rsid w:val="4A595408"/>
    <w:rsid w:val="4A5B1180"/>
    <w:rsid w:val="4A5B4CDC"/>
    <w:rsid w:val="4A6022F2"/>
    <w:rsid w:val="4A6242BC"/>
    <w:rsid w:val="4A631737"/>
    <w:rsid w:val="4A655B5A"/>
    <w:rsid w:val="4A657908"/>
    <w:rsid w:val="4A673681"/>
    <w:rsid w:val="4A6C063B"/>
    <w:rsid w:val="4A6F0787"/>
    <w:rsid w:val="4A760499"/>
    <w:rsid w:val="4A7638C4"/>
    <w:rsid w:val="4A7D10F6"/>
    <w:rsid w:val="4A871F75"/>
    <w:rsid w:val="4A8C30E7"/>
    <w:rsid w:val="4A987CDE"/>
    <w:rsid w:val="4A993A56"/>
    <w:rsid w:val="4A9973CA"/>
    <w:rsid w:val="4AA20B5D"/>
    <w:rsid w:val="4AA246B9"/>
    <w:rsid w:val="4AAE5753"/>
    <w:rsid w:val="4AB16FF2"/>
    <w:rsid w:val="4AB4263E"/>
    <w:rsid w:val="4AC00FE3"/>
    <w:rsid w:val="4AC22FAD"/>
    <w:rsid w:val="4AC705C3"/>
    <w:rsid w:val="4AD11442"/>
    <w:rsid w:val="4AD11DB9"/>
    <w:rsid w:val="4AD131F0"/>
    <w:rsid w:val="4AD309EB"/>
    <w:rsid w:val="4AD60806"/>
    <w:rsid w:val="4AD74C4A"/>
    <w:rsid w:val="4AD8457E"/>
    <w:rsid w:val="4ADD1B95"/>
    <w:rsid w:val="4ADF3B5F"/>
    <w:rsid w:val="4AE274E7"/>
    <w:rsid w:val="4AE747C1"/>
    <w:rsid w:val="4AEC627C"/>
    <w:rsid w:val="4AF84C20"/>
    <w:rsid w:val="4AFA2747"/>
    <w:rsid w:val="4B0062C7"/>
    <w:rsid w:val="4B0610EB"/>
    <w:rsid w:val="4B0B6702"/>
    <w:rsid w:val="4B0C4228"/>
    <w:rsid w:val="4B0D06CC"/>
    <w:rsid w:val="4B103D18"/>
    <w:rsid w:val="4B1355B6"/>
    <w:rsid w:val="4B157580"/>
    <w:rsid w:val="4B1F21AD"/>
    <w:rsid w:val="4B1F5D09"/>
    <w:rsid w:val="4B266B52"/>
    <w:rsid w:val="4B296B88"/>
    <w:rsid w:val="4B2C48CA"/>
    <w:rsid w:val="4B3029DA"/>
    <w:rsid w:val="4B320132"/>
    <w:rsid w:val="4B3317B5"/>
    <w:rsid w:val="4B335C59"/>
    <w:rsid w:val="4B3519D1"/>
    <w:rsid w:val="4B3612A5"/>
    <w:rsid w:val="4B3F0A2D"/>
    <w:rsid w:val="4B404C52"/>
    <w:rsid w:val="4B4B624B"/>
    <w:rsid w:val="4B4C0AC8"/>
    <w:rsid w:val="4B5300A9"/>
    <w:rsid w:val="4B531E57"/>
    <w:rsid w:val="4B5736F5"/>
    <w:rsid w:val="4B5856BF"/>
    <w:rsid w:val="4B5C6F5D"/>
    <w:rsid w:val="4B616322"/>
    <w:rsid w:val="4B646578"/>
    <w:rsid w:val="4B69167A"/>
    <w:rsid w:val="4B7D0C82"/>
    <w:rsid w:val="4B7E5126"/>
    <w:rsid w:val="4B807D59"/>
    <w:rsid w:val="4B840262"/>
    <w:rsid w:val="4B8D35BB"/>
    <w:rsid w:val="4B906C07"/>
    <w:rsid w:val="4B92297F"/>
    <w:rsid w:val="4B971D44"/>
    <w:rsid w:val="4B983D0E"/>
    <w:rsid w:val="4B985ABC"/>
    <w:rsid w:val="4B990D30"/>
    <w:rsid w:val="4B991F60"/>
    <w:rsid w:val="4B9E7C97"/>
    <w:rsid w:val="4BA32C98"/>
    <w:rsid w:val="4BA72EF2"/>
    <w:rsid w:val="4BB57ADD"/>
    <w:rsid w:val="4BB802DF"/>
    <w:rsid w:val="4BBA3C84"/>
    <w:rsid w:val="4BC220E1"/>
    <w:rsid w:val="4BC845F3"/>
    <w:rsid w:val="4BC9778B"/>
    <w:rsid w:val="4BD06395"/>
    <w:rsid w:val="4BD42F98"/>
    <w:rsid w:val="4BD96800"/>
    <w:rsid w:val="4BE62CCB"/>
    <w:rsid w:val="4BE90DE9"/>
    <w:rsid w:val="4BEB208F"/>
    <w:rsid w:val="4BFC24EE"/>
    <w:rsid w:val="4BFD43D2"/>
    <w:rsid w:val="4BFE1DC3"/>
    <w:rsid w:val="4BFF5B3B"/>
    <w:rsid w:val="4C015AC6"/>
    <w:rsid w:val="4C06511B"/>
    <w:rsid w:val="4C0B2731"/>
    <w:rsid w:val="4C1415E6"/>
    <w:rsid w:val="4C15535E"/>
    <w:rsid w:val="4C177328"/>
    <w:rsid w:val="4C1B3259"/>
    <w:rsid w:val="4C1D69CE"/>
    <w:rsid w:val="4C2061DD"/>
    <w:rsid w:val="4C26756B"/>
    <w:rsid w:val="4C2820E9"/>
    <w:rsid w:val="4C285091"/>
    <w:rsid w:val="4C2D08FA"/>
    <w:rsid w:val="4C2F4672"/>
    <w:rsid w:val="4C3D6D8F"/>
    <w:rsid w:val="4C3E203F"/>
    <w:rsid w:val="4C3E6663"/>
    <w:rsid w:val="4C40062D"/>
    <w:rsid w:val="4C405706"/>
    <w:rsid w:val="4C433C79"/>
    <w:rsid w:val="4C4373A1"/>
    <w:rsid w:val="4C455C43"/>
    <w:rsid w:val="4C4579F1"/>
    <w:rsid w:val="4C4A2448"/>
    <w:rsid w:val="4C6762B5"/>
    <w:rsid w:val="4C681932"/>
    <w:rsid w:val="4C6B4F7E"/>
    <w:rsid w:val="4C6C1422"/>
    <w:rsid w:val="4C6C31D0"/>
    <w:rsid w:val="4C6F2CC0"/>
    <w:rsid w:val="4C7107E7"/>
    <w:rsid w:val="4C83051A"/>
    <w:rsid w:val="4C8524E4"/>
    <w:rsid w:val="4C883D82"/>
    <w:rsid w:val="4C9170DB"/>
    <w:rsid w:val="4C940979"/>
    <w:rsid w:val="4C975D73"/>
    <w:rsid w:val="4C983FC5"/>
    <w:rsid w:val="4C9B3AB5"/>
    <w:rsid w:val="4CA02E7A"/>
    <w:rsid w:val="4CA0731E"/>
    <w:rsid w:val="4CA27D42"/>
    <w:rsid w:val="4CB37051"/>
    <w:rsid w:val="4CB93F3C"/>
    <w:rsid w:val="4CBC3C0D"/>
    <w:rsid w:val="4CBD384F"/>
    <w:rsid w:val="4CBE1552"/>
    <w:rsid w:val="4CC254E6"/>
    <w:rsid w:val="4CC76658"/>
    <w:rsid w:val="4CCB4B63"/>
    <w:rsid w:val="4CCD5E29"/>
    <w:rsid w:val="4CD07C03"/>
    <w:rsid w:val="4CD46FC7"/>
    <w:rsid w:val="4CD60F91"/>
    <w:rsid w:val="4CD82614"/>
    <w:rsid w:val="4CD8534D"/>
    <w:rsid w:val="4CDA2830"/>
    <w:rsid w:val="4CDB26EA"/>
    <w:rsid w:val="4CE0596C"/>
    <w:rsid w:val="4CE81047"/>
    <w:rsid w:val="4CEA2347"/>
    <w:rsid w:val="4CEE62DB"/>
    <w:rsid w:val="4CF6285E"/>
    <w:rsid w:val="4CF803E4"/>
    <w:rsid w:val="4D007DBC"/>
    <w:rsid w:val="4D0126AE"/>
    <w:rsid w:val="4D043409"/>
    <w:rsid w:val="4D072EF9"/>
    <w:rsid w:val="4D0F1DAD"/>
    <w:rsid w:val="4D111FCA"/>
    <w:rsid w:val="4D155616"/>
    <w:rsid w:val="4D1675E0"/>
    <w:rsid w:val="4D1B0752"/>
    <w:rsid w:val="4D267823"/>
    <w:rsid w:val="4D302450"/>
    <w:rsid w:val="4D324F4C"/>
    <w:rsid w:val="4D346ADA"/>
    <w:rsid w:val="4D3637DE"/>
    <w:rsid w:val="4D371A30"/>
    <w:rsid w:val="4D3857A8"/>
    <w:rsid w:val="4D3B2BA3"/>
    <w:rsid w:val="4D3C5912"/>
    <w:rsid w:val="4D3D691B"/>
    <w:rsid w:val="4D4128AF"/>
    <w:rsid w:val="4D423F31"/>
    <w:rsid w:val="4D4952BF"/>
    <w:rsid w:val="4D4D1254"/>
    <w:rsid w:val="4D553C64"/>
    <w:rsid w:val="4D56501F"/>
    <w:rsid w:val="4D5C27F9"/>
    <w:rsid w:val="4D5F2D35"/>
    <w:rsid w:val="4D6E2F78"/>
    <w:rsid w:val="4D7007D9"/>
    <w:rsid w:val="4D700A9E"/>
    <w:rsid w:val="4D704F42"/>
    <w:rsid w:val="4D706CF0"/>
    <w:rsid w:val="4D7367E0"/>
    <w:rsid w:val="4D7E765F"/>
    <w:rsid w:val="4D7F5185"/>
    <w:rsid w:val="4D814A59"/>
    <w:rsid w:val="4D8E361A"/>
    <w:rsid w:val="4D922E9A"/>
    <w:rsid w:val="4D92310A"/>
    <w:rsid w:val="4D924EB8"/>
    <w:rsid w:val="4D9549A9"/>
    <w:rsid w:val="4D9D385D"/>
    <w:rsid w:val="4DA70238"/>
    <w:rsid w:val="4DAC584E"/>
    <w:rsid w:val="4DAE7818"/>
    <w:rsid w:val="4DB0533F"/>
    <w:rsid w:val="4DB56DF9"/>
    <w:rsid w:val="4DB71419"/>
    <w:rsid w:val="4DBB438C"/>
    <w:rsid w:val="4DBD7A5B"/>
    <w:rsid w:val="4DBF1A26"/>
    <w:rsid w:val="4DC03B58"/>
    <w:rsid w:val="4DC66910"/>
    <w:rsid w:val="4DD168CA"/>
    <w:rsid w:val="4DD54DA5"/>
    <w:rsid w:val="4DD70B1D"/>
    <w:rsid w:val="4DD94895"/>
    <w:rsid w:val="4DDE00FE"/>
    <w:rsid w:val="4DE10346"/>
    <w:rsid w:val="4DE82D2A"/>
    <w:rsid w:val="4DED20EF"/>
    <w:rsid w:val="4DED52D5"/>
    <w:rsid w:val="4DED6593"/>
    <w:rsid w:val="4DEE5E67"/>
    <w:rsid w:val="4DF06083"/>
    <w:rsid w:val="4DF44462"/>
    <w:rsid w:val="4DF53699"/>
    <w:rsid w:val="4DF711BF"/>
    <w:rsid w:val="4DF72F6D"/>
    <w:rsid w:val="4DF80A94"/>
    <w:rsid w:val="4DFA2A5E"/>
    <w:rsid w:val="4E031912"/>
    <w:rsid w:val="4E037B64"/>
    <w:rsid w:val="4E0E6760"/>
    <w:rsid w:val="4E102281"/>
    <w:rsid w:val="4E1458CD"/>
    <w:rsid w:val="4E17648E"/>
    <w:rsid w:val="4E1A4EAE"/>
    <w:rsid w:val="4E1B3100"/>
    <w:rsid w:val="4E200716"/>
    <w:rsid w:val="4E255D2C"/>
    <w:rsid w:val="4E3221F7"/>
    <w:rsid w:val="4E3B2540"/>
    <w:rsid w:val="4E3D70E2"/>
    <w:rsid w:val="4E404914"/>
    <w:rsid w:val="4E465CA3"/>
    <w:rsid w:val="4E4A7541"/>
    <w:rsid w:val="4E4B32B9"/>
    <w:rsid w:val="4E4D7031"/>
    <w:rsid w:val="4E516718"/>
    <w:rsid w:val="4E5263F6"/>
    <w:rsid w:val="4E597784"/>
    <w:rsid w:val="4E5A52AA"/>
    <w:rsid w:val="4E610CE5"/>
    <w:rsid w:val="4E636855"/>
    <w:rsid w:val="4E685C19"/>
    <w:rsid w:val="4E6A373F"/>
    <w:rsid w:val="4E6F0D56"/>
    <w:rsid w:val="4E6F6FA8"/>
    <w:rsid w:val="4E720846"/>
    <w:rsid w:val="4E7C16C5"/>
    <w:rsid w:val="4E7E368F"/>
    <w:rsid w:val="4E870795"/>
    <w:rsid w:val="4E8862BB"/>
    <w:rsid w:val="4E8D742E"/>
    <w:rsid w:val="4E920EE8"/>
    <w:rsid w:val="4E9702AC"/>
    <w:rsid w:val="4E9764FE"/>
    <w:rsid w:val="4EA96179"/>
    <w:rsid w:val="4EAC1FAA"/>
    <w:rsid w:val="4EAD5D22"/>
    <w:rsid w:val="4EAE33D8"/>
    <w:rsid w:val="4EB250E6"/>
    <w:rsid w:val="4EB86BA1"/>
    <w:rsid w:val="4EC015B1"/>
    <w:rsid w:val="4EC310A1"/>
    <w:rsid w:val="4ECF17A1"/>
    <w:rsid w:val="4ED212E5"/>
    <w:rsid w:val="4ED27537"/>
    <w:rsid w:val="4EDB288F"/>
    <w:rsid w:val="4EDD6607"/>
    <w:rsid w:val="4EDE412D"/>
    <w:rsid w:val="4EE03A01"/>
    <w:rsid w:val="4EE31744"/>
    <w:rsid w:val="4EE5726A"/>
    <w:rsid w:val="4EF0709E"/>
    <w:rsid w:val="4EF70D4B"/>
    <w:rsid w:val="4EF74EE8"/>
    <w:rsid w:val="4EF85D00"/>
    <w:rsid w:val="4EF90150"/>
    <w:rsid w:val="4EFD2805"/>
    <w:rsid w:val="4F0941B3"/>
    <w:rsid w:val="4F096250"/>
    <w:rsid w:val="4F0E48A4"/>
    <w:rsid w:val="4F10078B"/>
    <w:rsid w:val="4F111E0D"/>
    <w:rsid w:val="4F135B85"/>
    <w:rsid w:val="4F1B0EDE"/>
    <w:rsid w:val="4F1F09CE"/>
    <w:rsid w:val="4F2064F4"/>
    <w:rsid w:val="4F2558B8"/>
    <w:rsid w:val="4F2A7373"/>
    <w:rsid w:val="4F31425D"/>
    <w:rsid w:val="4F3855EC"/>
    <w:rsid w:val="4F3F4BCC"/>
    <w:rsid w:val="4F4026F2"/>
    <w:rsid w:val="4F417ECE"/>
    <w:rsid w:val="4F457D08"/>
    <w:rsid w:val="4F4B17C3"/>
    <w:rsid w:val="4F4E3061"/>
    <w:rsid w:val="4F524AA5"/>
    <w:rsid w:val="4F5B752C"/>
    <w:rsid w:val="4F5D2D73"/>
    <w:rsid w:val="4F5D32A4"/>
    <w:rsid w:val="4F604B42"/>
    <w:rsid w:val="4F622668"/>
    <w:rsid w:val="4F652159"/>
    <w:rsid w:val="4F672375"/>
    <w:rsid w:val="4F674123"/>
    <w:rsid w:val="4F696C79"/>
    <w:rsid w:val="4F716D4F"/>
    <w:rsid w:val="4F73779A"/>
    <w:rsid w:val="4F7505EE"/>
    <w:rsid w:val="4F764366"/>
    <w:rsid w:val="4F8151E4"/>
    <w:rsid w:val="4F846A83"/>
    <w:rsid w:val="4F8C3B89"/>
    <w:rsid w:val="4F93316A"/>
    <w:rsid w:val="4F934F18"/>
    <w:rsid w:val="4F9A44F8"/>
    <w:rsid w:val="4F9A62A6"/>
    <w:rsid w:val="4F9D237F"/>
    <w:rsid w:val="4F9D29BE"/>
    <w:rsid w:val="4FA72771"/>
    <w:rsid w:val="4FAA2859"/>
    <w:rsid w:val="4FAB2261"/>
    <w:rsid w:val="4FB01626"/>
    <w:rsid w:val="4FB97DFA"/>
    <w:rsid w:val="4FBF5D0D"/>
    <w:rsid w:val="4FC11A85"/>
    <w:rsid w:val="4FC13833"/>
    <w:rsid w:val="4FCE5F50"/>
    <w:rsid w:val="4FD03A76"/>
    <w:rsid w:val="4FD34CFD"/>
    <w:rsid w:val="4FD74E04"/>
    <w:rsid w:val="4FD869DB"/>
    <w:rsid w:val="4FDD43E5"/>
    <w:rsid w:val="4FDF015D"/>
    <w:rsid w:val="4FE45434"/>
    <w:rsid w:val="4FE6773D"/>
    <w:rsid w:val="4FEB08B0"/>
    <w:rsid w:val="4FF9121F"/>
    <w:rsid w:val="4FFD05E3"/>
    <w:rsid w:val="50025BF9"/>
    <w:rsid w:val="500A342C"/>
    <w:rsid w:val="500E459E"/>
    <w:rsid w:val="500F410D"/>
    <w:rsid w:val="50113623"/>
    <w:rsid w:val="50151DD1"/>
    <w:rsid w:val="501556DB"/>
    <w:rsid w:val="501778F7"/>
    <w:rsid w:val="501A56A4"/>
    <w:rsid w:val="501B46D5"/>
    <w:rsid w:val="50281B04"/>
    <w:rsid w:val="503E1327"/>
    <w:rsid w:val="503E30D6"/>
    <w:rsid w:val="503F0BFC"/>
    <w:rsid w:val="5043249A"/>
    <w:rsid w:val="50454464"/>
    <w:rsid w:val="505A77E4"/>
    <w:rsid w:val="505C2FF8"/>
    <w:rsid w:val="505C355C"/>
    <w:rsid w:val="505E484F"/>
    <w:rsid w:val="50700DB5"/>
    <w:rsid w:val="5076286F"/>
    <w:rsid w:val="50792360"/>
    <w:rsid w:val="5079410E"/>
    <w:rsid w:val="507F724A"/>
    <w:rsid w:val="50850D04"/>
    <w:rsid w:val="508D1967"/>
    <w:rsid w:val="50902684"/>
    <w:rsid w:val="50974594"/>
    <w:rsid w:val="5099752C"/>
    <w:rsid w:val="509D4495"/>
    <w:rsid w:val="50A3118B"/>
    <w:rsid w:val="50A373DC"/>
    <w:rsid w:val="50AA076B"/>
    <w:rsid w:val="50B22B68"/>
    <w:rsid w:val="50B909AE"/>
    <w:rsid w:val="50BC224C"/>
    <w:rsid w:val="50C11611"/>
    <w:rsid w:val="50C55D03"/>
    <w:rsid w:val="50CC6933"/>
    <w:rsid w:val="50D137D5"/>
    <w:rsid w:val="50D21A70"/>
    <w:rsid w:val="50D8672A"/>
    <w:rsid w:val="50DC2A03"/>
    <w:rsid w:val="50DD28EE"/>
    <w:rsid w:val="50DF56DA"/>
    <w:rsid w:val="50E0418D"/>
    <w:rsid w:val="50E05F3B"/>
    <w:rsid w:val="50E35A2B"/>
    <w:rsid w:val="50E517A3"/>
    <w:rsid w:val="50E84DEF"/>
    <w:rsid w:val="50E97F21"/>
    <w:rsid w:val="50EC48E0"/>
    <w:rsid w:val="50EE4AFC"/>
    <w:rsid w:val="50F33EC0"/>
    <w:rsid w:val="50FF4F20"/>
    <w:rsid w:val="510460CD"/>
    <w:rsid w:val="510D2AA8"/>
    <w:rsid w:val="510D4856"/>
    <w:rsid w:val="51112598"/>
    <w:rsid w:val="51114346"/>
    <w:rsid w:val="5116195C"/>
    <w:rsid w:val="5119144D"/>
    <w:rsid w:val="511A58F1"/>
    <w:rsid w:val="51220301"/>
    <w:rsid w:val="512322CB"/>
    <w:rsid w:val="51256043"/>
    <w:rsid w:val="51271DBC"/>
    <w:rsid w:val="51312C3A"/>
    <w:rsid w:val="51361FFF"/>
    <w:rsid w:val="514364CA"/>
    <w:rsid w:val="51452E14"/>
    <w:rsid w:val="51491D32"/>
    <w:rsid w:val="51583D23"/>
    <w:rsid w:val="51586419"/>
    <w:rsid w:val="515E50B1"/>
    <w:rsid w:val="51613A0C"/>
    <w:rsid w:val="516A1F01"/>
    <w:rsid w:val="516D11C8"/>
    <w:rsid w:val="516E1AB0"/>
    <w:rsid w:val="516E79EA"/>
    <w:rsid w:val="51713037"/>
    <w:rsid w:val="51731E42"/>
    <w:rsid w:val="51732139"/>
    <w:rsid w:val="51735001"/>
    <w:rsid w:val="5176689F"/>
    <w:rsid w:val="517B2107"/>
    <w:rsid w:val="5181771E"/>
    <w:rsid w:val="51870AAC"/>
    <w:rsid w:val="51874608"/>
    <w:rsid w:val="518E1E3B"/>
    <w:rsid w:val="51913C64"/>
    <w:rsid w:val="519A433C"/>
    <w:rsid w:val="519D207E"/>
    <w:rsid w:val="51A0391C"/>
    <w:rsid w:val="51B1646C"/>
    <w:rsid w:val="51B22A66"/>
    <w:rsid w:val="51BA49DE"/>
    <w:rsid w:val="51C15D6C"/>
    <w:rsid w:val="51C25640"/>
    <w:rsid w:val="51C27D36"/>
    <w:rsid w:val="51C4760A"/>
    <w:rsid w:val="51C615D4"/>
    <w:rsid w:val="51C770FB"/>
    <w:rsid w:val="51C83263"/>
    <w:rsid w:val="51CB6BEB"/>
    <w:rsid w:val="51DA6E2E"/>
    <w:rsid w:val="51DF2696"/>
    <w:rsid w:val="51E41A5B"/>
    <w:rsid w:val="51E8779D"/>
    <w:rsid w:val="51FA302C"/>
    <w:rsid w:val="520175A0"/>
    <w:rsid w:val="52034365"/>
    <w:rsid w:val="52065E75"/>
    <w:rsid w:val="52075749"/>
    <w:rsid w:val="5209326F"/>
    <w:rsid w:val="520D0FB1"/>
    <w:rsid w:val="521F6F37"/>
    <w:rsid w:val="522B768A"/>
    <w:rsid w:val="522D51B0"/>
    <w:rsid w:val="52320A18"/>
    <w:rsid w:val="52344790"/>
    <w:rsid w:val="523D116B"/>
    <w:rsid w:val="523F35EA"/>
    <w:rsid w:val="52416EAD"/>
    <w:rsid w:val="525070F0"/>
    <w:rsid w:val="525941F7"/>
    <w:rsid w:val="525A7F6F"/>
    <w:rsid w:val="525C7843"/>
    <w:rsid w:val="5268268C"/>
    <w:rsid w:val="52693681"/>
    <w:rsid w:val="527103FC"/>
    <w:rsid w:val="527C0E43"/>
    <w:rsid w:val="527C1C93"/>
    <w:rsid w:val="527E5C57"/>
    <w:rsid w:val="527F1783"/>
    <w:rsid w:val="527F3531"/>
    <w:rsid w:val="528B1ED6"/>
    <w:rsid w:val="528C45CC"/>
    <w:rsid w:val="528D5C4E"/>
    <w:rsid w:val="52903990"/>
    <w:rsid w:val="5292555D"/>
    <w:rsid w:val="52992845"/>
    <w:rsid w:val="529A792F"/>
    <w:rsid w:val="529C11E0"/>
    <w:rsid w:val="52A336C4"/>
    <w:rsid w:val="52A4759B"/>
    <w:rsid w:val="52AB2578"/>
    <w:rsid w:val="52AC318F"/>
    <w:rsid w:val="52B256B5"/>
    <w:rsid w:val="52B35629"/>
    <w:rsid w:val="52B458D1"/>
    <w:rsid w:val="52B92EE7"/>
    <w:rsid w:val="52BF714B"/>
    <w:rsid w:val="52C5363A"/>
    <w:rsid w:val="52C8312A"/>
    <w:rsid w:val="52CF24CC"/>
    <w:rsid w:val="52CF270B"/>
    <w:rsid w:val="52D32AFD"/>
    <w:rsid w:val="52D64AC4"/>
    <w:rsid w:val="52D7511B"/>
    <w:rsid w:val="52E15F9A"/>
    <w:rsid w:val="52E57838"/>
    <w:rsid w:val="52E8557B"/>
    <w:rsid w:val="52F42171"/>
    <w:rsid w:val="52F43F1F"/>
    <w:rsid w:val="52F65EE9"/>
    <w:rsid w:val="52F83A10"/>
    <w:rsid w:val="52FB705C"/>
    <w:rsid w:val="53095C1D"/>
    <w:rsid w:val="530C1269"/>
    <w:rsid w:val="530F2B07"/>
    <w:rsid w:val="530F6FAB"/>
    <w:rsid w:val="53130849"/>
    <w:rsid w:val="531B5950"/>
    <w:rsid w:val="531D389C"/>
    <w:rsid w:val="531D5224"/>
    <w:rsid w:val="532E5683"/>
    <w:rsid w:val="533407C0"/>
    <w:rsid w:val="53364538"/>
    <w:rsid w:val="533C1422"/>
    <w:rsid w:val="533E33EC"/>
    <w:rsid w:val="534722A1"/>
    <w:rsid w:val="53481136"/>
    <w:rsid w:val="534C3D5B"/>
    <w:rsid w:val="534D53DE"/>
    <w:rsid w:val="534E1882"/>
    <w:rsid w:val="53513120"/>
    <w:rsid w:val="536015B5"/>
    <w:rsid w:val="536270DB"/>
    <w:rsid w:val="53672943"/>
    <w:rsid w:val="5367649F"/>
    <w:rsid w:val="5371731E"/>
    <w:rsid w:val="53760DD8"/>
    <w:rsid w:val="53764934"/>
    <w:rsid w:val="537B7696"/>
    <w:rsid w:val="537E2EA2"/>
    <w:rsid w:val="537F0CA9"/>
    <w:rsid w:val="5382152B"/>
    <w:rsid w:val="5382170D"/>
    <w:rsid w:val="53864B33"/>
    <w:rsid w:val="538C23AA"/>
    <w:rsid w:val="53977748"/>
    <w:rsid w:val="53982AFD"/>
    <w:rsid w:val="539D45B7"/>
    <w:rsid w:val="539F3171"/>
    <w:rsid w:val="53A72D40"/>
    <w:rsid w:val="53AE0572"/>
    <w:rsid w:val="53B33222"/>
    <w:rsid w:val="53BE2574"/>
    <w:rsid w:val="53BF452D"/>
    <w:rsid w:val="53BF62DB"/>
    <w:rsid w:val="53CB2ED2"/>
    <w:rsid w:val="53D02297"/>
    <w:rsid w:val="53D855EF"/>
    <w:rsid w:val="53DA3115"/>
    <w:rsid w:val="53DB0C3B"/>
    <w:rsid w:val="53DC0CED"/>
    <w:rsid w:val="53DF24DA"/>
    <w:rsid w:val="53E73A84"/>
    <w:rsid w:val="53EA0E7E"/>
    <w:rsid w:val="53EB5322"/>
    <w:rsid w:val="53F00B8B"/>
    <w:rsid w:val="53FE33E8"/>
    <w:rsid w:val="540D447D"/>
    <w:rsid w:val="540E7126"/>
    <w:rsid w:val="54244390"/>
    <w:rsid w:val="54260108"/>
    <w:rsid w:val="542C3BBC"/>
    <w:rsid w:val="543841B1"/>
    <w:rsid w:val="54420CBA"/>
    <w:rsid w:val="544D7D8B"/>
    <w:rsid w:val="544E58B1"/>
    <w:rsid w:val="54534C76"/>
    <w:rsid w:val="54596730"/>
    <w:rsid w:val="545A6004"/>
    <w:rsid w:val="546142C1"/>
    <w:rsid w:val="54625C01"/>
    <w:rsid w:val="547528A1"/>
    <w:rsid w:val="5479292E"/>
    <w:rsid w:val="54834058"/>
    <w:rsid w:val="54837309"/>
    <w:rsid w:val="5486329D"/>
    <w:rsid w:val="5488491F"/>
    <w:rsid w:val="54901A26"/>
    <w:rsid w:val="54907C78"/>
    <w:rsid w:val="54916A23"/>
    <w:rsid w:val="54947768"/>
    <w:rsid w:val="5495528E"/>
    <w:rsid w:val="54971006"/>
    <w:rsid w:val="54972DB4"/>
    <w:rsid w:val="54977258"/>
    <w:rsid w:val="549A0AF6"/>
    <w:rsid w:val="549C661D"/>
    <w:rsid w:val="549E2395"/>
    <w:rsid w:val="54A31759"/>
    <w:rsid w:val="54AB2D04"/>
    <w:rsid w:val="54AD082A"/>
    <w:rsid w:val="54AD25D8"/>
    <w:rsid w:val="54B03E76"/>
    <w:rsid w:val="54BA6AA3"/>
    <w:rsid w:val="54BC0A6D"/>
    <w:rsid w:val="54C55B73"/>
    <w:rsid w:val="54C811C0"/>
    <w:rsid w:val="54C85664"/>
    <w:rsid w:val="54C94F38"/>
    <w:rsid w:val="54CA318A"/>
    <w:rsid w:val="54CC5154"/>
    <w:rsid w:val="54CC5B08"/>
    <w:rsid w:val="54CD2C7A"/>
    <w:rsid w:val="54CF254E"/>
    <w:rsid w:val="54D07995"/>
    <w:rsid w:val="54D758A7"/>
    <w:rsid w:val="54D97871"/>
    <w:rsid w:val="54DA0EF3"/>
    <w:rsid w:val="54DB4AA8"/>
    <w:rsid w:val="54DC2EBD"/>
    <w:rsid w:val="54DC4C6B"/>
    <w:rsid w:val="54E3424B"/>
    <w:rsid w:val="54E51D72"/>
    <w:rsid w:val="54E56216"/>
    <w:rsid w:val="54ED6E78"/>
    <w:rsid w:val="54F226E1"/>
    <w:rsid w:val="54F2448F"/>
    <w:rsid w:val="54F2623D"/>
    <w:rsid w:val="54F75F49"/>
    <w:rsid w:val="550348EE"/>
    <w:rsid w:val="55086B78"/>
    <w:rsid w:val="550C06E7"/>
    <w:rsid w:val="550F3292"/>
    <w:rsid w:val="551371B1"/>
    <w:rsid w:val="551408A9"/>
    <w:rsid w:val="55144405"/>
    <w:rsid w:val="55164621"/>
    <w:rsid w:val="551C775D"/>
    <w:rsid w:val="551D4C3C"/>
    <w:rsid w:val="551E7032"/>
    <w:rsid w:val="5523289A"/>
    <w:rsid w:val="55264138"/>
    <w:rsid w:val="55284354"/>
    <w:rsid w:val="55287EB0"/>
    <w:rsid w:val="55410DBD"/>
    <w:rsid w:val="55410F72"/>
    <w:rsid w:val="554E3DBB"/>
    <w:rsid w:val="554F7B33"/>
    <w:rsid w:val="555D5DAC"/>
    <w:rsid w:val="5560589C"/>
    <w:rsid w:val="55625D37"/>
    <w:rsid w:val="55651104"/>
    <w:rsid w:val="556F5ADF"/>
    <w:rsid w:val="55760C1C"/>
    <w:rsid w:val="557D644E"/>
    <w:rsid w:val="55825812"/>
    <w:rsid w:val="558275C0"/>
    <w:rsid w:val="55872E29"/>
    <w:rsid w:val="55894DF3"/>
    <w:rsid w:val="558A323A"/>
    <w:rsid w:val="558E2409"/>
    <w:rsid w:val="558F6181"/>
    <w:rsid w:val="558F7F2F"/>
    <w:rsid w:val="55911EF9"/>
    <w:rsid w:val="55992337"/>
    <w:rsid w:val="559A7000"/>
    <w:rsid w:val="559B0682"/>
    <w:rsid w:val="559E0172"/>
    <w:rsid w:val="559F4616"/>
    <w:rsid w:val="55A559A5"/>
    <w:rsid w:val="55AB5B98"/>
    <w:rsid w:val="55AD03B6"/>
    <w:rsid w:val="55AF05D2"/>
    <w:rsid w:val="55AF1596"/>
    <w:rsid w:val="55B63C42"/>
    <w:rsid w:val="55B94FAC"/>
    <w:rsid w:val="55BA31FE"/>
    <w:rsid w:val="55BB2358"/>
    <w:rsid w:val="55BF0815"/>
    <w:rsid w:val="55C23E61"/>
    <w:rsid w:val="55D02010"/>
    <w:rsid w:val="55D342C0"/>
    <w:rsid w:val="55D65B5E"/>
    <w:rsid w:val="55DB13C7"/>
    <w:rsid w:val="55DD0C9B"/>
    <w:rsid w:val="55DD5E69"/>
    <w:rsid w:val="55DF2B6F"/>
    <w:rsid w:val="55E70297"/>
    <w:rsid w:val="55EA33B8"/>
    <w:rsid w:val="55EB160A"/>
    <w:rsid w:val="55EE10FA"/>
    <w:rsid w:val="55EF09CE"/>
    <w:rsid w:val="55F22AB9"/>
    <w:rsid w:val="55F36710"/>
    <w:rsid w:val="55F83D27"/>
    <w:rsid w:val="56064695"/>
    <w:rsid w:val="56066443"/>
    <w:rsid w:val="56075D18"/>
    <w:rsid w:val="560B2A53"/>
    <w:rsid w:val="561072C2"/>
    <w:rsid w:val="56114DE8"/>
    <w:rsid w:val="56156687"/>
    <w:rsid w:val="561623FF"/>
    <w:rsid w:val="561F1F50"/>
    <w:rsid w:val="56262AA1"/>
    <w:rsid w:val="562864B6"/>
    <w:rsid w:val="56290384"/>
    <w:rsid w:val="56293EE0"/>
    <w:rsid w:val="562E2336"/>
    <w:rsid w:val="562E5514"/>
    <w:rsid w:val="563A7E9B"/>
    <w:rsid w:val="56444C51"/>
    <w:rsid w:val="564F1C59"/>
    <w:rsid w:val="56551179"/>
    <w:rsid w:val="56586573"/>
    <w:rsid w:val="565D3B8A"/>
    <w:rsid w:val="565F1615"/>
    <w:rsid w:val="565F3DA6"/>
    <w:rsid w:val="56625644"/>
    <w:rsid w:val="566273F2"/>
    <w:rsid w:val="566413BC"/>
    <w:rsid w:val="56667575"/>
    <w:rsid w:val="566C2734"/>
    <w:rsid w:val="566E59D3"/>
    <w:rsid w:val="56705FB3"/>
    <w:rsid w:val="567710EF"/>
    <w:rsid w:val="567726B1"/>
    <w:rsid w:val="56772E9D"/>
    <w:rsid w:val="56777341"/>
    <w:rsid w:val="567856E7"/>
    <w:rsid w:val="5684380C"/>
    <w:rsid w:val="56861332"/>
    <w:rsid w:val="56867584"/>
    <w:rsid w:val="56876E58"/>
    <w:rsid w:val="568850AA"/>
    <w:rsid w:val="568E6439"/>
    <w:rsid w:val="56970065"/>
    <w:rsid w:val="569E48CE"/>
    <w:rsid w:val="569F41A2"/>
    <w:rsid w:val="56A31EE4"/>
    <w:rsid w:val="56B85264"/>
    <w:rsid w:val="56C500AD"/>
    <w:rsid w:val="56C67981"/>
    <w:rsid w:val="56CB40FE"/>
    <w:rsid w:val="56CD0D0F"/>
    <w:rsid w:val="56CF0F2B"/>
    <w:rsid w:val="56CF2CD9"/>
    <w:rsid w:val="56D54068"/>
    <w:rsid w:val="56D976B4"/>
    <w:rsid w:val="56DD6C8E"/>
    <w:rsid w:val="56DE116E"/>
    <w:rsid w:val="56E46059"/>
    <w:rsid w:val="56EF512A"/>
    <w:rsid w:val="56F049FE"/>
    <w:rsid w:val="56FC15F5"/>
    <w:rsid w:val="56FE536D"/>
    <w:rsid w:val="57034731"/>
    <w:rsid w:val="570A5ABF"/>
    <w:rsid w:val="570B7A8A"/>
    <w:rsid w:val="570C5D6D"/>
    <w:rsid w:val="57122BC6"/>
    <w:rsid w:val="5714693E"/>
    <w:rsid w:val="57190ECC"/>
    <w:rsid w:val="571C57F3"/>
    <w:rsid w:val="57201787"/>
    <w:rsid w:val="57212E09"/>
    <w:rsid w:val="57256D9D"/>
    <w:rsid w:val="572648C3"/>
    <w:rsid w:val="572906AE"/>
    <w:rsid w:val="572F5526"/>
    <w:rsid w:val="5737087F"/>
    <w:rsid w:val="574014E1"/>
    <w:rsid w:val="57407733"/>
    <w:rsid w:val="57415259"/>
    <w:rsid w:val="574216FD"/>
    <w:rsid w:val="57470E3C"/>
    <w:rsid w:val="5747738E"/>
    <w:rsid w:val="574A05B2"/>
    <w:rsid w:val="574B60D8"/>
    <w:rsid w:val="57560D05"/>
    <w:rsid w:val="575629E4"/>
    <w:rsid w:val="575A03BE"/>
    <w:rsid w:val="57631674"/>
    <w:rsid w:val="57680A38"/>
    <w:rsid w:val="57684EDC"/>
    <w:rsid w:val="576A0C54"/>
    <w:rsid w:val="576B22D6"/>
    <w:rsid w:val="57763155"/>
    <w:rsid w:val="57805D82"/>
    <w:rsid w:val="578810DA"/>
    <w:rsid w:val="578B586A"/>
    <w:rsid w:val="57911D3D"/>
    <w:rsid w:val="57916B02"/>
    <w:rsid w:val="57917F8F"/>
    <w:rsid w:val="57931F59"/>
    <w:rsid w:val="57932DC4"/>
    <w:rsid w:val="5794182D"/>
    <w:rsid w:val="579502B5"/>
    <w:rsid w:val="57996E43"/>
    <w:rsid w:val="57A53A3A"/>
    <w:rsid w:val="57AF48B9"/>
    <w:rsid w:val="57B75B77"/>
    <w:rsid w:val="57BB500C"/>
    <w:rsid w:val="57BE29FA"/>
    <w:rsid w:val="57C14700"/>
    <w:rsid w:val="57C863B8"/>
    <w:rsid w:val="57CA34A1"/>
    <w:rsid w:val="57CA4134"/>
    <w:rsid w:val="57CE2F91"/>
    <w:rsid w:val="57D460CD"/>
    <w:rsid w:val="57D707BF"/>
    <w:rsid w:val="57D85BBE"/>
    <w:rsid w:val="57DB745C"/>
    <w:rsid w:val="57DE0CFA"/>
    <w:rsid w:val="57DF3CA0"/>
    <w:rsid w:val="57E00F16"/>
    <w:rsid w:val="57E44562"/>
    <w:rsid w:val="57E5652D"/>
    <w:rsid w:val="57EF2F07"/>
    <w:rsid w:val="57F16C7F"/>
    <w:rsid w:val="57F347A6"/>
    <w:rsid w:val="57F4051E"/>
    <w:rsid w:val="57F624E8"/>
    <w:rsid w:val="57FA3D86"/>
    <w:rsid w:val="580A1AEF"/>
    <w:rsid w:val="580F5357"/>
    <w:rsid w:val="5814471C"/>
    <w:rsid w:val="581A249A"/>
    <w:rsid w:val="581B1F4E"/>
    <w:rsid w:val="581D1822"/>
    <w:rsid w:val="582232DD"/>
    <w:rsid w:val="58296419"/>
    <w:rsid w:val="582E57DE"/>
    <w:rsid w:val="58490869"/>
    <w:rsid w:val="584E5E80"/>
    <w:rsid w:val="58501BF8"/>
    <w:rsid w:val="58502ABA"/>
    <w:rsid w:val="585039A6"/>
    <w:rsid w:val="58580AAD"/>
    <w:rsid w:val="585A65D3"/>
    <w:rsid w:val="58676F42"/>
    <w:rsid w:val="58705DF6"/>
    <w:rsid w:val="58711B6E"/>
    <w:rsid w:val="5875165E"/>
    <w:rsid w:val="587578B0"/>
    <w:rsid w:val="587651AC"/>
    <w:rsid w:val="587753D7"/>
    <w:rsid w:val="5886561A"/>
    <w:rsid w:val="5887183A"/>
    <w:rsid w:val="588C0756"/>
    <w:rsid w:val="589046EA"/>
    <w:rsid w:val="58906498"/>
    <w:rsid w:val="589715D5"/>
    <w:rsid w:val="5898534D"/>
    <w:rsid w:val="589A10C5"/>
    <w:rsid w:val="58A3441E"/>
    <w:rsid w:val="58A75590"/>
    <w:rsid w:val="58A80DA5"/>
    <w:rsid w:val="58A86DCE"/>
    <w:rsid w:val="58AD704A"/>
    <w:rsid w:val="58B06B3A"/>
    <w:rsid w:val="58B73A25"/>
    <w:rsid w:val="58BA52C3"/>
    <w:rsid w:val="58BD6B62"/>
    <w:rsid w:val="58BE3005"/>
    <w:rsid w:val="58BF0B2C"/>
    <w:rsid w:val="58C068DB"/>
    <w:rsid w:val="58C61EBA"/>
    <w:rsid w:val="58CD4FF7"/>
    <w:rsid w:val="58D02D39"/>
    <w:rsid w:val="58DA5965"/>
    <w:rsid w:val="58DF4D2A"/>
    <w:rsid w:val="58DF6CF4"/>
    <w:rsid w:val="58E6255C"/>
    <w:rsid w:val="58EA204C"/>
    <w:rsid w:val="58EB7B73"/>
    <w:rsid w:val="58EF691C"/>
    <w:rsid w:val="58F06F37"/>
    <w:rsid w:val="59011144"/>
    <w:rsid w:val="5904132B"/>
    <w:rsid w:val="59080725"/>
    <w:rsid w:val="590D49E1"/>
    <w:rsid w:val="591470C9"/>
    <w:rsid w:val="59157827"/>
    <w:rsid w:val="5919648E"/>
    <w:rsid w:val="591B2943"/>
    <w:rsid w:val="591E6436"/>
    <w:rsid w:val="59205A6E"/>
    <w:rsid w:val="59215342"/>
    <w:rsid w:val="59246BE1"/>
    <w:rsid w:val="592D1F39"/>
    <w:rsid w:val="593C217C"/>
    <w:rsid w:val="593F3A1A"/>
    <w:rsid w:val="594400A5"/>
    <w:rsid w:val="59460EC7"/>
    <w:rsid w:val="59484FC5"/>
    <w:rsid w:val="594D4389"/>
    <w:rsid w:val="59505C28"/>
    <w:rsid w:val="595219A0"/>
    <w:rsid w:val="59527BF2"/>
    <w:rsid w:val="5954396A"/>
    <w:rsid w:val="595B4CF8"/>
    <w:rsid w:val="59613991"/>
    <w:rsid w:val="596811C3"/>
    <w:rsid w:val="596A0A97"/>
    <w:rsid w:val="597162CA"/>
    <w:rsid w:val="597B0EF6"/>
    <w:rsid w:val="597D0AC6"/>
    <w:rsid w:val="597E2795"/>
    <w:rsid w:val="5980475F"/>
    <w:rsid w:val="59837DAB"/>
    <w:rsid w:val="598558D1"/>
    <w:rsid w:val="59861649"/>
    <w:rsid w:val="59883613"/>
    <w:rsid w:val="598A113A"/>
    <w:rsid w:val="598A2EE8"/>
    <w:rsid w:val="598B3EF7"/>
    <w:rsid w:val="59981AA8"/>
    <w:rsid w:val="599C2C1B"/>
    <w:rsid w:val="59A33FA9"/>
    <w:rsid w:val="59A55F73"/>
    <w:rsid w:val="59A65848"/>
    <w:rsid w:val="59A87812"/>
    <w:rsid w:val="59AC5554"/>
    <w:rsid w:val="59B44408"/>
    <w:rsid w:val="59B91A1F"/>
    <w:rsid w:val="59C26B25"/>
    <w:rsid w:val="59C7413C"/>
    <w:rsid w:val="59C90F05"/>
    <w:rsid w:val="59CC1752"/>
    <w:rsid w:val="59CD7278"/>
    <w:rsid w:val="59DB7BE7"/>
    <w:rsid w:val="59E3084A"/>
    <w:rsid w:val="59EE16C8"/>
    <w:rsid w:val="59F111B9"/>
    <w:rsid w:val="59F44805"/>
    <w:rsid w:val="59FF38D6"/>
    <w:rsid w:val="5A0A04CC"/>
    <w:rsid w:val="5A0E58C7"/>
    <w:rsid w:val="5A113609"/>
    <w:rsid w:val="5A1243C8"/>
    <w:rsid w:val="5A13112F"/>
    <w:rsid w:val="5A132EDD"/>
    <w:rsid w:val="5A146C55"/>
    <w:rsid w:val="5A1924BD"/>
    <w:rsid w:val="5A274BDA"/>
    <w:rsid w:val="5A290952"/>
    <w:rsid w:val="5A2C21F1"/>
    <w:rsid w:val="5A33532D"/>
    <w:rsid w:val="5A3612C1"/>
    <w:rsid w:val="5A3832D0"/>
    <w:rsid w:val="5A38583A"/>
    <w:rsid w:val="5A44578C"/>
    <w:rsid w:val="5A461504"/>
    <w:rsid w:val="5A61633E"/>
    <w:rsid w:val="5A643739"/>
    <w:rsid w:val="5A655703"/>
    <w:rsid w:val="5A673229"/>
    <w:rsid w:val="5A6C6A91"/>
    <w:rsid w:val="5A737E20"/>
    <w:rsid w:val="5A7D47FA"/>
    <w:rsid w:val="5A897643"/>
    <w:rsid w:val="5A8A39A1"/>
    <w:rsid w:val="5A8B5169"/>
    <w:rsid w:val="5A8D6ABD"/>
    <w:rsid w:val="5A932270"/>
    <w:rsid w:val="5A9410D3"/>
    <w:rsid w:val="5A962656"/>
    <w:rsid w:val="5A987886"/>
    <w:rsid w:val="5A9F29C3"/>
    <w:rsid w:val="5A9F6E67"/>
    <w:rsid w:val="5AA24261"/>
    <w:rsid w:val="5AA955EF"/>
    <w:rsid w:val="5AAC3332"/>
    <w:rsid w:val="5AAE2C06"/>
    <w:rsid w:val="5AB04BD0"/>
    <w:rsid w:val="5AB23A35"/>
    <w:rsid w:val="5ABC3575"/>
    <w:rsid w:val="5AC16DDD"/>
    <w:rsid w:val="5AC468CD"/>
    <w:rsid w:val="5ACD5F9A"/>
    <w:rsid w:val="5AD00DCE"/>
    <w:rsid w:val="5AD54636"/>
    <w:rsid w:val="5ADF3408"/>
    <w:rsid w:val="5AE2054A"/>
    <w:rsid w:val="5AE40D1D"/>
    <w:rsid w:val="5AEE74A6"/>
    <w:rsid w:val="5AF05812"/>
    <w:rsid w:val="5AF30F60"/>
    <w:rsid w:val="5AF413B3"/>
    <w:rsid w:val="5B0867BA"/>
    <w:rsid w:val="5B0D2022"/>
    <w:rsid w:val="5B0E7B48"/>
    <w:rsid w:val="5B152C85"/>
    <w:rsid w:val="5B184523"/>
    <w:rsid w:val="5B1E5FDD"/>
    <w:rsid w:val="5B1F3B03"/>
    <w:rsid w:val="5B215ACE"/>
    <w:rsid w:val="5B24111A"/>
    <w:rsid w:val="5B266C40"/>
    <w:rsid w:val="5B2763A7"/>
    <w:rsid w:val="5B2B24A8"/>
    <w:rsid w:val="5B3475AF"/>
    <w:rsid w:val="5B3A6B8F"/>
    <w:rsid w:val="5B3E21DC"/>
    <w:rsid w:val="5B413A7A"/>
    <w:rsid w:val="5B44356A"/>
    <w:rsid w:val="5B4812AC"/>
    <w:rsid w:val="5B48305A"/>
    <w:rsid w:val="5B4B6C4F"/>
    <w:rsid w:val="5B4F43E9"/>
    <w:rsid w:val="5B4F7AA0"/>
    <w:rsid w:val="5B525C87"/>
    <w:rsid w:val="5B5B0FE0"/>
    <w:rsid w:val="5B5E141D"/>
    <w:rsid w:val="5B5E287E"/>
    <w:rsid w:val="5B6065F6"/>
    <w:rsid w:val="5B624478"/>
    <w:rsid w:val="5B6836FC"/>
    <w:rsid w:val="5B694D7F"/>
    <w:rsid w:val="5B6A1602"/>
    <w:rsid w:val="5B7025B1"/>
    <w:rsid w:val="5B7756EE"/>
    <w:rsid w:val="5B791466"/>
    <w:rsid w:val="5B7B3430"/>
    <w:rsid w:val="5B7B51DE"/>
    <w:rsid w:val="5B7F07B6"/>
    <w:rsid w:val="5B8027F4"/>
    <w:rsid w:val="5B807B3A"/>
    <w:rsid w:val="5B8338EA"/>
    <w:rsid w:val="5B8816A9"/>
    <w:rsid w:val="5B8D0304"/>
    <w:rsid w:val="5B8D3163"/>
    <w:rsid w:val="5B8F2A37"/>
    <w:rsid w:val="5B8F47E5"/>
    <w:rsid w:val="5B9242D5"/>
    <w:rsid w:val="5B9F799D"/>
    <w:rsid w:val="5BA9508B"/>
    <w:rsid w:val="5BAA161F"/>
    <w:rsid w:val="5BB029AE"/>
    <w:rsid w:val="5BB565A4"/>
    <w:rsid w:val="5BB83CAD"/>
    <w:rsid w:val="5BB97AB4"/>
    <w:rsid w:val="5BC546AB"/>
    <w:rsid w:val="5BC85F49"/>
    <w:rsid w:val="5BCC3C8B"/>
    <w:rsid w:val="5BCC5A39"/>
    <w:rsid w:val="5BCD17B1"/>
    <w:rsid w:val="5BCF552A"/>
    <w:rsid w:val="5BD703C7"/>
    <w:rsid w:val="5BDC37A3"/>
    <w:rsid w:val="5BDD7C46"/>
    <w:rsid w:val="5BDE751B"/>
    <w:rsid w:val="5BE06AA9"/>
    <w:rsid w:val="5BE30FD5"/>
    <w:rsid w:val="5BEA2363"/>
    <w:rsid w:val="5BEF34D6"/>
    <w:rsid w:val="5BF8281F"/>
    <w:rsid w:val="5BFE5E0F"/>
    <w:rsid w:val="5C0056E3"/>
    <w:rsid w:val="5C024D80"/>
    <w:rsid w:val="5C050F4B"/>
    <w:rsid w:val="5C07081F"/>
    <w:rsid w:val="5C0A0310"/>
    <w:rsid w:val="5C11169E"/>
    <w:rsid w:val="5C1178F0"/>
    <w:rsid w:val="5C14118E"/>
    <w:rsid w:val="5C142F3C"/>
    <w:rsid w:val="5C155EAE"/>
    <w:rsid w:val="5C180C7F"/>
    <w:rsid w:val="5C1E200D"/>
    <w:rsid w:val="5C1F4E24"/>
    <w:rsid w:val="5C2515ED"/>
    <w:rsid w:val="5C2C6C2E"/>
    <w:rsid w:val="5C2D3FFE"/>
    <w:rsid w:val="5C337866"/>
    <w:rsid w:val="5C34538D"/>
    <w:rsid w:val="5C35417E"/>
    <w:rsid w:val="5C3914B8"/>
    <w:rsid w:val="5C403D31"/>
    <w:rsid w:val="5C447CC6"/>
    <w:rsid w:val="5C471564"/>
    <w:rsid w:val="5C4C150A"/>
    <w:rsid w:val="5C4E46A0"/>
    <w:rsid w:val="5C4F0418"/>
    <w:rsid w:val="5C5422EA"/>
    <w:rsid w:val="5C58107B"/>
    <w:rsid w:val="5C5F065B"/>
    <w:rsid w:val="5C653798"/>
    <w:rsid w:val="5C6914DA"/>
    <w:rsid w:val="5C6C4B26"/>
    <w:rsid w:val="5C6D68F5"/>
    <w:rsid w:val="5C6E6AF1"/>
    <w:rsid w:val="5C70754A"/>
    <w:rsid w:val="5C7240A9"/>
    <w:rsid w:val="5C732359"/>
    <w:rsid w:val="5C763BF7"/>
    <w:rsid w:val="5C8207EE"/>
    <w:rsid w:val="5C826389"/>
    <w:rsid w:val="5C85755D"/>
    <w:rsid w:val="5C877BB2"/>
    <w:rsid w:val="5C89392A"/>
    <w:rsid w:val="5C8A31FF"/>
    <w:rsid w:val="5C8E2CEF"/>
    <w:rsid w:val="5C9108EC"/>
    <w:rsid w:val="5C930305"/>
    <w:rsid w:val="5C990832"/>
    <w:rsid w:val="5C9A1694"/>
    <w:rsid w:val="5C9D1184"/>
    <w:rsid w:val="5CA72002"/>
    <w:rsid w:val="5CA93FCD"/>
    <w:rsid w:val="5CAD1AE4"/>
    <w:rsid w:val="5CB63FF4"/>
    <w:rsid w:val="5CBD35D4"/>
    <w:rsid w:val="5CC22998"/>
    <w:rsid w:val="5CCB475A"/>
    <w:rsid w:val="5CCB5CF1"/>
    <w:rsid w:val="5CCE366A"/>
    <w:rsid w:val="5CD93A0D"/>
    <w:rsid w:val="5CDA23D8"/>
    <w:rsid w:val="5CE34EBD"/>
    <w:rsid w:val="5CE62B2B"/>
    <w:rsid w:val="5CE975D4"/>
    <w:rsid w:val="5CED210B"/>
    <w:rsid w:val="5CF05758"/>
    <w:rsid w:val="5CF30D95"/>
    <w:rsid w:val="5CF3349A"/>
    <w:rsid w:val="5CFC40FC"/>
    <w:rsid w:val="5D041203"/>
    <w:rsid w:val="5D042FB1"/>
    <w:rsid w:val="5D0448EB"/>
    <w:rsid w:val="5D072AA1"/>
    <w:rsid w:val="5D096819"/>
    <w:rsid w:val="5D0E5BDE"/>
    <w:rsid w:val="5D172CE4"/>
    <w:rsid w:val="5D1A01F2"/>
    <w:rsid w:val="5D1F7DEB"/>
    <w:rsid w:val="5D292A17"/>
    <w:rsid w:val="5D2B2C34"/>
    <w:rsid w:val="5D2E6280"/>
    <w:rsid w:val="5D331AE8"/>
    <w:rsid w:val="5D3715D8"/>
    <w:rsid w:val="5D3C099D"/>
    <w:rsid w:val="5D414205"/>
    <w:rsid w:val="5D447851"/>
    <w:rsid w:val="5D4B0BE0"/>
    <w:rsid w:val="5D4D4958"/>
    <w:rsid w:val="5D5061F6"/>
    <w:rsid w:val="5D5201C0"/>
    <w:rsid w:val="5D534182"/>
    <w:rsid w:val="5D535CE6"/>
    <w:rsid w:val="5D5E6B65"/>
    <w:rsid w:val="5D5F02DF"/>
    <w:rsid w:val="5D663C6C"/>
    <w:rsid w:val="5D6677C8"/>
    <w:rsid w:val="5D693C48"/>
    <w:rsid w:val="5D706898"/>
    <w:rsid w:val="5D7647EC"/>
    <w:rsid w:val="5D7874FB"/>
    <w:rsid w:val="5D7A1F6F"/>
    <w:rsid w:val="5D861C18"/>
    <w:rsid w:val="5D880594"/>
    <w:rsid w:val="5D912A26"/>
    <w:rsid w:val="5D99194B"/>
    <w:rsid w:val="5D995DEF"/>
    <w:rsid w:val="5D9C768D"/>
    <w:rsid w:val="5DA201A9"/>
    <w:rsid w:val="5DA30A1C"/>
    <w:rsid w:val="5DA622BA"/>
    <w:rsid w:val="5DA87DE0"/>
    <w:rsid w:val="5DAA0534"/>
    <w:rsid w:val="5DAF73C1"/>
    <w:rsid w:val="5DB42C29"/>
    <w:rsid w:val="5DBA1FF8"/>
    <w:rsid w:val="5DC80482"/>
    <w:rsid w:val="5DCB3ACF"/>
    <w:rsid w:val="5DCD6217"/>
    <w:rsid w:val="5DD21301"/>
    <w:rsid w:val="5DD26099"/>
    <w:rsid w:val="5DD63EE7"/>
    <w:rsid w:val="5DD76917"/>
    <w:rsid w:val="5DE0757A"/>
    <w:rsid w:val="5DE71A12"/>
    <w:rsid w:val="5DE828D3"/>
    <w:rsid w:val="5DEB5F1F"/>
    <w:rsid w:val="5DFD637E"/>
    <w:rsid w:val="5E057A41"/>
    <w:rsid w:val="5E07485E"/>
    <w:rsid w:val="5E1C257C"/>
    <w:rsid w:val="5E1D3725"/>
    <w:rsid w:val="5E225DE5"/>
    <w:rsid w:val="5E27164D"/>
    <w:rsid w:val="5E2D4789"/>
    <w:rsid w:val="5E2D6537"/>
    <w:rsid w:val="5E2F0501"/>
    <w:rsid w:val="5E36363E"/>
    <w:rsid w:val="5E37668B"/>
    <w:rsid w:val="5E3B6EA6"/>
    <w:rsid w:val="5E3D49CC"/>
    <w:rsid w:val="5E443FAD"/>
    <w:rsid w:val="5E483371"/>
    <w:rsid w:val="5E4F2952"/>
    <w:rsid w:val="5E541D16"/>
    <w:rsid w:val="5E5B11EF"/>
    <w:rsid w:val="5E5D0BCB"/>
    <w:rsid w:val="5E5E2B95"/>
    <w:rsid w:val="5E602490"/>
    <w:rsid w:val="5E604ADA"/>
    <w:rsid w:val="5E6463FD"/>
    <w:rsid w:val="5E652175"/>
    <w:rsid w:val="5E655CD1"/>
    <w:rsid w:val="5E68756F"/>
    <w:rsid w:val="5E693A13"/>
    <w:rsid w:val="5E6C52B2"/>
    <w:rsid w:val="5E7128C8"/>
    <w:rsid w:val="5E767EDE"/>
    <w:rsid w:val="5E9510CF"/>
    <w:rsid w:val="5E96232F"/>
    <w:rsid w:val="5E99247E"/>
    <w:rsid w:val="5E9A1E1F"/>
    <w:rsid w:val="5E9C51FA"/>
    <w:rsid w:val="5EA44A4C"/>
    <w:rsid w:val="5EA52572"/>
    <w:rsid w:val="5EA762EA"/>
    <w:rsid w:val="5EB36A3D"/>
    <w:rsid w:val="5EB822A5"/>
    <w:rsid w:val="5EBE53E1"/>
    <w:rsid w:val="5EC23124"/>
    <w:rsid w:val="5EC42D73"/>
    <w:rsid w:val="5ED13367"/>
    <w:rsid w:val="5ED54C05"/>
    <w:rsid w:val="5ED54C52"/>
    <w:rsid w:val="5EDA221B"/>
    <w:rsid w:val="5EDA35A0"/>
    <w:rsid w:val="5EDB41E5"/>
    <w:rsid w:val="5EE50BC0"/>
    <w:rsid w:val="5EF332DD"/>
    <w:rsid w:val="5EFD0600"/>
    <w:rsid w:val="5EFF6126"/>
    <w:rsid w:val="5F0674B4"/>
    <w:rsid w:val="5F0B0627"/>
    <w:rsid w:val="5F117C07"/>
    <w:rsid w:val="5F1425C0"/>
    <w:rsid w:val="5F1576F7"/>
    <w:rsid w:val="5F1C6CD8"/>
    <w:rsid w:val="5F2711D9"/>
    <w:rsid w:val="5F2931A3"/>
    <w:rsid w:val="5F2A2BC6"/>
    <w:rsid w:val="5F322057"/>
    <w:rsid w:val="5F3C4C84"/>
    <w:rsid w:val="5F3F29C6"/>
    <w:rsid w:val="5F4104EC"/>
    <w:rsid w:val="5F5024DD"/>
    <w:rsid w:val="5F593A88"/>
    <w:rsid w:val="5F5C70D4"/>
    <w:rsid w:val="5F6441DB"/>
    <w:rsid w:val="5F683CCB"/>
    <w:rsid w:val="5F6D7533"/>
    <w:rsid w:val="5F7206A6"/>
    <w:rsid w:val="5F7A1C50"/>
    <w:rsid w:val="5F7D704B"/>
    <w:rsid w:val="5F7F7267"/>
    <w:rsid w:val="5F812FDF"/>
    <w:rsid w:val="5F84662B"/>
    <w:rsid w:val="5F8605F5"/>
    <w:rsid w:val="5F92436A"/>
    <w:rsid w:val="5F93061C"/>
    <w:rsid w:val="5F97010C"/>
    <w:rsid w:val="5F993E84"/>
    <w:rsid w:val="5F9E593F"/>
    <w:rsid w:val="5FAB1E0A"/>
    <w:rsid w:val="5FB567E4"/>
    <w:rsid w:val="5FB92779"/>
    <w:rsid w:val="5FBE38EB"/>
    <w:rsid w:val="5FC829BC"/>
    <w:rsid w:val="5FCC24AC"/>
    <w:rsid w:val="5FCF3D4A"/>
    <w:rsid w:val="5FCF5AF8"/>
    <w:rsid w:val="5FD27396"/>
    <w:rsid w:val="5FD50C35"/>
    <w:rsid w:val="5FDE21DF"/>
    <w:rsid w:val="5FE377F5"/>
    <w:rsid w:val="5FE64BF0"/>
    <w:rsid w:val="5FEF1CF6"/>
    <w:rsid w:val="5FF4555F"/>
    <w:rsid w:val="60002155"/>
    <w:rsid w:val="6005151A"/>
    <w:rsid w:val="60067040"/>
    <w:rsid w:val="6008725C"/>
    <w:rsid w:val="600D4872"/>
    <w:rsid w:val="60125A85"/>
    <w:rsid w:val="60161979"/>
    <w:rsid w:val="603040BD"/>
    <w:rsid w:val="60365B77"/>
    <w:rsid w:val="603911C4"/>
    <w:rsid w:val="603A7B0B"/>
    <w:rsid w:val="603C0CB4"/>
    <w:rsid w:val="604638E0"/>
    <w:rsid w:val="604A517F"/>
    <w:rsid w:val="60563B24"/>
    <w:rsid w:val="60591866"/>
    <w:rsid w:val="605E185A"/>
    <w:rsid w:val="60600E46"/>
    <w:rsid w:val="606049A2"/>
    <w:rsid w:val="606F6C7A"/>
    <w:rsid w:val="60714E01"/>
    <w:rsid w:val="60762418"/>
    <w:rsid w:val="60771CEC"/>
    <w:rsid w:val="60793CB6"/>
    <w:rsid w:val="607D5899"/>
    <w:rsid w:val="608A1A1F"/>
    <w:rsid w:val="608F7035"/>
    <w:rsid w:val="60912DAE"/>
    <w:rsid w:val="609D7126"/>
    <w:rsid w:val="609D79A4"/>
    <w:rsid w:val="60A26D69"/>
    <w:rsid w:val="60B116A2"/>
    <w:rsid w:val="60B30F76"/>
    <w:rsid w:val="60BB607C"/>
    <w:rsid w:val="60C346C6"/>
    <w:rsid w:val="60C5514D"/>
    <w:rsid w:val="60C73328"/>
    <w:rsid w:val="60C969EB"/>
    <w:rsid w:val="60CE5DB0"/>
    <w:rsid w:val="60CE7B5E"/>
    <w:rsid w:val="60D13AF2"/>
    <w:rsid w:val="60D158A0"/>
    <w:rsid w:val="60D64C64"/>
    <w:rsid w:val="60DD5FF3"/>
    <w:rsid w:val="60E05AE3"/>
    <w:rsid w:val="60E07891"/>
    <w:rsid w:val="60E23609"/>
    <w:rsid w:val="60E70C20"/>
    <w:rsid w:val="60EC4488"/>
    <w:rsid w:val="60F15F42"/>
    <w:rsid w:val="60F261AA"/>
    <w:rsid w:val="60F577E0"/>
    <w:rsid w:val="60F668A1"/>
    <w:rsid w:val="60F8107F"/>
    <w:rsid w:val="60F872D1"/>
    <w:rsid w:val="61025A59"/>
    <w:rsid w:val="61045C75"/>
    <w:rsid w:val="610A1782"/>
    <w:rsid w:val="610C0686"/>
    <w:rsid w:val="610F0176"/>
    <w:rsid w:val="611134A9"/>
    <w:rsid w:val="61135EB8"/>
    <w:rsid w:val="61141727"/>
    <w:rsid w:val="61151C31"/>
    <w:rsid w:val="61251748"/>
    <w:rsid w:val="61355E2F"/>
    <w:rsid w:val="613A51F3"/>
    <w:rsid w:val="613E75F5"/>
    <w:rsid w:val="614B7400"/>
    <w:rsid w:val="614C3178"/>
    <w:rsid w:val="614C4E22"/>
    <w:rsid w:val="614D13CA"/>
    <w:rsid w:val="6151078F"/>
    <w:rsid w:val="6155027F"/>
    <w:rsid w:val="615A7643"/>
    <w:rsid w:val="61633640"/>
    <w:rsid w:val="61665FE8"/>
    <w:rsid w:val="616C7377"/>
    <w:rsid w:val="61706E67"/>
    <w:rsid w:val="61730705"/>
    <w:rsid w:val="61734BA9"/>
    <w:rsid w:val="61736957"/>
    <w:rsid w:val="61794D15"/>
    <w:rsid w:val="617C43C3"/>
    <w:rsid w:val="617D3332"/>
    <w:rsid w:val="617F52FC"/>
    <w:rsid w:val="6181445A"/>
    <w:rsid w:val="618446C0"/>
    <w:rsid w:val="61897F29"/>
    <w:rsid w:val="618F19E3"/>
    <w:rsid w:val="61907509"/>
    <w:rsid w:val="6198016C"/>
    <w:rsid w:val="61A11716"/>
    <w:rsid w:val="61A62D6C"/>
    <w:rsid w:val="61A82AA5"/>
    <w:rsid w:val="61A92379"/>
    <w:rsid w:val="61B03707"/>
    <w:rsid w:val="61C96577"/>
    <w:rsid w:val="61CB6793"/>
    <w:rsid w:val="61CD6067"/>
    <w:rsid w:val="61D41829"/>
    <w:rsid w:val="61D92C5E"/>
    <w:rsid w:val="61DA0784"/>
    <w:rsid w:val="61E82EA1"/>
    <w:rsid w:val="61ED495B"/>
    <w:rsid w:val="61F061FA"/>
    <w:rsid w:val="61F21F72"/>
    <w:rsid w:val="61F50987"/>
    <w:rsid w:val="61F730E4"/>
    <w:rsid w:val="61FA2BD4"/>
    <w:rsid w:val="61FC06FB"/>
    <w:rsid w:val="61FE26C5"/>
    <w:rsid w:val="62015D11"/>
    <w:rsid w:val="62053A53"/>
    <w:rsid w:val="6208709F"/>
    <w:rsid w:val="620A1069"/>
    <w:rsid w:val="620D2908"/>
    <w:rsid w:val="620F48D2"/>
    <w:rsid w:val="62134708"/>
    <w:rsid w:val="621912AD"/>
    <w:rsid w:val="621A5025"/>
    <w:rsid w:val="6223212B"/>
    <w:rsid w:val="622F0AD0"/>
    <w:rsid w:val="623954AB"/>
    <w:rsid w:val="623C31ED"/>
    <w:rsid w:val="623E2345"/>
    <w:rsid w:val="623F6839"/>
    <w:rsid w:val="62465E1A"/>
    <w:rsid w:val="62483940"/>
    <w:rsid w:val="624A590A"/>
    <w:rsid w:val="624C1682"/>
    <w:rsid w:val="624C462A"/>
    <w:rsid w:val="6256605D"/>
    <w:rsid w:val="62593D9F"/>
    <w:rsid w:val="625B3673"/>
    <w:rsid w:val="625C73EB"/>
    <w:rsid w:val="625D388F"/>
    <w:rsid w:val="625E1FC6"/>
    <w:rsid w:val="6260512D"/>
    <w:rsid w:val="626369CC"/>
    <w:rsid w:val="62662018"/>
    <w:rsid w:val="627961EF"/>
    <w:rsid w:val="628949F0"/>
    <w:rsid w:val="628D3A49"/>
    <w:rsid w:val="628F77C1"/>
    <w:rsid w:val="62922E0D"/>
    <w:rsid w:val="62942C9F"/>
    <w:rsid w:val="629628FD"/>
    <w:rsid w:val="629D0130"/>
    <w:rsid w:val="62A0552A"/>
    <w:rsid w:val="62A274F4"/>
    <w:rsid w:val="62A74B0A"/>
    <w:rsid w:val="62AC2121"/>
    <w:rsid w:val="62AF1C11"/>
    <w:rsid w:val="62B15989"/>
    <w:rsid w:val="62B37931"/>
    <w:rsid w:val="62B47227"/>
    <w:rsid w:val="62B611F1"/>
    <w:rsid w:val="62B62F9F"/>
    <w:rsid w:val="62BE1E54"/>
    <w:rsid w:val="62BE3C02"/>
    <w:rsid w:val="62C0797A"/>
    <w:rsid w:val="62C90F25"/>
    <w:rsid w:val="62CF4061"/>
    <w:rsid w:val="62D90A3C"/>
    <w:rsid w:val="62DD677E"/>
    <w:rsid w:val="62E0626E"/>
    <w:rsid w:val="62EA2C49"/>
    <w:rsid w:val="62FC79CB"/>
    <w:rsid w:val="62FE04A2"/>
    <w:rsid w:val="62FF2765"/>
    <w:rsid w:val="630048F7"/>
    <w:rsid w:val="63024A04"/>
    <w:rsid w:val="63116428"/>
    <w:rsid w:val="631303F2"/>
    <w:rsid w:val="631D4DCC"/>
    <w:rsid w:val="631E481B"/>
    <w:rsid w:val="631F0B45"/>
    <w:rsid w:val="63215DB8"/>
    <w:rsid w:val="6324615B"/>
    <w:rsid w:val="632757F0"/>
    <w:rsid w:val="632A1297"/>
    <w:rsid w:val="632C14B3"/>
    <w:rsid w:val="633345F0"/>
    <w:rsid w:val="633D0FCB"/>
    <w:rsid w:val="633F4D43"/>
    <w:rsid w:val="63402869"/>
    <w:rsid w:val="63415B9D"/>
    <w:rsid w:val="634405AB"/>
    <w:rsid w:val="63442359"/>
    <w:rsid w:val="634560D1"/>
    <w:rsid w:val="635B76A3"/>
    <w:rsid w:val="636429FB"/>
    <w:rsid w:val="636C18B0"/>
    <w:rsid w:val="636D5D54"/>
    <w:rsid w:val="636F7DBB"/>
    <w:rsid w:val="63713082"/>
    <w:rsid w:val="637D586B"/>
    <w:rsid w:val="63827325"/>
    <w:rsid w:val="6384067A"/>
    <w:rsid w:val="63870498"/>
    <w:rsid w:val="638C3D00"/>
    <w:rsid w:val="63952BB5"/>
    <w:rsid w:val="63A1155A"/>
    <w:rsid w:val="63A728E8"/>
    <w:rsid w:val="63A948B2"/>
    <w:rsid w:val="63AB687C"/>
    <w:rsid w:val="63B3128D"/>
    <w:rsid w:val="63B40502"/>
    <w:rsid w:val="63B55005"/>
    <w:rsid w:val="63B77B8E"/>
    <w:rsid w:val="63BA6ABF"/>
    <w:rsid w:val="63BC45E5"/>
    <w:rsid w:val="63BD3EBA"/>
    <w:rsid w:val="63BF40D6"/>
    <w:rsid w:val="63E91153"/>
    <w:rsid w:val="63E92F01"/>
    <w:rsid w:val="63F20007"/>
    <w:rsid w:val="63F43D7F"/>
    <w:rsid w:val="63FE4BFE"/>
    <w:rsid w:val="64032214"/>
    <w:rsid w:val="64033FC2"/>
    <w:rsid w:val="640D4E41"/>
    <w:rsid w:val="64144421"/>
    <w:rsid w:val="64175CC0"/>
    <w:rsid w:val="641C32D6"/>
    <w:rsid w:val="641E0DFC"/>
    <w:rsid w:val="642A59F3"/>
    <w:rsid w:val="64300B2F"/>
    <w:rsid w:val="64354398"/>
    <w:rsid w:val="64373C6C"/>
    <w:rsid w:val="64393E88"/>
    <w:rsid w:val="643B19AE"/>
    <w:rsid w:val="644B7717"/>
    <w:rsid w:val="645079A9"/>
    <w:rsid w:val="645B3DFE"/>
    <w:rsid w:val="645F2AA0"/>
    <w:rsid w:val="645F6B22"/>
    <w:rsid w:val="64630F05"/>
    <w:rsid w:val="64634A61"/>
    <w:rsid w:val="646475B1"/>
    <w:rsid w:val="646E3234"/>
    <w:rsid w:val="647C5B23"/>
    <w:rsid w:val="647F342B"/>
    <w:rsid w:val="64852C29"/>
    <w:rsid w:val="64882719"/>
    <w:rsid w:val="64884B62"/>
    <w:rsid w:val="648A4EA0"/>
    <w:rsid w:val="648C045C"/>
    <w:rsid w:val="648C220A"/>
    <w:rsid w:val="64917820"/>
    <w:rsid w:val="64966BE4"/>
    <w:rsid w:val="64A15589"/>
    <w:rsid w:val="64A5151D"/>
    <w:rsid w:val="64A62BA0"/>
    <w:rsid w:val="64AC70A5"/>
    <w:rsid w:val="64B33C3A"/>
    <w:rsid w:val="64B4350F"/>
    <w:rsid w:val="64B654D9"/>
    <w:rsid w:val="64BE130D"/>
    <w:rsid w:val="64C03C61"/>
    <w:rsid w:val="64C5571C"/>
    <w:rsid w:val="64C86FBA"/>
    <w:rsid w:val="64D140C0"/>
    <w:rsid w:val="64D73325"/>
    <w:rsid w:val="64DB1D80"/>
    <w:rsid w:val="64DD4813"/>
    <w:rsid w:val="64DE67DD"/>
    <w:rsid w:val="64DF64A1"/>
    <w:rsid w:val="64E421D7"/>
    <w:rsid w:val="64E75692"/>
    <w:rsid w:val="64EC2CA8"/>
    <w:rsid w:val="64F82F1D"/>
    <w:rsid w:val="64F8789F"/>
    <w:rsid w:val="64F97173"/>
    <w:rsid w:val="650A4AEB"/>
    <w:rsid w:val="650E70C3"/>
    <w:rsid w:val="65130235"/>
    <w:rsid w:val="65150451"/>
    <w:rsid w:val="65167D25"/>
    <w:rsid w:val="65181CEF"/>
    <w:rsid w:val="652266CA"/>
    <w:rsid w:val="65271F32"/>
    <w:rsid w:val="65297A59"/>
    <w:rsid w:val="652C12F7"/>
    <w:rsid w:val="653004DD"/>
    <w:rsid w:val="653603C7"/>
    <w:rsid w:val="653E2AE1"/>
    <w:rsid w:val="6546685C"/>
    <w:rsid w:val="654900FB"/>
    <w:rsid w:val="654C0E8B"/>
    <w:rsid w:val="65510D5D"/>
    <w:rsid w:val="65515201"/>
    <w:rsid w:val="65562818"/>
    <w:rsid w:val="655B5C3A"/>
    <w:rsid w:val="655B6B85"/>
    <w:rsid w:val="655D0948"/>
    <w:rsid w:val="655F347A"/>
    <w:rsid w:val="65640A91"/>
    <w:rsid w:val="65660CAD"/>
    <w:rsid w:val="656B62C3"/>
    <w:rsid w:val="656C203B"/>
    <w:rsid w:val="65736F26"/>
    <w:rsid w:val="65757142"/>
    <w:rsid w:val="657A6506"/>
    <w:rsid w:val="657F58CB"/>
    <w:rsid w:val="658729D1"/>
    <w:rsid w:val="65877335"/>
    <w:rsid w:val="6589499B"/>
    <w:rsid w:val="658E3D60"/>
    <w:rsid w:val="65907AD8"/>
    <w:rsid w:val="6598698C"/>
    <w:rsid w:val="659D21F5"/>
    <w:rsid w:val="659F5F6D"/>
    <w:rsid w:val="65A76BCF"/>
    <w:rsid w:val="65AD780B"/>
    <w:rsid w:val="65B03CD6"/>
    <w:rsid w:val="65B512EC"/>
    <w:rsid w:val="65B763A9"/>
    <w:rsid w:val="65B80DDC"/>
    <w:rsid w:val="65B8702E"/>
    <w:rsid w:val="65BA4B55"/>
    <w:rsid w:val="65BD2897"/>
    <w:rsid w:val="65C854C3"/>
    <w:rsid w:val="65CD2ADA"/>
    <w:rsid w:val="65CE0600"/>
    <w:rsid w:val="65D24040"/>
    <w:rsid w:val="65D71C0B"/>
    <w:rsid w:val="65DA6FA5"/>
    <w:rsid w:val="65E41BD1"/>
    <w:rsid w:val="65E46075"/>
    <w:rsid w:val="65E9368C"/>
    <w:rsid w:val="65ED4F2A"/>
    <w:rsid w:val="65F04D80"/>
    <w:rsid w:val="65FA7647"/>
    <w:rsid w:val="66083B12"/>
    <w:rsid w:val="660B3602"/>
    <w:rsid w:val="660F30F2"/>
    <w:rsid w:val="661029C7"/>
    <w:rsid w:val="66171FA7"/>
    <w:rsid w:val="6618187B"/>
    <w:rsid w:val="661C4D25"/>
    <w:rsid w:val="662326FA"/>
    <w:rsid w:val="66240220"/>
    <w:rsid w:val="662841B4"/>
    <w:rsid w:val="66287D10"/>
    <w:rsid w:val="662A7F2C"/>
    <w:rsid w:val="662B15AE"/>
    <w:rsid w:val="662D3578"/>
    <w:rsid w:val="662E0238"/>
    <w:rsid w:val="662F5543"/>
    <w:rsid w:val="66320B8F"/>
    <w:rsid w:val="663568D1"/>
    <w:rsid w:val="663743F7"/>
    <w:rsid w:val="663D66D2"/>
    <w:rsid w:val="663F505A"/>
    <w:rsid w:val="66417024"/>
    <w:rsid w:val="66430FEE"/>
    <w:rsid w:val="664E34EF"/>
    <w:rsid w:val="665C20B0"/>
    <w:rsid w:val="665E7BD6"/>
    <w:rsid w:val="665F56FC"/>
    <w:rsid w:val="66660838"/>
    <w:rsid w:val="666E595E"/>
    <w:rsid w:val="66723681"/>
    <w:rsid w:val="6672542F"/>
    <w:rsid w:val="66763171"/>
    <w:rsid w:val="667733BA"/>
    <w:rsid w:val="667B0788"/>
    <w:rsid w:val="667C005C"/>
    <w:rsid w:val="667F70DE"/>
    <w:rsid w:val="668313EA"/>
    <w:rsid w:val="66860EDB"/>
    <w:rsid w:val="66882EA5"/>
    <w:rsid w:val="668A367F"/>
    <w:rsid w:val="668F5FE1"/>
    <w:rsid w:val="668F7750"/>
    <w:rsid w:val="668F7D8F"/>
    <w:rsid w:val="66913CA3"/>
    <w:rsid w:val="6692162D"/>
    <w:rsid w:val="66925AD1"/>
    <w:rsid w:val="66967370"/>
    <w:rsid w:val="669A6AFA"/>
    <w:rsid w:val="66A01F9C"/>
    <w:rsid w:val="66A866E1"/>
    <w:rsid w:val="66AA4BC9"/>
    <w:rsid w:val="66B21CD0"/>
    <w:rsid w:val="66B477F6"/>
    <w:rsid w:val="66B6356E"/>
    <w:rsid w:val="66B9305E"/>
    <w:rsid w:val="66BA7155"/>
    <w:rsid w:val="66C0263F"/>
    <w:rsid w:val="66C739CD"/>
    <w:rsid w:val="66CD6B09"/>
    <w:rsid w:val="66D02156"/>
    <w:rsid w:val="66D32372"/>
    <w:rsid w:val="66D41C46"/>
    <w:rsid w:val="66D71736"/>
    <w:rsid w:val="66E83943"/>
    <w:rsid w:val="66F10A4A"/>
    <w:rsid w:val="66F26570"/>
    <w:rsid w:val="66F422E8"/>
    <w:rsid w:val="66F83B86"/>
    <w:rsid w:val="66F916AD"/>
    <w:rsid w:val="66FB5425"/>
    <w:rsid w:val="66FC2F4B"/>
    <w:rsid w:val="66FD73EF"/>
    <w:rsid w:val="670361B5"/>
    <w:rsid w:val="6707201B"/>
    <w:rsid w:val="67083E2C"/>
    <w:rsid w:val="670F0ED0"/>
    <w:rsid w:val="67135CAA"/>
    <w:rsid w:val="67177D85"/>
    <w:rsid w:val="671B7875"/>
    <w:rsid w:val="671D35ED"/>
    <w:rsid w:val="671D539B"/>
    <w:rsid w:val="6723497B"/>
    <w:rsid w:val="67281F92"/>
    <w:rsid w:val="672E75A8"/>
    <w:rsid w:val="67395F4D"/>
    <w:rsid w:val="67401089"/>
    <w:rsid w:val="67452271"/>
    <w:rsid w:val="67486190"/>
    <w:rsid w:val="674A1F08"/>
    <w:rsid w:val="674C5C80"/>
    <w:rsid w:val="674F5770"/>
    <w:rsid w:val="67566AFF"/>
    <w:rsid w:val="675863D3"/>
    <w:rsid w:val="675E59B4"/>
    <w:rsid w:val="675F3C06"/>
    <w:rsid w:val="675F58CD"/>
    <w:rsid w:val="6760797E"/>
    <w:rsid w:val="676905E0"/>
    <w:rsid w:val="67713939"/>
    <w:rsid w:val="6773320D"/>
    <w:rsid w:val="67772538"/>
    <w:rsid w:val="677B6565"/>
    <w:rsid w:val="677D408C"/>
    <w:rsid w:val="6780592A"/>
    <w:rsid w:val="678C42CF"/>
    <w:rsid w:val="6796514D"/>
    <w:rsid w:val="67966EFB"/>
    <w:rsid w:val="67980EC5"/>
    <w:rsid w:val="67A05FCC"/>
    <w:rsid w:val="67A36D83"/>
    <w:rsid w:val="67A7735B"/>
    <w:rsid w:val="67A84C4E"/>
    <w:rsid w:val="67A930D3"/>
    <w:rsid w:val="67A94E81"/>
    <w:rsid w:val="67B7211E"/>
    <w:rsid w:val="67B850C4"/>
    <w:rsid w:val="67BA0E3C"/>
    <w:rsid w:val="67BB4BB4"/>
    <w:rsid w:val="67BC2E06"/>
    <w:rsid w:val="67BD092C"/>
    <w:rsid w:val="67BF28F6"/>
    <w:rsid w:val="67BF6452"/>
    <w:rsid w:val="67C223E6"/>
    <w:rsid w:val="67C2410F"/>
    <w:rsid w:val="67CA4DF7"/>
    <w:rsid w:val="67CD5013"/>
    <w:rsid w:val="67CE2B39"/>
    <w:rsid w:val="67D31EFE"/>
    <w:rsid w:val="67D4384D"/>
    <w:rsid w:val="67D619EE"/>
    <w:rsid w:val="67D6379C"/>
    <w:rsid w:val="67DB0F00"/>
    <w:rsid w:val="67E4410B"/>
    <w:rsid w:val="67F2570F"/>
    <w:rsid w:val="67F72090"/>
    <w:rsid w:val="67FA2386"/>
    <w:rsid w:val="68040309"/>
    <w:rsid w:val="68064081"/>
    <w:rsid w:val="681349F0"/>
    <w:rsid w:val="6817628E"/>
    <w:rsid w:val="681C38A5"/>
    <w:rsid w:val="681D761D"/>
    <w:rsid w:val="68264723"/>
    <w:rsid w:val="68352BB8"/>
    <w:rsid w:val="6836628F"/>
    <w:rsid w:val="683926A8"/>
    <w:rsid w:val="683C3F47"/>
    <w:rsid w:val="683C5CF5"/>
    <w:rsid w:val="683D381B"/>
    <w:rsid w:val="683E7CBF"/>
    <w:rsid w:val="68444BA9"/>
    <w:rsid w:val="684A0885"/>
    <w:rsid w:val="68580655"/>
    <w:rsid w:val="685C6397"/>
    <w:rsid w:val="685E3EBD"/>
    <w:rsid w:val="68660FC4"/>
    <w:rsid w:val="68686AEA"/>
    <w:rsid w:val="686A0AB4"/>
    <w:rsid w:val="6870599E"/>
    <w:rsid w:val="6873723D"/>
    <w:rsid w:val="68776D2D"/>
    <w:rsid w:val="6878082B"/>
    <w:rsid w:val="68863414"/>
    <w:rsid w:val="688D6550"/>
    <w:rsid w:val="689773CF"/>
    <w:rsid w:val="689C49E5"/>
    <w:rsid w:val="689C63C4"/>
    <w:rsid w:val="689E42BA"/>
    <w:rsid w:val="689F035A"/>
    <w:rsid w:val="689F7F7E"/>
    <w:rsid w:val="68A613C0"/>
    <w:rsid w:val="68AB2E7A"/>
    <w:rsid w:val="68AB4C28"/>
    <w:rsid w:val="68AD6BF3"/>
    <w:rsid w:val="68B27218"/>
    <w:rsid w:val="68B27D65"/>
    <w:rsid w:val="68B91208"/>
    <w:rsid w:val="68BD4776"/>
    <w:rsid w:val="68C25ABF"/>
    <w:rsid w:val="68C53F3C"/>
    <w:rsid w:val="68CD2DF1"/>
    <w:rsid w:val="68D0643D"/>
    <w:rsid w:val="68D4417F"/>
    <w:rsid w:val="68DB01BE"/>
    <w:rsid w:val="68DE0B5A"/>
    <w:rsid w:val="68DE4FFE"/>
    <w:rsid w:val="68E677DD"/>
    <w:rsid w:val="68E862E0"/>
    <w:rsid w:val="68F10571"/>
    <w:rsid w:val="68F20AA9"/>
    <w:rsid w:val="68F40B0F"/>
    <w:rsid w:val="68F6059A"/>
    <w:rsid w:val="68FC1C9C"/>
    <w:rsid w:val="690F564E"/>
    <w:rsid w:val="691427CE"/>
    <w:rsid w:val="691D5B26"/>
    <w:rsid w:val="6920124D"/>
    <w:rsid w:val="692A3D9F"/>
    <w:rsid w:val="692B0CE1"/>
    <w:rsid w:val="692D1AE1"/>
    <w:rsid w:val="69313380"/>
    <w:rsid w:val="693B41FE"/>
    <w:rsid w:val="693E784B"/>
    <w:rsid w:val="69562DE6"/>
    <w:rsid w:val="695766FA"/>
    <w:rsid w:val="695A5F7D"/>
    <w:rsid w:val="695D23C7"/>
    <w:rsid w:val="69636181"/>
    <w:rsid w:val="6965127B"/>
    <w:rsid w:val="69653029"/>
    <w:rsid w:val="69676DA1"/>
    <w:rsid w:val="6974607D"/>
    <w:rsid w:val="69750D65"/>
    <w:rsid w:val="697D65C5"/>
    <w:rsid w:val="69852CC0"/>
    <w:rsid w:val="69855479"/>
    <w:rsid w:val="69872FA0"/>
    <w:rsid w:val="698A6F34"/>
    <w:rsid w:val="6990454A"/>
    <w:rsid w:val="699045E6"/>
    <w:rsid w:val="69912070"/>
    <w:rsid w:val="69937B96"/>
    <w:rsid w:val="699A7177"/>
    <w:rsid w:val="699C1E2D"/>
    <w:rsid w:val="69AA4EE0"/>
    <w:rsid w:val="69B813AB"/>
    <w:rsid w:val="69B83AA1"/>
    <w:rsid w:val="69B875FD"/>
    <w:rsid w:val="69BB533F"/>
    <w:rsid w:val="69BE2739"/>
    <w:rsid w:val="69BF6BDD"/>
    <w:rsid w:val="69C51D1A"/>
    <w:rsid w:val="69C61962"/>
    <w:rsid w:val="69C73CE4"/>
    <w:rsid w:val="69C935B8"/>
    <w:rsid w:val="69CA10DE"/>
    <w:rsid w:val="69D87C9F"/>
    <w:rsid w:val="69DB153D"/>
    <w:rsid w:val="69DB32EB"/>
    <w:rsid w:val="69EA352F"/>
    <w:rsid w:val="69EB79D2"/>
    <w:rsid w:val="69EC374B"/>
    <w:rsid w:val="69EE74C3"/>
    <w:rsid w:val="69F06D97"/>
    <w:rsid w:val="69F543AD"/>
    <w:rsid w:val="69F83E9D"/>
    <w:rsid w:val="6A06480C"/>
    <w:rsid w:val="6A0B3BD1"/>
    <w:rsid w:val="6A0D2B9F"/>
    <w:rsid w:val="6A0E36C1"/>
    <w:rsid w:val="6A1011E7"/>
    <w:rsid w:val="6A160FCF"/>
    <w:rsid w:val="6A1D3904"/>
    <w:rsid w:val="6A2133F4"/>
    <w:rsid w:val="6A242EE4"/>
    <w:rsid w:val="6A296146"/>
    <w:rsid w:val="6A3749C6"/>
    <w:rsid w:val="6A3D42E7"/>
    <w:rsid w:val="6A3F1ACC"/>
    <w:rsid w:val="6A3F58F4"/>
    <w:rsid w:val="6A413A96"/>
    <w:rsid w:val="6A4175F2"/>
    <w:rsid w:val="6A4470E3"/>
    <w:rsid w:val="6A525DA3"/>
    <w:rsid w:val="6A5512F0"/>
    <w:rsid w:val="6A590DE0"/>
    <w:rsid w:val="6A5B4C9F"/>
    <w:rsid w:val="6A5C267E"/>
    <w:rsid w:val="6A6257BB"/>
    <w:rsid w:val="6A636E98"/>
    <w:rsid w:val="6A6F45A5"/>
    <w:rsid w:val="6A753740"/>
    <w:rsid w:val="6A794FDE"/>
    <w:rsid w:val="6A7C062B"/>
    <w:rsid w:val="6A8F72B9"/>
    <w:rsid w:val="6A9040D6"/>
    <w:rsid w:val="6A9242F2"/>
    <w:rsid w:val="6A9C2A7B"/>
    <w:rsid w:val="6A9F3684"/>
    <w:rsid w:val="6AA61B4B"/>
    <w:rsid w:val="6AA97307"/>
    <w:rsid w:val="6AAB7F50"/>
    <w:rsid w:val="6AB9362D"/>
    <w:rsid w:val="6ABC311D"/>
    <w:rsid w:val="6AC02C0D"/>
    <w:rsid w:val="6AC370B0"/>
    <w:rsid w:val="6ACB15B2"/>
    <w:rsid w:val="6AD2649C"/>
    <w:rsid w:val="6AD71D05"/>
    <w:rsid w:val="6AD761A9"/>
    <w:rsid w:val="6ADC37BF"/>
    <w:rsid w:val="6ADE0AE4"/>
    <w:rsid w:val="6AE508C6"/>
    <w:rsid w:val="6AE52674"/>
    <w:rsid w:val="6AE5513B"/>
    <w:rsid w:val="6AE6628D"/>
    <w:rsid w:val="6AEA5EDC"/>
    <w:rsid w:val="6AF200E6"/>
    <w:rsid w:val="6AF20FCD"/>
    <w:rsid w:val="6AF26B3F"/>
    <w:rsid w:val="6AF94CF3"/>
    <w:rsid w:val="6AFC79BD"/>
    <w:rsid w:val="6AFE54E3"/>
    <w:rsid w:val="6B0369FE"/>
    <w:rsid w:val="6B054AC4"/>
    <w:rsid w:val="6B0C5E52"/>
    <w:rsid w:val="6B1B7E43"/>
    <w:rsid w:val="6B222A6A"/>
    <w:rsid w:val="6B266A9A"/>
    <w:rsid w:val="6B272C8C"/>
    <w:rsid w:val="6B364C7D"/>
    <w:rsid w:val="6B413622"/>
    <w:rsid w:val="6B43383E"/>
    <w:rsid w:val="6B4355EC"/>
    <w:rsid w:val="6B4750DC"/>
    <w:rsid w:val="6B4A0729"/>
    <w:rsid w:val="6B517D09"/>
    <w:rsid w:val="6B560E7C"/>
    <w:rsid w:val="6B655563"/>
    <w:rsid w:val="6B6C069F"/>
    <w:rsid w:val="6B721A2E"/>
    <w:rsid w:val="6B7439F8"/>
    <w:rsid w:val="6B7457A6"/>
    <w:rsid w:val="6B793DC3"/>
    <w:rsid w:val="6B7A7502"/>
    <w:rsid w:val="6B80239C"/>
    <w:rsid w:val="6B8D38E9"/>
    <w:rsid w:val="6B923E7E"/>
    <w:rsid w:val="6B9320D0"/>
    <w:rsid w:val="6B981494"/>
    <w:rsid w:val="6B985938"/>
    <w:rsid w:val="6B99520C"/>
    <w:rsid w:val="6BA0659B"/>
    <w:rsid w:val="6BA20F53"/>
    <w:rsid w:val="6BAC3CEF"/>
    <w:rsid w:val="6BAC4F3F"/>
    <w:rsid w:val="6BB46349"/>
    <w:rsid w:val="6BB67B6C"/>
    <w:rsid w:val="6BBF2EC5"/>
    <w:rsid w:val="6BC06C3D"/>
    <w:rsid w:val="6BC404DB"/>
    <w:rsid w:val="6BC77FCB"/>
    <w:rsid w:val="6BCA3618"/>
    <w:rsid w:val="6BD24498"/>
    <w:rsid w:val="6BD44496"/>
    <w:rsid w:val="6BD91256"/>
    <w:rsid w:val="6BDA7CFF"/>
    <w:rsid w:val="6BDB5825"/>
    <w:rsid w:val="6BE84699"/>
    <w:rsid w:val="6BFB1A23"/>
    <w:rsid w:val="6BFD579B"/>
    <w:rsid w:val="6C0703C8"/>
    <w:rsid w:val="6C094140"/>
    <w:rsid w:val="6C10344F"/>
    <w:rsid w:val="6C240F7A"/>
    <w:rsid w:val="6C2B055A"/>
    <w:rsid w:val="6C310293"/>
    <w:rsid w:val="6C353187"/>
    <w:rsid w:val="6C384A25"/>
    <w:rsid w:val="6C3E3329"/>
    <w:rsid w:val="6C4258A4"/>
    <w:rsid w:val="6C4E4249"/>
    <w:rsid w:val="6C515AE7"/>
    <w:rsid w:val="6C57134F"/>
    <w:rsid w:val="6C5D7FE5"/>
    <w:rsid w:val="6C7672FB"/>
    <w:rsid w:val="6C77379F"/>
    <w:rsid w:val="6C77554D"/>
    <w:rsid w:val="6C951E77"/>
    <w:rsid w:val="6C9854C4"/>
    <w:rsid w:val="6CB0280D"/>
    <w:rsid w:val="6CB22A29"/>
    <w:rsid w:val="6CB71DEE"/>
    <w:rsid w:val="6CBA368C"/>
    <w:rsid w:val="6CBF5146"/>
    <w:rsid w:val="6CC4450B"/>
    <w:rsid w:val="6CC462B9"/>
    <w:rsid w:val="6CC90D79"/>
    <w:rsid w:val="6CCB5899"/>
    <w:rsid w:val="6CD429A0"/>
    <w:rsid w:val="6CD81D64"/>
    <w:rsid w:val="6CDD61B3"/>
    <w:rsid w:val="6CE40709"/>
    <w:rsid w:val="6CE60925"/>
    <w:rsid w:val="6CEC3190"/>
    <w:rsid w:val="6CF05300"/>
    <w:rsid w:val="6CF43042"/>
    <w:rsid w:val="6CFA7F2C"/>
    <w:rsid w:val="6CFC5EFF"/>
    <w:rsid w:val="6D01750D"/>
    <w:rsid w:val="6D042B59"/>
    <w:rsid w:val="6D0B038C"/>
    <w:rsid w:val="6D0B3EE8"/>
    <w:rsid w:val="6D0B5C71"/>
    <w:rsid w:val="6D0D4104"/>
    <w:rsid w:val="6D0D7C60"/>
    <w:rsid w:val="6D1A237D"/>
    <w:rsid w:val="6D1B05CF"/>
    <w:rsid w:val="6D21370B"/>
    <w:rsid w:val="6D222A82"/>
    <w:rsid w:val="6D231231"/>
    <w:rsid w:val="6D2356D5"/>
    <w:rsid w:val="6D2A25C0"/>
    <w:rsid w:val="6D2D524B"/>
    <w:rsid w:val="6D325918"/>
    <w:rsid w:val="6D45389E"/>
    <w:rsid w:val="6D4713C4"/>
    <w:rsid w:val="6D4F64CA"/>
    <w:rsid w:val="6D561607"/>
    <w:rsid w:val="6D567859"/>
    <w:rsid w:val="6D5B09CB"/>
    <w:rsid w:val="6D5B6C1D"/>
    <w:rsid w:val="6D5D0BE7"/>
    <w:rsid w:val="6D635AD2"/>
    <w:rsid w:val="6D6830E8"/>
    <w:rsid w:val="6D800432"/>
    <w:rsid w:val="6D837F22"/>
    <w:rsid w:val="6D8668BF"/>
    <w:rsid w:val="6D8C327A"/>
    <w:rsid w:val="6D8F68C7"/>
    <w:rsid w:val="6D952DD1"/>
    <w:rsid w:val="6D9914F3"/>
    <w:rsid w:val="6D9956BA"/>
    <w:rsid w:val="6D99606A"/>
    <w:rsid w:val="6DA22A9E"/>
    <w:rsid w:val="6DA265FA"/>
    <w:rsid w:val="6DB12CE1"/>
    <w:rsid w:val="6DB4457F"/>
    <w:rsid w:val="6DB97FB3"/>
    <w:rsid w:val="6DBB3B60"/>
    <w:rsid w:val="6DBC51E2"/>
    <w:rsid w:val="6DC26C9C"/>
    <w:rsid w:val="6DC870F0"/>
    <w:rsid w:val="6DC9002B"/>
    <w:rsid w:val="6DD10C8D"/>
    <w:rsid w:val="6DD32C57"/>
    <w:rsid w:val="6DFC351E"/>
    <w:rsid w:val="6DFE57FA"/>
    <w:rsid w:val="6E027099"/>
    <w:rsid w:val="6E067091"/>
    <w:rsid w:val="6E0A419F"/>
    <w:rsid w:val="6E0B0643"/>
    <w:rsid w:val="6E0F7A08"/>
    <w:rsid w:val="6E1312A6"/>
    <w:rsid w:val="6E14501E"/>
    <w:rsid w:val="6E1B015A"/>
    <w:rsid w:val="6E1B63AC"/>
    <w:rsid w:val="6E1E7AB9"/>
    <w:rsid w:val="6E25722B"/>
    <w:rsid w:val="6E280F9B"/>
    <w:rsid w:val="6E290AC9"/>
    <w:rsid w:val="6E3000AA"/>
    <w:rsid w:val="6E380D0C"/>
    <w:rsid w:val="6E3D4575"/>
    <w:rsid w:val="6E414065"/>
    <w:rsid w:val="6E453429"/>
    <w:rsid w:val="6E46167B"/>
    <w:rsid w:val="6E5237C4"/>
    <w:rsid w:val="6E5A0C83"/>
    <w:rsid w:val="6E62222D"/>
    <w:rsid w:val="6E623FDB"/>
    <w:rsid w:val="6E625129"/>
    <w:rsid w:val="6E645FA5"/>
    <w:rsid w:val="6E65267E"/>
    <w:rsid w:val="6E6912A9"/>
    <w:rsid w:val="6E6C09B6"/>
    <w:rsid w:val="6E71421E"/>
    <w:rsid w:val="6E784210"/>
    <w:rsid w:val="6E821BA6"/>
    <w:rsid w:val="6E82467D"/>
    <w:rsid w:val="6E8421A4"/>
    <w:rsid w:val="6E843F52"/>
    <w:rsid w:val="6E873E81"/>
    <w:rsid w:val="6E8757F0"/>
    <w:rsid w:val="6E8C2E06"/>
    <w:rsid w:val="6E9543B1"/>
    <w:rsid w:val="6EA03633"/>
    <w:rsid w:val="6EA16987"/>
    <w:rsid w:val="6EA2262A"/>
    <w:rsid w:val="6EA3143E"/>
    <w:rsid w:val="6EA463A2"/>
    <w:rsid w:val="6EA72431"/>
    <w:rsid w:val="6EB011EB"/>
    <w:rsid w:val="6EB34837"/>
    <w:rsid w:val="6EB53936"/>
    <w:rsid w:val="6EC66318"/>
    <w:rsid w:val="6ED07197"/>
    <w:rsid w:val="6ED21161"/>
    <w:rsid w:val="6ED6693F"/>
    <w:rsid w:val="6ED8604B"/>
    <w:rsid w:val="6EE36ECA"/>
    <w:rsid w:val="6EE844E0"/>
    <w:rsid w:val="6EEE3AC1"/>
    <w:rsid w:val="6EEE70ED"/>
    <w:rsid w:val="6EF62209"/>
    <w:rsid w:val="6EF70BC7"/>
    <w:rsid w:val="6EFC7F8C"/>
    <w:rsid w:val="6EFF5CCE"/>
    <w:rsid w:val="6F046E40"/>
    <w:rsid w:val="6F06705D"/>
    <w:rsid w:val="6F084B83"/>
    <w:rsid w:val="6F0D15DF"/>
    <w:rsid w:val="6F0F4163"/>
    <w:rsid w:val="6F0F5F11"/>
    <w:rsid w:val="6F141779"/>
    <w:rsid w:val="6F1654F2"/>
    <w:rsid w:val="6F1718B7"/>
    <w:rsid w:val="6F247756"/>
    <w:rsid w:val="6F257B89"/>
    <w:rsid w:val="6F2B0871"/>
    <w:rsid w:val="6F304979"/>
    <w:rsid w:val="6F370FC4"/>
    <w:rsid w:val="6F392F8E"/>
    <w:rsid w:val="6F3E2352"/>
    <w:rsid w:val="6F3E5FCD"/>
    <w:rsid w:val="6F413BF1"/>
    <w:rsid w:val="6F435BBB"/>
    <w:rsid w:val="6F4436E1"/>
    <w:rsid w:val="6F484143"/>
    <w:rsid w:val="6F502086"/>
    <w:rsid w:val="6F51609F"/>
    <w:rsid w:val="6F574271"/>
    <w:rsid w:val="6F593630"/>
    <w:rsid w:val="6F5C0A2B"/>
    <w:rsid w:val="6F5C4ECE"/>
    <w:rsid w:val="6F5D0D50"/>
    <w:rsid w:val="6F5E47A3"/>
    <w:rsid w:val="6F6124E5"/>
    <w:rsid w:val="6F653758"/>
    <w:rsid w:val="6F667AFB"/>
    <w:rsid w:val="6F683873"/>
    <w:rsid w:val="6F750F26"/>
    <w:rsid w:val="6F7A7103"/>
    <w:rsid w:val="6F7B72E9"/>
    <w:rsid w:val="6F8445D4"/>
    <w:rsid w:val="6F865AA7"/>
    <w:rsid w:val="6F8A5598"/>
    <w:rsid w:val="6F8D5C1A"/>
    <w:rsid w:val="6F8E342E"/>
    <w:rsid w:val="6F975F07"/>
    <w:rsid w:val="6F977CB5"/>
    <w:rsid w:val="6F991C7F"/>
    <w:rsid w:val="6FA0300D"/>
    <w:rsid w:val="6FA20366"/>
    <w:rsid w:val="6FA8133A"/>
    <w:rsid w:val="6FA81EC2"/>
    <w:rsid w:val="6FAC19B2"/>
    <w:rsid w:val="6FB2689C"/>
    <w:rsid w:val="6FB937F0"/>
    <w:rsid w:val="6FB940CF"/>
    <w:rsid w:val="6FC0720B"/>
    <w:rsid w:val="6FC52A74"/>
    <w:rsid w:val="6FC565D0"/>
    <w:rsid w:val="6FCA008A"/>
    <w:rsid w:val="6FCC3E02"/>
    <w:rsid w:val="6FCF56A0"/>
    <w:rsid w:val="6FCF744E"/>
    <w:rsid w:val="6FD27139"/>
    <w:rsid w:val="6FD35191"/>
    <w:rsid w:val="6FDE3B35"/>
    <w:rsid w:val="6FDE58E3"/>
    <w:rsid w:val="6FE32EFA"/>
    <w:rsid w:val="6FE4739E"/>
    <w:rsid w:val="6FE74798"/>
    <w:rsid w:val="6FEC0000"/>
    <w:rsid w:val="6FEC0BE2"/>
    <w:rsid w:val="6FF26DA9"/>
    <w:rsid w:val="6FF60C27"/>
    <w:rsid w:val="6FFD045F"/>
    <w:rsid w:val="6FFE7D34"/>
    <w:rsid w:val="70024DE8"/>
    <w:rsid w:val="700A66D9"/>
    <w:rsid w:val="701632CF"/>
    <w:rsid w:val="701E2184"/>
    <w:rsid w:val="702754DC"/>
    <w:rsid w:val="702A0B29"/>
    <w:rsid w:val="702C62AB"/>
    <w:rsid w:val="702E29A8"/>
    <w:rsid w:val="703419A7"/>
    <w:rsid w:val="703802C8"/>
    <w:rsid w:val="704240C4"/>
    <w:rsid w:val="70473489"/>
    <w:rsid w:val="704C6CF1"/>
    <w:rsid w:val="704E663D"/>
    <w:rsid w:val="704F058F"/>
    <w:rsid w:val="70512559"/>
    <w:rsid w:val="705160B5"/>
    <w:rsid w:val="705636CC"/>
    <w:rsid w:val="70585696"/>
    <w:rsid w:val="70587444"/>
    <w:rsid w:val="705A140E"/>
    <w:rsid w:val="706109EE"/>
    <w:rsid w:val="7064228D"/>
    <w:rsid w:val="70691651"/>
    <w:rsid w:val="706B73FC"/>
    <w:rsid w:val="70710506"/>
    <w:rsid w:val="70764214"/>
    <w:rsid w:val="70781894"/>
    <w:rsid w:val="707D334E"/>
    <w:rsid w:val="708446DD"/>
    <w:rsid w:val="7084648B"/>
    <w:rsid w:val="708C39AE"/>
    <w:rsid w:val="70952446"/>
    <w:rsid w:val="709A3F00"/>
    <w:rsid w:val="70A00DEB"/>
    <w:rsid w:val="70A24B63"/>
    <w:rsid w:val="70A304C1"/>
    <w:rsid w:val="70AB6673"/>
    <w:rsid w:val="70B623BC"/>
    <w:rsid w:val="70BA1EAD"/>
    <w:rsid w:val="70BD374B"/>
    <w:rsid w:val="70C1123E"/>
    <w:rsid w:val="70C40F7D"/>
    <w:rsid w:val="70CC0E40"/>
    <w:rsid w:val="70CD2B48"/>
    <w:rsid w:val="70D171F6"/>
    <w:rsid w:val="70D215C6"/>
    <w:rsid w:val="70D6480D"/>
    <w:rsid w:val="70D72A5F"/>
    <w:rsid w:val="70DE203F"/>
    <w:rsid w:val="70DF36C1"/>
    <w:rsid w:val="70E138DD"/>
    <w:rsid w:val="70E7584C"/>
    <w:rsid w:val="70FF3D63"/>
    <w:rsid w:val="71020071"/>
    <w:rsid w:val="71031AA6"/>
    <w:rsid w:val="71033854"/>
    <w:rsid w:val="71096990"/>
    <w:rsid w:val="710C022E"/>
    <w:rsid w:val="710F044A"/>
    <w:rsid w:val="71126EE7"/>
    <w:rsid w:val="711F61B4"/>
    <w:rsid w:val="711F7F62"/>
    <w:rsid w:val="71225007"/>
    <w:rsid w:val="71265794"/>
    <w:rsid w:val="712B6906"/>
    <w:rsid w:val="712F289B"/>
    <w:rsid w:val="7130216F"/>
    <w:rsid w:val="71353C29"/>
    <w:rsid w:val="713559D7"/>
    <w:rsid w:val="7137174F"/>
    <w:rsid w:val="713A123F"/>
    <w:rsid w:val="713D1D16"/>
    <w:rsid w:val="71467BE4"/>
    <w:rsid w:val="714A1482"/>
    <w:rsid w:val="714B0D57"/>
    <w:rsid w:val="71551BD5"/>
    <w:rsid w:val="71600CA6"/>
    <w:rsid w:val="716360A0"/>
    <w:rsid w:val="71654E27"/>
    <w:rsid w:val="716E1E47"/>
    <w:rsid w:val="71724EAC"/>
    <w:rsid w:val="717958C4"/>
    <w:rsid w:val="71807A85"/>
    <w:rsid w:val="71834994"/>
    <w:rsid w:val="71883D59"/>
    <w:rsid w:val="71956476"/>
    <w:rsid w:val="71970440"/>
    <w:rsid w:val="719E73CE"/>
    <w:rsid w:val="71A60683"/>
    <w:rsid w:val="71AD37BF"/>
    <w:rsid w:val="71B20DD6"/>
    <w:rsid w:val="71B27028"/>
    <w:rsid w:val="71B35E90"/>
    <w:rsid w:val="71B903B6"/>
    <w:rsid w:val="71BB2380"/>
    <w:rsid w:val="71BC1C54"/>
    <w:rsid w:val="71BE777B"/>
    <w:rsid w:val="71C034F3"/>
    <w:rsid w:val="71C50B09"/>
    <w:rsid w:val="71C823A7"/>
    <w:rsid w:val="71CD20B4"/>
    <w:rsid w:val="71CD5C10"/>
    <w:rsid w:val="71D40D4C"/>
    <w:rsid w:val="71D7083C"/>
    <w:rsid w:val="71DB657E"/>
    <w:rsid w:val="71DC40A5"/>
    <w:rsid w:val="71DE606F"/>
    <w:rsid w:val="71E3138C"/>
    <w:rsid w:val="71E60A7F"/>
    <w:rsid w:val="71E76CD1"/>
    <w:rsid w:val="71EA4A14"/>
    <w:rsid w:val="71F6500C"/>
    <w:rsid w:val="71F87130"/>
    <w:rsid w:val="71FD64F5"/>
    <w:rsid w:val="720D24B0"/>
    <w:rsid w:val="72113D4E"/>
    <w:rsid w:val="721B2E1F"/>
    <w:rsid w:val="721D6B97"/>
    <w:rsid w:val="721F290F"/>
    <w:rsid w:val="72275320"/>
    <w:rsid w:val="7229553C"/>
    <w:rsid w:val="722A4E10"/>
    <w:rsid w:val="722E4900"/>
    <w:rsid w:val="722F68CA"/>
    <w:rsid w:val="723914F7"/>
    <w:rsid w:val="723B0DCB"/>
    <w:rsid w:val="723D4B43"/>
    <w:rsid w:val="723E2669"/>
    <w:rsid w:val="72402885"/>
    <w:rsid w:val="724265FE"/>
    <w:rsid w:val="724A3704"/>
    <w:rsid w:val="725974A3"/>
    <w:rsid w:val="725A130B"/>
    <w:rsid w:val="725B146D"/>
    <w:rsid w:val="726245AA"/>
    <w:rsid w:val="72641B5B"/>
    <w:rsid w:val="72671BC0"/>
    <w:rsid w:val="72691DDC"/>
    <w:rsid w:val="72695938"/>
    <w:rsid w:val="726A345E"/>
    <w:rsid w:val="726B5B54"/>
    <w:rsid w:val="726C367A"/>
    <w:rsid w:val="726C71D7"/>
    <w:rsid w:val="72760055"/>
    <w:rsid w:val="72785B7B"/>
    <w:rsid w:val="72800ED4"/>
    <w:rsid w:val="72802C82"/>
    <w:rsid w:val="72824C4C"/>
    <w:rsid w:val="72834520"/>
    <w:rsid w:val="72873462"/>
    <w:rsid w:val="728C1627"/>
    <w:rsid w:val="728E516B"/>
    <w:rsid w:val="72914E8F"/>
    <w:rsid w:val="72A11576"/>
    <w:rsid w:val="72A2214B"/>
    <w:rsid w:val="72A526E9"/>
    <w:rsid w:val="72A746B3"/>
    <w:rsid w:val="72A93F87"/>
    <w:rsid w:val="72AB1549"/>
    <w:rsid w:val="72B03567"/>
    <w:rsid w:val="72B8241C"/>
    <w:rsid w:val="72B97C37"/>
    <w:rsid w:val="72BF7C4E"/>
    <w:rsid w:val="72C963D7"/>
    <w:rsid w:val="72CC4119"/>
    <w:rsid w:val="72D54D7C"/>
    <w:rsid w:val="72DD1E82"/>
    <w:rsid w:val="72E2292C"/>
    <w:rsid w:val="72E43D8B"/>
    <w:rsid w:val="72EF6671"/>
    <w:rsid w:val="72F62F44"/>
    <w:rsid w:val="72F86822"/>
    <w:rsid w:val="72FE3595"/>
    <w:rsid w:val="730218E9"/>
    <w:rsid w:val="73076EFF"/>
    <w:rsid w:val="730C2768"/>
    <w:rsid w:val="730E028E"/>
    <w:rsid w:val="730F1B13"/>
    <w:rsid w:val="731764E9"/>
    <w:rsid w:val="7318110C"/>
    <w:rsid w:val="7318735E"/>
    <w:rsid w:val="731E2BC7"/>
    <w:rsid w:val="731F06ED"/>
    <w:rsid w:val="731F249B"/>
    <w:rsid w:val="73216213"/>
    <w:rsid w:val="732775A1"/>
    <w:rsid w:val="7329331A"/>
    <w:rsid w:val="732A2E71"/>
    <w:rsid w:val="732B7092"/>
    <w:rsid w:val="7336722F"/>
    <w:rsid w:val="733811D8"/>
    <w:rsid w:val="733F6699"/>
    <w:rsid w:val="73440153"/>
    <w:rsid w:val="73441F01"/>
    <w:rsid w:val="73497518"/>
    <w:rsid w:val="73530396"/>
    <w:rsid w:val="735C36EF"/>
    <w:rsid w:val="73612AB3"/>
    <w:rsid w:val="73614861"/>
    <w:rsid w:val="73740A39"/>
    <w:rsid w:val="73797DFD"/>
    <w:rsid w:val="737E24ED"/>
    <w:rsid w:val="73840550"/>
    <w:rsid w:val="73852C46"/>
    <w:rsid w:val="738D1AFA"/>
    <w:rsid w:val="73915877"/>
    <w:rsid w:val="73972979"/>
    <w:rsid w:val="73993FFB"/>
    <w:rsid w:val="73A17354"/>
    <w:rsid w:val="73A40BF2"/>
    <w:rsid w:val="73A56290"/>
    <w:rsid w:val="73A66718"/>
    <w:rsid w:val="73AF381F"/>
    <w:rsid w:val="73B02001"/>
    <w:rsid w:val="73B2330F"/>
    <w:rsid w:val="73B54BAD"/>
    <w:rsid w:val="73C86317"/>
    <w:rsid w:val="73CB617F"/>
    <w:rsid w:val="73CF5C6F"/>
    <w:rsid w:val="73D9089C"/>
    <w:rsid w:val="73E060CE"/>
    <w:rsid w:val="73E3796C"/>
    <w:rsid w:val="73EF00BF"/>
    <w:rsid w:val="73F25E01"/>
    <w:rsid w:val="73F41B79"/>
    <w:rsid w:val="73F73418"/>
    <w:rsid w:val="73FC0F7D"/>
    <w:rsid w:val="73FE6554"/>
    <w:rsid w:val="740075DD"/>
    <w:rsid w:val="74031DBD"/>
    <w:rsid w:val="740F42BD"/>
    <w:rsid w:val="74130252"/>
    <w:rsid w:val="741D2E7E"/>
    <w:rsid w:val="7420296E"/>
    <w:rsid w:val="74203020"/>
    <w:rsid w:val="74220495"/>
    <w:rsid w:val="7428537F"/>
    <w:rsid w:val="742F2BB2"/>
    <w:rsid w:val="742F670E"/>
    <w:rsid w:val="74322196"/>
    <w:rsid w:val="74343D24"/>
    <w:rsid w:val="74363F40"/>
    <w:rsid w:val="74367A9C"/>
    <w:rsid w:val="7439758C"/>
    <w:rsid w:val="744321B9"/>
    <w:rsid w:val="74454183"/>
    <w:rsid w:val="744A79EB"/>
    <w:rsid w:val="744C72C0"/>
    <w:rsid w:val="744E128A"/>
    <w:rsid w:val="745148D6"/>
    <w:rsid w:val="74542618"/>
    <w:rsid w:val="74566390"/>
    <w:rsid w:val="74575C64"/>
    <w:rsid w:val="745E5245"/>
    <w:rsid w:val="745F3497"/>
    <w:rsid w:val="746565D3"/>
    <w:rsid w:val="746F7452"/>
    <w:rsid w:val="747527E1"/>
    <w:rsid w:val="74806A79"/>
    <w:rsid w:val="7487479C"/>
    <w:rsid w:val="7487654A"/>
    <w:rsid w:val="7490551B"/>
    <w:rsid w:val="749173C8"/>
    <w:rsid w:val="74A0760B"/>
    <w:rsid w:val="74A662B1"/>
    <w:rsid w:val="74A72748"/>
    <w:rsid w:val="74AE74E6"/>
    <w:rsid w:val="74B30B29"/>
    <w:rsid w:val="74B35591"/>
    <w:rsid w:val="74B51309"/>
    <w:rsid w:val="74BD01BD"/>
    <w:rsid w:val="74BE7A92"/>
    <w:rsid w:val="74C27582"/>
    <w:rsid w:val="74C6415A"/>
    <w:rsid w:val="74CC6652"/>
    <w:rsid w:val="74D3178F"/>
    <w:rsid w:val="74E25E76"/>
    <w:rsid w:val="74E97204"/>
    <w:rsid w:val="74EA0887"/>
    <w:rsid w:val="74EE0377"/>
    <w:rsid w:val="74EF26AC"/>
    <w:rsid w:val="74FC6F38"/>
    <w:rsid w:val="74FF07D6"/>
    <w:rsid w:val="75096F5F"/>
    <w:rsid w:val="75100706"/>
    <w:rsid w:val="75104791"/>
    <w:rsid w:val="751122B7"/>
    <w:rsid w:val="75197F8B"/>
    <w:rsid w:val="751B4EE4"/>
    <w:rsid w:val="75324707"/>
    <w:rsid w:val="7535244A"/>
    <w:rsid w:val="753F0BD2"/>
    <w:rsid w:val="753F6E24"/>
    <w:rsid w:val="75412B9C"/>
    <w:rsid w:val="754937FF"/>
    <w:rsid w:val="754E52B9"/>
    <w:rsid w:val="75530B22"/>
    <w:rsid w:val="755503F6"/>
    <w:rsid w:val="755723C0"/>
    <w:rsid w:val="755D54FC"/>
    <w:rsid w:val="7561323F"/>
    <w:rsid w:val="75622B13"/>
    <w:rsid w:val="75680129"/>
    <w:rsid w:val="7568637B"/>
    <w:rsid w:val="75752846"/>
    <w:rsid w:val="757A1C0A"/>
    <w:rsid w:val="757A7E5C"/>
    <w:rsid w:val="757C043C"/>
    <w:rsid w:val="757F5473"/>
    <w:rsid w:val="758331B5"/>
    <w:rsid w:val="758F7D6B"/>
    <w:rsid w:val="759E7FEF"/>
    <w:rsid w:val="75AD0232"/>
    <w:rsid w:val="75B0387E"/>
    <w:rsid w:val="75B710B1"/>
    <w:rsid w:val="75B72E5F"/>
    <w:rsid w:val="75B93C1B"/>
    <w:rsid w:val="75BA294F"/>
    <w:rsid w:val="75BE5F9B"/>
    <w:rsid w:val="75C612F4"/>
    <w:rsid w:val="75D532E5"/>
    <w:rsid w:val="75D752AF"/>
    <w:rsid w:val="75DD2DA3"/>
    <w:rsid w:val="75DD762C"/>
    <w:rsid w:val="75E40392"/>
    <w:rsid w:val="75E91215"/>
    <w:rsid w:val="75EB0D5A"/>
    <w:rsid w:val="75EC750B"/>
    <w:rsid w:val="75ED062E"/>
    <w:rsid w:val="75ED4AD2"/>
    <w:rsid w:val="75EF084A"/>
    <w:rsid w:val="75FB2615"/>
    <w:rsid w:val="75FC4D15"/>
    <w:rsid w:val="76051E1C"/>
    <w:rsid w:val="7608190C"/>
    <w:rsid w:val="760836BA"/>
    <w:rsid w:val="760D37EB"/>
    <w:rsid w:val="76134845"/>
    <w:rsid w:val="761402B1"/>
    <w:rsid w:val="761756AB"/>
    <w:rsid w:val="761B2048"/>
    <w:rsid w:val="762027B2"/>
    <w:rsid w:val="762322A2"/>
    <w:rsid w:val="76236746"/>
    <w:rsid w:val="762A1882"/>
    <w:rsid w:val="762B090A"/>
    <w:rsid w:val="762B1157"/>
    <w:rsid w:val="762B73A9"/>
    <w:rsid w:val="762C12D2"/>
    <w:rsid w:val="762C55FB"/>
    <w:rsid w:val="76326989"/>
    <w:rsid w:val="76361656"/>
    <w:rsid w:val="763922F4"/>
    <w:rsid w:val="763E0EEF"/>
    <w:rsid w:val="76402E54"/>
    <w:rsid w:val="76424E1E"/>
    <w:rsid w:val="764741E2"/>
    <w:rsid w:val="76481D09"/>
    <w:rsid w:val="764A782F"/>
    <w:rsid w:val="764D731F"/>
    <w:rsid w:val="765014D9"/>
    <w:rsid w:val="765B435D"/>
    <w:rsid w:val="765C21DE"/>
    <w:rsid w:val="765C57B4"/>
    <w:rsid w:val="765E777E"/>
    <w:rsid w:val="76621D63"/>
    <w:rsid w:val="7662726E"/>
    <w:rsid w:val="766528BB"/>
    <w:rsid w:val="76654669"/>
    <w:rsid w:val="76684159"/>
    <w:rsid w:val="766905FD"/>
    <w:rsid w:val="766A7ED1"/>
    <w:rsid w:val="766D176F"/>
    <w:rsid w:val="766F7295"/>
    <w:rsid w:val="76760624"/>
    <w:rsid w:val="76832D41"/>
    <w:rsid w:val="768947FB"/>
    <w:rsid w:val="768E1E11"/>
    <w:rsid w:val="76905B4B"/>
    <w:rsid w:val="76911902"/>
    <w:rsid w:val="76944F4E"/>
    <w:rsid w:val="769A6A08"/>
    <w:rsid w:val="769B008A"/>
    <w:rsid w:val="769C4061"/>
    <w:rsid w:val="76A50F09"/>
    <w:rsid w:val="76AC04E9"/>
    <w:rsid w:val="76AC1B32"/>
    <w:rsid w:val="76AD7DBE"/>
    <w:rsid w:val="76B64EC4"/>
    <w:rsid w:val="76BD26F7"/>
    <w:rsid w:val="76BE1FCB"/>
    <w:rsid w:val="76C770D1"/>
    <w:rsid w:val="76C9109B"/>
    <w:rsid w:val="76CA0970"/>
    <w:rsid w:val="76CA6401"/>
    <w:rsid w:val="76D96E05"/>
    <w:rsid w:val="76DA5057"/>
    <w:rsid w:val="76DD4B47"/>
    <w:rsid w:val="76E77774"/>
    <w:rsid w:val="76EC6B38"/>
    <w:rsid w:val="76F0554B"/>
    <w:rsid w:val="76F36118"/>
    <w:rsid w:val="76F52136"/>
    <w:rsid w:val="76F8372F"/>
    <w:rsid w:val="76F854DD"/>
    <w:rsid w:val="77020109"/>
    <w:rsid w:val="770420D4"/>
    <w:rsid w:val="770E4D00"/>
    <w:rsid w:val="77170059"/>
    <w:rsid w:val="77197FA1"/>
    <w:rsid w:val="77212C85"/>
    <w:rsid w:val="772938E8"/>
    <w:rsid w:val="772C5186"/>
    <w:rsid w:val="773109EF"/>
    <w:rsid w:val="77342251"/>
    <w:rsid w:val="773504DF"/>
    <w:rsid w:val="773A5AF5"/>
    <w:rsid w:val="773C7ABF"/>
    <w:rsid w:val="773D7394"/>
    <w:rsid w:val="774150D6"/>
    <w:rsid w:val="77440722"/>
    <w:rsid w:val="77446974"/>
    <w:rsid w:val="774B075C"/>
    <w:rsid w:val="774C75D7"/>
    <w:rsid w:val="774E334F"/>
    <w:rsid w:val="77562203"/>
    <w:rsid w:val="775766A7"/>
    <w:rsid w:val="775C3CBE"/>
    <w:rsid w:val="776155EB"/>
    <w:rsid w:val="7763329E"/>
    <w:rsid w:val="776B3F01"/>
    <w:rsid w:val="776D5ECB"/>
    <w:rsid w:val="777234E1"/>
    <w:rsid w:val="77752FD1"/>
    <w:rsid w:val="77764653"/>
    <w:rsid w:val="777C4360"/>
    <w:rsid w:val="777D1E86"/>
    <w:rsid w:val="77896DD2"/>
    <w:rsid w:val="77901BB9"/>
    <w:rsid w:val="779276DF"/>
    <w:rsid w:val="77935205"/>
    <w:rsid w:val="7798281C"/>
    <w:rsid w:val="779A2A38"/>
    <w:rsid w:val="779D6084"/>
    <w:rsid w:val="77A13DC6"/>
    <w:rsid w:val="77A86F03"/>
    <w:rsid w:val="77AD62C7"/>
    <w:rsid w:val="77AE203F"/>
    <w:rsid w:val="77B51620"/>
    <w:rsid w:val="77B91110"/>
    <w:rsid w:val="77BF424C"/>
    <w:rsid w:val="77C019A9"/>
    <w:rsid w:val="77C16217"/>
    <w:rsid w:val="77C402E0"/>
    <w:rsid w:val="77C655DB"/>
    <w:rsid w:val="77CA0A7C"/>
    <w:rsid w:val="77CB0E43"/>
    <w:rsid w:val="77CF345E"/>
    <w:rsid w:val="77D73344"/>
    <w:rsid w:val="77DA1086"/>
    <w:rsid w:val="77DE2925"/>
    <w:rsid w:val="77E67A2B"/>
    <w:rsid w:val="77E837A3"/>
    <w:rsid w:val="77EB3293"/>
    <w:rsid w:val="77F263D0"/>
    <w:rsid w:val="77F43248"/>
    <w:rsid w:val="77F43EF6"/>
    <w:rsid w:val="78055D58"/>
    <w:rsid w:val="78061E7B"/>
    <w:rsid w:val="780B1240"/>
    <w:rsid w:val="780F4A03"/>
    <w:rsid w:val="780F6F82"/>
    <w:rsid w:val="78130758"/>
    <w:rsid w:val="781520BE"/>
    <w:rsid w:val="781A76D5"/>
    <w:rsid w:val="781C344D"/>
    <w:rsid w:val="781F4CEB"/>
    <w:rsid w:val="78283BA0"/>
    <w:rsid w:val="782A7F03"/>
    <w:rsid w:val="78324A1E"/>
    <w:rsid w:val="78342545"/>
    <w:rsid w:val="783553B5"/>
    <w:rsid w:val="7840713B"/>
    <w:rsid w:val="78414C61"/>
    <w:rsid w:val="78436C2C"/>
    <w:rsid w:val="784529A4"/>
    <w:rsid w:val="78462278"/>
    <w:rsid w:val="7847671C"/>
    <w:rsid w:val="784F55D0"/>
    <w:rsid w:val="78574485"/>
    <w:rsid w:val="785B3F75"/>
    <w:rsid w:val="785C1A9B"/>
    <w:rsid w:val="785E3900"/>
    <w:rsid w:val="78670B6C"/>
    <w:rsid w:val="78685455"/>
    <w:rsid w:val="786D3CA8"/>
    <w:rsid w:val="78713799"/>
    <w:rsid w:val="78714583"/>
    <w:rsid w:val="78743289"/>
    <w:rsid w:val="7879089F"/>
    <w:rsid w:val="788C2381"/>
    <w:rsid w:val="789456D9"/>
    <w:rsid w:val="789B25C4"/>
    <w:rsid w:val="78A27DF6"/>
    <w:rsid w:val="78A43B6E"/>
    <w:rsid w:val="78AC2A23"/>
    <w:rsid w:val="78AC47D1"/>
    <w:rsid w:val="78AF42C1"/>
    <w:rsid w:val="78B813C8"/>
    <w:rsid w:val="78BE2756"/>
    <w:rsid w:val="78C0027C"/>
    <w:rsid w:val="78C7785D"/>
    <w:rsid w:val="78CD525D"/>
    <w:rsid w:val="78CF4EC4"/>
    <w:rsid w:val="78D45AD6"/>
    <w:rsid w:val="78DE0702"/>
    <w:rsid w:val="78E17AF7"/>
    <w:rsid w:val="78E75809"/>
    <w:rsid w:val="78EA354B"/>
    <w:rsid w:val="78EC2E1F"/>
    <w:rsid w:val="78F10436"/>
    <w:rsid w:val="78F41CD4"/>
    <w:rsid w:val="78F817C4"/>
    <w:rsid w:val="790740FD"/>
    <w:rsid w:val="790E2D96"/>
    <w:rsid w:val="79195106"/>
    <w:rsid w:val="791D747D"/>
    <w:rsid w:val="791F31F5"/>
    <w:rsid w:val="792702FB"/>
    <w:rsid w:val="79273E57"/>
    <w:rsid w:val="792C5912"/>
    <w:rsid w:val="792C76C0"/>
    <w:rsid w:val="792E168A"/>
    <w:rsid w:val="79330A4E"/>
    <w:rsid w:val="794763E3"/>
    <w:rsid w:val="794964C4"/>
    <w:rsid w:val="794A5D98"/>
    <w:rsid w:val="795135CA"/>
    <w:rsid w:val="79515378"/>
    <w:rsid w:val="79616DC4"/>
    <w:rsid w:val="79646E59"/>
    <w:rsid w:val="79652BD2"/>
    <w:rsid w:val="79690914"/>
    <w:rsid w:val="796B01E8"/>
    <w:rsid w:val="796D2246"/>
    <w:rsid w:val="796E5F2A"/>
    <w:rsid w:val="79706EA5"/>
    <w:rsid w:val="797177C8"/>
    <w:rsid w:val="797B41A3"/>
    <w:rsid w:val="797D7F1B"/>
    <w:rsid w:val="798412AA"/>
    <w:rsid w:val="798E037A"/>
    <w:rsid w:val="79927E6B"/>
    <w:rsid w:val="79960FDD"/>
    <w:rsid w:val="79987C90"/>
    <w:rsid w:val="799A0ACD"/>
    <w:rsid w:val="799F465D"/>
    <w:rsid w:val="79AD6A52"/>
    <w:rsid w:val="79B37DE1"/>
    <w:rsid w:val="79B576B5"/>
    <w:rsid w:val="79C478F8"/>
    <w:rsid w:val="79C8388C"/>
    <w:rsid w:val="79C913B2"/>
    <w:rsid w:val="79CE69C9"/>
    <w:rsid w:val="79D00993"/>
    <w:rsid w:val="79D0629D"/>
    <w:rsid w:val="79D35D8D"/>
    <w:rsid w:val="79DD09BA"/>
    <w:rsid w:val="79DD6C0C"/>
    <w:rsid w:val="79DF0BD6"/>
    <w:rsid w:val="79E61F64"/>
    <w:rsid w:val="79E820BE"/>
    <w:rsid w:val="79EB1329"/>
    <w:rsid w:val="79ED50A1"/>
    <w:rsid w:val="79EE2BC7"/>
    <w:rsid w:val="7A04063C"/>
    <w:rsid w:val="7A044199"/>
    <w:rsid w:val="7A0917AF"/>
    <w:rsid w:val="7A095DCE"/>
    <w:rsid w:val="7A0A5C53"/>
    <w:rsid w:val="7A0E55E5"/>
    <w:rsid w:val="7A102B3D"/>
    <w:rsid w:val="7A140880"/>
    <w:rsid w:val="7A230AC3"/>
    <w:rsid w:val="7A252A8D"/>
    <w:rsid w:val="7A262361"/>
    <w:rsid w:val="7A27429B"/>
    <w:rsid w:val="7A28761C"/>
    <w:rsid w:val="7A2B7977"/>
    <w:rsid w:val="7A301431"/>
    <w:rsid w:val="7A3031E0"/>
    <w:rsid w:val="7A304F8E"/>
    <w:rsid w:val="7A432F13"/>
    <w:rsid w:val="7A4A42A1"/>
    <w:rsid w:val="7A4E3666"/>
    <w:rsid w:val="7A5C2227"/>
    <w:rsid w:val="7A5E0E2C"/>
    <w:rsid w:val="7A5E5F9F"/>
    <w:rsid w:val="7A603AC5"/>
    <w:rsid w:val="7A6335B5"/>
    <w:rsid w:val="7A6510B3"/>
    <w:rsid w:val="7A6510DB"/>
    <w:rsid w:val="7A792DD8"/>
    <w:rsid w:val="7A794B87"/>
    <w:rsid w:val="7A7A20E2"/>
    <w:rsid w:val="7A7B08FF"/>
    <w:rsid w:val="7A7C01D3"/>
    <w:rsid w:val="7A85665E"/>
    <w:rsid w:val="7A862644"/>
    <w:rsid w:val="7A911ED0"/>
    <w:rsid w:val="7A9714CA"/>
    <w:rsid w:val="7A97325F"/>
    <w:rsid w:val="7A9B68AB"/>
    <w:rsid w:val="7A9D6AC7"/>
    <w:rsid w:val="7AA1356C"/>
    <w:rsid w:val="7AA53BCD"/>
    <w:rsid w:val="7AAA4D40"/>
    <w:rsid w:val="7AAB2866"/>
    <w:rsid w:val="7AB83901"/>
    <w:rsid w:val="7AC322A6"/>
    <w:rsid w:val="7AC35E02"/>
    <w:rsid w:val="7AC53928"/>
    <w:rsid w:val="7AC758F2"/>
    <w:rsid w:val="7ACA7190"/>
    <w:rsid w:val="7ACB4CB6"/>
    <w:rsid w:val="7ACD0A2E"/>
    <w:rsid w:val="7ACE4ED2"/>
    <w:rsid w:val="7AD1051F"/>
    <w:rsid w:val="7AD324E9"/>
    <w:rsid w:val="7AD4000F"/>
    <w:rsid w:val="7AD973D3"/>
    <w:rsid w:val="7ADC6EC3"/>
    <w:rsid w:val="7AE244DA"/>
    <w:rsid w:val="7AEF46D7"/>
    <w:rsid w:val="7AF07139"/>
    <w:rsid w:val="7AF16AD7"/>
    <w:rsid w:val="7B022DCE"/>
    <w:rsid w:val="7B0326A2"/>
    <w:rsid w:val="7B072192"/>
    <w:rsid w:val="7B0C1557"/>
    <w:rsid w:val="7B114DBF"/>
    <w:rsid w:val="7B116B6D"/>
    <w:rsid w:val="7B1B3E90"/>
    <w:rsid w:val="7B1E74DC"/>
    <w:rsid w:val="7B2F16E9"/>
    <w:rsid w:val="7B2F250F"/>
    <w:rsid w:val="7B310FBD"/>
    <w:rsid w:val="7B3659F1"/>
    <w:rsid w:val="7B3960C4"/>
    <w:rsid w:val="7B4128F5"/>
    <w:rsid w:val="7B450F17"/>
    <w:rsid w:val="7B474C85"/>
    <w:rsid w:val="7B4927AB"/>
    <w:rsid w:val="7B524756"/>
    <w:rsid w:val="7B551150"/>
    <w:rsid w:val="7B5A49B8"/>
    <w:rsid w:val="7B5A6766"/>
    <w:rsid w:val="7B65510B"/>
    <w:rsid w:val="7B66335D"/>
    <w:rsid w:val="7B681A01"/>
    <w:rsid w:val="7B7517F2"/>
    <w:rsid w:val="7B77646C"/>
    <w:rsid w:val="7B786BEC"/>
    <w:rsid w:val="7B7A6E08"/>
    <w:rsid w:val="7B86410F"/>
    <w:rsid w:val="7B890DF9"/>
    <w:rsid w:val="7B915F00"/>
    <w:rsid w:val="7B94617F"/>
    <w:rsid w:val="7B9B4B89"/>
    <w:rsid w:val="7BA7127F"/>
    <w:rsid w:val="7BAB0715"/>
    <w:rsid w:val="7BB20608"/>
    <w:rsid w:val="7BB33D05"/>
    <w:rsid w:val="7BBA0FB3"/>
    <w:rsid w:val="7BBD0AA3"/>
    <w:rsid w:val="7BBF4D5C"/>
    <w:rsid w:val="7BC167E5"/>
    <w:rsid w:val="7BCE0F02"/>
    <w:rsid w:val="7BCF5A02"/>
    <w:rsid w:val="7BD3539E"/>
    <w:rsid w:val="7BD5403F"/>
    <w:rsid w:val="7BD77DB7"/>
    <w:rsid w:val="7BE75B20"/>
    <w:rsid w:val="7BEB1AB4"/>
    <w:rsid w:val="7BEB3862"/>
    <w:rsid w:val="7BEB5610"/>
    <w:rsid w:val="7BFA1CF7"/>
    <w:rsid w:val="7C09018C"/>
    <w:rsid w:val="7C0B7A60"/>
    <w:rsid w:val="7C1F175E"/>
    <w:rsid w:val="7C211032"/>
    <w:rsid w:val="7C245596"/>
    <w:rsid w:val="7C286864"/>
    <w:rsid w:val="7C2B3C5E"/>
    <w:rsid w:val="7C321491"/>
    <w:rsid w:val="7C3A20F4"/>
    <w:rsid w:val="7C3E7E36"/>
    <w:rsid w:val="7C47478B"/>
    <w:rsid w:val="7C482A62"/>
    <w:rsid w:val="7C4D0079"/>
    <w:rsid w:val="7C52743D"/>
    <w:rsid w:val="7C570EF7"/>
    <w:rsid w:val="7C574A54"/>
    <w:rsid w:val="7C5B09E8"/>
    <w:rsid w:val="7C5E4034"/>
    <w:rsid w:val="7C6158D2"/>
    <w:rsid w:val="7C7C270C"/>
    <w:rsid w:val="7C7E46D6"/>
    <w:rsid w:val="7C80044E"/>
    <w:rsid w:val="7C815F74"/>
    <w:rsid w:val="7C9020F0"/>
    <w:rsid w:val="7C907F65"/>
    <w:rsid w:val="7C9C1C43"/>
    <w:rsid w:val="7C9C2DAE"/>
    <w:rsid w:val="7C9E08D4"/>
    <w:rsid w:val="7CAB4D9F"/>
    <w:rsid w:val="7CAD4FBB"/>
    <w:rsid w:val="7CB02B6A"/>
    <w:rsid w:val="7CB1685A"/>
    <w:rsid w:val="7CB42860"/>
    <w:rsid w:val="7CB504C8"/>
    <w:rsid w:val="7CBC51FE"/>
    <w:rsid w:val="7CBE4AD3"/>
    <w:rsid w:val="7CC059B8"/>
    <w:rsid w:val="7CC3033B"/>
    <w:rsid w:val="7CC40628"/>
    <w:rsid w:val="7CC52305"/>
    <w:rsid w:val="7CC83BA3"/>
    <w:rsid w:val="7CCF0A8E"/>
    <w:rsid w:val="7CD97B5E"/>
    <w:rsid w:val="7CDD764F"/>
    <w:rsid w:val="7CE54755"/>
    <w:rsid w:val="7CEF2EDE"/>
    <w:rsid w:val="7D021F92"/>
    <w:rsid w:val="7D0270B5"/>
    <w:rsid w:val="7D0A5F6A"/>
    <w:rsid w:val="7D0B583E"/>
    <w:rsid w:val="7D1312C2"/>
    <w:rsid w:val="7D142945"/>
    <w:rsid w:val="7D1666BD"/>
    <w:rsid w:val="7D1C7A4B"/>
    <w:rsid w:val="7D1E5E01"/>
    <w:rsid w:val="7D225061"/>
    <w:rsid w:val="7D225E49"/>
    <w:rsid w:val="7D24527D"/>
    <w:rsid w:val="7D284642"/>
    <w:rsid w:val="7D2F777E"/>
    <w:rsid w:val="7D3020BC"/>
    <w:rsid w:val="7D315490"/>
    <w:rsid w:val="7D36003F"/>
    <w:rsid w:val="7D360B0D"/>
    <w:rsid w:val="7D364FB1"/>
    <w:rsid w:val="7D376633"/>
    <w:rsid w:val="7D3923AB"/>
    <w:rsid w:val="7D3B6123"/>
    <w:rsid w:val="7D3D1E9B"/>
    <w:rsid w:val="7D425312"/>
    <w:rsid w:val="7D4E22FA"/>
    <w:rsid w:val="7D4F1BCF"/>
    <w:rsid w:val="7D60202E"/>
    <w:rsid w:val="7D620E6E"/>
    <w:rsid w:val="7D676F18"/>
    <w:rsid w:val="7D6C6CD2"/>
    <w:rsid w:val="7D6E02A7"/>
    <w:rsid w:val="7D6F2271"/>
    <w:rsid w:val="7D715FE9"/>
    <w:rsid w:val="7D7B29C4"/>
    <w:rsid w:val="7D7F0706"/>
    <w:rsid w:val="7D821FA4"/>
    <w:rsid w:val="7D845D1C"/>
    <w:rsid w:val="7D8B58BA"/>
    <w:rsid w:val="7D9D422B"/>
    <w:rsid w:val="7DA10BFA"/>
    <w:rsid w:val="7DA95783"/>
    <w:rsid w:val="7DB163E5"/>
    <w:rsid w:val="7DC124DF"/>
    <w:rsid w:val="7DC46119"/>
    <w:rsid w:val="7DC600E3"/>
    <w:rsid w:val="7DC66335"/>
    <w:rsid w:val="7DC71FDC"/>
    <w:rsid w:val="7DCB56F9"/>
    <w:rsid w:val="7DD10836"/>
    <w:rsid w:val="7DDB3462"/>
    <w:rsid w:val="7DEC38C1"/>
    <w:rsid w:val="7DED1B13"/>
    <w:rsid w:val="7DF369FE"/>
    <w:rsid w:val="7DFC3B04"/>
    <w:rsid w:val="7E002EC9"/>
    <w:rsid w:val="7E096221"/>
    <w:rsid w:val="7E0B3D48"/>
    <w:rsid w:val="7E0B46AE"/>
    <w:rsid w:val="7E10135E"/>
    <w:rsid w:val="7E1150D6"/>
    <w:rsid w:val="7E176B90"/>
    <w:rsid w:val="7E244E09"/>
    <w:rsid w:val="7E2E3EDA"/>
    <w:rsid w:val="7E307C52"/>
    <w:rsid w:val="7E372D8F"/>
    <w:rsid w:val="7E374B3D"/>
    <w:rsid w:val="7E3A63DB"/>
    <w:rsid w:val="7E3E411D"/>
    <w:rsid w:val="7E53749D"/>
    <w:rsid w:val="7E5B252E"/>
    <w:rsid w:val="7E5C45A3"/>
    <w:rsid w:val="7E663674"/>
    <w:rsid w:val="7E694F12"/>
    <w:rsid w:val="7E6E2E4D"/>
    <w:rsid w:val="7E6F077A"/>
    <w:rsid w:val="7E722019"/>
    <w:rsid w:val="7E7676CE"/>
    <w:rsid w:val="7E7A711F"/>
    <w:rsid w:val="7E8104AE"/>
    <w:rsid w:val="7E81400A"/>
    <w:rsid w:val="7E834226"/>
    <w:rsid w:val="7E837D82"/>
    <w:rsid w:val="7E9B156F"/>
    <w:rsid w:val="7EAF0B77"/>
    <w:rsid w:val="7EB51F05"/>
    <w:rsid w:val="7EB729B4"/>
    <w:rsid w:val="7EBB39C0"/>
    <w:rsid w:val="7EBC7738"/>
    <w:rsid w:val="7EBD6A6B"/>
    <w:rsid w:val="7EBE6F11"/>
    <w:rsid w:val="7EBE700C"/>
    <w:rsid w:val="7EC02D84"/>
    <w:rsid w:val="7EC108AA"/>
    <w:rsid w:val="7EC40A46"/>
    <w:rsid w:val="7EC565EC"/>
    <w:rsid w:val="7EC81C39"/>
    <w:rsid w:val="7ED427A2"/>
    <w:rsid w:val="7ED54355"/>
    <w:rsid w:val="7EE06F82"/>
    <w:rsid w:val="7EE2719E"/>
    <w:rsid w:val="7EE30DF1"/>
    <w:rsid w:val="7EE60311"/>
    <w:rsid w:val="7EED78F1"/>
    <w:rsid w:val="7EEF18BB"/>
    <w:rsid w:val="7EF26CB5"/>
    <w:rsid w:val="7EFC5D86"/>
    <w:rsid w:val="7F01514B"/>
    <w:rsid w:val="7F0215EE"/>
    <w:rsid w:val="7F0F1615"/>
    <w:rsid w:val="7F121106"/>
    <w:rsid w:val="7F17496E"/>
    <w:rsid w:val="7F1B26B0"/>
    <w:rsid w:val="7F1D7197"/>
    <w:rsid w:val="7F1F1200"/>
    <w:rsid w:val="7F272E03"/>
    <w:rsid w:val="7F280929"/>
    <w:rsid w:val="7F2826D7"/>
    <w:rsid w:val="7F3217A8"/>
    <w:rsid w:val="7F364DF4"/>
    <w:rsid w:val="7F4B32F8"/>
    <w:rsid w:val="7F533BF8"/>
    <w:rsid w:val="7F546400"/>
    <w:rsid w:val="7F596D35"/>
    <w:rsid w:val="7F5B0CFF"/>
    <w:rsid w:val="7F5D6825"/>
    <w:rsid w:val="7F6000C3"/>
    <w:rsid w:val="7F604567"/>
    <w:rsid w:val="7F627118"/>
    <w:rsid w:val="7F6A0F42"/>
    <w:rsid w:val="7F743B6E"/>
    <w:rsid w:val="7F762AF8"/>
    <w:rsid w:val="7F765B38"/>
    <w:rsid w:val="7F784A39"/>
    <w:rsid w:val="7F7D2A23"/>
    <w:rsid w:val="7F7E49ED"/>
    <w:rsid w:val="7F806B50"/>
    <w:rsid w:val="7F833D8D"/>
    <w:rsid w:val="7F89586C"/>
    <w:rsid w:val="7F8A4872"/>
    <w:rsid w:val="7F8B1AD7"/>
    <w:rsid w:val="7F985AAF"/>
    <w:rsid w:val="7F9F0DD2"/>
    <w:rsid w:val="7FA44454"/>
    <w:rsid w:val="7FA91A6A"/>
    <w:rsid w:val="7FB14DC3"/>
    <w:rsid w:val="7FB81CAD"/>
    <w:rsid w:val="7FB83A5B"/>
    <w:rsid w:val="7FBE4DEA"/>
    <w:rsid w:val="7FC225F7"/>
    <w:rsid w:val="7FC22B2C"/>
    <w:rsid w:val="7FC76394"/>
    <w:rsid w:val="7FCB7C32"/>
    <w:rsid w:val="7FCC7507"/>
    <w:rsid w:val="7FCE59B4"/>
    <w:rsid w:val="7FCE7723"/>
    <w:rsid w:val="7FD840FD"/>
    <w:rsid w:val="7FE02FB2"/>
    <w:rsid w:val="7FE23868"/>
    <w:rsid w:val="7FE24F7C"/>
    <w:rsid w:val="7FE42AA2"/>
    <w:rsid w:val="7FE44850"/>
    <w:rsid w:val="7FE50608"/>
    <w:rsid w:val="7FEE56CF"/>
    <w:rsid w:val="7FF30F37"/>
    <w:rsid w:val="7FF802FC"/>
    <w:rsid w:val="7FF8654D"/>
    <w:rsid w:val="7FFA22C6"/>
    <w:rsid w:val="7FFA4074"/>
    <w:rsid w:val="7FFC4290"/>
    <w:rsid w:val="7FFD1D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5"/>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49"/>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50"/>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51"/>
    <w:autoRedefine/>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52"/>
    <w:autoRedefine/>
    <w:qFormat/>
    <w:uiPriority w:val="0"/>
    <w:pPr>
      <w:keepNext/>
      <w:keepLines/>
      <w:numPr>
        <w:ilvl w:val="4"/>
        <w:numId w:val="1"/>
      </w:numPr>
      <w:spacing w:before="280" w:after="290" w:line="376" w:lineRule="auto"/>
      <w:outlineLvl w:val="4"/>
    </w:pPr>
    <w:rPr>
      <w:b/>
      <w:sz w:val="28"/>
      <w:szCs w:val="20"/>
    </w:rPr>
  </w:style>
  <w:style w:type="paragraph" w:styleId="7">
    <w:name w:val="heading 6"/>
    <w:basedOn w:val="1"/>
    <w:next w:val="1"/>
    <w:link w:val="53"/>
    <w:autoRedefine/>
    <w:qFormat/>
    <w:uiPriority w:val="0"/>
    <w:pPr>
      <w:keepNext/>
      <w:keepLines/>
      <w:numPr>
        <w:ilvl w:val="5"/>
        <w:numId w:val="1"/>
      </w:numPr>
      <w:spacing w:before="240" w:after="64" w:line="320" w:lineRule="auto"/>
      <w:outlineLvl w:val="5"/>
    </w:pPr>
    <w:rPr>
      <w:rFonts w:ascii="Arial" w:hAnsi="Arial" w:eastAsia="黑体"/>
      <w:b/>
      <w:szCs w:val="20"/>
    </w:rPr>
  </w:style>
  <w:style w:type="character" w:default="1" w:styleId="42">
    <w:name w:val="Default Paragraph Font"/>
    <w:autoRedefine/>
    <w:semiHidden/>
    <w:qFormat/>
    <w:uiPriority w:val="0"/>
  </w:style>
  <w:style w:type="table" w:default="1" w:styleId="40">
    <w:name w:val="Normal Table"/>
    <w:autoRedefine/>
    <w:semiHidden/>
    <w:qFormat/>
    <w:uiPriority w:val="0"/>
    <w:pPr>
      <w:keepNext w:val="0"/>
      <w:keepLines w:val="0"/>
      <w:widowControl/>
      <w:suppressLineNumbers w:val="0"/>
      <w:spacing w:before="0" w:beforeAutospacing="0" w:after="0" w:afterAutospacing="0"/>
      <w:ind w:left="0" w:right="0"/>
    </w:pPr>
    <w:rPr>
      <w:rFonts w:ascii="Calibri" w:hAnsi="Calibri" w:cs="Calibri"/>
      <w:kern w:val="2"/>
      <w:sz w:val="21"/>
      <w:szCs w:val="22"/>
    </w:rPr>
    <w:tblPr>
      <w:tblCellMar>
        <w:top w:w="0" w:type="dxa"/>
        <w:left w:w="108" w:type="dxa"/>
        <w:bottom w:w="0" w:type="dxa"/>
        <w:right w:w="108" w:type="dxa"/>
      </w:tblCellMar>
    </w:tblPr>
  </w:style>
  <w:style w:type="paragraph" w:styleId="8">
    <w:name w:val="toc 7"/>
    <w:basedOn w:val="1"/>
    <w:next w:val="1"/>
    <w:link w:val="54"/>
    <w:autoRedefine/>
    <w:qFormat/>
    <w:uiPriority w:val="39"/>
    <w:pPr>
      <w:ind w:left="2520" w:leftChars="1200"/>
    </w:pPr>
  </w:style>
  <w:style w:type="paragraph" w:styleId="9">
    <w:name w:val="Normal Indent"/>
    <w:basedOn w:val="1"/>
    <w:next w:val="10"/>
    <w:autoRedefine/>
    <w:qFormat/>
    <w:uiPriority w:val="0"/>
    <w:pPr>
      <w:autoSpaceDE w:val="0"/>
      <w:autoSpaceDN w:val="0"/>
      <w:adjustRightInd w:val="0"/>
      <w:ind w:firstLine="420"/>
      <w:jc w:val="left"/>
    </w:pPr>
    <w:rPr>
      <w:rFonts w:ascii="宋体"/>
      <w:kern w:val="0"/>
      <w:sz w:val="24"/>
      <w:szCs w:val="20"/>
    </w:rPr>
  </w:style>
  <w:style w:type="paragraph" w:styleId="10">
    <w:name w:val="toa heading"/>
    <w:basedOn w:val="1"/>
    <w:next w:val="1"/>
    <w:autoRedefine/>
    <w:unhideWhenUsed/>
    <w:qFormat/>
    <w:uiPriority w:val="0"/>
    <w:pPr>
      <w:spacing w:before="120" w:beforeLines="0" w:afterLines="0"/>
    </w:pPr>
    <w:rPr>
      <w:rFonts w:hint="default" w:ascii="Cambria" w:hAnsi="Cambria"/>
      <w:sz w:val="24"/>
    </w:rPr>
  </w:style>
  <w:style w:type="paragraph" w:styleId="11">
    <w:name w:val="annotation text"/>
    <w:basedOn w:val="1"/>
    <w:link w:val="55"/>
    <w:autoRedefine/>
    <w:qFormat/>
    <w:uiPriority w:val="99"/>
    <w:pPr>
      <w:jc w:val="left"/>
    </w:pPr>
  </w:style>
  <w:style w:type="paragraph" w:styleId="12">
    <w:name w:val="Body Text"/>
    <w:basedOn w:val="1"/>
    <w:next w:val="13"/>
    <w:link w:val="56"/>
    <w:autoRedefine/>
    <w:qFormat/>
    <w:uiPriority w:val="0"/>
    <w:pPr>
      <w:tabs>
        <w:tab w:val="left" w:pos="567"/>
      </w:tabs>
      <w:spacing w:before="120" w:line="22" w:lineRule="atLeast"/>
    </w:pPr>
    <w:rPr>
      <w:rFonts w:ascii="宋体" w:hAnsi="宋体"/>
      <w:sz w:val="24"/>
    </w:rPr>
  </w:style>
  <w:style w:type="paragraph" w:styleId="13">
    <w:name w:val="Body Text Indent"/>
    <w:basedOn w:val="1"/>
    <w:autoRedefine/>
    <w:qFormat/>
    <w:uiPriority w:val="0"/>
    <w:pPr>
      <w:spacing w:line="360" w:lineRule="auto"/>
      <w:ind w:firstLine="570"/>
    </w:pPr>
    <w:rPr>
      <w:sz w:val="24"/>
    </w:rPr>
  </w:style>
  <w:style w:type="paragraph" w:styleId="14">
    <w:name w:val="toc 5"/>
    <w:basedOn w:val="1"/>
    <w:next w:val="1"/>
    <w:autoRedefine/>
    <w:qFormat/>
    <w:uiPriority w:val="39"/>
    <w:pPr>
      <w:ind w:left="1680" w:leftChars="800"/>
    </w:pPr>
  </w:style>
  <w:style w:type="paragraph" w:styleId="15">
    <w:name w:val="toc 3"/>
    <w:basedOn w:val="1"/>
    <w:next w:val="1"/>
    <w:autoRedefine/>
    <w:qFormat/>
    <w:uiPriority w:val="39"/>
    <w:pPr>
      <w:tabs>
        <w:tab w:val="left" w:pos="1260"/>
        <w:tab w:val="right" w:leader="dot" w:pos="8630"/>
      </w:tabs>
      <w:ind w:left="840" w:leftChars="400"/>
    </w:pPr>
  </w:style>
  <w:style w:type="paragraph" w:styleId="16">
    <w:name w:val="Plain Text"/>
    <w:basedOn w:val="1"/>
    <w:link w:val="57"/>
    <w:autoRedefine/>
    <w:qFormat/>
    <w:uiPriority w:val="0"/>
    <w:rPr>
      <w:rFonts w:ascii="宋体" w:hAnsi="Courier New"/>
      <w:szCs w:val="20"/>
    </w:rPr>
  </w:style>
  <w:style w:type="paragraph" w:styleId="17">
    <w:name w:val="toc 8"/>
    <w:basedOn w:val="1"/>
    <w:next w:val="1"/>
    <w:autoRedefine/>
    <w:qFormat/>
    <w:uiPriority w:val="39"/>
    <w:pPr>
      <w:ind w:left="2940" w:leftChars="1400"/>
    </w:pPr>
  </w:style>
  <w:style w:type="paragraph" w:styleId="18">
    <w:name w:val="Date"/>
    <w:basedOn w:val="1"/>
    <w:next w:val="1"/>
    <w:link w:val="58"/>
    <w:autoRedefine/>
    <w:qFormat/>
    <w:uiPriority w:val="0"/>
    <w:pPr>
      <w:ind w:left="100" w:leftChars="2500"/>
    </w:pPr>
    <w:rPr>
      <w:rFonts w:ascii="仿宋_GB2312" w:hAnsi="宋体" w:eastAsia="仿宋_GB2312"/>
      <w:color w:val="000000"/>
      <w:sz w:val="24"/>
    </w:rPr>
  </w:style>
  <w:style w:type="paragraph" w:styleId="19">
    <w:name w:val="Body Text Indent 2"/>
    <w:basedOn w:val="1"/>
    <w:link w:val="59"/>
    <w:autoRedefine/>
    <w:qFormat/>
    <w:uiPriority w:val="0"/>
    <w:pPr>
      <w:ind w:firstLine="480" w:firstLineChars="200"/>
    </w:pPr>
    <w:rPr>
      <w:rFonts w:ascii="仿宋_GB2312" w:eastAsia="仿宋_GB2312"/>
      <w:sz w:val="24"/>
    </w:rPr>
  </w:style>
  <w:style w:type="paragraph" w:styleId="20">
    <w:name w:val="Balloon Text"/>
    <w:basedOn w:val="1"/>
    <w:link w:val="60"/>
    <w:autoRedefine/>
    <w:qFormat/>
    <w:uiPriority w:val="0"/>
    <w:rPr>
      <w:sz w:val="18"/>
      <w:szCs w:val="18"/>
    </w:rPr>
  </w:style>
  <w:style w:type="paragraph" w:styleId="21">
    <w:name w:val="footer"/>
    <w:basedOn w:val="1"/>
    <w:autoRedefine/>
    <w:qFormat/>
    <w:uiPriority w:val="0"/>
    <w:pPr>
      <w:tabs>
        <w:tab w:val="center" w:pos="4153"/>
        <w:tab w:val="right" w:pos="8306"/>
      </w:tabs>
      <w:snapToGrid w:val="0"/>
      <w:jc w:val="left"/>
    </w:pPr>
    <w:rPr>
      <w:sz w:val="18"/>
    </w:rPr>
  </w:style>
  <w:style w:type="paragraph" w:styleId="22">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style>
  <w:style w:type="paragraph" w:styleId="24">
    <w:name w:val="toc 4"/>
    <w:basedOn w:val="1"/>
    <w:next w:val="1"/>
    <w:autoRedefine/>
    <w:qFormat/>
    <w:uiPriority w:val="39"/>
    <w:pPr>
      <w:ind w:left="1260" w:leftChars="600"/>
    </w:pPr>
  </w:style>
  <w:style w:type="paragraph" w:styleId="25">
    <w:name w:val="List"/>
    <w:basedOn w:val="1"/>
    <w:autoRedefine/>
    <w:qFormat/>
    <w:uiPriority w:val="0"/>
    <w:pPr>
      <w:keepNext w:val="0"/>
      <w:keepLines w:val="0"/>
      <w:widowControl w:val="0"/>
      <w:suppressLineNumbers w:val="0"/>
      <w:adjustRightInd w:val="0"/>
      <w:snapToGrid w:val="0"/>
      <w:spacing w:before="0" w:beforeAutospacing="0" w:after="0" w:afterAutospacing="0" w:line="360" w:lineRule="auto"/>
      <w:ind w:left="200" w:right="0" w:hanging="200" w:hangingChars="200"/>
      <w:contextualSpacing/>
      <w:jc w:val="both"/>
    </w:pPr>
    <w:rPr>
      <w:rFonts w:hint="eastAsia" w:ascii="宋体" w:hAnsi="Times New Roman" w:eastAsia="宋体" w:cs="Times New Roman"/>
      <w:snapToGrid/>
      <w:kern w:val="0"/>
      <w:sz w:val="24"/>
      <w:szCs w:val="20"/>
      <w:lang w:val="en-US" w:eastAsia="zh-CN" w:bidi="ar"/>
    </w:rPr>
  </w:style>
  <w:style w:type="paragraph" w:styleId="26">
    <w:name w:val="footnote text"/>
    <w:basedOn w:val="1"/>
    <w:link w:val="62"/>
    <w:autoRedefine/>
    <w:qFormat/>
    <w:uiPriority w:val="0"/>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27">
    <w:name w:val="toc 6"/>
    <w:basedOn w:val="1"/>
    <w:next w:val="1"/>
    <w:autoRedefine/>
    <w:qFormat/>
    <w:uiPriority w:val="39"/>
    <w:pPr>
      <w:ind w:left="2100" w:leftChars="1000"/>
    </w:pPr>
  </w:style>
  <w:style w:type="paragraph" w:styleId="28">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autoRedefine/>
    <w:qFormat/>
    <w:uiPriority w:val="39"/>
    <w:pPr>
      <w:ind w:left="420" w:leftChars="200"/>
    </w:pPr>
  </w:style>
  <w:style w:type="paragraph" w:styleId="30">
    <w:name w:val="toc 9"/>
    <w:basedOn w:val="1"/>
    <w:next w:val="1"/>
    <w:autoRedefine/>
    <w:qFormat/>
    <w:uiPriority w:val="39"/>
    <w:pPr>
      <w:ind w:left="3360" w:leftChars="1600"/>
    </w:pPr>
  </w:style>
  <w:style w:type="paragraph" w:styleId="31">
    <w:name w:val="Body Text 2"/>
    <w:basedOn w:val="1"/>
    <w:qFormat/>
    <w:uiPriority w:val="0"/>
    <w:pPr>
      <w:spacing w:line="360" w:lineRule="atLeast"/>
      <w:jc w:val="center"/>
    </w:pPr>
    <w:rPr>
      <w:rFonts w:ascii="仿宋_GB2312" w:hAnsi="Dotum" w:eastAsia="仿宋_GB2312" w:cs="Times New Roman"/>
      <w:sz w:val="28"/>
    </w:rPr>
  </w:style>
  <w:style w:type="paragraph" w:styleId="3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3">
    <w:name w:val="Normal (Web)"/>
    <w:basedOn w:val="1"/>
    <w:next w:val="34"/>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Pr>
      <w:color w:val="666666"/>
      <w:kern w:val="0"/>
      <w:sz w:val="24"/>
      <w:lang w:val="en-US" w:eastAsia="zh-CN" w:bidi="ar"/>
    </w:rPr>
  </w:style>
  <w:style w:type="paragraph" w:customStyle="1" w:styleId="34">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35">
    <w:name w:val="index 1"/>
    <w:basedOn w:val="1"/>
    <w:next w:val="1"/>
    <w:autoRedefine/>
    <w:semiHidden/>
    <w:qFormat/>
    <w:uiPriority w:val="0"/>
    <w:rPr>
      <w:szCs w:val="20"/>
    </w:rPr>
  </w:style>
  <w:style w:type="paragraph" w:styleId="36">
    <w:name w:val="Title"/>
    <w:basedOn w:val="1"/>
    <w:autoRedefine/>
    <w:qFormat/>
    <w:uiPriority w:val="0"/>
    <w:pPr>
      <w:spacing w:before="240" w:after="60"/>
      <w:jc w:val="center"/>
      <w:outlineLvl w:val="0"/>
    </w:pPr>
    <w:rPr>
      <w:rFonts w:ascii="Arial" w:hAnsi="Arial" w:cs="Arial"/>
      <w:b/>
      <w:bCs/>
      <w:sz w:val="32"/>
      <w:szCs w:val="32"/>
    </w:rPr>
  </w:style>
  <w:style w:type="paragraph" w:styleId="37">
    <w:name w:val="annotation subject"/>
    <w:basedOn w:val="11"/>
    <w:next w:val="11"/>
    <w:link w:val="63"/>
    <w:autoRedefine/>
    <w:qFormat/>
    <w:uiPriority w:val="0"/>
    <w:rPr>
      <w:b/>
      <w:bCs/>
    </w:rPr>
  </w:style>
  <w:style w:type="paragraph" w:styleId="38">
    <w:name w:val="Body Text First Indent"/>
    <w:basedOn w:val="12"/>
    <w:next w:val="1"/>
    <w:autoRedefine/>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39">
    <w:name w:val="Body Text First Indent 2"/>
    <w:basedOn w:val="13"/>
    <w:autoRedefine/>
    <w:qFormat/>
    <w:uiPriority w:val="0"/>
    <w:pPr>
      <w:ind w:firstLine="420" w:firstLineChars="200"/>
    </w:p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autoRedefine/>
    <w:qFormat/>
    <w:uiPriority w:val="22"/>
    <w:rPr>
      <w:b/>
    </w:rPr>
  </w:style>
  <w:style w:type="character" w:styleId="44">
    <w:name w:val="page number"/>
    <w:basedOn w:val="42"/>
    <w:autoRedefine/>
    <w:qFormat/>
    <w:uiPriority w:val="0"/>
  </w:style>
  <w:style w:type="character" w:styleId="45">
    <w:name w:val="Emphasis"/>
    <w:basedOn w:val="42"/>
    <w:autoRedefine/>
    <w:qFormat/>
    <w:uiPriority w:val="0"/>
  </w:style>
  <w:style w:type="character" w:styleId="46">
    <w:name w:val="Hyperlink"/>
    <w:basedOn w:val="42"/>
    <w:autoRedefine/>
    <w:qFormat/>
    <w:uiPriority w:val="99"/>
    <w:rPr>
      <w:color w:val="2B2B2B"/>
      <w:u w:val="none"/>
    </w:rPr>
  </w:style>
  <w:style w:type="character" w:styleId="47">
    <w:name w:val="annotation reference"/>
    <w:autoRedefine/>
    <w:qFormat/>
    <w:uiPriority w:val="99"/>
    <w:rPr>
      <w:sz w:val="21"/>
      <w:szCs w:val="21"/>
    </w:rPr>
  </w:style>
  <w:style w:type="character" w:customStyle="1" w:styleId="48">
    <w:name w:val="标题 1 Char"/>
    <w:link w:val="2"/>
    <w:autoRedefine/>
    <w:qFormat/>
    <w:uiPriority w:val="0"/>
    <w:rPr>
      <w:rFonts w:ascii="宋体"/>
      <w:b/>
      <w:kern w:val="44"/>
      <w:sz w:val="32"/>
    </w:rPr>
  </w:style>
  <w:style w:type="character" w:customStyle="1" w:styleId="49">
    <w:name w:val="标题 2 Char"/>
    <w:link w:val="3"/>
    <w:autoRedefine/>
    <w:qFormat/>
    <w:uiPriority w:val="0"/>
    <w:rPr>
      <w:rFonts w:ascii="Arial" w:hAnsi="Arial" w:eastAsia="黑体"/>
      <w:b/>
      <w:sz w:val="30"/>
    </w:rPr>
  </w:style>
  <w:style w:type="character" w:customStyle="1" w:styleId="50">
    <w:name w:val="标题 3 Char"/>
    <w:link w:val="4"/>
    <w:autoRedefine/>
    <w:qFormat/>
    <w:uiPriority w:val="0"/>
    <w:rPr>
      <w:rFonts w:ascii="宋体"/>
      <w:b/>
      <w:sz w:val="24"/>
      <w:u w:val="single"/>
    </w:rPr>
  </w:style>
  <w:style w:type="character" w:customStyle="1" w:styleId="51">
    <w:name w:val="标题 4 Char"/>
    <w:link w:val="5"/>
    <w:autoRedefine/>
    <w:qFormat/>
    <w:uiPriority w:val="0"/>
    <w:rPr>
      <w:rFonts w:ascii="Arial" w:hAnsi="Arial" w:eastAsia="黑体"/>
      <w:b/>
      <w:bCs/>
      <w:sz w:val="28"/>
      <w:szCs w:val="28"/>
    </w:rPr>
  </w:style>
  <w:style w:type="character" w:customStyle="1" w:styleId="52">
    <w:name w:val="标题 5 Char"/>
    <w:link w:val="6"/>
    <w:autoRedefine/>
    <w:qFormat/>
    <w:uiPriority w:val="0"/>
    <w:rPr>
      <w:b/>
      <w:sz w:val="28"/>
      <w:szCs w:val="20"/>
    </w:rPr>
  </w:style>
  <w:style w:type="character" w:customStyle="1" w:styleId="53">
    <w:name w:val="标题 6 Char"/>
    <w:link w:val="7"/>
    <w:autoRedefine/>
    <w:qFormat/>
    <w:uiPriority w:val="0"/>
    <w:rPr>
      <w:rFonts w:ascii="Arial" w:hAnsi="Arial" w:eastAsia="黑体"/>
      <w:b/>
      <w:szCs w:val="20"/>
    </w:rPr>
  </w:style>
  <w:style w:type="character" w:customStyle="1" w:styleId="54">
    <w:name w:val="目录 7 Char"/>
    <w:link w:val="8"/>
    <w:autoRedefine/>
    <w:qFormat/>
    <w:uiPriority w:val="39"/>
  </w:style>
  <w:style w:type="character" w:customStyle="1" w:styleId="55">
    <w:name w:val="批注文字 Char"/>
    <w:link w:val="11"/>
    <w:autoRedefine/>
    <w:qFormat/>
    <w:uiPriority w:val="99"/>
    <w:rPr>
      <w:kern w:val="2"/>
      <w:sz w:val="21"/>
      <w:szCs w:val="24"/>
    </w:rPr>
  </w:style>
  <w:style w:type="character" w:customStyle="1" w:styleId="56">
    <w:name w:val="正文文本 Char"/>
    <w:link w:val="12"/>
    <w:autoRedefine/>
    <w:qFormat/>
    <w:uiPriority w:val="0"/>
    <w:rPr>
      <w:rFonts w:ascii="宋体" w:hAnsi="宋体"/>
      <w:kern w:val="2"/>
      <w:sz w:val="24"/>
      <w:szCs w:val="24"/>
    </w:rPr>
  </w:style>
  <w:style w:type="character" w:customStyle="1" w:styleId="57">
    <w:name w:val="纯文本 Char"/>
    <w:link w:val="16"/>
    <w:autoRedefine/>
    <w:qFormat/>
    <w:uiPriority w:val="0"/>
    <w:rPr>
      <w:rFonts w:ascii="宋体" w:hAnsi="Courier New"/>
      <w:kern w:val="2"/>
      <w:sz w:val="21"/>
    </w:rPr>
  </w:style>
  <w:style w:type="character" w:customStyle="1" w:styleId="58">
    <w:name w:val="日期 Char"/>
    <w:link w:val="18"/>
    <w:autoRedefine/>
    <w:qFormat/>
    <w:uiPriority w:val="0"/>
    <w:rPr>
      <w:rFonts w:ascii="仿宋_GB2312" w:hAnsi="宋体" w:eastAsia="仿宋_GB2312"/>
      <w:color w:val="000000"/>
      <w:kern w:val="2"/>
      <w:sz w:val="24"/>
      <w:szCs w:val="24"/>
    </w:rPr>
  </w:style>
  <w:style w:type="character" w:customStyle="1" w:styleId="59">
    <w:name w:val="正文文本缩进 2 Char"/>
    <w:link w:val="19"/>
    <w:autoRedefine/>
    <w:qFormat/>
    <w:uiPriority w:val="0"/>
    <w:rPr>
      <w:rFonts w:ascii="仿宋_GB2312" w:eastAsia="仿宋_GB2312"/>
      <w:sz w:val="24"/>
    </w:rPr>
  </w:style>
  <w:style w:type="character" w:customStyle="1" w:styleId="60">
    <w:name w:val="批注框文本 Char"/>
    <w:link w:val="20"/>
    <w:autoRedefine/>
    <w:qFormat/>
    <w:uiPriority w:val="0"/>
    <w:rPr>
      <w:kern w:val="2"/>
      <w:sz w:val="18"/>
      <w:szCs w:val="18"/>
    </w:rPr>
  </w:style>
  <w:style w:type="character" w:customStyle="1" w:styleId="61">
    <w:name w:val="页眉 Char"/>
    <w:link w:val="22"/>
    <w:autoRedefine/>
    <w:qFormat/>
    <w:uiPriority w:val="0"/>
    <w:rPr>
      <w:kern w:val="2"/>
      <w:sz w:val="18"/>
      <w:szCs w:val="18"/>
    </w:rPr>
  </w:style>
  <w:style w:type="character" w:customStyle="1" w:styleId="62">
    <w:name w:val="脚注文本 Char"/>
    <w:basedOn w:val="42"/>
    <w:link w:val="26"/>
    <w:autoRedefine/>
    <w:qFormat/>
    <w:uiPriority w:val="0"/>
    <w:rPr>
      <w:rFonts w:hint="default" w:ascii="Times New Roman" w:hAnsi="Times New Roman" w:eastAsia="宋体" w:cs="Times New Roman"/>
      <w:sz w:val="18"/>
      <w:szCs w:val="18"/>
    </w:rPr>
  </w:style>
  <w:style w:type="character" w:customStyle="1" w:styleId="63">
    <w:name w:val="批注主题 Char"/>
    <w:link w:val="37"/>
    <w:autoRedefine/>
    <w:qFormat/>
    <w:uiPriority w:val="0"/>
    <w:rPr>
      <w:b/>
      <w:bCs/>
      <w:kern w:val="2"/>
      <w:sz w:val="21"/>
      <w:szCs w:val="24"/>
    </w:rPr>
  </w:style>
  <w:style w:type="paragraph" w:customStyle="1" w:styleId="64">
    <w:name w:val="表格文字"/>
    <w:basedOn w:val="1"/>
    <w:next w:val="12"/>
    <w:autoRedefine/>
    <w:qFormat/>
    <w:uiPriority w:val="0"/>
    <w:pPr>
      <w:spacing w:before="25" w:after="25"/>
      <w:jc w:val="left"/>
    </w:pPr>
    <w:rPr>
      <w:bCs/>
      <w:spacing w:val="10"/>
      <w:kern w:val="0"/>
      <w:sz w:val="24"/>
      <w:szCs w:val="20"/>
    </w:rPr>
  </w:style>
  <w:style w:type="paragraph" w:customStyle="1" w:styleId="65">
    <w:name w:val="正文1"/>
    <w:autoRedefine/>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character" w:customStyle="1" w:styleId="66">
    <w:name w:val="font01"/>
    <w:basedOn w:val="42"/>
    <w:autoRedefine/>
    <w:qFormat/>
    <w:uiPriority w:val="0"/>
    <w:rPr>
      <w:rFonts w:hint="eastAsia" w:ascii="宋体" w:hAnsi="宋体" w:eastAsia="宋体" w:cs="宋体"/>
      <w:color w:val="000000"/>
      <w:sz w:val="24"/>
      <w:szCs w:val="24"/>
      <w:u w:val="none"/>
    </w:rPr>
  </w:style>
  <w:style w:type="character" w:customStyle="1" w:styleId="67">
    <w:name w:val="font61"/>
    <w:basedOn w:val="42"/>
    <w:autoRedefine/>
    <w:qFormat/>
    <w:uiPriority w:val="0"/>
    <w:rPr>
      <w:rFonts w:hint="eastAsia" w:ascii="仿宋" w:hAnsi="仿宋" w:eastAsia="仿宋" w:cs="仿宋"/>
      <w:color w:val="000000"/>
      <w:sz w:val="24"/>
      <w:szCs w:val="24"/>
      <w:u w:val="none"/>
    </w:rPr>
  </w:style>
  <w:style w:type="character" w:customStyle="1" w:styleId="68">
    <w:name w:val="font11"/>
    <w:basedOn w:val="42"/>
    <w:autoRedefine/>
    <w:qFormat/>
    <w:uiPriority w:val="0"/>
    <w:rPr>
      <w:rFonts w:hint="eastAsia" w:ascii="仿宋" w:hAnsi="仿宋" w:eastAsia="仿宋" w:cs="仿宋"/>
      <w:color w:val="000000"/>
      <w:sz w:val="24"/>
      <w:szCs w:val="24"/>
      <w:u w:val="none"/>
    </w:rPr>
  </w:style>
  <w:style w:type="character" w:customStyle="1" w:styleId="69">
    <w:name w:val="正文缩进 Char1"/>
    <w:link w:val="70"/>
    <w:autoRedefine/>
    <w:qFormat/>
    <w:uiPriority w:val="0"/>
    <w:rPr>
      <w:rFonts w:ascii="宋体"/>
      <w:sz w:val="24"/>
    </w:rPr>
  </w:style>
  <w:style w:type="paragraph" w:customStyle="1" w:styleId="70">
    <w:name w:val="正文缩进1"/>
    <w:basedOn w:val="1"/>
    <w:link w:val="69"/>
    <w:autoRedefine/>
    <w:qFormat/>
    <w:uiPriority w:val="0"/>
    <w:pPr>
      <w:autoSpaceDE w:val="0"/>
      <w:autoSpaceDN w:val="0"/>
      <w:adjustRightInd w:val="0"/>
      <w:ind w:firstLine="420"/>
      <w:jc w:val="left"/>
    </w:pPr>
    <w:rPr>
      <w:rFonts w:ascii="宋体"/>
      <w:kern w:val="0"/>
      <w:sz w:val="24"/>
      <w:szCs w:val="20"/>
    </w:rPr>
  </w:style>
  <w:style w:type="character" w:customStyle="1" w:styleId="71">
    <w:name w:val="font31"/>
    <w:basedOn w:val="42"/>
    <w:autoRedefine/>
    <w:qFormat/>
    <w:uiPriority w:val="0"/>
    <w:rPr>
      <w:rFonts w:ascii="Arial" w:hAnsi="Arial" w:cs="Arial"/>
      <w:color w:val="000000"/>
      <w:sz w:val="24"/>
      <w:szCs w:val="24"/>
      <w:u w:val="none"/>
    </w:rPr>
  </w:style>
  <w:style w:type="character" w:customStyle="1" w:styleId="72">
    <w:name w:val="纯文本 Char1"/>
    <w:link w:val="73"/>
    <w:autoRedefine/>
    <w:qFormat/>
    <w:uiPriority w:val="0"/>
    <w:rPr>
      <w:rFonts w:ascii="宋体" w:hAnsi="Courier New"/>
    </w:rPr>
  </w:style>
  <w:style w:type="paragraph" w:customStyle="1" w:styleId="73">
    <w:name w:val="纯文本1"/>
    <w:basedOn w:val="1"/>
    <w:link w:val="72"/>
    <w:autoRedefine/>
    <w:qFormat/>
    <w:uiPriority w:val="0"/>
    <w:rPr>
      <w:rFonts w:ascii="宋体" w:hAnsi="Courier New"/>
      <w:kern w:val="0"/>
      <w:sz w:val="20"/>
      <w:szCs w:val="20"/>
    </w:rPr>
  </w:style>
  <w:style w:type="character" w:customStyle="1" w:styleId="74">
    <w:name w:val="font91"/>
    <w:autoRedefine/>
    <w:qFormat/>
    <w:uiPriority w:val="0"/>
    <w:rPr>
      <w:rFonts w:hint="eastAsia" w:ascii="宋体" w:hAnsi="宋体" w:eastAsia="宋体" w:cs="宋体"/>
      <w:color w:val="000000"/>
      <w:sz w:val="21"/>
      <w:szCs w:val="21"/>
      <w:u w:val="none"/>
    </w:rPr>
  </w:style>
  <w:style w:type="character" w:customStyle="1" w:styleId="75">
    <w:name w:val="批注文字 Char1"/>
    <w:autoRedefine/>
    <w:semiHidden/>
    <w:qFormat/>
    <w:uiPriority w:val="99"/>
    <w:rPr>
      <w:kern w:val="2"/>
      <w:sz w:val="21"/>
      <w:szCs w:val="24"/>
    </w:rPr>
  </w:style>
  <w:style w:type="character" w:customStyle="1" w:styleId="76">
    <w:name w:val="font21"/>
    <w:basedOn w:val="42"/>
    <w:autoRedefine/>
    <w:qFormat/>
    <w:uiPriority w:val="0"/>
    <w:rPr>
      <w:rFonts w:hint="eastAsia" w:ascii="仿宋" w:hAnsi="仿宋" w:eastAsia="仿宋" w:cs="仿宋"/>
      <w:color w:val="000000"/>
      <w:sz w:val="24"/>
      <w:szCs w:val="24"/>
      <w:u w:val="none"/>
    </w:rPr>
  </w:style>
  <w:style w:type="character" w:customStyle="1" w:styleId="77">
    <w:name w:val="font112"/>
    <w:basedOn w:val="42"/>
    <w:autoRedefine/>
    <w:qFormat/>
    <w:uiPriority w:val="0"/>
    <w:rPr>
      <w:rFonts w:hint="eastAsia" w:ascii="宋体" w:hAnsi="宋体" w:eastAsia="宋体" w:cs="宋体"/>
      <w:color w:val="000000"/>
      <w:sz w:val="24"/>
      <w:szCs w:val="24"/>
      <w:u w:val="none"/>
    </w:rPr>
  </w:style>
  <w:style w:type="character" w:customStyle="1" w:styleId="78">
    <w:name w:val="font131"/>
    <w:autoRedefine/>
    <w:qFormat/>
    <w:uiPriority w:val="0"/>
    <w:rPr>
      <w:rFonts w:hint="eastAsia" w:ascii="宋体" w:hAnsi="宋体" w:eastAsia="宋体" w:cs="宋体"/>
      <w:color w:val="000000"/>
      <w:sz w:val="21"/>
      <w:szCs w:val="21"/>
      <w:u w:val="none"/>
    </w:rPr>
  </w:style>
  <w:style w:type="character" w:customStyle="1" w:styleId="79">
    <w:name w:val="批注主题 Char1"/>
    <w:autoRedefine/>
    <w:semiHidden/>
    <w:qFormat/>
    <w:uiPriority w:val="99"/>
    <w:rPr>
      <w:b/>
      <w:bCs/>
      <w:kern w:val="2"/>
      <w:sz w:val="21"/>
      <w:szCs w:val="24"/>
    </w:rPr>
  </w:style>
  <w:style w:type="character" w:customStyle="1" w:styleId="80">
    <w:name w:val="批注框文本 Char1"/>
    <w:autoRedefine/>
    <w:semiHidden/>
    <w:qFormat/>
    <w:uiPriority w:val="99"/>
    <w:rPr>
      <w:kern w:val="2"/>
      <w:sz w:val="18"/>
      <w:szCs w:val="18"/>
    </w:rPr>
  </w:style>
  <w:style w:type="character" w:customStyle="1" w:styleId="81">
    <w:name w:val="font51"/>
    <w:basedOn w:val="42"/>
    <w:autoRedefine/>
    <w:qFormat/>
    <w:uiPriority w:val="0"/>
    <w:rPr>
      <w:rFonts w:ascii="Arial" w:hAnsi="Arial" w:cs="Arial"/>
      <w:color w:val="000000"/>
      <w:sz w:val="24"/>
      <w:szCs w:val="24"/>
      <w:u w:val="none"/>
    </w:rPr>
  </w:style>
  <w:style w:type="character" w:customStyle="1" w:styleId="82">
    <w:name w:val="font81"/>
    <w:basedOn w:val="42"/>
    <w:autoRedefine/>
    <w:qFormat/>
    <w:uiPriority w:val="0"/>
    <w:rPr>
      <w:rFonts w:ascii="Noto Sans Mono CJK JP Regular" w:hAnsi="Noto Sans Mono CJK JP Regular" w:eastAsia="Noto Sans Mono CJK JP Regular" w:cs="Noto Sans Mono CJK JP Regular"/>
      <w:color w:val="000000"/>
      <w:sz w:val="22"/>
      <w:szCs w:val="22"/>
      <w:u w:val="none"/>
    </w:rPr>
  </w:style>
  <w:style w:type="paragraph" w:customStyle="1" w:styleId="83">
    <w:name w:val="列表段落1"/>
    <w:basedOn w:val="1"/>
    <w:autoRedefine/>
    <w:qFormat/>
    <w:uiPriority w:val="34"/>
    <w:pPr>
      <w:ind w:firstLine="420" w:firstLineChars="200"/>
    </w:pPr>
  </w:style>
  <w:style w:type="paragraph" w:customStyle="1" w:styleId="84">
    <w:name w:val="Heading 5"/>
    <w:basedOn w:val="1"/>
    <w:autoRedefine/>
    <w:qFormat/>
    <w:uiPriority w:val="1"/>
    <w:pPr>
      <w:spacing w:before="46"/>
      <w:ind w:left="1146"/>
      <w:jc w:val="center"/>
      <w:outlineLvl w:val="5"/>
    </w:pPr>
    <w:rPr>
      <w:rFonts w:ascii="黑体" w:hAnsi="黑体" w:eastAsia="黑体" w:cs="黑体"/>
      <w:b/>
      <w:bCs/>
      <w:sz w:val="28"/>
      <w:szCs w:val="28"/>
    </w:rPr>
  </w:style>
  <w:style w:type="paragraph" w:customStyle="1" w:styleId="85">
    <w:name w:val="列出段落2"/>
    <w:basedOn w:val="1"/>
    <w:autoRedefine/>
    <w:qFormat/>
    <w:uiPriority w:val="1"/>
    <w:pPr>
      <w:ind w:left="107" w:firstLine="480"/>
    </w:pPr>
  </w:style>
  <w:style w:type="paragraph" w:customStyle="1" w:styleId="86">
    <w:name w:val="_Style 0"/>
    <w:autoRedefine/>
    <w:qFormat/>
    <w:uiPriority w:val="1"/>
    <w:pPr>
      <w:adjustRightInd w:val="0"/>
      <w:snapToGrid w:val="0"/>
    </w:pPr>
    <w:rPr>
      <w:rFonts w:ascii="Tahoma" w:hAnsi="Tahoma" w:eastAsia="宋体" w:cs="Times New Roman"/>
      <w:kern w:val="0"/>
      <w:sz w:val="22"/>
      <w:szCs w:val="22"/>
      <w:lang w:val="en-US" w:eastAsia="zh-CN" w:bidi="ar-SA"/>
    </w:rPr>
  </w:style>
  <w:style w:type="paragraph" w:customStyle="1" w:styleId="87">
    <w:name w:val="索引 11"/>
    <w:basedOn w:val="1"/>
    <w:next w:val="1"/>
    <w:autoRedefine/>
    <w:qFormat/>
    <w:uiPriority w:val="0"/>
    <w:pPr>
      <w:spacing w:line="360" w:lineRule="auto"/>
    </w:pPr>
    <w:rPr>
      <w:rFonts w:ascii="仿宋_GB2312" w:eastAsia="仿宋_GB2312"/>
      <w:sz w:val="24"/>
      <w:szCs w:val="20"/>
    </w:rPr>
  </w:style>
  <w:style w:type="paragraph" w:styleId="88">
    <w:name w:val="List Paragraph"/>
    <w:basedOn w:val="1"/>
    <w:autoRedefine/>
    <w:qFormat/>
    <w:uiPriority w:val="1"/>
    <w:pPr>
      <w:ind w:left="107" w:firstLine="480"/>
    </w:pPr>
  </w:style>
  <w:style w:type="paragraph" w:customStyle="1" w:styleId="89">
    <w:name w:val="标准正文格式"/>
    <w:basedOn w:val="1"/>
    <w:autoRedefine/>
    <w:qFormat/>
    <w:uiPriority w:val="0"/>
    <w:pPr>
      <w:widowControl/>
      <w:adjustRightInd w:val="0"/>
      <w:spacing w:before="60" w:after="120" w:line="360" w:lineRule="auto"/>
      <w:ind w:firstLine="200" w:firstLineChars="200"/>
      <w:textAlignment w:val="baseline"/>
    </w:pPr>
    <w:rPr>
      <w:rFonts w:ascii="宋体" w:hAnsi="Times New Roman" w:eastAsia="仿宋"/>
      <w:color w:val="000000"/>
      <w:kern w:val="0"/>
      <w:sz w:val="24"/>
      <w:szCs w:val="20"/>
      <w:lang w:val="zh-CN"/>
    </w:rPr>
  </w:style>
  <w:style w:type="paragraph" w:customStyle="1" w:styleId="90">
    <w:name w:val="Heading 3"/>
    <w:basedOn w:val="1"/>
    <w:autoRedefine/>
    <w:qFormat/>
    <w:uiPriority w:val="1"/>
    <w:pPr>
      <w:ind w:left="748"/>
      <w:outlineLvl w:val="3"/>
    </w:pPr>
    <w:rPr>
      <w:b/>
      <w:bCs/>
      <w:sz w:val="32"/>
      <w:szCs w:val="32"/>
    </w:rPr>
  </w:style>
  <w:style w:type="paragraph" w:customStyle="1" w:styleId="91">
    <w:name w:val="列出段落1"/>
    <w:basedOn w:val="1"/>
    <w:autoRedefine/>
    <w:qFormat/>
    <w:uiPriority w:val="0"/>
    <w:pPr>
      <w:ind w:firstLine="420" w:firstLineChars="200"/>
    </w:pPr>
    <w:rPr>
      <w:rFonts w:ascii="Calibri" w:hAnsi="Calibri"/>
      <w:szCs w:val="22"/>
    </w:rPr>
  </w:style>
  <w:style w:type="paragraph" w:styleId="92">
    <w:name w:val="No Spacing"/>
    <w:autoRedefine/>
    <w:qFormat/>
    <w:uiPriority w:val="1"/>
    <w:pPr>
      <w:adjustRightInd w:val="0"/>
      <w:snapToGrid w:val="0"/>
    </w:pPr>
    <w:rPr>
      <w:rFonts w:ascii="Tahoma" w:hAnsi="Tahoma" w:eastAsia="宋体" w:cs="Times New Roman"/>
      <w:kern w:val="0"/>
      <w:sz w:val="22"/>
      <w:szCs w:val="22"/>
      <w:lang w:val="en-US" w:eastAsia="zh-CN" w:bidi="ar-SA"/>
    </w:rPr>
  </w:style>
  <w:style w:type="paragraph" w:customStyle="1" w:styleId="93">
    <w:name w:val="p0"/>
    <w:basedOn w:val="1"/>
    <w:autoRedefine/>
    <w:unhideWhenUsed/>
    <w:qFormat/>
    <w:uiPriority w:val="0"/>
    <w:pPr>
      <w:spacing w:beforeLines="0" w:afterLines="0"/>
    </w:pPr>
    <w:rPr>
      <w:rFonts w:hint="default" w:ascii="Times New Roman" w:hAnsi="Times New Roman" w:eastAsia="宋体"/>
      <w:kern w:val="0"/>
      <w:sz w:val="21"/>
    </w:rPr>
  </w:style>
  <w:style w:type="paragraph" w:customStyle="1" w:styleId="94">
    <w:name w:val="Heading 6"/>
    <w:basedOn w:val="1"/>
    <w:autoRedefine/>
    <w:qFormat/>
    <w:uiPriority w:val="1"/>
    <w:pPr>
      <w:ind w:left="950" w:hanging="363"/>
      <w:outlineLvl w:val="6"/>
    </w:pPr>
    <w:rPr>
      <w:b/>
      <w:bCs/>
      <w:sz w:val="24"/>
      <w:szCs w:val="24"/>
    </w:rPr>
  </w:style>
  <w:style w:type="paragraph" w:customStyle="1" w:styleId="95">
    <w:name w:val="Table Paragraph"/>
    <w:basedOn w:val="1"/>
    <w:autoRedefine/>
    <w:qFormat/>
    <w:uiPriority w:val="1"/>
    <w:rPr>
      <w:rFonts w:ascii="宋体" w:hAnsi="宋体" w:cs="宋体"/>
      <w:lang w:val="zh-CN" w:bidi="zh-CN"/>
    </w:rPr>
  </w:style>
  <w:style w:type="paragraph" w:customStyle="1" w:styleId="96">
    <w:name w:val="_Style 3"/>
    <w:basedOn w:val="1"/>
    <w:autoRedefine/>
    <w:qFormat/>
    <w:uiPriority w:val="99"/>
    <w:pPr>
      <w:autoSpaceDE w:val="0"/>
      <w:autoSpaceDN w:val="0"/>
      <w:spacing w:line="360" w:lineRule="auto"/>
      <w:ind w:firstLine="420" w:firstLineChars="200"/>
      <w:jc w:val="left"/>
    </w:pPr>
    <w:rPr>
      <w:rFonts w:cs="Times New Roman"/>
      <w:color w:val="auto"/>
      <w:kern w:val="0"/>
      <w:sz w:val="24"/>
      <w:szCs w:val="21"/>
      <w:lang w:val="zh-CN"/>
    </w:rPr>
  </w:style>
  <w:style w:type="paragraph" w:customStyle="1" w:styleId="97">
    <w:name w:val="列出段落"/>
    <w:basedOn w:val="1"/>
    <w:autoRedefine/>
    <w:qFormat/>
    <w:uiPriority w:val="34"/>
    <w:pPr>
      <w:widowControl/>
      <w:ind w:firstLine="420" w:firstLineChars="200"/>
      <w:jc w:val="left"/>
    </w:pPr>
    <w:rPr>
      <w:kern w:val="0"/>
      <w:sz w:val="24"/>
    </w:rPr>
  </w:style>
  <w:style w:type="paragraph" w:customStyle="1" w:styleId="98">
    <w:name w:val="Heading 2"/>
    <w:basedOn w:val="1"/>
    <w:autoRedefine/>
    <w:qFormat/>
    <w:uiPriority w:val="1"/>
    <w:pPr>
      <w:spacing w:before="255"/>
      <w:ind w:left="1146" w:right="1424"/>
      <w:jc w:val="center"/>
      <w:outlineLvl w:val="2"/>
    </w:pPr>
    <w:rPr>
      <w:b/>
      <w:bCs/>
      <w:sz w:val="36"/>
      <w:szCs w:val="36"/>
    </w:rPr>
  </w:style>
  <w:style w:type="paragraph" w:customStyle="1" w:styleId="99">
    <w:name w:val="Char"/>
    <w:basedOn w:val="1"/>
    <w:autoRedefine/>
    <w:qFormat/>
    <w:uiPriority w:val="0"/>
    <w:pPr>
      <w:tabs>
        <w:tab w:val="left" w:pos="360"/>
      </w:tabs>
    </w:pPr>
    <w:rPr>
      <w:sz w:val="24"/>
    </w:rPr>
  </w:style>
  <w:style w:type="paragraph" w:customStyle="1" w:styleId="100">
    <w:name w:val="标题2"/>
    <w:basedOn w:val="3"/>
    <w:next w:val="1"/>
    <w:autoRedefine/>
    <w:qFormat/>
    <w:uiPriority w:val="0"/>
    <w:rPr>
      <w:rFonts w:ascii="仿宋_GB2312" w:hAnsi="Arial" w:eastAsia="仿宋_GB2312" w:cs="Times New Roman"/>
      <w:szCs w:val="28"/>
    </w:rPr>
  </w:style>
  <w:style w:type="table" w:customStyle="1" w:styleId="101">
    <w:name w:val="Table Normal"/>
    <w:autoRedefine/>
    <w:unhideWhenUsed/>
    <w:qFormat/>
    <w:uiPriority w:val="2"/>
    <w:tblPr>
      <w:tblCellMar>
        <w:top w:w="0" w:type="dxa"/>
        <w:left w:w="0" w:type="dxa"/>
        <w:bottom w:w="0" w:type="dxa"/>
        <w:right w:w="0" w:type="dxa"/>
      </w:tblCellMar>
    </w:tblPr>
  </w:style>
  <w:style w:type="character" w:customStyle="1" w:styleId="102">
    <w:name w:val="font41"/>
    <w:basedOn w:val="42"/>
    <w:autoRedefine/>
    <w:qFormat/>
    <w:uiPriority w:val="0"/>
    <w:rPr>
      <w:rFonts w:hint="eastAsia" w:ascii="宋体" w:hAnsi="宋体" w:eastAsia="宋体" w:cs="宋体"/>
      <w:color w:val="000000"/>
      <w:sz w:val="22"/>
      <w:szCs w:val="22"/>
      <w:u w:val="none"/>
    </w:rPr>
  </w:style>
  <w:style w:type="paragraph" w:customStyle="1" w:styleId="103">
    <w:name w:val="List Paragraph_5ac2670b-336d-4e21-832f-f0d58d7dc020"/>
    <w:basedOn w:val="1"/>
    <w:autoRedefine/>
    <w:qFormat/>
    <w:uiPriority w:val="34"/>
    <w:pPr>
      <w:ind w:firstLine="420" w:firstLineChars="200"/>
    </w:pPr>
  </w:style>
  <w:style w:type="paragraph" w:customStyle="1" w:styleId="104">
    <w:name w:val="Body text|3"/>
    <w:basedOn w:val="1"/>
    <w:autoRedefine/>
    <w:qFormat/>
    <w:uiPriority w:val="0"/>
    <w:pPr>
      <w:spacing w:after="340"/>
      <w:jc w:val="center"/>
    </w:pPr>
    <w:rPr>
      <w:rFonts w:ascii="宋体" w:hAnsi="宋体" w:eastAsia="宋体" w:cs="宋体"/>
      <w:sz w:val="32"/>
      <w:szCs w:val="32"/>
      <w:lang w:val="zh-TW" w:eastAsia="zh-TW" w:bidi="zh-TW"/>
    </w:rPr>
  </w:style>
  <w:style w:type="paragraph" w:customStyle="1" w:styleId="105">
    <w:name w:val="Body text|1"/>
    <w:basedOn w:val="1"/>
    <w:autoRedefine/>
    <w:qFormat/>
    <w:uiPriority w:val="0"/>
    <w:pPr>
      <w:spacing w:line="396" w:lineRule="auto"/>
    </w:pPr>
    <w:rPr>
      <w:rFonts w:ascii="宋体" w:hAnsi="宋体" w:eastAsia="宋体" w:cs="宋体"/>
      <w:lang w:val="zh-TW" w:eastAsia="zh-TW" w:bidi="zh-TW"/>
    </w:rPr>
  </w:style>
  <w:style w:type="paragraph" w:customStyle="1" w:styleId="106">
    <w:name w:val="列出段落3"/>
    <w:basedOn w:val="1"/>
    <w:autoRedefine/>
    <w:qFormat/>
    <w:uiPriority w:val="1"/>
    <w:pPr>
      <w:ind w:left="107" w:firstLine="480"/>
    </w:pPr>
  </w:style>
  <w:style w:type="paragraph" w:customStyle="1" w:styleId="107">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kern w:val="2"/>
      <w:sz w:val="24"/>
    </w:rPr>
  </w:style>
  <w:style w:type="paragraph" w:customStyle="1" w:styleId="108">
    <w:name w:val="Default"/>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109">
    <w:name w:val="NormalCharacter"/>
    <w:autoRedefine/>
    <w:semiHidden/>
    <w:qFormat/>
    <w:uiPriority w:val="0"/>
  </w:style>
  <w:style w:type="paragraph" w:customStyle="1" w:styleId="110">
    <w:name w:val="_Style 2"/>
    <w:basedOn w:val="1"/>
    <w:autoRedefine/>
    <w:qFormat/>
    <w:uiPriority w:val="0"/>
    <w:pPr>
      <w:ind w:firstLine="200" w:firstLineChars="200"/>
    </w:pPr>
    <w:rPr>
      <w:rFonts w:ascii="Calibri" w:hAnsi="Calibri"/>
      <w:sz w:val="28"/>
      <w:szCs w:val="22"/>
    </w:rPr>
  </w:style>
  <w:style w:type="character" w:customStyle="1" w:styleId="111">
    <w:name w:val="font71"/>
    <w:basedOn w:val="42"/>
    <w:autoRedefine/>
    <w:qFormat/>
    <w:uiPriority w:val="0"/>
    <w:rPr>
      <w:rFonts w:hint="eastAsia" w:ascii="宋体" w:hAnsi="宋体" w:eastAsia="宋体" w:cs="宋体"/>
      <w:color w:val="000000"/>
      <w:sz w:val="24"/>
      <w:szCs w:val="24"/>
      <w:u w:val="none"/>
    </w:rPr>
  </w:style>
  <w:style w:type="character" w:customStyle="1" w:styleId="112">
    <w:name w:val="font111"/>
    <w:basedOn w:val="42"/>
    <w:autoRedefine/>
    <w:qFormat/>
    <w:uiPriority w:val="0"/>
    <w:rPr>
      <w:rFonts w:hint="eastAsia" w:ascii="宋体" w:hAnsi="宋体" w:eastAsia="宋体" w:cs="宋体"/>
      <w:color w:val="000000"/>
      <w:sz w:val="24"/>
      <w:szCs w:val="24"/>
      <w:u w:val="none"/>
    </w:rPr>
  </w:style>
  <w:style w:type="paragraph" w:customStyle="1" w:styleId="113">
    <w:name w:val="_Style 20"/>
    <w:basedOn w:val="1"/>
    <w:autoRedefine/>
    <w:qFormat/>
    <w:uiPriority w:val="0"/>
    <w:rPr>
      <w:rFonts w:ascii="Tahoma" w:hAnsi="Tahoma"/>
      <w:sz w:val="24"/>
      <w:szCs w:val="20"/>
    </w:rPr>
  </w:style>
  <w:style w:type="paragraph" w:customStyle="1" w:styleId="114">
    <w:name w:val="Table Text"/>
    <w:basedOn w:val="1"/>
    <w:autoRedefine/>
    <w:semiHidden/>
    <w:qFormat/>
    <w:uiPriority w:val="0"/>
    <w:rPr>
      <w:rFonts w:ascii="仿宋" w:hAnsi="仿宋" w:eastAsia="仿宋" w:cs="仿宋"/>
      <w:sz w:val="24"/>
      <w:szCs w:val="24"/>
      <w:lang w:val="en-US" w:eastAsia="en-US" w:bidi="ar-SA"/>
    </w:rPr>
  </w:style>
  <w:style w:type="character" w:customStyle="1" w:styleId="115">
    <w:name w:val="标题 1 字符"/>
    <w:link w:val="2"/>
    <w:qFormat/>
    <w:uiPriority w:val="0"/>
    <w:rPr>
      <w:rFonts w:ascii="宋体"/>
      <w:b/>
      <w:kern w:val="44"/>
      <w:sz w:val="32"/>
    </w:rPr>
  </w:style>
  <w:style w:type="paragraph" w:customStyle="1" w:styleId="116">
    <w:name w:val="File1"/>
    <w:qFormat/>
    <w:uiPriority w:val="0"/>
    <w:pPr>
      <w:tabs>
        <w:tab w:val="left" w:pos="1134"/>
      </w:tabs>
      <w:spacing w:line="360" w:lineRule="exact"/>
      <w:ind w:left="540" w:leftChars="540"/>
    </w:pPr>
    <w:rPr>
      <w:rFonts w:ascii="Arial" w:hAnsi="Arial" w:eastAsia="宋体" w:cs="Times New Roman"/>
      <w:spacing w:val="10"/>
      <w:kern w:val="0"/>
      <w:sz w:val="24"/>
      <w:szCs w:val="22"/>
      <w:lang w:val="en-US" w:eastAsia="zh-CN" w:bidi="ar-SA"/>
    </w:rPr>
  </w:style>
  <w:style w:type="paragraph" w:customStyle="1" w:styleId="11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105</Pages>
  <Words>10552</Words>
  <Characters>11586</Characters>
  <Lines>234</Lines>
  <Paragraphs>65</Paragraphs>
  <TotalTime>47</TotalTime>
  <ScaleCrop>false</ScaleCrop>
  <LinksUpToDate>false</LinksUpToDate>
  <CharactersWithSpaces>12132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九悲</cp:lastModifiedBy>
  <cp:lastPrinted>2026-05-25T02:46:00Z</cp:lastPrinted>
  <dcterms:modified xsi:type="dcterms:W3CDTF">2026-05-26T10:30:06Z</dcterms:modified>
  <dc:title>02年杜范本稿</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F693AB785F704E5CBBE52C745B7277B5_13</vt:lpwstr>
  </property>
  <property fmtid="{D5CDD505-2E9C-101B-9397-08002B2CF9AE}" pid="4" name="KSOTemplateDocerSaveRecord">
    <vt:lpwstr>eyJoZGlkIjoiYzU3MmYxOGIyNWQxN2U2MDllMWQxZjgwYTY2ZjVhNTMiLCJ1c2VySWQiOiI0MjIyNzg4NjQifQ==</vt:lpwstr>
  </property>
</Properties>
</file>