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7D8D0">
      <w:pPr>
        <w:spacing w:before="0"/>
        <w:ind w:left="22" w:right="22" w:firstLine="1476" w:firstLineChars="700"/>
        <w:jc w:val="right"/>
        <w:rPr>
          <w:rFonts w:hint="eastAsia" w:ascii="宋体" w:hAnsi="宋体" w:eastAsia="宋体" w:cs="宋体"/>
          <w:b/>
          <w:bCs/>
          <w:highlight w:val="none"/>
          <w:lang w:eastAsia="zh-CN"/>
        </w:rPr>
      </w:pPr>
      <w:bookmarkStart w:id="0" w:name="_Toc144974479"/>
      <w:bookmarkStart w:id="1" w:name="_Toc152042287"/>
      <w:bookmarkStart w:id="2" w:name="_Toc179632527"/>
      <w:bookmarkStart w:id="3" w:name="_Toc152045511"/>
      <w:r>
        <w:rPr>
          <w:rFonts w:hint="eastAsia" w:ascii="宋体" w:hAnsi="宋体" w:eastAsia="宋体" w:cs="宋体"/>
          <w:b/>
          <w:bCs/>
          <w:highlight w:val="none"/>
        </w:rPr>
        <w:t>招标项目编号：</w:t>
      </w:r>
      <w:r>
        <w:rPr>
          <w:rFonts w:hint="eastAsia" w:ascii="宋体" w:hAnsi="宋体" w:eastAsia="宋体" w:cs="宋体"/>
          <w:b/>
          <w:bCs/>
          <w:highlight w:val="none"/>
        </w:rPr>
        <w:fldChar w:fldCharType="begin"/>
      </w:r>
      <w:r>
        <w:rPr>
          <w:rFonts w:hint="eastAsia" w:ascii="宋体" w:hAnsi="宋体" w:eastAsia="宋体" w:cs="宋体"/>
          <w:b/>
          <w:bCs/>
          <w:highlight w:val="none"/>
        </w:rPr>
        <w:instrText xml:space="preserve"> HYPERLINK "https://pay.zcygov.cn/purchaseplan_front/" \l "/plan/list/view?id=1000000000017280449&amp;_app_=zcy.procurement" \t "https://www.zcygov.cn/delegation-order/_procurement_/order/orderInfo/detail/_blank" </w:instrText>
      </w:r>
      <w:r>
        <w:rPr>
          <w:rFonts w:hint="eastAsia" w:ascii="宋体" w:hAnsi="宋体" w:eastAsia="宋体" w:cs="宋体"/>
          <w:b/>
          <w:bCs/>
          <w:highlight w:val="none"/>
        </w:rPr>
        <w:fldChar w:fldCharType="separate"/>
      </w:r>
      <w:r>
        <w:rPr>
          <w:rFonts w:hint="eastAsia" w:ascii="宋体" w:hAnsi="宋体" w:cs="宋体"/>
          <w:b/>
          <w:bCs/>
          <w:highlight w:val="none"/>
          <w:lang w:eastAsia="zh-CN"/>
        </w:rPr>
        <w:t>采购计划-[2026]-00652号-HYCG004</w:t>
      </w:r>
      <w:r>
        <w:rPr>
          <w:rFonts w:hint="eastAsia" w:ascii="宋体" w:hAnsi="宋体" w:eastAsia="宋体" w:cs="宋体"/>
          <w:b/>
          <w:bCs/>
          <w:highlight w:val="none"/>
        </w:rPr>
        <w:fldChar w:fldCharType="end"/>
      </w:r>
    </w:p>
    <w:p w14:paraId="571D6B00">
      <w:pPr>
        <w:adjustRightInd w:val="0"/>
        <w:snapToGrid w:val="0"/>
        <w:spacing w:before="312" w:beforeLines="100" w:line="240" w:lineRule="auto"/>
        <w:ind w:firstLine="422" w:firstLineChars="200"/>
        <w:jc w:val="right"/>
        <w:rPr>
          <w:rFonts w:hint="eastAsia" w:ascii="宋体" w:hAnsi="宋体" w:eastAsia="宋体" w:cs="宋体"/>
          <w:b/>
          <w:bCs/>
          <w:highlight w:val="none"/>
          <w:lang w:val="en-US" w:eastAsia="zh-CN"/>
        </w:rPr>
      </w:pPr>
      <w:r>
        <w:rPr>
          <w:rFonts w:hint="eastAsia" w:ascii="宋体" w:hAnsi="宋体" w:eastAsia="宋体" w:cs="宋体"/>
          <w:b/>
          <w:bCs/>
          <w:highlight w:val="none"/>
          <w:lang w:eastAsia="zh-CN"/>
        </w:rPr>
        <w:t xml:space="preserve">  </w:t>
      </w:r>
    </w:p>
    <w:p w14:paraId="4FB98768">
      <w:pPr>
        <w:pStyle w:val="82"/>
        <w:jc w:val="center"/>
        <w:rPr>
          <w:rFonts w:hint="eastAsia" w:ascii="宋体" w:hAnsi="宋体" w:eastAsia="宋体" w:cs="宋体"/>
          <w:b/>
          <w:bCs/>
          <w:sz w:val="52"/>
          <w:szCs w:val="52"/>
          <w:highlight w:val="none"/>
          <w:lang w:val="en-US" w:eastAsia="zh-CN"/>
        </w:rPr>
      </w:pPr>
    </w:p>
    <w:p w14:paraId="70783C12">
      <w:pPr>
        <w:snapToGrid w:val="0"/>
        <w:jc w:val="center"/>
        <w:rPr>
          <w:rFonts w:hint="eastAsia" w:ascii="宋体" w:hAnsi="宋体" w:eastAsia="宋体" w:cs="宋体"/>
          <w:b/>
          <w:bCs/>
          <w:sz w:val="96"/>
          <w:szCs w:val="96"/>
          <w:highlight w:val="none"/>
        </w:rPr>
      </w:pPr>
      <w:r>
        <w:rPr>
          <w:rFonts w:hint="eastAsia" w:asciiTheme="majorEastAsia" w:hAnsiTheme="majorEastAsia" w:eastAsiaTheme="majorEastAsia" w:cstheme="majorEastAsia"/>
          <w:b/>
          <w:bCs/>
          <w:i w:val="0"/>
          <w:iCs w:val="0"/>
          <w:caps w:val="0"/>
          <w:color w:val="333333"/>
          <w:spacing w:val="0"/>
          <w:sz w:val="48"/>
          <w:szCs w:val="48"/>
          <w:highlight w:val="none"/>
          <w:shd w:val="clear" w:fill="FFFFFF"/>
          <w:lang w:eastAsia="zh-CN"/>
        </w:rPr>
        <w:t>磐石市政务服务中心其他社会服务和食堂后勤服务项目</w:t>
      </w:r>
    </w:p>
    <w:p w14:paraId="365A571D">
      <w:pPr>
        <w:pStyle w:val="45"/>
        <w:rPr>
          <w:rFonts w:hint="eastAsia" w:ascii="宋体" w:hAnsi="宋体" w:eastAsia="宋体" w:cs="宋体"/>
          <w:b/>
          <w:bCs/>
          <w:sz w:val="96"/>
          <w:szCs w:val="96"/>
          <w:highlight w:val="none"/>
        </w:rPr>
      </w:pPr>
    </w:p>
    <w:p w14:paraId="3FFD9159">
      <w:pPr>
        <w:rPr>
          <w:rFonts w:hint="eastAsia"/>
          <w:highlight w:val="none"/>
        </w:rPr>
      </w:pPr>
    </w:p>
    <w:p w14:paraId="71C046B6">
      <w:pPr>
        <w:pStyle w:val="45"/>
        <w:ind w:left="0" w:leftChars="0" w:firstLine="0" w:firstLineChars="0"/>
        <w:rPr>
          <w:rFonts w:hint="eastAsia"/>
          <w:highlight w:val="none"/>
        </w:rPr>
      </w:pPr>
    </w:p>
    <w:p w14:paraId="10E6EA32">
      <w:pPr>
        <w:snapToGrid w:val="0"/>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rPr>
        <w:t>招 标 文 件</w:t>
      </w:r>
    </w:p>
    <w:p w14:paraId="4D347C57">
      <w:pPr>
        <w:spacing w:before="0"/>
        <w:ind w:left="22" w:right="22" w:firstLine="0"/>
        <w:jc w:val="center"/>
        <w:rPr>
          <w:b/>
          <w:sz w:val="36"/>
          <w:highlight w:val="none"/>
        </w:rPr>
      </w:pPr>
    </w:p>
    <w:p w14:paraId="5A6594CA">
      <w:pPr>
        <w:pStyle w:val="45"/>
        <w:ind w:left="0" w:leftChars="0" w:firstLine="0" w:firstLineChars="0"/>
        <w:rPr>
          <w:rFonts w:hint="eastAsia"/>
          <w:highlight w:val="none"/>
        </w:rPr>
      </w:pPr>
    </w:p>
    <w:p w14:paraId="3E901B47">
      <w:pPr>
        <w:spacing w:line="500" w:lineRule="exact"/>
        <w:rPr>
          <w:rFonts w:hint="eastAsia"/>
          <w:b/>
          <w:sz w:val="36"/>
          <w:highlight w:val="none"/>
        </w:rPr>
      </w:pPr>
    </w:p>
    <w:p w14:paraId="0B3C4A9A">
      <w:pPr>
        <w:pStyle w:val="45"/>
        <w:rPr>
          <w:rFonts w:hint="eastAsia"/>
          <w:b/>
          <w:sz w:val="36"/>
          <w:highlight w:val="none"/>
        </w:rPr>
      </w:pPr>
    </w:p>
    <w:p w14:paraId="2053E770">
      <w:pPr>
        <w:pStyle w:val="45"/>
        <w:rPr>
          <w:rFonts w:hint="eastAsia"/>
          <w:b/>
          <w:sz w:val="36"/>
          <w:highlight w:val="none"/>
        </w:rPr>
      </w:pPr>
    </w:p>
    <w:p w14:paraId="73725706">
      <w:pPr>
        <w:pStyle w:val="45"/>
        <w:ind w:left="0" w:leftChars="0" w:firstLine="0" w:firstLineChars="0"/>
        <w:rPr>
          <w:rFonts w:hint="eastAsia"/>
          <w:b/>
          <w:sz w:val="36"/>
          <w:highlight w:val="none"/>
        </w:rPr>
      </w:pPr>
    </w:p>
    <w:p w14:paraId="633611F3">
      <w:pPr>
        <w:pStyle w:val="45"/>
        <w:ind w:left="0" w:leftChars="0" w:firstLine="0" w:firstLineChars="0"/>
        <w:rPr>
          <w:rFonts w:hint="eastAsia"/>
          <w:b/>
          <w:sz w:val="36"/>
          <w:highlight w:val="none"/>
        </w:rPr>
      </w:pPr>
    </w:p>
    <w:p w14:paraId="3CD8955F">
      <w:pPr>
        <w:rPr>
          <w:rFonts w:hint="eastAsia"/>
          <w:b/>
          <w:sz w:val="36"/>
          <w:highlight w:val="none"/>
        </w:rPr>
      </w:pPr>
    </w:p>
    <w:p w14:paraId="78826CB7">
      <w:pPr>
        <w:pStyle w:val="45"/>
        <w:ind w:left="0" w:leftChars="0" w:firstLine="0" w:firstLineChars="0"/>
        <w:rPr>
          <w:rFonts w:hint="eastAsia"/>
          <w:b/>
          <w:sz w:val="36"/>
          <w:highlight w:val="none"/>
        </w:rPr>
      </w:pPr>
    </w:p>
    <w:p w14:paraId="6973AB9D">
      <w:pPr>
        <w:rPr>
          <w:rFonts w:hint="eastAsia"/>
          <w:b/>
          <w:sz w:val="36"/>
          <w:highlight w:val="none"/>
        </w:rPr>
      </w:pPr>
    </w:p>
    <w:p w14:paraId="3799C059">
      <w:pPr>
        <w:pStyle w:val="45"/>
        <w:rPr>
          <w:rFonts w:hint="eastAsia"/>
          <w:highlight w:val="none"/>
        </w:rPr>
      </w:pPr>
    </w:p>
    <w:p w14:paraId="04B175F7">
      <w:pPr>
        <w:spacing w:line="500" w:lineRule="exact"/>
        <w:ind w:firstLine="723" w:firstLineChars="200"/>
        <w:rPr>
          <w:rFonts w:hint="eastAsia"/>
          <w:b/>
          <w:sz w:val="36"/>
          <w:highlight w:val="none"/>
        </w:rPr>
      </w:pPr>
    </w:p>
    <w:bookmarkEnd w:id="0"/>
    <w:bookmarkEnd w:id="1"/>
    <w:bookmarkEnd w:id="2"/>
    <w:bookmarkEnd w:id="3"/>
    <w:p w14:paraId="7C7A923D">
      <w:pPr>
        <w:pStyle w:val="2"/>
        <w:spacing w:line="600" w:lineRule="auto"/>
        <w:jc w:val="center"/>
        <w:rPr>
          <w:rFonts w:hint="eastAsia" w:ascii="Times New Roman" w:hAnsi="Times New Roman" w:eastAsia="宋体" w:cs="Times New Roman"/>
          <w:b/>
          <w:sz w:val="36"/>
          <w:highlight w:val="none"/>
          <w:lang w:val="en-US" w:eastAsia="zh-CN"/>
        </w:rPr>
      </w:pPr>
      <w:bookmarkStart w:id="4" w:name="_Toc221949917"/>
      <w:bookmarkStart w:id="5" w:name="_Toc247085688"/>
      <w:bookmarkStart w:id="6" w:name="_Toc179632545"/>
      <w:bookmarkStart w:id="7" w:name="_Toc14484"/>
      <w:bookmarkStart w:id="8" w:name="_Toc152042304"/>
      <w:bookmarkStart w:id="9" w:name="_Toc144974496"/>
      <w:bookmarkStart w:id="10" w:name="_Toc152045528"/>
      <w:bookmarkStart w:id="11" w:name="_Toc246996917"/>
      <w:bookmarkStart w:id="12" w:name="_Toc31800"/>
      <w:bookmarkStart w:id="13" w:name="_Toc403061794"/>
      <w:bookmarkStart w:id="14" w:name="_Toc246996174"/>
      <w:r>
        <w:rPr>
          <w:rFonts w:hint="eastAsia" w:cs="Times New Roman"/>
          <w:b/>
          <w:sz w:val="36"/>
          <w:highlight w:val="none"/>
          <w:lang w:val="en-US" w:eastAsia="zh-CN"/>
        </w:rPr>
        <w:t>吉林华誉项目管理有限公司</w:t>
      </w:r>
    </w:p>
    <w:p w14:paraId="0B443BEC">
      <w:pPr>
        <w:pStyle w:val="2"/>
        <w:spacing w:line="600" w:lineRule="auto"/>
        <w:jc w:val="center"/>
        <w:rPr>
          <w:rFonts w:hint="eastAsia" w:ascii="Times New Roman" w:hAnsi="Times New Roman" w:eastAsia="宋体" w:cs="Times New Roman"/>
          <w:color w:val="auto"/>
          <w:szCs w:val="24"/>
          <w:highlight w:val="none"/>
        </w:rPr>
      </w:pPr>
      <w:r>
        <w:rPr>
          <w:rFonts w:hint="eastAsia" w:ascii="宋体" w:hAnsi="宋体" w:eastAsia="宋体" w:cs="宋体"/>
          <w:b/>
          <w:bCs/>
          <w:color w:val="auto"/>
          <w:sz w:val="36"/>
          <w:szCs w:val="36"/>
          <w:highlight w:val="none"/>
        </w:rPr>
        <w:t>编制日期：二〇</w:t>
      </w:r>
      <w:r>
        <w:rPr>
          <w:rFonts w:hint="eastAsia" w:ascii="宋体" w:hAnsi="宋体" w:eastAsia="宋体" w:cs="宋体"/>
          <w:b/>
          <w:bCs/>
          <w:color w:val="auto"/>
          <w:sz w:val="36"/>
          <w:szCs w:val="36"/>
          <w:highlight w:val="none"/>
          <w:lang w:val="en-US" w:eastAsia="zh-CN"/>
        </w:rPr>
        <w:t>二</w:t>
      </w:r>
      <w:r>
        <w:rPr>
          <w:rFonts w:hint="eastAsia" w:ascii="宋体" w:hAnsi="宋体" w:cs="宋体"/>
          <w:b/>
          <w:bCs/>
          <w:color w:val="auto"/>
          <w:sz w:val="36"/>
          <w:szCs w:val="36"/>
          <w:highlight w:val="none"/>
          <w:lang w:val="en-US" w:eastAsia="zh-CN"/>
        </w:rPr>
        <w:t>六</w:t>
      </w:r>
      <w:r>
        <w:rPr>
          <w:rFonts w:hint="eastAsia" w:ascii="宋体" w:hAnsi="宋体" w:eastAsia="宋体" w:cs="宋体"/>
          <w:b/>
          <w:bCs/>
          <w:color w:val="auto"/>
          <w:sz w:val="36"/>
          <w:szCs w:val="36"/>
          <w:highlight w:val="none"/>
        </w:rPr>
        <w:t>年</w:t>
      </w:r>
      <w:bookmarkEnd w:id="4"/>
      <w:r>
        <w:rPr>
          <w:rFonts w:hint="eastAsia" w:ascii="宋体" w:hAnsi="宋体" w:cs="宋体"/>
          <w:b/>
          <w:bCs/>
          <w:color w:val="auto"/>
          <w:sz w:val="36"/>
          <w:szCs w:val="36"/>
          <w:highlight w:val="none"/>
          <w:lang w:val="en-US" w:eastAsia="zh-CN"/>
        </w:rPr>
        <w:t>五</w:t>
      </w:r>
      <w:r>
        <w:rPr>
          <w:rFonts w:hint="eastAsia" w:ascii="宋体" w:hAnsi="宋体" w:eastAsia="宋体" w:cs="宋体"/>
          <w:b/>
          <w:bCs/>
          <w:color w:val="auto"/>
          <w:sz w:val="36"/>
          <w:szCs w:val="36"/>
          <w:highlight w:val="none"/>
          <w:lang w:eastAsia="zh-CN"/>
        </w:rPr>
        <w:t>月</w:t>
      </w:r>
    </w:p>
    <w:p w14:paraId="48CEB98B">
      <w:pPr>
        <w:rPr>
          <w:rFonts w:ascii="Times New Roman" w:hAnsi="Times New Roman"/>
          <w:color w:val="auto"/>
          <w:highlight w:val="none"/>
        </w:rPr>
        <w:sectPr>
          <w:headerReference r:id="rId3" w:type="default"/>
          <w:footerReference r:id="rId4" w:type="default"/>
          <w:pgSz w:w="11906" w:h="16838"/>
          <w:pgMar w:top="1701" w:right="1474" w:bottom="1418" w:left="1474" w:header="1134" w:footer="992" w:gutter="0"/>
          <w:pgBorders>
            <w:top w:val="none" w:sz="0" w:space="0"/>
            <w:left w:val="none" w:sz="0" w:space="0"/>
            <w:bottom w:val="none" w:sz="0" w:space="0"/>
            <w:right w:val="none" w:sz="0" w:space="0"/>
          </w:pgBorders>
          <w:pgNumType w:fmt="decimal" w:start="1"/>
          <w:cols w:space="720" w:num="1"/>
          <w:docGrid w:linePitch="312" w:charSpace="0"/>
        </w:sectPr>
      </w:pPr>
    </w:p>
    <w:p w14:paraId="003B4738">
      <w:pPr>
        <w:spacing w:beforeLines="100" w:afterLines="100" w:line="480" w:lineRule="auto"/>
        <w:ind w:firstLine="964" w:firstLineChars="200"/>
        <w:jc w:val="center"/>
        <w:rPr>
          <w:rFonts w:ascii="宋体" w:hAnsi="宋体" w:cs="黑体"/>
          <w:b/>
          <w:color w:val="auto"/>
          <w:kern w:val="0"/>
          <w:sz w:val="48"/>
          <w:szCs w:val="48"/>
          <w:highlight w:val="none"/>
        </w:rPr>
      </w:pPr>
      <w:r>
        <w:rPr>
          <w:rFonts w:hint="eastAsia" w:ascii="宋体" w:hAnsi="宋体" w:cs="黑体"/>
          <w:b/>
          <w:color w:val="auto"/>
          <w:kern w:val="0"/>
          <w:sz w:val="48"/>
          <w:szCs w:val="48"/>
          <w:highlight w:val="none"/>
        </w:rPr>
        <w:t>目</w:t>
      </w:r>
      <w:r>
        <w:rPr>
          <w:rFonts w:ascii="宋体" w:hAnsi="宋体" w:cs="黑体"/>
          <w:b/>
          <w:color w:val="auto"/>
          <w:kern w:val="0"/>
          <w:sz w:val="48"/>
          <w:szCs w:val="48"/>
          <w:highlight w:val="none"/>
        </w:rPr>
        <w:t xml:space="preserve"> </w:t>
      </w:r>
      <w:r>
        <w:rPr>
          <w:rFonts w:hint="eastAsia" w:ascii="宋体" w:hAnsi="宋体" w:cs="黑体"/>
          <w:b/>
          <w:color w:val="auto"/>
          <w:kern w:val="0"/>
          <w:sz w:val="48"/>
          <w:szCs w:val="48"/>
          <w:highlight w:val="none"/>
        </w:rPr>
        <w:t xml:space="preserve"> 录</w:t>
      </w:r>
    </w:p>
    <w:p w14:paraId="2A6AAC8D">
      <w:pPr>
        <w:pStyle w:val="30"/>
        <w:tabs>
          <w:tab w:val="right" w:leader="dot" w:pos="9402"/>
        </w:tabs>
        <w:spacing w:beforeLines="50" w:afterLines="50" w:line="480" w:lineRule="auto"/>
        <w:ind w:right="-115" w:rightChars="-55"/>
        <w:rPr>
          <w:rFonts w:ascii="宋体" w:hAnsi="宋体"/>
          <w:b/>
          <w:color w:val="auto"/>
          <w:sz w:val="28"/>
          <w:szCs w:val="21"/>
          <w:highlight w:val="none"/>
          <w:u w:val="none"/>
        </w:rPr>
      </w:pPr>
      <w:r>
        <w:rPr>
          <w:rFonts w:hint="eastAsia" w:ascii="宋体" w:hAnsi="宋体" w:cs="宋体"/>
          <w:b/>
          <w:bCs/>
          <w:color w:val="auto"/>
          <w:kern w:val="0"/>
          <w:sz w:val="24"/>
          <w:szCs w:val="24"/>
          <w:highlight w:val="none"/>
          <w:u w:val="none"/>
        </w:rPr>
        <w:fldChar w:fldCharType="begin"/>
      </w:r>
      <w:r>
        <w:rPr>
          <w:rFonts w:hint="eastAsia" w:ascii="宋体" w:hAnsi="宋体" w:cs="宋体"/>
          <w:b/>
          <w:bCs/>
          <w:color w:val="auto"/>
          <w:kern w:val="0"/>
          <w:sz w:val="24"/>
          <w:szCs w:val="24"/>
          <w:highlight w:val="none"/>
          <w:u w:val="none"/>
        </w:rPr>
        <w:instrText xml:space="preserve">TOC \o "1-1" \h \u </w:instrText>
      </w:r>
      <w:r>
        <w:rPr>
          <w:rFonts w:hint="eastAsia" w:ascii="宋体" w:hAnsi="宋体" w:cs="宋体"/>
          <w:b/>
          <w:bCs/>
          <w:color w:val="auto"/>
          <w:kern w:val="0"/>
          <w:sz w:val="24"/>
          <w:szCs w:val="24"/>
          <w:highlight w:val="none"/>
          <w:u w:val="none"/>
        </w:rPr>
        <w:fldChar w:fldCharType="separate"/>
      </w:r>
      <w:r>
        <w:rPr>
          <w:color w:val="auto"/>
          <w:sz w:val="18"/>
          <w:szCs w:val="18"/>
          <w:highlight w:val="none"/>
          <w:u w:val="none"/>
        </w:rPr>
        <w:fldChar w:fldCharType="begin"/>
      </w:r>
      <w:r>
        <w:rPr>
          <w:color w:val="auto"/>
          <w:sz w:val="18"/>
          <w:szCs w:val="18"/>
          <w:highlight w:val="none"/>
          <w:u w:val="none"/>
        </w:rPr>
        <w:instrText xml:space="preserve"> HYPERLINK \l "_Toc16858207" </w:instrText>
      </w:r>
      <w:r>
        <w:rPr>
          <w:color w:val="auto"/>
          <w:sz w:val="18"/>
          <w:szCs w:val="18"/>
          <w:highlight w:val="none"/>
          <w:u w:val="none"/>
        </w:rPr>
        <w:fldChar w:fldCharType="separate"/>
      </w:r>
      <w:r>
        <w:rPr>
          <w:rStyle w:val="57"/>
          <w:rFonts w:hint="eastAsia" w:ascii="宋体" w:hAnsi="宋体"/>
          <w:b/>
          <w:color w:val="auto"/>
          <w:sz w:val="28"/>
          <w:szCs w:val="18"/>
          <w:highlight w:val="none"/>
          <w:u w:val="none"/>
        </w:rPr>
        <w:t>第一章</w:t>
      </w:r>
      <w:r>
        <w:rPr>
          <w:rStyle w:val="57"/>
          <w:rFonts w:ascii="宋体" w:hAnsi="宋体"/>
          <w:b/>
          <w:color w:val="auto"/>
          <w:sz w:val="28"/>
          <w:szCs w:val="18"/>
          <w:highlight w:val="none"/>
          <w:u w:val="none"/>
        </w:rPr>
        <w:t xml:space="preserve">  </w:t>
      </w:r>
      <w:r>
        <w:rPr>
          <w:rStyle w:val="57"/>
          <w:rFonts w:hint="eastAsia" w:ascii="宋体" w:hAnsi="宋体"/>
          <w:b/>
          <w:color w:val="auto"/>
          <w:sz w:val="28"/>
          <w:szCs w:val="18"/>
          <w:highlight w:val="none"/>
          <w:u w:val="none"/>
        </w:rPr>
        <w:t>招标</w:t>
      </w:r>
      <w:bookmarkStart w:id="15" w:name="_Hlt42848090"/>
      <w:bookmarkStart w:id="16" w:name="_Hlt42848091"/>
      <w:r>
        <w:rPr>
          <w:rStyle w:val="57"/>
          <w:rFonts w:hint="eastAsia" w:ascii="宋体" w:hAnsi="宋体"/>
          <w:b/>
          <w:color w:val="auto"/>
          <w:sz w:val="28"/>
          <w:szCs w:val="18"/>
          <w:highlight w:val="none"/>
          <w:u w:val="none"/>
        </w:rPr>
        <w:t>公</w:t>
      </w:r>
      <w:bookmarkEnd w:id="15"/>
      <w:bookmarkEnd w:id="16"/>
      <w:r>
        <w:rPr>
          <w:rStyle w:val="57"/>
          <w:rFonts w:hint="eastAsia" w:ascii="宋体" w:hAnsi="宋体"/>
          <w:b/>
          <w:color w:val="auto"/>
          <w:sz w:val="28"/>
          <w:szCs w:val="18"/>
          <w:highlight w:val="none"/>
          <w:u w:val="none"/>
        </w:rPr>
        <w:t>告</w:t>
      </w:r>
      <w:r>
        <w:rPr>
          <w:rFonts w:ascii="宋体" w:hAnsi="宋体"/>
          <w:b/>
          <w:color w:val="auto"/>
          <w:sz w:val="28"/>
          <w:szCs w:val="18"/>
          <w:highlight w:val="none"/>
          <w:u w:val="none"/>
        </w:rPr>
        <w:tab/>
      </w:r>
      <w:r>
        <w:rPr>
          <w:rFonts w:hint="eastAsia" w:ascii="宋体" w:hAnsi="宋体"/>
          <w:b/>
          <w:color w:val="auto"/>
          <w:sz w:val="28"/>
          <w:szCs w:val="18"/>
          <w:highlight w:val="none"/>
          <w:u w:val="none"/>
          <w:lang w:val="en-US" w:eastAsia="zh-CN"/>
        </w:rPr>
        <w:t>3</w:t>
      </w:r>
      <w:r>
        <w:rPr>
          <w:rFonts w:ascii="宋体" w:hAnsi="宋体"/>
          <w:b/>
          <w:color w:val="auto"/>
          <w:sz w:val="28"/>
          <w:szCs w:val="18"/>
          <w:highlight w:val="none"/>
          <w:u w:val="none"/>
        </w:rPr>
        <w:fldChar w:fldCharType="end"/>
      </w:r>
    </w:p>
    <w:p w14:paraId="48D8FEFF">
      <w:pPr>
        <w:pStyle w:val="30"/>
        <w:tabs>
          <w:tab w:val="right" w:leader="dot" w:pos="9402"/>
        </w:tabs>
        <w:spacing w:beforeLines="50" w:afterLines="50" w:line="480" w:lineRule="auto"/>
        <w:ind w:right="-115" w:rightChars="-55"/>
        <w:rPr>
          <w:rFonts w:hint="eastAsia" w:ascii="宋体" w:hAnsi="宋体" w:eastAsia="宋体"/>
          <w:b/>
          <w:color w:val="auto"/>
          <w:sz w:val="28"/>
          <w:szCs w:val="21"/>
          <w:highlight w:val="none"/>
          <w:u w:val="none"/>
          <w:lang w:val="en-US" w:eastAsia="zh-CN"/>
        </w:rPr>
      </w:pPr>
      <w:r>
        <w:rPr>
          <w:color w:val="auto"/>
          <w:sz w:val="18"/>
          <w:szCs w:val="18"/>
          <w:highlight w:val="none"/>
          <w:u w:val="none"/>
        </w:rPr>
        <w:fldChar w:fldCharType="begin"/>
      </w:r>
      <w:r>
        <w:rPr>
          <w:color w:val="auto"/>
          <w:sz w:val="18"/>
          <w:szCs w:val="18"/>
          <w:highlight w:val="none"/>
          <w:u w:val="none"/>
        </w:rPr>
        <w:instrText xml:space="preserve"> HYPERLINK \l "_Toc16858208" </w:instrText>
      </w:r>
      <w:r>
        <w:rPr>
          <w:color w:val="auto"/>
          <w:sz w:val="18"/>
          <w:szCs w:val="18"/>
          <w:highlight w:val="none"/>
          <w:u w:val="none"/>
        </w:rPr>
        <w:fldChar w:fldCharType="separate"/>
      </w:r>
      <w:r>
        <w:rPr>
          <w:rStyle w:val="57"/>
          <w:rFonts w:hint="eastAsia" w:ascii="宋体" w:hAnsi="宋体"/>
          <w:b/>
          <w:color w:val="auto"/>
          <w:sz w:val="28"/>
          <w:szCs w:val="18"/>
          <w:highlight w:val="none"/>
          <w:u w:val="none"/>
          <w:lang w:val="zh-CN"/>
        </w:rPr>
        <w:t>第二章</w:t>
      </w:r>
      <w:r>
        <w:rPr>
          <w:rStyle w:val="57"/>
          <w:rFonts w:ascii="宋体" w:hAnsi="宋体"/>
          <w:b/>
          <w:color w:val="auto"/>
          <w:sz w:val="28"/>
          <w:szCs w:val="18"/>
          <w:highlight w:val="none"/>
          <w:u w:val="none"/>
          <w:lang w:val="zh-CN"/>
        </w:rPr>
        <w:t xml:space="preserve">  </w:t>
      </w:r>
      <w:r>
        <w:rPr>
          <w:rStyle w:val="57"/>
          <w:rFonts w:hint="eastAsia" w:ascii="宋体" w:hAnsi="宋体"/>
          <w:b/>
          <w:color w:val="auto"/>
          <w:sz w:val="28"/>
          <w:szCs w:val="18"/>
          <w:highlight w:val="none"/>
          <w:u w:val="none"/>
          <w:lang w:val="zh-CN"/>
        </w:rPr>
        <w:t>投标</w:t>
      </w:r>
      <w:bookmarkStart w:id="17" w:name="_Hlt42848095"/>
      <w:r>
        <w:rPr>
          <w:rStyle w:val="57"/>
          <w:rFonts w:hint="eastAsia" w:ascii="宋体" w:hAnsi="宋体"/>
          <w:b/>
          <w:color w:val="auto"/>
          <w:sz w:val="28"/>
          <w:szCs w:val="18"/>
          <w:highlight w:val="none"/>
          <w:u w:val="none"/>
          <w:lang w:val="zh-CN"/>
        </w:rPr>
        <w:t>人</w:t>
      </w:r>
      <w:bookmarkEnd w:id="17"/>
      <w:bookmarkStart w:id="18" w:name="_Hlt42158765"/>
      <w:bookmarkStart w:id="19" w:name="_Hlt42158766"/>
      <w:r>
        <w:rPr>
          <w:rStyle w:val="57"/>
          <w:rFonts w:hint="eastAsia" w:ascii="宋体" w:hAnsi="宋体"/>
          <w:b/>
          <w:color w:val="auto"/>
          <w:sz w:val="28"/>
          <w:szCs w:val="18"/>
          <w:highlight w:val="none"/>
          <w:u w:val="none"/>
          <w:lang w:val="zh-CN"/>
        </w:rPr>
        <w:t>须</w:t>
      </w:r>
      <w:bookmarkEnd w:id="18"/>
      <w:bookmarkEnd w:id="19"/>
      <w:r>
        <w:rPr>
          <w:rStyle w:val="57"/>
          <w:rFonts w:hint="eastAsia" w:ascii="宋体" w:hAnsi="宋体"/>
          <w:b/>
          <w:color w:val="auto"/>
          <w:sz w:val="28"/>
          <w:szCs w:val="18"/>
          <w:highlight w:val="none"/>
          <w:u w:val="none"/>
          <w:lang w:val="zh-CN"/>
        </w:rPr>
        <w:t>知</w:t>
      </w:r>
      <w:r>
        <w:rPr>
          <w:rFonts w:ascii="宋体" w:hAnsi="宋体"/>
          <w:b/>
          <w:color w:val="auto"/>
          <w:sz w:val="28"/>
          <w:szCs w:val="18"/>
          <w:highlight w:val="none"/>
          <w:u w:val="none"/>
        </w:rPr>
        <w:tab/>
      </w:r>
      <w:r>
        <w:rPr>
          <w:rFonts w:hint="eastAsia" w:ascii="宋体" w:hAnsi="宋体"/>
          <w:b/>
          <w:color w:val="auto"/>
          <w:sz w:val="28"/>
          <w:szCs w:val="18"/>
          <w:highlight w:val="none"/>
          <w:u w:val="none"/>
        </w:rPr>
        <w:fldChar w:fldCharType="end"/>
      </w:r>
      <w:r>
        <w:rPr>
          <w:rFonts w:hint="eastAsia" w:ascii="宋体" w:hAnsi="宋体"/>
          <w:b/>
          <w:color w:val="auto"/>
          <w:sz w:val="28"/>
          <w:szCs w:val="18"/>
          <w:highlight w:val="none"/>
          <w:u w:val="none"/>
          <w:lang w:val="en-US" w:eastAsia="zh-CN"/>
        </w:rPr>
        <w:t>8</w:t>
      </w:r>
    </w:p>
    <w:p w14:paraId="0CA7A56F">
      <w:pPr>
        <w:pStyle w:val="30"/>
        <w:tabs>
          <w:tab w:val="right" w:leader="dot" w:pos="9402"/>
        </w:tabs>
        <w:spacing w:beforeLines="50" w:afterLines="50" w:line="480" w:lineRule="auto"/>
        <w:ind w:right="-115" w:rightChars="-55"/>
        <w:rPr>
          <w:rFonts w:hint="eastAsia" w:ascii="宋体" w:hAnsi="宋体" w:eastAsia="宋体"/>
          <w:b/>
          <w:color w:val="auto"/>
          <w:sz w:val="28"/>
          <w:szCs w:val="21"/>
          <w:highlight w:val="none"/>
          <w:u w:val="none"/>
          <w:lang w:val="en-US" w:eastAsia="zh-CN"/>
        </w:rPr>
      </w:pPr>
      <w:r>
        <w:rPr>
          <w:color w:val="auto"/>
          <w:sz w:val="18"/>
          <w:szCs w:val="18"/>
          <w:highlight w:val="none"/>
          <w:u w:val="none"/>
        </w:rPr>
        <w:fldChar w:fldCharType="begin"/>
      </w:r>
      <w:r>
        <w:rPr>
          <w:color w:val="auto"/>
          <w:sz w:val="18"/>
          <w:szCs w:val="18"/>
          <w:highlight w:val="none"/>
          <w:u w:val="none"/>
        </w:rPr>
        <w:instrText xml:space="preserve"> HYPERLINK \l "_Toc16858209" </w:instrText>
      </w:r>
      <w:r>
        <w:rPr>
          <w:color w:val="auto"/>
          <w:sz w:val="18"/>
          <w:szCs w:val="18"/>
          <w:highlight w:val="none"/>
          <w:u w:val="none"/>
        </w:rPr>
        <w:fldChar w:fldCharType="separate"/>
      </w:r>
      <w:r>
        <w:rPr>
          <w:rStyle w:val="57"/>
          <w:rFonts w:hint="eastAsia" w:ascii="宋体" w:hAnsi="宋体"/>
          <w:b/>
          <w:color w:val="auto"/>
          <w:sz w:val="28"/>
          <w:szCs w:val="18"/>
          <w:highlight w:val="none"/>
          <w:u w:val="none"/>
        </w:rPr>
        <w:t>第三章</w:t>
      </w:r>
      <w:r>
        <w:rPr>
          <w:rStyle w:val="57"/>
          <w:rFonts w:ascii="宋体" w:hAnsi="宋体"/>
          <w:b/>
          <w:color w:val="auto"/>
          <w:sz w:val="28"/>
          <w:szCs w:val="18"/>
          <w:highlight w:val="none"/>
          <w:u w:val="none"/>
        </w:rPr>
        <w:t xml:space="preserve">  </w:t>
      </w:r>
      <w:r>
        <w:rPr>
          <w:rStyle w:val="57"/>
          <w:rFonts w:hint="eastAsia" w:ascii="宋体" w:hAnsi="宋体"/>
          <w:b/>
          <w:color w:val="auto"/>
          <w:sz w:val="28"/>
          <w:szCs w:val="18"/>
          <w:highlight w:val="none"/>
          <w:u w:val="none"/>
        </w:rPr>
        <w:t>评标</w:t>
      </w:r>
      <w:bookmarkStart w:id="20" w:name="_Hlt42156770"/>
      <w:bookmarkStart w:id="21" w:name="_Hlt42848104"/>
      <w:bookmarkStart w:id="22" w:name="_Hlt42156769"/>
      <w:r>
        <w:rPr>
          <w:rStyle w:val="57"/>
          <w:rFonts w:hint="eastAsia" w:ascii="宋体" w:hAnsi="宋体"/>
          <w:b/>
          <w:color w:val="auto"/>
          <w:sz w:val="28"/>
          <w:szCs w:val="18"/>
          <w:highlight w:val="none"/>
          <w:u w:val="none"/>
        </w:rPr>
        <w:t>方</w:t>
      </w:r>
      <w:bookmarkEnd w:id="20"/>
      <w:bookmarkEnd w:id="21"/>
      <w:bookmarkEnd w:id="22"/>
      <w:r>
        <w:rPr>
          <w:rStyle w:val="57"/>
          <w:rFonts w:hint="eastAsia" w:ascii="宋体" w:hAnsi="宋体"/>
          <w:b/>
          <w:color w:val="auto"/>
          <w:sz w:val="28"/>
          <w:szCs w:val="18"/>
          <w:highlight w:val="none"/>
          <w:u w:val="none"/>
        </w:rPr>
        <w:t>法</w:t>
      </w:r>
      <w:r>
        <w:rPr>
          <w:rFonts w:ascii="宋体" w:hAnsi="宋体"/>
          <w:b/>
          <w:color w:val="auto"/>
          <w:sz w:val="28"/>
          <w:szCs w:val="18"/>
          <w:highlight w:val="none"/>
          <w:u w:val="none"/>
        </w:rPr>
        <w:tab/>
      </w:r>
      <w:r>
        <w:rPr>
          <w:rFonts w:hint="eastAsia" w:ascii="宋体" w:hAnsi="宋体"/>
          <w:b/>
          <w:color w:val="auto"/>
          <w:sz w:val="28"/>
          <w:szCs w:val="18"/>
          <w:highlight w:val="none"/>
          <w:u w:val="none"/>
          <w:lang w:val="en-US" w:eastAsia="zh-CN"/>
        </w:rPr>
        <w:t>3</w:t>
      </w:r>
      <w:r>
        <w:rPr>
          <w:rFonts w:ascii="宋体" w:hAnsi="宋体"/>
          <w:b/>
          <w:color w:val="auto"/>
          <w:sz w:val="28"/>
          <w:szCs w:val="18"/>
          <w:highlight w:val="none"/>
          <w:u w:val="none"/>
        </w:rPr>
        <w:fldChar w:fldCharType="end"/>
      </w:r>
      <w:r>
        <w:rPr>
          <w:rFonts w:hint="eastAsia" w:ascii="宋体" w:hAnsi="宋体"/>
          <w:b/>
          <w:color w:val="auto"/>
          <w:sz w:val="28"/>
          <w:szCs w:val="18"/>
          <w:highlight w:val="none"/>
          <w:u w:val="none"/>
          <w:lang w:val="en-US" w:eastAsia="zh-CN"/>
        </w:rPr>
        <w:t>0</w:t>
      </w:r>
    </w:p>
    <w:p w14:paraId="6383CE6E">
      <w:pPr>
        <w:pStyle w:val="30"/>
        <w:tabs>
          <w:tab w:val="right" w:leader="dot" w:pos="9402"/>
        </w:tabs>
        <w:spacing w:beforeLines="50" w:afterLines="50" w:line="480" w:lineRule="auto"/>
        <w:ind w:right="-115" w:rightChars="-55"/>
        <w:rPr>
          <w:rFonts w:hint="eastAsia" w:ascii="宋体" w:hAnsi="宋体" w:eastAsia="宋体"/>
          <w:b/>
          <w:color w:val="auto"/>
          <w:sz w:val="28"/>
          <w:szCs w:val="21"/>
          <w:highlight w:val="none"/>
          <w:u w:val="none"/>
          <w:lang w:val="en-US" w:eastAsia="zh-CN"/>
        </w:rPr>
      </w:pPr>
      <w:r>
        <w:rPr>
          <w:color w:val="auto"/>
          <w:sz w:val="18"/>
          <w:szCs w:val="18"/>
          <w:highlight w:val="none"/>
          <w:u w:val="none"/>
        </w:rPr>
        <w:fldChar w:fldCharType="begin"/>
      </w:r>
      <w:r>
        <w:rPr>
          <w:color w:val="auto"/>
          <w:sz w:val="18"/>
          <w:szCs w:val="18"/>
          <w:highlight w:val="none"/>
          <w:u w:val="none"/>
        </w:rPr>
        <w:instrText xml:space="preserve"> HYPERLINK \l "_Toc16858210" </w:instrText>
      </w:r>
      <w:r>
        <w:rPr>
          <w:color w:val="auto"/>
          <w:sz w:val="18"/>
          <w:szCs w:val="18"/>
          <w:highlight w:val="none"/>
          <w:u w:val="none"/>
        </w:rPr>
        <w:fldChar w:fldCharType="separate"/>
      </w:r>
      <w:r>
        <w:rPr>
          <w:rStyle w:val="57"/>
          <w:rFonts w:hint="eastAsia" w:ascii="宋体" w:hAnsi="宋体"/>
          <w:b/>
          <w:color w:val="auto"/>
          <w:sz w:val="28"/>
          <w:szCs w:val="18"/>
          <w:highlight w:val="none"/>
          <w:u w:val="none"/>
        </w:rPr>
        <w:t>第四章</w:t>
      </w:r>
      <w:r>
        <w:rPr>
          <w:rStyle w:val="57"/>
          <w:rFonts w:ascii="宋体" w:hAnsi="宋体"/>
          <w:b/>
          <w:color w:val="auto"/>
          <w:sz w:val="28"/>
          <w:szCs w:val="18"/>
          <w:highlight w:val="none"/>
          <w:u w:val="none"/>
        </w:rPr>
        <w:t xml:space="preserve">  </w:t>
      </w:r>
      <w:r>
        <w:rPr>
          <w:rStyle w:val="57"/>
          <w:rFonts w:hint="eastAsia" w:ascii="宋体" w:hAnsi="宋体"/>
          <w:b/>
          <w:color w:val="auto"/>
          <w:sz w:val="28"/>
          <w:szCs w:val="18"/>
          <w:highlight w:val="none"/>
          <w:u w:val="none"/>
        </w:rPr>
        <w:t>合同条款及格式</w:t>
      </w:r>
      <w:r>
        <w:rPr>
          <w:rFonts w:ascii="宋体" w:hAnsi="宋体"/>
          <w:b/>
          <w:color w:val="auto"/>
          <w:sz w:val="28"/>
          <w:szCs w:val="18"/>
          <w:highlight w:val="none"/>
          <w:u w:val="none"/>
        </w:rPr>
        <w:tab/>
      </w:r>
      <w:r>
        <w:rPr>
          <w:rFonts w:hint="eastAsia" w:ascii="宋体" w:hAnsi="宋体"/>
          <w:b/>
          <w:color w:val="auto"/>
          <w:sz w:val="28"/>
          <w:szCs w:val="18"/>
          <w:highlight w:val="none"/>
          <w:u w:val="none"/>
          <w:lang w:val="en-US" w:eastAsia="zh-CN"/>
        </w:rPr>
        <w:t>3</w:t>
      </w:r>
      <w:r>
        <w:rPr>
          <w:rFonts w:hint="eastAsia" w:ascii="宋体" w:hAnsi="宋体"/>
          <w:b/>
          <w:color w:val="auto"/>
          <w:sz w:val="28"/>
          <w:szCs w:val="18"/>
          <w:highlight w:val="none"/>
          <w:u w:val="none"/>
        </w:rPr>
        <w:fldChar w:fldCharType="end"/>
      </w:r>
      <w:r>
        <w:rPr>
          <w:rFonts w:hint="eastAsia" w:ascii="宋体" w:hAnsi="宋体"/>
          <w:b/>
          <w:color w:val="auto"/>
          <w:sz w:val="28"/>
          <w:szCs w:val="18"/>
          <w:highlight w:val="none"/>
          <w:u w:val="none"/>
          <w:lang w:val="en-US" w:eastAsia="zh-CN"/>
        </w:rPr>
        <w:t>7</w:t>
      </w:r>
    </w:p>
    <w:p w14:paraId="71864C49">
      <w:pPr>
        <w:pStyle w:val="30"/>
        <w:tabs>
          <w:tab w:val="right" w:leader="dot" w:pos="9402"/>
        </w:tabs>
        <w:spacing w:beforeLines="50" w:afterLines="50" w:line="480" w:lineRule="auto"/>
        <w:ind w:right="-115" w:rightChars="-55"/>
        <w:rPr>
          <w:rFonts w:hint="eastAsia" w:ascii="宋体" w:hAnsi="宋体" w:eastAsia="宋体"/>
          <w:b/>
          <w:color w:val="auto"/>
          <w:sz w:val="28"/>
          <w:szCs w:val="21"/>
          <w:highlight w:val="none"/>
          <w:u w:val="none"/>
          <w:lang w:val="en-US" w:eastAsia="zh-CN"/>
        </w:rPr>
      </w:pPr>
      <w:r>
        <w:rPr>
          <w:color w:val="auto"/>
          <w:sz w:val="18"/>
          <w:szCs w:val="18"/>
          <w:highlight w:val="none"/>
          <w:u w:val="none"/>
        </w:rPr>
        <w:fldChar w:fldCharType="begin"/>
      </w:r>
      <w:r>
        <w:rPr>
          <w:color w:val="auto"/>
          <w:sz w:val="18"/>
          <w:szCs w:val="18"/>
          <w:highlight w:val="none"/>
          <w:u w:val="none"/>
        </w:rPr>
        <w:instrText xml:space="preserve"> HYPERLINK \l "_Toc16858211" </w:instrText>
      </w:r>
      <w:r>
        <w:rPr>
          <w:color w:val="auto"/>
          <w:sz w:val="18"/>
          <w:szCs w:val="18"/>
          <w:highlight w:val="none"/>
          <w:u w:val="none"/>
        </w:rPr>
        <w:fldChar w:fldCharType="separate"/>
      </w:r>
      <w:r>
        <w:rPr>
          <w:rStyle w:val="57"/>
          <w:rFonts w:hint="eastAsia" w:ascii="宋体" w:hAnsi="宋体"/>
          <w:b/>
          <w:color w:val="auto"/>
          <w:sz w:val="28"/>
          <w:szCs w:val="18"/>
          <w:highlight w:val="none"/>
          <w:u w:val="none"/>
        </w:rPr>
        <w:t>第五章</w:t>
      </w:r>
      <w:r>
        <w:rPr>
          <w:rStyle w:val="57"/>
          <w:rFonts w:ascii="宋体" w:hAnsi="宋体"/>
          <w:b/>
          <w:color w:val="auto"/>
          <w:sz w:val="28"/>
          <w:szCs w:val="18"/>
          <w:highlight w:val="none"/>
          <w:u w:val="none"/>
        </w:rPr>
        <w:t xml:space="preserve">  </w:t>
      </w:r>
      <w:r>
        <w:rPr>
          <w:rStyle w:val="57"/>
          <w:rFonts w:hint="eastAsia" w:ascii="宋体" w:hAnsi="宋体"/>
          <w:b/>
          <w:color w:val="auto"/>
          <w:sz w:val="28"/>
          <w:szCs w:val="18"/>
          <w:highlight w:val="none"/>
          <w:u w:val="none"/>
        </w:rPr>
        <w:t>技术标准和要求</w:t>
      </w:r>
      <w:r>
        <w:rPr>
          <w:rFonts w:ascii="宋体" w:hAnsi="宋体"/>
          <w:b/>
          <w:color w:val="auto"/>
          <w:sz w:val="28"/>
          <w:szCs w:val="18"/>
          <w:highlight w:val="none"/>
          <w:u w:val="none"/>
        </w:rPr>
        <w:tab/>
      </w:r>
      <w:r>
        <w:rPr>
          <w:rFonts w:hint="eastAsia" w:ascii="宋体" w:hAnsi="宋体"/>
          <w:b/>
          <w:color w:val="auto"/>
          <w:sz w:val="28"/>
          <w:szCs w:val="18"/>
          <w:highlight w:val="none"/>
          <w:u w:val="none"/>
        </w:rPr>
        <w:t>4</w:t>
      </w:r>
      <w:r>
        <w:rPr>
          <w:rFonts w:hint="eastAsia" w:ascii="宋体" w:hAnsi="宋体"/>
          <w:b/>
          <w:color w:val="auto"/>
          <w:sz w:val="28"/>
          <w:szCs w:val="18"/>
          <w:highlight w:val="none"/>
          <w:u w:val="none"/>
        </w:rPr>
        <w:fldChar w:fldCharType="end"/>
      </w:r>
      <w:r>
        <w:rPr>
          <w:rFonts w:hint="eastAsia" w:ascii="宋体" w:hAnsi="宋体"/>
          <w:b/>
          <w:color w:val="auto"/>
          <w:sz w:val="28"/>
          <w:szCs w:val="18"/>
          <w:highlight w:val="none"/>
          <w:u w:val="none"/>
          <w:lang w:val="en-US" w:eastAsia="zh-CN"/>
        </w:rPr>
        <w:t>6</w:t>
      </w:r>
    </w:p>
    <w:p w14:paraId="1C263170">
      <w:pPr>
        <w:pStyle w:val="30"/>
        <w:tabs>
          <w:tab w:val="right" w:leader="dot" w:pos="9402"/>
        </w:tabs>
        <w:spacing w:beforeLines="50" w:afterLines="50" w:line="480" w:lineRule="auto"/>
        <w:ind w:right="-115" w:rightChars="-55"/>
        <w:rPr>
          <w:rFonts w:hint="default" w:ascii="宋体" w:hAnsi="宋体" w:eastAsia="宋体"/>
          <w:b/>
          <w:color w:val="auto"/>
          <w:sz w:val="28"/>
          <w:szCs w:val="18"/>
          <w:highlight w:val="none"/>
          <w:u w:val="none"/>
          <w:lang w:val="en-US" w:eastAsia="zh-CN"/>
        </w:rPr>
      </w:pPr>
      <w:r>
        <w:rPr>
          <w:color w:val="auto"/>
          <w:sz w:val="18"/>
          <w:szCs w:val="18"/>
          <w:highlight w:val="none"/>
          <w:u w:val="none"/>
        </w:rPr>
        <w:fldChar w:fldCharType="begin"/>
      </w:r>
      <w:r>
        <w:rPr>
          <w:color w:val="auto"/>
          <w:sz w:val="18"/>
          <w:szCs w:val="18"/>
          <w:highlight w:val="none"/>
          <w:u w:val="none"/>
        </w:rPr>
        <w:instrText xml:space="preserve"> HYPERLINK \l "_Toc16858215" </w:instrText>
      </w:r>
      <w:r>
        <w:rPr>
          <w:color w:val="auto"/>
          <w:sz w:val="18"/>
          <w:szCs w:val="18"/>
          <w:highlight w:val="none"/>
          <w:u w:val="none"/>
        </w:rPr>
        <w:fldChar w:fldCharType="separate"/>
      </w:r>
      <w:r>
        <w:rPr>
          <w:rStyle w:val="57"/>
          <w:rFonts w:hint="eastAsia" w:ascii="宋体" w:hAnsi="宋体"/>
          <w:b/>
          <w:color w:val="auto"/>
          <w:sz w:val="28"/>
          <w:szCs w:val="18"/>
          <w:highlight w:val="none"/>
          <w:u w:val="none"/>
        </w:rPr>
        <w:t>第六章</w:t>
      </w:r>
      <w:r>
        <w:rPr>
          <w:rStyle w:val="57"/>
          <w:rFonts w:ascii="宋体" w:hAnsi="宋体"/>
          <w:b/>
          <w:color w:val="auto"/>
          <w:sz w:val="28"/>
          <w:szCs w:val="18"/>
          <w:highlight w:val="none"/>
          <w:u w:val="none"/>
        </w:rPr>
        <w:t xml:space="preserve">  </w:t>
      </w:r>
      <w:r>
        <w:rPr>
          <w:rStyle w:val="57"/>
          <w:rFonts w:hint="eastAsia" w:ascii="宋体" w:hAnsi="宋体"/>
          <w:b/>
          <w:color w:val="auto"/>
          <w:sz w:val="28"/>
          <w:szCs w:val="18"/>
          <w:highlight w:val="none"/>
          <w:u w:val="none"/>
        </w:rPr>
        <w:t>投标</w:t>
      </w:r>
      <w:bookmarkStart w:id="23" w:name="_Hlt42848139"/>
      <w:r>
        <w:rPr>
          <w:rStyle w:val="57"/>
          <w:rFonts w:hint="eastAsia" w:ascii="宋体" w:hAnsi="宋体"/>
          <w:b/>
          <w:color w:val="auto"/>
          <w:sz w:val="28"/>
          <w:szCs w:val="18"/>
          <w:highlight w:val="none"/>
          <w:u w:val="none"/>
        </w:rPr>
        <w:t>文</w:t>
      </w:r>
      <w:bookmarkEnd w:id="23"/>
      <w:bookmarkStart w:id="24" w:name="_Hlt42157942"/>
      <w:r>
        <w:rPr>
          <w:rStyle w:val="57"/>
          <w:rFonts w:hint="eastAsia" w:ascii="宋体" w:hAnsi="宋体"/>
          <w:b/>
          <w:color w:val="auto"/>
          <w:sz w:val="28"/>
          <w:szCs w:val="18"/>
          <w:highlight w:val="none"/>
          <w:u w:val="none"/>
        </w:rPr>
        <w:t>件</w:t>
      </w:r>
      <w:bookmarkEnd w:id="24"/>
      <w:r>
        <w:rPr>
          <w:rStyle w:val="57"/>
          <w:rFonts w:hint="eastAsia" w:ascii="宋体" w:hAnsi="宋体"/>
          <w:b/>
          <w:color w:val="auto"/>
          <w:sz w:val="28"/>
          <w:szCs w:val="18"/>
          <w:highlight w:val="none"/>
          <w:u w:val="none"/>
        </w:rPr>
        <w:t>格式</w:t>
      </w:r>
      <w:r>
        <w:rPr>
          <w:rFonts w:ascii="宋体" w:hAnsi="宋体"/>
          <w:b/>
          <w:color w:val="auto"/>
          <w:sz w:val="28"/>
          <w:szCs w:val="18"/>
          <w:highlight w:val="none"/>
          <w:u w:val="none"/>
        </w:rPr>
        <w:tab/>
      </w:r>
      <w:r>
        <w:rPr>
          <w:rFonts w:hint="eastAsia" w:ascii="宋体" w:hAnsi="宋体"/>
          <w:b/>
          <w:color w:val="auto"/>
          <w:sz w:val="28"/>
          <w:szCs w:val="18"/>
          <w:highlight w:val="none"/>
          <w:u w:val="none"/>
        </w:rPr>
        <w:fldChar w:fldCharType="end"/>
      </w:r>
      <w:r>
        <w:rPr>
          <w:rFonts w:hint="eastAsia" w:ascii="宋体" w:hAnsi="宋体"/>
          <w:b/>
          <w:color w:val="auto"/>
          <w:sz w:val="28"/>
          <w:szCs w:val="18"/>
          <w:highlight w:val="none"/>
          <w:u w:val="none"/>
          <w:lang w:val="en-US" w:eastAsia="zh-CN"/>
        </w:rPr>
        <w:t>65</w:t>
      </w:r>
    </w:p>
    <w:p w14:paraId="53EBB5C8">
      <w:pPr>
        <w:pStyle w:val="30"/>
        <w:tabs>
          <w:tab w:val="right" w:leader="dot" w:pos="9402"/>
        </w:tabs>
        <w:spacing w:beforeLines="50" w:afterLines="50" w:line="480" w:lineRule="auto"/>
        <w:ind w:right="-115" w:rightChars="-55"/>
        <w:rPr>
          <w:rStyle w:val="57"/>
          <w:rFonts w:hint="default" w:ascii="宋体" w:hAnsi="宋体" w:eastAsia="宋体" w:cs="Times New Roman"/>
          <w:b/>
          <w:bCs/>
          <w:caps/>
          <w:color w:val="auto"/>
          <w:sz w:val="28"/>
          <w:szCs w:val="18"/>
          <w:highlight w:val="none"/>
          <w:u w:val="none"/>
          <w:lang w:val="en-US" w:eastAsia="zh-CN"/>
        </w:rPr>
      </w:pPr>
      <w:r>
        <w:rPr>
          <w:rStyle w:val="57"/>
          <w:rFonts w:hint="eastAsia" w:ascii="宋体" w:hAnsi="宋体" w:eastAsia="宋体" w:cs="Times New Roman"/>
          <w:b/>
          <w:bCs/>
          <w:caps/>
          <w:color w:val="auto"/>
          <w:sz w:val="28"/>
          <w:szCs w:val="18"/>
          <w:highlight w:val="none"/>
          <w:u w:val="none"/>
        </w:rPr>
        <w:fldChar w:fldCharType="begin"/>
      </w:r>
      <w:r>
        <w:rPr>
          <w:rStyle w:val="57"/>
          <w:rFonts w:hint="eastAsia" w:ascii="宋体" w:hAnsi="宋体" w:eastAsia="宋体" w:cs="Times New Roman"/>
          <w:b/>
          <w:bCs/>
          <w:caps/>
          <w:color w:val="auto"/>
          <w:sz w:val="28"/>
          <w:szCs w:val="18"/>
          <w:highlight w:val="none"/>
          <w:u w:val="none"/>
        </w:rPr>
        <w:instrText xml:space="preserve"> HYPERLINK \l "_Toc16858215" </w:instrText>
      </w:r>
      <w:r>
        <w:rPr>
          <w:rStyle w:val="57"/>
          <w:rFonts w:hint="eastAsia" w:ascii="宋体" w:hAnsi="宋体" w:eastAsia="宋体" w:cs="Times New Roman"/>
          <w:b/>
          <w:bCs/>
          <w:caps/>
          <w:color w:val="auto"/>
          <w:sz w:val="28"/>
          <w:szCs w:val="18"/>
          <w:highlight w:val="none"/>
          <w:u w:val="none"/>
        </w:rPr>
        <w:fldChar w:fldCharType="separate"/>
      </w:r>
      <w:r>
        <w:rPr>
          <w:rStyle w:val="57"/>
          <w:rFonts w:hint="eastAsia" w:ascii="宋体" w:hAnsi="宋体" w:eastAsia="宋体" w:cs="Times New Roman"/>
          <w:b/>
          <w:bCs/>
          <w:caps/>
          <w:color w:val="auto"/>
          <w:sz w:val="28"/>
          <w:szCs w:val="18"/>
          <w:highlight w:val="none"/>
          <w:u w:val="none"/>
        </w:rPr>
        <w:t>第</w:t>
      </w:r>
      <w:r>
        <w:rPr>
          <w:rStyle w:val="57"/>
          <w:rFonts w:hint="eastAsia" w:ascii="宋体" w:hAnsi="宋体" w:eastAsia="宋体" w:cs="Times New Roman"/>
          <w:b/>
          <w:bCs/>
          <w:caps/>
          <w:color w:val="auto"/>
          <w:sz w:val="28"/>
          <w:szCs w:val="18"/>
          <w:highlight w:val="none"/>
          <w:u w:val="none"/>
          <w:lang w:val="en-US" w:eastAsia="zh-CN"/>
        </w:rPr>
        <w:t>七</w:t>
      </w:r>
      <w:r>
        <w:rPr>
          <w:rStyle w:val="57"/>
          <w:rFonts w:hint="eastAsia" w:ascii="宋体" w:hAnsi="宋体" w:eastAsia="宋体" w:cs="Times New Roman"/>
          <w:b/>
          <w:bCs/>
          <w:caps/>
          <w:color w:val="auto"/>
          <w:sz w:val="28"/>
          <w:szCs w:val="18"/>
          <w:highlight w:val="none"/>
          <w:u w:val="none"/>
        </w:rPr>
        <w:t xml:space="preserve">章  </w:t>
      </w:r>
      <w:r>
        <w:rPr>
          <w:rStyle w:val="57"/>
          <w:rFonts w:hint="eastAsia" w:ascii="宋体" w:hAnsi="宋体" w:eastAsia="宋体" w:cs="Times New Roman"/>
          <w:b/>
          <w:bCs/>
          <w:caps/>
          <w:color w:val="auto"/>
          <w:sz w:val="28"/>
          <w:szCs w:val="18"/>
          <w:highlight w:val="none"/>
          <w:u w:val="none"/>
          <w:lang w:val="en-US" w:eastAsia="zh-CN"/>
        </w:rPr>
        <w:t>附件</w:t>
      </w:r>
      <w:r>
        <w:rPr>
          <w:rStyle w:val="57"/>
          <w:rFonts w:hint="eastAsia" w:ascii="宋体" w:hAnsi="宋体" w:eastAsia="宋体" w:cs="Times New Roman"/>
          <w:b/>
          <w:bCs/>
          <w:caps/>
          <w:color w:val="auto"/>
          <w:sz w:val="28"/>
          <w:szCs w:val="18"/>
          <w:highlight w:val="none"/>
          <w:u w:val="none"/>
        </w:rPr>
        <w:tab/>
      </w:r>
      <w:r>
        <w:rPr>
          <w:rStyle w:val="57"/>
          <w:rFonts w:hint="eastAsia" w:ascii="宋体" w:hAnsi="宋体" w:eastAsia="宋体" w:cs="Times New Roman"/>
          <w:b/>
          <w:bCs/>
          <w:caps/>
          <w:color w:val="auto"/>
          <w:sz w:val="28"/>
          <w:szCs w:val="18"/>
          <w:highlight w:val="none"/>
          <w:u w:val="none"/>
        </w:rPr>
        <w:fldChar w:fldCharType="end"/>
      </w:r>
      <w:r>
        <w:rPr>
          <w:rStyle w:val="57"/>
          <w:rFonts w:hint="eastAsia" w:ascii="宋体" w:hAnsi="宋体" w:cs="Times New Roman"/>
          <w:b/>
          <w:bCs/>
          <w:caps/>
          <w:color w:val="auto"/>
          <w:sz w:val="28"/>
          <w:szCs w:val="18"/>
          <w:highlight w:val="none"/>
          <w:u w:val="none"/>
          <w:lang w:val="en-US" w:eastAsia="zh-CN"/>
        </w:rPr>
        <w:t>90</w:t>
      </w:r>
    </w:p>
    <w:p w14:paraId="5674E1C9">
      <w:pPr>
        <w:rPr>
          <w:rFonts w:hint="eastAsia"/>
          <w:highlight w:val="none"/>
          <w:lang w:val="en-US" w:eastAsia="zh-CN"/>
        </w:rPr>
      </w:pPr>
    </w:p>
    <w:p w14:paraId="3B67494C">
      <w:pPr>
        <w:pStyle w:val="30"/>
        <w:tabs>
          <w:tab w:val="right" w:leader="dot" w:pos="9402"/>
        </w:tabs>
        <w:spacing w:beforeLines="50" w:afterLines="50" w:line="480" w:lineRule="auto"/>
        <w:ind w:right="-115" w:rightChars="-55" w:firstLine="482" w:firstLineChars="200"/>
        <w:rPr>
          <w:rFonts w:ascii="宋体" w:hAnsi="宋体"/>
          <w:b/>
          <w:color w:val="auto"/>
          <w:sz w:val="32"/>
          <w:szCs w:val="22"/>
          <w:highlight w:val="none"/>
          <w:u w:val="none"/>
        </w:rPr>
      </w:pPr>
      <w:r>
        <w:rPr>
          <w:rFonts w:hint="eastAsia" w:ascii="宋体" w:hAnsi="宋体" w:cs="宋体"/>
          <w:b/>
          <w:bCs/>
          <w:color w:val="auto"/>
          <w:kern w:val="0"/>
          <w:sz w:val="24"/>
          <w:szCs w:val="24"/>
          <w:highlight w:val="none"/>
          <w:u w:val="none"/>
        </w:rPr>
        <w:fldChar w:fldCharType="end"/>
      </w:r>
    </w:p>
    <w:p w14:paraId="03CE157E">
      <w:pPr>
        <w:pStyle w:val="42"/>
        <w:ind w:firstLine="723" w:firstLineChars="200"/>
        <w:rPr>
          <w:rFonts w:hint="eastAsia" w:ascii="华文细黑" w:hAnsi="华文细黑" w:eastAsia="华文细黑" w:cs="华文细黑"/>
          <w:b/>
          <w:bCs/>
          <w:color w:val="auto"/>
          <w:kern w:val="2"/>
          <w:sz w:val="24"/>
          <w:szCs w:val="24"/>
          <w:highlight w:val="none"/>
          <w:lang w:val="en-US" w:eastAsia="zh-CN" w:bidi="ar-SA"/>
        </w:rPr>
      </w:pPr>
      <w:r>
        <w:rPr>
          <w:rFonts w:hint="eastAsia" w:ascii="宋体" w:hAnsi="宋体" w:eastAsia="宋体" w:cs="宋体"/>
          <w:sz w:val="36"/>
          <w:szCs w:val="21"/>
          <w:highlight w:val="none"/>
        </w:rPr>
        <w:br w:type="page"/>
      </w:r>
      <w:bookmarkEnd w:id="5"/>
      <w:bookmarkEnd w:id="6"/>
      <w:bookmarkEnd w:id="7"/>
      <w:bookmarkEnd w:id="8"/>
      <w:bookmarkEnd w:id="9"/>
      <w:bookmarkEnd w:id="10"/>
      <w:bookmarkEnd w:id="11"/>
      <w:bookmarkEnd w:id="12"/>
      <w:bookmarkEnd w:id="13"/>
      <w:bookmarkEnd w:id="14"/>
      <w:bookmarkStart w:id="25" w:name="OLE_LINK1"/>
      <w:bookmarkStart w:id="26" w:name="_Toc31822_WPSOffice_Level1"/>
      <w:bookmarkStart w:id="27" w:name="_Toc31247_WPSOffice_Level1"/>
      <w:bookmarkStart w:id="28" w:name="_Toc7354_WPSOffice_Level1"/>
      <w:bookmarkStart w:id="29" w:name="_Toc55569563"/>
      <w:bookmarkStart w:id="30" w:name="_Toc246996175"/>
      <w:bookmarkStart w:id="31" w:name="_Toc179632546"/>
      <w:bookmarkStart w:id="32" w:name="_Toc152042305"/>
      <w:bookmarkStart w:id="33" w:name="_Toc246996918"/>
      <w:bookmarkStart w:id="34" w:name="_Toc247085689"/>
      <w:bookmarkStart w:id="35" w:name="_Toc152045529"/>
      <w:bookmarkStart w:id="36" w:name="_Toc144974497"/>
      <w:r>
        <w:rPr>
          <w:rFonts w:hint="eastAsia" w:ascii="华文细黑" w:hAnsi="华文细黑" w:eastAsia="华文细黑" w:cs="华文细黑"/>
          <w:color w:val="auto"/>
          <w:sz w:val="36"/>
          <w:szCs w:val="36"/>
          <w:highlight w:val="none"/>
        </w:rPr>
        <w:t>第一章 招标公告</w:t>
      </w:r>
      <w:bookmarkEnd w:id="25"/>
      <w:bookmarkEnd w:id="26"/>
      <w:bookmarkEnd w:id="27"/>
      <w:bookmarkEnd w:id="28"/>
      <w:bookmarkEnd w:id="29"/>
      <w:r>
        <w:rPr>
          <w:rFonts w:hint="eastAsia" w:ascii="华文细黑" w:hAnsi="华文细黑" w:eastAsia="华文细黑" w:cs="华文细黑"/>
          <w:b/>
          <w:bCs/>
          <w:color w:val="auto"/>
          <w:kern w:val="2"/>
          <w:sz w:val="24"/>
          <w:szCs w:val="24"/>
          <w:highlight w:val="none"/>
          <w:lang w:val="en-US" w:eastAsia="zh-CN" w:bidi="ar-SA"/>
        </w:rPr>
        <w:t xml:space="preserve"> </w:t>
      </w:r>
    </w:p>
    <w:p w14:paraId="51C3F32D">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华文细黑" w:hAnsi="华文细黑" w:eastAsia="华文细黑" w:cs="华文细黑"/>
          <w:b/>
          <w:bCs/>
          <w:color w:val="auto"/>
          <w:sz w:val="44"/>
          <w:szCs w:val="44"/>
          <w:highlight w:val="none"/>
          <w:lang w:val="zh-CN" w:eastAsia="zh-CN"/>
        </w:rPr>
      </w:pPr>
      <w:r>
        <w:rPr>
          <w:rFonts w:hint="eastAsia" w:ascii="微软雅黑" w:hAnsi="微软雅黑" w:eastAsia="微软雅黑" w:cs="微软雅黑"/>
          <w:i w:val="0"/>
          <w:iCs w:val="0"/>
          <w:caps w:val="0"/>
          <w:color w:val="333333"/>
          <w:spacing w:val="0"/>
          <w:sz w:val="32"/>
          <w:szCs w:val="32"/>
          <w:highlight w:val="none"/>
          <w:shd w:val="clear" w:fill="FFFFFF"/>
          <w:lang w:eastAsia="zh-CN"/>
        </w:rPr>
        <w:t>磐石市政务服务中心其他社会服务和食堂后勤服务项目</w:t>
      </w:r>
    </w:p>
    <w:p w14:paraId="3CB11E1C">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华文细黑" w:hAnsi="华文细黑" w:eastAsia="华文细黑" w:cs="华文细黑"/>
          <w:b/>
          <w:bCs/>
          <w:color w:val="auto"/>
          <w:sz w:val="28"/>
          <w:szCs w:val="28"/>
          <w:highlight w:val="none"/>
          <w:lang w:val="zh-CN"/>
        </w:rPr>
      </w:pPr>
      <w:r>
        <w:rPr>
          <w:rFonts w:hint="eastAsia" w:ascii="华文细黑" w:hAnsi="华文细黑" w:eastAsia="华文细黑" w:cs="华文细黑"/>
          <w:b/>
          <w:bCs/>
          <w:color w:val="auto"/>
          <w:sz w:val="28"/>
          <w:szCs w:val="28"/>
          <w:highlight w:val="none"/>
          <w:lang w:val="zh-CN"/>
        </w:rPr>
        <w:t>招标公告</w:t>
      </w:r>
    </w:p>
    <w:tbl>
      <w:tblPr>
        <w:tblStyle w:val="46"/>
        <w:tblpPr w:leftFromText="180" w:rightFromText="180" w:vertAnchor="text" w:tblpXSpec="center" w:tblpY="1"/>
        <w:tblOverlap w:val="never"/>
        <w:tblW w:w="93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2"/>
      </w:tblGrid>
      <w:tr w14:paraId="65578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02" w:hRule="atLeast"/>
        </w:trPr>
        <w:tc>
          <w:tcPr>
            <w:tcW w:w="9332" w:type="dxa"/>
            <w:noWrap w:val="0"/>
            <w:vAlign w:val="top"/>
          </w:tcPr>
          <w:p w14:paraId="6DA31E30">
            <w:pPr>
              <w:pStyle w:val="40"/>
              <w:wordWrap w:val="0"/>
              <w:adjustRightInd w:val="0"/>
              <w:snapToGrid w:val="0"/>
              <w:spacing w:before="150" w:beforeAutospacing="0" w:after="0" w:afterAutospacing="0" w:line="360" w:lineRule="auto"/>
              <w:ind w:firstLine="560" w:firstLineChars="200"/>
              <w:jc w:val="both"/>
              <w:rPr>
                <w:rFonts w:hint="eastAsia" w:ascii="华文细黑" w:hAnsi="华文细黑" w:eastAsia="华文细黑" w:cs="华文细黑"/>
                <w:color w:val="auto"/>
                <w:sz w:val="28"/>
                <w:szCs w:val="28"/>
                <w:highlight w:val="none"/>
                <w:lang w:eastAsia="zh-CN"/>
              </w:rPr>
            </w:pPr>
            <w:r>
              <w:rPr>
                <w:rFonts w:hint="eastAsia" w:ascii="华文细黑" w:hAnsi="华文细黑" w:eastAsia="华文细黑" w:cs="华文细黑"/>
                <w:color w:val="auto"/>
                <w:sz w:val="28"/>
                <w:szCs w:val="28"/>
                <w:highlight w:val="none"/>
              </w:rPr>
              <w:t>项目概况</w:t>
            </w:r>
            <w:r>
              <w:rPr>
                <w:rFonts w:hint="eastAsia" w:ascii="华文细黑" w:hAnsi="华文细黑" w:eastAsia="华文细黑" w:cs="华文细黑"/>
                <w:color w:val="auto"/>
                <w:sz w:val="28"/>
                <w:szCs w:val="28"/>
                <w:highlight w:val="none"/>
                <w:lang w:eastAsia="zh-CN"/>
              </w:rPr>
              <w:t>：</w:t>
            </w:r>
          </w:p>
          <w:p w14:paraId="675C794C">
            <w:pPr>
              <w:snapToGrid w:val="0"/>
              <w:ind w:firstLine="560" w:firstLineChars="200"/>
              <w:jc w:val="left"/>
              <w:rPr>
                <w:rFonts w:hint="eastAsia" w:ascii="华文细黑" w:hAnsi="华文细黑" w:eastAsia="华文细黑" w:cs="华文细黑"/>
                <w:color w:val="auto"/>
                <w:sz w:val="28"/>
                <w:szCs w:val="28"/>
                <w:highlight w:val="none"/>
              </w:rPr>
            </w:pPr>
            <w:r>
              <w:rPr>
                <w:rFonts w:hint="eastAsia" w:asciiTheme="minorEastAsia" w:hAnsiTheme="minorEastAsia" w:eastAsiaTheme="minorEastAsia" w:cstheme="minorEastAsia"/>
                <w:color w:val="333333"/>
                <w:spacing w:val="0"/>
                <w:kern w:val="0"/>
                <w:sz w:val="28"/>
                <w:szCs w:val="28"/>
                <w:highlight w:val="none"/>
                <w:lang w:val="en-US" w:eastAsia="zh-CN" w:bidi="ar-SA"/>
              </w:rPr>
              <w:t>磐石市政务服务中心其他社会服务和食堂后勤服务项目的潜在供应商应在政采云平台https://www.zcygov.cn/获取招标文件，并于2026年6月16日9时30分（北京时间）前提交招标文件。</w:t>
            </w:r>
          </w:p>
        </w:tc>
      </w:tr>
    </w:tbl>
    <w:p w14:paraId="70D1F0C6">
      <w:pPr>
        <w:pStyle w:val="4"/>
        <w:keepNext w:val="0"/>
        <w:keepLines w:val="0"/>
        <w:pageBreakBefore w:val="0"/>
        <w:widowControl/>
        <w:kinsoku/>
        <w:wordWrap/>
        <w:overflowPunct/>
        <w:topLinePunct w:val="0"/>
        <w:autoSpaceDE/>
        <w:autoSpaceDN/>
        <w:bidi w:val="0"/>
        <w:adjustRightInd w:val="0"/>
        <w:snapToGrid w:val="0"/>
        <w:spacing w:before="150" w:after="0" w:line="480" w:lineRule="exact"/>
        <w:ind w:firstLine="560" w:firstLineChars="200"/>
        <w:textAlignment w:val="auto"/>
        <w:rPr>
          <w:rFonts w:hint="eastAsia" w:asciiTheme="minorEastAsia" w:hAnsiTheme="minorEastAsia" w:eastAsiaTheme="minorEastAsia" w:cstheme="minorEastAsia"/>
          <w:b w:val="0"/>
          <w:bCs w:val="0"/>
          <w:color w:val="333333"/>
          <w:spacing w:val="0"/>
          <w:kern w:val="0"/>
          <w:sz w:val="28"/>
          <w:szCs w:val="28"/>
          <w:highlight w:val="none"/>
          <w:lang w:val="en-US" w:eastAsia="zh-CN" w:bidi="ar-SA"/>
        </w:rPr>
      </w:pPr>
      <w:r>
        <w:rPr>
          <w:rFonts w:hint="eastAsia" w:ascii="华文细黑" w:hAnsi="华文细黑" w:eastAsia="华文细黑" w:cs="华文细黑"/>
          <w:color w:val="auto"/>
          <w:sz w:val="28"/>
          <w:szCs w:val="28"/>
          <w:highlight w:val="none"/>
        </w:rPr>
        <w:t>一、项目基本情况</w:t>
      </w:r>
    </w:p>
    <w:p w14:paraId="7B1E2B31">
      <w:pPr>
        <w:keepNext w:val="0"/>
        <w:keepLines w:val="0"/>
        <w:pageBreakBefore w:val="0"/>
        <w:kinsoku/>
        <w:wordWrap/>
        <w:overflowPunct/>
        <w:topLinePunct w:val="0"/>
        <w:autoSpaceDE/>
        <w:autoSpaceDN/>
        <w:bidi w:val="0"/>
        <w:spacing w:before="0" w:line="480" w:lineRule="exact"/>
        <w:ind w:right="22" w:firstLine="560" w:firstLineChars="200"/>
        <w:jc w:val="both"/>
        <w:textAlignment w:val="auto"/>
        <w:rPr>
          <w:rFonts w:hint="eastAsia" w:asciiTheme="minorEastAsia" w:hAnsiTheme="minorEastAsia" w:eastAsiaTheme="minorEastAsia" w:cstheme="minorEastAsia"/>
          <w:color w:val="333333"/>
          <w:spacing w:val="0"/>
          <w:kern w:val="0"/>
          <w:sz w:val="28"/>
          <w:szCs w:val="28"/>
          <w:highlight w:val="none"/>
          <w:lang w:val="en-US" w:eastAsia="zh-CN" w:bidi="ar-SA"/>
        </w:rPr>
      </w:pPr>
      <w:r>
        <w:rPr>
          <w:rFonts w:hint="eastAsia" w:asciiTheme="minorEastAsia" w:hAnsiTheme="minorEastAsia" w:eastAsiaTheme="minorEastAsia" w:cstheme="minorEastAsia"/>
          <w:b w:val="0"/>
          <w:bCs w:val="0"/>
          <w:color w:val="333333"/>
          <w:spacing w:val="0"/>
          <w:kern w:val="0"/>
          <w:sz w:val="28"/>
          <w:szCs w:val="28"/>
          <w:highlight w:val="none"/>
          <w:lang w:val="en-US" w:eastAsia="zh-CN" w:bidi="ar-SA"/>
        </w:rPr>
        <w:t>1、项目编号：</w:t>
      </w:r>
      <w:r>
        <w:rPr>
          <w:rFonts w:hint="eastAsia" w:asciiTheme="minorEastAsia" w:hAnsiTheme="minorEastAsia" w:eastAsiaTheme="minorEastAsia" w:cstheme="minorEastAsia"/>
          <w:b w:val="0"/>
          <w:bCs w:val="0"/>
          <w:color w:val="333333"/>
          <w:spacing w:val="0"/>
          <w:kern w:val="0"/>
          <w:sz w:val="28"/>
          <w:szCs w:val="28"/>
          <w:highlight w:val="none"/>
          <w:lang w:val="en-US" w:eastAsia="zh-CN" w:bidi="ar-SA"/>
        </w:rPr>
        <w:fldChar w:fldCharType="begin"/>
      </w:r>
      <w:r>
        <w:rPr>
          <w:rFonts w:hint="eastAsia" w:asciiTheme="minorEastAsia" w:hAnsiTheme="minorEastAsia" w:eastAsiaTheme="minorEastAsia" w:cstheme="minorEastAsia"/>
          <w:b w:val="0"/>
          <w:bCs w:val="0"/>
          <w:color w:val="333333"/>
          <w:spacing w:val="0"/>
          <w:kern w:val="0"/>
          <w:sz w:val="28"/>
          <w:szCs w:val="28"/>
          <w:highlight w:val="none"/>
          <w:lang w:val="en-US" w:eastAsia="zh-CN" w:bidi="ar-SA"/>
        </w:rPr>
        <w:instrText xml:space="preserve"> HYPERLINK "https://pay.zcygov.cn/purchaseplan_front/" \l "/plan/list/view?id=1000000000017280449&amp;_app_=zcy.procurement" \t "https://www.zcygov.cn/delegation-order/_procurement_/order/orderInfo/detail/_blank" </w:instrText>
      </w:r>
      <w:r>
        <w:rPr>
          <w:rFonts w:hint="eastAsia" w:asciiTheme="minorEastAsia" w:hAnsiTheme="minorEastAsia" w:eastAsiaTheme="minorEastAsia" w:cstheme="minorEastAsia"/>
          <w:b w:val="0"/>
          <w:bCs w:val="0"/>
          <w:color w:val="333333"/>
          <w:spacing w:val="0"/>
          <w:kern w:val="0"/>
          <w:sz w:val="28"/>
          <w:szCs w:val="28"/>
          <w:highlight w:val="none"/>
          <w:lang w:val="en-US" w:eastAsia="zh-CN" w:bidi="ar-SA"/>
        </w:rPr>
        <w:fldChar w:fldCharType="separate"/>
      </w:r>
      <w:r>
        <w:rPr>
          <w:rFonts w:hint="eastAsia" w:asciiTheme="minorEastAsia" w:hAnsiTheme="minorEastAsia" w:eastAsiaTheme="minorEastAsia" w:cstheme="minorEastAsia"/>
          <w:b w:val="0"/>
          <w:bCs w:val="0"/>
          <w:color w:val="333333"/>
          <w:spacing w:val="0"/>
          <w:kern w:val="0"/>
          <w:sz w:val="28"/>
          <w:szCs w:val="28"/>
          <w:highlight w:val="none"/>
          <w:lang w:val="en-US" w:eastAsia="zh-CN" w:bidi="ar-SA"/>
        </w:rPr>
        <w:t>采购计划-[2026]-00652号-HYCG004</w:t>
      </w:r>
      <w:r>
        <w:rPr>
          <w:rFonts w:hint="eastAsia" w:asciiTheme="minorEastAsia" w:hAnsiTheme="minorEastAsia" w:eastAsiaTheme="minorEastAsia" w:cstheme="minorEastAsia"/>
          <w:b w:val="0"/>
          <w:bCs w:val="0"/>
          <w:color w:val="333333"/>
          <w:spacing w:val="0"/>
          <w:kern w:val="0"/>
          <w:sz w:val="28"/>
          <w:szCs w:val="28"/>
          <w:highlight w:val="none"/>
          <w:lang w:val="en-US" w:eastAsia="zh-CN" w:bidi="ar-SA"/>
        </w:rPr>
        <w:fldChar w:fldCharType="end"/>
      </w:r>
      <w:r>
        <w:rPr>
          <w:rFonts w:hint="eastAsia" w:asciiTheme="minorEastAsia" w:hAnsiTheme="minorEastAsia" w:eastAsiaTheme="minorEastAsia" w:cstheme="minorEastAsia"/>
          <w:color w:val="333333"/>
          <w:spacing w:val="0"/>
          <w:kern w:val="0"/>
          <w:sz w:val="28"/>
          <w:szCs w:val="28"/>
          <w:highlight w:val="none"/>
          <w:lang w:val="en-US" w:eastAsia="zh-CN" w:bidi="ar-SA"/>
        </w:rPr>
        <w:t>；</w:t>
      </w:r>
    </w:p>
    <w:p w14:paraId="2A28FFA4">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Theme="minorEastAsia" w:hAnsiTheme="minorEastAsia" w:eastAsiaTheme="minorEastAsia" w:cstheme="minorEastAsia"/>
          <w:color w:val="333333"/>
          <w:spacing w:val="0"/>
          <w:kern w:val="0"/>
          <w:sz w:val="28"/>
          <w:szCs w:val="28"/>
          <w:highlight w:val="none"/>
          <w:lang w:val="en-US" w:eastAsia="zh-CN" w:bidi="ar-SA"/>
        </w:rPr>
      </w:pPr>
      <w:r>
        <w:rPr>
          <w:rFonts w:hint="eastAsia" w:asciiTheme="minorEastAsia" w:hAnsiTheme="minorEastAsia" w:eastAsiaTheme="minorEastAsia" w:cstheme="minorEastAsia"/>
          <w:color w:val="333333"/>
          <w:spacing w:val="0"/>
          <w:kern w:val="0"/>
          <w:sz w:val="28"/>
          <w:szCs w:val="28"/>
          <w:highlight w:val="none"/>
          <w:lang w:val="en-US" w:eastAsia="zh-CN" w:bidi="ar-SA"/>
        </w:rPr>
        <w:t>2、项目名称：磐石市政务服务中心其他社会服务和食堂后勤服务项目；</w:t>
      </w:r>
    </w:p>
    <w:p w14:paraId="46542D08">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Theme="minorEastAsia" w:hAnsiTheme="minorEastAsia" w:eastAsiaTheme="minorEastAsia" w:cstheme="minorEastAsia"/>
          <w:color w:val="333333"/>
          <w:spacing w:val="0"/>
          <w:kern w:val="0"/>
          <w:sz w:val="28"/>
          <w:szCs w:val="28"/>
          <w:highlight w:val="none"/>
          <w:lang w:val="en-US" w:eastAsia="zh-CN" w:bidi="ar-SA"/>
        </w:rPr>
      </w:pPr>
      <w:r>
        <w:rPr>
          <w:rFonts w:hint="eastAsia" w:asciiTheme="minorEastAsia" w:hAnsiTheme="minorEastAsia" w:eastAsiaTheme="minorEastAsia" w:cstheme="minorEastAsia"/>
          <w:color w:val="333333"/>
          <w:spacing w:val="0"/>
          <w:kern w:val="0"/>
          <w:sz w:val="28"/>
          <w:szCs w:val="28"/>
          <w:highlight w:val="none"/>
          <w:lang w:val="en-US" w:eastAsia="zh-CN" w:bidi="ar-SA"/>
        </w:rPr>
        <w:t>3、预算金额：2865700元（人民币）；</w:t>
      </w:r>
    </w:p>
    <w:p w14:paraId="3620989D">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Theme="minorEastAsia" w:hAnsiTheme="minorEastAsia" w:eastAsiaTheme="minorEastAsia" w:cstheme="minorEastAsia"/>
          <w:color w:val="333333"/>
          <w:spacing w:val="0"/>
          <w:kern w:val="0"/>
          <w:sz w:val="28"/>
          <w:szCs w:val="28"/>
          <w:highlight w:val="none"/>
          <w:lang w:val="en-US" w:eastAsia="zh-CN" w:bidi="ar-SA"/>
        </w:rPr>
      </w:pPr>
      <w:r>
        <w:rPr>
          <w:rFonts w:hint="eastAsia" w:asciiTheme="minorEastAsia" w:hAnsiTheme="minorEastAsia" w:eastAsiaTheme="minorEastAsia" w:cstheme="minorEastAsia"/>
          <w:color w:val="333333"/>
          <w:spacing w:val="0"/>
          <w:kern w:val="0"/>
          <w:sz w:val="28"/>
          <w:szCs w:val="28"/>
          <w:highlight w:val="none"/>
          <w:lang w:val="en-US" w:eastAsia="zh-CN" w:bidi="ar-SA"/>
        </w:rPr>
        <w:t>4、最高限价：2865700元（人民币）；</w:t>
      </w:r>
    </w:p>
    <w:p w14:paraId="4F52AED5">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Theme="minorEastAsia" w:hAnsiTheme="minorEastAsia" w:eastAsiaTheme="minorEastAsia" w:cstheme="minorEastAsia"/>
          <w:color w:val="333333"/>
          <w:spacing w:val="0"/>
          <w:kern w:val="0"/>
          <w:sz w:val="28"/>
          <w:szCs w:val="28"/>
          <w:highlight w:val="none"/>
          <w:lang w:val="en-US" w:eastAsia="zh-CN" w:bidi="ar-SA"/>
        </w:rPr>
      </w:pPr>
      <w:r>
        <w:rPr>
          <w:rFonts w:hint="eastAsia" w:asciiTheme="minorEastAsia" w:hAnsiTheme="minorEastAsia" w:eastAsiaTheme="minorEastAsia" w:cstheme="minorEastAsia"/>
          <w:color w:val="333333"/>
          <w:spacing w:val="0"/>
          <w:kern w:val="0"/>
          <w:sz w:val="28"/>
          <w:szCs w:val="28"/>
          <w:highlight w:val="none"/>
          <w:lang w:val="en-US" w:eastAsia="zh-CN" w:bidi="ar-SA"/>
        </w:rPr>
        <w:t>5、资金来源和落实情况：财政资金；</w:t>
      </w:r>
    </w:p>
    <w:p w14:paraId="42C240C0">
      <w:pPr>
        <w:keepNext w:val="0"/>
        <w:keepLines w:val="0"/>
        <w:pageBreakBefore w:val="0"/>
        <w:kinsoku/>
        <w:wordWrap/>
        <w:overflowPunct/>
        <w:topLinePunct w:val="0"/>
        <w:autoSpaceDE/>
        <w:autoSpaceDN/>
        <w:bidi w:val="0"/>
        <w:spacing w:line="480" w:lineRule="exact"/>
        <w:ind w:left="559" w:leftChars="266" w:firstLine="0" w:firstLineChars="0"/>
        <w:textAlignment w:val="auto"/>
        <w:rPr>
          <w:rFonts w:hint="eastAsia" w:asciiTheme="minorEastAsia" w:hAnsiTheme="minorEastAsia" w:eastAsiaTheme="minorEastAsia" w:cstheme="minorEastAsia"/>
          <w:color w:val="333333"/>
          <w:spacing w:val="0"/>
          <w:kern w:val="0"/>
          <w:sz w:val="28"/>
          <w:szCs w:val="28"/>
          <w:highlight w:val="none"/>
          <w:lang w:val="en-US" w:eastAsia="zh-CN" w:bidi="ar-SA"/>
        </w:rPr>
      </w:pPr>
      <w:r>
        <w:rPr>
          <w:rFonts w:hint="eastAsia" w:asciiTheme="minorEastAsia" w:hAnsiTheme="minorEastAsia" w:eastAsiaTheme="minorEastAsia" w:cstheme="minorEastAsia"/>
          <w:color w:val="333333"/>
          <w:spacing w:val="0"/>
          <w:kern w:val="0"/>
          <w:sz w:val="28"/>
          <w:szCs w:val="28"/>
          <w:highlight w:val="none"/>
          <w:lang w:val="en-US" w:eastAsia="zh-CN" w:bidi="ar-SA"/>
        </w:rPr>
        <w:t>6、采购需求：磐石市政务服务中心其他社会服务和食堂后勤服务项目（具体详见招标文件）；</w:t>
      </w:r>
    </w:p>
    <w:p w14:paraId="2CAA1A2C">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Theme="minorEastAsia" w:hAnsiTheme="minorEastAsia" w:eastAsiaTheme="minorEastAsia" w:cstheme="minorEastAsia"/>
          <w:color w:val="333333"/>
          <w:spacing w:val="0"/>
          <w:kern w:val="0"/>
          <w:sz w:val="28"/>
          <w:szCs w:val="28"/>
          <w:highlight w:val="none"/>
          <w:lang w:val="en-US" w:eastAsia="zh-CN" w:bidi="ar-SA"/>
        </w:rPr>
      </w:pPr>
      <w:r>
        <w:rPr>
          <w:rFonts w:hint="eastAsia" w:asciiTheme="minorEastAsia" w:hAnsiTheme="minorEastAsia" w:eastAsiaTheme="minorEastAsia" w:cstheme="minorEastAsia"/>
          <w:color w:val="333333"/>
          <w:spacing w:val="0"/>
          <w:kern w:val="0"/>
          <w:sz w:val="28"/>
          <w:szCs w:val="28"/>
          <w:highlight w:val="none"/>
          <w:lang w:val="en-US" w:eastAsia="zh-CN" w:bidi="ar-SA"/>
        </w:rPr>
        <w:t>7、服务标准：符合现行国家以及省、市或行业的标准规范；</w:t>
      </w:r>
    </w:p>
    <w:p w14:paraId="122EFED2">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Theme="minorEastAsia" w:hAnsiTheme="minorEastAsia" w:eastAsiaTheme="minorEastAsia" w:cstheme="minorEastAsia"/>
          <w:color w:val="333333"/>
          <w:spacing w:val="0"/>
          <w:kern w:val="0"/>
          <w:sz w:val="28"/>
          <w:szCs w:val="28"/>
          <w:highlight w:val="none"/>
          <w:lang w:val="en-US" w:eastAsia="zh-CN" w:bidi="ar-SA"/>
        </w:rPr>
      </w:pPr>
      <w:r>
        <w:rPr>
          <w:rFonts w:hint="eastAsia" w:asciiTheme="minorEastAsia" w:hAnsiTheme="minorEastAsia" w:eastAsiaTheme="minorEastAsia" w:cstheme="minorEastAsia"/>
          <w:color w:val="333333"/>
          <w:spacing w:val="0"/>
          <w:kern w:val="0"/>
          <w:sz w:val="28"/>
          <w:szCs w:val="28"/>
          <w:highlight w:val="none"/>
          <w:lang w:val="en-US" w:eastAsia="zh-CN" w:bidi="ar-SA"/>
        </w:rPr>
        <w:t>8、服务期限：一年；</w:t>
      </w:r>
    </w:p>
    <w:p w14:paraId="3BE8FF53">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Theme="minorEastAsia" w:hAnsiTheme="minorEastAsia" w:eastAsiaTheme="minorEastAsia" w:cstheme="minorEastAsia"/>
          <w:color w:val="333333"/>
          <w:spacing w:val="0"/>
          <w:kern w:val="0"/>
          <w:sz w:val="28"/>
          <w:szCs w:val="28"/>
          <w:highlight w:val="none"/>
          <w:lang w:val="en-US" w:eastAsia="zh-CN" w:bidi="ar-SA"/>
        </w:rPr>
      </w:pPr>
      <w:r>
        <w:rPr>
          <w:rFonts w:hint="eastAsia" w:asciiTheme="minorEastAsia" w:hAnsiTheme="minorEastAsia" w:eastAsiaTheme="minorEastAsia" w:cstheme="minorEastAsia"/>
          <w:color w:val="333333"/>
          <w:spacing w:val="0"/>
          <w:kern w:val="0"/>
          <w:sz w:val="28"/>
          <w:szCs w:val="28"/>
          <w:highlight w:val="none"/>
          <w:lang w:val="en-US" w:eastAsia="zh-CN" w:bidi="ar-SA"/>
        </w:rPr>
        <w:t>9、合同履行期限：自合同签订之日起至合同履行完毕；</w:t>
      </w:r>
    </w:p>
    <w:p w14:paraId="220754E9">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Theme="minorEastAsia" w:hAnsiTheme="minorEastAsia" w:eastAsiaTheme="minorEastAsia" w:cstheme="minorEastAsia"/>
          <w:color w:val="333333"/>
          <w:spacing w:val="0"/>
          <w:kern w:val="0"/>
          <w:sz w:val="28"/>
          <w:szCs w:val="28"/>
          <w:highlight w:val="none"/>
          <w:lang w:val="en-US" w:eastAsia="zh-CN" w:bidi="ar-SA"/>
        </w:rPr>
      </w:pPr>
      <w:r>
        <w:rPr>
          <w:rFonts w:hint="eastAsia" w:asciiTheme="minorEastAsia" w:hAnsiTheme="minorEastAsia" w:eastAsiaTheme="minorEastAsia" w:cstheme="minorEastAsia"/>
          <w:color w:val="333333"/>
          <w:spacing w:val="0"/>
          <w:kern w:val="0"/>
          <w:sz w:val="28"/>
          <w:szCs w:val="28"/>
          <w:highlight w:val="none"/>
          <w:lang w:val="en-US" w:eastAsia="zh-CN" w:bidi="ar-SA"/>
        </w:rPr>
        <w:t>10、采购方式：公开招标；</w:t>
      </w:r>
    </w:p>
    <w:p w14:paraId="00CFF70E">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Theme="minorEastAsia" w:hAnsiTheme="minorEastAsia" w:eastAsiaTheme="minorEastAsia" w:cstheme="minorEastAsia"/>
          <w:color w:val="333333"/>
          <w:spacing w:val="0"/>
          <w:kern w:val="0"/>
          <w:sz w:val="28"/>
          <w:szCs w:val="28"/>
          <w:highlight w:val="none"/>
          <w:lang w:val="en-US" w:eastAsia="zh-CN" w:bidi="ar-SA"/>
        </w:rPr>
      </w:pPr>
      <w:r>
        <w:rPr>
          <w:rFonts w:hint="eastAsia" w:asciiTheme="minorEastAsia" w:hAnsiTheme="minorEastAsia" w:eastAsiaTheme="minorEastAsia" w:cstheme="minorEastAsia"/>
          <w:color w:val="333333"/>
          <w:spacing w:val="0"/>
          <w:kern w:val="0"/>
          <w:sz w:val="28"/>
          <w:szCs w:val="28"/>
          <w:highlight w:val="none"/>
          <w:lang w:val="en-US" w:eastAsia="zh-CN" w:bidi="ar-SA"/>
        </w:rPr>
        <w:t>11、资格审查方式：资格后审；</w:t>
      </w:r>
    </w:p>
    <w:p w14:paraId="227206AF">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Theme="minorEastAsia" w:hAnsiTheme="minorEastAsia" w:eastAsiaTheme="minorEastAsia" w:cstheme="minorEastAsia"/>
          <w:color w:val="333333"/>
          <w:spacing w:val="0"/>
          <w:kern w:val="0"/>
          <w:sz w:val="28"/>
          <w:szCs w:val="28"/>
          <w:highlight w:val="none"/>
          <w:lang w:val="en-US" w:eastAsia="zh-CN" w:bidi="ar-SA"/>
        </w:rPr>
      </w:pPr>
      <w:r>
        <w:rPr>
          <w:rFonts w:hint="eastAsia" w:asciiTheme="minorEastAsia" w:hAnsiTheme="minorEastAsia" w:eastAsiaTheme="minorEastAsia" w:cstheme="minorEastAsia"/>
          <w:color w:val="333333"/>
          <w:spacing w:val="0"/>
          <w:kern w:val="0"/>
          <w:sz w:val="28"/>
          <w:szCs w:val="28"/>
          <w:highlight w:val="none"/>
          <w:lang w:val="en-US" w:eastAsia="zh-CN" w:bidi="ar-SA"/>
        </w:rPr>
        <w:t>12、本项目不接受联合体。</w:t>
      </w:r>
    </w:p>
    <w:p w14:paraId="582BAC3F">
      <w:pPr>
        <w:pStyle w:val="4"/>
        <w:keepNext w:val="0"/>
        <w:keepLines w:val="0"/>
        <w:pageBreakBefore w:val="0"/>
        <w:widowControl/>
        <w:kinsoku/>
        <w:wordWrap/>
        <w:overflowPunct/>
        <w:topLinePunct w:val="0"/>
        <w:autoSpaceDE/>
        <w:autoSpaceDN/>
        <w:bidi w:val="0"/>
        <w:adjustRightInd w:val="0"/>
        <w:snapToGrid w:val="0"/>
        <w:spacing w:before="150" w:after="0" w:line="480" w:lineRule="exact"/>
        <w:ind w:firstLine="560" w:firstLineChars="200"/>
        <w:textAlignment w:val="auto"/>
        <w:rPr>
          <w:rFonts w:hint="eastAsia" w:ascii="华文细黑" w:hAnsi="华文细黑" w:eastAsia="华文细黑" w:cs="华文细黑"/>
          <w:sz w:val="28"/>
          <w:szCs w:val="28"/>
          <w:highlight w:val="none"/>
        </w:rPr>
      </w:pPr>
      <w:r>
        <w:rPr>
          <w:rFonts w:hint="eastAsia" w:ascii="华文细黑" w:hAnsi="华文细黑" w:eastAsia="华文细黑" w:cs="华文细黑"/>
          <w:color w:val="auto"/>
          <w:sz w:val="28"/>
          <w:szCs w:val="28"/>
          <w:highlight w:val="none"/>
        </w:rPr>
        <w:t>二、申请人的资格要求</w:t>
      </w:r>
    </w:p>
    <w:p w14:paraId="5C150C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643" w:firstLineChars="200"/>
        <w:jc w:val="both"/>
        <w:textAlignment w:val="auto"/>
        <w:rPr>
          <w:rFonts w:hint="eastAsia" w:ascii="宋体" w:hAnsi="宋体" w:eastAsia="宋体" w:cs="宋体"/>
          <w:b/>
          <w:bCs/>
          <w:color w:val="auto"/>
          <w:kern w:val="2"/>
          <w:sz w:val="32"/>
          <w:szCs w:val="32"/>
          <w:highlight w:val="none"/>
          <w:lang w:val="en-US" w:eastAsia="zh-CN"/>
        </w:rPr>
      </w:pPr>
      <w:r>
        <w:rPr>
          <w:rFonts w:hint="eastAsia" w:ascii="宋体" w:hAnsi="宋体" w:eastAsia="宋体" w:cs="宋体"/>
          <w:b/>
          <w:bCs/>
          <w:color w:val="auto"/>
          <w:kern w:val="2"/>
          <w:sz w:val="32"/>
          <w:szCs w:val="32"/>
          <w:highlight w:val="none"/>
          <w:lang w:val="en-US" w:eastAsia="zh-CN"/>
        </w:rPr>
        <w:t>1、满足《中华人民共和国政府采购法》第二十二条规定：</w:t>
      </w:r>
    </w:p>
    <w:p w14:paraId="41854A1C">
      <w:pPr>
        <w:keepNext w:val="0"/>
        <w:keepLines w:val="0"/>
        <w:pageBreakBefore w:val="0"/>
        <w:kinsoku/>
        <w:wordWrap/>
        <w:overflowPunct/>
        <w:topLinePunct w:val="0"/>
        <w:autoSpaceDE/>
        <w:autoSpaceDN/>
        <w:bidi w:val="0"/>
        <w:spacing w:before="0" w:line="480" w:lineRule="exact"/>
        <w:ind w:right="22" w:firstLine="560" w:firstLineChars="200"/>
        <w:jc w:val="both"/>
        <w:textAlignment w:val="auto"/>
        <w:rPr>
          <w:rFonts w:hint="eastAsia" w:asciiTheme="minorEastAsia" w:hAnsiTheme="minorEastAsia" w:eastAsiaTheme="minorEastAsia" w:cstheme="minorEastAsia"/>
          <w:color w:val="333333"/>
          <w:spacing w:val="0"/>
          <w:kern w:val="0"/>
          <w:sz w:val="28"/>
          <w:szCs w:val="28"/>
          <w:highlight w:val="none"/>
          <w:lang w:val="en-US" w:eastAsia="zh-CN" w:bidi="ar-SA"/>
        </w:rPr>
      </w:pPr>
      <w:r>
        <w:rPr>
          <w:rFonts w:hint="eastAsia" w:asciiTheme="minorEastAsia" w:hAnsiTheme="minorEastAsia" w:eastAsiaTheme="minorEastAsia" w:cstheme="minorEastAsia"/>
          <w:color w:val="333333"/>
          <w:spacing w:val="0"/>
          <w:kern w:val="0"/>
          <w:sz w:val="28"/>
          <w:szCs w:val="28"/>
          <w:highlight w:val="none"/>
          <w:lang w:val="en-US" w:eastAsia="zh-CN" w:bidi="ar-SA"/>
        </w:rPr>
        <w:t>(1)具有独立承担民事责任的能力；</w:t>
      </w:r>
    </w:p>
    <w:p w14:paraId="3542D27A">
      <w:pPr>
        <w:keepNext w:val="0"/>
        <w:keepLines w:val="0"/>
        <w:pageBreakBefore w:val="0"/>
        <w:kinsoku/>
        <w:wordWrap/>
        <w:overflowPunct/>
        <w:topLinePunct w:val="0"/>
        <w:autoSpaceDE/>
        <w:autoSpaceDN/>
        <w:bidi w:val="0"/>
        <w:spacing w:before="0" w:line="480" w:lineRule="exact"/>
        <w:ind w:right="22" w:firstLine="560" w:firstLineChars="200"/>
        <w:jc w:val="both"/>
        <w:textAlignment w:val="auto"/>
        <w:rPr>
          <w:rFonts w:hint="eastAsia" w:asciiTheme="minorEastAsia" w:hAnsiTheme="minorEastAsia" w:eastAsiaTheme="minorEastAsia" w:cstheme="minorEastAsia"/>
          <w:color w:val="333333"/>
          <w:spacing w:val="0"/>
          <w:kern w:val="0"/>
          <w:sz w:val="28"/>
          <w:szCs w:val="28"/>
          <w:highlight w:val="none"/>
          <w:lang w:val="en-US" w:eastAsia="zh-CN" w:bidi="ar-SA"/>
        </w:rPr>
      </w:pPr>
      <w:r>
        <w:rPr>
          <w:rFonts w:hint="eastAsia" w:asciiTheme="minorEastAsia" w:hAnsiTheme="minorEastAsia" w:eastAsiaTheme="minorEastAsia" w:cstheme="minorEastAsia"/>
          <w:color w:val="333333"/>
          <w:spacing w:val="0"/>
          <w:kern w:val="0"/>
          <w:sz w:val="28"/>
          <w:szCs w:val="28"/>
          <w:highlight w:val="none"/>
          <w:lang w:val="en-US" w:eastAsia="zh-CN" w:bidi="ar-SA"/>
        </w:rPr>
        <w:t>(2)具有良好的商业信誉和健全的财务会计制度；</w:t>
      </w:r>
    </w:p>
    <w:p w14:paraId="00392D01">
      <w:pPr>
        <w:keepNext w:val="0"/>
        <w:keepLines w:val="0"/>
        <w:pageBreakBefore w:val="0"/>
        <w:kinsoku/>
        <w:wordWrap/>
        <w:overflowPunct/>
        <w:topLinePunct w:val="0"/>
        <w:autoSpaceDE/>
        <w:autoSpaceDN/>
        <w:bidi w:val="0"/>
        <w:spacing w:before="0" w:line="480" w:lineRule="exact"/>
        <w:ind w:right="22" w:firstLine="560" w:firstLineChars="200"/>
        <w:jc w:val="both"/>
        <w:textAlignment w:val="auto"/>
        <w:rPr>
          <w:rFonts w:hint="eastAsia" w:asciiTheme="minorEastAsia" w:hAnsiTheme="minorEastAsia" w:eastAsiaTheme="minorEastAsia" w:cstheme="minorEastAsia"/>
          <w:color w:val="333333"/>
          <w:spacing w:val="0"/>
          <w:kern w:val="0"/>
          <w:sz w:val="28"/>
          <w:szCs w:val="28"/>
          <w:highlight w:val="none"/>
          <w:lang w:val="en-US" w:eastAsia="zh-CN" w:bidi="ar-SA"/>
        </w:rPr>
      </w:pPr>
      <w:r>
        <w:rPr>
          <w:rFonts w:hint="eastAsia" w:asciiTheme="minorEastAsia" w:hAnsiTheme="minorEastAsia" w:eastAsiaTheme="minorEastAsia" w:cstheme="minorEastAsia"/>
          <w:color w:val="333333"/>
          <w:spacing w:val="0"/>
          <w:kern w:val="0"/>
          <w:sz w:val="28"/>
          <w:szCs w:val="28"/>
          <w:highlight w:val="none"/>
          <w:lang w:val="en-US" w:eastAsia="zh-CN" w:bidi="ar-SA"/>
        </w:rPr>
        <w:t>(3)具有履行合同所必需的设备和专业技术能力；</w:t>
      </w:r>
    </w:p>
    <w:p w14:paraId="0B2766A7">
      <w:pPr>
        <w:keepNext w:val="0"/>
        <w:keepLines w:val="0"/>
        <w:pageBreakBefore w:val="0"/>
        <w:kinsoku/>
        <w:wordWrap/>
        <w:overflowPunct/>
        <w:topLinePunct w:val="0"/>
        <w:autoSpaceDE/>
        <w:autoSpaceDN/>
        <w:bidi w:val="0"/>
        <w:spacing w:before="0" w:line="480" w:lineRule="exact"/>
        <w:ind w:right="22" w:firstLine="560" w:firstLineChars="200"/>
        <w:jc w:val="both"/>
        <w:textAlignment w:val="auto"/>
        <w:rPr>
          <w:rFonts w:hint="eastAsia" w:asciiTheme="minorEastAsia" w:hAnsiTheme="minorEastAsia" w:eastAsiaTheme="minorEastAsia" w:cstheme="minorEastAsia"/>
          <w:color w:val="333333"/>
          <w:spacing w:val="0"/>
          <w:kern w:val="0"/>
          <w:sz w:val="28"/>
          <w:szCs w:val="28"/>
          <w:highlight w:val="none"/>
          <w:lang w:val="en-US" w:eastAsia="zh-CN" w:bidi="ar-SA"/>
        </w:rPr>
      </w:pPr>
      <w:r>
        <w:rPr>
          <w:rFonts w:hint="eastAsia" w:asciiTheme="minorEastAsia" w:hAnsiTheme="minorEastAsia" w:eastAsiaTheme="minorEastAsia" w:cstheme="minorEastAsia"/>
          <w:color w:val="333333"/>
          <w:spacing w:val="0"/>
          <w:kern w:val="0"/>
          <w:sz w:val="28"/>
          <w:szCs w:val="28"/>
          <w:highlight w:val="none"/>
          <w:lang w:val="en-US" w:eastAsia="zh-CN" w:bidi="ar-SA"/>
        </w:rPr>
        <w:t>(4)有依法缴纳税收和社会保障资金的良好记录；</w:t>
      </w:r>
    </w:p>
    <w:p w14:paraId="6C9C544A">
      <w:pPr>
        <w:keepNext w:val="0"/>
        <w:keepLines w:val="0"/>
        <w:pageBreakBefore w:val="0"/>
        <w:kinsoku/>
        <w:wordWrap/>
        <w:overflowPunct/>
        <w:topLinePunct w:val="0"/>
        <w:autoSpaceDE/>
        <w:autoSpaceDN/>
        <w:bidi w:val="0"/>
        <w:spacing w:before="0" w:line="480" w:lineRule="exact"/>
        <w:ind w:right="22" w:firstLine="560" w:firstLineChars="200"/>
        <w:jc w:val="both"/>
        <w:textAlignment w:val="auto"/>
        <w:rPr>
          <w:rFonts w:hint="eastAsia" w:asciiTheme="minorEastAsia" w:hAnsiTheme="minorEastAsia" w:eastAsiaTheme="minorEastAsia" w:cstheme="minorEastAsia"/>
          <w:color w:val="333333"/>
          <w:spacing w:val="0"/>
          <w:kern w:val="0"/>
          <w:sz w:val="28"/>
          <w:szCs w:val="28"/>
          <w:highlight w:val="none"/>
          <w:lang w:val="en-US" w:eastAsia="zh-CN" w:bidi="ar-SA"/>
        </w:rPr>
      </w:pPr>
      <w:r>
        <w:rPr>
          <w:rFonts w:hint="eastAsia" w:asciiTheme="minorEastAsia" w:hAnsiTheme="minorEastAsia" w:eastAsiaTheme="minorEastAsia" w:cstheme="minorEastAsia"/>
          <w:color w:val="333333"/>
          <w:spacing w:val="0"/>
          <w:kern w:val="0"/>
          <w:sz w:val="28"/>
          <w:szCs w:val="28"/>
          <w:highlight w:val="none"/>
          <w:lang w:val="en-US" w:eastAsia="zh-CN" w:bidi="ar-SA"/>
        </w:rPr>
        <w:t>(5)参加政府采购活动前三年内，在经营活动中没有重大违法记录；</w:t>
      </w:r>
    </w:p>
    <w:p w14:paraId="1F51A0F2">
      <w:pPr>
        <w:keepNext w:val="0"/>
        <w:keepLines w:val="0"/>
        <w:pageBreakBefore w:val="0"/>
        <w:kinsoku/>
        <w:wordWrap/>
        <w:overflowPunct/>
        <w:topLinePunct w:val="0"/>
        <w:autoSpaceDE/>
        <w:autoSpaceDN/>
        <w:bidi w:val="0"/>
        <w:spacing w:before="0" w:line="480" w:lineRule="exact"/>
        <w:ind w:right="22" w:firstLine="560" w:firstLineChars="200"/>
        <w:jc w:val="both"/>
        <w:textAlignment w:val="auto"/>
        <w:rPr>
          <w:rFonts w:hint="eastAsia" w:asciiTheme="minorEastAsia" w:hAnsiTheme="minorEastAsia" w:eastAsiaTheme="minorEastAsia" w:cstheme="minorEastAsia"/>
          <w:color w:val="333333"/>
          <w:spacing w:val="0"/>
          <w:kern w:val="0"/>
          <w:sz w:val="28"/>
          <w:szCs w:val="28"/>
          <w:highlight w:val="none"/>
          <w:lang w:val="en-US" w:eastAsia="zh-CN" w:bidi="ar-SA"/>
        </w:rPr>
      </w:pPr>
      <w:r>
        <w:rPr>
          <w:rFonts w:hint="eastAsia" w:asciiTheme="minorEastAsia" w:hAnsiTheme="minorEastAsia" w:eastAsiaTheme="minorEastAsia" w:cstheme="minorEastAsia"/>
          <w:color w:val="333333"/>
          <w:spacing w:val="0"/>
          <w:kern w:val="0"/>
          <w:sz w:val="28"/>
          <w:szCs w:val="28"/>
          <w:highlight w:val="none"/>
          <w:lang w:val="en-US" w:eastAsia="zh-CN" w:bidi="ar-SA"/>
        </w:rPr>
        <w:t>(6)法律、行政法规规定的其他条件。</w:t>
      </w:r>
    </w:p>
    <w:p w14:paraId="152DE8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643" w:firstLineChars="200"/>
        <w:jc w:val="both"/>
        <w:textAlignment w:val="auto"/>
        <w:rPr>
          <w:rFonts w:hint="eastAsia" w:ascii="宋体" w:hAnsi="宋体" w:eastAsia="宋体" w:cs="宋体"/>
          <w:b/>
          <w:bCs/>
          <w:color w:val="auto"/>
          <w:kern w:val="2"/>
          <w:sz w:val="32"/>
          <w:szCs w:val="32"/>
          <w:highlight w:val="none"/>
          <w:lang w:val="en-US" w:eastAsia="zh-CN"/>
        </w:rPr>
      </w:pPr>
      <w:r>
        <w:rPr>
          <w:rFonts w:hint="eastAsia" w:ascii="宋体" w:hAnsi="宋体" w:eastAsia="宋体" w:cs="宋体"/>
          <w:b/>
          <w:bCs/>
          <w:color w:val="auto"/>
          <w:kern w:val="2"/>
          <w:sz w:val="32"/>
          <w:szCs w:val="32"/>
          <w:highlight w:val="none"/>
          <w:lang w:val="en-US" w:eastAsia="zh-CN"/>
        </w:rPr>
        <w:t xml:space="preserve">2、落实政府采购政策需满足的资格要求： </w:t>
      </w:r>
    </w:p>
    <w:p w14:paraId="02CAA776">
      <w:pPr>
        <w:keepNext w:val="0"/>
        <w:keepLines w:val="0"/>
        <w:pageBreakBefore w:val="0"/>
        <w:kinsoku/>
        <w:wordWrap/>
        <w:overflowPunct/>
        <w:topLinePunct w:val="0"/>
        <w:autoSpaceDE/>
        <w:autoSpaceDN/>
        <w:bidi w:val="0"/>
        <w:snapToGrid w:val="0"/>
        <w:spacing w:line="480" w:lineRule="exact"/>
        <w:ind w:firstLine="560" w:firstLineChars="200"/>
        <w:jc w:val="left"/>
        <w:textAlignment w:val="auto"/>
        <w:rPr>
          <w:rFonts w:hint="eastAsia" w:asciiTheme="minorEastAsia" w:hAnsiTheme="minorEastAsia" w:eastAsiaTheme="minorEastAsia" w:cstheme="minorEastAsia"/>
          <w:color w:val="333333"/>
          <w:spacing w:val="0"/>
          <w:kern w:val="0"/>
          <w:sz w:val="28"/>
          <w:szCs w:val="28"/>
          <w:highlight w:val="none"/>
          <w:lang w:val="en-US" w:eastAsia="zh-CN" w:bidi="ar-SA"/>
        </w:rPr>
      </w:pPr>
      <w:r>
        <w:rPr>
          <w:rFonts w:hint="eastAsia" w:asciiTheme="minorEastAsia" w:hAnsiTheme="minorEastAsia" w:eastAsiaTheme="minorEastAsia" w:cstheme="minorEastAsia"/>
          <w:color w:val="333333"/>
          <w:spacing w:val="0"/>
          <w:kern w:val="0"/>
          <w:sz w:val="28"/>
          <w:szCs w:val="28"/>
          <w:highlight w:val="none"/>
          <w:lang w:val="en-US" w:eastAsia="zh-CN" w:bidi="ar-SA"/>
        </w:rPr>
        <w:t>本项目为专门面向中小企业采购的采购项目（如属于专门面向中小企业采购的项目，供应商应为中小微企业、监狱企业、残疾人福利性单位），采购标的对应的中小企业划分标准所属行业为物业管理。</w:t>
      </w:r>
    </w:p>
    <w:p w14:paraId="68A548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643" w:firstLineChars="200"/>
        <w:jc w:val="both"/>
        <w:textAlignment w:val="auto"/>
        <w:rPr>
          <w:rFonts w:hint="eastAsia" w:asciiTheme="minorEastAsia" w:hAnsiTheme="minorEastAsia" w:eastAsiaTheme="minorEastAsia" w:cstheme="minorEastAsia"/>
          <w:color w:val="333333"/>
          <w:spacing w:val="0"/>
          <w:kern w:val="0"/>
          <w:sz w:val="28"/>
          <w:szCs w:val="28"/>
          <w:highlight w:val="none"/>
          <w:lang w:val="en-US" w:eastAsia="zh-CN" w:bidi="ar-SA"/>
        </w:rPr>
      </w:pPr>
      <w:r>
        <w:rPr>
          <w:rFonts w:hint="eastAsia" w:ascii="宋体" w:hAnsi="宋体" w:eastAsia="宋体" w:cs="宋体"/>
          <w:b/>
          <w:bCs/>
          <w:color w:val="auto"/>
          <w:kern w:val="2"/>
          <w:sz w:val="32"/>
          <w:szCs w:val="32"/>
          <w:highlight w:val="none"/>
          <w:lang w:val="en-US" w:eastAsia="zh-CN"/>
        </w:rPr>
        <w:t>3、本项目的特定资格要求：</w:t>
      </w:r>
      <w:r>
        <w:rPr>
          <w:rFonts w:hint="eastAsia" w:asciiTheme="minorEastAsia" w:hAnsiTheme="minorEastAsia" w:eastAsiaTheme="minorEastAsia" w:cstheme="minorEastAsia"/>
          <w:color w:val="333333"/>
          <w:spacing w:val="0"/>
          <w:kern w:val="0"/>
          <w:sz w:val="28"/>
          <w:szCs w:val="28"/>
          <w:highlight w:val="none"/>
          <w:lang w:val="en-US" w:eastAsia="zh-CN" w:bidi="ar-SA"/>
        </w:rPr>
        <w:t>标项1：无</w:t>
      </w:r>
    </w:p>
    <w:p w14:paraId="0C78A54F">
      <w:pPr>
        <w:keepNext w:val="0"/>
        <w:keepLines w:val="0"/>
        <w:pageBreakBefore w:val="0"/>
        <w:kinsoku/>
        <w:wordWrap/>
        <w:overflowPunct/>
        <w:topLinePunct w:val="0"/>
        <w:autoSpaceDE/>
        <w:autoSpaceDN/>
        <w:bidi w:val="0"/>
        <w:spacing w:line="480" w:lineRule="exact"/>
        <w:textAlignment w:val="auto"/>
        <w:rPr>
          <w:rFonts w:hint="eastAsia" w:ascii="华文细黑" w:hAnsi="华文细黑" w:eastAsia="华文细黑" w:cs="华文细黑"/>
          <w:b w:val="0"/>
          <w:bCs w:val="0"/>
          <w:color w:val="auto"/>
          <w:kern w:val="2"/>
          <w:sz w:val="28"/>
          <w:szCs w:val="28"/>
          <w:highlight w:val="none"/>
          <w:lang w:val="en-US" w:eastAsia="zh-CN" w:bidi="ar-SA"/>
        </w:rPr>
      </w:pPr>
      <w:r>
        <w:rPr>
          <w:rFonts w:hint="eastAsia" w:ascii="华文细黑" w:hAnsi="华文细黑" w:eastAsia="华文细黑" w:cs="华文细黑"/>
          <w:b w:val="0"/>
          <w:bCs w:val="0"/>
          <w:color w:val="auto"/>
          <w:kern w:val="2"/>
          <w:sz w:val="28"/>
          <w:szCs w:val="28"/>
          <w:highlight w:val="none"/>
          <w:lang w:val="en-US" w:eastAsia="zh-CN" w:bidi="ar-SA"/>
        </w:rPr>
        <w:t>三、获取招标文件</w:t>
      </w:r>
    </w:p>
    <w:p w14:paraId="47FF1C56">
      <w:pPr>
        <w:keepNext w:val="0"/>
        <w:keepLines w:val="0"/>
        <w:pageBreakBefore w:val="0"/>
        <w:kinsoku/>
        <w:wordWrap/>
        <w:overflowPunct/>
        <w:topLinePunct w:val="0"/>
        <w:autoSpaceDE/>
        <w:autoSpaceDN/>
        <w:bidi w:val="0"/>
        <w:spacing w:before="0" w:line="480" w:lineRule="exact"/>
        <w:ind w:right="22" w:firstLine="560" w:firstLineChars="200"/>
        <w:jc w:val="both"/>
        <w:textAlignment w:val="auto"/>
        <w:rPr>
          <w:rFonts w:hint="eastAsia" w:asciiTheme="minorEastAsia" w:hAnsiTheme="minorEastAsia" w:eastAsiaTheme="minorEastAsia" w:cstheme="minorEastAsia"/>
          <w:color w:val="333333"/>
          <w:spacing w:val="0"/>
          <w:kern w:val="0"/>
          <w:sz w:val="28"/>
          <w:szCs w:val="28"/>
          <w:highlight w:val="none"/>
          <w:lang w:val="en-US" w:eastAsia="zh-CN" w:bidi="ar-SA"/>
        </w:rPr>
      </w:pPr>
      <w:r>
        <w:rPr>
          <w:rFonts w:hint="eastAsia" w:asciiTheme="minorEastAsia" w:hAnsiTheme="minorEastAsia" w:eastAsiaTheme="minorEastAsia" w:cstheme="minorEastAsia"/>
          <w:color w:val="333333"/>
          <w:spacing w:val="0"/>
          <w:kern w:val="0"/>
          <w:sz w:val="28"/>
          <w:szCs w:val="28"/>
          <w:highlight w:val="none"/>
          <w:lang w:val="en-US" w:eastAsia="zh-CN" w:bidi="ar-SA"/>
        </w:rPr>
        <w:t>1、时间：2026年5月26日至2026年6月2日（北京时间，法定节假日除外）</w:t>
      </w:r>
    </w:p>
    <w:p w14:paraId="1F37CF70">
      <w:pPr>
        <w:keepNext w:val="0"/>
        <w:keepLines w:val="0"/>
        <w:pageBreakBefore w:val="0"/>
        <w:kinsoku/>
        <w:wordWrap/>
        <w:overflowPunct/>
        <w:topLinePunct w:val="0"/>
        <w:autoSpaceDE/>
        <w:autoSpaceDN/>
        <w:bidi w:val="0"/>
        <w:spacing w:before="0" w:line="480" w:lineRule="exact"/>
        <w:ind w:right="22" w:firstLine="560" w:firstLineChars="200"/>
        <w:jc w:val="both"/>
        <w:textAlignment w:val="auto"/>
        <w:rPr>
          <w:rFonts w:hint="eastAsia" w:asciiTheme="minorEastAsia" w:hAnsiTheme="minorEastAsia" w:eastAsiaTheme="minorEastAsia" w:cstheme="minorEastAsia"/>
          <w:color w:val="333333"/>
          <w:spacing w:val="0"/>
          <w:kern w:val="0"/>
          <w:sz w:val="28"/>
          <w:szCs w:val="28"/>
          <w:highlight w:val="none"/>
          <w:lang w:val="en-US" w:eastAsia="zh-CN" w:bidi="ar-SA"/>
        </w:rPr>
      </w:pPr>
      <w:r>
        <w:rPr>
          <w:rFonts w:hint="eastAsia" w:asciiTheme="minorEastAsia" w:hAnsiTheme="minorEastAsia" w:eastAsiaTheme="minorEastAsia" w:cstheme="minorEastAsia"/>
          <w:color w:val="333333"/>
          <w:spacing w:val="0"/>
          <w:kern w:val="0"/>
          <w:sz w:val="28"/>
          <w:szCs w:val="28"/>
          <w:highlight w:val="none"/>
          <w:lang w:val="en-US" w:eastAsia="zh-CN" w:bidi="ar-SA"/>
        </w:rPr>
        <w:t>2、地点：“政采云”平台（http：//www.zcygov.cn）</w:t>
      </w:r>
    </w:p>
    <w:p w14:paraId="6086493E">
      <w:pPr>
        <w:keepNext w:val="0"/>
        <w:keepLines w:val="0"/>
        <w:pageBreakBefore w:val="0"/>
        <w:kinsoku/>
        <w:wordWrap/>
        <w:overflowPunct/>
        <w:topLinePunct w:val="0"/>
        <w:autoSpaceDE/>
        <w:autoSpaceDN/>
        <w:bidi w:val="0"/>
        <w:spacing w:before="0" w:line="480" w:lineRule="exact"/>
        <w:ind w:right="22" w:firstLine="560" w:firstLineChars="200"/>
        <w:jc w:val="both"/>
        <w:textAlignment w:val="auto"/>
        <w:rPr>
          <w:rFonts w:hint="eastAsia" w:asciiTheme="minorEastAsia" w:hAnsiTheme="minorEastAsia" w:eastAsiaTheme="minorEastAsia" w:cstheme="minorEastAsia"/>
          <w:color w:val="333333"/>
          <w:spacing w:val="0"/>
          <w:kern w:val="0"/>
          <w:sz w:val="28"/>
          <w:szCs w:val="28"/>
          <w:highlight w:val="none"/>
          <w:lang w:val="en-US" w:eastAsia="zh-CN" w:bidi="ar-SA"/>
        </w:rPr>
      </w:pPr>
      <w:r>
        <w:rPr>
          <w:rFonts w:hint="eastAsia" w:asciiTheme="minorEastAsia" w:hAnsiTheme="minorEastAsia" w:eastAsiaTheme="minorEastAsia" w:cstheme="minorEastAsia"/>
          <w:color w:val="333333"/>
          <w:spacing w:val="0"/>
          <w:kern w:val="0"/>
          <w:sz w:val="28"/>
          <w:szCs w:val="28"/>
          <w:highlight w:val="none"/>
          <w:lang w:val="en-US" w:eastAsia="zh-CN" w:bidi="ar-SA"/>
        </w:rPr>
        <w:t>3、方式：网上下载，供应商可自行在“政采云”平台（http：//www.zcygov.cn）下载采购文件（操作路径：登录“政采云”平台-项目采购-获取采购文件-找到本项目-点击“申请获取采购文件”），其他途径获取的采购文件开标时一律按无效投标处理。</w:t>
      </w:r>
    </w:p>
    <w:p w14:paraId="248AB44A">
      <w:pPr>
        <w:keepNext w:val="0"/>
        <w:keepLines w:val="0"/>
        <w:pageBreakBefore w:val="0"/>
        <w:kinsoku/>
        <w:wordWrap/>
        <w:overflowPunct/>
        <w:topLinePunct w:val="0"/>
        <w:autoSpaceDE/>
        <w:autoSpaceDN/>
        <w:bidi w:val="0"/>
        <w:spacing w:before="0" w:line="480" w:lineRule="exact"/>
        <w:ind w:right="22" w:firstLine="560" w:firstLineChars="200"/>
        <w:jc w:val="both"/>
        <w:textAlignment w:val="auto"/>
        <w:rPr>
          <w:rFonts w:hint="eastAsia" w:asciiTheme="minorEastAsia" w:hAnsiTheme="minorEastAsia" w:eastAsiaTheme="minorEastAsia" w:cstheme="minorEastAsia"/>
          <w:color w:val="333333"/>
          <w:spacing w:val="0"/>
          <w:kern w:val="0"/>
          <w:sz w:val="28"/>
          <w:szCs w:val="28"/>
          <w:highlight w:val="none"/>
          <w:lang w:val="en-US" w:eastAsia="zh-CN" w:bidi="ar-SA"/>
        </w:rPr>
      </w:pPr>
      <w:r>
        <w:rPr>
          <w:rFonts w:hint="eastAsia" w:asciiTheme="minorEastAsia" w:hAnsiTheme="minorEastAsia" w:eastAsiaTheme="minorEastAsia" w:cstheme="minorEastAsia"/>
          <w:color w:val="333333"/>
          <w:spacing w:val="0"/>
          <w:kern w:val="0"/>
          <w:sz w:val="28"/>
          <w:szCs w:val="28"/>
          <w:highlight w:val="none"/>
          <w:lang w:val="en-US" w:eastAsia="zh-CN" w:bidi="ar-SA"/>
        </w:rPr>
        <w:t>4、售价：0.00元。</w:t>
      </w:r>
    </w:p>
    <w:p w14:paraId="04A1CD2F">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华文细黑" w:hAnsi="华文细黑" w:eastAsia="华文细黑" w:cs="华文细黑"/>
          <w:b w:val="0"/>
          <w:bCs w:val="0"/>
          <w:color w:val="auto"/>
          <w:sz w:val="28"/>
          <w:szCs w:val="28"/>
          <w:highlight w:val="none"/>
          <w:lang w:val="en-US" w:eastAsia="zh-CN"/>
        </w:rPr>
      </w:pPr>
      <w:r>
        <w:rPr>
          <w:rFonts w:hint="eastAsia" w:ascii="华文细黑" w:hAnsi="华文细黑" w:eastAsia="华文细黑" w:cs="华文细黑"/>
          <w:b w:val="0"/>
          <w:bCs w:val="0"/>
          <w:color w:val="auto"/>
          <w:sz w:val="28"/>
          <w:szCs w:val="28"/>
          <w:highlight w:val="none"/>
          <w:lang w:val="en-US" w:eastAsia="zh-CN"/>
        </w:rPr>
        <w:t>四、响应文件提交：</w:t>
      </w:r>
    </w:p>
    <w:p w14:paraId="243CBB32">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Theme="minorEastAsia" w:hAnsiTheme="minorEastAsia" w:eastAsiaTheme="minorEastAsia" w:cstheme="minorEastAsia"/>
          <w:color w:val="333333"/>
          <w:spacing w:val="0"/>
          <w:kern w:val="0"/>
          <w:sz w:val="28"/>
          <w:szCs w:val="28"/>
          <w:highlight w:val="none"/>
          <w:lang w:val="en-US" w:eastAsia="zh-CN" w:bidi="ar-SA"/>
        </w:rPr>
      </w:pPr>
      <w:r>
        <w:rPr>
          <w:rFonts w:hint="eastAsia" w:asciiTheme="minorEastAsia" w:hAnsiTheme="minorEastAsia" w:eastAsiaTheme="minorEastAsia" w:cstheme="minorEastAsia"/>
          <w:color w:val="333333"/>
          <w:spacing w:val="0"/>
          <w:kern w:val="0"/>
          <w:sz w:val="28"/>
          <w:szCs w:val="28"/>
          <w:highlight w:val="none"/>
          <w:lang w:val="en-US" w:eastAsia="zh-CN" w:bidi="ar-SA"/>
        </w:rPr>
        <w:t>截止时间：供应商提交响应文件截止时间：2026年6月16日9时30分（北京时间）。</w:t>
      </w:r>
    </w:p>
    <w:p w14:paraId="01DAD001">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Theme="minorEastAsia" w:hAnsiTheme="minorEastAsia" w:eastAsiaTheme="minorEastAsia" w:cstheme="minorEastAsia"/>
          <w:color w:val="333333"/>
          <w:spacing w:val="0"/>
          <w:kern w:val="0"/>
          <w:sz w:val="28"/>
          <w:szCs w:val="28"/>
          <w:highlight w:val="none"/>
          <w:lang w:val="en-US" w:eastAsia="zh-CN" w:bidi="ar-SA"/>
        </w:rPr>
      </w:pPr>
      <w:r>
        <w:rPr>
          <w:rFonts w:hint="eastAsia" w:asciiTheme="minorEastAsia" w:hAnsiTheme="minorEastAsia" w:eastAsiaTheme="minorEastAsia" w:cstheme="minorEastAsia"/>
          <w:color w:val="333333"/>
          <w:spacing w:val="0"/>
          <w:kern w:val="0"/>
          <w:sz w:val="28"/>
          <w:szCs w:val="28"/>
          <w:highlight w:val="none"/>
          <w:lang w:val="en-US" w:eastAsia="zh-CN" w:bidi="ar-SA"/>
        </w:rPr>
        <w:t>地点：本项目采用全流程电子化采购，需通过政府采购云平台（https://www.zcygov.cn/）递交电子响应文件。</w:t>
      </w:r>
    </w:p>
    <w:p w14:paraId="176F3AA1">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Theme="minorEastAsia" w:hAnsiTheme="minorEastAsia" w:eastAsiaTheme="minorEastAsia" w:cstheme="minorEastAsia"/>
          <w:color w:val="333333"/>
          <w:spacing w:val="0"/>
          <w:kern w:val="0"/>
          <w:sz w:val="28"/>
          <w:szCs w:val="28"/>
          <w:highlight w:val="none"/>
          <w:lang w:val="en-US" w:eastAsia="zh-CN" w:bidi="ar-SA"/>
        </w:rPr>
      </w:pPr>
      <w:r>
        <w:rPr>
          <w:rFonts w:hint="eastAsia" w:asciiTheme="minorEastAsia" w:hAnsiTheme="minorEastAsia" w:eastAsiaTheme="minorEastAsia" w:cstheme="minorEastAsia"/>
          <w:color w:val="333333"/>
          <w:spacing w:val="0"/>
          <w:kern w:val="0"/>
          <w:sz w:val="28"/>
          <w:szCs w:val="28"/>
          <w:highlight w:val="none"/>
          <w:lang w:val="en-US" w:eastAsia="zh-CN" w:bidi="ar-SA"/>
        </w:rPr>
        <w:t>投标操作流程：供应商在政府采购云平台注册入库成为正式供应商后，在平台上按《政府采购项目电子交易管理操作指南-供应商》进行投标操作。</w:t>
      </w:r>
    </w:p>
    <w:p w14:paraId="2B5408B8">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华文细黑" w:hAnsi="华文细黑" w:eastAsia="华文细黑" w:cs="华文细黑"/>
          <w:b w:val="0"/>
          <w:bCs w:val="0"/>
          <w:color w:val="auto"/>
          <w:sz w:val="28"/>
          <w:szCs w:val="28"/>
          <w:highlight w:val="none"/>
          <w:lang w:val="en-US" w:eastAsia="zh-CN"/>
        </w:rPr>
      </w:pPr>
      <w:r>
        <w:rPr>
          <w:rFonts w:hint="eastAsia" w:ascii="华文细黑" w:hAnsi="华文细黑" w:eastAsia="华文细黑" w:cs="华文细黑"/>
          <w:b w:val="0"/>
          <w:bCs w:val="0"/>
          <w:color w:val="auto"/>
          <w:sz w:val="28"/>
          <w:szCs w:val="28"/>
          <w:highlight w:val="none"/>
          <w:lang w:val="en-US" w:eastAsia="zh-CN"/>
        </w:rPr>
        <w:t>五、开启：</w:t>
      </w:r>
    </w:p>
    <w:p w14:paraId="04816ECE">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Theme="minorEastAsia" w:hAnsiTheme="minorEastAsia" w:eastAsiaTheme="minorEastAsia" w:cstheme="minorEastAsia"/>
          <w:color w:val="333333"/>
          <w:spacing w:val="0"/>
          <w:kern w:val="0"/>
          <w:sz w:val="28"/>
          <w:szCs w:val="28"/>
          <w:highlight w:val="none"/>
          <w:lang w:val="en-US" w:eastAsia="zh-CN" w:bidi="ar-SA"/>
        </w:rPr>
      </w:pPr>
      <w:r>
        <w:rPr>
          <w:rFonts w:hint="eastAsia" w:asciiTheme="minorEastAsia" w:hAnsiTheme="minorEastAsia" w:eastAsiaTheme="minorEastAsia" w:cstheme="minorEastAsia"/>
          <w:b w:val="0"/>
          <w:bCs w:val="0"/>
          <w:color w:val="auto"/>
          <w:sz w:val="28"/>
          <w:szCs w:val="28"/>
          <w:highlight w:val="none"/>
          <w:lang w:val="en-US" w:eastAsia="zh-CN"/>
        </w:rPr>
        <w:t>时间：</w:t>
      </w:r>
      <w:r>
        <w:rPr>
          <w:rFonts w:hint="eastAsia" w:asciiTheme="minorEastAsia" w:hAnsiTheme="minorEastAsia" w:eastAsiaTheme="minorEastAsia" w:cstheme="minorEastAsia"/>
          <w:color w:val="333333"/>
          <w:spacing w:val="0"/>
          <w:kern w:val="0"/>
          <w:sz w:val="28"/>
          <w:szCs w:val="28"/>
          <w:highlight w:val="none"/>
          <w:lang w:val="en-US" w:eastAsia="zh-CN" w:bidi="ar-SA"/>
        </w:rPr>
        <w:t>2026年6月16日9时30分（北京时间）</w:t>
      </w:r>
    </w:p>
    <w:p w14:paraId="5013B8A1">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地点：在线开标</w:t>
      </w:r>
    </w:p>
    <w:p w14:paraId="1C6AEB9D">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华文细黑" w:hAnsi="华文细黑" w:eastAsia="华文细黑" w:cs="华文细黑"/>
          <w:b w:val="0"/>
          <w:bCs w:val="0"/>
          <w:color w:val="auto"/>
          <w:sz w:val="28"/>
          <w:szCs w:val="28"/>
          <w:highlight w:val="none"/>
          <w:lang w:val="en-US" w:eastAsia="zh-CN"/>
        </w:rPr>
      </w:pPr>
      <w:r>
        <w:rPr>
          <w:rFonts w:hint="eastAsia" w:ascii="华文细黑" w:hAnsi="华文细黑" w:eastAsia="华文细黑" w:cs="华文细黑"/>
          <w:b w:val="0"/>
          <w:bCs w:val="0"/>
          <w:color w:val="auto"/>
          <w:sz w:val="28"/>
          <w:szCs w:val="28"/>
          <w:highlight w:val="none"/>
          <w:lang w:val="en-US" w:eastAsia="zh-CN"/>
        </w:rPr>
        <w:t>六、公告期限：</w:t>
      </w:r>
    </w:p>
    <w:p w14:paraId="743E4CD5">
      <w:pPr>
        <w:keepNext w:val="0"/>
        <w:keepLines w:val="0"/>
        <w:pageBreakBefore w:val="0"/>
        <w:kinsoku/>
        <w:wordWrap/>
        <w:overflowPunct/>
        <w:topLinePunct w:val="0"/>
        <w:autoSpaceDE/>
        <w:autoSpaceDN/>
        <w:bidi w:val="0"/>
        <w:spacing w:before="0" w:line="480" w:lineRule="exact"/>
        <w:ind w:right="22" w:firstLine="560" w:firstLineChars="200"/>
        <w:jc w:val="both"/>
        <w:textAlignment w:val="auto"/>
        <w:rPr>
          <w:rFonts w:hint="eastAsia" w:asciiTheme="minorEastAsia" w:hAnsiTheme="minorEastAsia" w:eastAsiaTheme="minorEastAsia" w:cstheme="minorEastAsia"/>
          <w:color w:val="333333"/>
          <w:spacing w:val="0"/>
          <w:kern w:val="0"/>
          <w:sz w:val="28"/>
          <w:szCs w:val="28"/>
          <w:highlight w:val="none"/>
          <w:lang w:val="en-US" w:eastAsia="zh-CN" w:bidi="ar-SA"/>
        </w:rPr>
      </w:pPr>
      <w:r>
        <w:rPr>
          <w:rFonts w:hint="eastAsia" w:asciiTheme="minorEastAsia" w:hAnsiTheme="minorEastAsia" w:eastAsiaTheme="minorEastAsia" w:cstheme="minorEastAsia"/>
          <w:color w:val="333333"/>
          <w:spacing w:val="0"/>
          <w:kern w:val="0"/>
          <w:sz w:val="28"/>
          <w:szCs w:val="28"/>
          <w:highlight w:val="none"/>
          <w:lang w:val="en-US" w:eastAsia="zh-CN" w:bidi="ar-SA"/>
        </w:rPr>
        <w:t>自本公告发布之日起5个工作日。</w:t>
      </w:r>
    </w:p>
    <w:p w14:paraId="4DDAB43D">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华文细黑" w:hAnsi="华文细黑" w:eastAsia="华文细黑" w:cs="华文细黑"/>
          <w:b w:val="0"/>
          <w:bCs w:val="0"/>
          <w:color w:val="auto"/>
          <w:sz w:val="28"/>
          <w:szCs w:val="28"/>
          <w:highlight w:val="none"/>
          <w:lang w:val="en-US" w:eastAsia="zh-CN"/>
        </w:rPr>
      </w:pPr>
      <w:r>
        <w:rPr>
          <w:rFonts w:hint="eastAsia" w:ascii="华文细黑" w:hAnsi="华文细黑" w:eastAsia="华文细黑" w:cs="华文细黑"/>
          <w:b w:val="0"/>
          <w:bCs w:val="0"/>
          <w:color w:val="auto"/>
          <w:sz w:val="28"/>
          <w:szCs w:val="28"/>
          <w:highlight w:val="none"/>
          <w:lang w:val="en-US" w:eastAsia="zh-CN"/>
        </w:rPr>
        <w:t>七、其他补充事宜</w:t>
      </w:r>
    </w:p>
    <w:p w14:paraId="4078D2D8">
      <w:pPr>
        <w:keepNext w:val="0"/>
        <w:keepLines w:val="0"/>
        <w:pageBreakBefore w:val="0"/>
        <w:kinsoku/>
        <w:wordWrap/>
        <w:overflowPunct/>
        <w:topLinePunct w:val="0"/>
        <w:autoSpaceDE/>
        <w:autoSpaceDN/>
        <w:bidi w:val="0"/>
        <w:spacing w:before="0" w:line="480" w:lineRule="exact"/>
        <w:ind w:right="22" w:firstLine="560" w:firstLineChars="200"/>
        <w:jc w:val="both"/>
        <w:textAlignment w:val="auto"/>
        <w:rPr>
          <w:rFonts w:hint="eastAsia" w:asciiTheme="minorEastAsia" w:hAnsiTheme="minorEastAsia" w:eastAsiaTheme="minorEastAsia" w:cstheme="minorEastAsia"/>
          <w:color w:val="333333"/>
          <w:spacing w:val="0"/>
          <w:kern w:val="0"/>
          <w:sz w:val="28"/>
          <w:szCs w:val="28"/>
          <w:highlight w:val="none"/>
          <w:lang w:val="en-US" w:eastAsia="zh-CN" w:bidi="ar-SA"/>
        </w:rPr>
      </w:pPr>
      <w:r>
        <w:rPr>
          <w:rFonts w:hint="eastAsia" w:asciiTheme="minorEastAsia" w:hAnsiTheme="minorEastAsia" w:eastAsiaTheme="minorEastAsia" w:cstheme="minorEastAsia"/>
          <w:color w:val="333333"/>
          <w:spacing w:val="0"/>
          <w:kern w:val="0"/>
          <w:sz w:val="28"/>
          <w:szCs w:val="28"/>
          <w:highlight w:val="none"/>
          <w:lang w:val="en-US" w:eastAsia="zh-CN" w:bidi="ar-SA"/>
        </w:rPr>
        <w:t>1.拟参与本项目的供应商，首先在“政采云”平台上免费进行供应商注册（“政采云”供应商注册流程：https://middle.zcygov.cn/v-settle-front/registry），注册后可在“政采云”平台免费自行下载招标文件（下载地址：http://www.zcygov.cn；下载招标文件操作路径：登录“政采云”平台-登录账号-我的工作台-项目采购-获取采购文件-找到本项目-点击“申请获取文件”）。</w:t>
      </w:r>
    </w:p>
    <w:p w14:paraId="1D33E3D5">
      <w:pPr>
        <w:keepNext w:val="0"/>
        <w:keepLines w:val="0"/>
        <w:pageBreakBefore w:val="0"/>
        <w:kinsoku/>
        <w:wordWrap/>
        <w:overflowPunct/>
        <w:topLinePunct w:val="0"/>
        <w:autoSpaceDE/>
        <w:autoSpaceDN/>
        <w:bidi w:val="0"/>
        <w:spacing w:before="0" w:line="480" w:lineRule="exact"/>
        <w:ind w:right="22" w:firstLine="560" w:firstLineChars="200"/>
        <w:jc w:val="both"/>
        <w:textAlignment w:val="auto"/>
        <w:rPr>
          <w:rFonts w:hint="eastAsia" w:asciiTheme="minorEastAsia" w:hAnsiTheme="minorEastAsia" w:eastAsiaTheme="minorEastAsia" w:cstheme="minorEastAsia"/>
          <w:color w:val="333333"/>
          <w:spacing w:val="0"/>
          <w:kern w:val="0"/>
          <w:sz w:val="28"/>
          <w:szCs w:val="28"/>
          <w:highlight w:val="none"/>
          <w:lang w:val="en-US" w:eastAsia="zh-CN" w:bidi="ar-SA"/>
        </w:rPr>
      </w:pPr>
      <w:r>
        <w:rPr>
          <w:rFonts w:hint="eastAsia" w:asciiTheme="minorEastAsia" w:hAnsiTheme="minorEastAsia" w:eastAsiaTheme="minorEastAsia" w:cstheme="minorEastAsia"/>
          <w:color w:val="333333"/>
          <w:spacing w:val="0"/>
          <w:kern w:val="0"/>
          <w:sz w:val="28"/>
          <w:szCs w:val="28"/>
          <w:highlight w:val="none"/>
          <w:lang w:val="en-US" w:eastAsia="zh-CN" w:bidi="ar-SA"/>
        </w:rPr>
        <w:t>2.对招标文件有质疑或需要澄清的应以书面材料提交，采购中心和采购人将根据各供应商提出的问题以书面形式予以答复，口头提交的问题不予答复。</w:t>
      </w:r>
    </w:p>
    <w:p w14:paraId="53C50525">
      <w:pPr>
        <w:keepNext w:val="0"/>
        <w:keepLines w:val="0"/>
        <w:pageBreakBefore w:val="0"/>
        <w:kinsoku/>
        <w:wordWrap/>
        <w:overflowPunct/>
        <w:topLinePunct w:val="0"/>
        <w:autoSpaceDE/>
        <w:autoSpaceDN/>
        <w:bidi w:val="0"/>
        <w:spacing w:before="0" w:line="480" w:lineRule="exact"/>
        <w:ind w:right="22" w:firstLine="560" w:firstLineChars="200"/>
        <w:jc w:val="both"/>
        <w:textAlignment w:val="auto"/>
        <w:rPr>
          <w:rFonts w:hint="eastAsia" w:asciiTheme="minorEastAsia" w:hAnsiTheme="minorEastAsia" w:eastAsiaTheme="minorEastAsia" w:cstheme="minorEastAsia"/>
          <w:color w:val="333333"/>
          <w:spacing w:val="0"/>
          <w:kern w:val="0"/>
          <w:sz w:val="28"/>
          <w:szCs w:val="28"/>
          <w:highlight w:val="none"/>
          <w:lang w:val="en-US" w:eastAsia="zh-CN" w:bidi="ar-SA"/>
        </w:rPr>
      </w:pPr>
      <w:r>
        <w:rPr>
          <w:rFonts w:hint="eastAsia" w:asciiTheme="minorEastAsia" w:hAnsiTheme="minorEastAsia" w:eastAsiaTheme="minorEastAsia" w:cstheme="minorEastAsia"/>
          <w:color w:val="333333"/>
          <w:spacing w:val="0"/>
          <w:kern w:val="0"/>
          <w:sz w:val="28"/>
          <w:szCs w:val="28"/>
          <w:highlight w:val="none"/>
          <w:lang w:val="en-US" w:eastAsia="zh-CN" w:bidi="ar-SA"/>
        </w:rPr>
        <w:t>3.本项目为全流程电子化项目，通过“政采云”平台 (http：//www.zcygov.cn) 实行在线电子投标，供应商应先安装“政采云投标客户端”(请自行前往“政采云”平台进行下载，政采云投标客户端及CA驱动下载地址：https://customer.zcygov.cn/CA-driver-download?utm=web-login-front.52cebfa2.0.0.04df4040034511edaac705fda12edb43 )，并按照本项目招标文件和“政采云”平台的要求编制、加密投标文件后在投标文件提交截止时间前通过网络上传至“政采云”平台，供应商在“政采云”平台提交电子版投标文件时，请填写参加开启活动经办人联系方式。</w:t>
      </w:r>
    </w:p>
    <w:p w14:paraId="5A461D36">
      <w:pPr>
        <w:keepNext w:val="0"/>
        <w:keepLines w:val="0"/>
        <w:pageBreakBefore w:val="0"/>
        <w:kinsoku/>
        <w:wordWrap/>
        <w:overflowPunct/>
        <w:topLinePunct w:val="0"/>
        <w:autoSpaceDE/>
        <w:autoSpaceDN/>
        <w:bidi w:val="0"/>
        <w:spacing w:before="0" w:line="480" w:lineRule="exact"/>
        <w:ind w:right="22" w:firstLine="560" w:firstLineChars="200"/>
        <w:jc w:val="both"/>
        <w:textAlignment w:val="auto"/>
        <w:rPr>
          <w:rFonts w:hint="eastAsia" w:asciiTheme="minorEastAsia" w:hAnsiTheme="minorEastAsia" w:eastAsiaTheme="minorEastAsia" w:cstheme="minorEastAsia"/>
          <w:color w:val="333333"/>
          <w:spacing w:val="0"/>
          <w:kern w:val="0"/>
          <w:sz w:val="28"/>
          <w:szCs w:val="28"/>
          <w:highlight w:val="none"/>
          <w:lang w:val="en-US" w:eastAsia="zh-CN" w:bidi="ar-SA"/>
        </w:rPr>
      </w:pPr>
      <w:r>
        <w:rPr>
          <w:rFonts w:hint="eastAsia" w:asciiTheme="minorEastAsia" w:hAnsiTheme="minorEastAsia" w:eastAsiaTheme="minorEastAsia" w:cstheme="minorEastAsia"/>
          <w:color w:val="333333"/>
          <w:spacing w:val="0"/>
          <w:kern w:val="0"/>
          <w:sz w:val="28"/>
          <w:szCs w:val="28"/>
          <w:highlight w:val="none"/>
          <w:lang w:val="en-US" w:eastAsia="zh-CN" w:bidi="ar-SA"/>
        </w:rPr>
        <w:t>4.电子投标文件制作需要基于“政采云”平台获取的招标文件进行制作，制作投标文件时需要完成CA与账号的绑定。未办理CA的供应商，请先免费申请CA，并完成CA与账号绑定，CA数字证书全省通办通用。</w:t>
      </w:r>
    </w:p>
    <w:p w14:paraId="52F29AC9">
      <w:pPr>
        <w:keepNext w:val="0"/>
        <w:keepLines w:val="0"/>
        <w:pageBreakBefore w:val="0"/>
        <w:kinsoku/>
        <w:wordWrap/>
        <w:overflowPunct/>
        <w:topLinePunct w:val="0"/>
        <w:autoSpaceDE/>
        <w:autoSpaceDN/>
        <w:bidi w:val="0"/>
        <w:spacing w:before="0" w:line="480" w:lineRule="exact"/>
        <w:ind w:right="22" w:firstLine="560" w:firstLineChars="200"/>
        <w:jc w:val="both"/>
        <w:textAlignment w:val="auto"/>
        <w:rPr>
          <w:rFonts w:hint="eastAsia" w:asciiTheme="minorEastAsia" w:hAnsiTheme="minorEastAsia" w:eastAsiaTheme="minorEastAsia" w:cstheme="minorEastAsia"/>
          <w:color w:val="333333"/>
          <w:spacing w:val="0"/>
          <w:kern w:val="0"/>
          <w:sz w:val="28"/>
          <w:szCs w:val="28"/>
          <w:highlight w:val="none"/>
          <w:lang w:val="en-US" w:eastAsia="zh-CN" w:bidi="ar-SA"/>
        </w:rPr>
      </w:pPr>
      <w:r>
        <w:rPr>
          <w:rFonts w:hint="eastAsia" w:asciiTheme="minorEastAsia" w:hAnsiTheme="minorEastAsia" w:eastAsiaTheme="minorEastAsia" w:cstheme="minorEastAsia"/>
          <w:color w:val="333333"/>
          <w:spacing w:val="0"/>
          <w:kern w:val="0"/>
          <w:sz w:val="28"/>
          <w:szCs w:val="28"/>
          <w:highlight w:val="none"/>
          <w:lang w:val="en-US" w:eastAsia="zh-CN" w:bidi="ar-SA"/>
        </w:rPr>
        <w:t>5、本项目采用“双盲”评审，文件技术标必须遵守统一格式和规范。技术标文件（暗标）未按以下“盲评”要求制作的，为无效投标，除下列要求外，不得因暗标格式问题认定为无效投标：</w:t>
      </w:r>
    </w:p>
    <w:p w14:paraId="17635019">
      <w:pPr>
        <w:keepNext w:val="0"/>
        <w:keepLines w:val="0"/>
        <w:pageBreakBefore w:val="0"/>
        <w:kinsoku/>
        <w:wordWrap/>
        <w:overflowPunct/>
        <w:topLinePunct w:val="0"/>
        <w:autoSpaceDE/>
        <w:autoSpaceDN/>
        <w:bidi w:val="0"/>
        <w:spacing w:before="0" w:line="480" w:lineRule="exact"/>
        <w:ind w:right="22" w:firstLine="560" w:firstLineChars="200"/>
        <w:jc w:val="both"/>
        <w:textAlignment w:val="auto"/>
        <w:rPr>
          <w:rFonts w:hint="eastAsia" w:asciiTheme="minorEastAsia" w:hAnsiTheme="minorEastAsia" w:eastAsiaTheme="minorEastAsia" w:cstheme="minorEastAsia"/>
          <w:color w:val="333333"/>
          <w:spacing w:val="0"/>
          <w:kern w:val="0"/>
          <w:sz w:val="28"/>
          <w:szCs w:val="28"/>
          <w:highlight w:val="none"/>
          <w:lang w:val="en-US" w:eastAsia="zh-CN" w:bidi="ar-SA"/>
        </w:rPr>
      </w:pPr>
      <w:r>
        <w:rPr>
          <w:rFonts w:hint="eastAsia" w:asciiTheme="minorEastAsia" w:hAnsiTheme="minorEastAsia" w:eastAsiaTheme="minorEastAsia" w:cstheme="minorEastAsia"/>
          <w:color w:val="333333"/>
          <w:spacing w:val="0"/>
          <w:kern w:val="0"/>
          <w:sz w:val="28"/>
          <w:szCs w:val="28"/>
          <w:highlight w:val="none"/>
          <w:lang w:val="en-US" w:eastAsia="zh-CN" w:bidi="ar-SA"/>
        </w:rPr>
        <w:t>（1）版面要求：A4纸张大小；</w:t>
      </w:r>
    </w:p>
    <w:p w14:paraId="0D0DC6AD">
      <w:pPr>
        <w:keepNext w:val="0"/>
        <w:keepLines w:val="0"/>
        <w:pageBreakBefore w:val="0"/>
        <w:kinsoku/>
        <w:wordWrap/>
        <w:overflowPunct/>
        <w:topLinePunct w:val="0"/>
        <w:autoSpaceDE/>
        <w:autoSpaceDN/>
        <w:bidi w:val="0"/>
        <w:spacing w:before="0" w:line="480" w:lineRule="exact"/>
        <w:ind w:right="22" w:firstLine="560" w:firstLineChars="200"/>
        <w:jc w:val="both"/>
        <w:textAlignment w:val="auto"/>
        <w:rPr>
          <w:rFonts w:hint="eastAsia" w:asciiTheme="minorEastAsia" w:hAnsiTheme="minorEastAsia" w:eastAsiaTheme="minorEastAsia" w:cstheme="minorEastAsia"/>
          <w:color w:val="333333"/>
          <w:spacing w:val="0"/>
          <w:kern w:val="0"/>
          <w:sz w:val="28"/>
          <w:szCs w:val="28"/>
          <w:highlight w:val="none"/>
          <w:lang w:val="en-US" w:eastAsia="zh-CN" w:bidi="ar-SA"/>
        </w:rPr>
      </w:pPr>
      <w:r>
        <w:rPr>
          <w:rFonts w:hint="eastAsia" w:asciiTheme="minorEastAsia" w:hAnsiTheme="minorEastAsia" w:eastAsiaTheme="minorEastAsia" w:cstheme="minorEastAsia"/>
          <w:color w:val="333333"/>
          <w:spacing w:val="0"/>
          <w:kern w:val="0"/>
          <w:sz w:val="28"/>
          <w:szCs w:val="28"/>
          <w:highlight w:val="none"/>
          <w:lang w:val="en-US" w:eastAsia="zh-CN" w:bidi="ar-SA"/>
        </w:rPr>
        <w:t>（2）颜色要求：所有文字、图表的为黑色；</w:t>
      </w:r>
    </w:p>
    <w:p w14:paraId="71907DD0">
      <w:pPr>
        <w:keepNext w:val="0"/>
        <w:keepLines w:val="0"/>
        <w:pageBreakBefore w:val="0"/>
        <w:kinsoku/>
        <w:wordWrap/>
        <w:overflowPunct/>
        <w:topLinePunct w:val="0"/>
        <w:autoSpaceDE/>
        <w:autoSpaceDN/>
        <w:bidi w:val="0"/>
        <w:spacing w:before="0" w:line="480" w:lineRule="exact"/>
        <w:ind w:right="22" w:firstLine="560" w:firstLineChars="200"/>
        <w:jc w:val="both"/>
        <w:textAlignment w:val="auto"/>
        <w:rPr>
          <w:rFonts w:hint="eastAsia" w:asciiTheme="minorEastAsia" w:hAnsiTheme="minorEastAsia" w:eastAsiaTheme="minorEastAsia" w:cstheme="minorEastAsia"/>
          <w:color w:val="333333"/>
          <w:spacing w:val="0"/>
          <w:kern w:val="0"/>
          <w:sz w:val="28"/>
          <w:szCs w:val="28"/>
          <w:highlight w:val="none"/>
          <w:lang w:val="en-US" w:eastAsia="zh-CN" w:bidi="ar-SA"/>
        </w:rPr>
      </w:pPr>
      <w:r>
        <w:rPr>
          <w:rFonts w:hint="eastAsia" w:asciiTheme="minorEastAsia" w:hAnsiTheme="minorEastAsia" w:eastAsiaTheme="minorEastAsia" w:cstheme="minorEastAsia"/>
          <w:color w:val="333333"/>
          <w:spacing w:val="0"/>
          <w:kern w:val="0"/>
          <w:sz w:val="28"/>
          <w:szCs w:val="28"/>
          <w:highlight w:val="none"/>
          <w:lang w:val="en-US" w:eastAsia="zh-CN" w:bidi="ar-SA"/>
        </w:rPr>
        <w:t>（3）字体要求：标题及正文部分所用的文字均采用“宋体”四号“常规”字；图、表内的字体及字号不作要求；全部使用中文标点符号；所有字体均不得出现加粗、加色、倾斜、下划线等标记；</w:t>
      </w:r>
    </w:p>
    <w:p w14:paraId="24FC3765">
      <w:pPr>
        <w:keepNext w:val="0"/>
        <w:keepLines w:val="0"/>
        <w:pageBreakBefore w:val="0"/>
        <w:kinsoku/>
        <w:wordWrap/>
        <w:overflowPunct/>
        <w:topLinePunct w:val="0"/>
        <w:autoSpaceDE/>
        <w:autoSpaceDN/>
        <w:bidi w:val="0"/>
        <w:spacing w:before="0" w:line="480" w:lineRule="exact"/>
        <w:ind w:right="22" w:firstLine="560" w:firstLineChars="200"/>
        <w:jc w:val="both"/>
        <w:textAlignment w:val="auto"/>
        <w:rPr>
          <w:rFonts w:hint="eastAsia" w:asciiTheme="minorEastAsia" w:hAnsiTheme="minorEastAsia" w:eastAsiaTheme="minorEastAsia" w:cstheme="minorEastAsia"/>
          <w:color w:val="333333"/>
          <w:spacing w:val="0"/>
          <w:kern w:val="0"/>
          <w:sz w:val="28"/>
          <w:szCs w:val="28"/>
          <w:highlight w:val="none"/>
          <w:lang w:val="en-US" w:eastAsia="zh-CN" w:bidi="ar-SA"/>
        </w:rPr>
      </w:pPr>
      <w:r>
        <w:rPr>
          <w:rFonts w:hint="eastAsia" w:asciiTheme="minorEastAsia" w:hAnsiTheme="minorEastAsia" w:eastAsiaTheme="minorEastAsia" w:cstheme="minorEastAsia"/>
          <w:color w:val="333333"/>
          <w:spacing w:val="0"/>
          <w:kern w:val="0"/>
          <w:sz w:val="28"/>
          <w:szCs w:val="28"/>
          <w:highlight w:val="none"/>
          <w:lang w:val="en-US" w:eastAsia="zh-CN" w:bidi="ar-SA"/>
        </w:rPr>
        <w:t>（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56E211CD">
      <w:pPr>
        <w:keepNext w:val="0"/>
        <w:keepLines w:val="0"/>
        <w:pageBreakBefore w:val="0"/>
        <w:kinsoku/>
        <w:wordWrap/>
        <w:overflowPunct/>
        <w:topLinePunct w:val="0"/>
        <w:autoSpaceDE/>
        <w:autoSpaceDN/>
        <w:bidi w:val="0"/>
        <w:spacing w:before="0" w:line="480" w:lineRule="exact"/>
        <w:ind w:right="22" w:firstLine="560" w:firstLineChars="200"/>
        <w:jc w:val="both"/>
        <w:textAlignment w:val="auto"/>
        <w:rPr>
          <w:rFonts w:hint="eastAsia" w:asciiTheme="minorEastAsia" w:hAnsiTheme="minorEastAsia" w:eastAsiaTheme="minorEastAsia" w:cstheme="minorEastAsia"/>
          <w:color w:val="333333"/>
          <w:spacing w:val="0"/>
          <w:kern w:val="0"/>
          <w:sz w:val="28"/>
          <w:szCs w:val="28"/>
          <w:highlight w:val="none"/>
          <w:lang w:val="en-US" w:eastAsia="zh-CN" w:bidi="ar-SA"/>
        </w:rPr>
      </w:pPr>
      <w:r>
        <w:rPr>
          <w:rFonts w:hint="eastAsia" w:asciiTheme="minorEastAsia" w:hAnsiTheme="minorEastAsia" w:eastAsiaTheme="minorEastAsia" w:cstheme="minorEastAsia"/>
          <w:color w:val="333333"/>
          <w:spacing w:val="0"/>
          <w:kern w:val="0"/>
          <w:sz w:val="28"/>
          <w:szCs w:val="28"/>
          <w:highlight w:val="none"/>
          <w:lang w:val="en-US" w:eastAsia="zh-CN" w:bidi="ar-SA"/>
        </w:rPr>
        <w:t>（5）其它：除满足上述各项要求外，构成投标文件的“技术暗标”的正文中均不得出现供应商的名称和其它可识别供应商身份的字符、徽标、人员名称以及其他可能被辨别出供应商身份的任何标记。</w:t>
      </w:r>
    </w:p>
    <w:p w14:paraId="56F842E5">
      <w:pPr>
        <w:keepNext w:val="0"/>
        <w:keepLines w:val="0"/>
        <w:pageBreakBefore w:val="0"/>
        <w:kinsoku/>
        <w:wordWrap/>
        <w:overflowPunct/>
        <w:topLinePunct w:val="0"/>
        <w:autoSpaceDE/>
        <w:autoSpaceDN/>
        <w:bidi w:val="0"/>
        <w:spacing w:before="0" w:line="480" w:lineRule="exact"/>
        <w:ind w:right="22" w:firstLine="560" w:firstLineChars="200"/>
        <w:jc w:val="both"/>
        <w:textAlignment w:val="auto"/>
        <w:rPr>
          <w:rFonts w:hint="eastAsia" w:asciiTheme="minorEastAsia" w:hAnsiTheme="minorEastAsia" w:eastAsiaTheme="minorEastAsia" w:cstheme="minorEastAsia"/>
          <w:color w:val="333333"/>
          <w:spacing w:val="0"/>
          <w:kern w:val="0"/>
          <w:sz w:val="28"/>
          <w:szCs w:val="28"/>
          <w:highlight w:val="none"/>
          <w:lang w:val="en-US" w:eastAsia="zh-CN" w:bidi="ar-SA"/>
        </w:rPr>
      </w:pPr>
      <w:r>
        <w:rPr>
          <w:rFonts w:hint="eastAsia" w:asciiTheme="minorEastAsia" w:hAnsiTheme="minorEastAsia" w:eastAsiaTheme="minorEastAsia" w:cstheme="minorEastAsia"/>
          <w:color w:val="333333"/>
          <w:spacing w:val="0"/>
          <w:kern w:val="0"/>
          <w:sz w:val="28"/>
          <w:szCs w:val="28"/>
          <w:highlight w:val="none"/>
          <w:lang w:val="en-US" w:eastAsia="zh-CN" w:bidi="ar-SA"/>
        </w:rPr>
        <w:t>6、有效供应商不足三家时，招标人另行组织招标。</w:t>
      </w:r>
    </w:p>
    <w:p w14:paraId="1499A6B1">
      <w:pPr>
        <w:keepNext w:val="0"/>
        <w:keepLines w:val="0"/>
        <w:pageBreakBefore w:val="0"/>
        <w:kinsoku/>
        <w:wordWrap/>
        <w:overflowPunct/>
        <w:topLinePunct w:val="0"/>
        <w:autoSpaceDE/>
        <w:autoSpaceDN/>
        <w:bidi w:val="0"/>
        <w:spacing w:before="0" w:line="480" w:lineRule="exact"/>
        <w:ind w:right="22" w:firstLine="560" w:firstLineChars="200"/>
        <w:jc w:val="both"/>
        <w:textAlignment w:val="auto"/>
        <w:rPr>
          <w:rFonts w:hint="eastAsia" w:asciiTheme="minorEastAsia" w:hAnsiTheme="minorEastAsia" w:eastAsiaTheme="minorEastAsia" w:cstheme="minorEastAsia"/>
          <w:color w:val="333333"/>
          <w:spacing w:val="0"/>
          <w:kern w:val="0"/>
          <w:sz w:val="28"/>
          <w:szCs w:val="28"/>
          <w:highlight w:val="none"/>
          <w:lang w:val="en-US" w:eastAsia="zh-CN" w:bidi="ar-SA"/>
        </w:rPr>
      </w:pPr>
      <w:r>
        <w:rPr>
          <w:rFonts w:hint="eastAsia" w:asciiTheme="minorEastAsia" w:hAnsiTheme="minorEastAsia" w:eastAsiaTheme="minorEastAsia" w:cstheme="minorEastAsia"/>
          <w:color w:val="333333"/>
          <w:spacing w:val="0"/>
          <w:kern w:val="0"/>
          <w:sz w:val="28"/>
          <w:szCs w:val="28"/>
          <w:highlight w:val="none"/>
          <w:lang w:val="en-US" w:eastAsia="zh-CN" w:bidi="ar-SA"/>
        </w:rPr>
        <w:t>7、当供应商的有效投标报价超出招标人设定的控制价时，该投标报价视为无效报价。</w:t>
      </w:r>
    </w:p>
    <w:p w14:paraId="20091806">
      <w:pPr>
        <w:keepNext w:val="0"/>
        <w:keepLines w:val="0"/>
        <w:pageBreakBefore w:val="0"/>
        <w:kinsoku/>
        <w:wordWrap/>
        <w:overflowPunct/>
        <w:topLinePunct w:val="0"/>
        <w:autoSpaceDE/>
        <w:autoSpaceDN/>
        <w:bidi w:val="0"/>
        <w:spacing w:before="0" w:line="480" w:lineRule="exact"/>
        <w:ind w:right="22" w:firstLine="560" w:firstLineChars="200"/>
        <w:jc w:val="both"/>
        <w:textAlignment w:val="auto"/>
        <w:rPr>
          <w:rFonts w:hint="eastAsia" w:asciiTheme="minorEastAsia" w:hAnsiTheme="minorEastAsia" w:eastAsiaTheme="minorEastAsia" w:cstheme="minorEastAsia"/>
          <w:color w:val="333333"/>
          <w:spacing w:val="0"/>
          <w:kern w:val="0"/>
          <w:sz w:val="28"/>
          <w:szCs w:val="28"/>
          <w:highlight w:val="none"/>
          <w:lang w:val="en-US" w:eastAsia="zh-CN" w:bidi="ar-SA"/>
        </w:rPr>
      </w:pPr>
      <w:r>
        <w:rPr>
          <w:rFonts w:hint="eastAsia" w:asciiTheme="minorEastAsia" w:hAnsiTheme="minorEastAsia" w:eastAsiaTheme="minorEastAsia" w:cstheme="minorEastAsia"/>
          <w:color w:val="333333"/>
          <w:spacing w:val="0"/>
          <w:kern w:val="0"/>
          <w:sz w:val="28"/>
          <w:szCs w:val="28"/>
          <w:highlight w:val="none"/>
          <w:lang w:val="en-US" w:eastAsia="zh-CN" w:bidi="ar-SA"/>
        </w:rPr>
        <w:t>8、本次招标公告在吉林省政府采购网、“政采云”平台（https://www.zcygov.cn/）上同时发布。</w:t>
      </w:r>
    </w:p>
    <w:p w14:paraId="541380A1">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华文细黑" w:hAnsi="华文细黑" w:eastAsia="华文细黑" w:cs="华文细黑"/>
          <w:b w:val="0"/>
          <w:bCs w:val="0"/>
          <w:color w:val="auto"/>
          <w:sz w:val="28"/>
          <w:szCs w:val="28"/>
          <w:highlight w:val="none"/>
          <w:lang w:val="en-US" w:eastAsia="zh-CN"/>
        </w:rPr>
      </w:pPr>
      <w:r>
        <w:rPr>
          <w:rFonts w:hint="eastAsia" w:ascii="华文细黑" w:hAnsi="华文细黑" w:eastAsia="华文细黑" w:cs="华文细黑"/>
          <w:b w:val="0"/>
          <w:bCs w:val="0"/>
          <w:color w:val="auto"/>
          <w:sz w:val="28"/>
          <w:szCs w:val="28"/>
          <w:highlight w:val="none"/>
          <w:lang w:val="en-US" w:eastAsia="zh-CN"/>
        </w:rPr>
        <w:t>八、凡对本次采购提出询问，请按以下方式联系。</w:t>
      </w:r>
    </w:p>
    <w:bookmarkEnd w:id="30"/>
    <w:bookmarkEnd w:id="31"/>
    <w:bookmarkEnd w:id="32"/>
    <w:bookmarkEnd w:id="33"/>
    <w:bookmarkEnd w:id="34"/>
    <w:bookmarkEnd w:id="35"/>
    <w:bookmarkEnd w:id="36"/>
    <w:p w14:paraId="22D21F1B">
      <w:pPr>
        <w:keepNext w:val="0"/>
        <w:keepLines w:val="0"/>
        <w:pageBreakBefore w:val="0"/>
        <w:kinsoku/>
        <w:wordWrap/>
        <w:overflowPunct/>
        <w:topLinePunct w:val="0"/>
        <w:autoSpaceDE/>
        <w:autoSpaceDN/>
        <w:bidi w:val="0"/>
        <w:spacing w:before="0" w:line="480" w:lineRule="exact"/>
        <w:ind w:right="22" w:firstLine="560" w:firstLineChars="200"/>
        <w:jc w:val="both"/>
        <w:textAlignment w:val="auto"/>
        <w:rPr>
          <w:rFonts w:hint="eastAsia" w:asciiTheme="minorEastAsia" w:hAnsiTheme="minorEastAsia" w:eastAsiaTheme="minorEastAsia" w:cstheme="minorEastAsia"/>
          <w:color w:val="333333"/>
          <w:spacing w:val="0"/>
          <w:kern w:val="0"/>
          <w:sz w:val="28"/>
          <w:szCs w:val="28"/>
          <w:highlight w:val="none"/>
          <w:lang w:val="en-US" w:eastAsia="zh-CN" w:bidi="ar-SA"/>
        </w:rPr>
      </w:pPr>
      <w:bookmarkStart w:id="37" w:name="_Toc246996241"/>
      <w:bookmarkStart w:id="38" w:name="_Toc144974565"/>
      <w:bookmarkStart w:id="39" w:name="_Toc152042375"/>
      <w:bookmarkStart w:id="40" w:name="_Toc152045598"/>
      <w:bookmarkStart w:id="41" w:name="_Toc247085756"/>
      <w:bookmarkStart w:id="42" w:name="_Toc179632616"/>
      <w:bookmarkStart w:id="43" w:name="_Toc246996984"/>
      <w:r>
        <w:rPr>
          <w:rFonts w:hint="eastAsia" w:asciiTheme="minorEastAsia" w:hAnsiTheme="minorEastAsia" w:eastAsiaTheme="minorEastAsia" w:cstheme="minorEastAsia"/>
          <w:color w:val="333333"/>
          <w:spacing w:val="0"/>
          <w:kern w:val="0"/>
          <w:sz w:val="28"/>
          <w:szCs w:val="28"/>
          <w:highlight w:val="none"/>
          <w:lang w:val="en-US" w:eastAsia="zh-CN" w:bidi="ar-SA"/>
        </w:rPr>
        <w:t>1、采购人信息</w:t>
      </w:r>
    </w:p>
    <w:p w14:paraId="418B1532">
      <w:pPr>
        <w:keepNext w:val="0"/>
        <w:keepLines w:val="0"/>
        <w:pageBreakBefore w:val="0"/>
        <w:kinsoku/>
        <w:wordWrap/>
        <w:overflowPunct/>
        <w:topLinePunct w:val="0"/>
        <w:autoSpaceDE/>
        <w:autoSpaceDN/>
        <w:bidi w:val="0"/>
        <w:spacing w:before="0" w:line="480" w:lineRule="exact"/>
        <w:ind w:right="22" w:firstLine="560" w:firstLineChars="200"/>
        <w:jc w:val="both"/>
        <w:textAlignment w:val="auto"/>
        <w:rPr>
          <w:rFonts w:hint="eastAsia" w:asciiTheme="minorEastAsia" w:hAnsiTheme="minorEastAsia" w:eastAsiaTheme="minorEastAsia" w:cstheme="minorEastAsia"/>
          <w:color w:val="333333"/>
          <w:spacing w:val="0"/>
          <w:kern w:val="0"/>
          <w:sz w:val="28"/>
          <w:szCs w:val="28"/>
          <w:highlight w:val="none"/>
          <w:lang w:val="en-US" w:eastAsia="zh-CN" w:bidi="ar-SA"/>
        </w:rPr>
      </w:pPr>
      <w:r>
        <w:rPr>
          <w:rFonts w:hint="eastAsia" w:asciiTheme="minorEastAsia" w:hAnsiTheme="minorEastAsia" w:eastAsiaTheme="minorEastAsia" w:cstheme="minorEastAsia"/>
          <w:color w:val="333333"/>
          <w:spacing w:val="0"/>
          <w:kern w:val="0"/>
          <w:sz w:val="28"/>
          <w:szCs w:val="28"/>
          <w:highlight w:val="none"/>
          <w:lang w:val="en-US" w:eastAsia="zh-CN" w:bidi="ar-SA"/>
        </w:rPr>
        <w:t>采购人：磐石市政务服务和数字化建设管理局</w:t>
      </w:r>
    </w:p>
    <w:p w14:paraId="49DFC826">
      <w:pPr>
        <w:keepNext w:val="0"/>
        <w:keepLines w:val="0"/>
        <w:pageBreakBefore w:val="0"/>
        <w:kinsoku/>
        <w:wordWrap/>
        <w:overflowPunct/>
        <w:topLinePunct w:val="0"/>
        <w:autoSpaceDE/>
        <w:autoSpaceDN/>
        <w:bidi w:val="0"/>
        <w:spacing w:before="0" w:line="480" w:lineRule="exact"/>
        <w:ind w:right="22" w:firstLine="560" w:firstLineChars="200"/>
        <w:jc w:val="both"/>
        <w:textAlignment w:val="auto"/>
        <w:rPr>
          <w:rFonts w:hint="default" w:asciiTheme="minorEastAsia" w:hAnsiTheme="minorEastAsia" w:eastAsiaTheme="minorEastAsia" w:cstheme="minorEastAsia"/>
          <w:color w:val="333333"/>
          <w:spacing w:val="0"/>
          <w:kern w:val="0"/>
          <w:sz w:val="28"/>
          <w:szCs w:val="28"/>
          <w:highlight w:val="none"/>
          <w:lang w:val="en-US" w:eastAsia="zh-CN" w:bidi="ar-SA"/>
        </w:rPr>
      </w:pPr>
      <w:r>
        <w:rPr>
          <w:rFonts w:hint="eastAsia" w:asciiTheme="minorEastAsia" w:hAnsiTheme="minorEastAsia" w:eastAsiaTheme="minorEastAsia" w:cstheme="minorEastAsia"/>
          <w:color w:val="333333"/>
          <w:spacing w:val="0"/>
          <w:kern w:val="0"/>
          <w:sz w:val="28"/>
          <w:szCs w:val="28"/>
          <w:highlight w:val="none"/>
          <w:lang w:val="en-US" w:eastAsia="zh-CN" w:bidi="ar-SA"/>
        </w:rPr>
        <w:t>地址：吉林市磐石市永昌路</w:t>
      </w:r>
    </w:p>
    <w:p w14:paraId="441476B8">
      <w:pPr>
        <w:keepNext w:val="0"/>
        <w:keepLines w:val="0"/>
        <w:pageBreakBefore w:val="0"/>
        <w:kinsoku/>
        <w:wordWrap/>
        <w:overflowPunct/>
        <w:topLinePunct w:val="0"/>
        <w:autoSpaceDE/>
        <w:autoSpaceDN/>
        <w:bidi w:val="0"/>
        <w:spacing w:before="0" w:line="480" w:lineRule="exact"/>
        <w:ind w:right="22" w:firstLine="560" w:firstLineChars="200"/>
        <w:jc w:val="both"/>
        <w:textAlignment w:val="auto"/>
        <w:rPr>
          <w:rFonts w:hint="eastAsia" w:asciiTheme="minorEastAsia" w:hAnsiTheme="minorEastAsia" w:eastAsiaTheme="minorEastAsia" w:cstheme="minorEastAsia"/>
          <w:color w:val="333333"/>
          <w:spacing w:val="0"/>
          <w:kern w:val="0"/>
          <w:sz w:val="28"/>
          <w:szCs w:val="28"/>
          <w:highlight w:val="none"/>
          <w:lang w:val="en-US" w:eastAsia="zh-CN" w:bidi="ar-SA"/>
        </w:rPr>
      </w:pPr>
      <w:r>
        <w:rPr>
          <w:rFonts w:hint="eastAsia" w:asciiTheme="minorEastAsia" w:hAnsiTheme="minorEastAsia" w:eastAsiaTheme="minorEastAsia" w:cstheme="minorEastAsia"/>
          <w:color w:val="333333"/>
          <w:spacing w:val="0"/>
          <w:kern w:val="0"/>
          <w:sz w:val="28"/>
          <w:szCs w:val="28"/>
          <w:highlight w:val="none"/>
          <w:lang w:val="en-US" w:eastAsia="zh-CN" w:bidi="ar-SA"/>
        </w:rPr>
        <w:t>联系人：吴思颖</w:t>
      </w:r>
    </w:p>
    <w:p w14:paraId="7B3FA7AA">
      <w:pPr>
        <w:keepNext w:val="0"/>
        <w:keepLines w:val="0"/>
        <w:pageBreakBefore w:val="0"/>
        <w:kinsoku/>
        <w:wordWrap/>
        <w:overflowPunct/>
        <w:topLinePunct w:val="0"/>
        <w:autoSpaceDE/>
        <w:autoSpaceDN/>
        <w:bidi w:val="0"/>
        <w:spacing w:before="0" w:line="480" w:lineRule="exact"/>
        <w:ind w:right="22" w:firstLine="560" w:firstLineChars="200"/>
        <w:jc w:val="both"/>
        <w:textAlignment w:val="auto"/>
        <w:rPr>
          <w:rFonts w:hint="eastAsia" w:asciiTheme="minorEastAsia" w:hAnsiTheme="minorEastAsia" w:eastAsiaTheme="minorEastAsia" w:cstheme="minorEastAsia"/>
          <w:color w:val="333333"/>
          <w:spacing w:val="0"/>
          <w:kern w:val="0"/>
          <w:sz w:val="28"/>
          <w:szCs w:val="28"/>
          <w:highlight w:val="none"/>
          <w:lang w:val="en-US" w:eastAsia="zh-CN" w:bidi="ar-SA"/>
        </w:rPr>
      </w:pPr>
      <w:r>
        <w:rPr>
          <w:rFonts w:hint="eastAsia" w:asciiTheme="minorEastAsia" w:hAnsiTheme="minorEastAsia" w:eastAsiaTheme="minorEastAsia" w:cstheme="minorEastAsia"/>
          <w:color w:val="333333"/>
          <w:spacing w:val="0"/>
          <w:kern w:val="0"/>
          <w:sz w:val="28"/>
          <w:szCs w:val="28"/>
          <w:highlight w:val="none"/>
          <w:lang w:val="en-US" w:eastAsia="zh-CN" w:bidi="ar-SA"/>
        </w:rPr>
        <w:t>联系方式：0432-65251208</w:t>
      </w:r>
    </w:p>
    <w:p w14:paraId="156F311C">
      <w:pPr>
        <w:keepNext w:val="0"/>
        <w:keepLines w:val="0"/>
        <w:pageBreakBefore w:val="0"/>
        <w:kinsoku/>
        <w:wordWrap/>
        <w:overflowPunct/>
        <w:topLinePunct w:val="0"/>
        <w:autoSpaceDE/>
        <w:autoSpaceDN/>
        <w:bidi w:val="0"/>
        <w:spacing w:before="0" w:line="480" w:lineRule="exact"/>
        <w:ind w:right="22" w:firstLine="560" w:firstLineChars="200"/>
        <w:jc w:val="both"/>
        <w:textAlignment w:val="auto"/>
        <w:rPr>
          <w:rFonts w:hint="eastAsia" w:asciiTheme="minorEastAsia" w:hAnsiTheme="minorEastAsia" w:eastAsiaTheme="minorEastAsia" w:cstheme="minorEastAsia"/>
          <w:color w:val="333333"/>
          <w:spacing w:val="0"/>
          <w:kern w:val="0"/>
          <w:sz w:val="28"/>
          <w:szCs w:val="28"/>
          <w:highlight w:val="none"/>
          <w:lang w:val="en-US" w:eastAsia="zh-CN" w:bidi="ar-SA"/>
        </w:rPr>
      </w:pPr>
      <w:r>
        <w:rPr>
          <w:rFonts w:hint="eastAsia" w:asciiTheme="minorEastAsia" w:hAnsiTheme="minorEastAsia" w:eastAsiaTheme="minorEastAsia" w:cstheme="minorEastAsia"/>
          <w:color w:val="333333"/>
          <w:spacing w:val="0"/>
          <w:kern w:val="0"/>
          <w:sz w:val="28"/>
          <w:szCs w:val="28"/>
          <w:highlight w:val="none"/>
          <w:lang w:val="en-US" w:eastAsia="zh-CN" w:bidi="ar-SA"/>
        </w:rPr>
        <w:t>2、代理机构信息</w:t>
      </w:r>
    </w:p>
    <w:p w14:paraId="7AA4552C">
      <w:pPr>
        <w:keepNext w:val="0"/>
        <w:keepLines w:val="0"/>
        <w:pageBreakBefore w:val="0"/>
        <w:kinsoku/>
        <w:wordWrap/>
        <w:overflowPunct/>
        <w:topLinePunct w:val="0"/>
        <w:autoSpaceDE/>
        <w:autoSpaceDN/>
        <w:bidi w:val="0"/>
        <w:spacing w:before="0" w:line="480" w:lineRule="exact"/>
        <w:ind w:right="22" w:firstLine="560" w:firstLineChars="200"/>
        <w:jc w:val="both"/>
        <w:textAlignment w:val="auto"/>
        <w:rPr>
          <w:rFonts w:hint="eastAsia" w:asciiTheme="minorEastAsia" w:hAnsiTheme="minorEastAsia" w:eastAsiaTheme="minorEastAsia" w:cstheme="minorEastAsia"/>
          <w:color w:val="333333"/>
          <w:spacing w:val="0"/>
          <w:kern w:val="0"/>
          <w:sz w:val="28"/>
          <w:szCs w:val="28"/>
          <w:highlight w:val="none"/>
          <w:lang w:val="en-US" w:eastAsia="zh-CN" w:bidi="ar-SA"/>
        </w:rPr>
      </w:pPr>
      <w:r>
        <w:rPr>
          <w:rFonts w:hint="eastAsia" w:asciiTheme="minorEastAsia" w:hAnsiTheme="minorEastAsia" w:eastAsiaTheme="minorEastAsia" w:cstheme="minorEastAsia"/>
          <w:color w:val="333333"/>
          <w:spacing w:val="0"/>
          <w:kern w:val="0"/>
          <w:sz w:val="28"/>
          <w:szCs w:val="28"/>
          <w:highlight w:val="none"/>
          <w:lang w:val="en-US" w:eastAsia="zh-CN" w:bidi="ar-SA"/>
        </w:rPr>
        <w:t>代理机构：吉林华誉项目管理有限公司</w:t>
      </w:r>
    </w:p>
    <w:p w14:paraId="5AB9BF7D">
      <w:pPr>
        <w:keepNext w:val="0"/>
        <w:keepLines w:val="0"/>
        <w:pageBreakBefore w:val="0"/>
        <w:kinsoku/>
        <w:wordWrap/>
        <w:overflowPunct/>
        <w:topLinePunct w:val="0"/>
        <w:autoSpaceDE/>
        <w:autoSpaceDN/>
        <w:bidi w:val="0"/>
        <w:spacing w:before="0" w:line="480" w:lineRule="exact"/>
        <w:ind w:right="22" w:firstLine="560" w:firstLineChars="200"/>
        <w:jc w:val="both"/>
        <w:textAlignment w:val="auto"/>
        <w:rPr>
          <w:rFonts w:hint="eastAsia" w:asciiTheme="minorEastAsia" w:hAnsiTheme="minorEastAsia" w:eastAsiaTheme="minorEastAsia" w:cstheme="minorEastAsia"/>
          <w:color w:val="333333"/>
          <w:spacing w:val="0"/>
          <w:kern w:val="0"/>
          <w:sz w:val="28"/>
          <w:szCs w:val="28"/>
          <w:highlight w:val="none"/>
          <w:lang w:val="en-US" w:eastAsia="zh-CN" w:bidi="ar-SA"/>
        </w:rPr>
      </w:pPr>
      <w:r>
        <w:rPr>
          <w:rFonts w:hint="eastAsia" w:asciiTheme="minorEastAsia" w:hAnsiTheme="minorEastAsia" w:eastAsiaTheme="minorEastAsia" w:cstheme="minorEastAsia"/>
          <w:color w:val="333333"/>
          <w:spacing w:val="0"/>
          <w:kern w:val="0"/>
          <w:sz w:val="28"/>
          <w:szCs w:val="28"/>
          <w:highlight w:val="none"/>
          <w:lang w:val="en-US" w:eastAsia="zh-CN" w:bidi="ar-SA"/>
        </w:rPr>
        <w:t>地址：吉林市船营区越山路379号</w:t>
      </w:r>
    </w:p>
    <w:p w14:paraId="5F8A23C1">
      <w:pPr>
        <w:keepNext w:val="0"/>
        <w:keepLines w:val="0"/>
        <w:pageBreakBefore w:val="0"/>
        <w:kinsoku/>
        <w:wordWrap/>
        <w:overflowPunct/>
        <w:topLinePunct w:val="0"/>
        <w:autoSpaceDE/>
        <w:autoSpaceDN/>
        <w:bidi w:val="0"/>
        <w:spacing w:before="0" w:line="480" w:lineRule="exact"/>
        <w:ind w:right="22" w:firstLine="560" w:firstLineChars="200"/>
        <w:jc w:val="both"/>
        <w:textAlignment w:val="auto"/>
        <w:rPr>
          <w:rFonts w:hint="eastAsia" w:asciiTheme="minorEastAsia" w:hAnsiTheme="minorEastAsia" w:eastAsiaTheme="minorEastAsia" w:cstheme="minorEastAsia"/>
          <w:color w:val="333333"/>
          <w:spacing w:val="0"/>
          <w:kern w:val="0"/>
          <w:sz w:val="28"/>
          <w:szCs w:val="28"/>
          <w:highlight w:val="none"/>
          <w:lang w:val="en-US" w:eastAsia="zh-CN" w:bidi="ar-SA"/>
        </w:rPr>
      </w:pPr>
      <w:r>
        <w:rPr>
          <w:rFonts w:hint="eastAsia" w:asciiTheme="minorEastAsia" w:hAnsiTheme="minorEastAsia" w:eastAsiaTheme="minorEastAsia" w:cstheme="minorEastAsia"/>
          <w:color w:val="333333"/>
          <w:spacing w:val="0"/>
          <w:kern w:val="0"/>
          <w:sz w:val="28"/>
          <w:szCs w:val="28"/>
          <w:highlight w:val="none"/>
          <w:lang w:val="en-US" w:eastAsia="zh-CN" w:bidi="ar-SA"/>
        </w:rPr>
        <w:t>联系方式：0432-63588809</w:t>
      </w:r>
    </w:p>
    <w:p w14:paraId="6CD80108">
      <w:pPr>
        <w:keepNext w:val="0"/>
        <w:keepLines w:val="0"/>
        <w:pageBreakBefore w:val="0"/>
        <w:kinsoku/>
        <w:wordWrap/>
        <w:overflowPunct/>
        <w:topLinePunct w:val="0"/>
        <w:autoSpaceDE/>
        <w:autoSpaceDN/>
        <w:bidi w:val="0"/>
        <w:spacing w:before="0" w:line="480" w:lineRule="exact"/>
        <w:ind w:right="22" w:firstLine="560" w:firstLineChars="200"/>
        <w:jc w:val="both"/>
        <w:textAlignment w:val="auto"/>
        <w:rPr>
          <w:rFonts w:hint="eastAsia" w:asciiTheme="minorEastAsia" w:hAnsiTheme="minorEastAsia" w:eastAsiaTheme="minorEastAsia" w:cstheme="minorEastAsia"/>
          <w:color w:val="333333"/>
          <w:spacing w:val="0"/>
          <w:kern w:val="0"/>
          <w:sz w:val="28"/>
          <w:szCs w:val="28"/>
          <w:highlight w:val="none"/>
          <w:lang w:val="en-US" w:eastAsia="zh-CN" w:bidi="ar-SA"/>
        </w:rPr>
      </w:pPr>
      <w:r>
        <w:rPr>
          <w:rFonts w:hint="eastAsia" w:asciiTheme="minorEastAsia" w:hAnsiTheme="minorEastAsia" w:eastAsiaTheme="minorEastAsia" w:cstheme="minorEastAsia"/>
          <w:color w:val="333333"/>
          <w:spacing w:val="0"/>
          <w:kern w:val="0"/>
          <w:sz w:val="28"/>
          <w:szCs w:val="28"/>
          <w:highlight w:val="none"/>
          <w:lang w:val="en-US" w:eastAsia="zh-CN" w:bidi="ar-SA"/>
        </w:rPr>
        <w:t>3、项目联系方式</w:t>
      </w:r>
    </w:p>
    <w:p w14:paraId="24A76AE2">
      <w:pPr>
        <w:keepNext w:val="0"/>
        <w:keepLines w:val="0"/>
        <w:pageBreakBefore w:val="0"/>
        <w:kinsoku/>
        <w:wordWrap/>
        <w:overflowPunct/>
        <w:topLinePunct w:val="0"/>
        <w:autoSpaceDE/>
        <w:autoSpaceDN/>
        <w:bidi w:val="0"/>
        <w:spacing w:before="0" w:line="480" w:lineRule="exact"/>
        <w:ind w:right="22" w:firstLine="560" w:firstLineChars="200"/>
        <w:jc w:val="both"/>
        <w:textAlignment w:val="auto"/>
        <w:rPr>
          <w:rFonts w:hint="eastAsia" w:asciiTheme="minorEastAsia" w:hAnsiTheme="minorEastAsia" w:eastAsiaTheme="minorEastAsia" w:cstheme="minorEastAsia"/>
          <w:color w:val="333333"/>
          <w:spacing w:val="0"/>
          <w:kern w:val="0"/>
          <w:sz w:val="28"/>
          <w:szCs w:val="28"/>
          <w:highlight w:val="none"/>
          <w:lang w:val="en-US" w:eastAsia="zh-CN" w:bidi="ar-SA"/>
        </w:rPr>
      </w:pPr>
      <w:r>
        <w:rPr>
          <w:rFonts w:hint="eastAsia" w:asciiTheme="minorEastAsia" w:hAnsiTheme="minorEastAsia" w:eastAsiaTheme="minorEastAsia" w:cstheme="minorEastAsia"/>
          <w:color w:val="333333"/>
          <w:spacing w:val="0"/>
          <w:kern w:val="0"/>
          <w:sz w:val="28"/>
          <w:szCs w:val="28"/>
          <w:highlight w:val="none"/>
          <w:lang w:val="en-US" w:eastAsia="zh-CN" w:bidi="ar-SA"/>
        </w:rPr>
        <w:t>项目联系人：王佳晨</w:t>
      </w:r>
    </w:p>
    <w:p w14:paraId="1E922F7A">
      <w:pPr>
        <w:keepNext w:val="0"/>
        <w:keepLines w:val="0"/>
        <w:pageBreakBefore w:val="0"/>
        <w:kinsoku/>
        <w:wordWrap/>
        <w:overflowPunct/>
        <w:topLinePunct w:val="0"/>
        <w:autoSpaceDE/>
        <w:autoSpaceDN/>
        <w:bidi w:val="0"/>
        <w:spacing w:before="0" w:line="480" w:lineRule="exact"/>
        <w:ind w:right="22" w:firstLine="560" w:firstLineChars="200"/>
        <w:jc w:val="both"/>
        <w:textAlignment w:val="auto"/>
        <w:rPr>
          <w:rFonts w:hint="eastAsia" w:asciiTheme="minorEastAsia" w:hAnsiTheme="minorEastAsia" w:eastAsiaTheme="minorEastAsia" w:cstheme="minorEastAsia"/>
          <w:color w:val="333333"/>
          <w:spacing w:val="0"/>
          <w:kern w:val="0"/>
          <w:sz w:val="28"/>
          <w:szCs w:val="28"/>
          <w:highlight w:val="none"/>
          <w:lang w:val="en-US" w:eastAsia="zh-CN" w:bidi="ar-SA"/>
        </w:rPr>
      </w:pPr>
      <w:r>
        <w:rPr>
          <w:rFonts w:hint="eastAsia" w:asciiTheme="minorEastAsia" w:hAnsiTheme="minorEastAsia" w:eastAsiaTheme="minorEastAsia" w:cstheme="minorEastAsia"/>
          <w:color w:val="333333"/>
          <w:spacing w:val="0"/>
          <w:kern w:val="0"/>
          <w:sz w:val="28"/>
          <w:szCs w:val="28"/>
          <w:highlight w:val="none"/>
          <w:lang w:val="en-US" w:eastAsia="zh-CN" w:bidi="ar-SA"/>
        </w:rPr>
        <w:t>联系电话：0432-63588809</w:t>
      </w:r>
    </w:p>
    <w:p w14:paraId="046A03CD">
      <w:pPr>
        <w:pStyle w:val="40"/>
        <w:widowControl w:val="0"/>
        <w:wordWrap w:val="0"/>
        <w:autoSpaceDN w:val="0"/>
        <w:spacing w:before="0" w:beforeAutospacing="0" w:after="0" w:afterAutospacing="0" w:line="500" w:lineRule="exact"/>
        <w:ind w:firstLine="723" w:firstLineChars="200"/>
        <w:jc w:val="center"/>
        <w:rPr>
          <w:rFonts w:hint="eastAsia" w:ascii="宋体" w:hAnsi="宋体" w:eastAsia="宋体" w:cs="宋体"/>
          <w:b/>
          <w:kern w:val="0"/>
          <w:sz w:val="36"/>
          <w:szCs w:val="21"/>
          <w:highlight w:val="none"/>
          <w:lang w:val="zh-CN" w:eastAsia="zh-CN" w:bidi="ar-SA"/>
        </w:rPr>
      </w:pPr>
    </w:p>
    <w:p w14:paraId="330B59B5">
      <w:pPr>
        <w:rPr>
          <w:rFonts w:hint="eastAsia" w:ascii="宋体" w:hAnsi="宋体" w:eastAsia="宋体" w:cs="宋体"/>
          <w:b/>
          <w:kern w:val="0"/>
          <w:sz w:val="36"/>
          <w:szCs w:val="21"/>
          <w:highlight w:val="none"/>
          <w:lang w:val="zh-CN" w:eastAsia="zh-CN" w:bidi="ar-SA"/>
        </w:rPr>
      </w:pPr>
      <w:r>
        <w:rPr>
          <w:rFonts w:hint="eastAsia" w:ascii="宋体" w:hAnsi="宋体" w:eastAsia="宋体" w:cs="宋体"/>
          <w:b/>
          <w:kern w:val="0"/>
          <w:sz w:val="36"/>
          <w:szCs w:val="21"/>
          <w:highlight w:val="none"/>
          <w:lang w:val="zh-CN" w:eastAsia="zh-CN" w:bidi="ar-SA"/>
        </w:rPr>
        <w:br w:type="page"/>
      </w:r>
    </w:p>
    <w:p w14:paraId="4988DBAE">
      <w:pPr>
        <w:pStyle w:val="40"/>
        <w:widowControl w:val="0"/>
        <w:wordWrap w:val="0"/>
        <w:autoSpaceDN w:val="0"/>
        <w:spacing w:before="0" w:beforeAutospacing="0" w:after="0" w:afterAutospacing="0" w:line="500" w:lineRule="exact"/>
        <w:ind w:firstLine="723" w:firstLineChars="200"/>
        <w:jc w:val="center"/>
        <w:rPr>
          <w:rFonts w:hint="eastAsia" w:ascii="宋体" w:hAnsi="宋体" w:eastAsia="宋体" w:cs="宋体"/>
          <w:b/>
          <w:kern w:val="0"/>
          <w:sz w:val="36"/>
          <w:szCs w:val="21"/>
          <w:highlight w:val="none"/>
          <w:lang w:val="zh-CN" w:eastAsia="zh-CN" w:bidi="ar-SA"/>
        </w:rPr>
      </w:pPr>
    </w:p>
    <w:p w14:paraId="3A653848">
      <w:pPr>
        <w:pStyle w:val="40"/>
        <w:widowControl w:val="0"/>
        <w:wordWrap w:val="0"/>
        <w:autoSpaceDN w:val="0"/>
        <w:spacing w:before="0" w:beforeAutospacing="0" w:after="0" w:afterAutospacing="0" w:line="500" w:lineRule="exact"/>
        <w:ind w:firstLine="723" w:firstLineChars="200"/>
        <w:jc w:val="center"/>
        <w:outlineLvl w:val="0"/>
        <w:rPr>
          <w:rFonts w:hint="eastAsia" w:ascii="宋体" w:hAnsi="宋体" w:eastAsia="宋体" w:cs="宋体"/>
          <w:bCs/>
          <w:sz w:val="40"/>
          <w:szCs w:val="40"/>
          <w:highlight w:val="none"/>
          <w:lang w:val="zh-CN"/>
        </w:rPr>
      </w:pPr>
      <w:r>
        <w:rPr>
          <w:rFonts w:hint="eastAsia" w:ascii="宋体" w:hAnsi="宋体" w:eastAsia="宋体" w:cs="宋体"/>
          <w:b/>
          <w:kern w:val="0"/>
          <w:sz w:val="36"/>
          <w:szCs w:val="21"/>
          <w:highlight w:val="none"/>
          <w:lang w:val="zh-CN" w:eastAsia="zh-CN" w:bidi="ar-SA"/>
        </w:rPr>
        <w:t>第二章</w:t>
      </w:r>
      <w:r>
        <w:rPr>
          <w:rFonts w:hint="eastAsia" w:ascii="宋体" w:hAnsi="宋体" w:eastAsia="宋体" w:cs="宋体"/>
          <w:b/>
          <w:kern w:val="0"/>
          <w:sz w:val="36"/>
          <w:szCs w:val="21"/>
          <w:highlight w:val="none"/>
          <w:lang w:val="en-US" w:eastAsia="zh-CN" w:bidi="ar-SA"/>
        </w:rPr>
        <w:t xml:space="preserve"> </w:t>
      </w:r>
      <w:r>
        <w:rPr>
          <w:rFonts w:hint="eastAsia" w:ascii="宋体" w:hAnsi="宋体" w:eastAsia="宋体" w:cs="宋体"/>
          <w:b/>
          <w:kern w:val="0"/>
          <w:sz w:val="36"/>
          <w:szCs w:val="21"/>
          <w:highlight w:val="none"/>
          <w:lang w:val="zh-CN" w:eastAsia="zh-CN" w:bidi="ar-SA"/>
        </w:rPr>
        <w:t xml:space="preserve"> 投标人须知</w:t>
      </w:r>
    </w:p>
    <w:p w14:paraId="5AE2E117">
      <w:pPr>
        <w:pStyle w:val="42"/>
        <w:spacing w:line="500" w:lineRule="exact"/>
        <w:ind w:firstLine="562" w:firstLineChars="200"/>
        <w:rPr>
          <w:rFonts w:hint="eastAsia" w:ascii="宋体" w:hAnsi="宋体" w:eastAsia="宋体" w:cs="宋体"/>
          <w:sz w:val="36"/>
          <w:szCs w:val="21"/>
          <w:highlight w:val="none"/>
        </w:rPr>
      </w:pPr>
      <w:bookmarkStart w:id="44" w:name="_Toc20211"/>
      <w:bookmarkStart w:id="45" w:name="_Toc403061795"/>
      <w:bookmarkStart w:id="46" w:name="_Toc30088"/>
      <w:r>
        <w:rPr>
          <w:rFonts w:hint="eastAsia" w:ascii="宋体" w:hAnsi="宋体" w:eastAsia="宋体" w:cs="宋体"/>
          <w:sz w:val="28"/>
          <w:szCs w:val="18"/>
          <w:highlight w:val="none"/>
        </w:rPr>
        <w:t>投标人须知前附表</w:t>
      </w:r>
      <w:bookmarkEnd w:id="44"/>
      <w:bookmarkEnd w:id="45"/>
      <w:bookmarkEnd w:id="46"/>
    </w:p>
    <w:tbl>
      <w:tblPr>
        <w:tblStyle w:val="46"/>
        <w:tblW w:w="8946" w:type="dxa"/>
        <w:jc w:val="center"/>
        <w:tblLayout w:type="fixed"/>
        <w:tblCellMar>
          <w:top w:w="0" w:type="dxa"/>
          <w:left w:w="108" w:type="dxa"/>
          <w:bottom w:w="0" w:type="dxa"/>
          <w:right w:w="108" w:type="dxa"/>
        </w:tblCellMar>
      </w:tblPr>
      <w:tblGrid>
        <w:gridCol w:w="776"/>
        <w:gridCol w:w="2812"/>
        <w:gridCol w:w="5358"/>
      </w:tblGrid>
      <w:tr w14:paraId="2A905050">
        <w:trPr>
          <w:tblHeade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7B47B82A">
            <w:pPr>
              <w:spacing w:line="440" w:lineRule="exact"/>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序号</w:t>
            </w:r>
          </w:p>
        </w:tc>
        <w:tc>
          <w:tcPr>
            <w:tcW w:w="2812" w:type="dxa"/>
            <w:tcBorders>
              <w:top w:val="single" w:color="auto" w:sz="4" w:space="0"/>
              <w:left w:val="single" w:color="auto" w:sz="4" w:space="0"/>
              <w:bottom w:val="single" w:color="auto" w:sz="4" w:space="0"/>
              <w:right w:val="single" w:color="auto" w:sz="4" w:space="0"/>
            </w:tcBorders>
            <w:noWrap w:val="0"/>
            <w:vAlign w:val="center"/>
          </w:tcPr>
          <w:p w14:paraId="78630C2D">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条  款  名  称</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59B5C06C">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编  列  内  容</w:t>
            </w:r>
          </w:p>
        </w:tc>
      </w:tr>
      <w:tr w14:paraId="4BA8983D">
        <w:tblPrEx>
          <w:tblCellMar>
            <w:top w:w="0" w:type="dxa"/>
            <w:left w:w="108" w:type="dxa"/>
            <w:bottom w:w="0" w:type="dxa"/>
            <w:right w:w="108" w:type="dxa"/>
          </w:tblCellMar>
        </w:tblPrEx>
        <w:trPr>
          <w:trHeight w:val="1672"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671C7B65">
            <w:pPr>
              <w:spacing w:line="440" w:lineRule="exact"/>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1</w:t>
            </w:r>
          </w:p>
        </w:tc>
        <w:tc>
          <w:tcPr>
            <w:tcW w:w="2812" w:type="dxa"/>
            <w:tcBorders>
              <w:top w:val="single" w:color="auto" w:sz="4" w:space="0"/>
              <w:left w:val="single" w:color="auto" w:sz="4" w:space="0"/>
              <w:bottom w:val="single" w:color="auto" w:sz="4" w:space="0"/>
              <w:right w:val="single" w:color="auto" w:sz="4" w:space="0"/>
            </w:tcBorders>
            <w:noWrap w:val="0"/>
            <w:vAlign w:val="center"/>
          </w:tcPr>
          <w:p w14:paraId="4BA4F50C">
            <w:pPr>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采购</w:t>
            </w:r>
            <w:r>
              <w:rPr>
                <w:rFonts w:hint="eastAsia" w:asciiTheme="minorEastAsia" w:hAnsiTheme="minorEastAsia" w:eastAsiaTheme="minorEastAsia" w:cstheme="minorEastAsia"/>
                <w:sz w:val="24"/>
                <w:szCs w:val="24"/>
                <w:highlight w:val="none"/>
              </w:rPr>
              <w:t>人</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6FEA55A8">
            <w:pPr>
              <w:spacing w:line="335" w:lineRule="auto"/>
              <w:ind w:right="28"/>
              <w:jc w:val="left"/>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采购人：</w:t>
            </w:r>
            <w:r>
              <w:rPr>
                <w:rFonts w:hint="eastAsia" w:ascii="宋体" w:hAnsi="宋体" w:cs="宋体"/>
                <w:color w:val="auto"/>
                <w:spacing w:val="4"/>
                <w:sz w:val="24"/>
                <w:szCs w:val="24"/>
                <w:highlight w:val="none"/>
                <w:lang w:val="en-US" w:eastAsia="zh-CN"/>
              </w:rPr>
              <w:t>磐石市政务服务和数字化建设管理局</w:t>
            </w:r>
          </w:p>
          <w:p w14:paraId="1CA86416">
            <w:pPr>
              <w:spacing w:line="335" w:lineRule="auto"/>
              <w:ind w:right="28"/>
              <w:jc w:val="left"/>
              <w:rPr>
                <w:rFonts w:hint="default"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地址：</w:t>
            </w:r>
            <w:r>
              <w:rPr>
                <w:rFonts w:hint="eastAsia" w:ascii="宋体" w:hAnsi="宋体" w:cs="宋体"/>
                <w:color w:val="auto"/>
                <w:spacing w:val="4"/>
                <w:sz w:val="24"/>
                <w:szCs w:val="24"/>
                <w:highlight w:val="none"/>
                <w:lang w:val="en-US" w:eastAsia="zh-CN"/>
              </w:rPr>
              <w:t>吉林市磐石市永昌路</w:t>
            </w:r>
          </w:p>
          <w:p w14:paraId="3603E86B">
            <w:pPr>
              <w:spacing w:line="335" w:lineRule="auto"/>
              <w:ind w:right="28"/>
              <w:jc w:val="left"/>
              <w:rPr>
                <w:rFonts w:hint="default"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联系人：</w:t>
            </w:r>
            <w:r>
              <w:rPr>
                <w:rFonts w:hint="eastAsia" w:ascii="宋体" w:hAnsi="宋体" w:cs="宋体"/>
                <w:color w:val="auto"/>
                <w:spacing w:val="4"/>
                <w:sz w:val="24"/>
                <w:szCs w:val="24"/>
                <w:highlight w:val="none"/>
                <w:lang w:val="en-US" w:eastAsia="zh-CN"/>
              </w:rPr>
              <w:t>吴思颖</w:t>
            </w:r>
          </w:p>
          <w:p w14:paraId="26B951A6">
            <w:pPr>
              <w:spacing w:line="440" w:lineRule="exact"/>
              <w:rPr>
                <w:rFonts w:hint="default" w:asciiTheme="minorEastAsia" w:hAnsiTheme="minorEastAsia" w:eastAsiaTheme="minorEastAsia" w:cstheme="minorEastAsia"/>
                <w:sz w:val="24"/>
                <w:szCs w:val="24"/>
                <w:highlight w:val="none"/>
                <w:lang w:val="en-US"/>
              </w:rPr>
            </w:pPr>
            <w:r>
              <w:rPr>
                <w:rFonts w:hint="eastAsia" w:ascii="宋体" w:hAnsi="宋体" w:eastAsia="宋体" w:cs="宋体"/>
                <w:color w:val="auto"/>
                <w:spacing w:val="4"/>
                <w:sz w:val="24"/>
                <w:szCs w:val="24"/>
                <w:highlight w:val="none"/>
                <w:lang w:val="en-US" w:eastAsia="zh-CN"/>
              </w:rPr>
              <w:t>联系方式：</w:t>
            </w:r>
            <w:r>
              <w:rPr>
                <w:rFonts w:hint="eastAsia" w:ascii="宋体" w:hAnsi="宋体" w:cs="宋体"/>
                <w:color w:val="auto"/>
                <w:spacing w:val="4"/>
                <w:sz w:val="24"/>
                <w:szCs w:val="24"/>
                <w:highlight w:val="none"/>
                <w:lang w:val="en-US" w:eastAsia="zh-CN"/>
              </w:rPr>
              <w:t>0432-65251208</w:t>
            </w:r>
          </w:p>
        </w:tc>
      </w:tr>
      <w:tr w14:paraId="00C54C68">
        <w:tblPrEx>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79765E78">
            <w:pPr>
              <w:spacing w:line="440" w:lineRule="exact"/>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2</w:t>
            </w:r>
          </w:p>
        </w:tc>
        <w:tc>
          <w:tcPr>
            <w:tcW w:w="2812" w:type="dxa"/>
            <w:tcBorders>
              <w:top w:val="single" w:color="auto" w:sz="4" w:space="0"/>
              <w:left w:val="single" w:color="auto" w:sz="4" w:space="0"/>
              <w:bottom w:val="single" w:color="auto" w:sz="4" w:space="0"/>
              <w:right w:val="single" w:color="auto" w:sz="4" w:space="0"/>
            </w:tcBorders>
            <w:noWrap w:val="0"/>
            <w:vAlign w:val="center"/>
          </w:tcPr>
          <w:p w14:paraId="24EA2B46">
            <w:pPr>
              <w:spacing w:line="440" w:lineRule="exact"/>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采购代理机构</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6E0E4A47">
            <w:pPr>
              <w:spacing w:line="440" w:lineRule="exac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代理机构：吉林华誉项目管理有限公司</w:t>
            </w:r>
          </w:p>
          <w:p w14:paraId="12D414BD">
            <w:pPr>
              <w:spacing w:line="440" w:lineRule="exac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地址：吉林市船营区越山路379号</w:t>
            </w:r>
          </w:p>
          <w:p w14:paraId="3D3165D5">
            <w:pPr>
              <w:spacing w:line="440" w:lineRule="exact"/>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联系人：王佳晨</w:t>
            </w:r>
          </w:p>
          <w:p w14:paraId="0E9123C8">
            <w:pPr>
              <w:spacing w:line="440" w:lineRule="exac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联系方式：0432-63588809</w:t>
            </w:r>
          </w:p>
        </w:tc>
      </w:tr>
      <w:tr w14:paraId="2584E34C">
        <w:tblPrEx>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72498603">
            <w:pPr>
              <w:spacing w:line="440" w:lineRule="exact"/>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3</w:t>
            </w:r>
          </w:p>
        </w:tc>
        <w:tc>
          <w:tcPr>
            <w:tcW w:w="2812" w:type="dxa"/>
            <w:tcBorders>
              <w:top w:val="single" w:color="auto" w:sz="4" w:space="0"/>
              <w:left w:val="single" w:color="auto" w:sz="4" w:space="0"/>
              <w:bottom w:val="single" w:color="auto" w:sz="4" w:space="0"/>
              <w:right w:val="single" w:color="auto" w:sz="4" w:space="0"/>
            </w:tcBorders>
            <w:noWrap w:val="0"/>
            <w:vAlign w:val="center"/>
          </w:tcPr>
          <w:p w14:paraId="178017FF">
            <w:pPr>
              <w:spacing w:line="500" w:lineRule="exac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招标概况</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7B27023F">
            <w:pPr>
              <w:spacing w:line="500" w:lineRule="exac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磐石市政务服务中心其他社会服务和食堂后勤服务项目（具体详见招标文件）</w:t>
            </w:r>
          </w:p>
        </w:tc>
      </w:tr>
      <w:tr w14:paraId="60D4876E">
        <w:tblPrEx>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41B95255">
            <w:pPr>
              <w:spacing w:line="440" w:lineRule="exact"/>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w:t>
            </w:r>
          </w:p>
        </w:tc>
        <w:tc>
          <w:tcPr>
            <w:tcW w:w="2812" w:type="dxa"/>
            <w:tcBorders>
              <w:top w:val="single" w:color="auto" w:sz="4" w:space="0"/>
              <w:left w:val="single" w:color="auto" w:sz="4" w:space="0"/>
              <w:bottom w:val="single" w:color="auto" w:sz="4" w:space="0"/>
              <w:right w:val="single" w:color="auto" w:sz="4" w:space="0"/>
            </w:tcBorders>
            <w:noWrap w:val="0"/>
            <w:vAlign w:val="center"/>
          </w:tcPr>
          <w:p w14:paraId="60B39542">
            <w:pPr>
              <w:autoSpaceDE w:val="0"/>
              <w:autoSpaceDN w:val="0"/>
              <w:adjustRightInd w:val="0"/>
              <w:spacing w:line="40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color w:val="auto"/>
                <w:sz w:val="24"/>
                <w:szCs w:val="24"/>
                <w:highlight w:val="none"/>
                <w:lang w:val="zh-CN"/>
              </w:rPr>
              <w:t>资金来源</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546F5794">
            <w:pPr>
              <w:spacing w:line="400" w:lineRule="exac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财政资金</w:t>
            </w:r>
          </w:p>
        </w:tc>
      </w:tr>
      <w:tr w14:paraId="4D6B4F5E">
        <w:tblPrEx>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543A304D">
            <w:pPr>
              <w:spacing w:line="440" w:lineRule="exact"/>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w:t>
            </w:r>
          </w:p>
        </w:tc>
        <w:tc>
          <w:tcPr>
            <w:tcW w:w="2812" w:type="dxa"/>
            <w:tcBorders>
              <w:top w:val="single" w:color="auto" w:sz="4" w:space="0"/>
              <w:left w:val="single" w:color="auto" w:sz="4" w:space="0"/>
              <w:bottom w:val="single" w:color="auto" w:sz="4" w:space="0"/>
              <w:right w:val="single" w:color="auto" w:sz="4" w:space="0"/>
            </w:tcBorders>
            <w:noWrap w:val="0"/>
            <w:vAlign w:val="center"/>
          </w:tcPr>
          <w:p w14:paraId="7D3A8F8D">
            <w:pPr>
              <w:autoSpaceDE w:val="0"/>
              <w:autoSpaceDN w:val="0"/>
              <w:adjustRightInd w:val="0"/>
              <w:spacing w:line="40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color w:val="auto"/>
                <w:sz w:val="24"/>
                <w:szCs w:val="24"/>
                <w:highlight w:val="none"/>
                <w:lang w:val="zh-CN"/>
              </w:rPr>
              <w:t>出资比例</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40AB79EE">
            <w:pPr>
              <w:autoSpaceDE w:val="0"/>
              <w:autoSpaceDN w:val="0"/>
              <w:adjustRightInd w:val="0"/>
              <w:spacing w:line="400" w:lineRule="exac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100%</w:t>
            </w:r>
          </w:p>
        </w:tc>
      </w:tr>
      <w:tr w14:paraId="78F3E21B">
        <w:tblPrEx>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5A83154A">
            <w:pPr>
              <w:spacing w:line="440" w:lineRule="exact"/>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w:t>
            </w:r>
          </w:p>
        </w:tc>
        <w:tc>
          <w:tcPr>
            <w:tcW w:w="2812" w:type="dxa"/>
            <w:tcBorders>
              <w:top w:val="single" w:color="auto" w:sz="4" w:space="0"/>
              <w:left w:val="single" w:color="auto" w:sz="4" w:space="0"/>
              <w:bottom w:val="single" w:color="auto" w:sz="4" w:space="0"/>
              <w:right w:val="single" w:color="auto" w:sz="4" w:space="0"/>
            </w:tcBorders>
            <w:noWrap w:val="0"/>
            <w:vAlign w:val="center"/>
          </w:tcPr>
          <w:p w14:paraId="2E80EE41">
            <w:pPr>
              <w:autoSpaceDE w:val="0"/>
              <w:autoSpaceDN w:val="0"/>
              <w:adjustRightInd w:val="0"/>
              <w:spacing w:line="40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color w:val="auto"/>
                <w:sz w:val="24"/>
                <w:szCs w:val="24"/>
                <w:highlight w:val="none"/>
                <w:lang w:val="zh-CN"/>
              </w:rPr>
              <w:t>资金落实情况</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7A71BC4D">
            <w:pPr>
              <w:autoSpaceDE w:val="0"/>
              <w:autoSpaceDN w:val="0"/>
              <w:adjustRightInd w:val="0"/>
              <w:spacing w:line="400" w:lineRule="exac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zh-CN"/>
              </w:rPr>
              <w:t>已落实</w:t>
            </w:r>
          </w:p>
        </w:tc>
      </w:tr>
      <w:tr w14:paraId="459C9409">
        <w:tblPrEx>
          <w:tblCellMar>
            <w:top w:w="0" w:type="dxa"/>
            <w:left w:w="108" w:type="dxa"/>
            <w:bottom w:w="0" w:type="dxa"/>
            <w:right w:w="108" w:type="dxa"/>
          </w:tblCellMar>
        </w:tblPrEx>
        <w:trPr>
          <w:trHeight w:val="777"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4AE5A146">
            <w:pPr>
              <w:spacing w:line="440" w:lineRule="exact"/>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7</w:t>
            </w:r>
          </w:p>
        </w:tc>
        <w:tc>
          <w:tcPr>
            <w:tcW w:w="2812" w:type="dxa"/>
            <w:tcBorders>
              <w:top w:val="single" w:color="auto" w:sz="4" w:space="0"/>
              <w:left w:val="single" w:color="auto" w:sz="4" w:space="0"/>
              <w:bottom w:val="single" w:color="auto" w:sz="4" w:space="0"/>
              <w:right w:val="single" w:color="auto" w:sz="4" w:space="0"/>
            </w:tcBorders>
            <w:noWrap w:val="0"/>
            <w:vAlign w:val="center"/>
          </w:tcPr>
          <w:p w14:paraId="0352B184">
            <w:pPr>
              <w:spacing w:line="500" w:lineRule="exac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采购内容</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332B38C7">
            <w:pPr>
              <w:spacing w:line="500" w:lineRule="exac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磐石市政务服务中心其他社会服务和食堂后勤服务项目（具体详见招标文件）</w:t>
            </w:r>
          </w:p>
        </w:tc>
      </w:tr>
      <w:tr w14:paraId="49CB14FD">
        <w:tblPrEx>
          <w:tblCellMar>
            <w:top w:w="0" w:type="dxa"/>
            <w:left w:w="108" w:type="dxa"/>
            <w:bottom w:w="0" w:type="dxa"/>
            <w:right w:w="108" w:type="dxa"/>
          </w:tblCellMar>
        </w:tblPrEx>
        <w:trPr>
          <w:trHeight w:val="447"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7C4B9FC4">
            <w:pPr>
              <w:spacing w:line="440" w:lineRule="exact"/>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9</w:t>
            </w:r>
          </w:p>
        </w:tc>
        <w:tc>
          <w:tcPr>
            <w:tcW w:w="2812" w:type="dxa"/>
            <w:tcBorders>
              <w:top w:val="single" w:color="auto" w:sz="4" w:space="0"/>
              <w:left w:val="single" w:color="auto" w:sz="4" w:space="0"/>
              <w:bottom w:val="single" w:color="auto" w:sz="4" w:space="0"/>
              <w:right w:val="single" w:color="auto" w:sz="4" w:space="0"/>
            </w:tcBorders>
            <w:noWrap w:val="0"/>
            <w:vAlign w:val="center"/>
          </w:tcPr>
          <w:p w14:paraId="13230595">
            <w:pPr>
              <w:spacing w:line="440" w:lineRule="exact"/>
              <w:jc w:val="left"/>
              <w:rPr>
                <w:rFonts w:hint="default"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eastAsia="zh-CN"/>
              </w:rPr>
              <w:t>服务</w:t>
            </w:r>
            <w:r>
              <w:rPr>
                <w:rFonts w:hint="eastAsia" w:asciiTheme="minorEastAsia" w:hAnsiTheme="minorEastAsia" w:eastAsiaTheme="minorEastAsia" w:cstheme="minorEastAsia"/>
                <w:sz w:val="24"/>
                <w:szCs w:val="24"/>
                <w:highlight w:val="none"/>
                <w:lang w:val="en-US" w:eastAsia="zh-CN"/>
              </w:rPr>
              <w:t>期限</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77452C8B">
            <w:pPr>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一年</w:t>
            </w:r>
          </w:p>
        </w:tc>
      </w:tr>
      <w:tr w14:paraId="626AA4F6">
        <w:tblPrEx>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1AB07C8B">
            <w:pPr>
              <w:spacing w:line="440" w:lineRule="exact"/>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10</w:t>
            </w:r>
          </w:p>
        </w:tc>
        <w:tc>
          <w:tcPr>
            <w:tcW w:w="2812" w:type="dxa"/>
            <w:tcBorders>
              <w:top w:val="single" w:color="auto" w:sz="4" w:space="0"/>
              <w:left w:val="single" w:color="auto" w:sz="4" w:space="0"/>
              <w:bottom w:val="single" w:color="auto" w:sz="4" w:space="0"/>
              <w:right w:val="single" w:color="auto" w:sz="4" w:space="0"/>
            </w:tcBorders>
            <w:noWrap w:val="0"/>
            <w:vAlign w:val="center"/>
          </w:tcPr>
          <w:p w14:paraId="1F0CAB7D">
            <w:pPr>
              <w:spacing w:line="440" w:lineRule="exact"/>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服务标准</w:t>
            </w:r>
          </w:p>
        </w:tc>
        <w:tc>
          <w:tcPr>
            <w:tcW w:w="53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ED7E86">
            <w:pPr>
              <w:widowControl/>
              <w:numPr>
                <w:ilvl w:val="0"/>
                <w:numId w:val="0"/>
              </w:numPr>
              <w:shd w:val="clear" w:color="auto" w:fill="auto"/>
              <w:autoSpaceDE/>
              <w:autoSpaceDN/>
              <w:adjustRightInd/>
              <w:snapToGrid/>
              <w:spacing w:line="240" w:lineRule="atLeast"/>
              <w:ind w:left="0" w:leftChars="0" w:firstLine="0" w:firstLineChars="0"/>
              <w:jc w:val="both"/>
              <w:rPr>
                <w:rFonts w:hint="eastAsia" w:ascii="宋体" w:hAnsi="Times New Roman" w:eastAsia="宋体" w:cs="宋体"/>
                <w:bCs w:val="0"/>
                <w:kern w:val="2"/>
                <w:sz w:val="24"/>
                <w:szCs w:val="24"/>
                <w:highlight w:val="none"/>
                <w:lang w:val="zh-CN" w:eastAsia="zh-CN" w:bidi="ar-SA"/>
              </w:rPr>
            </w:pPr>
            <w:r>
              <w:rPr>
                <w:rFonts w:hint="eastAsia" w:ascii="宋体" w:hAnsi="宋体" w:eastAsia="宋体" w:cs="宋体"/>
                <w:kern w:val="0"/>
                <w:sz w:val="24"/>
                <w:szCs w:val="24"/>
                <w:highlight w:val="none"/>
                <w:lang w:val="en-US" w:eastAsia="zh-CN"/>
              </w:rPr>
              <w:t>符合</w:t>
            </w:r>
            <w:r>
              <w:rPr>
                <w:rFonts w:hint="eastAsia" w:ascii="宋体" w:hAnsi="宋体" w:cs="宋体"/>
                <w:kern w:val="0"/>
                <w:sz w:val="24"/>
                <w:szCs w:val="24"/>
                <w:highlight w:val="none"/>
                <w:lang w:val="en-US" w:eastAsia="zh-CN"/>
              </w:rPr>
              <w:t>招标文件</w:t>
            </w:r>
            <w:r>
              <w:rPr>
                <w:rFonts w:hint="eastAsia" w:ascii="宋体" w:hAnsi="宋体" w:eastAsia="宋体" w:cs="宋体"/>
                <w:kern w:val="0"/>
                <w:sz w:val="24"/>
                <w:szCs w:val="24"/>
                <w:highlight w:val="none"/>
                <w:lang w:val="en-US" w:eastAsia="zh-CN"/>
              </w:rPr>
              <w:t>第五章“服务标准及要求”规定</w:t>
            </w:r>
          </w:p>
        </w:tc>
      </w:tr>
      <w:tr w14:paraId="0053B81D">
        <w:tblPrEx>
          <w:tblCellMar>
            <w:top w:w="0" w:type="dxa"/>
            <w:left w:w="108" w:type="dxa"/>
            <w:bottom w:w="0" w:type="dxa"/>
            <w:right w:w="108" w:type="dxa"/>
          </w:tblCellMar>
        </w:tblPrEx>
        <w:trPr>
          <w:trHeight w:val="994"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134AF6CD">
            <w:pPr>
              <w:spacing w:line="440" w:lineRule="exact"/>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11</w:t>
            </w:r>
          </w:p>
        </w:tc>
        <w:tc>
          <w:tcPr>
            <w:tcW w:w="2812" w:type="dxa"/>
            <w:tcBorders>
              <w:top w:val="single" w:color="auto" w:sz="4" w:space="0"/>
              <w:left w:val="single" w:color="auto" w:sz="4" w:space="0"/>
              <w:bottom w:val="single" w:color="auto" w:sz="4" w:space="0"/>
              <w:right w:val="single" w:color="auto" w:sz="4" w:space="0"/>
            </w:tcBorders>
            <w:noWrap w:val="0"/>
            <w:vAlign w:val="center"/>
          </w:tcPr>
          <w:p w14:paraId="356420CB">
            <w:pPr>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供应商</w:t>
            </w:r>
            <w:r>
              <w:rPr>
                <w:rFonts w:hint="eastAsia" w:asciiTheme="minorEastAsia" w:hAnsiTheme="minorEastAsia" w:eastAsiaTheme="minorEastAsia" w:cstheme="minorEastAsia"/>
                <w:sz w:val="24"/>
                <w:szCs w:val="24"/>
                <w:highlight w:val="none"/>
              </w:rPr>
              <w:t>资质条件、能力</w:t>
            </w:r>
          </w:p>
        </w:tc>
        <w:tc>
          <w:tcPr>
            <w:tcW w:w="5358" w:type="dxa"/>
            <w:tcBorders>
              <w:top w:val="single" w:color="auto" w:sz="4" w:space="0"/>
              <w:left w:val="single" w:color="auto" w:sz="4" w:space="0"/>
              <w:bottom w:val="single" w:color="auto" w:sz="4" w:space="0"/>
              <w:right w:val="single" w:color="auto" w:sz="4" w:space="0"/>
            </w:tcBorders>
            <w:noWrap w:val="0"/>
            <w:vAlign w:val="top"/>
          </w:tcPr>
          <w:p w14:paraId="51E0549C">
            <w:pPr>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参加政府采购活动的供应商应当</w:t>
            </w:r>
            <w:r>
              <w:rPr>
                <w:rFonts w:hint="eastAsia" w:asciiTheme="minorEastAsia" w:hAnsiTheme="minorEastAsia" w:eastAsiaTheme="minorEastAsia" w:cstheme="minorEastAsia"/>
                <w:sz w:val="24"/>
                <w:szCs w:val="24"/>
                <w:highlight w:val="none"/>
                <w:lang w:val="en-US" w:eastAsia="zh-CN"/>
              </w:rPr>
              <w:t>满足《中华人民共和国政府采购法》第二十二条规定</w:t>
            </w:r>
            <w:r>
              <w:rPr>
                <w:rFonts w:hint="eastAsia" w:asciiTheme="minorEastAsia" w:hAnsiTheme="minorEastAsia" w:eastAsiaTheme="minorEastAsia" w:cstheme="minorEastAsia"/>
                <w:sz w:val="24"/>
                <w:szCs w:val="24"/>
                <w:highlight w:val="none"/>
              </w:rPr>
              <w:t>的条件，并在递交投标文件的同时按招标文件要求提供有关资质证明文件：</w:t>
            </w:r>
          </w:p>
          <w:p w14:paraId="5529FD0B">
            <w:pPr>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法人或者其他组织的营业执照（具有本次招标项目的经营范围）等证明文件、自然人的身份证明</w:t>
            </w:r>
            <w:r>
              <w:rPr>
                <w:rFonts w:hint="eastAsia" w:asciiTheme="minorEastAsia" w:hAnsiTheme="minorEastAsia" w:eastAsiaTheme="minorEastAsia" w:cstheme="minorEastAsia"/>
                <w:sz w:val="24"/>
                <w:szCs w:val="24"/>
                <w:highlight w:val="none"/>
              </w:rPr>
              <w:t>；</w:t>
            </w:r>
          </w:p>
          <w:p w14:paraId="6E4BDF0A">
            <w:pPr>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具备履行合同所必需的设备和专业技术能力的证明材料</w:t>
            </w:r>
            <w:r>
              <w:rPr>
                <w:rFonts w:hint="eastAsia" w:asciiTheme="minorEastAsia" w:hAnsiTheme="minorEastAsia" w:eastAsiaTheme="minorEastAsia" w:cstheme="minorEastAsia"/>
                <w:sz w:val="24"/>
                <w:szCs w:val="24"/>
                <w:highlight w:val="none"/>
              </w:rPr>
              <w:t>；</w:t>
            </w:r>
          </w:p>
          <w:p w14:paraId="585AC593">
            <w:pPr>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参加政府采购活动前3年内在经营活动中没有重大违法记录的书面声明</w:t>
            </w:r>
            <w:r>
              <w:rPr>
                <w:rFonts w:hint="eastAsia" w:asciiTheme="minorEastAsia" w:hAnsiTheme="minorEastAsia" w:eastAsiaTheme="minorEastAsia" w:cstheme="minorEastAsia"/>
                <w:sz w:val="24"/>
                <w:szCs w:val="24"/>
                <w:highlight w:val="none"/>
              </w:rPr>
              <w:t>；</w:t>
            </w:r>
          </w:p>
          <w:p w14:paraId="46C68970">
            <w:pPr>
              <w:spacing w:line="500" w:lineRule="exact"/>
              <w:ind w:firstLine="480" w:firstLineChars="20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具备法律、行政法规规定的其他条件的证明材料</w:t>
            </w:r>
            <w:r>
              <w:rPr>
                <w:rFonts w:hint="eastAsia" w:asciiTheme="minorEastAsia" w:hAnsiTheme="minorEastAsia" w:eastAsiaTheme="minorEastAsia" w:cstheme="minorEastAsia"/>
                <w:sz w:val="24"/>
                <w:szCs w:val="24"/>
                <w:highlight w:val="none"/>
              </w:rPr>
              <w:t>；</w:t>
            </w:r>
          </w:p>
          <w:p w14:paraId="01E4DDF0">
            <w:pPr>
              <w:spacing w:line="50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5、投标人须在“中国裁判文书网”（wenshu.court.gov.cn）自行查询本公司和个人（指法定代表人）的无行贿犯罪记录</w:t>
            </w:r>
          </w:p>
          <w:p w14:paraId="44894CC8">
            <w:pPr>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投标人未被列入“失信被执行人、重大税收违法案件当事人”的记录名单（通过“信用中国”网站(www.creditchina.gov.cn)查询）</w:t>
            </w:r>
            <w:r>
              <w:rPr>
                <w:rFonts w:hint="eastAsia" w:asciiTheme="minorEastAsia" w:hAnsiTheme="minorEastAsia" w:eastAsiaTheme="minorEastAsia" w:cstheme="minorEastAsia"/>
                <w:sz w:val="24"/>
                <w:szCs w:val="24"/>
                <w:highlight w:val="none"/>
              </w:rPr>
              <w:t>；</w:t>
            </w:r>
          </w:p>
          <w:p w14:paraId="65CD668E">
            <w:pPr>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投标人未被列入“政府采购严重违法失信行为记录名单”（通过“中国政府采购网”（www.ccgp.gov.cn）查询）</w:t>
            </w:r>
            <w:r>
              <w:rPr>
                <w:rFonts w:hint="eastAsia" w:asciiTheme="minorEastAsia" w:hAnsiTheme="minorEastAsia" w:eastAsiaTheme="minorEastAsia" w:cstheme="minorEastAsia"/>
                <w:sz w:val="24"/>
                <w:szCs w:val="24"/>
                <w:highlight w:val="none"/>
              </w:rPr>
              <w:t>；</w:t>
            </w:r>
          </w:p>
          <w:p w14:paraId="35AC067B">
            <w:pPr>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单位负责人为同一人或者存在直接控股、管理关系的不同投标人，不得同时参加本采购项目投标</w:t>
            </w:r>
            <w:r>
              <w:rPr>
                <w:rFonts w:hint="eastAsia" w:asciiTheme="minorEastAsia" w:hAnsiTheme="minorEastAsia" w:eastAsiaTheme="minorEastAsia" w:cstheme="minorEastAsia"/>
                <w:sz w:val="24"/>
                <w:szCs w:val="24"/>
                <w:highlight w:val="none"/>
              </w:rPr>
              <w:t>。</w:t>
            </w:r>
          </w:p>
          <w:p w14:paraId="3B3FE936">
            <w:pPr>
              <w:spacing w:line="50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、本项目不接受联合体投标。</w:t>
            </w:r>
          </w:p>
        </w:tc>
      </w:tr>
      <w:tr w14:paraId="6659F09F">
        <w:tblPrEx>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4E887BB2">
            <w:pPr>
              <w:spacing w:line="440" w:lineRule="exact"/>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12</w:t>
            </w:r>
          </w:p>
        </w:tc>
        <w:tc>
          <w:tcPr>
            <w:tcW w:w="2812" w:type="dxa"/>
            <w:tcBorders>
              <w:top w:val="single" w:color="auto" w:sz="4" w:space="0"/>
              <w:left w:val="single" w:color="auto" w:sz="4" w:space="0"/>
              <w:bottom w:val="single" w:color="auto" w:sz="4" w:space="0"/>
              <w:right w:val="single" w:color="auto" w:sz="4" w:space="0"/>
            </w:tcBorders>
            <w:noWrap w:val="0"/>
            <w:vAlign w:val="center"/>
          </w:tcPr>
          <w:p w14:paraId="3975E08D">
            <w:pPr>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投标人提出问题及质疑的方式和截止时间</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021AE892">
            <w:pPr>
              <w:widowControl/>
              <w:spacing w:line="440" w:lineRule="exact"/>
              <w:rPr>
                <w:rFonts w:hint="eastAsia" w:asciiTheme="minorEastAsia" w:hAnsiTheme="minorEastAsia" w:eastAsiaTheme="minorEastAsia" w:cstheme="minorEastAsia"/>
                <w:kern w:val="15"/>
                <w:sz w:val="24"/>
                <w:szCs w:val="24"/>
                <w:highlight w:val="none"/>
              </w:rPr>
            </w:pPr>
            <w:r>
              <w:rPr>
                <w:rFonts w:hint="eastAsia" w:asciiTheme="minorEastAsia" w:hAnsiTheme="minorEastAsia" w:eastAsiaTheme="minorEastAsia" w:cstheme="minorEastAsia"/>
                <w:kern w:val="15"/>
                <w:sz w:val="24"/>
                <w:szCs w:val="24"/>
                <w:highlight w:val="none"/>
              </w:rPr>
              <w:t>截止时间：投标人可以在知道或者应知其权益受到损害之日起7个工作日内</w:t>
            </w:r>
          </w:p>
          <w:p w14:paraId="5E7D25E5">
            <w:pPr>
              <w:widowControl/>
              <w:spacing w:line="440" w:lineRule="exact"/>
              <w:rPr>
                <w:rFonts w:hint="eastAsia" w:asciiTheme="minorEastAsia" w:hAnsiTheme="minorEastAsia" w:eastAsiaTheme="minorEastAsia" w:cstheme="minorEastAsia"/>
                <w:kern w:val="15"/>
                <w:sz w:val="24"/>
                <w:szCs w:val="24"/>
                <w:highlight w:val="none"/>
              </w:rPr>
            </w:pPr>
            <w:r>
              <w:rPr>
                <w:rFonts w:hint="eastAsia" w:asciiTheme="minorEastAsia" w:hAnsiTheme="minorEastAsia" w:eastAsiaTheme="minorEastAsia" w:cstheme="minorEastAsia"/>
                <w:kern w:val="15"/>
                <w:sz w:val="24"/>
                <w:szCs w:val="24"/>
                <w:highlight w:val="none"/>
              </w:rPr>
              <w:t>提问方式：书面形式递交采购代理机构。</w:t>
            </w:r>
          </w:p>
          <w:p w14:paraId="16DEEBB1">
            <w:pPr>
              <w:widowControl/>
              <w:spacing w:line="440" w:lineRule="exact"/>
              <w:rPr>
                <w:rFonts w:hint="eastAsia" w:asciiTheme="minorEastAsia" w:hAnsiTheme="minorEastAsia" w:eastAsiaTheme="minorEastAsia" w:cstheme="minorEastAsia"/>
                <w:kern w:val="15"/>
                <w:sz w:val="24"/>
                <w:szCs w:val="24"/>
                <w:highlight w:val="none"/>
              </w:rPr>
            </w:pPr>
            <w:r>
              <w:rPr>
                <w:rFonts w:hint="eastAsia" w:asciiTheme="minorEastAsia" w:hAnsiTheme="minorEastAsia" w:eastAsiaTheme="minorEastAsia" w:cstheme="minorEastAsia"/>
                <w:kern w:val="15"/>
                <w:sz w:val="24"/>
                <w:szCs w:val="24"/>
                <w:highlight w:val="none"/>
              </w:rPr>
              <w:t>提出质疑方式：1、投标人认为招标文件、招标过程和中标结果使自己的权益受到损害的，可以在知道或者应知其权益受到损害之日起七个工作日内，一次性提出针对同一采购程序环节的质疑，同时将书面质疑送至采购人或采购代理机构。否则采购人或采购代理机构视其质疑为无效。</w:t>
            </w:r>
          </w:p>
          <w:p w14:paraId="20585182">
            <w:pPr>
              <w:widowControl/>
              <w:spacing w:line="440" w:lineRule="exact"/>
              <w:rPr>
                <w:rFonts w:hint="eastAsia" w:asciiTheme="minorEastAsia" w:hAnsiTheme="minorEastAsia" w:eastAsiaTheme="minorEastAsia" w:cstheme="minorEastAsia"/>
                <w:kern w:val="15"/>
                <w:sz w:val="24"/>
                <w:szCs w:val="24"/>
                <w:highlight w:val="none"/>
              </w:rPr>
            </w:pPr>
            <w:r>
              <w:rPr>
                <w:rFonts w:hint="eastAsia" w:asciiTheme="minorEastAsia" w:hAnsiTheme="minorEastAsia" w:eastAsiaTheme="minorEastAsia" w:cstheme="minorEastAsia"/>
                <w:kern w:val="15"/>
                <w:sz w:val="24"/>
                <w:szCs w:val="24"/>
                <w:highlight w:val="none"/>
              </w:rPr>
              <w:t>2、对采购代理机构提出质疑的，若质疑内容超出招标代理范围的，应明确告知质疑投标人向采购人提出质疑或协调采购人答复质疑投标人。</w:t>
            </w:r>
          </w:p>
          <w:p w14:paraId="6472C891">
            <w:pPr>
              <w:widowControl/>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15"/>
                <w:sz w:val="24"/>
                <w:szCs w:val="24"/>
                <w:highlight w:val="none"/>
              </w:rPr>
              <w:t>3、质疑应当有明确的请求和必要的证明材料。否则采购人或采购代理机构有权拒绝。</w:t>
            </w:r>
          </w:p>
        </w:tc>
      </w:tr>
      <w:tr w14:paraId="04FA8C19">
        <w:tblPrEx>
          <w:tblCellMar>
            <w:top w:w="0" w:type="dxa"/>
            <w:left w:w="108" w:type="dxa"/>
            <w:bottom w:w="0" w:type="dxa"/>
            <w:right w:w="108" w:type="dxa"/>
          </w:tblCellMar>
        </w:tblPrEx>
        <w:trPr>
          <w:trHeight w:val="885"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041FE268">
            <w:pPr>
              <w:spacing w:line="440" w:lineRule="exact"/>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w:t>
            </w:r>
          </w:p>
        </w:tc>
        <w:tc>
          <w:tcPr>
            <w:tcW w:w="2812" w:type="dxa"/>
            <w:tcBorders>
              <w:top w:val="single" w:color="auto" w:sz="4" w:space="0"/>
              <w:left w:val="single" w:color="auto" w:sz="4" w:space="0"/>
              <w:bottom w:val="single" w:color="auto" w:sz="4" w:space="0"/>
              <w:right w:val="single" w:color="auto" w:sz="4" w:space="0"/>
            </w:tcBorders>
            <w:noWrap w:val="0"/>
            <w:vAlign w:val="center"/>
          </w:tcPr>
          <w:p w14:paraId="55F18606">
            <w:pPr>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rPr>
              <w:t>书面澄清的时间</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31A2ABD7">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15"/>
                <w:sz w:val="24"/>
                <w:szCs w:val="24"/>
                <w:highlight w:val="none"/>
              </w:rPr>
              <w:t>投标截止时间15日前，招标文件的澄清、修改将在</w:t>
            </w:r>
            <w:r>
              <w:rPr>
                <w:rFonts w:hint="eastAsia" w:asciiTheme="minorEastAsia" w:hAnsiTheme="minorEastAsia" w:eastAsiaTheme="minorEastAsia" w:cstheme="minorEastAsia"/>
                <w:kern w:val="15"/>
                <w:sz w:val="24"/>
                <w:szCs w:val="24"/>
                <w:highlight w:val="none"/>
                <w:lang w:val="en-US" w:eastAsia="zh-CN"/>
              </w:rPr>
              <w:t>吉林省政府采购网（http://www.ccgp-jilin.gov.cn/）</w:t>
            </w:r>
            <w:r>
              <w:rPr>
                <w:rFonts w:hint="eastAsia" w:asciiTheme="minorEastAsia" w:hAnsiTheme="minorEastAsia" w:eastAsiaTheme="minorEastAsia" w:cstheme="minorEastAsia"/>
                <w:kern w:val="15"/>
                <w:sz w:val="24"/>
                <w:szCs w:val="24"/>
                <w:highlight w:val="none"/>
              </w:rPr>
              <w:t>网站上发布，所有报名并下载招标文件的投标人自行网上查询，否则后果自负。</w:t>
            </w:r>
          </w:p>
        </w:tc>
      </w:tr>
      <w:tr w14:paraId="2AC10F34">
        <w:tblPrEx>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33047C26">
            <w:pPr>
              <w:spacing w:line="440" w:lineRule="exact"/>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14</w:t>
            </w:r>
          </w:p>
        </w:tc>
        <w:tc>
          <w:tcPr>
            <w:tcW w:w="2812" w:type="dxa"/>
            <w:tcBorders>
              <w:top w:val="single" w:color="auto" w:sz="4" w:space="0"/>
              <w:left w:val="single" w:color="auto" w:sz="4" w:space="0"/>
              <w:bottom w:val="single" w:color="auto" w:sz="4" w:space="0"/>
              <w:right w:val="single" w:color="auto" w:sz="4" w:space="0"/>
            </w:tcBorders>
            <w:noWrap w:val="0"/>
            <w:vAlign w:val="center"/>
          </w:tcPr>
          <w:p w14:paraId="3309F0BF">
            <w:pPr>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zh-CN"/>
              </w:rPr>
              <w:t>招标文件修改发出的形式</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0779CABE">
            <w:pPr>
              <w:spacing w:line="440" w:lineRule="exact"/>
              <w:rPr>
                <w:rFonts w:hint="eastAsia" w:asciiTheme="minorEastAsia" w:hAnsiTheme="minorEastAsia" w:eastAsiaTheme="minorEastAsia" w:cstheme="minorEastAsia"/>
                <w:kern w:val="15"/>
                <w:sz w:val="24"/>
                <w:szCs w:val="24"/>
                <w:highlight w:val="none"/>
              </w:rPr>
            </w:pPr>
            <w:r>
              <w:rPr>
                <w:rFonts w:hint="eastAsia" w:asciiTheme="minorEastAsia" w:hAnsiTheme="minorEastAsia" w:eastAsiaTheme="minorEastAsia" w:cstheme="minorEastAsia"/>
                <w:kern w:val="15"/>
                <w:sz w:val="24"/>
                <w:szCs w:val="24"/>
                <w:highlight w:val="none"/>
                <w:lang w:val="zh-CN"/>
              </w:rPr>
              <w:t>招标文件的修改将</w:t>
            </w:r>
            <w:r>
              <w:rPr>
                <w:rFonts w:hint="eastAsia" w:asciiTheme="minorEastAsia" w:hAnsiTheme="minorEastAsia" w:eastAsiaTheme="minorEastAsia" w:cstheme="minorEastAsia"/>
                <w:kern w:val="15"/>
                <w:sz w:val="24"/>
                <w:szCs w:val="24"/>
                <w:highlight w:val="none"/>
              </w:rPr>
              <w:t>以补遗文件形式发送到</w:t>
            </w:r>
            <w:r>
              <w:rPr>
                <w:rFonts w:hint="eastAsia" w:asciiTheme="minorEastAsia" w:hAnsiTheme="minorEastAsia" w:eastAsiaTheme="minorEastAsia" w:cstheme="minorEastAsia"/>
                <w:kern w:val="15"/>
                <w:sz w:val="24"/>
                <w:szCs w:val="24"/>
                <w:highlight w:val="none"/>
                <w:lang w:val="en-US" w:eastAsia="zh-CN"/>
              </w:rPr>
              <w:t>政采云平台</w:t>
            </w:r>
            <w:r>
              <w:rPr>
                <w:rFonts w:hint="eastAsia" w:asciiTheme="minorEastAsia" w:hAnsiTheme="minorEastAsia" w:eastAsiaTheme="minorEastAsia" w:cstheme="minorEastAsia"/>
                <w:kern w:val="15"/>
                <w:sz w:val="24"/>
                <w:szCs w:val="24"/>
                <w:highlight w:val="none"/>
                <w:lang w:val="zh-CN"/>
              </w:rPr>
              <w:t>答疑文件</w:t>
            </w:r>
            <w:r>
              <w:rPr>
                <w:rFonts w:hint="eastAsia" w:asciiTheme="minorEastAsia" w:hAnsiTheme="minorEastAsia" w:eastAsiaTheme="minorEastAsia" w:cstheme="minorEastAsia"/>
                <w:kern w:val="15"/>
                <w:sz w:val="24"/>
                <w:szCs w:val="24"/>
                <w:highlight w:val="none"/>
              </w:rPr>
              <w:t>中，投标人须</w:t>
            </w:r>
            <w:r>
              <w:rPr>
                <w:rFonts w:hint="eastAsia" w:asciiTheme="minorEastAsia" w:hAnsiTheme="minorEastAsia" w:eastAsiaTheme="minorEastAsia" w:cstheme="minorEastAsia"/>
                <w:kern w:val="15"/>
                <w:sz w:val="24"/>
                <w:szCs w:val="24"/>
                <w:highlight w:val="none"/>
                <w:lang w:val="zh-CN"/>
              </w:rPr>
              <w:t>在供应商系统中</w:t>
            </w:r>
            <w:r>
              <w:rPr>
                <w:rFonts w:hint="eastAsia" w:asciiTheme="minorEastAsia" w:hAnsiTheme="minorEastAsia" w:eastAsiaTheme="minorEastAsia" w:cstheme="minorEastAsia"/>
                <w:kern w:val="15"/>
                <w:sz w:val="24"/>
                <w:szCs w:val="24"/>
                <w:highlight w:val="none"/>
              </w:rPr>
              <w:t>自行下载答疑文件。</w:t>
            </w:r>
          </w:p>
          <w:p w14:paraId="775C6B2D">
            <w:pPr>
              <w:spacing w:line="440" w:lineRule="exact"/>
              <w:rPr>
                <w:rFonts w:hint="eastAsia" w:asciiTheme="minorEastAsia" w:hAnsiTheme="minorEastAsia" w:eastAsiaTheme="minorEastAsia" w:cstheme="minorEastAsia"/>
                <w:kern w:val="15"/>
                <w:sz w:val="24"/>
                <w:szCs w:val="24"/>
                <w:highlight w:val="none"/>
              </w:rPr>
            </w:pPr>
            <w:r>
              <w:rPr>
                <w:rFonts w:hint="eastAsia" w:asciiTheme="minorEastAsia" w:hAnsiTheme="minorEastAsia" w:eastAsiaTheme="minorEastAsia" w:cstheme="minorEastAsia"/>
                <w:kern w:val="15"/>
                <w:sz w:val="24"/>
                <w:szCs w:val="24"/>
                <w:highlight w:val="none"/>
              </w:rPr>
              <w:t>如果投标人未收到相应文件，请及时与采购代理机构联系，否则采购人和采购代理机构不承担任何责任。</w:t>
            </w:r>
          </w:p>
        </w:tc>
      </w:tr>
      <w:tr w14:paraId="345D6F82">
        <w:tblPrEx>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497A0C2B">
            <w:pPr>
              <w:spacing w:line="440" w:lineRule="exact"/>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15</w:t>
            </w:r>
          </w:p>
        </w:tc>
        <w:tc>
          <w:tcPr>
            <w:tcW w:w="2812" w:type="dxa"/>
            <w:tcBorders>
              <w:top w:val="single" w:color="auto" w:sz="4" w:space="0"/>
              <w:left w:val="single" w:color="auto" w:sz="4" w:space="0"/>
              <w:bottom w:val="single" w:color="auto" w:sz="4" w:space="0"/>
              <w:right w:val="single" w:color="auto" w:sz="4" w:space="0"/>
            </w:tcBorders>
            <w:noWrap w:val="0"/>
            <w:vAlign w:val="center"/>
          </w:tcPr>
          <w:p w14:paraId="204D8606">
            <w:pPr>
              <w:spacing w:line="440" w:lineRule="exact"/>
              <w:rPr>
                <w:rFonts w:hint="eastAsia" w:asciiTheme="minorEastAsia" w:hAnsiTheme="minorEastAsia" w:eastAsiaTheme="minorEastAsia" w:cstheme="minorEastAsia"/>
                <w:kern w:val="15"/>
                <w:sz w:val="24"/>
                <w:szCs w:val="24"/>
                <w:highlight w:val="none"/>
                <w:lang w:val="en-US" w:eastAsia="zh-CN"/>
              </w:rPr>
            </w:pPr>
            <w:r>
              <w:rPr>
                <w:rFonts w:hint="eastAsia" w:asciiTheme="minorEastAsia" w:hAnsiTheme="minorEastAsia" w:eastAsiaTheme="minorEastAsia" w:cstheme="minorEastAsia"/>
                <w:kern w:val="15"/>
                <w:sz w:val="24"/>
                <w:szCs w:val="24"/>
                <w:highlight w:val="none"/>
                <w:lang w:val="zh-CN"/>
              </w:rPr>
              <w:t>偏离</w:t>
            </w:r>
            <w:r>
              <w:rPr>
                <w:rFonts w:hint="eastAsia" w:asciiTheme="minorEastAsia" w:hAnsiTheme="minorEastAsia" w:eastAsiaTheme="minorEastAsia" w:cstheme="minorEastAsia"/>
                <w:kern w:val="15"/>
                <w:sz w:val="24"/>
                <w:szCs w:val="24"/>
                <w:highlight w:val="none"/>
                <w:lang w:val="en-US" w:eastAsia="zh-CN"/>
              </w:rPr>
              <w:t>情况</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15CF0CDE">
            <w:pPr>
              <w:spacing w:line="440" w:lineRule="exact"/>
              <w:rPr>
                <w:rFonts w:hint="eastAsia" w:asciiTheme="minorEastAsia" w:hAnsiTheme="minorEastAsia" w:eastAsiaTheme="minorEastAsia" w:cstheme="minorEastAsia"/>
                <w:kern w:val="15"/>
                <w:sz w:val="24"/>
                <w:szCs w:val="24"/>
                <w:highlight w:val="none"/>
                <w:lang w:val="en-US" w:eastAsia="zh-CN"/>
              </w:rPr>
            </w:pPr>
            <w:r>
              <w:rPr>
                <w:rFonts w:hint="eastAsia" w:asciiTheme="minorEastAsia" w:hAnsiTheme="minorEastAsia" w:eastAsiaTheme="minorEastAsia" w:cstheme="minorEastAsia"/>
                <w:kern w:val="15"/>
                <w:sz w:val="24"/>
                <w:szCs w:val="24"/>
                <w:highlight w:val="none"/>
                <w:lang w:val="en-US" w:eastAsia="zh-CN"/>
              </w:rPr>
              <w:t>不</w:t>
            </w:r>
            <w:r>
              <w:rPr>
                <w:rFonts w:hint="eastAsia" w:asciiTheme="minorEastAsia" w:hAnsiTheme="minorEastAsia" w:eastAsiaTheme="minorEastAsia" w:cstheme="minorEastAsia"/>
                <w:kern w:val="15"/>
                <w:sz w:val="24"/>
                <w:szCs w:val="24"/>
                <w:highlight w:val="none"/>
                <w:lang w:val="zh-CN"/>
              </w:rPr>
              <w:t>接受</w:t>
            </w:r>
            <w:r>
              <w:rPr>
                <w:rFonts w:hint="eastAsia" w:asciiTheme="minorEastAsia" w:hAnsiTheme="minorEastAsia" w:eastAsiaTheme="minorEastAsia" w:cstheme="minorEastAsia"/>
                <w:kern w:val="15"/>
                <w:sz w:val="24"/>
                <w:szCs w:val="24"/>
                <w:highlight w:val="none"/>
                <w:lang w:val="zh-CN" w:eastAsia="zh-CN"/>
              </w:rPr>
              <w:t>。</w:t>
            </w:r>
          </w:p>
        </w:tc>
      </w:tr>
      <w:tr w14:paraId="2E1A1046">
        <w:tblPrEx>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688C5F63">
            <w:pPr>
              <w:spacing w:line="440" w:lineRule="exact"/>
              <w:jc w:val="center"/>
              <w:rPr>
                <w:rFonts w:hint="eastAsia" w:asciiTheme="minorEastAsia" w:hAnsiTheme="minorEastAsia" w:eastAsiaTheme="minorEastAsia" w:cstheme="minorEastAsia"/>
                <w:kern w:val="15"/>
                <w:sz w:val="24"/>
                <w:szCs w:val="24"/>
                <w:highlight w:val="none"/>
                <w:lang w:val="en-US" w:eastAsia="zh-CN"/>
              </w:rPr>
            </w:pPr>
            <w:r>
              <w:rPr>
                <w:rFonts w:hint="eastAsia" w:asciiTheme="minorEastAsia" w:hAnsiTheme="minorEastAsia" w:eastAsiaTheme="minorEastAsia" w:cstheme="minorEastAsia"/>
                <w:kern w:val="15"/>
                <w:sz w:val="24"/>
                <w:szCs w:val="24"/>
                <w:highlight w:val="none"/>
                <w:lang w:val="en-US" w:eastAsia="zh-CN"/>
              </w:rPr>
              <w:t>16</w:t>
            </w:r>
          </w:p>
        </w:tc>
        <w:tc>
          <w:tcPr>
            <w:tcW w:w="2812" w:type="dxa"/>
            <w:tcBorders>
              <w:top w:val="single" w:color="auto" w:sz="4" w:space="0"/>
              <w:left w:val="single" w:color="auto" w:sz="4" w:space="0"/>
              <w:bottom w:val="single" w:color="auto" w:sz="4" w:space="0"/>
              <w:right w:val="single" w:color="auto" w:sz="4" w:space="0"/>
            </w:tcBorders>
            <w:noWrap w:val="0"/>
            <w:vAlign w:val="center"/>
          </w:tcPr>
          <w:p w14:paraId="787678EA">
            <w:pPr>
              <w:spacing w:line="440" w:lineRule="exact"/>
              <w:rPr>
                <w:rFonts w:hint="eastAsia" w:asciiTheme="minorEastAsia" w:hAnsiTheme="minorEastAsia" w:eastAsiaTheme="minorEastAsia" w:cstheme="minorEastAsia"/>
                <w:kern w:val="15"/>
                <w:sz w:val="24"/>
                <w:szCs w:val="24"/>
                <w:highlight w:val="none"/>
                <w:lang w:val="zh-CN"/>
              </w:rPr>
            </w:pPr>
            <w:r>
              <w:rPr>
                <w:rFonts w:hint="eastAsia" w:asciiTheme="minorEastAsia" w:hAnsiTheme="minorEastAsia" w:eastAsiaTheme="minorEastAsia" w:cstheme="minorEastAsia"/>
                <w:kern w:val="15"/>
                <w:sz w:val="24"/>
                <w:szCs w:val="24"/>
                <w:highlight w:val="none"/>
                <w:lang w:val="zh-CN"/>
              </w:rPr>
              <w:t>构成招标文件的其他材料</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3EBDD54D">
            <w:pPr>
              <w:spacing w:line="440" w:lineRule="exact"/>
              <w:rPr>
                <w:rFonts w:hint="eastAsia" w:asciiTheme="minorEastAsia" w:hAnsiTheme="minorEastAsia" w:eastAsiaTheme="minorEastAsia" w:cstheme="minorEastAsia"/>
                <w:kern w:val="15"/>
                <w:sz w:val="24"/>
                <w:szCs w:val="24"/>
                <w:highlight w:val="none"/>
                <w:lang w:val="zh-CN"/>
              </w:rPr>
            </w:pPr>
            <w:r>
              <w:rPr>
                <w:rFonts w:hint="eastAsia" w:asciiTheme="minorEastAsia" w:hAnsiTheme="minorEastAsia" w:eastAsiaTheme="minorEastAsia" w:cstheme="minorEastAsia"/>
                <w:kern w:val="15"/>
                <w:sz w:val="24"/>
                <w:szCs w:val="24"/>
                <w:highlight w:val="none"/>
                <w:lang w:val="zh-CN"/>
              </w:rPr>
              <w:t>招标文件的澄清、修改、补充文件，以补遗文件形式发送。</w:t>
            </w:r>
          </w:p>
          <w:p w14:paraId="1E04FA7E">
            <w:pPr>
              <w:spacing w:line="440" w:lineRule="exact"/>
              <w:rPr>
                <w:rFonts w:hint="eastAsia" w:asciiTheme="minorEastAsia" w:hAnsiTheme="minorEastAsia" w:eastAsiaTheme="minorEastAsia" w:cstheme="minorEastAsia"/>
                <w:kern w:val="15"/>
                <w:sz w:val="24"/>
                <w:szCs w:val="24"/>
                <w:highlight w:val="none"/>
                <w:lang w:val="zh-CN"/>
              </w:rPr>
            </w:pPr>
            <w:r>
              <w:rPr>
                <w:rFonts w:hint="eastAsia" w:asciiTheme="minorEastAsia" w:hAnsiTheme="minorEastAsia" w:eastAsiaTheme="minorEastAsia" w:cstheme="minorEastAsia"/>
                <w:kern w:val="15"/>
                <w:sz w:val="24"/>
                <w:szCs w:val="24"/>
                <w:highlight w:val="none"/>
                <w:lang w:val="zh-CN"/>
              </w:rPr>
              <w:t>本项目带有编号的补遗文件（如有）。</w:t>
            </w:r>
          </w:p>
          <w:p w14:paraId="0080E692">
            <w:pPr>
              <w:spacing w:line="440" w:lineRule="exact"/>
              <w:rPr>
                <w:rFonts w:hint="eastAsia" w:asciiTheme="minorEastAsia" w:hAnsiTheme="minorEastAsia" w:eastAsiaTheme="minorEastAsia" w:cstheme="minorEastAsia"/>
                <w:kern w:val="15"/>
                <w:sz w:val="24"/>
                <w:szCs w:val="24"/>
                <w:highlight w:val="none"/>
                <w:lang w:val="zh-CN"/>
              </w:rPr>
            </w:pPr>
            <w:r>
              <w:rPr>
                <w:rFonts w:hint="eastAsia" w:asciiTheme="minorEastAsia" w:hAnsiTheme="minorEastAsia" w:eastAsiaTheme="minorEastAsia" w:cstheme="minorEastAsia"/>
                <w:kern w:val="15"/>
                <w:sz w:val="24"/>
                <w:szCs w:val="24"/>
                <w:highlight w:val="none"/>
                <w:lang w:val="zh-CN"/>
              </w:rPr>
              <w:t>注：采购代理机构将上述内容以补遗文件形式发送到</w:t>
            </w:r>
            <w:r>
              <w:rPr>
                <w:rFonts w:hint="eastAsia" w:asciiTheme="minorEastAsia" w:hAnsiTheme="minorEastAsia" w:eastAsiaTheme="minorEastAsia" w:cstheme="minorEastAsia"/>
                <w:kern w:val="15"/>
                <w:sz w:val="24"/>
                <w:szCs w:val="24"/>
                <w:highlight w:val="none"/>
                <w:lang w:val="en-US" w:eastAsia="zh-CN"/>
              </w:rPr>
              <w:t>政采云平台</w:t>
            </w:r>
            <w:r>
              <w:rPr>
                <w:rFonts w:hint="eastAsia" w:asciiTheme="minorEastAsia" w:hAnsiTheme="minorEastAsia" w:eastAsiaTheme="minorEastAsia" w:cstheme="minorEastAsia"/>
                <w:kern w:val="15"/>
                <w:sz w:val="24"/>
                <w:szCs w:val="24"/>
                <w:highlight w:val="none"/>
                <w:lang w:val="zh-CN"/>
              </w:rPr>
              <w:t>答疑文件中，投标人须在供应商系统中自行下载答疑文件。</w:t>
            </w:r>
          </w:p>
          <w:p w14:paraId="189E5677">
            <w:pPr>
              <w:spacing w:line="440" w:lineRule="exact"/>
              <w:rPr>
                <w:rFonts w:hint="eastAsia" w:asciiTheme="minorEastAsia" w:hAnsiTheme="minorEastAsia" w:eastAsiaTheme="minorEastAsia" w:cstheme="minorEastAsia"/>
                <w:kern w:val="15"/>
                <w:sz w:val="24"/>
                <w:szCs w:val="24"/>
                <w:highlight w:val="none"/>
                <w:lang w:val="zh-CN"/>
              </w:rPr>
            </w:pPr>
            <w:r>
              <w:rPr>
                <w:rFonts w:hint="eastAsia" w:asciiTheme="minorEastAsia" w:hAnsiTheme="minorEastAsia" w:eastAsiaTheme="minorEastAsia" w:cstheme="minorEastAsia"/>
                <w:kern w:val="15"/>
                <w:sz w:val="24"/>
                <w:szCs w:val="24"/>
                <w:highlight w:val="none"/>
                <w:lang w:val="zh-CN"/>
              </w:rPr>
              <w:t>如果投标人未收到相应文件，请及时与采购代理机构联系，否则采购人和采购代理机构不承担任何责任。</w:t>
            </w:r>
          </w:p>
        </w:tc>
      </w:tr>
      <w:tr w14:paraId="038BC7AB">
        <w:tblPrEx>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47A508E3">
            <w:pPr>
              <w:spacing w:line="440" w:lineRule="exact"/>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=-17</w:t>
            </w:r>
          </w:p>
        </w:tc>
        <w:tc>
          <w:tcPr>
            <w:tcW w:w="2812" w:type="dxa"/>
            <w:tcBorders>
              <w:top w:val="single" w:color="auto" w:sz="4" w:space="0"/>
              <w:left w:val="single" w:color="auto" w:sz="4" w:space="0"/>
              <w:bottom w:val="single" w:color="auto" w:sz="4" w:space="0"/>
              <w:right w:val="single" w:color="auto" w:sz="4" w:space="0"/>
            </w:tcBorders>
            <w:noWrap w:val="0"/>
            <w:vAlign w:val="center"/>
          </w:tcPr>
          <w:p w14:paraId="1F63D3A5">
            <w:pPr>
              <w:spacing w:line="440" w:lineRule="exact"/>
              <w:rPr>
                <w:rFonts w:hint="eastAsia" w:asciiTheme="minorEastAsia" w:hAnsiTheme="minorEastAsia" w:eastAsiaTheme="minorEastAsia" w:cstheme="minorEastAsia"/>
                <w:kern w:val="15"/>
                <w:sz w:val="24"/>
                <w:szCs w:val="24"/>
                <w:highlight w:val="none"/>
                <w:lang w:val="en-US" w:eastAsia="zh-CN"/>
              </w:rPr>
            </w:pPr>
            <w:r>
              <w:rPr>
                <w:rFonts w:hint="eastAsia" w:asciiTheme="minorEastAsia" w:hAnsiTheme="minorEastAsia" w:eastAsiaTheme="minorEastAsia" w:cstheme="minorEastAsia"/>
                <w:kern w:val="15"/>
                <w:sz w:val="24"/>
                <w:szCs w:val="24"/>
                <w:highlight w:val="none"/>
                <w:lang w:val="zh-CN"/>
              </w:rPr>
              <w:t>投标截止时间</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239F10F6">
            <w:pPr>
              <w:spacing w:line="440" w:lineRule="exact"/>
              <w:rPr>
                <w:rFonts w:hint="eastAsia" w:asciiTheme="minorEastAsia" w:hAnsiTheme="minorEastAsia" w:eastAsiaTheme="minorEastAsia" w:cstheme="minorEastAsia"/>
                <w:kern w:val="15"/>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2026年6月16日9时30分</w:t>
            </w:r>
            <w:r>
              <w:rPr>
                <w:rFonts w:hint="eastAsia" w:asciiTheme="minorEastAsia" w:hAnsiTheme="minorEastAsia" w:eastAsiaTheme="minorEastAsia" w:cstheme="minorEastAsia"/>
                <w:kern w:val="15"/>
                <w:sz w:val="24"/>
                <w:szCs w:val="24"/>
                <w:highlight w:val="none"/>
                <w:lang w:val="en-US" w:eastAsia="zh-CN"/>
              </w:rPr>
              <w:t>（北京时间）</w:t>
            </w:r>
          </w:p>
        </w:tc>
      </w:tr>
      <w:tr w14:paraId="3AEB8C64">
        <w:tblPrEx>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086A50D3">
            <w:pPr>
              <w:spacing w:line="440" w:lineRule="exact"/>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18</w:t>
            </w:r>
          </w:p>
        </w:tc>
        <w:tc>
          <w:tcPr>
            <w:tcW w:w="2812" w:type="dxa"/>
            <w:tcBorders>
              <w:top w:val="single" w:color="auto" w:sz="4" w:space="0"/>
              <w:left w:val="single" w:color="auto" w:sz="4" w:space="0"/>
              <w:bottom w:val="single" w:color="auto" w:sz="4" w:space="0"/>
              <w:right w:val="single" w:color="auto" w:sz="4" w:space="0"/>
            </w:tcBorders>
            <w:noWrap w:val="0"/>
            <w:vAlign w:val="center"/>
          </w:tcPr>
          <w:p w14:paraId="5EA59218">
            <w:pPr>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rPr>
              <w:t>确认收到招标文件澄清的时间</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1487F2CD">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在收到相应澄清文件24小时内</w:t>
            </w:r>
          </w:p>
        </w:tc>
      </w:tr>
      <w:tr w14:paraId="12C99A94">
        <w:tblPrEx>
          <w:tblCellMar>
            <w:top w:w="0" w:type="dxa"/>
            <w:left w:w="108" w:type="dxa"/>
            <w:bottom w:w="0" w:type="dxa"/>
            <w:right w:w="108" w:type="dxa"/>
          </w:tblCellMar>
        </w:tblPrEx>
        <w:trPr>
          <w:trHeight w:val="585"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1E47BD4F">
            <w:pPr>
              <w:spacing w:line="440" w:lineRule="exact"/>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19</w:t>
            </w:r>
          </w:p>
        </w:tc>
        <w:tc>
          <w:tcPr>
            <w:tcW w:w="2812" w:type="dxa"/>
            <w:tcBorders>
              <w:top w:val="single" w:color="auto" w:sz="4" w:space="0"/>
              <w:left w:val="single" w:color="auto" w:sz="4" w:space="0"/>
              <w:bottom w:val="single" w:color="auto" w:sz="4" w:space="0"/>
              <w:right w:val="single" w:color="auto" w:sz="4" w:space="0"/>
            </w:tcBorders>
            <w:noWrap w:val="0"/>
            <w:vAlign w:val="center"/>
          </w:tcPr>
          <w:p w14:paraId="0C64C616">
            <w:pPr>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供应商</w:t>
            </w:r>
            <w:r>
              <w:rPr>
                <w:rFonts w:hint="eastAsia" w:asciiTheme="minorEastAsia" w:hAnsiTheme="minorEastAsia" w:eastAsiaTheme="minorEastAsia" w:cstheme="minorEastAsia"/>
                <w:sz w:val="24"/>
                <w:szCs w:val="24"/>
                <w:highlight w:val="none"/>
              </w:rPr>
              <w:t>确认收到招标文件修改的时间</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5549C19C">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在收到相应修改文件24小时内</w:t>
            </w:r>
          </w:p>
        </w:tc>
      </w:tr>
      <w:tr w14:paraId="7B0E0409">
        <w:tblPrEx>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13238AE9">
            <w:pPr>
              <w:spacing w:line="440" w:lineRule="exact"/>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20</w:t>
            </w:r>
          </w:p>
        </w:tc>
        <w:tc>
          <w:tcPr>
            <w:tcW w:w="2812" w:type="dxa"/>
            <w:tcBorders>
              <w:top w:val="single" w:color="auto" w:sz="4" w:space="0"/>
              <w:left w:val="single" w:color="auto" w:sz="4" w:space="0"/>
              <w:bottom w:val="single" w:color="auto" w:sz="4" w:space="0"/>
              <w:right w:val="single" w:color="auto" w:sz="4" w:space="0"/>
            </w:tcBorders>
            <w:noWrap w:val="0"/>
            <w:vAlign w:val="center"/>
          </w:tcPr>
          <w:p w14:paraId="1084428D">
            <w:pPr>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构成投标文件的其他材料</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287E750B">
            <w:pPr>
              <w:autoSpaceDE w:val="0"/>
              <w:autoSpaceDN w:val="0"/>
              <w:adjustRightInd w:val="0"/>
              <w:spacing w:line="400" w:lineRule="exact"/>
              <w:rPr>
                <w:rFonts w:hint="eastAsia" w:asciiTheme="minorEastAsia" w:hAnsiTheme="minorEastAsia" w:eastAsiaTheme="minorEastAsia" w:cstheme="minorEastAsia"/>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投标人所提供的下列资质证明文件应体现在</w:t>
            </w:r>
            <w:r>
              <w:rPr>
                <w:rFonts w:hint="eastAsia" w:asciiTheme="minorEastAsia" w:hAnsiTheme="minorEastAsia" w:eastAsiaTheme="minorEastAsia" w:cstheme="minorEastAsia"/>
                <w:b/>
                <w:color w:val="auto"/>
                <w:sz w:val="24"/>
                <w:szCs w:val="24"/>
                <w:highlight w:val="none"/>
              </w:rPr>
              <w:t>电子版投标文件中</w:t>
            </w:r>
            <w:r>
              <w:rPr>
                <w:rFonts w:hint="eastAsia" w:asciiTheme="minorEastAsia" w:hAnsiTheme="minorEastAsia" w:eastAsiaTheme="minorEastAsia" w:cstheme="minorEastAsia"/>
                <w:b/>
                <w:bCs/>
                <w:color w:val="auto"/>
                <w:sz w:val="24"/>
                <w:szCs w:val="24"/>
                <w:highlight w:val="none"/>
                <w:lang w:val="zh-CN"/>
              </w:rPr>
              <w:t>：</w:t>
            </w:r>
          </w:p>
          <w:p w14:paraId="05CCD670">
            <w:pPr>
              <w:spacing w:line="440" w:lineRule="exact"/>
              <w:ind w:firstLine="480" w:firstLineChars="200"/>
              <w:rPr>
                <w:rFonts w:hint="eastAsia" w:asciiTheme="minorEastAsia" w:hAnsiTheme="minorEastAsia" w:eastAsiaTheme="minorEastAsia" w:cstheme="minorEastAsia"/>
                <w:kern w:val="15"/>
                <w:sz w:val="24"/>
                <w:szCs w:val="24"/>
                <w:highlight w:val="none"/>
                <w:lang w:val="zh-CN"/>
              </w:rPr>
            </w:pPr>
            <w:r>
              <w:rPr>
                <w:rFonts w:hint="eastAsia" w:asciiTheme="minorEastAsia" w:hAnsiTheme="minorEastAsia" w:eastAsiaTheme="minorEastAsia" w:cstheme="minorEastAsia"/>
                <w:kern w:val="15"/>
                <w:sz w:val="24"/>
                <w:szCs w:val="24"/>
                <w:highlight w:val="none"/>
                <w:lang w:val="zh-CN"/>
              </w:rPr>
              <w:t>1、投标单位具有独立法人资格，营业执照具备本项目营业范围（上传扫描件需要加盖公章）；</w:t>
            </w:r>
          </w:p>
          <w:p w14:paraId="1C0C96EA">
            <w:pPr>
              <w:spacing w:line="440" w:lineRule="exact"/>
              <w:ind w:firstLine="480" w:firstLineChars="200"/>
              <w:rPr>
                <w:rFonts w:hint="eastAsia" w:asciiTheme="minorEastAsia" w:hAnsiTheme="minorEastAsia" w:eastAsiaTheme="minorEastAsia" w:cstheme="minorEastAsia"/>
                <w:kern w:val="15"/>
                <w:sz w:val="24"/>
                <w:szCs w:val="24"/>
                <w:highlight w:val="none"/>
                <w:lang w:val="zh-CN"/>
              </w:rPr>
            </w:pPr>
            <w:r>
              <w:rPr>
                <w:rFonts w:hint="eastAsia" w:asciiTheme="minorEastAsia" w:hAnsiTheme="minorEastAsia" w:eastAsiaTheme="minorEastAsia" w:cstheme="minorEastAsia"/>
                <w:kern w:val="15"/>
                <w:sz w:val="24"/>
                <w:szCs w:val="24"/>
                <w:highlight w:val="none"/>
                <w:lang w:val="zh-CN"/>
              </w:rPr>
              <w:t>2、</w:t>
            </w:r>
            <w:r>
              <w:rPr>
                <w:rFonts w:hint="eastAsia" w:asciiTheme="minorEastAsia" w:hAnsiTheme="minorEastAsia" w:eastAsiaTheme="minorEastAsia" w:cstheme="minorEastAsia"/>
                <w:sz w:val="24"/>
                <w:szCs w:val="24"/>
                <w:highlight w:val="none"/>
                <w:u w:val="single"/>
              </w:rPr>
              <w:t>20</w:t>
            </w:r>
            <w:r>
              <w:rPr>
                <w:rFonts w:hint="eastAsia" w:asciiTheme="minorEastAsia" w:hAnsiTheme="minorEastAsia" w:eastAsiaTheme="minorEastAsia" w:cstheme="minorEastAsia"/>
                <w:sz w:val="24"/>
                <w:szCs w:val="24"/>
                <w:highlight w:val="none"/>
                <w:u w:val="single"/>
                <w:lang w:val="en-US" w:eastAsia="zh-CN"/>
              </w:rPr>
              <w:t>23</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01</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lang w:val="en-US" w:eastAsia="zh-CN"/>
              </w:rPr>
              <w:t>01</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日起</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至</w:t>
            </w:r>
            <w:r>
              <w:rPr>
                <w:rFonts w:hint="eastAsia" w:asciiTheme="minorEastAsia" w:hAnsiTheme="minorEastAsia" w:eastAsiaTheme="minorEastAsia" w:cstheme="minorEastAsia"/>
                <w:sz w:val="24"/>
                <w:szCs w:val="24"/>
                <w:highlight w:val="none"/>
                <w:lang w:val="en-US" w:eastAsia="zh-CN"/>
              </w:rPr>
              <w:t>今</w:t>
            </w:r>
            <w:r>
              <w:rPr>
                <w:rFonts w:hint="eastAsia" w:asciiTheme="minorEastAsia" w:hAnsiTheme="minorEastAsia" w:eastAsiaTheme="minorEastAsia" w:cstheme="minorEastAsia"/>
                <w:kern w:val="15"/>
                <w:sz w:val="24"/>
                <w:szCs w:val="24"/>
                <w:highlight w:val="none"/>
                <w:lang w:val="zh-CN"/>
              </w:rPr>
              <w:t>类似项目经验业绩证明文件（如有须提供中标通知书或合同）（上传扫描件需要加盖公章）；</w:t>
            </w:r>
          </w:p>
          <w:p w14:paraId="7F7C0579">
            <w:pPr>
              <w:spacing w:line="440" w:lineRule="exact"/>
              <w:ind w:firstLine="480" w:firstLineChars="200"/>
              <w:rPr>
                <w:rFonts w:hint="eastAsia" w:asciiTheme="minorEastAsia" w:hAnsiTheme="minorEastAsia" w:eastAsiaTheme="minorEastAsia" w:cstheme="minorEastAsia"/>
                <w:kern w:val="15"/>
                <w:sz w:val="24"/>
                <w:szCs w:val="24"/>
                <w:highlight w:val="none"/>
                <w:lang w:val="zh-CN"/>
              </w:rPr>
            </w:pPr>
            <w:r>
              <w:rPr>
                <w:rFonts w:hint="eastAsia" w:asciiTheme="minorEastAsia" w:hAnsiTheme="minorEastAsia" w:eastAsiaTheme="minorEastAsia" w:cstheme="minorEastAsia"/>
                <w:kern w:val="15"/>
                <w:sz w:val="24"/>
                <w:szCs w:val="24"/>
                <w:highlight w:val="none"/>
                <w:lang w:val="en-US" w:eastAsia="zh-CN"/>
              </w:rPr>
              <w:t>3</w:t>
            </w:r>
            <w:r>
              <w:rPr>
                <w:rFonts w:hint="eastAsia" w:asciiTheme="minorEastAsia" w:hAnsiTheme="minorEastAsia" w:eastAsiaTheme="minorEastAsia" w:cstheme="minorEastAsia"/>
                <w:kern w:val="15"/>
                <w:sz w:val="24"/>
                <w:szCs w:val="24"/>
                <w:highlight w:val="none"/>
                <w:lang w:val="zh-CN"/>
              </w:rPr>
              <w:t>、参加政府采购活动前三年内在经营活动中没有重大违法记录的书面声明；</w:t>
            </w:r>
          </w:p>
          <w:p w14:paraId="32D8A294">
            <w:pPr>
              <w:spacing w:line="440" w:lineRule="exact"/>
              <w:ind w:firstLine="480" w:firstLineChars="200"/>
              <w:rPr>
                <w:rFonts w:hint="eastAsia" w:asciiTheme="minorEastAsia" w:hAnsiTheme="minorEastAsia" w:eastAsiaTheme="minorEastAsia" w:cstheme="minorEastAsia"/>
                <w:kern w:val="15"/>
                <w:sz w:val="24"/>
                <w:szCs w:val="24"/>
                <w:highlight w:val="none"/>
                <w:lang w:val="zh-CN"/>
              </w:rPr>
            </w:pPr>
            <w:r>
              <w:rPr>
                <w:rFonts w:hint="eastAsia" w:asciiTheme="minorEastAsia" w:hAnsiTheme="minorEastAsia" w:eastAsiaTheme="minorEastAsia" w:cstheme="minorEastAsia"/>
                <w:kern w:val="15"/>
                <w:sz w:val="24"/>
                <w:szCs w:val="24"/>
                <w:highlight w:val="none"/>
                <w:lang w:val="en-US" w:eastAsia="zh-CN"/>
              </w:rPr>
              <w:t>4、</w:t>
            </w:r>
            <w:r>
              <w:rPr>
                <w:rFonts w:hint="eastAsia" w:asciiTheme="minorEastAsia" w:hAnsiTheme="minorEastAsia" w:eastAsiaTheme="minorEastAsia" w:cstheme="minorEastAsia"/>
                <w:kern w:val="15"/>
                <w:sz w:val="24"/>
                <w:szCs w:val="24"/>
                <w:highlight w:val="none"/>
                <w:lang w:val="zh-CN"/>
              </w:rPr>
              <w:t>未被列入失信被执行人、重大税收违法案件当事人名单、政府采购严重违法失信行为记录名单的书面声明；</w:t>
            </w:r>
          </w:p>
          <w:p w14:paraId="5C5A0FF8">
            <w:pPr>
              <w:spacing w:line="440" w:lineRule="exact"/>
              <w:ind w:firstLine="480" w:firstLineChars="200"/>
              <w:rPr>
                <w:rFonts w:hint="eastAsia" w:asciiTheme="minorEastAsia" w:hAnsiTheme="minorEastAsia" w:eastAsiaTheme="minorEastAsia" w:cstheme="minorEastAsia"/>
                <w:kern w:val="15"/>
                <w:sz w:val="24"/>
                <w:szCs w:val="24"/>
                <w:highlight w:val="none"/>
                <w:lang w:val="zh-CN"/>
              </w:rPr>
            </w:pPr>
            <w:r>
              <w:rPr>
                <w:rFonts w:hint="eastAsia" w:asciiTheme="minorEastAsia" w:hAnsiTheme="minorEastAsia" w:eastAsiaTheme="minorEastAsia" w:cstheme="minorEastAsia"/>
                <w:kern w:val="15"/>
                <w:sz w:val="24"/>
                <w:szCs w:val="24"/>
                <w:highlight w:val="none"/>
                <w:lang w:val="en-US" w:eastAsia="zh-CN"/>
              </w:rPr>
              <w:t>5</w:t>
            </w:r>
            <w:r>
              <w:rPr>
                <w:rFonts w:hint="eastAsia" w:asciiTheme="minorEastAsia" w:hAnsiTheme="minorEastAsia" w:eastAsiaTheme="minorEastAsia" w:cstheme="minorEastAsia"/>
                <w:kern w:val="15"/>
                <w:sz w:val="24"/>
                <w:szCs w:val="24"/>
                <w:highlight w:val="none"/>
                <w:lang w:val="zh-CN"/>
              </w:rPr>
              <w:t>、招标文件要求的其他材料。</w:t>
            </w:r>
          </w:p>
          <w:p w14:paraId="547686AC">
            <w:pPr>
              <w:adjustRightInd w:val="0"/>
              <w:snapToGrid w:val="0"/>
              <w:spacing w:line="36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注：</w:t>
            </w:r>
          </w:p>
          <w:p w14:paraId="053DB2A9">
            <w:pPr>
              <w:adjustRightInd w:val="0"/>
              <w:snapToGrid w:val="0"/>
              <w:spacing w:line="36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1、上述证件应在投标文件其他材料中上传彩色扫描件并加盖投标人公章；</w:t>
            </w:r>
          </w:p>
          <w:p w14:paraId="60FE57BC">
            <w:pPr>
              <w:spacing w:line="440" w:lineRule="exact"/>
              <w:ind w:firstLine="48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color w:val="auto"/>
                <w:sz w:val="24"/>
                <w:szCs w:val="24"/>
                <w:highlight w:val="none"/>
              </w:rPr>
              <w:t>2.未按照投标文件要求上传的按无效投标处理，由此引发的后果和责任由投标人自行承担。</w:t>
            </w:r>
          </w:p>
        </w:tc>
      </w:tr>
      <w:tr w14:paraId="3B1A86C1">
        <w:tblPrEx>
          <w:tblCellMar>
            <w:top w:w="0" w:type="dxa"/>
            <w:left w:w="108" w:type="dxa"/>
            <w:bottom w:w="0" w:type="dxa"/>
            <w:right w:w="108" w:type="dxa"/>
          </w:tblCellMar>
        </w:tblPrEx>
        <w:trPr>
          <w:trHeight w:val="504"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1EAFFFA2">
            <w:pPr>
              <w:spacing w:line="440" w:lineRule="exact"/>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w:t>
            </w:r>
          </w:p>
        </w:tc>
        <w:tc>
          <w:tcPr>
            <w:tcW w:w="2812" w:type="dxa"/>
            <w:tcBorders>
              <w:top w:val="single" w:color="auto" w:sz="4" w:space="0"/>
              <w:left w:val="single" w:color="auto" w:sz="4" w:space="0"/>
              <w:bottom w:val="single" w:color="auto" w:sz="4" w:space="0"/>
              <w:right w:val="single" w:color="auto" w:sz="4" w:space="0"/>
            </w:tcBorders>
            <w:noWrap w:val="0"/>
            <w:vAlign w:val="center"/>
          </w:tcPr>
          <w:p w14:paraId="4CD7EC5C">
            <w:pPr>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最高限价</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62629AE9">
            <w:pPr>
              <w:spacing w:line="440" w:lineRule="exact"/>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人民币</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2865700元</w:t>
            </w:r>
          </w:p>
          <w:p w14:paraId="5784B463">
            <w:pPr>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注：超过最高限价的投标作废标处理。</w:t>
            </w:r>
          </w:p>
        </w:tc>
      </w:tr>
      <w:tr w14:paraId="0F2C1C46">
        <w:tblPrEx>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7F5C8CDF">
            <w:pPr>
              <w:spacing w:line="440" w:lineRule="exact"/>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22</w:t>
            </w:r>
          </w:p>
        </w:tc>
        <w:tc>
          <w:tcPr>
            <w:tcW w:w="2812" w:type="dxa"/>
            <w:tcBorders>
              <w:top w:val="single" w:color="auto" w:sz="4" w:space="0"/>
              <w:left w:val="single" w:color="auto" w:sz="4" w:space="0"/>
              <w:bottom w:val="single" w:color="auto" w:sz="4" w:space="0"/>
              <w:right w:val="single" w:color="auto" w:sz="4" w:space="0"/>
            </w:tcBorders>
            <w:noWrap w:val="0"/>
            <w:vAlign w:val="center"/>
          </w:tcPr>
          <w:p w14:paraId="29C4F8AB">
            <w:pPr>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投标有效期</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4B43B787">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90日历天（从投标文件递交截止之日算起）</w:t>
            </w:r>
          </w:p>
        </w:tc>
      </w:tr>
      <w:tr w14:paraId="50261E51">
        <w:tblPrEx>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0FA0E528">
            <w:pPr>
              <w:spacing w:line="440" w:lineRule="exact"/>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23</w:t>
            </w:r>
          </w:p>
        </w:tc>
        <w:tc>
          <w:tcPr>
            <w:tcW w:w="2812" w:type="dxa"/>
            <w:tcBorders>
              <w:top w:val="single" w:color="auto" w:sz="4" w:space="0"/>
              <w:left w:val="single" w:color="auto" w:sz="4" w:space="0"/>
              <w:bottom w:val="single" w:color="auto" w:sz="4" w:space="0"/>
              <w:right w:val="single" w:color="auto" w:sz="4" w:space="0"/>
            </w:tcBorders>
            <w:noWrap w:val="0"/>
            <w:vAlign w:val="center"/>
          </w:tcPr>
          <w:p w14:paraId="23B39E5B">
            <w:pPr>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投标保证金</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68A7D58A">
            <w:pPr>
              <w:keepNext w:val="0"/>
              <w:keepLines w:val="0"/>
              <w:pageBreakBefore w:val="0"/>
              <w:widowControl w:val="0"/>
              <w:kinsoku/>
              <w:wordWrap/>
              <w:overflowPunct/>
              <w:topLinePunct w:val="0"/>
              <w:autoSpaceDE w:val="0"/>
              <w:autoSpaceDN w:val="0"/>
              <w:bidi w:val="0"/>
              <w:snapToGrid/>
              <w:spacing w:line="300" w:lineRule="exact"/>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投标保证金的形式：应当以转账、汇款、支票、汇票、本票或者金融机构、担保机构出具的保函等非现金形式提交。供应商未按照招标文件要求提交投标保证金的，投标无效。</w:t>
            </w:r>
          </w:p>
          <w:p w14:paraId="45A304BB">
            <w:pPr>
              <w:keepNext w:val="0"/>
              <w:keepLines w:val="0"/>
              <w:pageBreakBefore w:val="0"/>
              <w:widowControl w:val="0"/>
              <w:kinsoku/>
              <w:wordWrap/>
              <w:overflowPunct/>
              <w:topLinePunct w:val="0"/>
              <w:autoSpaceDE w:val="0"/>
              <w:autoSpaceDN w:val="0"/>
              <w:bidi w:val="0"/>
              <w:snapToGrid/>
              <w:spacing w:line="300" w:lineRule="exact"/>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投标保证金的金额：¥</w:t>
            </w:r>
            <w:r>
              <w:rPr>
                <w:rFonts w:hint="eastAsia" w:ascii="宋体" w:hAnsi="宋体" w:eastAsia="宋体" w:cs="宋体"/>
                <w:sz w:val="24"/>
                <w:szCs w:val="24"/>
                <w:highlight w:val="none"/>
                <w:lang w:val="en-US" w:eastAsia="zh-CN"/>
              </w:rPr>
              <w:t>2.8</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万</w:t>
            </w:r>
            <w:r>
              <w:rPr>
                <w:rFonts w:hint="eastAsia" w:ascii="宋体" w:hAnsi="宋体" w:eastAsia="宋体" w:cs="宋体"/>
                <w:sz w:val="24"/>
                <w:szCs w:val="24"/>
                <w:highlight w:val="none"/>
                <w:lang w:val="zh-CN" w:eastAsia="zh-CN"/>
              </w:rPr>
              <w:t>元</w:t>
            </w:r>
          </w:p>
          <w:p w14:paraId="35337354">
            <w:pPr>
              <w:keepNext w:val="0"/>
              <w:keepLines w:val="0"/>
              <w:pageBreakBefore w:val="0"/>
              <w:widowControl w:val="0"/>
              <w:kinsoku/>
              <w:wordWrap/>
              <w:overflowPunct/>
              <w:topLinePunct w:val="0"/>
              <w:autoSpaceDE w:val="0"/>
              <w:autoSpaceDN w:val="0"/>
              <w:bidi w:val="0"/>
              <w:snapToGrid/>
              <w:spacing w:line="300" w:lineRule="exact"/>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递交方式：供应商须在响应文件递交截止时间前将投标保证金存入指定账户，如用保函形式缴纳投标保证金的，将保函原件</w:t>
            </w:r>
            <w:r>
              <w:rPr>
                <w:rFonts w:hint="eastAsia" w:ascii="宋体" w:hAnsi="宋体" w:eastAsia="宋体" w:cs="宋体"/>
                <w:sz w:val="24"/>
                <w:szCs w:val="24"/>
                <w:highlight w:val="none"/>
                <w:lang w:val="en-US" w:eastAsia="zh-CN"/>
              </w:rPr>
              <w:t>与</w:t>
            </w:r>
            <w:r>
              <w:rPr>
                <w:rFonts w:hint="eastAsia" w:ascii="宋体" w:hAnsi="宋体" w:eastAsia="宋体" w:cs="宋体"/>
                <w:sz w:val="24"/>
                <w:szCs w:val="24"/>
                <w:highlight w:val="none"/>
                <w:lang w:val="zh-CN" w:eastAsia="zh-CN"/>
              </w:rPr>
              <w:t>响应文件</w:t>
            </w:r>
            <w:r>
              <w:rPr>
                <w:rFonts w:hint="eastAsia" w:ascii="宋体" w:hAnsi="宋体" w:eastAsia="宋体" w:cs="宋体"/>
                <w:sz w:val="24"/>
                <w:szCs w:val="24"/>
                <w:highlight w:val="none"/>
                <w:lang w:val="en-US" w:eastAsia="zh-CN"/>
              </w:rPr>
              <w:t>一同</w:t>
            </w:r>
            <w:r>
              <w:rPr>
                <w:rFonts w:hint="eastAsia" w:ascii="宋体" w:hAnsi="宋体" w:eastAsia="宋体" w:cs="宋体"/>
                <w:sz w:val="24"/>
                <w:szCs w:val="24"/>
                <w:highlight w:val="none"/>
                <w:lang w:val="zh-CN" w:eastAsia="zh-CN"/>
              </w:rPr>
              <w:t>递交，过期不予受理。逾期未缴纳保证金视为自动放弃投标资格，采购代理机构不另行通知供应商。投标保证金的确认以最终到账日期为准。</w:t>
            </w:r>
          </w:p>
          <w:p w14:paraId="2AE5FF79">
            <w:pPr>
              <w:keepNext w:val="0"/>
              <w:keepLines w:val="0"/>
              <w:pageBreakBefore w:val="0"/>
              <w:widowControl w:val="0"/>
              <w:kinsoku/>
              <w:wordWrap/>
              <w:overflowPunct/>
              <w:topLinePunct w:val="0"/>
              <w:autoSpaceDE w:val="0"/>
              <w:autoSpaceDN w:val="0"/>
              <w:bidi w:val="0"/>
              <w:snapToGrid/>
              <w:spacing w:line="300" w:lineRule="exact"/>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账户信息：</w:t>
            </w:r>
          </w:p>
          <w:p w14:paraId="7465A2E6">
            <w:pPr>
              <w:keepNext w:val="0"/>
              <w:keepLines w:val="0"/>
              <w:pageBreakBefore w:val="0"/>
              <w:widowControl w:val="0"/>
              <w:kinsoku/>
              <w:wordWrap/>
              <w:overflowPunct/>
              <w:topLinePunct w:val="0"/>
              <w:autoSpaceDE w:val="0"/>
              <w:autoSpaceDN w:val="0"/>
              <w:bidi w:val="0"/>
              <w:snapToGrid/>
              <w:spacing w:line="300" w:lineRule="exact"/>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递交时间：</w:t>
            </w:r>
            <w:r>
              <w:rPr>
                <w:rFonts w:hint="eastAsia" w:ascii="宋体" w:hAnsi="宋体" w:cs="宋体"/>
                <w:sz w:val="24"/>
                <w:szCs w:val="24"/>
                <w:highlight w:val="none"/>
                <w:lang w:val="zh-CN" w:eastAsia="zh-CN"/>
              </w:rPr>
              <w:t>2026年6月16日</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lang w:val="zh-CN" w:eastAsia="zh-CN"/>
              </w:rPr>
              <w:t>：</w:t>
            </w:r>
            <w:r>
              <w:rPr>
                <w:rFonts w:hint="eastAsia" w:ascii="宋体" w:hAnsi="宋体" w:cs="宋体"/>
                <w:sz w:val="24"/>
                <w:szCs w:val="24"/>
                <w:highlight w:val="none"/>
                <w:lang w:val="en-US" w:eastAsia="zh-CN"/>
              </w:rPr>
              <w:t>3</w:t>
            </w:r>
            <w:bookmarkStart w:id="132" w:name="_GoBack"/>
            <w:bookmarkEnd w:id="132"/>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val="zh-CN" w:eastAsia="zh-CN"/>
              </w:rPr>
              <w:t>时前。</w:t>
            </w:r>
          </w:p>
          <w:p w14:paraId="516F196E">
            <w:pPr>
              <w:keepNext w:val="0"/>
              <w:keepLines w:val="0"/>
              <w:pageBreakBefore w:val="0"/>
              <w:widowControl w:val="0"/>
              <w:kinsoku/>
              <w:wordWrap/>
              <w:overflowPunct/>
              <w:topLinePunct w:val="0"/>
              <w:autoSpaceDE w:val="0"/>
              <w:autoSpaceDN w:val="0"/>
              <w:bidi w:val="0"/>
              <w:snapToGrid/>
              <w:spacing w:line="300" w:lineRule="exact"/>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收款单位：吉林华誉项目管理有限公司。</w:t>
            </w:r>
          </w:p>
          <w:p w14:paraId="75A3EC03">
            <w:pPr>
              <w:keepNext w:val="0"/>
              <w:keepLines w:val="0"/>
              <w:pageBreakBefore w:val="0"/>
              <w:widowControl w:val="0"/>
              <w:kinsoku/>
              <w:wordWrap/>
              <w:overflowPunct/>
              <w:topLinePunct w:val="0"/>
              <w:autoSpaceDE w:val="0"/>
              <w:autoSpaceDN w:val="0"/>
              <w:bidi w:val="0"/>
              <w:snapToGrid/>
              <w:spacing w:line="300" w:lineRule="exact"/>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开户行：吉林银行股份有限公司吉林政务服务中心支行。</w:t>
            </w:r>
          </w:p>
          <w:p w14:paraId="6F10B390">
            <w:pPr>
              <w:keepNext w:val="0"/>
              <w:keepLines w:val="0"/>
              <w:pageBreakBefore w:val="0"/>
              <w:widowControl w:val="0"/>
              <w:kinsoku/>
              <w:wordWrap/>
              <w:overflowPunct/>
              <w:topLinePunct w:val="0"/>
              <w:autoSpaceDE w:val="0"/>
              <w:autoSpaceDN w:val="0"/>
              <w:bidi w:val="0"/>
              <w:snapToGrid/>
              <w:spacing w:line="300" w:lineRule="exact"/>
              <w:textAlignment w:val="auto"/>
              <w:rPr>
                <w:rFonts w:hint="eastAsia" w:asciiTheme="minorEastAsia" w:hAnsiTheme="minorEastAsia" w:eastAsiaTheme="minorEastAsia" w:cstheme="minorEastAsia"/>
                <w:sz w:val="24"/>
                <w:szCs w:val="24"/>
                <w:highlight w:val="none"/>
                <w:lang w:val="en-US" w:eastAsia="zh-CN"/>
              </w:rPr>
            </w:pPr>
            <w:r>
              <w:rPr>
                <w:rFonts w:hint="eastAsia" w:ascii="宋体" w:hAnsi="宋体" w:eastAsia="宋体" w:cs="宋体"/>
                <w:sz w:val="24"/>
                <w:szCs w:val="24"/>
                <w:highlight w:val="none"/>
                <w:lang w:val="zh-CN" w:eastAsia="zh-CN"/>
              </w:rPr>
              <w:t>帐  号：8936780396000001。</w:t>
            </w:r>
          </w:p>
        </w:tc>
      </w:tr>
      <w:tr w14:paraId="4E07FCB6">
        <w:tblPrEx>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3A57A6FE">
            <w:pPr>
              <w:spacing w:line="440" w:lineRule="exact"/>
              <w:jc w:val="center"/>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24</w:t>
            </w:r>
          </w:p>
        </w:tc>
        <w:tc>
          <w:tcPr>
            <w:tcW w:w="2812" w:type="dxa"/>
            <w:tcBorders>
              <w:top w:val="single" w:color="auto" w:sz="4" w:space="0"/>
              <w:left w:val="single" w:color="auto" w:sz="4" w:space="0"/>
              <w:bottom w:val="single" w:color="auto" w:sz="4" w:space="0"/>
              <w:right w:val="single" w:color="auto" w:sz="4" w:space="0"/>
            </w:tcBorders>
            <w:noWrap w:val="0"/>
            <w:vAlign w:val="center"/>
          </w:tcPr>
          <w:p w14:paraId="235D2803">
            <w:pPr>
              <w:spacing w:line="440" w:lineRule="exact"/>
              <w:jc w:val="left"/>
              <w:rPr>
                <w:rFonts w:hint="eastAsia" w:asciiTheme="minorEastAsia" w:hAnsiTheme="minorEastAsia" w:eastAsiaTheme="minorEastAsia" w:cstheme="minorEastAsia"/>
                <w:sz w:val="24"/>
                <w:szCs w:val="24"/>
                <w:highlight w:val="none"/>
              </w:rPr>
            </w:pPr>
            <w:r>
              <w:rPr>
                <w:rFonts w:hint="eastAsia" w:ascii="宋体" w:hAnsi="宋体" w:cs="宋体"/>
                <w:color w:val="000000"/>
                <w:sz w:val="24"/>
                <w:szCs w:val="24"/>
                <w:highlight w:val="none"/>
              </w:rPr>
              <w:t>技术标是否采用“暗标”评审方式</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4D9439E8">
            <w:pPr>
              <w:pStyle w:val="82"/>
              <w:jc w:val="both"/>
              <w:rPr>
                <w:rFonts w:hint="eastAsia" w:ascii="宋体" w:hAnsi="宋体" w:eastAsia="宋体" w:cs="宋体"/>
                <w:b/>
                <w:color w:val="000000"/>
                <w:kern w:val="2"/>
                <w:sz w:val="24"/>
                <w:szCs w:val="24"/>
                <w:highlight w:val="none"/>
              </w:rPr>
            </w:pPr>
            <w:r>
              <w:rPr>
                <w:rFonts w:hint="eastAsia" w:ascii="宋体" w:hAnsi="宋体" w:eastAsia="宋体" w:cs="宋体"/>
                <w:b/>
                <w:color w:val="000000"/>
                <w:kern w:val="2"/>
                <w:sz w:val="24"/>
                <w:szCs w:val="24"/>
                <w:highlight w:val="none"/>
              </w:rPr>
              <w:t>■采用</w:t>
            </w:r>
          </w:p>
          <w:p w14:paraId="766A1FB4">
            <w:pPr>
              <w:keepNext w:val="0"/>
              <w:keepLines w:val="0"/>
              <w:pageBreakBefore w:val="0"/>
              <w:widowControl w:val="0"/>
              <w:kinsoku/>
              <w:wordWrap/>
              <w:overflowPunct/>
              <w:topLinePunct w:val="0"/>
              <w:autoSpaceDE w:val="0"/>
              <w:autoSpaceDN w:val="0"/>
              <w:bidi w:val="0"/>
              <w:snapToGrid/>
              <w:spacing w:line="300" w:lineRule="exact"/>
              <w:textAlignment w:val="auto"/>
              <w:rPr>
                <w:rFonts w:hint="eastAsia" w:ascii="宋体" w:hAnsi="宋体" w:eastAsia="宋体" w:cs="宋体"/>
                <w:b/>
                <w:bCs/>
                <w:color w:val="auto"/>
                <w:spacing w:val="4"/>
                <w:sz w:val="24"/>
                <w:szCs w:val="24"/>
                <w:highlight w:val="none"/>
                <w:lang w:val="en-US" w:eastAsia="zh-CN"/>
              </w:rPr>
            </w:pPr>
            <w:r>
              <w:rPr>
                <w:rFonts w:hint="eastAsia" w:ascii="宋体" w:hAnsi="宋体" w:eastAsia="宋体" w:cs="宋体"/>
                <w:b/>
                <w:bCs/>
                <w:color w:val="auto"/>
                <w:spacing w:val="4"/>
                <w:sz w:val="24"/>
                <w:szCs w:val="24"/>
                <w:highlight w:val="none"/>
                <w:lang w:val="en-US" w:eastAsia="zh-CN"/>
              </w:rPr>
              <w:t>本项目采用“双盲”评审，</w:t>
            </w:r>
            <w:r>
              <w:rPr>
                <w:rFonts w:hint="eastAsia" w:ascii="宋体" w:hAnsi="宋体" w:cs="宋体"/>
                <w:b/>
                <w:bCs/>
                <w:color w:val="auto"/>
                <w:spacing w:val="4"/>
                <w:sz w:val="24"/>
                <w:szCs w:val="24"/>
                <w:highlight w:val="none"/>
                <w:lang w:val="en-US" w:eastAsia="zh-CN"/>
              </w:rPr>
              <w:t>招标文件</w:t>
            </w:r>
            <w:r>
              <w:rPr>
                <w:rFonts w:hint="eastAsia" w:ascii="宋体" w:hAnsi="宋体" w:eastAsia="宋体" w:cs="宋体"/>
                <w:b/>
                <w:bCs/>
                <w:color w:val="auto"/>
                <w:spacing w:val="4"/>
                <w:sz w:val="24"/>
                <w:szCs w:val="24"/>
                <w:highlight w:val="none"/>
                <w:lang w:val="en-US" w:eastAsia="zh-CN"/>
              </w:rPr>
              <w:t>技术标必须遵守统一格式和规范。技术标文件（暗标）未按以下“盲评”要求制作的，为无效投标。</w:t>
            </w:r>
          </w:p>
          <w:p w14:paraId="4F5FAF63">
            <w:pPr>
              <w:keepNext w:val="0"/>
              <w:keepLines w:val="0"/>
              <w:pageBreakBefore w:val="0"/>
              <w:widowControl w:val="0"/>
              <w:kinsoku/>
              <w:wordWrap/>
              <w:overflowPunct/>
              <w:topLinePunct w:val="0"/>
              <w:autoSpaceDE w:val="0"/>
              <w:autoSpaceDN w:val="0"/>
              <w:bidi w:val="0"/>
              <w:snapToGrid/>
              <w:spacing w:line="30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1.版面要求：A4纸张大小；</w:t>
            </w:r>
          </w:p>
          <w:p w14:paraId="51612027">
            <w:pPr>
              <w:keepNext w:val="0"/>
              <w:keepLines w:val="0"/>
              <w:pageBreakBefore w:val="0"/>
              <w:widowControl w:val="0"/>
              <w:kinsoku/>
              <w:wordWrap/>
              <w:overflowPunct/>
              <w:topLinePunct w:val="0"/>
              <w:autoSpaceDE w:val="0"/>
              <w:autoSpaceDN w:val="0"/>
              <w:bidi w:val="0"/>
              <w:snapToGrid/>
              <w:spacing w:line="30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 2.颜色要求：所有文字、图表均为黑色；</w:t>
            </w:r>
          </w:p>
          <w:p w14:paraId="77D79C88">
            <w:pPr>
              <w:keepNext w:val="0"/>
              <w:keepLines w:val="0"/>
              <w:pageBreakBefore w:val="0"/>
              <w:widowControl w:val="0"/>
              <w:kinsoku/>
              <w:wordWrap/>
              <w:overflowPunct/>
              <w:topLinePunct w:val="0"/>
              <w:autoSpaceDE w:val="0"/>
              <w:autoSpaceDN w:val="0"/>
              <w:bidi w:val="0"/>
              <w:snapToGrid/>
              <w:spacing w:line="30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 3.字体要求：标题及正文部分所用文字均采用“宋体”四号“常规”字；图、表内的字体及字号不作要求；全部使用中文标点符号；所有字体均不得出现加粗、加色、倾斜、下划线等标记；</w:t>
            </w:r>
          </w:p>
          <w:p w14:paraId="4553A0CD">
            <w:pPr>
              <w:keepNext w:val="0"/>
              <w:keepLines w:val="0"/>
              <w:pageBreakBefore w:val="0"/>
              <w:widowControl w:val="0"/>
              <w:kinsoku/>
              <w:wordWrap/>
              <w:overflowPunct/>
              <w:topLinePunct w:val="0"/>
              <w:autoSpaceDE w:val="0"/>
              <w:autoSpaceDN w:val="0"/>
              <w:bidi w:val="0"/>
              <w:snapToGrid/>
              <w:spacing w:line="30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 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403F7277">
            <w:pPr>
              <w:spacing w:line="440" w:lineRule="exact"/>
              <w:rPr>
                <w:rFonts w:hint="eastAsia" w:asciiTheme="minorEastAsia" w:hAnsiTheme="minorEastAsia" w:eastAsiaTheme="minorEastAsia" w:cstheme="minorEastAsia"/>
                <w:sz w:val="24"/>
                <w:szCs w:val="24"/>
                <w:highlight w:val="none"/>
              </w:rPr>
            </w:pPr>
            <w:r>
              <w:rPr>
                <w:rFonts w:hint="eastAsia" w:ascii="宋体" w:hAnsi="宋体" w:eastAsia="宋体" w:cs="宋体"/>
                <w:sz w:val="24"/>
                <w:szCs w:val="24"/>
                <w:highlight w:val="none"/>
                <w:lang w:eastAsia="zh-CN"/>
              </w:rPr>
              <w:t xml:space="preserve"> 5.其它：除满足上述各项要求外，构成投标文件的“技术暗标”的正文中均不得出现供应商的名称和其它可识别供应商身份的字符、徽标、人员名称以及其他可能被辨别出供应商身份的任何标记。</w:t>
            </w:r>
          </w:p>
        </w:tc>
      </w:tr>
      <w:tr w14:paraId="53FB9234">
        <w:tblPrEx>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40B819C1">
            <w:pPr>
              <w:spacing w:line="440" w:lineRule="exact"/>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25</w:t>
            </w:r>
          </w:p>
        </w:tc>
        <w:tc>
          <w:tcPr>
            <w:tcW w:w="2812" w:type="dxa"/>
            <w:tcBorders>
              <w:top w:val="single" w:color="auto" w:sz="4" w:space="0"/>
              <w:left w:val="single" w:color="auto" w:sz="4" w:space="0"/>
              <w:bottom w:val="single" w:color="auto" w:sz="4" w:space="0"/>
              <w:right w:val="single" w:color="auto" w:sz="4" w:space="0"/>
            </w:tcBorders>
            <w:noWrap w:val="0"/>
            <w:vAlign w:val="center"/>
          </w:tcPr>
          <w:p w14:paraId="48F2924F">
            <w:pPr>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近年完成的类似项目的</w:t>
            </w:r>
          </w:p>
          <w:p w14:paraId="60F48D73">
            <w:pPr>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年份要求</w:t>
            </w:r>
            <w:r>
              <w:rPr>
                <w:rFonts w:hint="eastAsia" w:asciiTheme="minorEastAsia" w:hAnsiTheme="minorEastAsia" w:eastAsiaTheme="minorEastAsia" w:cstheme="minorEastAsia"/>
                <w:sz w:val="24"/>
                <w:szCs w:val="24"/>
                <w:highlight w:val="none"/>
              </w:rPr>
              <w:tab/>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63B5789B">
            <w:pPr>
              <w:spacing w:line="440" w:lineRule="exac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u w:val="single"/>
              </w:rPr>
              <w:t>20</w:t>
            </w:r>
            <w:r>
              <w:rPr>
                <w:rFonts w:hint="eastAsia" w:asciiTheme="minorEastAsia" w:hAnsiTheme="minorEastAsia" w:eastAsiaTheme="minorEastAsia" w:cstheme="minorEastAsia"/>
                <w:sz w:val="24"/>
                <w:szCs w:val="24"/>
                <w:highlight w:val="none"/>
                <w:u w:val="single"/>
                <w:lang w:val="en-US" w:eastAsia="zh-CN"/>
              </w:rPr>
              <w:t>23</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01</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lang w:val="en-US" w:eastAsia="zh-CN"/>
              </w:rPr>
              <w:t>01</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日起</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至</w:t>
            </w:r>
            <w:r>
              <w:rPr>
                <w:rFonts w:hint="eastAsia" w:asciiTheme="minorEastAsia" w:hAnsiTheme="minorEastAsia" w:eastAsiaTheme="minorEastAsia" w:cstheme="minorEastAsia"/>
                <w:sz w:val="24"/>
                <w:szCs w:val="24"/>
                <w:highlight w:val="none"/>
                <w:lang w:val="en-US" w:eastAsia="zh-CN"/>
              </w:rPr>
              <w:t>今</w:t>
            </w:r>
          </w:p>
        </w:tc>
      </w:tr>
      <w:tr w14:paraId="719673C1">
        <w:tblPrEx>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5A717F22">
            <w:pPr>
              <w:spacing w:line="440" w:lineRule="exact"/>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26</w:t>
            </w:r>
          </w:p>
        </w:tc>
        <w:tc>
          <w:tcPr>
            <w:tcW w:w="2812" w:type="dxa"/>
            <w:tcBorders>
              <w:top w:val="single" w:color="auto" w:sz="4" w:space="0"/>
              <w:left w:val="single" w:color="auto" w:sz="4" w:space="0"/>
              <w:bottom w:val="single" w:color="auto" w:sz="4" w:space="0"/>
              <w:right w:val="single" w:color="auto" w:sz="4" w:space="0"/>
            </w:tcBorders>
            <w:noWrap w:val="0"/>
            <w:vAlign w:val="center"/>
          </w:tcPr>
          <w:p w14:paraId="38FA0E4C">
            <w:pPr>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近年在经营活动中没有重大违法记录</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257B99F7">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20</w:t>
            </w:r>
            <w:r>
              <w:rPr>
                <w:rFonts w:hint="eastAsia" w:asciiTheme="minorEastAsia" w:hAnsiTheme="minorEastAsia" w:eastAsiaTheme="minorEastAsia" w:cstheme="minorEastAsia"/>
                <w:sz w:val="24"/>
                <w:szCs w:val="24"/>
                <w:highlight w:val="none"/>
                <w:u w:val="single"/>
                <w:lang w:val="en-US" w:eastAsia="zh-CN"/>
              </w:rPr>
              <w:t>23</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01</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lang w:val="en-US" w:eastAsia="zh-CN"/>
              </w:rPr>
              <w:t>01</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日起</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至</w:t>
            </w:r>
            <w:r>
              <w:rPr>
                <w:rFonts w:hint="eastAsia" w:asciiTheme="minorEastAsia" w:hAnsiTheme="minorEastAsia" w:eastAsiaTheme="minorEastAsia" w:cstheme="minorEastAsia"/>
                <w:sz w:val="24"/>
                <w:szCs w:val="24"/>
                <w:highlight w:val="none"/>
                <w:lang w:val="en-US" w:eastAsia="zh-CN"/>
              </w:rPr>
              <w:t>今</w:t>
            </w:r>
          </w:p>
        </w:tc>
      </w:tr>
      <w:tr w14:paraId="53D2C0DF">
        <w:tblPrEx>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1BB08726">
            <w:pPr>
              <w:spacing w:line="440" w:lineRule="exact"/>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27</w:t>
            </w:r>
          </w:p>
        </w:tc>
        <w:tc>
          <w:tcPr>
            <w:tcW w:w="2812" w:type="dxa"/>
            <w:tcBorders>
              <w:top w:val="single" w:color="auto" w:sz="4" w:space="0"/>
              <w:left w:val="single" w:color="auto" w:sz="4" w:space="0"/>
              <w:bottom w:val="single" w:color="auto" w:sz="4" w:space="0"/>
              <w:right w:val="single" w:color="auto" w:sz="4" w:space="0"/>
            </w:tcBorders>
            <w:noWrap w:val="0"/>
            <w:vAlign w:val="center"/>
          </w:tcPr>
          <w:p w14:paraId="1DEBF705">
            <w:pPr>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color w:val="auto"/>
                <w:sz w:val="24"/>
                <w:szCs w:val="24"/>
                <w:highlight w:val="none"/>
                <w:lang w:val="zh-CN"/>
              </w:rPr>
              <w:t>是否允许递交备选投标方案</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1B14E857">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color w:val="auto"/>
                <w:sz w:val="24"/>
                <w:szCs w:val="24"/>
                <w:highlight w:val="none"/>
                <w:lang w:val="zh-CN"/>
              </w:rPr>
              <w:t>不允许</w:t>
            </w:r>
          </w:p>
        </w:tc>
      </w:tr>
      <w:tr w14:paraId="68CED911">
        <w:tblPrEx>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20E8E8E7">
            <w:pPr>
              <w:spacing w:line="440" w:lineRule="exact"/>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28</w:t>
            </w:r>
          </w:p>
        </w:tc>
        <w:tc>
          <w:tcPr>
            <w:tcW w:w="2812" w:type="dxa"/>
            <w:tcBorders>
              <w:top w:val="single" w:color="auto" w:sz="4" w:space="0"/>
              <w:left w:val="single" w:color="auto" w:sz="4" w:space="0"/>
              <w:bottom w:val="single" w:color="auto" w:sz="4" w:space="0"/>
              <w:right w:val="single" w:color="auto" w:sz="4" w:space="0"/>
            </w:tcBorders>
            <w:noWrap w:val="0"/>
            <w:vAlign w:val="center"/>
          </w:tcPr>
          <w:p w14:paraId="57C6F9C7">
            <w:pPr>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签字或盖章要求</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0E3D0DBC">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投标文件电子签字盖章要求应严格按照招标文件给定的格式要求执行；投标文件商务部分应加盖投标人电子印章并经法定代表人或其委托代理人电子签字，资格审查资料应加盖投标人电子印章。</w:t>
            </w:r>
          </w:p>
        </w:tc>
      </w:tr>
      <w:tr w14:paraId="06BDF33B">
        <w:tblPrEx>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63B66570">
            <w:pPr>
              <w:spacing w:line="440" w:lineRule="exact"/>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29</w:t>
            </w:r>
          </w:p>
        </w:tc>
        <w:tc>
          <w:tcPr>
            <w:tcW w:w="2812" w:type="dxa"/>
            <w:tcBorders>
              <w:top w:val="single" w:color="auto" w:sz="4" w:space="0"/>
              <w:left w:val="single" w:color="auto" w:sz="4" w:space="0"/>
              <w:bottom w:val="single" w:color="auto" w:sz="4" w:space="0"/>
              <w:right w:val="single" w:color="auto" w:sz="4" w:space="0"/>
            </w:tcBorders>
            <w:noWrap w:val="0"/>
            <w:vAlign w:val="center"/>
          </w:tcPr>
          <w:p w14:paraId="5E397331">
            <w:pPr>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投标文件份数</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47BAE8C0">
            <w:pPr>
              <w:spacing w:line="440" w:lineRule="exact"/>
              <w:jc w:val="left"/>
              <w:rPr>
                <w:rFonts w:hint="eastAsia" w:asciiTheme="minorEastAsia" w:hAnsiTheme="minorEastAsia" w:eastAsiaTheme="minorEastAsia" w:cstheme="minorEastAsia"/>
                <w:sz w:val="24"/>
                <w:szCs w:val="24"/>
                <w:highlight w:val="none"/>
              </w:rPr>
            </w:pPr>
            <w:r>
              <w:rPr>
                <w:rFonts w:hint="eastAsia" w:ascii="宋体" w:hAnsi="宋体" w:eastAsia="宋体" w:cs="Times New Roman"/>
                <w:color w:val="000000"/>
                <w:sz w:val="24"/>
                <w:szCs w:val="24"/>
                <w:highlight w:val="none"/>
              </w:rPr>
              <w:t>注：本项目采取网上招标、网上投标和远程不见面开标。投标单位 须在开标前将政采云电子投标客户端生成的加密文件上传到“政采 云 ”平台（https://www.zcygov.cn/）。</w:t>
            </w:r>
          </w:p>
        </w:tc>
      </w:tr>
      <w:tr w14:paraId="2EFED4A9">
        <w:tblPrEx>
          <w:tblCellMar>
            <w:top w:w="0" w:type="dxa"/>
            <w:left w:w="108" w:type="dxa"/>
            <w:bottom w:w="0" w:type="dxa"/>
            <w:right w:w="108" w:type="dxa"/>
          </w:tblCellMar>
        </w:tblPrEx>
        <w:trPr>
          <w:trHeight w:val="580"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1C258140">
            <w:pPr>
              <w:spacing w:line="440" w:lineRule="exact"/>
              <w:jc w:val="left"/>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30</w:t>
            </w:r>
          </w:p>
        </w:tc>
        <w:tc>
          <w:tcPr>
            <w:tcW w:w="2812" w:type="dxa"/>
            <w:tcBorders>
              <w:top w:val="single" w:color="auto" w:sz="4" w:space="0"/>
              <w:left w:val="single" w:color="auto" w:sz="4" w:space="0"/>
              <w:bottom w:val="single" w:color="auto" w:sz="4" w:space="0"/>
              <w:right w:val="single" w:color="auto" w:sz="4" w:space="0"/>
            </w:tcBorders>
            <w:noWrap w:val="0"/>
            <w:vAlign w:val="center"/>
          </w:tcPr>
          <w:p w14:paraId="2AA9C935">
            <w:pPr>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递交投标文件地点</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4B6A7663">
            <w:pPr>
              <w:spacing w:line="440" w:lineRule="exact"/>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投标单位需在开标前将投标文件制作工具生成的加密文件上传到</w:t>
            </w:r>
            <w:r>
              <w:rPr>
                <w:rFonts w:hint="eastAsia" w:asciiTheme="minorEastAsia" w:hAnsiTheme="minorEastAsia" w:eastAsiaTheme="minorEastAsia" w:cstheme="minorEastAsia"/>
                <w:sz w:val="24"/>
                <w:szCs w:val="24"/>
                <w:highlight w:val="none"/>
                <w:lang w:val="en-US" w:eastAsia="zh-CN"/>
              </w:rPr>
              <w:t>政采云平台</w:t>
            </w:r>
            <w:r>
              <w:rPr>
                <w:rFonts w:hint="eastAsia" w:asciiTheme="minorEastAsia" w:hAnsiTheme="minorEastAsia" w:eastAsiaTheme="minorEastAsia" w:cstheme="minorEastAsia"/>
                <w:sz w:val="24"/>
                <w:szCs w:val="24"/>
                <w:highlight w:val="none"/>
              </w:rPr>
              <w:t>。</w:t>
            </w:r>
          </w:p>
        </w:tc>
      </w:tr>
      <w:tr w14:paraId="20E04585">
        <w:tblPrEx>
          <w:tblCellMar>
            <w:top w:w="0" w:type="dxa"/>
            <w:left w:w="108" w:type="dxa"/>
            <w:bottom w:w="0" w:type="dxa"/>
            <w:right w:w="108" w:type="dxa"/>
          </w:tblCellMar>
        </w:tblPrEx>
        <w:trPr>
          <w:trHeight w:val="600"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545F41D9">
            <w:pPr>
              <w:spacing w:line="440" w:lineRule="exact"/>
              <w:jc w:val="center"/>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31</w:t>
            </w:r>
          </w:p>
        </w:tc>
        <w:tc>
          <w:tcPr>
            <w:tcW w:w="2812" w:type="dxa"/>
            <w:tcBorders>
              <w:top w:val="single" w:color="auto" w:sz="4" w:space="0"/>
              <w:left w:val="single" w:color="auto" w:sz="4" w:space="0"/>
              <w:bottom w:val="single" w:color="auto" w:sz="4" w:space="0"/>
              <w:right w:val="single" w:color="auto" w:sz="4" w:space="0"/>
            </w:tcBorders>
            <w:noWrap w:val="0"/>
            <w:vAlign w:val="center"/>
          </w:tcPr>
          <w:p w14:paraId="78B6E197">
            <w:pPr>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是否退还投标文件</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1ECBA072">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否</w:t>
            </w:r>
          </w:p>
        </w:tc>
      </w:tr>
      <w:tr w14:paraId="36CC0C60">
        <w:tblPrEx>
          <w:tblCellMar>
            <w:top w:w="0" w:type="dxa"/>
            <w:left w:w="108" w:type="dxa"/>
            <w:bottom w:w="0" w:type="dxa"/>
            <w:right w:w="108" w:type="dxa"/>
          </w:tblCellMar>
        </w:tblPrEx>
        <w:trPr>
          <w:trHeight w:val="912"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2D5BDD95">
            <w:pPr>
              <w:spacing w:line="440" w:lineRule="exact"/>
              <w:jc w:val="center"/>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32</w:t>
            </w:r>
          </w:p>
        </w:tc>
        <w:tc>
          <w:tcPr>
            <w:tcW w:w="2812" w:type="dxa"/>
            <w:tcBorders>
              <w:top w:val="single" w:color="auto" w:sz="4" w:space="0"/>
              <w:left w:val="single" w:color="auto" w:sz="4" w:space="0"/>
              <w:bottom w:val="single" w:color="auto" w:sz="4" w:space="0"/>
              <w:right w:val="single" w:color="auto" w:sz="4" w:space="0"/>
            </w:tcBorders>
            <w:noWrap w:val="0"/>
            <w:vAlign w:val="center"/>
          </w:tcPr>
          <w:p w14:paraId="69FE577E">
            <w:pPr>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开标时间和地点</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59A52F14">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开标时间：同投标截止时间</w:t>
            </w:r>
          </w:p>
          <w:p w14:paraId="38CA96D4">
            <w:pPr>
              <w:spacing w:line="440" w:lineRule="exact"/>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开标地点：</w:t>
            </w:r>
            <w:r>
              <w:rPr>
                <w:rFonts w:hint="eastAsia" w:asciiTheme="minorEastAsia" w:hAnsiTheme="minorEastAsia" w:eastAsiaTheme="minorEastAsia" w:cstheme="minorEastAsia"/>
                <w:sz w:val="24"/>
                <w:szCs w:val="24"/>
                <w:highlight w:val="none"/>
                <w:lang w:val="en-US" w:eastAsia="zh-CN"/>
              </w:rPr>
              <w:t>磐石市公共资源交易中心</w:t>
            </w:r>
          </w:p>
        </w:tc>
      </w:tr>
      <w:tr w14:paraId="32D054C8">
        <w:tblPrEx>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36C6BF52">
            <w:pPr>
              <w:spacing w:line="440" w:lineRule="exact"/>
              <w:jc w:val="center"/>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33</w:t>
            </w:r>
          </w:p>
        </w:tc>
        <w:tc>
          <w:tcPr>
            <w:tcW w:w="2812" w:type="dxa"/>
            <w:tcBorders>
              <w:top w:val="single" w:color="auto" w:sz="4" w:space="0"/>
              <w:left w:val="single" w:color="auto" w:sz="4" w:space="0"/>
              <w:bottom w:val="single" w:color="auto" w:sz="4" w:space="0"/>
              <w:right w:val="single" w:color="auto" w:sz="4" w:space="0"/>
            </w:tcBorders>
            <w:noWrap w:val="0"/>
            <w:vAlign w:val="center"/>
          </w:tcPr>
          <w:p w14:paraId="7E95159C">
            <w:pPr>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评标委员会的组建</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5DCF9982">
            <w:pPr>
              <w:spacing w:line="440" w:lineRule="exact"/>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评标委员会构成：</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val="zh-CN"/>
              </w:rPr>
              <w:t>人</w:t>
            </w:r>
          </w:p>
          <w:p w14:paraId="4ABB3A48">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zh-CN"/>
              </w:rPr>
              <w:t>此项目为远程异地评审项目，</w:t>
            </w:r>
            <w:r>
              <w:rPr>
                <w:rFonts w:hint="eastAsia" w:asciiTheme="minorEastAsia" w:hAnsiTheme="minorEastAsia" w:eastAsiaTheme="minorEastAsia" w:cstheme="minorEastAsia"/>
                <w:sz w:val="24"/>
                <w:szCs w:val="24"/>
                <w:highlight w:val="none"/>
                <w:lang w:val="en-US" w:eastAsia="zh-CN"/>
              </w:rPr>
              <w:t>副场专家人数由采购人确定，评审委员会在吉林省政府采购评审专家库中随机抽取产生</w:t>
            </w:r>
            <w:r>
              <w:rPr>
                <w:rFonts w:hint="eastAsia" w:asciiTheme="minorEastAsia" w:hAnsiTheme="minorEastAsia" w:eastAsiaTheme="minorEastAsia" w:cstheme="minorEastAsia"/>
                <w:sz w:val="24"/>
                <w:szCs w:val="24"/>
                <w:highlight w:val="none"/>
                <w:lang w:val="zh-CN"/>
              </w:rPr>
              <w:t>。</w:t>
            </w:r>
          </w:p>
        </w:tc>
      </w:tr>
      <w:tr w14:paraId="42661B21">
        <w:tblPrEx>
          <w:tblCellMar>
            <w:top w:w="0" w:type="dxa"/>
            <w:left w:w="108" w:type="dxa"/>
            <w:bottom w:w="0" w:type="dxa"/>
            <w:right w:w="108" w:type="dxa"/>
          </w:tblCellMar>
        </w:tblPrEx>
        <w:trPr>
          <w:trHeight w:val="735"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6C88649C">
            <w:pPr>
              <w:spacing w:line="440" w:lineRule="exact"/>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34</w:t>
            </w:r>
          </w:p>
        </w:tc>
        <w:tc>
          <w:tcPr>
            <w:tcW w:w="2812" w:type="dxa"/>
            <w:tcBorders>
              <w:top w:val="single" w:color="auto" w:sz="4" w:space="0"/>
              <w:left w:val="single" w:color="auto" w:sz="4" w:space="0"/>
              <w:bottom w:val="single" w:color="auto" w:sz="4" w:space="0"/>
              <w:right w:val="single" w:color="auto" w:sz="4" w:space="0"/>
            </w:tcBorders>
            <w:noWrap w:val="0"/>
            <w:vAlign w:val="center"/>
          </w:tcPr>
          <w:p w14:paraId="2782E2BD">
            <w:pPr>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中标公示</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2957416A">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在中标通知书发出前，招标人将中标候选人的情况在本招标项目招标公告发布的同一媒介予以公示，公示期为</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个工作日。</w:t>
            </w:r>
          </w:p>
        </w:tc>
      </w:tr>
      <w:tr w14:paraId="47CAD713">
        <w:tblPrEx>
          <w:tblCellMar>
            <w:top w:w="0" w:type="dxa"/>
            <w:left w:w="108" w:type="dxa"/>
            <w:bottom w:w="0" w:type="dxa"/>
            <w:right w:w="108" w:type="dxa"/>
          </w:tblCellMar>
        </w:tblPrEx>
        <w:trPr>
          <w:trHeight w:val="606"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606ACF60">
            <w:pPr>
              <w:spacing w:line="440" w:lineRule="exact"/>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35</w:t>
            </w:r>
          </w:p>
        </w:tc>
        <w:tc>
          <w:tcPr>
            <w:tcW w:w="2812" w:type="dxa"/>
            <w:tcBorders>
              <w:top w:val="single" w:color="auto" w:sz="4" w:space="0"/>
              <w:left w:val="single" w:color="auto" w:sz="4" w:space="0"/>
              <w:bottom w:val="single" w:color="auto" w:sz="4" w:space="0"/>
              <w:right w:val="single" w:color="auto" w:sz="4" w:space="0"/>
            </w:tcBorders>
            <w:noWrap w:val="0"/>
            <w:vAlign w:val="center"/>
          </w:tcPr>
          <w:p w14:paraId="7AE12702">
            <w:pPr>
              <w:spacing w:line="440" w:lineRule="exact"/>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履约保证金</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63A1D4C0">
            <w:pPr>
              <w:spacing w:line="440" w:lineRule="exact"/>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不收取</w:t>
            </w:r>
          </w:p>
        </w:tc>
      </w:tr>
      <w:tr w14:paraId="74D44C5C">
        <w:tblPrEx>
          <w:tblCellMar>
            <w:top w:w="0" w:type="dxa"/>
            <w:left w:w="108" w:type="dxa"/>
            <w:bottom w:w="0" w:type="dxa"/>
            <w:right w:w="108" w:type="dxa"/>
          </w:tblCellMar>
        </w:tblPrEx>
        <w:trPr>
          <w:trHeight w:val="606"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2E7F562E">
            <w:pPr>
              <w:spacing w:line="440" w:lineRule="exact"/>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36</w:t>
            </w:r>
          </w:p>
        </w:tc>
        <w:tc>
          <w:tcPr>
            <w:tcW w:w="2812" w:type="dxa"/>
            <w:tcBorders>
              <w:top w:val="single" w:color="auto" w:sz="4" w:space="0"/>
              <w:left w:val="single" w:color="auto" w:sz="4" w:space="0"/>
              <w:bottom w:val="single" w:color="auto" w:sz="4" w:space="0"/>
              <w:right w:val="single" w:color="auto" w:sz="4" w:space="0"/>
            </w:tcBorders>
            <w:noWrap w:val="0"/>
            <w:vAlign w:val="center"/>
          </w:tcPr>
          <w:p w14:paraId="44FAE478">
            <w:pPr>
              <w:spacing w:line="440" w:lineRule="exact"/>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质保金</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2DA203E7">
            <w:pPr>
              <w:spacing w:line="440" w:lineRule="exact"/>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不收取</w:t>
            </w:r>
          </w:p>
        </w:tc>
      </w:tr>
      <w:tr w14:paraId="6485AE7A">
        <w:tblPrEx>
          <w:tblCellMar>
            <w:top w:w="0" w:type="dxa"/>
            <w:left w:w="108" w:type="dxa"/>
            <w:bottom w:w="0" w:type="dxa"/>
            <w:right w:w="108" w:type="dxa"/>
          </w:tblCellMar>
        </w:tblPrEx>
        <w:trPr>
          <w:trHeight w:val="606"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79F3B0E4">
            <w:pPr>
              <w:spacing w:line="440" w:lineRule="exact"/>
              <w:jc w:val="center"/>
              <w:rPr>
                <w:rFonts w:hint="eastAsia" w:asciiTheme="minorEastAsia" w:hAnsiTheme="minorEastAsia" w:eastAsiaTheme="minorEastAsia" w:cstheme="minorEastAsia"/>
                <w:sz w:val="24"/>
                <w:szCs w:val="24"/>
                <w:highlight w:val="none"/>
                <w:lang w:eastAsia="zh-CN"/>
              </w:rPr>
            </w:pPr>
          </w:p>
        </w:tc>
        <w:tc>
          <w:tcPr>
            <w:tcW w:w="8170" w:type="dxa"/>
            <w:gridSpan w:val="2"/>
            <w:tcBorders>
              <w:top w:val="single" w:color="auto" w:sz="4" w:space="0"/>
              <w:left w:val="single" w:color="auto" w:sz="4" w:space="0"/>
              <w:bottom w:val="single" w:color="auto" w:sz="4" w:space="0"/>
              <w:right w:val="single" w:color="auto" w:sz="4" w:space="0"/>
            </w:tcBorders>
            <w:noWrap w:val="0"/>
            <w:vAlign w:val="center"/>
          </w:tcPr>
          <w:p w14:paraId="61D2B150">
            <w:pPr>
              <w:spacing w:line="440" w:lineRule="exact"/>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需要补充的其他内容</w:t>
            </w:r>
          </w:p>
        </w:tc>
      </w:tr>
      <w:tr w14:paraId="3AB5DBFB">
        <w:tblPrEx>
          <w:tblCellMar>
            <w:top w:w="0" w:type="dxa"/>
            <w:left w:w="108" w:type="dxa"/>
            <w:bottom w:w="0" w:type="dxa"/>
            <w:right w:w="108" w:type="dxa"/>
          </w:tblCellMar>
        </w:tblPrEx>
        <w:trPr>
          <w:trHeight w:val="606"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21945EA7">
            <w:pPr>
              <w:spacing w:line="440" w:lineRule="exact"/>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37</w:t>
            </w:r>
          </w:p>
        </w:tc>
        <w:tc>
          <w:tcPr>
            <w:tcW w:w="2812" w:type="dxa"/>
            <w:tcBorders>
              <w:top w:val="single" w:color="auto" w:sz="4" w:space="0"/>
              <w:left w:val="single" w:color="auto" w:sz="4" w:space="0"/>
              <w:bottom w:val="single" w:color="auto" w:sz="4" w:space="0"/>
              <w:right w:val="single" w:color="auto" w:sz="4" w:space="0"/>
            </w:tcBorders>
            <w:noWrap w:val="0"/>
            <w:vAlign w:val="center"/>
          </w:tcPr>
          <w:p w14:paraId="4BE5E571">
            <w:pPr>
              <w:spacing w:line="440" w:lineRule="exact"/>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考察中标候选人</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4265C95B">
            <w:pPr>
              <w:spacing w:line="440" w:lineRule="exact"/>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zh-CN"/>
              </w:rPr>
              <w:t>采购人在管理机构的监督下，可以对中标候选人进行考察。</w:t>
            </w:r>
          </w:p>
        </w:tc>
      </w:tr>
      <w:tr w14:paraId="05497B4F">
        <w:tblPrEx>
          <w:tblCellMar>
            <w:top w:w="0" w:type="dxa"/>
            <w:left w:w="108" w:type="dxa"/>
            <w:bottom w:w="0" w:type="dxa"/>
            <w:right w:w="108" w:type="dxa"/>
          </w:tblCellMar>
        </w:tblPrEx>
        <w:trPr>
          <w:trHeight w:val="606"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1F2D8FE4">
            <w:pPr>
              <w:spacing w:line="440" w:lineRule="exact"/>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38</w:t>
            </w:r>
          </w:p>
        </w:tc>
        <w:tc>
          <w:tcPr>
            <w:tcW w:w="2812" w:type="dxa"/>
            <w:tcBorders>
              <w:top w:val="single" w:color="auto" w:sz="4" w:space="0"/>
              <w:left w:val="single" w:color="auto" w:sz="4" w:space="0"/>
              <w:bottom w:val="single" w:color="auto" w:sz="4" w:space="0"/>
              <w:right w:val="single" w:color="auto" w:sz="4" w:space="0"/>
            </w:tcBorders>
            <w:noWrap w:val="0"/>
            <w:vAlign w:val="center"/>
          </w:tcPr>
          <w:p w14:paraId="103F5DE5">
            <w:pPr>
              <w:spacing w:line="440" w:lineRule="exact"/>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zh-CN"/>
              </w:rPr>
              <w:t>评审办法</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6EF510A2">
            <w:pPr>
              <w:spacing w:line="440" w:lineRule="exact"/>
              <w:rPr>
                <w:rFonts w:hint="eastAsia" w:asciiTheme="minorEastAsia" w:hAnsiTheme="minorEastAsia" w:eastAsiaTheme="minorEastAsia" w:cstheme="minorEastAsia"/>
                <w:kern w:val="0"/>
                <w:sz w:val="24"/>
                <w:szCs w:val="24"/>
                <w:highlight w:val="none"/>
                <w:lang w:val="zh-CN"/>
              </w:rPr>
            </w:pPr>
            <w:r>
              <w:rPr>
                <w:rFonts w:hint="eastAsia" w:asciiTheme="minorEastAsia" w:hAnsiTheme="minorEastAsia" w:eastAsiaTheme="minorEastAsia" w:cstheme="minorEastAsia"/>
                <w:kern w:val="0"/>
                <w:sz w:val="24"/>
                <w:szCs w:val="24"/>
                <w:highlight w:val="none"/>
                <w:lang w:val="zh-CN"/>
              </w:rPr>
              <w:t>综合评分法</w:t>
            </w:r>
          </w:p>
        </w:tc>
      </w:tr>
      <w:tr w14:paraId="670B0D41">
        <w:tblPrEx>
          <w:tblCellMar>
            <w:top w:w="0" w:type="dxa"/>
            <w:left w:w="108" w:type="dxa"/>
            <w:bottom w:w="0" w:type="dxa"/>
            <w:right w:w="108" w:type="dxa"/>
          </w:tblCellMar>
        </w:tblPrEx>
        <w:trPr>
          <w:trHeight w:val="606"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7F9FA0EA">
            <w:pPr>
              <w:spacing w:line="440" w:lineRule="exact"/>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39</w:t>
            </w:r>
          </w:p>
        </w:tc>
        <w:tc>
          <w:tcPr>
            <w:tcW w:w="2812" w:type="dxa"/>
            <w:tcBorders>
              <w:top w:val="single" w:color="auto" w:sz="4" w:space="0"/>
              <w:left w:val="single" w:color="auto" w:sz="4" w:space="0"/>
              <w:bottom w:val="single" w:color="auto" w:sz="4" w:space="0"/>
              <w:right w:val="single" w:color="auto" w:sz="4" w:space="0"/>
            </w:tcBorders>
            <w:noWrap w:val="0"/>
            <w:vAlign w:val="center"/>
          </w:tcPr>
          <w:p w14:paraId="6A2AE74C">
            <w:pPr>
              <w:spacing w:line="440" w:lineRule="exact"/>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zh-CN"/>
              </w:rPr>
              <w:t>低于成本报价</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103E243C">
            <w:pPr>
              <w:spacing w:line="440" w:lineRule="exact"/>
              <w:rPr>
                <w:rFonts w:hint="eastAsia" w:asciiTheme="minorEastAsia" w:hAnsiTheme="minorEastAsia" w:eastAsiaTheme="minorEastAsia" w:cstheme="minorEastAsia"/>
                <w:kern w:val="0"/>
                <w:sz w:val="24"/>
                <w:szCs w:val="24"/>
                <w:highlight w:val="none"/>
                <w:lang w:val="zh-CN"/>
              </w:rPr>
            </w:pPr>
            <w:r>
              <w:rPr>
                <w:rFonts w:hint="eastAsia" w:asciiTheme="minorEastAsia" w:hAnsiTheme="minorEastAsia" w:eastAsiaTheme="minorEastAsia" w:cstheme="minorEastAsia"/>
                <w:kern w:val="0"/>
                <w:sz w:val="24"/>
                <w:szCs w:val="24"/>
                <w:highlight w:val="none"/>
                <w:lang w:val="zh-CN"/>
              </w:rPr>
              <w:t>依据财政部第</w:t>
            </w:r>
            <w:r>
              <w:rPr>
                <w:rFonts w:hint="eastAsia" w:asciiTheme="minorEastAsia" w:hAnsiTheme="minorEastAsia" w:eastAsiaTheme="minorEastAsia" w:cstheme="minorEastAsia"/>
                <w:kern w:val="0"/>
                <w:sz w:val="24"/>
                <w:szCs w:val="24"/>
                <w:highlight w:val="none"/>
              </w:rPr>
              <w:t>87号令第60条：</w:t>
            </w:r>
            <w:r>
              <w:rPr>
                <w:rFonts w:hint="eastAsia" w:asciiTheme="minorEastAsia" w:hAnsiTheme="minorEastAsia" w:eastAsiaTheme="minorEastAsia" w:cstheme="minorEastAsia"/>
                <w:kern w:val="0"/>
                <w:sz w:val="24"/>
                <w:szCs w:val="24"/>
                <w:highlight w:val="none"/>
                <w:lang w:val="zh-CN"/>
              </w:rPr>
              <w:t>评标委员会发现投标人的报价明显低于其他通过符合性审查投标人的报价，有可能影响产品质量或者不能诚信履约的，应当要求该投标人在评标现场合理时间内作出书面说明并提供相应的证明材料。投标人不能合理说明或者不能提供相应证明材料的，由评标委员会认定该投标人以低于成本报价竞标，其投标将被否决。</w:t>
            </w:r>
          </w:p>
        </w:tc>
      </w:tr>
      <w:tr w14:paraId="196B3BDA">
        <w:tblPrEx>
          <w:tblCellMar>
            <w:top w:w="0" w:type="dxa"/>
            <w:left w:w="108" w:type="dxa"/>
            <w:bottom w:w="0" w:type="dxa"/>
            <w:right w:w="108" w:type="dxa"/>
          </w:tblCellMar>
        </w:tblPrEx>
        <w:trPr>
          <w:trHeight w:val="606"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13F465BE">
            <w:pPr>
              <w:spacing w:line="440" w:lineRule="exact"/>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41</w:t>
            </w:r>
          </w:p>
        </w:tc>
        <w:tc>
          <w:tcPr>
            <w:tcW w:w="2812" w:type="dxa"/>
            <w:tcBorders>
              <w:top w:val="single" w:color="auto" w:sz="4" w:space="0"/>
              <w:left w:val="single" w:color="auto" w:sz="4" w:space="0"/>
              <w:bottom w:val="single" w:color="auto" w:sz="4" w:space="0"/>
              <w:right w:val="single" w:color="auto" w:sz="4" w:space="0"/>
            </w:tcBorders>
            <w:noWrap w:val="0"/>
            <w:vAlign w:val="center"/>
          </w:tcPr>
          <w:p w14:paraId="6BD0B732">
            <w:pPr>
              <w:spacing w:line="440" w:lineRule="exact"/>
              <w:jc w:val="left"/>
              <w:rPr>
                <w:rFonts w:hint="eastAsia" w:asciiTheme="minorEastAsia" w:hAnsiTheme="minorEastAsia" w:eastAsiaTheme="minorEastAsia" w:cstheme="minorEastAsia"/>
                <w:kern w:val="0"/>
                <w:sz w:val="24"/>
                <w:szCs w:val="24"/>
                <w:highlight w:val="none"/>
                <w:lang w:val="zh-CN"/>
              </w:rPr>
            </w:pPr>
            <w:r>
              <w:rPr>
                <w:rFonts w:hint="eastAsia" w:asciiTheme="minorEastAsia" w:hAnsiTheme="minorEastAsia" w:eastAsiaTheme="minorEastAsia" w:cstheme="minorEastAsia"/>
                <w:kern w:val="0"/>
                <w:sz w:val="24"/>
                <w:szCs w:val="24"/>
                <w:highlight w:val="none"/>
                <w:lang w:val="zh-CN"/>
              </w:rPr>
              <w:t>采购代理机构项目负责人</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5C5F5A58">
            <w:pPr>
              <w:spacing w:line="440" w:lineRule="exact"/>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王佳晨</w:t>
            </w:r>
          </w:p>
        </w:tc>
      </w:tr>
      <w:tr w14:paraId="23F7AD20">
        <w:tblPrEx>
          <w:tblCellMar>
            <w:top w:w="0" w:type="dxa"/>
            <w:left w:w="108" w:type="dxa"/>
            <w:bottom w:w="0" w:type="dxa"/>
            <w:right w:w="108" w:type="dxa"/>
          </w:tblCellMar>
        </w:tblPrEx>
        <w:trPr>
          <w:trHeight w:val="476"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74A54615">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是否实行计算机辅助评标</w:t>
            </w:r>
          </w:p>
        </w:tc>
        <w:tc>
          <w:tcPr>
            <w:tcW w:w="8170" w:type="dxa"/>
            <w:gridSpan w:val="2"/>
            <w:tcBorders>
              <w:top w:val="single" w:color="auto" w:sz="4" w:space="0"/>
              <w:left w:val="single" w:color="auto" w:sz="4" w:space="0"/>
              <w:bottom w:val="single" w:color="auto" w:sz="4" w:space="0"/>
              <w:right w:val="single" w:color="auto" w:sz="4" w:space="0"/>
            </w:tcBorders>
            <w:noWrap w:val="0"/>
            <w:vAlign w:val="center"/>
          </w:tcPr>
          <w:p w14:paraId="74F02E5D">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w:t>
            </w:r>
          </w:p>
        </w:tc>
      </w:tr>
      <w:tr w14:paraId="65410C4A">
        <w:tblPrEx>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450207DC">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招标代理服务费</w:t>
            </w:r>
          </w:p>
        </w:tc>
        <w:tc>
          <w:tcPr>
            <w:tcW w:w="8170" w:type="dxa"/>
            <w:gridSpan w:val="2"/>
            <w:tcBorders>
              <w:top w:val="single" w:color="auto" w:sz="4" w:space="0"/>
              <w:left w:val="single" w:color="auto" w:sz="4" w:space="0"/>
              <w:bottom w:val="single" w:color="auto" w:sz="4" w:space="0"/>
              <w:right w:val="single" w:color="auto" w:sz="4" w:space="0"/>
            </w:tcBorders>
            <w:noWrap w:val="0"/>
            <w:vAlign w:val="center"/>
          </w:tcPr>
          <w:p w14:paraId="462B1F3C">
            <w:pPr>
              <w:spacing w:line="440" w:lineRule="exact"/>
              <w:rPr>
                <w:rFonts w:hint="eastAsia" w:asciiTheme="minorEastAsia" w:hAnsiTheme="minorEastAsia" w:eastAsiaTheme="minorEastAsia" w:cstheme="minorEastAsia"/>
                <w:color w:val="auto"/>
                <w:sz w:val="24"/>
                <w:szCs w:val="24"/>
                <w:highlight w:val="none"/>
                <w:lang w:eastAsia="zh-CN"/>
              </w:rPr>
            </w:pPr>
            <w:r>
              <w:rPr>
                <w:rFonts w:hint="default" w:asciiTheme="minorEastAsia" w:hAnsiTheme="minorEastAsia" w:eastAsiaTheme="minorEastAsia" w:cstheme="minorEastAsia"/>
                <w:sz w:val="24"/>
                <w:szCs w:val="24"/>
                <w:highlight w:val="none"/>
                <w:lang w:val="en-US"/>
              </w:rPr>
              <w:t>根据《国家发展改革委关于进一步放开建设项目专业服务价格的通知》（发改价格〔2015〕299号）文件</w:t>
            </w:r>
            <w:r>
              <w:rPr>
                <w:rFonts w:hint="eastAsia" w:asciiTheme="minorEastAsia" w:hAnsiTheme="minorEastAsia" w:eastAsiaTheme="minorEastAsia" w:cstheme="minorEastAsia"/>
                <w:sz w:val="24"/>
                <w:szCs w:val="24"/>
                <w:highlight w:val="none"/>
                <w:lang w:val="en-US" w:eastAsia="zh-CN"/>
              </w:rPr>
              <w:t>收取</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由中标人支付</w:t>
            </w:r>
            <w:r>
              <w:rPr>
                <w:rFonts w:hint="default"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按招标金额1%支付。</w:t>
            </w:r>
          </w:p>
        </w:tc>
      </w:tr>
      <w:tr w14:paraId="4FDED5F5">
        <w:tblPrEx>
          <w:tblCellMar>
            <w:top w:w="0" w:type="dxa"/>
            <w:left w:w="108" w:type="dxa"/>
            <w:bottom w:w="0" w:type="dxa"/>
            <w:right w:w="108" w:type="dxa"/>
          </w:tblCellMar>
        </w:tblPrEx>
        <w:trPr>
          <w:trHeight w:val="627"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6D513C2F">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解释权</w:t>
            </w:r>
          </w:p>
        </w:tc>
        <w:tc>
          <w:tcPr>
            <w:tcW w:w="8170" w:type="dxa"/>
            <w:gridSpan w:val="2"/>
            <w:tcBorders>
              <w:top w:val="single" w:color="auto" w:sz="4" w:space="0"/>
              <w:left w:val="single" w:color="auto" w:sz="4" w:space="0"/>
              <w:bottom w:val="single" w:color="auto" w:sz="4" w:space="0"/>
              <w:right w:val="single" w:color="auto" w:sz="4" w:space="0"/>
            </w:tcBorders>
            <w:noWrap w:val="0"/>
            <w:vAlign w:val="center"/>
          </w:tcPr>
          <w:p w14:paraId="5F006F8B">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rPr>
              <w:t>负责解释。合同最终拟定、解释权归</w:t>
            </w: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rPr>
              <w:t>所有。</w:t>
            </w:r>
          </w:p>
        </w:tc>
      </w:tr>
      <w:tr w14:paraId="27927B25">
        <w:tblPrEx>
          <w:tblCellMar>
            <w:top w:w="0" w:type="dxa"/>
            <w:left w:w="108" w:type="dxa"/>
            <w:bottom w:w="0" w:type="dxa"/>
            <w:right w:w="108" w:type="dxa"/>
          </w:tblCellMar>
        </w:tblPrEx>
        <w:trPr>
          <w:trHeight w:val="1192"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06122CC3">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其他要求</w:t>
            </w:r>
          </w:p>
        </w:tc>
        <w:tc>
          <w:tcPr>
            <w:tcW w:w="8170" w:type="dxa"/>
            <w:gridSpan w:val="2"/>
            <w:tcBorders>
              <w:top w:val="single" w:color="auto" w:sz="4" w:space="0"/>
              <w:left w:val="single" w:color="auto" w:sz="4" w:space="0"/>
              <w:bottom w:val="single" w:color="auto" w:sz="4" w:space="0"/>
              <w:right w:val="single" w:color="auto" w:sz="4" w:space="0"/>
            </w:tcBorders>
            <w:noWrap w:val="0"/>
            <w:vAlign w:val="center"/>
          </w:tcPr>
          <w:p w14:paraId="13C86AE9">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供应商</w:t>
            </w:r>
            <w:r>
              <w:rPr>
                <w:rFonts w:hint="eastAsia" w:asciiTheme="minorEastAsia" w:hAnsiTheme="minorEastAsia" w:eastAsiaTheme="minorEastAsia" w:cstheme="minorEastAsia"/>
                <w:sz w:val="24"/>
                <w:szCs w:val="24"/>
                <w:highlight w:val="none"/>
              </w:rPr>
              <w:t>必须保证投标时所报资料真实有效，</w:t>
            </w: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rPr>
              <w:t>保留对资料的核查权力，一旦发现资料有虚假现象</w:t>
            </w:r>
            <w:r>
              <w:rPr>
                <w:rFonts w:hint="eastAsia" w:asciiTheme="minorEastAsia" w:hAnsiTheme="minorEastAsia" w:eastAsiaTheme="minorEastAsia" w:cstheme="minorEastAsia"/>
                <w:sz w:val="24"/>
                <w:szCs w:val="24"/>
                <w:highlight w:val="none"/>
                <w:lang w:val="en-US" w:eastAsia="zh-CN"/>
              </w:rPr>
              <w:t>将</w:t>
            </w:r>
            <w:r>
              <w:rPr>
                <w:rFonts w:hint="eastAsia" w:asciiTheme="minorEastAsia" w:hAnsiTheme="minorEastAsia" w:eastAsiaTheme="minorEastAsia" w:cstheme="minorEastAsia"/>
                <w:sz w:val="24"/>
                <w:szCs w:val="24"/>
                <w:highlight w:val="none"/>
              </w:rPr>
              <w:t>移交有关部门处理。</w:t>
            </w:r>
          </w:p>
        </w:tc>
      </w:tr>
      <w:tr w14:paraId="76D16AB2">
        <w:tblPrEx>
          <w:tblCellMar>
            <w:top w:w="0" w:type="dxa"/>
            <w:left w:w="108" w:type="dxa"/>
            <w:bottom w:w="0" w:type="dxa"/>
            <w:right w:w="108" w:type="dxa"/>
          </w:tblCellMar>
        </w:tblPrEx>
        <w:trPr>
          <w:trHeight w:val="468"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7A1A1250">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付款方式</w:t>
            </w:r>
          </w:p>
        </w:tc>
        <w:tc>
          <w:tcPr>
            <w:tcW w:w="8170" w:type="dxa"/>
            <w:gridSpan w:val="2"/>
            <w:tcBorders>
              <w:top w:val="single" w:color="auto" w:sz="4" w:space="0"/>
              <w:left w:val="single" w:color="auto" w:sz="4" w:space="0"/>
              <w:bottom w:val="single" w:color="auto" w:sz="4" w:space="0"/>
              <w:right w:val="single" w:color="auto" w:sz="4" w:space="0"/>
            </w:tcBorders>
            <w:noWrap w:val="0"/>
            <w:vAlign w:val="center"/>
          </w:tcPr>
          <w:p w14:paraId="3CAEFA87">
            <w:pPr>
              <w:spacing w:line="440" w:lineRule="exact"/>
              <w:rPr>
                <w:rFonts w:hint="eastAsia" w:asciiTheme="minorEastAsia" w:hAnsiTheme="minorEastAsia" w:eastAsiaTheme="minorEastAsia" w:cstheme="minorEastAsia"/>
                <w:color w:val="FF0000"/>
                <w:sz w:val="24"/>
                <w:szCs w:val="24"/>
                <w:highlight w:val="none"/>
                <w:lang w:eastAsia="zh-CN"/>
              </w:rPr>
            </w:pPr>
            <w:r>
              <w:rPr>
                <w:rFonts w:hint="eastAsia" w:asciiTheme="minorEastAsia" w:hAnsiTheme="minorEastAsia" w:eastAsiaTheme="minorEastAsia" w:cstheme="minorEastAsia"/>
                <w:sz w:val="24"/>
                <w:szCs w:val="24"/>
                <w:highlight w:val="none"/>
              </w:rPr>
              <w:t xml:space="preserve">按合同约定 </w:t>
            </w:r>
          </w:p>
        </w:tc>
      </w:tr>
      <w:tr w14:paraId="5BBF1C22">
        <w:tblPrEx>
          <w:tblCellMar>
            <w:top w:w="0" w:type="dxa"/>
            <w:left w:w="108" w:type="dxa"/>
            <w:bottom w:w="0" w:type="dxa"/>
            <w:right w:w="108" w:type="dxa"/>
          </w:tblCellMar>
        </w:tblPrEx>
        <w:trPr>
          <w:trHeight w:val="468"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31D5C738">
            <w:pPr>
              <w:spacing w:line="400" w:lineRule="exact"/>
              <w:jc w:val="center"/>
              <w:rPr>
                <w:rFonts w:hint="eastAsia" w:asciiTheme="minorEastAsia" w:hAnsiTheme="minorEastAsia" w:eastAsiaTheme="minorEastAsia" w:cstheme="minorEastAsia"/>
                <w:sz w:val="24"/>
                <w:szCs w:val="24"/>
                <w:highlight w:val="none"/>
              </w:rPr>
            </w:pPr>
          </w:p>
        </w:tc>
        <w:tc>
          <w:tcPr>
            <w:tcW w:w="8170" w:type="dxa"/>
            <w:gridSpan w:val="2"/>
            <w:tcBorders>
              <w:top w:val="single" w:color="auto" w:sz="4" w:space="0"/>
              <w:left w:val="single" w:color="auto" w:sz="4" w:space="0"/>
              <w:bottom w:val="single" w:color="auto" w:sz="4" w:space="0"/>
              <w:right w:val="single" w:color="auto" w:sz="4" w:space="0"/>
            </w:tcBorders>
            <w:noWrap w:val="0"/>
            <w:vAlign w:val="center"/>
          </w:tcPr>
          <w:p w14:paraId="5AB28606">
            <w:pPr>
              <w:spacing w:line="40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如招标公告与招标文件不符，按招标文件为准。</w:t>
            </w:r>
          </w:p>
        </w:tc>
      </w:tr>
      <w:tr w14:paraId="13E44D1D">
        <w:tblPrEx>
          <w:tblCellMar>
            <w:top w:w="0" w:type="dxa"/>
            <w:left w:w="108" w:type="dxa"/>
            <w:bottom w:w="0" w:type="dxa"/>
            <w:right w:w="108" w:type="dxa"/>
          </w:tblCellMar>
        </w:tblPrEx>
        <w:trPr>
          <w:trHeight w:val="468"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34AC6EF0">
            <w:pPr>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投标人废标说明</w:t>
            </w:r>
          </w:p>
        </w:tc>
        <w:tc>
          <w:tcPr>
            <w:tcW w:w="8170" w:type="dxa"/>
            <w:gridSpan w:val="2"/>
            <w:tcBorders>
              <w:top w:val="single" w:color="auto" w:sz="4" w:space="0"/>
              <w:left w:val="single" w:color="auto" w:sz="4" w:space="0"/>
              <w:bottom w:val="single" w:color="auto" w:sz="4" w:space="0"/>
              <w:right w:val="single" w:color="auto" w:sz="4" w:space="0"/>
            </w:tcBorders>
            <w:noWrap w:val="0"/>
            <w:vAlign w:val="center"/>
          </w:tcPr>
          <w:p w14:paraId="2FB43C0F">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1、投标单位需在开标前将投标文件制作工具生成的加密文件上传到</w:t>
            </w:r>
            <w:r>
              <w:rPr>
                <w:rFonts w:hint="eastAsia" w:asciiTheme="minorEastAsia" w:hAnsiTheme="minorEastAsia" w:eastAsiaTheme="minorEastAsia" w:cstheme="minorEastAsia"/>
                <w:sz w:val="24"/>
                <w:szCs w:val="24"/>
                <w:highlight w:val="none"/>
                <w:lang w:val="en-US" w:eastAsia="zh-CN"/>
              </w:rPr>
              <w:t>政采云平台</w:t>
            </w:r>
            <w:r>
              <w:rPr>
                <w:rFonts w:hint="eastAsia" w:asciiTheme="minorEastAsia" w:hAnsiTheme="minorEastAsia" w:eastAsiaTheme="minorEastAsia" w:cstheme="minorEastAsia"/>
                <w:sz w:val="24"/>
                <w:szCs w:val="24"/>
                <w:highlight w:val="none"/>
              </w:rPr>
              <w:t>。</w:t>
            </w:r>
          </w:p>
          <w:p w14:paraId="40210E45">
            <w:pPr>
              <w:spacing w:line="44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2、清标系统中，如电子投标文件的制作机器码、文件创建标识码一致均视为废标。</w:t>
            </w:r>
          </w:p>
        </w:tc>
      </w:tr>
      <w:tr w14:paraId="517A4D26">
        <w:tblPrEx>
          <w:tblCellMar>
            <w:top w:w="0" w:type="dxa"/>
            <w:left w:w="108" w:type="dxa"/>
            <w:bottom w:w="0" w:type="dxa"/>
            <w:right w:w="108" w:type="dxa"/>
          </w:tblCellMar>
        </w:tblPrEx>
        <w:trPr>
          <w:trHeight w:val="468"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3CE1C668">
            <w:pPr>
              <w:spacing w:line="440" w:lineRule="exact"/>
              <w:jc w:val="center"/>
              <w:rPr>
                <w:rFonts w:hint="eastAsia" w:asciiTheme="minorEastAsia" w:hAnsiTheme="minorEastAsia" w:eastAsiaTheme="minorEastAsia" w:cstheme="minorEastAsia"/>
                <w:sz w:val="24"/>
                <w:szCs w:val="24"/>
                <w:highlight w:val="none"/>
                <w:lang w:val="en-US" w:eastAsia="zh-CN"/>
              </w:rPr>
            </w:pPr>
          </w:p>
        </w:tc>
        <w:tc>
          <w:tcPr>
            <w:tcW w:w="8170" w:type="dxa"/>
            <w:gridSpan w:val="2"/>
            <w:tcBorders>
              <w:top w:val="single" w:color="auto" w:sz="4" w:space="0"/>
              <w:left w:val="single" w:color="auto" w:sz="4" w:space="0"/>
              <w:bottom w:val="single" w:color="auto" w:sz="4" w:space="0"/>
              <w:right w:val="single" w:color="auto" w:sz="4" w:space="0"/>
            </w:tcBorders>
            <w:noWrap w:val="0"/>
            <w:vAlign w:val="center"/>
          </w:tcPr>
          <w:p w14:paraId="3AD0E5F4">
            <w:pPr>
              <w:spacing w:line="440" w:lineRule="exact"/>
              <w:ind w:firstLine="480" w:firstLineChars="200"/>
              <w:rPr>
                <w:rFonts w:hint="eastAsia" w:asciiTheme="minorEastAsia" w:hAnsiTheme="minorEastAsia" w:eastAsiaTheme="minorEastAsia" w:cstheme="minorEastAsia"/>
                <w:sz w:val="24"/>
                <w:szCs w:val="24"/>
                <w:highlight w:val="none"/>
                <w:lang w:val="en-US" w:eastAsia="zh-CN"/>
              </w:rPr>
            </w:pPr>
          </w:p>
        </w:tc>
      </w:tr>
      <w:tr w14:paraId="4E32F92D">
        <w:tblPrEx>
          <w:tblCellMar>
            <w:top w:w="0" w:type="dxa"/>
            <w:left w:w="108" w:type="dxa"/>
            <w:bottom w:w="0" w:type="dxa"/>
            <w:right w:w="108" w:type="dxa"/>
          </w:tblCellMar>
        </w:tblPrEx>
        <w:trPr>
          <w:trHeight w:val="468" w:hRule="atLeast"/>
          <w:jc w:val="center"/>
        </w:trPr>
        <w:tc>
          <w:tcPr>
            <w:tcW w:w="8946" w:type="dxa"/>
            <w:gridSpan w:val="3"/>
            <w:tcBorders>
              <w:top w:val="single" w:color="auto" w:sz="4" w:space="0"/>
              <w:left w:val="single" w:color="auto" w:sz="4" w:space="0"/>
              <w:bottom w:val="single" w:color="auto" w:sz="4" w:space="0"/>
              <w:right w:val="single" w:color="auto" w:sz="4" w:space="0"/>
            </w:tcBorders>
            <w:noWrap w:val="0"/>
            <w:vAlign w:val="center"/>
          </w:tcPr>
          <w:p w14:paraId="1CA15117">
            <w:pPr>
              <w:spacing w:line="4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招标公告内容有不一致之处，以最新发布的招标公告内容为准。</w:t>
            </w:r>
          </w:p>
          <w:p w14:paraId="46CF0FB9">
            <w:pPr>
              <w:spacing w:line="440" w:lineRule="exac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2招标公告与招标文件内容有不一致之处，以招标文件内容为准。</w:t>
            </w:r>
          </w:p>
        </w:tc>
      </w:tr>
    </w:tbl>
    <w:p w14:paraId="0577CDFB">
      <w:pPr>
        <w:pStyle w:val="24"/>
        <w:spacing w:line="600" w:lineRule="exact"/>
        <w:jc w:val="center"/>
        <w:rPr>
          <w:rFonts w:hint="eastAsia" w:ascii="宋体" w:hAnsi="宋体" w:eastAsia="宋体" w:cs="宋体"/>
          <w:b/>
          <w:color w:val="auto"/>
          <w:sz w:val="32"/>
          <w:szCs w:val="32"/>
          <w:highlight w:val="none"/>
        </w:rPr>
      </w:pPr>
    </w:p>
    <w:p w14:paraId="2BCBC1F3">
      <w:pPr>
        <w:pStyle w:val="24"/>
        <w:spacing w:line="600" w:lineRule="exact"/>
        <w:jc w:val="center"/>
        <w:rPr>
          <w:rFonts w:hint="eastAsia" w:ascii="宋体" w:hAnsi="宋体" w:eastAsia="宋体" w:cs="宋体"/>
          <w:b/>
          <w:color w:val="auto"/>
          <w:sz w:val="32"/>
          <w:szCs w:val="32"/>
          <w:highlight w:val="none"/>
        </w:rPr>
      </w:pPr>
    </w:p>
    <w:p w14:paraId="087879D9">
      <w:pPr>
        <w:pStyle w:val="24"/>
        <w:spacing w:line="600" w:lineRule="exact"/>
        <w:jc w:val="center"/>
        <w:rPr>
          <w:rFonts w:hint="eastAsia" w:ascii="宋体" w:hAnsi="宋体" w:eastAsia="宋体" w:cs="宋体"/>
          <w:b/>
          <w:color w:val="auto"/>
          <w:sz w:val="32"/>
          <w:szCs w:val="32"/>
          <w:highlight w:val="none"/>
        </w:rPr>
      </w:pPr>
    </w:p>
    <w:p w14:paraId="345CEE1D">
      <w:pPr>
        <w:pStyle w:val="24"/>
        <w:spacing w:line="600" w:lineRule="exact"/>
        <w:jc w:val="center"/>
        <w:rPr>
          <w:rFonts w:hint="eastAsia" w:ascii="宋体" w:hAnsi="宋体" w:eastAsia="宋体" w:cs="宋体"/>
          <w:b/>
          <w:color w:val="auto"/>
          <w:sz w:val="32"/>
          <w:szCs w:val="32"/>
          <w:highlight w:val="none"/>
        </w:rPr>
      </w:pPr>
    </w:p>
    <w:p w14:paraId="6A7EFC74">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018492E8">
      <w:pPr>
        <w:rPr>
          <w:rFonts w:hint="eastAsia"/>
          <w:highlight w:val="none"/>
        </w:rPr>
      </w:pPr>
    </w:p>
    <w:p w14:paraId="7F1F2BB5">
      <w:pPr>
        <w:jc w:val="center"/>
        <w:rPr>
          <w:rFonts w:hint="eastAsia" w:ascii="华文细黑" w:hAnsi="华文细黑" w:eastAsia="华文细黑" w:cs="华文细黑"/>
          <w:color w:val="auto"/>
          <w:sz w:val="24"/>
          <w:szCs w:val="24"/>
          <w:highlight w:val="none"/>
        </w:rPr>
      </w:pPr>
      <w:r>
        <w:rPr>
          <w:rFonts w:hint="eastAsia" w:ascii="华文细黑" w:hAnsi="华文细黑" w:eastAsia="华文细黑" w:cs="华文细黑"/>
          <w:b/>
          <w:color w:val="auto"/>
          <w:sz w:val="24"/>
          <w:szCs w:val="24"/>
          <w:highlight w:val="none"/>
        </w:rPr>
        <w:t>投标人须知</w:t>
      </w:r>
    </w:p>
    <w:p w14:paraId="20C93A3B">
      <w:pPr>
        <w:autoSpaceDE w:val="0"/>
        <w:autoSpaceDN w:val="0"/>
        <w:adjustRightInd w:val="0"/>
        <w:spacing w:line="360" w:lineRule="auto"/>
        <w:ind w:firstLine="482"/>
        <w:rPr>
          <w:rFonts w:hint="eastAsia" w:asciiTheme="minorEastAsia" w:hAnsiTheme="minorEastAsia" w:eastAsiaTheme="minorEastAsia" w:cstheme="minorEastAsia"/>
          <w:color w:val="auto"/>
          <w:sz w:val="24"/>
          <w:szCs w:val="24"/>
          <w:highlight w:val="none"/>
          <w:lang w:val="zh-CN"/>
        </w:rPr>
      </w:pPr>
      <w:bookmarkStart w:id="47" w:name="_Toc212127544"/>
      <w:bookmarkStart w:id="48" w:name="_Toc211682781"/>
      <w:r>
        <w:rPr>
          <w:rFonts w:hint="eastAsia" w:asciiTheme="minorEastAsia" w:hAnsiTheme="minorEastAsia" w:eastAsiaTheme="minorEastAsia" w:cstheme="minorEastAsia"/>
          <w:b/>
          <w:bCs/>
          <w:color w:val="auto"/>
          <w:sz w:val="24"/>
          <w:szCs w:val="24"/>
          <w:highlight w:val="none"/>
          <w:lang w:val="zh-CN"/>
        </w:rPr>
        <w:t>1．适用法律：</w:t>
      </w:r>
      <w:r>
        <w:rPr>
          <w:rFonts w:hint="eastAsia" w:asciiTheme="minorEastAsia" w:hAnsiTheme="minorEastAsia" w:eastAsiaTheme="minorEastAsia" w:cstheme="minorEastAsia"/>
          <w:color w:val="auto"/>
          <w:sz w:val="24"/>
          <w:szCs w:val="24"/>
          <w:highlight w:val="none"/>
          <w:lang w:val="zh-CN"/>
        </w:rPr>
        <w:t>本次招标适用法律法规为《中华人民共和国政府采购法》、《中华人民共和国政府采购法实施条例》、财政部87号令等政府采购其它相关法规。</w:t>
      </w:r>
    </w:p>
    <w:p w14:paraId="3BED748B">
      <w:pPr>
        <w:autoSpaceDE w:val="0"/>
        <w:autoSpaceDN w:val="0"/>
        <w:adjustRightInd w:val="0"/>
        <w:spacing w:line="360" w:lineRule="auto"/>
        <w:ind w:firstLine="482"/>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2．定义：</w:t>
      </w:r>
    </w:p>
    <w:bookmarkEnd w:id="47"/>
    <w:bookmarkEnd w:id="48"/>
    <w:p w14:paraId="43F716DB">
      <w:pPr>
        <w:autoSpaceDE w:val="0"/>
        <w:autoSpaceDN w:val="0"/>
        <w:adjustRightInd w:val="0"/>
        <w:spacing w:line="360" w:lineRule="auto"/>
        <w:ind w:firstLine="48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2.1</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zh-CN"/>
        </w:rPr>
        <w:t>招标代理机构</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zh-CN"/>
        </w:rPr>
        <w:t>指</w:t>
      </w:r>
      <w:r>
        <w:rPr>
          <w:rFonts w:hint="eastAsia" w:asciiTheme="minorEastAsia" w:hAnsiTheme="minorEastAsia" w:eastAsiaTheme="minorEastAsia" w:cstheme="minorEastAsia"/>
          <w:color w:val="000000"/>
          <w:sz w:val="24"/>
          <w:szCs w:val="24"/>
          <w:highlight w:val="none"/>
          <w:lang w:val="en-US" w:eastAsia="zh-CN"/>
        </w:rPr>
        <w:t>吉林华誉项目管理有限公司</w:t>
      </w:r>
      <w:r>
        <w:rPr>
          <w:rFonts w:hint="eastAsia" w:asciiTheme="minorEastAsia" w:hAnsiTheme="minorEastAsia" w:eastAsiaTheme="minorEastAsia" w:cstheme="minorEastAsia"/>
          <w:color w:val="auto"/>
          <w:sz w:val="24"/>
          <w:szCs w:val="24"/>
          <w:highlight w:val="none"/>
          <w:lang w:val="zh-CN"/>
        </w:rPr>
        <w:t>。负责采购活动的组织工作。</w:t>
      </w:r>
    </w:p>
    <w:p w14:paraId="7280C844">
      <w:pPr>
        <w:spacing w:line="335" w:lineRule="auto"/>
        <w:ind w:right="28"/>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zh-CN"/>
        </w:rPr>
        <w:t>采购人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zh-CN"/>
        </w:rPr>
        <w:t xml:space="preserve">磐石市政务服务和数字化建设管理局，负责采购项目的整体规划、采购需求设计和可行性论证，作为合同的需方，承担质疑答复，合同履行、验收、评价等义务。                  </w:t>
      </w:r>
    </w:p>
    <w:p w14:paraId="336876E7">
      <w:pPr>
        <w:tabs>
          <w:tab w:val="left" w:pos="709"/>
        </w:tabs>
        <w:autoSpaceDE w:val="0"/>
        <w:autoSpaceDN w:val="0"/>
        <w:adjustRightInd w:val="0"/>
        <w:spacing w:line="360" w:lineRule="auto"/>
        <w:ind w:firstLine="470"/>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2.3</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zh-CN"/>
        </w:rPr>
        <w:t>采购需求</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zh-CN"/>
        </w:rPr>
        <w:t>详见第五章技术标准和要求。</w:t>
      </w:r>
    </w:p>
    <w:p w14:paraId="1B10C746">
      <w:pPr>
        <w:tabs>
          <w:tab w:val="left" w:pos="709"/>
        </w:tabs>
        <w:autoSpaceDE w:val="0"/>
        <w:autoSpaceDN w:val="0"/>
        <w:adjustRightInd w:val="0"/>
        <w:spacing w:line="360" w:lineRule="auto"/>
        <w:ind w:firstLine="470"/>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2.4</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zh-CN"/>
        </w:rPr>
        <w:t>潜在投标人</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zh-CN"/>
        </w:rPr>
        <w:t>指确认参加投标的供应商。</w:t>
      </w:r>
    </w:p>
    <w:p w14:paraId="33135615">
      <w:pPr>
        <w:autoSpaceDE w:val="0"/>
        <w:autoSpaceDN w:val="0"/>
        <w:adjustRightInd w:val="0"/>
        <w:spacing w:line="360" w:lineRule="auto"/>
        <w:ind w:firstLine="482"/>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2.5</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zh-CN"/>
        </w:rPr>
        <w:t>投标人</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zh-CN"/>
        </w:rPr>
        <w:t>指响应本招标文件参加投标的供应商。</w:t>
      </w:r>
    </w:p>
    <w:p w14:paraId="123E3FBC">
      <w:pPr>
        <w:numPr>
          <w:ilvl w:val="0"/>
          <w:numId w:val="5"/>
        </w:numPr>
        <w:autoSpaceDE w:val="0"/>
        <w:autoSpaceDN w:val="0"/>
        <w:adjustRightInd w:val="0"/>
        <w:spacing w:line="360" w:lineRule="auto"/>
        <w:ind w:firstLine="482"/>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合格投标人资格条件要求：</w:t>
      </w:r>
    </w:p>
    <w:p w14:paraId="26549F9A">
      <w:pPr>
        <w:pStyle w:val="14"/>
        <w:spacing w:line="240" w:lineRule="auto"/>
        <w:jc w:val="both"/>
        <w:rPr>
          <w:rFonts w:hint="eastAsia" w:asciiTheme="minorEastAsia" w:hAnsiTheme="minorEastAsia" w:eastAsiaTheme="minorEastAsia" w:cstheme="minorEastAsia"/>
          <w:b/>
          <w:bCs w:val="0"/>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bCs w:val="0"/>
          <w:color w:val="auto"/>
          <w:sz w:val="24"/>
          <w:szCs w:val="24"/>
          <w:highlight w:val="none"/>
        </w:rPr>
        <w:t xml:space="preserve">   详见投标人须知前附表</w:t>
      </w:r>
      <w:r>
        <w:rPr>
          <w:rFonts w:hint="eastAsia" w:asciiTheme="minorEastAsia" w:hAnsiTheme="minorEastAsia" w:eastAsiaTheme="minorEastAsia" w:cstheme="minorEastAsia"/>
          <w:bCs w:val="0"/>
          <w:color w:val="auto"/>
          <w:sz w:val="24"/>
          <w:szCs w:val="24"/>
          <w:highlight w:val="none"/>
          <w:lang w:eastAsia="zh-CN"/>
        </w:rPr>
        <w:t>。</w:t>
      </w:r>
    </w:p>
    <w:p w14:paraId="63620623">
      <w:pPr>
        <w:autoSpaceDE w:val="0"/>
        <w:autoSpaceDN w:val="0"/>
        <w:adjustRightInd w:val="0"/>
        <w:spacing w:line="360" w:lineRule="auto"/>
        <w:ind w:firstLine="482"/>
        <w:rPr>
          <w:rFonts w:hint="eastAsia" w:asciiTheme="minorEastAsia" w:hAnsiTheme="minorEastAsia" w:eastAsiaTheme="minorEastAsia" w:cstheme="minorEastAsia"/>
          <w:b/>
          <w:bCs/>
          <w:color w:val="auto"/>
          <w:kern w:val="0"/>
          <w:sz w:val="24"/>
          <w:szCs w:val="24"/>
          <w:highlight w:val="none"/>
          <w:lang w:val="zh-CN"/>
        </w:rPr>
      </w:pPr>
      <w:r>
        <w:rPr>
          <w:rFonts w:hint="eastAsia" w:asciiTheme="minorEastAsia" w:hAnsiTheme="minorEastAsia" w:eastAsiaTheme="minorEastAsia" w:cstheme="minorEastAsia"/>
          <w:b/>
          <w:bCs/>
          <w:color w:val="auto"/>
          <w:kern w:val="0"/>
          <w:sz w:val="24"/>
          <w:szCs w:val="24"/>
          <w:highlight w:val="none"/>
          <w:lang w:val="zh-CN"/>
        </w:rPr>
        <w:t>4．项目答疑会和踏勘现场：</w:t>
      </w:r>
    </w:p>
    <w:p w14:paraId="4E77731E">
      <w:pPr>
        <w:autoSpaceDE w:val="0"/>
        <w:autoSpaceDN w:val="0"/>
        <w:adjustRightInd w:val="0"/>
        <w:spacing w:line="360" w:lineRule="auto"/>
        <w:ind w:firstLine="480"/>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本项目不举行项目答疑会和组织踏勘现场。</w:t>
      </w:r>
    </w:p>
    <w:p w14:paraId="2FE71BA2">
      <w:pPr>
        <w:autoSpaceDE w:val="0"/>
        <w:autoSpaceDN w:val="0"/>
        <w:adjustRightInd w:val="0"/>
        <w:spacing w:line="360" w:lineRule="auto"/>
        <w:ind w:firstLine="482"/>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5．投标费用：</w:t>
      </w:r>
      <w:r>
        <w:rPr>
          <w:rFonts w:hint="eastAsia" w:asciiTheme="minorEastAsia" w:hAnsiTheme="minorEastAsia" w:eastAsiaTheme="minorEastAsia" w:cstheme="minorEastAsia"/>
          <w:color w:val="auto"/>
          <w:sz w:val="24"/>
          <w:szCs w:val="24"/>
          <w:highlight w:val="none"/>
          <w:lang w:val="zh-CN"/>
        </w:rPr>
        <w:t>投标人应自行承担所有与编写和提交投标文件有关的费用，无论投标的结果如何，招标人和采购人在任何情况下均无义务和责任承担这些费用。</w:t>
      </w:r>
    </w:p>
    <w:p w14:paraId="2B7218CD">
      <w:pPr>
        <w:autoSpaceDE w:val="0"/>
        <w:autoSpaceDN w:val="0"/>
        <w:adjustRightInd w:val="0"/>
        <w:spacing w:line="360" w:lineRule="auto"/>
        <w:ind w:firstLine="482"/>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6. 招标文件：</w:t>
      </w:r>
    </w:p>
    <w:p w14:paraId="06327F5C">
      <w:pPr>
        <w:autoSpaceDE w:val="0"/>
        <w:autoSpaceDN w:val="0"/>
        <w:adjustRightInd w:val="0"/>
        <w:spacing w:line="360" w:lineRule="auto"/>
        <w:ind w:firstLine="48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6.1 招标文件的构成：</w:t>
      </w:r>
    </w:p>
    <w:p w14:paraId="48D8DB49">
      <w:pPr>
        <w:autoSpaceDE w:val="0"/>
        <w:autoSpaceDN w:val="0"/>
        <w:adjustRightInd w:val="0"/>
        <w:spacing w:line="360" w:lineRule="auto"/>
        <w:ind w:firstLine="7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第一章 招标公告</w:t>
      </w:r>
    </w:p>
    <w:p w14:paraId="56371AF3">
      <w:pPr>
        <w:autoSpaceDE w:val="0"/>
        <w:autoSpaceDN w:val="0"/>
        <w:adjustRightInd w:val="0"/>
        <w:spacing w:line="360" w:lineRule="auto"/>
        <w:ind w:firstLine="7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第二章 投标人须知</w:t>
      </w:r>
    </w:p>
    <w:p w14:paraId="2ECEEBE9">
      <w:pPr>
        <w:autoSpaceDE w:val="0"/>
        <w:autoSpaceDN w:val="0"/>
        <w:adjustRightInd w:val="0"/>
        <w:spacing w:line="360" w:lineRule="auto"/>
        <w:ind w:firstLine="7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第三章 评标办法</w:t>
      </w:r>
    </w:p>
    <w:p w14:paraId="3B22D14C">
      <w:pPr>
        <w:autoSpaceDE w:val="0"/>
        <w:autoSpaceDN w:val="0"/>
        <w:adjustRightInd w:val="0"/>
        <w:spacing w:line="360" w:lineRule="auto"/>
        <w:ind w:firstLine="7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第四章 合同条款及格式</w:t>
      </w:r>
    </w:p>
    <w:p w14:paraId="3DE0C051">
      <w:pPr>
        <w:autoSpaceDE w:val="0"/>
        <w:autoSpaceDN w:val="0"/>
        <w:adjustRightInd w:val="0"/>
        <w:spacing w:line="360" w:lineRule="auto"/>
        <w:ind w:firstLine="7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第五章 技术标准和要求</w:t>
      </w:r>
    </w:p>
    <w:p w14:paraId="6E57B08E">
      <w:pPr>
        <w:autoSpaceDE w:val="0"/>
        <w:autoSpaceDN w:val="0"/>
        <w:adjustRightInd w:val="0"/>
        <w:spacing w:line="360" w:lineRule="auto"/>
        <w:ind w:firstLine="7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第六章 投标文件格式</w:t>
      </w:r>
    </w:p>
    <w:p w14:paraId="632F6A1C">
      <w:pPr>
        <w:autoSpaceDE w:val="0"/>
        <w:autoSpaceDN w:val="0"/>
        <w:adjustRightInd w:val="0"/>
        <w:spacing w:line="360" w:lineRule="auto"/>
        <w:ind w:firstLine="7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第七章 附件</w:t>
      </w:r>
    </w:p>
    <w:p w14:paraId="0AA379FB">
      <w:pPr>
        <w:autoSpaceDE w:val="0"/>
        <w:autoSpaceDN w:val="0"/>
        <w:adjustRightInd w:val="0"/>
        <w:spacing w:line="360" w:lineRule="auto"/>
        <w:ind w:firstLine="7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6.2投标人应认真阅读招标文件中所有事项、格式、条款和规范等要求。如果投标人没有按照招标文件要求提交全部文件资料或投标文件没有对招标文件在各方面都做出实质性响应，是投标人的风险。</w:t>
      </w:r>
    </w:p>
    <w:p w14:paraId="2257C262">
      <w:pPr>
        <w:autoSpaceDE w:val="0"/>
        <w:autoSpaceDN w:val="0"/>
        <w:adjustRightInd w:val="0"/>
        <w:spacing w:line="360" w:lineRule="auto"/>
        <w:ind w:firstLine="7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7. 招标文件的澄清和修改</w:t>
      </w:r>
    </w:p>
    <w:p w14:paraId="3AE91D5C">
      <w:pPr>
        <w:autoSpaceDE w:val="0"/>
        <w:autoSpaceDN w:val="0"/>
        <w:adjustRightInd w:val="0"/>
        <w:spacing w:line="360" w:lineRule="auto"/>
        <w:ind w:firstLine="7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7.1任何要求对招标文件进行澄清的投标人，均应执行《中华人民共和国政府采购法实施条例》第五十三条规定，在</w:t>
      </w:r>
      <w:r>
        <w:rPr>
          <w:rFonts w:hint="eastAsia" w:asciiTheme="minorEastAsia" w:hAnsiTheme="minorEastAsia" w:eastAsiaTheme="minorEastAsia" w:cstheme="minorEastAsia"/>
          <w:color w:val="auto"/>
          <w:sz w:val="24"/>
          <w:szCs w:val="24"/>
          <w:highlight w:val="none"/>
          <w:lang w:val="en-US" w:eastAsia="zh-CN"/>
        </w:rPr>
        <w:t>政采云平台（www.zcygov.cn）</w:t>
      </w:r>
      <w:r>
        <w:rPr>
          <w:rFonts w:hint="eastAsia" w:asciiTheme="minorEastAsia" w:hAnsiTheme="minorEastAsia" w:eastAsiaTheme="minorEastAsia" w:cstheme="minorEastAsia"/>
          <w:color w:val="auto"/>
          <w:sz w:val="24"/>
          <w:szCs w:val="24"/>
          <w:highlight w:val="none"/>
          <w:lang w:val="zh-CN"/>
        </w:rPr>
        <w:t>上提问的形式向招标人提出澄清要求。无论是招标人根据需要主动对招标文件进行必要的澄清，还是根据投标人的要求对招标文件做出澄清，招标人都将于投标截止时间前15日在</w:t>
      </w:r>
      <w:r>
        <w:rPr>
          <w:rFonts w:hint="eastAsia" w:asciiTheme="minorEastAsia" w:hAnsiTheme="minorEastAsia" w:eastAsiaTheme="minorEastAsia" w:cstheme="minorEastAsia"/>
          <w:color w:val="auto"/>
          <w:sz w:val="24"/>
          <w:szCs w:val="24"/>
          <w:highlight w:val="none"/>
          <w:lang w:val="zh-CN"/>
        </w:rPr>
        <w:fldChar w:fldCharType="begin"/>
      </w:r>
      <w:r>
        <w:rPr>
          <w:rFonts w:hint="eastAsia" w:asciiTheme="minorEastAsia" w:hAnsiTheme="minorEastAsia" w:eastAsiaTheme="minorEastAsia" w:cstheme="minorEastAsia"/>
          <w:color w:val="auto"/>
          <w:sz w:val="24"/>
          <w:szCs w:val="24"/>
          <w:highlight w:val="none"/>
          <w:lang w:val="zh-CN"/>
        </w:rPr>
        <w:instrText xml:space="preserve"> HYPERLINK "http://www.ccgp-jilin.gov.cn/" </w:instrText>
      </w:r>
      <w:r>
        <w:rPr>
          <w:rFonts w:hint="eastAsia" w:asciiTheme="minorEastAsia" w:hAnsiTheme="minorEastAsia" w:eastAsiaTheme="minorEastAsia" w:cstheme="minorEastAsia"/>
          <w:color w:val="auto"/>
          <w:sz w:val="24"/>
          <w:szCs w:val="24"/>
          <w:highlight w:val="none"/>
          <w:lang w:val="zh-CN"/>
        </w:rPr>
        <w:fldChar w:fldCharType="separate"/>
      </w:r>
      <w:r>
        <w:rPr>
          <w:rFonts w:hint="eastAsia" w:asciiTheme="minorEastAsia" w:hAnsiTheme="minorEastAsia" w:eastAsiaTheme="minorEastAsia" w:cstheme="minorEastAsia"/>
          <w:color w:val="auto"/>
          <w:sz w:val="24"/>
          <w:szCs w:val="24"/>
          <w:highlight w:val="none"/>
          <w:lang w:val="zh-CN"/>
        </w:rPr>
        <w:t>吉林省政府采购网 (ccgp-jilin.gov.cn)</w:t>
      </w:r>
      <w:r>
        <w:rPr>
          <w:rFonts w:hint="eastAsia" w:asciiTheme="minorEastAsia" w:hAnsiTheme="minorEastAsia" w:eastAsiaTheme="minorEastAsia" w:cstheme="minorEastAsia"/>
          <w:color w:val="auto"/>
          <w:sz w:val="24"/>
          <w:szCs w:val="24"/>
          <w:highlight w:val="none"/>
          <w:lang w:val="zh-CN"/>
        </w:rPr>
        <w:fldChar w:fldCharType="end"/>
      </w:r>
      <w:r>
        <w:rPr>
          <w:rFonts w:hint="eastAsia" w:asciiTheme="minorEastAsia" w:hAnsiTheme="minorEastAsia" w:eastAsiaTheme="minorEastAsia" w:cstheme="minorEastAsia"/>
          <w:color w:val="auto"/>
          <w:sz w:val="24"/>
          <w:szCs w:val="24"/>
          <w:highlight w:val="none"/>
          <w:lang w:val="zh-CN"/>
        </w:rPr>
        <w:t>上公布予以澄清。投标人应自主在网上查看，该澄清作为招标文件的组成部分，具有约束作用。</w:t>
      </w:r>
    </w:p>
    <w:p w14:paraId="446A5A25">
      <w:pPr>
        <w:autoSpaceDE w:val="0"/>
        <w:autoSpaceDN w:val="0"/>
        <w:adjustRightInd w:val="0"/>
        <w:spacing w:line="360" w:lineRule="auto"/>
        <w:ind w:firstLine="7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7.2  招标人可在投标截止时间15日前（含）对招标文件进行修改、补充。招标文件的修改、补充文件将</w:t>
      </w:r>
      <w:r>
        <w:rPr>
          <w:rFonts w:hint="eastAsia" w:asciiTheme="minorEastAsia" w:hAnsiTheme="minorEastAsia" w:eastAsiaTheme="minorEastAsia" w:cstheme="minorEastAsia"/>
          <w:color w:val="auto"/>
          <w:sz w:val="24"/>
          <w:szCs w:val="24"/>
          <w:highlight w:val="none"/>
          <w:lang w:val="en-US" w:eastAsia="zh-CN"/>
        </w:rPr>
        <w:t>在</w:t>
      </w:r>
      <w:r>
        <w:rPr>
          <w:rFonts w:hint="eastAsia" w:asciiTheme="minorEastAsia" w:hAnsiTheme="minorEastAsia" w:eastAsiaTheme="minorEastAsia" w:cstheme="minorEastAsia"/>
          <w:color w:val="auto"/>
          <w:sz w:val="24"/>
          <w:szCs w:val="24"/>
          <w:highlight w:val="none"/>
          <w:lang w:val="zh-CN"/>
        </w:rPr>
        <w:fldChar w:fldCharType="begin"/>
      </w:r>
      <w:r>
        <w:rPr>
          <w:rFonts w:hint="eastAsia" w:asciiTheme="minorEastAsia" w:hAnsiTheme="minorEastAsia" w:eastAsiaTheme="minorEastAsia" w:cstheme="minorEastAsia"/>
          <w:color w:val="auto"/>
          <w:sz w:val="24"/>
          <w:szCs w:val="24"/>
          <w:highlight w:val="none"/>
          <w:lang w:val="zh-CN"/>
        </w:rPr>
        <w:instrText xml:space="preserve"> HYPERLINK "http://www.ccgp-jilin.gov.cn/" </w:instrText>
      </w:r>
      <w:r>
        <w:rPr>
          <w:rFonts w:hint="eastAsia" w:asciiTheme="minorEastAsia" w:hAnsiTheme="minorEastAsia" w:eastAsiaTheme="minorEastAsia" w:cstheme="minorEastAsia"/>
          <w:color w:val="auto"/>
          <w:sz w:val="24"/>
          <w:szCs w:val="24"/>
          <w:highlight w:val="none"/>
          <w:lang w:val="zh-CN"/>
        </w:rPr>
        <w:fldChar w:fldCharType="separate"/>
      </w:r>
      <w:r>
        <w:rPr>
          <w:rFonts w:hint="eastAsia" w:asciiTheme="minorEastAsia" w:hAnsiTheme="minorEastAsia" w:eastAsiaTheme="minorEastAsia" w:cstheme="minorEastAsia"/>
          <w:color w:val="auto"/>
          <w:sz w:val="24"/>
          <w:szCs w:val="24"/>
          <w:highlight w:val="none"/>
          <w:lang w:val="en-US" w:eastAsia="zh-CN"/>
        </w:rPr>
        <w:t>政采云平台</w:t>
      </w:r>
      <w:r>
        <w:rPr>
          <w:rFonts w:hint="eastAsia" w:asciiTheme="minorEastAsia" w:hAnsiTheme="minorEastAsia" w:eastAsiaTheme="minorEastAsia" w:cstheme="minorEastAsia"/>
          <w:color w:val="auto"/>
          <w:sz w:val="24"/>
          <w:szCs w:val="24"/>
          <w:highlight w:val="none"/>
          <w:lang w:val="zh-CN"/>
        </w:rPr>
        <w:fldChar w:fldCharType="end"/>
      </w:r>
      <w:r>
        <w:rPr>
          <w:rFonts w:hint="eastAsia" w:asciiTheme="minorEastAsia" w:hAnsiTheme="minorEastAsia" w:eastAsiaTheme="minorEastAsia" w:cstheme="minorEastAsia"/>
          <w:color w:val="auto"/>
          <w:sz w:val="24"/>
          <w:szCs w:val="24"/>
          <w:highlight w:val="none"/>
          <w:lang w:val="zh-CN"/>
        </w:rPr>
        <w:t>向潜在投标人发出，投标人自行在</w:t>
      </w:r>
      <w:r>
        <w:rPr>
          <w:rFonts w:hint="eastAsia" w:asciiTheme="minorEastAsia" w:hAnsiTheme="minorEastAsia" w:eastAsiaTheme="minorEastAsia" w:cstheme="minorEastAsia"/>
          <w:color w:val="auto"/>
          <w:sz w:val="24"/>
          <w:szCs w:val="24"/>
          <w:highlight w:val="none"/>
          <w:lang w:val="en-US" w:eastAsia="zh-CN"/>
        </w:rPr>
        <w:t>政采云平台</w:t>
      </w:r>
      <w:r>
        <w:rPr>
          <w:rFonts w:hint="eastAsia" w:asciiTheme="minorEastAsia" w:hAnsiTheme="minorEastAsia" w:eastAsiaTheme="minorEastAsia" w:cstheme="minorEastAsia"/>
          <w:color w:val="auto"/>
          <w:sz w:val="24"/>
          <w:szCs w:val="24"/>
          <w:highlight w:val="none"/>
          <w:lang w:val="zh-CN"/>
        </w:rPr>
        <w:t>下载。并在发布招标公告的媒体上公告。</w:t>
      </w:r>
    </w:p>
    <w:p w14:paraId="61EBDD5E">
      <w:pPr>
        <w:autoSpaceDE w:val="0"/>
        <w:autoSpaceDN w:val="0"/>
        <w:adjustRightInd w:val="0"/>
        <w:spacing w:line="360" w:lineRule="auto"/>
        <w:ind w:firstLine="72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7.3 招标文件的澄清、修改、补充文件均构成招标文件的组成部分，对所有投标人具有约束力</w:t>
      </w:r>
      <w:r>
        <w:rPr>
          <w:rFonts w:hint="eastAsia" w:asciiTheme="minorEastAsia" w:hAnsiTheme="minorEastAsia" w:eastAsiaTheme="minorEastAsia" w:cstheme="minorEastAsia"/>
          <w:color w:val="auto"/>
          <w:sz w:val="24"/>
          <w:szCs w:val="24"/>
          <w:highlight w:val="none"/>
          <w:lang w:val="zh-CN" w:eastAsia="zh-CN"/>
        </w:rPr>
        <w:t>，投标人未在</w:t>
      </w:r>
      <w:r>
        <w:rPr>
          <w:rFonts w:hint="eastAsia" w:asciiTheme="minorEastAsia" w:hAnsiTheme="minorEastAsia" w:eastAsiaTheme="minorEastAsia" w:cstheme="minorEastAsia"/>
          <w:color w:val="auto"/>
          <w:sz w:val="24"/>
          <w:szCs w:val="24"/>
          <w:highlight w:val="none"/>
          <w:lang w:val="en-US" w:eastAsia="zh-CN"/>
        </w:rPr>
        <w:t>政采云平台</w:t>
      </w:r>
      <w:r>
        <w:rPr>
          <w:rFonts w:hint="eastAsia" w:asciiTheme="minorEastAsia" w:hAnsiTheme="minorEastAsia" w:eastAsiaTheme="minorEastAsia" w:cstheme="minorEastAsia"/>
          <w:color w:val="auto"/>
          <w:sz w:val="24"/>
          <w:szCs w:val="24"/>
          <w:highlight w:val="none"/>
          <w:lang w:val="zh-CN"/>
        </w:rPr>
        <w:t>自行下载澄清、修改、补充文件，后果自负。</w:t>
      </w:r>
    </w:p>
    <w:p w14:paraId="7D6A0E29">
      <w:pPr>
        <w:autoSpaceDE w:val="0"/>
        <w:autoSpaceDN w:val="0"/>
        <w:adjustRightInd w:val="0"/>
        <w:spacing w:line="360" w:lineRule="auto"/>
        <w:ind w:firstLine="720"/>
        <w:rPr>
          <w:rFonts w:hint="eastAsia" w:asciiTheme="minorEastAsia" w:hAnsiTheme="minorEastAsia" w:eastAsiaTheme="minorEastAsia" w:cstheme="minorEastAsia"/>
          <w:color w:val="0000FF"/>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7.4 为使投标人有充分的时间对招标文件的澄清、修改、补充部分进行研究，招标人可在投标截止时间3日前（含）自行决定酌情延长投标截止时间，延长投标截止时间的公告将在发布招标公告的媒体上发</w:t>
      </w:r>
      <w:r>
        <w:rPr>
          <w:rFonts w:hint="eastAsia" w:asciiTheme="minorEastAsia" w:hAnsiTheme="minorEastAsia" w:eastAsiaTheme="minorEastAsia" w:cstheme="minorEastAsia"/>
          <w:color w:val="auto"/>
          <w:sz w:val="24"/>
          <w:szCs w:val="24"/>
          <w:highlight w:val="none"/>
          <w:lang w:val="en-US" w:eastAsia="zh-CN"/>
        </w:rPr>
        <w:t>布</w:t>
      </w:r>
      <w:r>
        <w:rPr>
          <w:rFonts w:hint="eastAsia" w:asciiTheme="minorEastAsia" w:hAnsiTheme="minorEastAsia" w:eastAsiaTheme="minorEastAsia" w:cstheme="minorEastAsia"/>
          <w:color w:val="auto"/>
          <w:sz w:val="24"/>
          <w:szCs w:val="24"/>
          <w:highlight w:val="none"/>
          <w:lang w:val="zh-CN"/>
        </w:rPr>
        <w:t>并在在</w:t>
      </w:r>
      <w:r>
        <w:rPr>
          <w:rFonts w:hint="eastAsia" w:asciiTheme="minorEastAsia" w:hAnsiTheme="minorEastAsia" w:eastAsiaTheme="minorEastAsia" w:cstheme="minorEastAsia"/>
          <w:color w:val="auto"/>
          <w:sz w:val="24"/>
          <w:szCs w:val="24"/>
          <w:highlight w:val="none"/>
          <w:lang w:val="en-US" w:eastAsia="zh-CN"/>
        </w:rPr>
        <w:t>政采云平台（www.zcygov.cn）</w:t>
      </w:r>
      <w:r>
        <w:rPr>
          <w:rFonts w:hint="eastAsia" w:asciiTheme="minorEastAsia" w:hAnsiTheme="minorEastAsia" w:eastAsiaTheme="minorEastAsia" w:cstheme="minorEastAsia"/>
          <w:color w:val="auto"/>
          <w:sz w:val="24"/>
          <w:szCs w:val="24"/>
          <w:highlight w:val="none"/>
          <w:lang w:val="zh-CN"/>
        </w:rPr>
        <w:t>向所有潜在投标人发布。在这种情况下，招标人和投标人受投标截止时间制约的所有权利和义务均相应延长至新的投标截止时间。</w:t>
      </w:r>
    </w:p>
    <w:p w14:paraId="2B3228C2">
      <w:pPr>
        <w:autoSpaceDE w:val="0"/>
        <w:autoSpaceDN w:val="0"/>
        <w:adjustRightInd w:val="0"/>
        <w:spacing w:line="360" w:lineRule="auto"/>
        <w:ind w:firstLine="482"/>
        <w:rPr>
          <w:rFonts w:hint="eastAsia" w:asciiTheme="minorEastAsia" w:hAnsiTheme="minorEastAsia" w:eastAsiaTheme="minorEastAsia" w:cstheme="minorEastAsia"/>
          <w:b/>
          <w:bCs/>
          <w:color w:val="C00000"/>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8. 投标文件构成：</w:t>
      </w:r>
    </w:p>
    <w:p w14:paraId="664DB207">
      <w:pPr>
        <w:tabs>
          <w:tab w:val="left" w:pos="709"/>
        </w:tabs>
        <w:autoSpaceDE w:val="0"/>
        <w:autoSpaceDN w:val="0"/>
        <w:adjustRightInd w:val="0"/>
        <w:spacing w:line="360" w:lineRule="auto"/>
        <w:ind w:firstLine="480"/>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8.1投标文件分为商务部分和技术部分。商务部分是投标人提交的证明其具有合格的投标资格和中标后有能力履行合同的文件。技术部分是能够证明投标人所提供服务的合格性和符合招标文件规定的文件。</w:t>
      </w:r>
    </w:p>
    <w:p w14:paraId="270E1C69">
      <w:pPr>
        <w:tabs>
          <w:tab w:val="left" w:pos="709"/>
        </w:tabs>
        <w:autoSpaceDE w:val="0"/>
        <w:autoSpaceDN w:val="0"/>
        <w:adjustRightInd w:val="0"/>
        <w:spacing w:line="360" w:lineRule="auto"/>
        <w:ind w:firstLine="480"/>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8.2 投标人应提交本招标文件第六章</w:t>
      </w:r>
      <w:r>
        <w:rPr>
          <w:rFonts w:hint="eastAsia" w:asciiTheme="minorEastAsia" w:hAnsiTheme="minorEastAsia" w:eastAsiaTheme="minorEastAsia" w:cstheme="minorEastAsia"/>
          <w:bCs/>
          <w:color w:val="auto"/>
          <w:sz w:val="24"/>
          <w:szCs w:val="24"/>
          <w:highlight w:val="none"/>
          <w:lang w:val="zh-CN"/>
        </w:rPr>
        <w:t>《投标文件格式》</w:t>
      </w:r>
      <w:r>
        <w:rPr>
          <w:rFonts w:hint="eastAsia" w:asciiTheme="minorEastAsia" w:hAnsiTheme="minorEastAsia" w:eastAsiaTheme="minorEastAsia" w:cstheme="minorEastAsia"/>
          <w:color w:val="auto"/>
          <w:kern w:val="0"/>
          <w:sz w:val="24"/>
          <w:szCs w:val="24"/>
          <w:highlight w:val="none"/>
          <w:lang w:val="zh-CN"/>
        </w:rPr>
        <w:t>规定的全部商务文件和技术文件，若有缺失、无效或者不符合招标文件要求，将导致其投标被拒绝。</w:t>
      </w:r>
    </w:p>
    <w:p w14:paraId="08D95CA0">
      <w:pPr>
        <w:autoSpaceDE w:val="0"/>
        <w:autoSpaceDN w:val="0"/>
        <w:adjustRightInd w:val="0"/>
        <w:spacing w:line="360" w:lineRule="auto"/>
        <w:ind w:firstLine="482"/>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9. 投标文件的编制</w:t>
      </w:r>
    </w:p>
    <w:p w14:paraId="08E129E9">
      <w:pPr>
        <w:autoSpaceDE w:val="0"/>
        <w:autoSpaceDN w:val="0"/>
        <w:adjustRightInd w:val="0"/>
        <w:spacing w:line="360" w:lineRule="auto"/>
        <w:ind w:firstLine="48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 xml:space="preserve">9.1 投标语言：投标文件以及投标人与招标人就有关投标的来往函电均使用中文。 </w:t>
      </w:r>
    </w:p>
    <w:p w14:paraId="47F67ED7">
      <w:pPr>
        <w:autoSpaceDE w:val="0"/>
        <w:autoSpaceDN w:val="0"/>
        <w:adjustRightInd w:val="0"/>
        <w:spacing w:line="360" w:lineRule="auto"/>
        <w:ind w:firstLine="48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9.2 计量单位：中华人民共和国法定计量单位。</w:t>
      </w:r>
    </w:p>
    <w:p w14:paraId="54F5DCC6">
      <w:pPr>
        <w:autoSpaceDE w:val="0"/>
        <w:autoSpaceDN w:val="0"/>
        <w:adjustRightInd w:val="0"/>
        <w:spacing w:line="360" w:lineRule="auto"/>
        <w:ind w:firstLine="48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9.3 投标文件规格应采用A4幅面，按照招标文件规定的顺序，统一编目编码。为便于评标，技术文件中的各项表格应按照招标文件第六章规定的格式制作。</w:t>
      </w:r>
    </w:p>
    <w:p w14:paraId="6E5D3E0F">
      <w:pPr>
        <w:pStyle w:val="2"/>
        <w:ind w:firstLine="480" w:firstLineChars="200"/>
        <w:rPr>
          <w:rFonts w:hint="eastAsia" w:asciiTheme="minorEastAsia" w:hAnsiTheme="minorEastAsia" w:eastAsiaTheme="minorEastAsia" w:cstheme="minorEastAsia"/>
          <w:color w:val="auto"/>
          <w:kern w:val="2"/>
          <w:sz w:val="24"/>
          <w:szCs w:val="24"/>
          <w:highlight w:val="none"/>
          <w:lang w:val="zh-CN"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9.4投标</w:t>
      </w:r>
      <w:r>
        <w:rPr>
          <w:rFonts w:hint="eastAsia" w:asciiTheme="minorEastAsia" w:hAnsiTheme="minorEastAsia" w:eastAsiaTheme="minorEastAsia" w:cstheme="minorEastAsia"/>
          <w:color w:val="auto"/>
          <w:kern w:val="2"/>
          <w:sz w:val="24"/>
          <w:szCs w:val="24"/>
          <w:highlight w:val="none"/>
          <w:lang w:val="zh-CN" w:eastAsia="zh-CN" w:bidi="ar-SA"/>
        </w:rPr>
        <w:t>文件应当对</w:t>
      </w:r>
      <w:r>
        <w:rPr>
          <w:rFonts w:hint="eastAsia" w:asciiTheme="minorEastAsia" w:hAnsiTheme="minorEastAsia" w:eastAsiaTheme="minorEastAsia" w:cstheme="minorEastAsia"/>
          <w:color w:val="auto"/>
          <w:kern w:val="2"/>
          <w:sz w:val="24"/>
          <w:szCs w:val="24"/>
          <w:highlight w:val="none"/>
          <w:lang w:val="en-US" w:eastAsia="zh-CN" w:bidi="ar-SA"/>
        </w:rPr>
        <w:t>招标</w:t>
      </w:r>
      <w:r>
        <w:rPr>
          <w:rFonts w:hint="eastAsia" w:asciiTheme="minorEastAsia" w:hAnsiTheme="minorEastAsia" w:eastAsiaTheme="minorEastAsia" w:cstheme="minorEastAsia"/>
          <w:color w:val="auto"/>
          <w:kern w:val="2"/>
          <w:sz w:val="24"/>
          <w:szCs w:val="24"/>
          <w:highlight w:val="none"/>
          <w:lang w:val="zh-CN" w:eastAsia="zh-CN" w:bidi="ar-SA"/>
        </w:rPr>
        <w:t>文件有关</w:t>
      </w:r>
      <w:r>
        <w:rPr>
          <w:rFonts w:hint="eastAsia" w:asciiTheme="minorEastAsia" w:hAnsiTheme="minorEastAsia" w:eastAsiaTheme="minorEastAsia" w:cstheme="minorEastAsia"/>
          <w:color w:val="auto"/>
          <w:kern w:val="2"/>
          <w:sz w:val="24"/>
          <w:szCs w:val="24"/>
          <w:highlight w:val="none"/>
          <w:lang w:val="en-US" w:eastAsia="zh-CN" w:bidi="ar-SA"/>
        </w:rPr>
        <w:t>服务期限</w:t>
      </w:r>
      <w:r>
        <w:rPr>
          <w:rFonts w:hint="eastAsia" w:asciiTheme="minorEastAsia" w:hAnsiTheme="minorEastAsia" w:eastAsiaTheme="minorEastAsia" w:cstheme="minorEastAsia"/>
          <w:color w:val="auto"/>
          <w:kern w:val="2"/>
          <w:sz w:val="24"/>
          <w:szCs w:val="24"/>
          <w:highlight w:val="none"/>
          <w:lang w:val="zh-CN" w:eastAsia="zh-CN" w:bidi="ar-SA"/>
        </w:rPr>
        <w:t>、</w:t>
      </w:r>
      <w:r>
        <w:rPr>
          <w:rFonts w:hint="eastAsia" w:asciiTheme="minorEastAsia" w:hAnsiTheme="minorEastAsia" w:eastAsiaTheme="minorEastAsia" w:cstheme="minorEastAsia"/>
          <w:color w:val="auto"/>
          <w:kern w:val="2"/>
          <w:sz w:val="24"/>
          <w:szCs w:val="24"/>
          <w:highlight w:val="none"/>
          <w:lang w:val="en-US" w:eastAsia="zh-CN" w:bidi="ar-SA"/>
        </w:rPr>
        <w:t>投标</w:t>
      </w:r>
      <w:r>
        <w:rPr>
          <w:rFonts w:hint="eastAsia" w:asciiTheme="minorEastAsia" w:hAnsiTheme="minorEastAsia" w:eastAsiaTheme="minorEastAsia" w:cstheme="minorEastAsia"/>
          <w:color w:val="auto"/>
          <w:kern w:val="2"/>
          <w:sz w:val="24"/>
          <w:szCs w:val="24"/>
          <w:highlight w:val="none"/>
          <w:lang w:val="zh-CN" w:eastAsia="zh-CN" w:bidi="ar-SA"/>
        </w:rPr>
        <w:t>有效期、质量要求、</w:t>
      </w:r>
      <w:r>
        <w:rPr>
          <w:rFonts w:hint="eastAsia" w:asciiTheme="minorEastAsia" w:hAnsiTheme="minorEastAsia" w:eastAsiaTheme="minorEastAsia" w:cstheme="minorEastAsia"/>
          <w:color w:val="auto"/>
          <w:kern w:val="2"/>
          <w:sz w:val="24"/>
          <w:szCs w:val="24"/>
          <w:highlight w:val="none"/>
          <w:lang w:val="en-US" w:eastAsia="zh-CN" w:bidi="ar-SA"/>
        </w:rPr>
        <w:t>技术标准及要求</w:t>
      </w:r>
      <w:r>
        <w:rPr>
          <w:rFonts w:hint="eastAsia" w:asciiTheme="minorEastAsia" w:hAnsiTheme="minorEastAsia" w:eastAsiaTheme="minorEastAsia" w:cstheme="minorEastAsia"/>
          <w:color w:val="auto"/>
          <w:kern w:val="2"/>
          <w:sz w:val="24"/>
          <w:szCs w:val="24"/>
          <w:highlight w:val="none"/>
          <w:lang w:val="zh-CN" w:eastAsia="zh-CN" w:bidi="ar-SA"/>
        </w:rPr>
        <w:t>、</w:t>
      </w:r>
      <w:r>
        <w:rPr>
          <w:rFonts w:hint="eastAsia" w:asciiTheme="minorEastAsia" w:hAnsiTheme="minorEastAsia" w:eastAsiaTheme="minorEastAsia" w:cstheme="minorEastAsia"/>
          <w:color w:val="auto"/>
          <w:kern w:val="2"/>
          <w:sz w:val="24"/>
          <w:szCs w:val="24"/>
          <w:highlight w:val="none"/>
          <w:lang w:val="en-US" w:eastAsia="zh-CN" w:bidi="ar-SA"/>
        </w:rPr>
        <w:t>招标</w:t>
      </w:r>
      <w:r>
        <w:rPr>
          <w:rFonts w:hint="eastAsia" w:asciiTheme="minorEastAsia" w:hAnsiTheme="minorEastAsia" w:eastAsiaTheme="minorEastAsia" w:cstheme="minorEastAsia"/>
          <w:color w:val="auto"/>
          <w:kern w:val="2"/>
          <w:sz w:val="24"/>
          <w:szCs w:val="24"/>
          <w:highlight w:val="none"/>
          <w:lang w:val="zh-CN" w:eastAsia="zh-CN" w:bidi="ar-SA"/>
        </w:rPr>
        <w:t>范围等实质性内容作出响应。</w:t>
      </w:r>
    </w:p>
    <w:p w14:paraId="48B6521A">
      <w:pPr>
        <w:autoSpaceDE w:val="0"/>
        <w:autoSpaceDN w:val="0"/>
        <w:adjustRightInd w:val="0"/>
        <w:spacing w:line="240" w:lineRule="auto"/>
        <w:ind w:firstLine="420"/>
        <w:rPr>
          <w:rFonts w:hint="eastAsia" w:asciiTheme="minorEastAsia" w:hAnsiTheme="minorEastAsia" w:eastAsiaTheme="minorEastAsia" w:cstheme="minorEastAsia"/>
          <w:color w:val="auto"/>
          <w:kern w:val="2"/>
          <w:sz w:val="24"/>
          <w:szCs w:val="24"/>
          <w:highlight w:val="none"/>
          <w:lang w:val="zh-CN" w:eastAsia="zh-CN" w:bidi="ar-SA"/>
        </w:rPr>
      </w:pPr>
      <w:r>
        <w:rPr>
          <w:rFonts w:hint="eastAsia" w:asciiTheme="minorEastAsia" w:hAnsiTheme="minorEastAsia" w:eastAsiaTheme="minorEastAsia" w:cstheme="minorEastAsia"/>
          <w:color w:val="auto"/>
          <w:kern w:val="2"/>
          <w:sz w:val="24"/>
          <w:szCs w:val="24"/>
          <w:highlight w:val="none"/>
          <w:lang w:val="zh-CN" w:eastAsia="zh-CN" w:bidi="ar-SA"/>
        </w:rPr>
        <w:t>9.</w:t>
      </w:r>
      <w:r>
        <w:rPr>
          <w:rFonts w:hint="eastAsia" w:asciiTheme="minorEastAsia" w:hAnsiTheme="minorEastAsia" w:eastAsiaTheme="minorEastAsia" w:cstheme="minorEastAsia"/>
          <w:color w:val="auto"/>
          <w:kern w:val="2"/>
          <w:sz w:val="24"/>
          <w:szCs w:val="24"/>
          <w:highlight w:val="none"/>
          <w:lang w:val="en-US" w:eastAsia="zh-CN" w:bidi="ar-SA"/>
        </w:rPr>
        <w:t>5</w:t>
      </w:r>
      <w:r>
        <w:rPr>
          <w:rFonts w:hint="eastAsia" w:asciiTheme="minorEastAsia" w:hAnsiTheme="minorEastAsia" w:eastAsiaTheme="minorEastAsia" w:cstheme="minorEastAsia"/>
          <w:color w:val="auto"/>
          <w:kern w:val="2"/>
          <w:sz w:val="24"/>
          <w:szCs w:val="24"/>
          <w:highlight w:val="none"/>
          <w:lang w:val="zh-CN" w:eastAsia="zh-CN" w:bidi="ar-SA"/>
        </w:rPr>
        <w:t>投标人在投标文件以及在投标、谈判、合同签订、履行过程中所签署的相关文件中所加盖的公章，均须按照招标文件的规定加盖与投标人名称全称相一致的标准公章，不得使用彩喷或者彩印的印章，否则将被视为无效。</w:t>
      </w:r>
    </w:p>
    <w:p w14:paraId="0A2E5CA9">
      <w:pPr>
        <w:autoSpaceDE w:val="0"/>
        <w:autoSpaceDN w:val="0"/>
        <w:adjustRightInd w:val="0"/>
        <w:spacing w:line="240" w:lineRule="auto"/>
        <w:ind w:firstLine="420"/>
        <w:rPr>
          <w:rFonts w:hint="eastAsia" w:asciiTheme="minorEastAsia" w:hAnsiTheme="minorEastAsia" w:eastAsiaTheme="minorEastAsia" w:cstheme="minorEastAsia"/>
          <w:color w:val="auto"/>
          <w:kern w:val="2"/>
          <w:sz w:val="24"/>
          <w:szCs w:val="24"/>
          <w:highlight w:val="none"/>
          <w:lang w:val="zh-CN"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9.6供应商须在响应文件中上传已加盖供应商公章及法定代表人签章的供应商</w:t>
      </w:r>
      <w:r>
        <w:rPr>
          <w:rFonts w:hint="eastAsia" w:asciiTheme="minorEastAsia" w:hAnsiTheme="minorEastAsia" w:eastAsiaTheme="minorEastAsia" w:cstheme="minorEastAsia"/>
          <w:color w:val="auto"/>
          <w:kern w:val="2"/>
          <w:sz w:val="24"/>
          <w:szCs w:val="24"/>
          <w:highlight w:val="none"/>
          <w:lang w:val="zh-CN" w:eastAsia="zh-CN" w:bidi="ar-SA"/>
        </w:rPr>
        <w:t>资格声明</w:t>
      </w:r>
      <w:r>
        <w:rPr>
          <w:rFonts w:hint="eastAsia" w:asciiTheme="minorEastAsia" w:hAnsiTheme="minorEastAsia" w:eastAsiaTheme="minorEastAsia" w:cstheme="minorEastAsia"/>
          <w:color w:val="auto"/>
          <w:kern w:val="2"/>
          <w:sz w:val="24"/>
          <w:szCs w:val="24"/>
          <w:highlight w:val="none"/>
          <w:lang w:val="en-US" w:eastAsia="zh-CN" w:bidi="ar-SA"/>
        </w:rPr>
        <w:t>书</w:t>
      </w:r>
      <w:r>
        <w:rPr>
          <w:rFonts w:hint="eastAsia" w:asciiTheme="minorEastAsia" w:hAnsiTheme="minorEastAsia" w:eastAsiaTheme="minorEastAsia" w:cstheme="minorEastAsia"/>
          <w:color w:val="auto"/>
          <w:kern w:val="2"/>
          <w:sz w:val="24"/>
          <w:szCs w:val="24"/>
          <w:highlight w:val="none"/>
          <w:lang w:val="zh-CN" w:eastAsia="zh-CN" w:bidi="ar-SA"/>
        </w:rPr>
        <w:t>。</w:t>
      </w:r>
    </w:p>
    <w:p w14:paraId="4B75C115">
      <w:pPr>
        <w:tabs>
          <w:tab w:val="left" w:pos="709"/>
        </w:tabs>
        <w:autoSpaceDE w:val="0"/>
        <w:autoSpaceDN w:val="0"/>
        <w:adjustRightInd w:val="0"/>
        <w:spacing w:line="360" w:lineRule="auto"/>
        <w:ind w:firstLine="480"/>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9.</w:t>
      </w:r>
      <w:r>
        <w:rPr>
          <w:rFonts w:hint="eastAsia" w:asciiTheme="minorEastAsia" w:hAnsiTheme="minorEastAsia" w:eastAsiaTheme="minorEastAsia" w:cstheme="minorEastAsia"/>
          <w:color w:val="auto"/>
          <w:kern w:val="0"/>
          <w:sz w:val="24"/>
          <w:szCs w:val="24"/>
          <w:highlight w:val="none"/>
          <w:lang w:val="en-US" w:eastAsia="zh-CN"/>
        </w:rPr>
        <w:t>7</w:t>
      </w:r>
      <w:r>
        <w:rPr>
          <w:rFonts w:hint="eastAsia" w:asciiTheme="minorEastAsia" w:hAnsiTheme="minorEastAsia" w:eastAsiaTheme="minorEastAsia" w:cstheme="minorEastAsia"/>
          <w:color w:val="auto"/>
          <w:kern w:val="0"/>
          <w:sz w:val="24"/>
          <w:szCs w:val="24"/>
          <w:highlight w:val="none"/>
          <w:lang w:val="zh-CN"/>
        </w:rPr>
        <w:t xml:space="preserve"> 招标人不接受采用传真方式提交的投标文件。</w:t>
      </w:r>
    </w:p>
    <w:p w14:paraId="71DC9773">
      <w:pPr>
        <w:autoSpaceDE w:val="0"/>
        <w:autoSpaceDN w:val="0"/>
        <w:adjustRightInd w:val="0"/>
        <w:spacing w:line="360" w:lineRule="auto"/>
        <w:ind w:firstLine="482"/>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10. 投标报价</w:t>
      </w:r>
    </w:p>
    <w:p w14:paraId="529E917B">
      <w:pPr>
        <w:autoSpaceDE w:val="0"/>
        <w:autoSpaceDN w:val="0"/>
        <w:adjustRightInd w:val="0"/>
        <w:spacing w:line="360" w:lineRule="auto"/>
        <w:ind w:firstLine="48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10.1投标货币：所有投标报价均以人民币元为计算单位。</w:t>
      </w:r>
    </w:p>
    <w:p w14:paraId="683CB041">
      <w:pPr>
        <w:pStyle w:val="19"/>
        <w:spacing w:line="360" w:lineRule="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10.</w:t>
      </w:r>
      <w:r>
        <w:rPr>
          <w:rFonts w:hint="eastAsia" w:asciiTheme="minorEastAsia" w:hAnsiTheme="minorEastAsia" w:eastAsiaTheme="minorEastAsia" w:cstheme="minorEastAsia"/>
          <w:color w:val="auto"/>
          <w:kern w:val="0"/>
          <w:sz w:val="24"/>
          <w:szCs w:val="24"/>
          <w:highlight w:val="none"/>
          <w:lang w:val="zh-CN"/>
        </w:rPr>
        <w:t>2投标报价：投标人应当参照国家相关收费标准，结合招标文件规定的招标范围及服务要求、本项目具体特点、计划工作量、投标人单位的情况自行测算进行报价。投标人应一次性报出所服务的全部价格。只允许有一个报价，任何有选择的报价将不予接受。</w:t>
      </w:r>
    </w:p>
    <w:p w14:paraId="44659997">
      <w:pPr>
        <w:autoSpaceDE w:val="0"/>
        <w:autoSpaceDN w:val="0"/>
        <w:adjustRightInd w:val="0"/>
        <w:spacing w:line="360" w:lineRule="auto"/>
        <w:ind w:firstLine="48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10.3投标人所报的价格在合同执行过程中是固定不变的，不得以任何理由予以变更。以可调整的价格提交的投标将作为非响应性投标予以拒绝。</w:t>
      </w:r>
    </w:p>
    <w:p w14:paraId="56569E59">
      <w:pPr>
        <w:autoSpaceDE w:val="0"/>
        <w:autoSpaceDN w:val="0"/>
        <w:adjustRightInd w:val="0"/>
        <w:spacing w:line="360" w:lineRule="auto"/>
        <w:ind w:firstLine="48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10.4 最低报价不能作为中标的保证。政府采购评审中出现下列情形之一的，评审委员会应当启动异常低价投标（响应）审查程序：</w:t>
      </w:r>
    </w:p>
    <w:p w14:paraId="49DCC17A">
      <w:pPr>
        <w:autoSpaceDE w:val="0"/>
        <w:autoSpaceDN w:val="0"/>
        <w:adjustRightInd w:val="0"/>
        <w:spacing w:line="360" w:lineRule="auto"/>
        <w:ind w:firstLine="48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（1）投标（响应）报价低于全部通过符合性审查供应商投标（响应）报价平均值50%的，即投标（响应）报价&lt;全部通过符合性审查供应商投标（响应）报价平均值×50%；</w:t>
      </w:r>
    </w:p>
    <w:p w14:paraId="4E69D2CF">
      <w:pPr>
        <w:autoSpaceDE w:val="0"/>
        <w:autoSpaceDN w:val="0"/>
        <w:adjustRightInd w:val="0"/>
        <w:spacing w:line="360" w:lineRule="auto"/>
        <w:ind w:firstLine="48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（2）投标（响应）报价低于通过符合性审查的次低报价供应商投标（响应）报价50%的，即投标（响应）报价&lt;通过符合性审查的次低报价供应商投标（响应）报价×50%；</w:t>
      </w:r>
    </w:p>
    <w:p w14:paraId="2BF692CD">
      <w:pPr>
        <w:autoSpaceDE w:val="0"/>
        <w:autoSpaceDN w:val="0"/>
        <w:adjustRightInd w:val="0"/>
        <w:spacing w:line="360" w:lineRule="auto"/>
        <w:ind w:firstLine="48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（3）投标（响应）报价低于采购项目最高限价45%的，即投标（响应）报价&lt;采购项目最高限价×45%；</w:t>
      </w:r>
    </w:p>
    <w:p w14:paraId="7A4844FC">
      <w:pPr>
        <w:autoSpaceDE w:val="0"/>
        <w:autoSpaceDN w:val="0"/>
        <w:adjustRightInd w:val="0"/>
        <w:spacing w:line="360" w:lineRule="auto"/>
        <w:ind w:firstLine="48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（4）评审委员会基于专业判断，认为供应商报价过低，有可能影响产品质量或者不能诚信履约的其他情形。</w:t>
      </w:r>
    </w:p>
    <w:p w14:paraId="2B4504B2">
      <w:pPr>
        <w:autoSpaceDE w:val="0"/>
        <w:autoSpaceDN w:val="0"/>
        <w:adjustRightInd w:val="0"/>
        <w:spacing w:line="360" w:lineRule="auto"/>
        <w:ind w:firstLine="48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采购人可以结合具体项目实际情况，提高上述第（1）项至第（3）项中启动异常低价投标（响应）审查的数值标准，但是最高不得超过65%；</w:t>
      </w:r>
    </w:p>
    <w:p w14:paraId="2415847B">
      <w:pPr>
        <w:autoSpaceDE w:val="0"/>
        <w:autoSpaceDN w:val="0"/>
        <w:adjustRightInd w:val="0"/>
        <w:spacing w:line="360" w:lineRule="auto"/>
        <w:ind w:firstLine="482"/>
        <w:jc w:val="left"/>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11. 投标保证金</w:t>
      </w:r>
    </w:p>
    <w:p w14:paraId="670B129C">
      <w:pPr>
        <w:autoSpaceDE w:val="0"/>
        <w:autoSpaceDN w:val="0"/>
        <w:adjustRightInd w:val="0"/>
        <w:spacing w:line="360" w:lineRule="auto"/>
        <w:ind w:firstLine="48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11.1本项目不收取保证金</w:t>
      </w:r>
    </w:p>
    <w:p w14:paraId="3EE4758A">
      <w:pPr>
        <w:autoSpaceDE w:val="0"/>
        <w:autoSpaceDN w:val="0"/>
        <w:adjustRightInd w:val="0"/>
        <w:spacing w:line="360" w:lineRule="auto"/>
        <w:ind w:firstLine="482"/>
        <w:jc w:val="left"/>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12. 投标有效期：</w:t>
      </w:r>
    </w:p>
    <w:p w14:paraId="451E8DD5">
      <w:pPr>
        <w:autoSpaceDE w:val="0"/>
        <w:autoSpaceDN w:val="0"/>
        <w:adjustRightInd w:val="0"/>
        <w:spacing w:line="360" w:lineRule="auto"/>
        <w:ind w:firstLine="48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12.1投标有效期为自开标之时起</w:t>
      </w:r>
      <w:r>
        <w:rPr>
          <w:rFonts w:hint="eastAsia" w:asciiTheme="minorEastAsia" w:hAnsiTheme="minorEastAsia" w:eastAsiaTheme="minorEastAsia" w:cstheme="minorEastAsia"/>
          <w:b/>
          <w:color w:val="auto"/>
          <w:sz w:val="24"/>
          <w:szCs w:val="24"/>
          <w:highlight w:val="none"/>
          <w:lang w:val="zh-CN"/>
        </w:rPr>
        <w:t>90</w:t>
      </w:r>
      <w:r>
        <w:rPr>
          <w:rFonts w:hint="eastAsia" w:asciiTheme="minorEastAsia" w:hAnsiTheme="minorEastAsia" w:eastAsiaTheme="minorEastAsia" w:cstheme="minorEastAsia"/>
          <w:color w:val="auto"/>
          <w:sz w:val="24"/>
          <w:szCs w:val="24"/>
          <w:highlight w:val="none"/>
          <w:lang w:val="zh-CN"/>
        </w:rPr>
        <w:t>天。投标文件在这个规定期限内应保持有效。</w:t>
      </w:r>
    </w:p>
    <w:p w14:paraId="4E259B98">
      <w:pPr>
        <w:autoSpaceDE w:val="0"/>
        <w:autoSpaceDN w:val="0"/>
        <w:adjustRightInd w:val="0"/>
        <w:spacing w:line="360" w:lineRule="auto"/>
        <w:ind w:firstLine="48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12.2在特殊情况下，招标人可与投标人协商延长投标有效期。这种要求和答复都应以书面形式进行。投标人可以拒绝接受延期要求。同意延长投标有效期的投标人除按照招标人要求修改投标文件的有效期外，不能修改投标文件的其他内容。</w:t>
      </w:r>
    </w:p>
    <w:p w14:paraId="7348D92A">
      <w:pPr>
        <w:autoSpaceDE w:val="0"/>
        <w:autoSpaceDN w:val="0"/>
        <w:adjustRightInd w:val="0"/>
        <w:spacing w:line="360" w:lineRule="auto"/>
        <w:ind w:firstLine="480"/>
        <w:jc w:val="left"/>
        <w:rPr>
          <w:rFonts w:hint="eastAsia" w:ascii="华文细黑" w:hAnsi="华文细黑" w:eastAsia="华文细黑" w:cs="华文细黑"/>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12.3中标人的投标文件有效期等同于合同履行期。</w:t>
      </w:r>
    </w:p>
    <w:p w14:paraId="0AC7021D">
      <w:pPr>
        <w:autoSpaceDE w:val="0"/>
        <w:autoSpaceDN w:val="0"/>
        <w:adjustRightInd w:val="0"/>
        <w:spacing w:line="360" w:lineRule="auto"/>
        <w:ind w:firstLine="482"/>
        <w:jc w:val="left"/>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13. 投标文件的式样和签署</w:t>
      </w:r>
    </w:p>
    <w:p w14:paraId="2E244053">
      <w:pPr>
        <w:autoSpaceDE w:val="0"/>
        <w:autoSpaceDN w:val="0"/>
        <w:adjustRightInd w:val="0"/>
        <w:spacing w:line="360" w:lineRule="auto"/>
        <w:ind w:firstLine="48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13</w:t>
      </w:r>
      <w:r>
        <w:rPr>
          <w:rFonts w:hint="eastAsia" w:asciiTheme="minorEastAsia" w:hAnsiTheme="minorEastAsia" w:eastAsiaTheme="minorEastAsia" w:cstheme="minorEastAsia"/>
          <w:color w:val="auto"/>
          <w:sz w:val="24"/>
          <w:szCs w:val="24"/>
          <w:highlight w:val="none"/>
          <w:lang w:val="zh-CN"/>
        </w:rPr>
        <w:t xml:space="preserve">.1、投标语言：投标文件以及投标人与招标人就有关投标的来往函电均使用中文。 </w:t>
      </w:r>
    </w:p>
    <w:p w14:paraId="2A73B99A">
      <w:pPr>
        <w:autoSpaceDE w:val="0"/>
        <w:autoSpaceDN w:val="0"/>
        <w:adjustRightInd w:val="0"/>
        <w:spacing w:line="360" w:lineRule="auto"/>
        <w:ind w:firstLine="48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13</w:t>
      </w:r>
      <w:r>
        <w:rPr>
          <w:rFonts w:hint="eastAsia" w:asciiTheme="minorEastAsia" w:hAnsiTheme="minorEastAsia" w:eastAsiaTheme="minorEastAsia" w:cstheme="minorEastAsia"/>
          <w:color w:val="auto"/>
          <w:sz w:val="24"/>
          <w:szCs w:val="24"/>
          <w:highlight w:val="none"/>
          <w:lang w:val="zh-CN"/>
        </w:rPr>
        <w:t>.2、计量单位：中华人民共和国法定计量单位。</w:t>
      </w:r>
    </w:p>
    <w:p w14:paraId="182D8104">
      <w:pPr>
        <w:autoSpaceDE w:val="0"/>
        <w:autoSpaceDN w:val="0"/>
        <w:adjustRightInd w:val="0"/>
        <w:spacing w:line="360" w:lineRule="auto"/>
        <w:ind w:firstLine="48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13.3、投标文件规格应采用A4幅面，按照招标文件规定的顺序，统一编目编码。</w:t>
      </w:r>
    </w:p>
    <w:p w14:paraId="64372383">
      <w:pPr>
        <w:tabs>
          <w:tab w:val="left" w:pos="709"/>
        </w:tabs>
        <w:autoSpaceDE w:val="0"/>
        <w:autoSpaceDN w:val="0"/>
        <w:adjustRightInd w:val="0"/>
        <w:spacing w:line="360" w:lineRule="auto"/>
        <w:ind w:firstLine="480"/>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rPr>
        <w:t>13</w:t>
      </w:r>
      <w:r>
        <w:rPr>
          <w:rFonts w:hint="eastAsia" w:asciiTheme="minorEastAsia" w:hAnsiTheme="minorEastAsia" w:eastAsiaTheme="minorEastAsia" w:cstheme="minorEastAsia"/>
          <w:color w:val="auto"/>
          <w:kern w:val="0"/>
          <w:sz w:val="24"/>
          <w:szCs w:val="24"/>
          <w:highlight w:val="none"/>
          <w:lang w:val="zh-CN"/>
        </w:rPr>
        <w:t>.4、投标人在投标文件以及在投标、合同签订、履行过程中所签署的相关文件中所加盖的公章，均须按照招标文件的规定加盖与投标人名称全称相一致的标准公章。</w:t>
      </w:r>
    </w:p>
    <w:p w14:paraId="47D30A70">
      <w:pPr>
        <w:tabs>
          <w:tab w:val="left" w:pos="709"/>
        </w:tabs>
        <w:autoSpaceDE w:val="0"/>
        <w:autoSpaceDN w:val="0"/>
        <w:adjustRightInd w:val="0"/>
        <w:spacing w:line="360" w:lineRule="auto"/>
        <w:ind w:firstLine="480"/>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rPr>
        <w:t>13</w:t>
      </w:r>
      <w:r>
        <w:rPr>
          <w:rFonts w:hint="eastAsia" w:asciiTheme="minorEastAsia" w:hAnsiTheme="minorEastAsia" w:eastAsiaTheme="minorEastAsia" w:cstheme="minorEastAsia"/>
          <w:color w:val="auto"/>
          <w:kern w:val="0"/>
          <w:sz w:val="24"/>
          <w:szCs w:val="24"/>
          <w:highlight w:val="none"/>
          <w:lang w:val="zh-CN"/>
        </w:rPr>
        <w:t>.5、招标人不接受采用传真方式提交的投标文件。</w:t>
      </w:r>
    </w:p>
    <w:p w14:paraId="55C2EAB5">
      <w:pPr>
        <w:autoSpaceDE w:val="0"/>
        <w:autoSpaceDN w:val="0"/>
        <w:adjustRightInd w:val="0"/>
        <w:spacing w:line="360" w:lineRule="auto"/>
        <w:ind w:firstLine="482"/>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14. 投标文件的修改和撤回</w:t>
      </w:r>
    </w:p>
    <w:p w14:paraId="0ADAA877">
      <w:pPr>
        <w:autoSpaceDE w:val="0"/>
        <w:autoSpaceDN w:val="0"/>
        <w:adjustRightInd w:val="0"/>
        <w:spacing w:line="360" w:lineRule="auto"/>
        <w:ind w:firstLine="48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14.1投标人在递交投标文件后，可以修改或撤回其投标文件，但招标人必须在规定的投标截止时间之前收到投标人的修改或撤回的书面通知。</w:t>
      </w:r>
    </w:p>
    <w:p w14:paraId="77F6D486">
      <w:pPr>
        <w:autoSpaceDE w:val="0"/>
        <w:autoSpaceDN w:val="0"/>
        <w:adjustRightInd w:val="0"/>
        <w:spacing w:line="360" w:lineRule="auto"/>
        <w:ind w:firstLine="48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14.2投标人的修改或撤回通知书应按对投标文件的规定一样进行编制、密封、标记和递交，并标明</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zh-CN"/>
        </w:rPr>
        <w:t>修改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zh-CN"/>
        </w:rPr>
        <w:t>或</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zh-CN"/>
        </w:rPr>
        <w:t>撤回</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zh-CN"/>
        </w:rPr>
        <w:t>字样。</w:t>
      </w:r>
    </w:p>
    <w:p w14:paraId="0563A5DE">
      <w:pPr>
        <w:autoSpaceDE w:val="0"/>
        <w:autoSpaceDN w:val="0"/>
        <w:adjustRightInd w:val="0"/>
        <w:spacing w:line="360" w:lineRule="auto"/>
        <w:ind w:firstLine="482"/>
        <w:rPr>
          <w:rFonts w:hint="eastAsia" w:asciiTheme="minorEastAsia" w:hAnsiTheme="minorEastAsia" w:eastAsiaTheme="minorEastAsia" w:cstheme="minorEastAsia"/>
          <w:bCs/>
          <w:color w:val="auto"/>
          <w:sz w:val="24"/>
          <w:szCs w:val="24"/>
          <w:highlight w:val="none"/>
          <w:lang w:val="zh-CN"/>
        </w:rPr>
      </w:pPr>
      <w:r>
        <w:rPr>
          <w:rFonts w:hint="eastAsia" w:asciiTheme="minorEastAsia" w:hAnsiTheme="minorEastAsia" w:eastAsiaTheme="minorEastAsia" w:cstheme="minorEastAsia"/>
          <w:bCs/>
          <w:color w:val="auto"/>
          <w:sz w:val="24"/>
          <w:szCs w:val="24"/>
          <w:highlight w:val="none"/>
          <w:lang w:val="zh-CN"/>
        </w:rPr>
        <w:t>14.3 在投标截止时间（开标时间）之后，投标人不得对其投标书做任何修改（包括开标一览表的内容）。</w:t>
      </w:r>
    </w:p>
    <w:p w14:paraId="15FBFEB8">
      <w:pPr>
        <w:autoSpaceDE w:val="0"/>
        <w:autoSpaceDN w:val="0"/>
        <w:adjustRightInd w:val="0"/>
        <w:spacing w:line="360" w:lineRule="auto"/>
        <w:ind w:firstLine="480"/>
        <w:rPr>
          <w:rFonts w:hint="eastAsia" w:asciiTheme="minorEastAsia" w:hAnsiTheme="minorEastAsia" w:eastAsiaTheme="minorEastAsia" w:cstheme="minorEastAsia"/>
          <w:bCs/>
          <w:color w:val="auto"/>
          <w:sz w:val="24"/>
          <w:szCs w:val="24"/>
          <w:highlight w:val="none"/>
          <w:lang w:val="zh-CN"/>
        </w:rPr>
      </w:pPr>
      <w:r>
        <w:rPr>
          <w:rFonts w:hint="eastAsia" w:asciiTheme="minorEastAsia" w:hAnsiTheme="minorEastAsia" w:eastAsiaTheme="minorEastAsia" w:cstheme="minorEastAsia"/>
          <w:bCs/>
          <w:color w:val="auto"/>
          <w:sz w:val="24"/>
          <w:szCs w:val="24"/>
          <w:highlight w:val="none"/>
          <w:lang w:val="zh-CN"/>
        </w:rPr>
        <w:t>14.4从开标时间起，至投标有效期期满，投标人不得撤回其投标。</w:t>
      </w:r>
    </w:p>
    <w:p w14:paraId="27600B36">
      <w:pPr>
        <w:autoSpaceDE w:val="0"/>
        <w:autoSpaceDN w:val="0"/>
        <w:adjustRightInd w:val="0"/>
        <w:spacing w:line="360" w:lineRule="auto"/>
        <w:ind w:firstLine="482"/>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15. 投标</w:t>
      </w:r>
    </w:p>
    <w:p w14:paraId="4541085B">
      <w:pPr>
        <w:autoSpaceDE w:val="0"/>
        <w:autoSpaceDN w:val="0"/>
        <w:adjustRightInd w:val="0"/>
        <w:spacing w:line="360" w:lineRule="auto"/>
        <w:ind w:firstLine="48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15.1、投标文件应独立制作。</w:t>
      </w:r>
    </w:p>
    <w:p w14:paraId="69CDF443">
      <w:pPr>
        <w:autoSpaceDE w:val="0"/>
        <w:autoSpaceDN w:val="0"/>
        <w:adjustRightInd w:val="0"/>
        <w:spacing w:line="360" w:lineRule="auto"/>
        <w:ind w:firstLine="48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15.2、投标人应在第二章《投标人须知前附表》的规定在投标截止时间前提交或递交投标文件。</w:t>
      </w:r>
    </w:p>
    <w:p w14:paraId="38E9DF90">
      <w:pPr>
        <w:autoSpaceDE w:val="0"/>
        <w:autoSpaceDN w:val="0"/>
        <w:adjustRightInd w:val="0"/>
        <w:spacing w:line="360" w:lineRule="auto"/>
        <w:ind w:firstLine="48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15.3、投标人上传提交投标文件的平台：见第二章《投标人须知前附表》。</w:t>
      </w:r>
    </w:p>
    <w:p w14:paraId="4EAD6320">
      <w:pPr>
        <w:autoSpaceDE w:val="0"/>
        <w:autoSpaceDN w:val="0"/>
        <w:adjustRightInd w:val="0"/>
        <w:spacing w:line="360" w:lineRule="auto"/>
        <w:ind w:firstLine="48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15.4、首次招标投标截止时间结束后投标人不足三家的，将重新招标；重新招标仍出现本款前述情形的，可按本须知第19条规定办理。</w:t>
      </w:r>
    </w:p>
    <w:p w14:paraId="3A186A48">
      <w:pPr>
        <w:autoSpaceDE w:val="0"/>
        <w:autoSpaceDN w:val="0"/>
        <w:adjustRightInd w:val="0"/>
        <w:spacing w:line="360" w:lineRule="auto"/>
        <w:ind w:firstLine="48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15.5、招标采购单位在任何时候发现投标人提交的投标文件内容有下列情形之一时，将给予废标、解除合同及赔偿损失，同时有权依法追究投标人的责任：</w:t>
      </w:r>
    </w:p>
    <w:p w14:paraId="3A95A495">
      <w:pPr>
        <w:autoSpaceDE w:val="0"/>
        <w:autoSpaceDN w:val="0"/>
        <w:adjustRightInd w:val="0"/>
        <w:spacing w:line="360" w:lineRule="auto"/>
        <w:ind w:firstLine="48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15.5.1虚假的资料。</w:t>
      </w:r>
    </w:p>
    <w:p w14:paraId="2B685D23">
      <w:pPr>
        <w:autoSpaceDE w:val="0"/>
        <w:autoSpaceDN w:val="0"/>
        <w:adjustRightInd w:val="0"/>
        <w:spacing w:line="360" w:lineRule="auto"/>
        <w:ind w:firstLine="48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15.5.2在实质性方面失实。</w:t>
      </w:r>
    </w:p>
    <w:p w14:paraId="43D3018F">
      <w:pPr>
        <w:autoSpaceDE w:val="0"/>
        <w:autoSpaceDN w:val="0"/>
        <w:adjustRightInd w:val="0"/>
        <w:spacing w:line="360" w:lineRule="auto"/>
        <w:ind w:firstLine="482"/>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16. 开标</w:t>
      </w:r>
    </w:p>
    <w:p w14:paraId="64DFA91E">
      <w:pPr>
        <w:autoSpaceDE w:val="0"/>
        <w:autoSpaceDN w:val="0"/>
        <w:adjustRightInd w:val="0"/>
        <w:spacing w:line="360" w:lineRule="auto"/>
        <w:ind w:firstLine="48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16.1、招标人将在招标公告规定的时间和地点公开开标。投标人法定代表人或其授权代理人应按照第二章《投标人须知前附表》的规定通过系统完成投标过程。</w:t>
      </w:r>
    </w:p>
    <w:p w14:paraId="371FD7CE">
      <w:pPr>
        <w:autoSpaceDE w:val="0"/>
        <w:autoSpaceDN w:val="0"/>
        <w:adjustRightInd w:val="0"/>
        <w:spacing w:line="360" w:lineRule="auto"/>
        <w:ind w:firstLine="48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16.2开标会由招标代理机构组织并主持。</w:t>
      </w:r>
    </w:p>
    <w:p w14:paraId="4392456E">
      <w:pPr>
        <w:autoSpaceDE w:val="0"/>
        <w:autoSpaceDN w:val="0"/>
        <w:adjustRightInd w:val="0"/>
        <w:spacing w:line="360" w:lineRule="auto"/>
        <w:ind w:firstLine="48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16.3开标时，招标人将按照投标人电子投标文件解密后的开标记录，当众宣读投标人名称、修改和撤回投标的通知、投标价格、交货时间/服务期限等内容。</w:t>
      </w:r>
    </w:p>
    <w:p w14:paraId="0C31FD58">
      <w:pPr>
        <w:autoSpaceDE w:val="0"/>
        <w:autoSpaceDN w:val="0"/>
        <w:adjustRightInd w:val="0"/>
        <w:spacing w:line="360" w:lineRule="auto"/>
        <w:ind w:firstLine="48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16.4开标时未宣读的投标价格等实质性内容，评标时不予承认。</w:t>
      </w:r>
    </w:p>
    <w:p w14:paraId="79F0845A">
      <w:pPr>
        <w:autoSpaceDE w:val="0"/>
        <w:autoSpaceDN w:val="0"/>
        <w:adjustRightInd w:val="0"/>
        <w:spacing w:line="360" w:lineRule="auto"/>
        <w:ind w:firstLine="48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16.5按照投标人须知的规定，提交了可接受的“撤回”通知的投标将将原封退回投标人。</w:t>
      </w:r>
    </w:p>
    <w:p w14:paraId="55BDEFF6">
      <w:pPr>
        <w:autoSpaceDE w:val="0"/>
        <w:autoSpaceDN w:val="0"/>
        <w:adjustRightInd w:val="0"/>
        <w:spacing w:line="360" w:lineRule="auto"/>
        <w:ind w:firstLine="48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16.6招标人将做开标记录，开标记录包括按本须知第16.3款的规定在开标时宣读的全部内容。开标记录将在开标后由投标人代表通过系统确认或监督人确认。</w:t>
      </w:r>
    </w:p>
    <w:p w14:paraId="73F250A7">
      <w:pPr>
        <w:autoSpaceDE w:val="0"/>
        <w:autoSpaceDN w:val="0"/>
        <w:adjustRightInd w:val="0"/>
        <w:spacing w:line="360" w:lineRule="auto"/>
        <w:ind w:firstLine="482"/>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16.7 开标时有下列情形之一的为无效投标：</w:t>
      </w:r>
    </w:p>
    <w:p w14:paraId="10C737E1">
      <w:pPr>
        <w:autoSpaceDE w:val="0"/>
        <w:autoSpaceDN w:val="0"/>
        <w:adjustRightInd w:val="0"/>
        <w:spacing w:line="360" w:lineRule="auto"/>
        <w:ind w:firstLine="48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（1）电子投标文件在规定的投标截止时间以后送达（上传）的；</w:t>
      </w:r>
    </w:p>
    <w:p w14:paraId="2D23E5A6">
      <w:pPr>
        <w:autoSpaceDE w:val="0"/>
        <w:autoSpaceDN w:val="0"/>
        <w:adjustRightInd w:val="0"/>
        <w:spacing w:line="360" w:lineRule="auto"/>
        <w:ind w:firstLine="48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zh-CN"/>
        </w:rPr>
        <w:t>）未按招标文件要求编制、提交电子投标文件；</w:t>
      </w:r>
    </w:p>
    <w:p w14:paraId="7D0FB4CF">
      <w:pPr>
        <w:autoSpaceDE w:val="0"/>
        <w:autoSpaceDN w:val="0"/>
        <w:adjustRightInd w:val="0"/>
        <w:spacing w:line="360" w:lineRule="auto"/>
        <w:ind w:firstLine="48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zh-CN"/>
        </w:rPr>
        <w:t>）投标人所提交的投标文件无效、缺失或者不符合招标文件的规定；</w:t>
      </w:r>
    </w:p>
    <w:p w14:paraId="1A7314EF">
      <w:pPr>
        <w:autoSpaceDE w:val="0"/>
        <w:autoSpaceDN w:val="0"/>
        <w:adjustRightInd w:val="0"/>
        <w:spacing w:line="360" w:lineRule="auto"/>
        <w:ind w:firstLine="48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zh-CN"/>
        </w:rPr>
        <w:t>）投标人未在规定的时间内解密电子投标文件的；</w:t>
      </w:r>
    </w:p>
    <w:p w14:paraId="4328499D">
      <w:pPr>
        <w:autoSpaceDE w:val="0"/>
        <w:autoSpaceDN w:val="0"/>
        <w:adjustRightInd w:val="0"/>
        <w:spacing w:line="360" w:lineRule="auto"/>
        <w:ind w:firstLine="48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zh-CN"/>
        </w:rPr>
        <w:t>）招标文件规定开标时属于无效投标的其他情形。</w:t>
      </w:r>
    </w:p>
    <w:p w14:paraId="63218BC6">
      <w:pPr>
        <w:autoSpaceDE w:val="0"/>
        <w:autoSpaceDN w:val="0"/>
        <w:adjustRightInd w:val="0"/>
        <w:spacing w:line="360" w:lineRule="auto"/>
        <w:ind w:firstLine="482"/>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16.8 开标时有下列情形之一的，招标人有权宣布本项目废标：</w:t>
      </w:r>
    </w:p>
    <w:p w14:paraId="3932747B">
      <w:pPr>
        <w:autoSpaceDE w:val="0"/>
        <w:autoSpaceDN w:val="0"/>
        <w:adjustRightInd w:val="0"/>
        <w:spacing w:line="360" w:lineRule="auto"/>
        <w:ind w:firstLine="48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w:t>
      </w:r>
      <w:r>
        <w:rPr>
          <w:rFonts w:hint="eastAsia" w:asciiTheme="minorEastAsia" w:hAnsiTheme="minorEastAsia" w:eastAsiaTheme="minorEastAsia" w:cstheme="minorEastAsia"/>
          <w:color w:val="auto"/>
          <w:sz w:val="24"/>
          <w:szCs w:val="24"/>
          <w:highlight w:val="none"/>
          <w:lang w:val="en-US" w:eastAsia="zh-CN"/>
        </w:rPr>
        <w:t>截止</w:t>
      </w:r>
      <w:r>
        <w:rPr>
          <w:rFonts w:hint="eastAsia" w:asciiTheme="minorEastAsia" w:hAnsiTheme="minorEastAsia" w:eastAsiaTheme="minorEastAsia" w:cstheme="minorEastAsia"/>
          <w:color w:val="auto"/>
          <w:sz w:val="24"/>
          <w:szCs w:val="24"/>
          <w:highlight w:val="none"/>
          <w:lang w:val="zh-CN"/>
        </w:rPr>
        <w:t>时间符合招标文件要求的投标人不足三家的；</w:t>
      </w:r>
    </w:p>
    <w:p w14:paraId="3CAD2DF3">
      <w:pPr>
        <w:autoSpaceDE w:val="0"/>
        <w:autoSpaceDN w:val="0"/>
        <w:adjustRightInd w:val="0"/>
        <w:spacing w:line="360" w:lineRule="auto"/>
        <w:ind w:firstLine="480"/>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（2）所有投标人的报价均超过采购项目预算，采购人不能支付的。</w:t>
      </w:r>
    </w:p>
    <w:p w14:paraId="56A093D1">
      <w:pPr>
        <w:autoSpaceDE w:val="0"/>
        <w:autoSpaceDN w:val="0"/>
        <w:adjustRightInd w:val="0"/>
        <w:spacing w:line="360" w:lineRule="auto"/>
        <w:ind w:firstLine="482"/>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17. 评标过程的保密性：</w:t>
      </w:r>
      <w:r>
        <w:rPr>
          <w:rFonts w:hint="eastAsia" w:asciiTheme="minorEastAsia" w:hAnsiTheme="minorEastAsia" w:eastAsiaTheme="minorEastAsia" w:cstheme="minorEastAsia"/>
          <w:color w:val="auto"/>
          <w:sz w:val="24"/>
          <w:szCs w:val="24"/>
          <w:highlight w:val="none"/>
          <w:lang w:val="zh-CN"/>
        </w:rPr>
        <w:t>公开开标后，直至向中标的投标人授予合同时止，除按招标文件规定予以公开的评标结果外，凡与审查、澄清、评价和比较投标有关的资料以及授标意见等，均不得向投标人及与评标无关的其他人透露。</w:t>
      </w:r>
    </w:p>
    <w:p w14:paraId="17399516">
      <w:pPr>
        <w:autoSpaceDE w:val="0"/>
        <w:autoSpaceDN w:val="0"/>
        <w:adjustRightInd w:val="0"/>
        <w:spacing w:line="360" w:lineRule="auto"/>
        <w:ind w:firstLine="482" w:firstLineChars="200"/>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18. 评标</w:t>
      </w:r>
    </w:p>
    <w:p w14:paraId="03C6C8F2">
      <w:pPr>
        <w:tabs>
          <w:tab w:val="left" w:pos="0"/>
        </w:tabs>
        <w:adjustRightInd w:val="0"/>
        <w:snapToGrid w:val="0"/>
        <w:spacing w:line="600" w:lineRule="exact"/>
        <w:ind w:firstLine="480" w:firstLineChars="20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18.1 评标工作由招标人负责组织，具体评标工作由招标人依法组建的评标委员会负责。评标委员会由有关的技术、经济方面的专家和采购人代表组成。此项目为远程异地评审项目，</w:t>
      </w:r>
      <w:r>
        <w:rPr>
          <w:rFonts w:hint="eastAsia" w:asciiTheme="minorEastAsia" w:hAnsiTheme="minorEastAsia" w:eastAsiaTheme="minorEastAsia" w:cstheme="minorEastAsia"/>
          <w:color w:val="auto"/>
          <w:sz w:val="24"/>
          <w:szCs w:val="24"/>
          <w:highlight w:val="none"/>
          <w:lang w:val="en-US" w:eastAsia="zh-CN"/>
        </w:rPr>
        <w:t>副场专家人数由采购人确定，评审委员会在吉林省政府采购评审专家库中随机抽取产生</w:t>
      </w:r>
      <w:r>
        <w:rPr>
          <w:rFonts w:hint="eastAsia" w:asciiTheme="minorEastAsia" w:hAnsiTheme="minorEastAsia" w:eastAsiaTheme="minorEastAsia" w:cstheme="minorEastAsia"/>
          <w:color w:val="auto"/>
          <w:sz w:val="24"/>
          <w:szCs w:val="24"/>
          <w:highlight w:val="none"/>
          <w:lang w:val="zh-CN"/>
        </w:rPr>
        <w:t>。需要设立评标委员会主任的，评标委员会主任由专家担任，由评标委员会成员选举产生，负责主持具体评标工作。评标委员会根据有关法律法规和招标文件规定的方法和标准独立评标，负责完成评标的全过程直至评定预中标人。招标代理机构只负责评标组织工作，不参加评标。</w:t>
      </w:r>
    </w:p>
    <w:p w14:paraId="2AEF69E7">
      <w:pPr>
        <w:autoSpaceDE w:val="0"/>
        <w:autoSpaceDN w:val="0"/>
        <w:adjustRightInd w:val="0"/>
        <w:spacing w:line="360" w:lineRule="auto"/>
        <w:ind w:firstLine="482"/>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18.2 审查是否所有投标人的报价均超过采购预算：</w:t>
      </w:r>
      <w:r>
        <w:rPr>
          <w:rFonts w:hint="eastAsia" w:asciiTheme="minorEastAsia" w:hAnsiTheme="minorEastAsia" w:eastAsiaTheme="minorEastAsia" w:cstheme="minorEastAsia"/>
          <w:color w:val="auto"/>
          <w:sz w:val="24"/>
          <w:szCs w:val="24"/>
          <w:highlight w:val="none"/>
          <w:lang w:val="zh-CN"/>
        </w:rPr>
        <w:t>根据《中华人民共和国政府采购法》的规定，所有投标人的报价均超过采购预算，采购人不能支付的，应予废标。</w:t>
      </w:r>
    </w:p>
    <w:p w14:paraId="48C3D011">
      <w:pPr>
        <w:autoSpaceDE w:val="0"/>
        <w:autoSpaceDN w:val="0"/>
        <w:adjustRightInd w:val="0"/>
        <w:spacing w:line="360" w:lineRule="auto"/>
        <w:ind w:firstLine="482"/>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18.3 审查投标人是否存在串通投标行为：</w:t>
      </w:r>
      <w:r>
        <w:rPr>
          <w:rFonts w:hint="eastAsia" w:asciiTheme="minorEastAsia" w:hAnsiTheme="minorEastAsia" w:eastAsiaTheme="minorEastAsia" w:cstheme="minorEastAsia"/>
          <w:color w:val="auto"/>
          <w:sz w:val="24"/>
          <w:szCs w:val="24"/>
          <w:highlight w:val="none"/>
          <w:lang w:val="zh-CN"/>
        </w:rPr>
        <w:t>评标委员会发现投标人有下列情形之一的，将认定属于串通投标行为，相关投标人的投标应作废标处理。评标结束后，招标机构将以书面形式报告政府采购监督管理部门：</w:t>
      </w:r>
    </w:p>
    <w:p w14:paraId="61AF63F9">
      <w:pPr>
        <w:autoSpaceDE w:val="0"/>
        <w:autoSpaceDN w:val="0"/>
        <w:adjustRightInd w:val="0"/>
        <w:spacing w:line="360" w:lineRule="auto"/>
        <w:ind w:firstLine="482"/>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（1）不同投标人的投标文件中错、漏之处相同的；</w:t>
      </w:r>
    </w:p>
    <w:p w14:paraId="60464BAD">
      <w:pPr>
        <w:autoSpaceDE w:val="0"/>
        <w:autoSpaceDN w:val="0"/>
        <w:adjustRightInd w:val="0"/>
        <w:spacing w:line="360" w:lineRule="auto"/>
        <w:ind w:firstLine="482"/>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（2）不同投标人的投标文件相互混装的，或者相互加盖了对方公章的，或者相互出现了对方法定代表人或者授权代理人签名的，或者相互书写了对方名称的；</w:t>
      </w:r>
    </w:p>
    <w:p w14:paraId="4B7C4A66">
      <w:pPr>
        <w:autoSpaceDE w:val="0"/>
        <w:autoSpaceDN w:val="0"/>
        <w:adjustRightInd w:val="0"/>
        <w:spacing w:line="360" w:lineRule="auto"/>
        <w:ind w:firstLine="482"/>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（3）一家投标人的投标文件中加盖了另一家投标人公章的；</w:t>
      </w:r>
    </w:p>
    <w:p w14:paraId="1B9D19AC">
      <w:pPr>
        <w:autoSpaceDE w:val="0"/>
        <w:autoSpaceDN w:val="0"/>
        <w:adjustRightInd w:val="0"/>
        <w:spacing w:line="360" w:lineRule="auto"/>
        <w:ind w:firstLine="482"/>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（4）不同投标人的投标文件中，项目成员出现同一人的；</w:t>
      </w:r>
    </w:p>
    <w:p w14:paraId="52CC81DB">
      <w:pPr>
        <w:autoSpaceDE w:val="0"/>
        <w:autoSpaceDN w:val="0"/>
        <w:adjustRightInd w:val="0"/>
        <w:spacing w:line="360" w:lineRule="auto"/>
        <w:ind w:firstLine="482"/>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（5）不同投标人的投标文件的制作非正常一致的；</w:t>
      </w:r>
    </w:p>
    <w:p w14:paraId="1C8AEFDC">
      <w:pPr>
        <w:autoSpaceDE w:val="0"/>
        <w:autoSpaceDN w:val="0"/>
        <w:adjustRightInd w:val="0"/>
        <w:spacing w:line="360" w:lineRule="auto"/>
        <w:ind w:firstLine="482"/>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（6）不同投标人的投标文件中相关内容的段落、字句、售后服务电话、联系人姓名等非正常一致的；</w:t>
      </w:r>
    </w:p>
    <w:p w14:paraId="371A48F9">
      <w:pPr>
        <w:autoSpaceDE w:val="0"/>
        <w:autoSpaceDN w:val="0"/>
        <w:adjustRightInd w:val="0"/>
        <w:spacing w:line="360" w:lineRule="auto"/>
        <w:ind w:firstLine="482"/>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（7）一家投标人的投标文件中出现了标有另一家投标人名称的文件材料，或者出现了另一家法定代表人或者授予代理人签名的，其投标作废标处理；</w:t>
      </w:r>
    </w:p>
    <w:p w14:paraId="76E43A07">
      <w:pPr>
        <w:autoSpaceDE w:val="0"/>
        <w:autoSpaceDN w:val="0"/>
        <w:adjustRightInd w:val="0"/>
        <w:spacing w:line="360" w:lineRule="auto"/>
        <w:ind w:firstLine="482"/>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（8）不同投标人的投标文件由同一投标人或者同一个人编制的；</w:t>
      </w:r>
    </w:p>
    <w:p w14:paraId="1E0A00D0">
      <w:pPr>
        <w:autoSpaceDE w:val="0"/>
        <w:autoSpaceDN w:val="0"/>
        <w:adjustRightInd w:val="0"/>
        <w:spacing w:line="360" w:lineRule="auto"/>
        <w:ind w:firstLine="482"/>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（9）不同投标人委托同一单位或者个人办理投标事宜的。</w:t>
      </w:r>
    </w:p>
    <w:p w14:paraId="37CC626B">
      <w:pPr>
        <w:autoSpaceDE w:val="0"/>
        <w:autoSpaceDN w:val="0"/>
        <w:adjustRightInd w:val="0"/>
        <w:spacing w:line="360" w:lineRule="auto"/>
        <w:ind w:firstLine="482"/>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（10）不同投标人的投标文件由同一台电脑编制。</w:t>
      </w:r>
    </w:p>
    <w:p w14:paraId="1566B9A6">
      <w:pPr>
        <w:autoSpaceDE w:val="0"/>
        <w:autoSpaceDN w:val="0"/>
        <w:adjustRightInd w:val="0"/>
        <w:spacing w:line="360" w:lineRule="auto"/>
        <w:ind w:firstLine="482"/>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zh-CN"/>
        </w:rPr>
        <w:t>）《关于禁止串通招标投标行为的暂行规定》（国家工商行政管理局令第82号）第三条规定的串通投标行为；</w:t>
      </w:r>
    </w:p>
    <w:p w14:paraId="093A086D">
      <w:pPr>
        <w:autoSpaceDE w:val="0"/>
        <w:autoSpaceDN w:val="0"/>
        <w:adjustRightInd w:val="0"/>
        <w:spacing w:line="360" w:lineRule="auto"/>
        <w:ind w:firstLine="482"/>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zh-CN"/>
        </w:rPr>
        <w:t>）投标人串通投标的其他情形。</w:t>
      </w:r>
    </w:p>
    <w:p w14:paraId="64F2313E">
      <w:pPr>
        <w:autoSpaceDE w:val="0"/>
        <w:autoSpaceDN w:val="0"/>
        <w:adjustRightInd w:val="0"/>
        <w:spacing w:line="360" w:lineRule="auto"/>
        <w:ind w:firstLine="482"/>
        <w:rPr>
          <w:rFonts w:hint="eastAsia" w:asciiTheme="minorEastAsia" w:hAnsiTheme="minorEastAsia" w:eastAsiaTheme="minorEastAsia" w:cstheme="minorEastAsia"/>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18.4 对投标文件商务部分（投标人资格）进行审查：</w:t>
      </w:r>
      <w:r>
        <w:rPr>
          <w:rFonts w:hint="eastAsia" w:asciiTheme="minorEastAsia" w:hAnsiTheme="minorEastAsia" w:eastAsiaTheme="minorEastAsia" w:cstheme="minorEastAsia"/>
          <w:color w:val="auto"/>
          <w:sz w:val="24"/>
          <w:szCs w:val="24"/>
          <w:highlight w:val="none"/>
          <w:lang w:val="zh-CN"/>
        </w:rPr>
        <w:t>评标委员会将审查每个投标人提交的商务文件是否齐全完整，是否合法有效，是否有重大偏离和保留，是否符合招标文件要求。</w:t>
      </w:r>
      <w:r>
        <w:rPr>
          <w:rFonts w:hint="eastAsia" w:asciiTheme="minorEastAsia" w:hAnsiTheme="minorEastAsia" w:eastAsiaTheme="minorEastAsia" w:cstheme="minorEastAsia"/>
          <w:bCs/>
          <w:color w:val="auto"/>
          <w:sz w:val="24"/>
          <w:szCs w:val="24"/>
          <w:highlight w:val="none"/>
          <w:lang w:val="zh-CN"/>
        </w:rPr>
        <w:t>商务（投标人资格）审查不符合招标文件要求的投标文件将被拒绝。</w:t>
      </w:r>
    </w:p>
    <w:p w14:paraId="3A30A3D7">
      <w:pPr>
        <w:autoSpaceDE w:val="0"/>
        <w:autoSpaceDN w:val="0"/>
        <w:adjustRightInd w:val="0"/>
        <w:spacing w:line="360" w:lineRule="auto"/>
        <w:ind w:firstLine="482"/>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18.5 对投标文件技术部分（符合性）进行审查：</w:t>
      </w:r>
    </w:p>
    <w:p w14:paraId="37EB75DA">
      <w:pPr>
        <w:autoSpaceDE w:val="0"/>
        <w:autoSpaceDN w:val="0"/>
        <w:adjustRightInd w:val="0"/>
        <w:spacing w:line="360" w:lineRule="auto"/>
        <w:ind w:firstLine="482"/>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 xml:space="preserve">18.5.1 </w:t>
      </w:r>
      <w:r>
        <w:rPr>
          <w:rFonts w:hint="eastAsia" w:asciiTheme="minorEastAsia" w:hAnsiTheme="minorEastAsia" w:eastAsiaTheme="minorEastAsia" w:cstheme="minorEastAsia"/>
          <w:color w:val="auto"/>
          <w:sz w:val="24"/>
          <w:szCs w:val="24"/>
          <w:highlight w:val="none"/>
          <w:lang w:val="zh-CN"/>
        </w:rPr>
        <w:t>对于商务审查合格的投标人，评标委员会将审查其投标文件技术部分是否对招标文件规定的事项、格式、条款和技术要求等要求都做出了实质性响应。</w:t>
      </w:r>
    </w:p>
    <w:p w14:paraId="3346115B">
      <w:pPr>
        <w:autoSpaceDE w:val="0"/>
        <w:autoSpaceDN w:val="0"/>
        <w:adjustRightInd w:val="0"/>
        <w:spacing w:line="360" w:lineRule="auto"/>
        <w:ind w:firstLine="482"/>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 xml:space="preserve">18.5.2 </w:t>
      </w:r>
      <w:r>
        <w:rPr>
          <w:rFonts w:hint="eastAsia" w:asciiTheme="minorEastAsia" w:hAnsiTheme="minorEastAsia" w:eastAsiaTheme="minorEastAsia" w:cstheme="minorEastAsia"/>
          <w:color w:val="auto"/>
          <w:sz w:val="24"/>
          <w:szCs w:val="24"/>
          <w:highlight w:val="none"/>
          <w:lang w:val="zh-CN"/>
        </w:rPr>
        <w:t>实质性响应的投标是指与招标文件规定的事项、条款、条件和技术规格相符，没有重大偏离和保留。</w:t>
      </w:r>
      <w:r>
        <w:rPr>
          <w:rFonts w:hint="eastAsia" w:asciiTheme="minorEastAsia" w:hAnsiTheme="minorEastAsia" w:eastAsiaTheme="minorEastAsia" w:cstheme="minorEastAsia"/>
          <w:bCs/>
          <w:color w:val="auto"/>
          <w:sz w:val="24"/>
          <w:szCs w:val="24"/>
          <w:highlight w:val="none"/>
          <w:lang w:val="zh-CN"/>
        </w:rPr>
        <w:t>没有实质性响应招标文件要求的投标将被拒绝。</w:t>
      </w:r>
    </w:p>
    <w:p w14:paraId="1AE8F97B">
      <w:pPr>
        <w:autoSpaceDE w:val="0"/>
        <w:autoSpaceDN w:val="0"/>
        <w:adjustRightInd w:val="0"/>
        <w:spacing w:line="360" w:lineRule="auto"/>
        <w:ind w:firstLine="480"/>
        <w:rPr>
          <w:rFonts w:hint="eastAsia" w:asciiTheme="minorEastAsia" w:hAnsiTheme="minorEastAsia" w:eastAsiaTheme="minorEastAsia" w:cstheme="minorEastAsia"/>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 xml:space="preserve">18.6 </w:t>
      </w:r>
      <w:r>
        <w:rPr>
          <w:rFonts w:hint="eastAsia" w:asciiTheme="minorEastAsia" w:hAnsiTheme="minorEastAsia" w:eastAsiaTheme="minorEastAsia" w:cstheme="minorEastAsia"/>
          <w:bCs/>
          <w:color w:val="auto"/>
          <w:sz w:val="24"/>
          <w:szCs w:val="24"/>
          <w:highlight w:val="none"/>
          <w:lang w:val="zh-CN"/>
        </w:rPr>
        <w:t>重大偏离和保留是指实质上影响合同的范围、质量，或者实质上限制了合同中采购人的权利或投标人的义务。投标文件有下列情形之一的属于重大偏离和保留，将作废标处理：</w:t>
      </w:r>
    </w:p>
    <w:p w14:paraId="52605156">
      <w:pPr>
        <w:autoSpaceDE w:val="0"/>
        <w:autoSpaceDN w:val="0"/>
        <w:adjustRightInd w:val="0"/>
        <w:spacing w:line="360" w:lineRule="auto"/>
        <w:ind w:firstLine="48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（1）投标人未按招标文件规定提交所要求提交的全部文件或者提交的文件无效或者不符合招标文件的规定；</w:t>
      </w:r>
    </w:p>
    <w:p w14:paraId="61ACAFCE">
      <w:pPr>
        <w:autoSpaceDE w:val="0"/>
        <w:autoSpaceDN w:val="0"/>
        <w:adjustRightInd w:val="0"/>
        <w:spacing w:line="360" w:lineRule="auto"/>
        <w:ind w:firstLine="48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（2）投标文件未按招标文件的规定</w:t>
      </w:r>
      <w:r>
        <w:rPr>
          <w:rFonts w:hint="eastAsia" w:asciiTheme="minorEastAsia" w:hAnsiTheme="minorEastAsia" w:eastAsiaTheme="minorEastAsia" w:cstheme="minorEastAsia"/>
          <w:bCs/>
          <w:color w:val="auto"/>
          <w:sz w:val="24"/>
          <w:szCs w:val="24"/>
          <w:highlight w:val="none"/>
          <w:lang w:val="zh-CN"/>
        </w:rPr>
        <w:t>有效签署和加盖公章</w:t>
      </w:r>
      <w:r>
        <w:rPr>
          <w:rFonts w:hint="eastAsia" w:asciiTheme="minorEastAsia" w:hAnsiTheme="minorEastAsia" w:eastAsiaTheme="minorEastAsia" w:cstheme="minorEastAsia"/>
          <w:color w:val="auto"/>
          <w:sz w:val="24"/>
          <w:szCs w:val="24"/>
          <w:highlight w:val="none"/>
          <w:lang w:val="zh-CN"/>
        </w:rPr>
        <w:t>；</w:t>
      </w:r>
    </w:p>
    <w:p w14:paraId="7C4B086D">
      <w:pPr>
        <w:tabs>
          <w:tab w:val="left" w:pos="1920"/>
        </w:tabs>
        <w:autoSpaceDE w:val="0"/>
        <w:autoSpaceDN w:val="0"/>
        <w:adjustRightInd w:val="0"/>
        <w:spacing w:line="360" w:lineRule="auto"/>
        <w:ind w:firstLine="48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（3）投标文件载明的项目完成期限超过招标文件规定的期限；</w:t>
      </w:r>
    </w:p>
    <w:p w14:paraId="40522A27">
      <w:pPr>
        <w:tabs>
          <w:tab w:val="left" w:pos="1920"/>
        </w:tabs>
        <w:autoSpaceDE w:val="0"/>
        <w:autoSpaceDN w:val="0"/>
        <w:adjustRightInd w:val="0"/>
        <w:spacing w:line="360" w:lineRule="auto"/>
        <w:ind w:firstLine="48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（4）投标文件明显不符合招标文件规定的技术标准要求；</w:t>
      </w:r>
    </w:p>
    <w:p w14:paraId="5778D3CD">
      <w:pPr>
        <w:tabs>
          <w:tab w:val="left" w:pos="1920"/>
        </w:tabs>
        <w:autoSpaceDE w:val="0"/>
        <w:autoSpaceDN w:val="0"/>
        <w:adjustRightInd w:val="0"/>
        <w:spacing w:line="360" w:lineRule="auto"/>
        <w:ind w:firstLine="48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（5）投标文件载明的服务方式、方法和标准等不符合招标文件要求；</w:t>
      </w:r>
    </w:p>
    <w:p w14:paraId="3AE7A241">
      <w:pPr>
        <w:tabs>
          <w:tab w:val="left" w:pos="1920"/>
        </w:tabs>
        <w:autoSpaceDE w:val="0"/>
        <w:autoSpaceDN w:val="0"/>
        <w:adjustRightInd w:val="0"/>
        <w:spacing w:line="360" w:lineRule="auto"/>
        <w:ind w:firstLine="48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（6）投标文件附有采购人不能接受的条件；</w:t>
      </w:r>
    </w:p>
    <w:p w14:paraId="79E9E289">
      <w:pPr>
        <w:autoSpaceDE w:val="0"/>
        <w:autoSpaceDN w:val="0"/>
        <w:adjustRightInd w:val="0"/>
        <w:spacing w:line="360" w:lineRule="auto"/>
        <w:ind w:firstLine="48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（7）不符合招标文件规定的其他实质性要求。</w:t>
      </w:r>
    </w:p>
    <w:p w14:paraId="6F838764">
      <w:pPr>
        <w:spacing w:line="360" w:lineRule="auto"/>
        <w:ind w:firstLine="482" w:firstLineChars="20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 xml:space="preserve">18.7 </w:t>
      </w:r>
      <w:r>
        <w:rPr>
          <w:rFonts w:hint="eastAsia" w:asciiTheme="minorEastAsia" w:hAnsiTheme="minorEastAsia" w:eastAsiaTheme="minorEastAsia" w:cstheme="minorEastAsia"/>
          <w:color w:val="auto"/>
          <w:sz w:val="24"/>
          <w:szCs w:val="24"/>
          <w:highlight w:val="none"/>
          <w:lang w:val="zh-CN"/>
        </w:rPr>
        <w:t>评标委员会将允许修正投标文件中不构成重大偏离的细微偏离，但这些修正应不会对实质上响应招标文件要求的投标人的竞争地位</w:t>
      </w:r>
      <w:r>
        <w:rPr>
          <w:rFonts w:hint="eastAsia" w:asciiTheme="minorEastAsia" w:hAnsiTheme="minorEastAsia" w:eastAsiaTheme="minorEastAsia" w:cstheme="minorEastAsia"/>
          <w:bCs/>
          <w:color w:val="auto"/>
          <w:sz w:val="24"/>
          <w:szCs w:val="24"/>
          <w:highlight w:val="none"/>
          <w:lang w:val="zh-CN"/>
        </w:rPr>
        <w:t>（相互排序）</w:t>
      </w:r>
      <w:r>
        <w:rPr>
          <w:rFonts w:hint="eastAsia" w:asciiTheme="minorEastAsia" w:hAnsiTheme="minorEastAsia" w:eastAsiaTheme="minorEastAsia" w:cstheme="minorEastAsia"/>
          <w:color w:val="auto"/>
          <w:sz w:val="24"/>
          <w:szCs w:val="24"/>
          <w:highlight w:val="none"/>
          <w:lang w:val="zh-CN"/>
        </w:rPr>
        <w:t>产生不公正的影响。</w:t>
      </w:r>
    </w:p>
    <w:p w14:paraId="1F389F0E">
      <w:pPr>
        <w:autoSpaceDE w:val="0"/>
        <w:autoSpaceDN w:val="0"/>
        <w:adjustRightInd w:val="0"/>
        <w:spacing w:line="360" w:lineRule="auto"/>
        <w:ind w:firstLine="480"/>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18.8 评标委员会对投标文件的判定，只依据投标文件内容本身，不依据任何外来证明。</w:t>
      </w:r>
    </w:p>
    <w:p w14:paraId="79D4AD99">
      <w:pPr>
        <w:autoSpaceDE w:val="0"/>
        <w:autoSpaceDN w:val="0"/>
        <w:adjustRightInd w:val="0"/>
        <w:spacing w:line="360" w:lineRule="auto"/>
        <w:ind w:firstLine="482"/>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18.9 投标报价的审查：</w:t>
      </w:r>
      <w:r>
        <w:rPr>
          <w:rFonts w:hint="eastAsia" w:asciiTheme="minorEastAsia" w:hAnsiTheme="minorEastAsia" w:eastAsiaTheme="minorEastAsia" w:cstheme="minorEastAsia"/>
          <w:color w:val="auto"/>
          <w:sz w:val="24"/>
          <w:szCs w:val="24"/>
          <w:highlight w:val="none"/>
          <w:lang w:val="zh-CN"/>
        </w:rPr>
        <w:t>评标委员会将对商务审查、技术审查合格的投标文件的报价进行审核，看其是否有计算和累加上的错误。修正错误的原则如下：投标报价以《开标一览表》的报价为准，《投标报价明细表》的报价与《开标一览表》的报价不一致的，投标人应按《开标一览表》的报价相应修改《投标报价明细表》的报价，并相应修改分项报价。按上述原则调整后的价格为评标价，经投标人法定代表人或授权代理人签字确认后对投标人具有约束力。如果投标人不按照上述原则修正其投标报价及分项报价，则其投标将被拒绝。</w:t>
      </w:r>
    </w:p>
    <w:p w14:paraId="4254F1E1">
      <w:pPr>
        <w:autoSpaceDE w:val="0"/>
        <w:autoSpaceDN w:val="0"/>
        <w:adjustRightInd w:val="0"/>
        <w:spacing w:line="360" w:lineRule="auto"/>
        <w:ind w:firstLine="482"/>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18.10 澄清：</w:t>
      </w:r>
      <w:r>
        <w:rPr>
          <w:rFonts w:hint="eastAsia" w:asciiTheme="minorEastAsia" w:hAnsiTheme="minorEastAsia" w:eastAsiaTheme="minorEastAsia" w:cstheme="minorEastAsia"/>
          <w:color w:val="auto"/>
          <w:sz w:val="24"/>
          <w:szCs w:val="24"/>
          <w:highlight w:val="none"/>
          <w:lang w:val="zh-CN"/>
        </w:rPr>
        <w:t>评标委员会对于投标文件实质性响应了招标文件要求，但在个别地方提供了不完整的技术信息和数据，以及同类问题表述不一致或者有明显文字和计算错误等细微偏离问题，将以书面形式</w:t>
      </w:r>
      <w:r>
        <w:rPr>
          <w:rFonts w:hint="eastAsia" w:asciiTheme="minorEastAsia" w:hAnsiTheme="minorEastAsia" w:eastAsiaTheme="minorEastAsia" w:cstheme="minorEastAsia"/>
          <w:bCs/>
          <w:color w:val="auto"/>
          <w:sz w:val="24"/>
          <w:szCs w:val="24"/>
          <w:highlight w:val="none"/>
          <w:lang w:val="zh-CN"/>
        </w:rPr>
        <w:t>（澄清细微偏离由评标委员会依据招标文件集体决定并由评标委员会专家签字）</w:t>
      </w:r>
      <w:r>
        <w:rPr>
          <w:rFonts w:hint="eastAsia" w:asciiTheme="minorEastAsia" w:hAnsiTheme="minorEastAsia" w:eastAsiaTheme="minorEastAsia" w:cstheme="minorEastAsia"/>
          <w:color w:val="auto"/>
          <w:sz w:val="24"/>
          <w:szCs w:val="24"/>
          <w:highlight w:val="none"/>
          <w:lang w:val="zh-CN"/>
        </w:rPr>
        <w:t>要求投标人在规定的时限内（在评标结束前）作出必要的澄清、说明或者补正。投标人的澄清、说明或者补正应当采用书面形式，</w:t>
      </w:r>
      <w:r>
        <w:rPr>
          <w:rFonts w:hint="eastAsia" w:asciiTheme="minorEastAsia" w:hAnsiTheme="minorEastAsia" w:eastAsiaTheme="minorEastAsia" w:cstheme="minorEastAsia"/>
          <w:bCs/>
          <w:color w:val="auto"/>
          <w:sz w:val="24"/>
          <w:szCs w:val="24"/>
          <w:highlight w:val="none"/>
          <w:lang w:val="zh-CN"/>
        </w:rPr>
        <w:t>由投标人法定代表人或其授权代理人签字（须提交签字人身份证件并与投标文件签字人一致），</w:t>
      </w:r>
      <w:r>
        <w:rPr>
          <w:rFonts w:hint="eastAsia" w:asciiTheme="minorEastAsia" w:hAnsiTheme="minorEastAsia" w:eastAsiaTheme="minorEastAsia" w:cstheme="minorEastAsia"/>
          <w:color w:val="auto"/>
          <w:sz w:val="24"/>
          <w:szCs w:val="24"/>
          <w:highlight w:val="none"/>
          <w:lang w:val="zh-CN"/>
        </w:rPr>
        <w:t>并不得超出投标文件的范围或者改变投标文件的实质性内容。投标人拒不进行澄清、说明、补正的，或者不能在规定时间内作出书面澄清、说明、补正的，评标委员会将拒绝其投标。</w:t>
      </w:r>
    </w:p>
    <w:p w14:paraId="02163884">
      <w:pPr>
        <w:spacing w:line="360" w:lineRule="auto"/>
        <w:rPr>
          <w:rFonts w:hint="eastAsia" w:asciiTheme="minorEastAsia" w:hAnsiTheme="minorEastAsia" w:eastAsiaTheme="minorEastAsia" w:cstheme="minorEastAsia"/>
          <w:bCs/>
          <w:color w:val="auto"/>
          <w:sz w:val="24"/>
          <w:szCs w:val="24"/>
          <w:highlight w:val="none"/>
          <w:lang w:val="zh-CN"/>
        </w:rPr>
      </w:pPr>
      <w:r>
        <w:rPr>
          <w:rFonts w:hint="eastAsia" w:ascii="华文细黑" w:hAnsi="华文细黑" w:eastAsia="华文细黑" w:cs="华文细黑"/>
          <w:b/>
          <w:bCs/>
          <w:color w:val="auto"/>
          <w:sz w:val="24"/>
          <w:szCs w:val="24"/>
          <w:highlight w:val="none"/>
        </w:rPr>
        <w:t xml:space="preserve">  </w:t>
      </w:r>
      <w:r>
        <w:rPr>
          <w:rFonts w:hint="eastAsia" w:ascii="华文细黑" w:hAnsi="华文细黑" w:eastAsia="华文细黑" w:cs="华文细黑"/>
          <w:bCs/>
          <w:color w:val="auto"/>
          <w:sz w:val="24"/>
          <w:szCs w:val="24"/>
          <w:highlight w:val="none"/>
        </w:rPr>
        <w:t xml:space="preserve">  </w:t>
      </w:r>
      <w:r>
        <w:rPr>
          <w:rFonts w:hint="eastAsia" w:asciiTheme="minorEastAsia" w:hAnsiTheme="minorEastAsia" w:eastAsiaTheme="minorEastAsia" w:cstheme="minorEastAsia"/>
          <w:bCs/>
          <w:color w:val="auto"/>
          <w:sz w:val="24"/>
          <w:szCs w:val="24"/>
          <w:highlight w:val="none"/>
        </w:rPr>
        <w:t>接受细微偏离有利于采购成功，不应因细微偏离而废标。</w:t>
      </w:r>
    </w:p>
    <w:p w14:paraId="311144A5">
      <w:pPr>
        <w:autoSpaceDE w:val="0"/>
        <w:autoSpaceDN w:val="0"/>
        <w:adjustRightInd w:val="0"/>
        <w:spacing w:line="360" w:lineRule="auto"/>
        <w:ind w:firstLine="482"/>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zh-CN"/>
        </w:rPr>
        <w:t>19.</w:t>
      </w:r>
      <w:r>
        <w:rPr>
          <w:rFonts w:hint="eastAsia" w:asciiTheme="minorEastAsia" w:hAnsiTheme="minorEastAsia" w:eastAsiaTheme="minorEastAsia" w:cstheme="minorEastAsia"/>
          <w:bCs/>
          <w:color w:val="auto"/>
          <w:sz w:val="24"/>
          <w:szCs w:val="24"/>
          <w:highlight w:val="none"/>
          <w:lang w:val="zh-CN"/>
        </w:rPr>
        <w:t xml:space="preserve"> 招标因评标过程中出现符合专业条件的投标人或者对招标文件作实质性响应的投标人不足三家情形时依据《政府采购货物和服务招标投标管理办法》第43条规定：投标截止时间结束后参加投标的供应商不足3家的，除采购任务取消情形外，招标采购单位应当报告设区的市、自治州以上人民政府财政部门，由财政部门按照相关法律法规处理。</w:t>
      </w:r>
    </w:p>
    <w:p w14:paraId="6C380AD3">
      <w:pPr>
        <w:autoSpaceDE w:val="0"/>
        <w:autoSpaceDN w:val="0"/>
        <w:adjustRightInd w:val="0"/>
        <w:spacing w:line="360" w:lineRule="auto"/>
        <w:ind w:firstLine="482"/>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20. 评标方法和标准</w:t>
      </w:r>
    </w:p>
    <w:p w14:paraId="3BF1929B">
      <w:pPr>
        <w:autoSpaceDE w:val="0"/>
        <w:autoSpaceDN w:val="0"/>
        <w:adjustRightInd w:val="0"/>
        <w:spacing w:line="360" w:lineRule="auto"/>
        <w:ind w:firstLine="482"/>
        <w:rPr>
          <w:rFonts w:hint="eastAsia" w:asciiTheme="minorEastAsia" w:hAnsiTheme="minorEastAsia" w:eastAsiaTheme="minorEastAsia" w:cstheme="minorEastAsia"/>
          <w:bCs/>
          <w:color w:val="auto"/>
          <w:sz w:val="24"/>
          <w:szCs w:val="24"/>
          <w:highlight w:val="none"/>
          <w:lang w:val="zh-CN"/>
        </w:rPr>
      </w:pPr>
      <w:r>
        <w:rPr>
          <w:rFonts w:hint="eastAsia" w:asciiTheme="minorEastAsia" w:hAnsiTheme="minorEastAsia" w:eastAsiaTheme="minorEastAsia" w:cstheme="minorEastAsia"/>
          <w:bCs/>
          <w:color w:val="auto"/>
          <w:sz w:val="24"/>
          <w:szCs w:val="24"/>
          <w:highlight w:val="none"/>
          <w:lang w:val="zh-CN"/>
        </w:rPr>
        <w:t>20.1 评标委员会将只对商务（投标人资格）审查和技术（符合性）审查均符合招标文件要求的投标进行详细评审。</w:t>
      </w:r>
    </w:p>
    <w:p w14:paraId="35FB1E3B">
      <w:pPr>
        <w:autoSpaceDE w:val="0"/>
        <w:autoSpaceDN w:val="0"/>
        <w:adjustRightInd w:val="0"/>
        <w:spacing w:line="360" w:lineRule="auto"/>
        <w:ind w:firstLine="482"/>
        <w:rPr>
          <w:rFonts w:hint="eastAsia" w:asciiTheme="minorEastAsia" w:hAnsiTheme="minorEastAsia" w:eastAsiaTheme="minorEastAsia" w:cstheme="minorEastAsia"/>
          <w:bCs/>
          <w:color w:val="auto"/>
          <w:sz w:val="24"/>
          <w:szCs w:val="24"/>
          <w:highlight w:val="none"/>
          <w:lang w:val="zh-CN"/>
        </w:rPr>
      </w:pPr>
      <w:r>
        <w:rPr>
          <w:rFonts w:hint="eastAsia" w:asciiTheme="minorEastAsia" w:hAnsiTheme="minorEastAsia" w:eastAsiaTheme="minorEastAsia" w:cstheme="minorEastAsia"/>
          <w:bCs/>
          <w:color w:val="auto"/>
          <w:sz w:val="24"/>
          <w:szCs w:val="24"/>
          <w:highlight w:val="none"/>
          <w:lang w:val="zh-CN"/>
        </w:rPr>
        <w:t>20.2 本项目采用综合评分法评标，评标委员会将按下述标准评定预中标人: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DAFB5E1">
      <w:pPr>
        <w:autoSpaceDE w:val="0"/>
        <w:autoSpaceDN w:val="0"/>
        <w:adjustRightInd w:val="0"/>
        <w:spacing w:line="360" w:lineRule="auto"/>
        <w:ind w:firstLine="482"/>
        <w:rPr>
          <w:rFonts w:hint="eastAsia" w:asciiTheme="minorEastAsia" w:hAnsiTheme="minorEastAsia" w:eastAsiaTheme="minorEastAsia" w:cstheme="minorEastAsia"/>
          <w:bCs/>
          <w:color w:val="auto"/>
          <w:sz w:val="24"/>
          <w:szCs w:val="24"/>
          <w:highlight w:val="none"/>
          <w:lang w:val="zh-CN"/>
        </w:rPr>
      </w:pPr>
      <w:r>
        <w:rPr>
          <w:rFonts w:hint="eastAsia" w:asciiTheme="minorEastAsia" w:hAnsiTheme="minorEastAsia" w:eastAsiaTheme="minorEastAsia" w:cstheme="minorEastAsia"/>
          <w:bCs/>
          <w:color w:val="auto"/>
          <w:sz w:val="24"/>
          <w:szCs w:val="24"/>
          <w:highlight w:val="none"/>
          <w:lang w:val="zh-CN"/>
        </w:rPr>
        <w:sym w:font="Wingdings" w:char="00A8"/>
      </w:r>
      <w:r>
        <w:rPr>
          <w:rFonts w:hint="eastAsia" w:asciiTheme="minorEastAsia" w:hAnsiTheme="minorEastAsia" w:eastAsiaTheme="minorEastAsia" w:cstheme="minorEastAsia"/>
          <w:bCs/>
          <w:color w:val="auto"/>
          <w:sz w:val="24"/>
          <w:szCs w:val="24"/>
          <w:highlight w:val="none"/>
          <w:lang w:val="zh-CN"/>
        </w:rPr>
        <w:t>随机抽取</w:t>
      </w:r>
    </w:p>
    <w:p w14:paraId="5E2A980B">
      <w:pPr>
        <w:autoSpaceDE w:val="0"/>
        <w:autoSpaceDN w:val="0"/>
        <w:adjustRightInd w:val="0"/>
        <w:spacing w:line="360" w:lineRule="auto"/>
        <w:ind w:firstLine="482"/>
        <w:rPr>
          <w:rFonts w:hint="eastAsia" w:asciiTheme="minorEastAsia" w:hAnsiTheme="minorEastAsia" w:eastAsiaTheme="minorEastAsia" w:cstheme="minorEastAsia"/>
          <w:bCs/>
          <w:color w:val="auto"/>
          <w:sz w:val="24"/>
          <w:szCs w:val="24"/>
          <w:highlight w:val="none"/>
          <w:lang w:val="zh-CN"/>
        </w:rPr>
      </w:pPr>
      <w:r>
        <w:rPr>
          <w:rFonts w:hint="eastAsia" w:asciiTheme="minorEastAsia" w:hAnsiTheme="minorEastAsia" w:eastAsiaTheme="minorEastAsia" w:cstheme="minorEastAsia"/>
          <w:bCs/>
          <w:color w:val="auto"/>
          <w:sz w:val="24"/>
          <w:szCs w:val="24"/>
          <w:highlight w:val="none"/>
          <w:lang w:val="zh-CN"/>
        </w:rPr>
        <w:sym w:font="Wingdings" w:char="00FE"/>
      </w:r>
      <w:r>
        <w:rPr>
          <w:rFonts w:hint="eastAsia" w:asciiTheme="minorEastAsia" w:hAnsiTheme="minorEastAsia" w:eastAsiaTheme="minorEastAsia" w:cstheme="minorEastAsia"/>
          <w:bCs/>
          <w:color w:val="auto"/>
          <w:sz w:val="24"/>
          <w:szCs w:val="24"/>
          <w:highlight w:val="none"/>
          <w:lang w:val="zh-CN"/>
        </w:rPr>
        <w:t>其他方式，具体要求:按评审后投标人得分由高到低的顺序排列:得分相同的，按投标报价由低到高顺序排列;得分且投标报价相同的，按技术指标优劣顺序排列。</w:t>
      </w:r>
    </w:p>
    <w:p w14:paraId="109E5227">
      <w:pPr>
        <w:autoSpaceDE w:val="0"/>
        <w:autoSpaceDN w:val="0"/>
        <w:adjustRightInd w:val="0"/>
        <w:spacing w:line="360" w:lineRule="auto"/>
        <w:ind w:firstLine="482"/>
        <w:rPr>
          <w:rFonts w:hint="eastAsia" w:asciiTheme="minorEastAsia" w:hAnsiTheme="minorEastAsia" w:eastAsiaTheme="minorEastAsia" w:cstheme="minorEastAsia"/>
          <w:bCs/>
          <w:color w:val="auto"/>
          <w:sz w:val="24"/>
          <w:szCs w:val="24"/>
          <w:highlight w:val="none"/>
          <w:lang w:val="zh-CN"/>
        </w:rPr>
      </w:pPr>
      <w:r>
        <w:rPr>
          <w:rFonts w:hint="eastAsia" w:asciiTheme="minorEastAsia" w:hAnsiTheme="minorEastAsia" w:eastAsiaTheme="minorEastAsia" w:cstheme="minorEastAsia"/>
          <w:bCs/>
          <w:color w:val="auto"/>
          <w:sz w:val="24"/>
          <w:szCs w:val="24"/>
          <w:highlight w:val="none"/>
          <w:lang w:val="zh-CN"/>
        </w:rPr>
        <w:t>20.3中标公告将在相关媒体上公示1个工作日。</w:t>
      </w:r>
    </w:p>
    <w:p w14:paraId="02E04373">
      <w:pPr>
        <w:autoSpaceDE w:val="0"/>
        <w:autoSpaceDN w:val="0"/>
        <w:adjustRightInd w:val="0"/>
        <w:spacing w:line="360" w:lineRule="auto"/>
        <w:ind w:firstLine="482"/>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21. 签订合同</w:t>
      </w:r>
    </w:p>
    <w:p w14:paraId="75900DCF">
      <w:pPr>
        <w:autoSpaceDE w:val="0"/>
        <w:autoSpaceDN w:val="0"/>
        <w:adjustRightInd w:val="0"/>
        <w:spacing w:line="360" w:lineRule="auto"/>
        <w:ind w:firstLine="482"/>
        <w:rPr>
          <w:rFonts w:hint="eastAsia" w:asciiTheme="minorEastAsia" w:hAnsiTheme="minorEastAsia" w:eastAsiaTheme="minorEastAsia" w:cstheme="minorEastAsia"/>
          <w:bCs/>
          <w:color w:val="auto"/>
          <w:sz w:val="24"/>
          <w:szCs w:val="24"/>
          <w:highlight w:val="none"/>
          <w:lang w:val="zh-CN"/>
        </w:rPr>
      </w:pPr>
      <w:r>
        <w:rPr>
          <w:rFonts w:hint="eastAsia" w:asciiTheme="minorEastAsia" w:hAnsiTheme="minorEastAsia" w:eastAsiaTheme="minorEastAsia" w:cstheme="minorEastAsia"/>
          <w:bCs/>
          <w:color w:val="auto"/>
          <w:sz w:val="24"/>
          <w:szCs w:val="24"/>
          <w:highlight w:val="none"/>
          <w:lang w:val="zh-CN"/>
        </w:rPr>
        <w:t>21.1招标人将在投标有效期期满之前向中标人发出《中标通知书》。中标通知书是合同的组成部分，对采购人和中标人均具有法律约束力。</w:t>
      </w:r>
    </w:p>
    <w:p w14:paraId="647D6A81">
      <w:pPr>
        <w:autoSpaceDE w:val="0"/>
        <w:autoSpaceDN w:val="0"/>
        <w:adjustRightInd w:val="0"/>
        <w:spacing w:line="360" w:lineRule="auto"/>
        <w:ind w:firstLine="482"/>
        <w:rPr>
          <w:rFonts w:hint="eastAsia" w:asciiTheme="minorEastAsia" w:hAnsiTheme="minorEastAsia" w:eastAsiaTheme="minorEastAsia" w:cstheme="minorEastAsia"/>
          <w:bCs/>
          <w:color w:val="auto"/>
          <w:sz w:val="24"/>
          <w:szCs w:val="24"/>
          <w:highlight w:val="none"/>
          <w:lang w:val="zh-CN"/>
        </w:rPr>
      </w:pPr>
      <w:r>
        <w:rPr>
          <w:rFonts w:hint="eastAsia" w:asciiTheme="minorEastAsia" w:hAnsiTheme="minorEastAsia" w:eastAsiaTheme="minorEastAsia" w:cstheme="minorEastAsia"/>
          <w:bCs/>
          <w:color w:val="auto"/>
          <w:sz w:val="24"/>
          <w:szCs w:val="24"/>
          <w:highlight w:val="none"/>
          <w:lang w:val="zh-CN"/>
        </w:rPr>
        <w:t>21.2中标通知书发出后，采购人改变中标结果的，或者中标人放弃中标项目的，应当依法承担法律责任。</w:t>
      </w:r>
    </w:p>
    <w:p w14:paraId="2E4AF2BA">
      <w:pPr>
        <w:autoSpaceDE w:val="0"/>
        <w:autoSpaceDN w:val="0"/>
        <w:adjustRightInd w:val="0"/>
        <w:spacing w:line="360" w:lineRule="auto"/>
        <w:ind w:firstLine="482"/>
        <w:rPr>
          <w:rFonts w:hint="eastAsia" w:asciiTheme="minorEastAsia" w:hAnsiTheme="minorEastAsia" w:eastAsiaTheme="minorEastAsia" w:cstheme="minorEastAsia"/>
          <w:bCs/>
          <w:color w:val="auto"/>
          <w:sz w:val="24"/>
          <w:szCs w:val="24"/>
          <w:highlight w:val="none"/>
          <w:lang w:val="zh-CN"/>
        </w:rPr>
      </w:pPr>
      <w:r>
        <w:rPr>
          <w:rFonts w:hint="eastAsia" w:asciiTheme="minorEastAsia" w:hAnsiTheme="minorEastAsia" w:eastAsiaTheme="minorEastAsia" w:cstheme="minorEastAsia"/>
          <w:bCs/>
          <w:color w:val="auto"/>
          <w:sz w:val="24"/>
          <w:szCs w:val="24"/>
          <w:highlight w:val="none"/>
          <w:lang w:val="zh-CN"/>
        </w:rPr>
        <w:t>21.3中标人应按中标通知书规定的时间与采购人和招标人签订合同。如果中标人不在规定的时间内签署合同，视为自动放弃中标资格，列入不良行为记录名单，在一至三年内禁止参加政府采购活动并予以公告。投标人在被评标委员会评定为预中标人（中标人）之后、中标通知书发出之前放弃中标的，按本条规定处理。</w:t>
      </w:r>
    </w:p>
    <w:p w14:paraId="1031992B">
      <w:pPr>
        <w:autoSpaceDE w:val="0"/>
        <w:autoSpaceDN w:val="0"/>
        <w:adjustRightInd w:val="0"/>
        <w:spacing w:line="360" w:lineRule="auto"/>
        <w:ind w:firstLine="482"/>
        <w:rPr>
          <w:rFonts w:hint="eastAsia" w:asciiTheme="minorEastAsia" w:hAnsiTheme="minorEastAsia" w:eastAsiaTheme="minorEastAsia" w:cstheme="minorEastAsia"/>
          <w:bCs/>
          <w:color w:val="auto"/>
          <w:sz w:val="24"/>
          <w:szCs w:val="24"/>
          <w:highlight w:val="none"/>
          <w:lang w:val="zh-CN"/>
        </w:rPr>
      </w:pPr>
      <w:r>
        <w:rPr>
          <w:rFonts w:hint="eastAsia" w:asciiTheme="minorEastAsia" w:hAnsiTheme="minorEastAsia" w:eastAsiaTheme="minorEastAsia" w:cstheme="minorEastAsia"/>
          <w:bCs/>
          <w:color w:val="auto"/>
          <w:sz w:val="24"/>
          <w:szCs w:val="24"/>
          <w:highlight w:val="none"/>
          <w:lang w:val="zh-CN"/>
        </w:rPr>
        <w:t>21.4中标结果将在发布招标公告的媒体上公告，不再以书面方式通知未中标人。</w:t>
      </w:r>
    </w:p>
    <w:p w14:paraId="2140BC8B">
      <w:pPr>
        <w:autoSpaceDE w:val="0"/>
        <w:autoSpaceDN w:val="0"/>
        <w:adjustRightInd w:val="0"/>
        <w:spacing w:line="360" w:lineRule="auto"/>
        <w:ind w:firstLine="482"/>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en-US" w:eastAsia="zh-CN"/>
        </w:rPr>
        <w:t>22.</w:t>
      </w:r>
      <w:r>
        <w:rPr>
          <w:rFonts w:hint="eastAsia" w:asciiTheme="minorEastAsia" w:hAnsiTheme="minorEastAsia" w:eastAsiaTheme="minorEastAsia" w:cstheme="minorEastAsia"/>
          <w:b/>
          <w:bCs/>
          <w:color w:val="auto"/>
          <w:sz w:val="24"/>
          <w:szCs w:val="24"/>
          <w:highlight w:val="none"/>
          <w:lang w:val="zh-CN"/>
        </w:rPr>
        <w:t>保密和披露</w:t>
      </w:r>
    </w:p>
    <w:p w14:paraId="161F1A87">
      <w:pPr>
        <w:autoSpaceDE w:val="0"/>
        <w:autoSpaceDN w:val="0"/>
        <w:adjustRightInd w:val="0"/>
        <w:spacing w:line="360" w:lineRule="auto"/>
        <w:ind w:firstLine="482"/>
        <w:rPr>
          <w:rFonts w:hint="eastAsia" w:asciiTheme="minorEastAsia" w:hAnsiTheme="minorEastAsia" w:eastAsiaTheme="minorEastAsia" w:cstheme="minorEastAsia"/>
          <w:bCs/>
          <w:color w:val="auto"/>
          <w:sz w:val="24"/>
          <w:szCs w:val="24"/>
          <w:highlight w:val="none"/>
          <w:lang w:val="zh-CN"/>
        </w:rPr>
      </w:pPr>
      <w:r>
        <w:rPr>
          <w:rFonts w:hint="eastAsia" w:asciiTheme="minorEastAsia" w:hAnsiTheme="minorEastAsia" w:eastAsiaTheme="minorEastAsia" w:cstheme="minorEastAsia"/>
          <w:bCs/>
          <w:color w:val="auto"/>
          <w:sz w:val="24"/>
          <w:szCs w:val="24"/>
          <w:highlight w:val="none"/>
          <w:lang w:val="zh-CN"/>
        </w:rPr>
        <w:t>2</w:t>
      </w:r>
      <w:r>
        <w:rPr>
          <w:rFonts w:hint="eastAsia" w:asciiTheme="minorEastAsia" w:hAnsiTheme="minorEastAsia" w:eastAsiaTheme="minorEastAsia" w:cstheme="minorEastAsia"/>
          <w:bCs/>
          <w:color w:val="auto"/>
          <w:sz w:val="24"/>
          <w:szCs w:val="24"/>
          <w:highlight w:val="none"/>
          <w:lang w:val="en-US" w:eastAsia="zh-CN"/>
        </w:rPr>
        <w:t>2</w:t>
      </w:r>
      <w:r>
        <w:rPr>
          <w:rFonts w:hint="eastAsia" w:asciiTheme="minorEastAsia" w:hAnsiTheme="minorEastAsia" w:eastAsiaTheme="minorEastAsia" w:cstheme="minorEastAsia"/>
          <w:bCs/>
          <w:color w:val="auto"/>
          <w:sz w:val="24"/>
          <w:szCs w:val="24"/>
          <w:highlight w:val="none"/>
          <w:lang w:val="zh-CN"/>
        </w:rPr>
        <w:t>.1招标人有权将投标人提供的所有资料向其他政府部门或有关的非政府机构负责评审标书的人员或与评标有关的人员披露。</w:t>
      </w:r>
    </w:p>
    <w:p w14:paraId="46A1CF0C">
      <w:pPr>
        <w:autoSpaceDE w:val="0"/>
        <w:autoSpaceDN w:val="0"/>
        <w:adjustRightInd w:val="0"/>
        <w:spacing w:line="360" w:lineRule="auto"/>
        <w:ind w:firstLine="482"/>
        <w:rPr>
          <w:rFonts w:hint="eastAsia" w:asciiTheme="minorEastAsia" w:hAnsiTheme="minorEastAsia" w:eastAsiaTheme="minorEastAsia" w:cstheme="minorEastAsia"/>
          <w:bCs/>
          <w:color w:val="auto"/>
          <w:sz w:val="24"/>
          <w:szCs w:val="24"/>
          <w:highlight w:val="none"/>
          <w:lang w:val="zh-CN"/>
        </w:rPr>
      </w:pPr>
      <w:r>
        <w:rPr>
          <w:rFonts w:hint="eastAsia" w:asciiTheme="minorEastAsia" w:hAnsiTheme="minorEastAsia" w:eastAsiaTheme="minorEastAsia" w:cstheme="minorEastAsia"/>
          <w:bCs/>
          <w:color w:val="auto"/>
          <w:sz w:val="24"/>
          <w:szCs w:val="24"/>
          <w:highlight w:val="none"/>
          <w:lang w:val="zh-CN"/>
        </w:rPr>
        <w:t>2</w:t>
      </w:r>
      <w:r>
        <w:rPr>
          <w:rFonts w:hint="eastAsia" w:asciiTheme="minorEastAsia" w:hAnsiTheme="minorEastAsia" w:eastAsiaTheme="minorEastAsia" w:cstheme="minorEastAsia"/>
          <w:bCs/>
          <w:color w:val="auto"/>
          <w:sz w:val="24"/>
          <w:szCs w:val="24"/>
          <w:highlight w:val="none"/>
          <w:lang w:val="en-US" w:eastAsia="zh-CN"/>
        </w:rPr>
        <w:t>2</w:t>
      </w:r>
      <w:r>
        <w:rPr>
          <w:rFonts w:hint="eastAsia" w:asciiTheme="minorEastAsia" w:hAnsiTheme="minorEastAsia" w:eastAsiaTheme="minorEastAsia" w:cstheme="minorEastAsia"/>
          <w:bCs/>
          <w:color w:val="auto"/>
          <w:sz w:val="24"/>
          <w:szCs w:val="24"/>
          <w:highlight w:val="none"/>
          <w:lang w:val="zh-CN"/>
        </w:rPr>
        <w:t>.2在下列情形下：当发布中标公告和其它公告时，当国家机关调查、审查、审计时，以及在其他符合法律规定的情形下，招标人无须事先征求投标人/中标人同意而可以披露关于采购过程、投标文件、合同文本、合同签署情况的资料、投标人/中标人的名称及地址、采购内容的有关信息以及补充条款等，并且对任何已经公布过的内容或与之内容相同的资料无须再承担保密责任。</w:t>
      </w:r>
    </w:p>
    <w:p w14:paraId="0069F36E">
      <w:pPr>
        <w:autoSpaceDE w:val="0"/>
        <w:autoSpaceDN w:val="0"/>
        <w:adjustRightInd w:val="0"/>
        <w:spacing w:line="360" w:lineRule="auto"/>
        <w:ind w:firstLine="482"/>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23.落实政府采购政策:</w:t>
      </w:r>
    </w:p>
    <w:p w14:paraId="71BFD0C7">
      <w:pPr>
        <w:pStyle w:val="65"/>
        <w:numPr>
          <w:ilvl w:val="0"/>
          <w:numId w:val="0"/>
        </w:numPr>
        <w:ind w:firstLine="480" w:firstLineChars="200"/>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23.1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2DC7C9DF">
      <w:pPr>
        <w:pStyle w:val="65"/>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(1)中小企业指符合下列条件的中型、小型、微型企业:</w:t>
      </w:r>
    </w:p>
    <w:p w14:paraId="34C4F3D6">
      <w:pPr>
        <w:pStyle w:val="65"/>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4B1E817E">
      <w:pPr>
        <w:pStyle w:val="65"/>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②符合中小企业划分标准的个体工商户，在政府采购活动中视同中小企业。</w:t>
      </w:r>
    </w:p>
    <w:p w14:paraId="702ED31E">
      <w:pPr>
        <w:pStyle w:val="65"/>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(2)在政府采购活动中，供应商提供的货物、工程或者服务符合下列情形的，享受本办法规定的中小企业扶持政策:</w:t>
      </w:r>
    </w:p>
    <w:p w14:paraId="61ACF22F">
      <w:pPr>
        <w:pStyle w:val="65"/>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①在货物采购项目中，货物由中小企业制造，即货物由中小企业生产且使用该中小企业商号或者注册商标;</w:t>
      </w:r>
    </w:p>
    <w:p w14:paraId="56A6D995">
      <w:pPr>
        <w:pStyle w:val="65"/>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②在工程采购项目中，工程由中小企业承建，即工程施工单位为中小企业;</w:t>
      </w:r>
    </w:p>
    <w:p w14:paraId="4902632F">
      <w:pPr>
        <w:pStyle w:val="65"/>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③在服务采购项目中，服务由中小企业承接，即提供服务的人员为中小企业依照《中华人民共和国劳动合同法》订立劳动合同的从业人员。</w:t>
      </w:r>
    </w:p>
    <w:p w14:paraId="3CB39126">
      <w:pPr>
        <w:pStyle w:val="65"/>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在货物采购项目中，供应商提供的货物既有中小企业制造货物，也有大型企业制造货物的，不享受本办法规定的中小企业扶持政策。</w:t>
      </w:r>
    </w:p>
    <w:p w14:paraId="2EFFEE11">
      <w:pPr>
        <w:pStyle w:val="65"/>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以联合体形式参加政府采购活动，联合体各方均为中小企业的，联合体视同中小企业。</w:t>
      </w:r>
    </w:p>
    <w:p w14:paraId="38570835">
      <w:pPr>
        <w:pStyle w:val="65"/>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其中，联合体各方均为小微企业的，联合体视同小微企业。</w:t>
      </w:r>
    </w:p>
    <w:p w14:paraId="5A41FF3A">
      <w:pPr>
        <w:pStyle w:val="65"/>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(3)投标人应当按照招标文件明确的采购标的对应行业的划分标准出具中小企业声明。</w:t>
      </w:r>
    </w:p>
    <w:p w14:paraId="12F0D584">
      <w:pPr>
        <w:pStyle w:val="65"/>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2AD1BA1D">
      <w:pPr>
        <w:pStyle w:val="65"/>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①监狱企业参加采购活动时，应提供由省级以上监狱管理局、戒毒管理局(含新疆生产建设兵团)出具的属于监狱企业的证明文件。</w:t>
      </w:r>
    </w:p>
    <w:p w14:paraId="3DDEE1AA">
      <w:pPr>
        <w:pStyle w:val="65"/>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②监狱企业视同小型、微型企业。</w:t>
      </w:r>
    </w:p>
    <w:p w14:paraId="4F7C7D8A">
      <w:pPr>
        <w:pStyle w:val="65"/>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(5)残疾人福利性单位指同时符合下列条件的单位:</w:t>
      </w:r>
    </w:p>
    <w:p w14:paraId="7CE039D4">
      <w:pPr>
        <w:pStyle w:val="65"/>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①安置的残疾人占本单位在职职工人数的比例不低于25%(含25%)，并且安置的残疾人人数不少于10人(含10人);</w:t>
      </w:r>
    </w:p>
    <w:p w14:paraId="3A2D19A7">
      <w:pPr>
        <w:pStyle w:val="65"/>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②依法与安置的每位残疾人签订了一年以上(含一年)的劳动合同或服务协议;③为安置的每位残疾人按月足额缴纳了基本养老保险、基本医疗保险、失业保险、工伤保险和生育保险等社会保险费:</w:t>
      </w:r>
    </w:p>
    <w:p w14:paraId="6C93B94D">
      <w:pPr>
        <w:pStyle w:val="65"/>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④通过银行等金融机构向安置的每位残疾人，按月支付了不低于单位所在区县适用的经省级人民政府批准的月最低工资标准的工资:</w:t>
      </w:r>
    </w:p>
    <w:p w14:paraId="0A4E91FE">
      <w:pPr>
        <w:pStyle w:val="65"/>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⑤提供本单位制造的货物、承担的工程或服务，或提供其他残疾人福利性单位制造的货物(不包括使用非残疾人福利性单位注册商标的货物)。前款所称残疾人指法定劳动年龄内，持有《中华人民共和国残疾人证》或《中华人民共和国残疾军人证(1至8级)》的自然人，包括具有劳动条件和劳动意的精神残疾人。在职职工人数是指与残疾人福利性单位建立劳动关系并依法签订劳动合同或服务协议的雇员人数。</w:t>
      </w:r>
    </w:p>
    <w:p w14:paraId="4F0C409E">
      <w:pPr>
        <w:pStyle w:val="65"/>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518FACFB">
      <w:pPr>
        <w:pStyle w:val="65"/>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24.2政府采购进口产品的规定</w:t>
      </w:r>
    </w:p>
    <w:p w14:paraId="24B7E8CE">
      <w:pPr>
        <w:pStyle w:val="65"/>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按照财政部《政府采购进口产品管理办法》第一章第四条关于“政府采购应当采购本国产品，确需采购进口产品(指通过中国海关报关验放进入中国境内且产自关境外的产品)的，实行审核管理”的规定，招标文件中凡未明确标明采购进口产品的，均为采购本国产品，投标人必须投标本国产品，投标进口产品的为无效投标。</w:t>
      </w:r>
    </w:p>
    <w:p w14:paraId="53C1333C">
      <w:pPr>
        <w:pStyle w:val="65"/>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24.3政府强制采购节能产品的规定</w:t>
      </w:r>
    </w:p>
    <w:p w14:paraId="426887D8">
      <w:pPr>
        <w:pStyle w:val="65"/>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按照财政部、发展改革委最新发布执行的《节能产品政府采购品目清单》的规定，《服务需求及技术规格要求》中凡包含强制采购产品的，投标人必须提供列入《节能产品政府采购品目清单》的产品，否则投标无效。</w:t>
      </w:r>
    </w:p>
    <w:p w14:paraId="1F7772E2">
      <w:pPr>
        <w:pStyle w:val="65"/>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货物需求及要求中包含计算机设备的，投标人必须投标预装正版操作系统软件的计算机产品，否则无效。</w:t>
      </w:r>
    </w:p>
    <w:p w14:paraId="549D3F17">
      <w:pPr>
        <w:pStyle w:val="65"/>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以上所列国家相关政策性文件，此处不予提供。请投标人自行查询阅读理解。相关声明格式后附:</w:t>
      </w:r>
    </w:p>
    <w:p w14:paraId="10509978">
      <w:pPr>
        <w:pStyle w:val="65"/>
        <w:rPr>
          <w:rFonts w:hint="default" w:eastAsia="华文细黑"/>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需要补充的其他内容:见投标人须知前附表。</w:t>
      </w:r>
    </w:p>
    <w:p w14:paraId="2C5C2D0F">
      <w:pPr>
        <w:pStyle w:val="3"/>
        <w:spacing w:line="500" w:lineRule="exact"/>
        <w:ind w:firstLine="480" w:firstLineChars="200"/>
        <w:jc w:val="center"/>
        <w:rPr>
          <w:rFonts w:hint="eastAsia" w:ascii="华文细黑" w:hAnsi="华文细黑" w:eastAsia="华文细黑" w:cs="华文细黑"/>
          <w:sz w:val="36"/>
          <w:szCs w:val="36"/>
          <w:highlight w:val="none"/>
        </w:rPr>
      </w:pPr>
      <w:r>
        <w:rPr>
          <w:rFonts w:hint="eastAsia" w:ascii="华文细黑" w:hAnsi="华文细黑" w:eastAsia="华文细黑" w:cs="华文细黑"/>
          <w:sz w:val="24"/>
          <w:szCs w:val="24"/>
          <w:highlight w:val="none"/>
        </w:rPr>
        <w:br w:type="page"/>
      </w:r>
      <w:bookmarkEnd w:id="37"/>
      <w:bookmarkEnd w:id="38"/>
      <w:bookmarkEnd w:id="39"/>
      <w:bookmarkEnd w:id="40"/>
      <w:bookmarkEnd w:id="41"/>
      <w:bookmarkEnd w:id="42"/>
      <w:bookmarkEnd w:id="43"/>
      <w:bookmarkStart w:id="49" w:name="_Toc22623"/>
      <w:bookmarkStart w:id="50" w:name="_Toc403061805"/>
      <w:bookmarkStart w:id="51" w:name="_Toc8002"/>
      <w:bookmarkStart w:id="52" w:name="_Toc246997083"/>
      <w:bookmarkStart w:id="53" w:name="_Toc247085855"/>
      <w:bookmarkStart w:id="54" w:name="_Toc246996340"/>
      <w:bookmarkStart w:id="55" w:name="_Toc152042554"/>
      <w:bookmarkStart w:id="56" w:name="_Toc152045772"/>
      <w:bookmarkStart w:id="57" w:name="_Toc179632789"/>
      <w:bookmarkStart w:id="58" w:name="_Toc403061811"/>
      <w:bookmarkStart w:id="59" w:name="_Toc385946431"/>
      <w:bookmarkStart w:id="60" w:name="_Toc144974834"/>
      <w:r>
        <w:rPr>
          <w:rFonts w:hint="eastAsia" w:ascii="华文细黑" w:hAnsi="华文细黑" w:eastAsia="华文细黑" w:cs="华文细黑"/>
          <w:color w:val="auto"/>
          <w:sz w:val="36"/>
          <w:szCs w:val="36"/>
          <w:highlight w:val="none"/>
        </w:rPr>
        <w:t>第三章 评标办法（综合评分法）</w:t>
      </w:r>
      <w:bookmarkEnd w:id="49"/>
      <w:bookmarkEnd w:id="50"/>
    </w:p>
    <w:p w14:paraId="5CEE700C">
      <w:pPr>
        <w:ind w:firstLine="480" w:firstLineChars="200"/>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color w:val="auto"/>
          <w:kern w:val="0"/>
          <w:sz w:val="24"/>
          <w:szCs w:val="24"/>
          <w:highlight w:val="none"/>
          <w:lang w:val="en-US" w:eastAsia="zh-CN" w:bidi="ar-SA"/>
        </w:rPr>
        <w:t>依据《中华人民共和国政府采购法》及相关文件规定，采用综合打分法确定中标供应商。</w:t>
      </w:r>
    </w:p>
    <w:p w14:paraId="08D6D7BA">
      <w:pPr>
        <w:ind w:firstLine="420" w:firstLineChars="175"/>
        <w:jc w:val="left"/>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color w:val="auto"/>
          <w:kern w:val="0"/>
          <w:sz w:val="24"/>
          <w:szCs w:val="24"/>
          <w:highlight w:val="none"/>
          <w:lang w:val="en-US" w:eastAsia="zh-CN" w:bidi="ar-SA"/>
        </w:rPr>
        <w:t>本项目采用综合打分法，满分为100分（不含加分部分），按评审后综合得分由高到低顺序排列，综合得分相同的，按投标报价由低到高顺序排列，综合得分且投标报价都相同的，按技术指标优劣顺序排列，由评标委员会确定中标供应商。</w:t>
      </w:r>
    </w:p>
    <w:p w14:paraId="1E4AC34B">
      <w:pPr>
        <w:ind w:firstLine="420" w:firstLineChars="175"/>
        <w:jc w:val="left"/>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color w:val="auto"/>
          <w:kern w:val="0"/>
          <w:sz w:val="24"/>
          <w:szCs w:val="24"/>
          <w:highlight w:val="none"/>
          <w:lang w:val="en-US" w:eastAsia="zh-CN" w:bidi="ar-SA"/>
        </w:rPr>
        <w:t>投标报价得分：以满足招标文件要求且最低的报价为基准价，其报价得分为满分，30分。其他投标单位报价得分计算公式：报价得分＝（基准价/报价）×30分。四舍五入后保留2位小数。</w:t>
      </w:r>
    </w:p>
    <w:p w14:paraId="2E6A8872">
      <w:pPr>
        <w:numPr>
          <w:ilvl w:val="0"/>
          <w:numId w:val="6"/>
        </w:numPr>
        <w:ind w:firstLine="560"/>
        <w:jc w:val="left"/>
        <w:rPr>
          <w:rFonts w:hint="eastAsia" w:asciiTheme="minorEastAsia" w:hAnsiTheme="minorEastAsia" w:eastAsiaTheme="minorEastAsia" w:cstheme="minorEastAsia"/>
          <w:bCs/>
          <w:color w:val="auto"/>
          <w:kern w:val="0"/>
          <w:sz w:val="24"/>
          <w:szCs w:val="24"/>
          <w:highlight w:val="none"/>
          <w:lang w:val="zh-CN" w:eastAsia="zh-CN" w:bidi="ar-SA"/>
        </w:rPr>
      </w:pPr>
      <w:r>
        <w:rPr>
          <w:rFonts w:hint="eastAsia" w:asciiTheme="minorEastAsia" w:hAnsiTheme="minorEastAsia" w:eastAsiaTheme="minorEastAsia" w:cstheme="minorEastAsia"/>
          <w:bCs/>
          <w:color w:val="auto"/>
          <w:kern w:val="0"/>
          <w:sz w:val="24"/>
          <w:szCs w:val="24"/>
          <w:highlight w:val="none"/>
          <w:lang w:val="zh-CN" w:eastAsia="zh-CN" w:bidi="ar-SA"/>
        </w:rPr>
        <w:t>对于非预留份额专门面向中小企业的采购项目或者采购包，将按财库〔2020〕46号、财库[2014]68号、财库[2017]141号文件的规定进行相应的价格扣除，价格扣除比例对小型企业和微型企业同等对待，不作区分。</w:t>
      </w:r>
    </w:p>
    <w:p w14:paraId="17087D5C">
      <w:pPr>
        <w:numPr>
          <w:ilvl w:val="0"/>
          <w:numId w:val="7"/>
        </w:numPr>
        <w:ind w:firstLine="640"/>
        <w:jc w:val="left"/>
        <w:rPr>
          <w:rFonts w:hint="eastAsia" w:asciiTheme="minorEastAsia" w:hAnsiTheme="minorEastAsia" w:eastAsiaTheme="minorEastAsia" w:cstheme="minorEastAsia"/>
          <w:bCs/>
          <w:color w:val="auto"/>
          <w:kern w:val="0"/>
          <w:sz w:val="24"/>
          <w:szCs w:val="24"/>
          <w:highlight w:val="none"/>
          <w:lang w:val="zh-CN" w:eastAsia="zh-CN" w:bidi="ar-SA"/>
        </w:rPr>
      </w:pPr>
      <w:r>
        <w:rPr>
          <w:rFonts w:hint="eastAsia" w:asciiTheme="minorEastAsia" w:hAnsiTheme="minorEastAsia" w:eastAsiaTheme="minorEastAsia" w:cstheme="minorEastAsia"/>
          <w:bCs/>
          <w:color w:val="auto"/>
          <w:kern w:val="0"/>
          <w:sz w:val="24"/>
          <w:szCs w:val="24"/>
          <w:highlight w:val="none"/>
          <w:lang w:val="zh-CN" w:eastAsia="zh-CN" w:bidi="ar-SA"/>
        </w:rPr>
        <w:t>提供的货物全部由符合政策要求的小型和微型企业（含监狱企业、残疾人福利性单位）制造的，对其报价给予</w:t>
      </w:r>
      <w:r>
        <w:rPr>
          <w:rFonts w:hint="eastAsia" w:asciiTheme="minorEastAsia" w:hAnsiTheme="minorEastAsia" w:eastAsiaTheme="minorEastAsia" w:cstheme="minorEastAsia"/>
          <w:bCs/>
          <w:color w:val="auto"/>
          <w:kern w:val="0"/>
          <w:sz w:val="24"/>
          <w:szCs w:val="24"/>
          <w:highlight w:val="none"/>
          <w:lang w:val="en-US" w:eastAsia="zh-CN" w:bidi="ar-SA"/>
        </w:rPr>
        <w:t>20</w:t>
      </w:r>
      <w:r>
        <w:rPr>
          <w:rFonts w:hint="eastAsia" w:asciiTheme="minorEastAsia" w:hAnsiTheme="minorEastAsia" w:eastAsiaTheme="minorEastAsia" w:cstheme="minorEastAsia"/>
          <w:bCs/>
          <w:color w:val="auto"/>
          <w:kern w:val="0"/>
          <w:sz w:val="24"/>
          <w:szCs w:val="24"/>
          <w:highlight w:val="none"/>
          <w:lang w:val="zh-CN" w:eastAsia="zh-CN" w:bidi="ar-SA"/>
        </w:rPr>
        <w:t>%的扣除，用扣除后的价格参与评审。小微企业须在投标文件中出具《中小企业声明函》{如为监狱企业，提供由省级以上监狱管理局、戒毒管理局（含新疆生产建设兵团）出具的属于监狱企业的证明文件；如为残疾人福利性单位，提供《残疾人福利性单位声明函》}，否则不享受相关中小企业扶持政策。</w:t>
      </w:r>
    </w:p>
    <w:p w14:paraId="34B265B3">
      <w:pPr>
        <w:numPr>
          <w:ilvl w:val="0"/>
          <w:numId w:val="7"/>
        </w:numPr>
        <w:ind w:firstLine="640"/>
        <w:jc w:val="left"/>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color w:val="auto"/>
          <w:kern w:val="0"/>
          <w:sz w:val="24"/>
          <w:szCs w:val="24"/>
          <w:highlight w:val="none"/>
          <w:lang w:val="zh-CN" w:eastAsia="zh-CN" w:bidi="ar-SA"/>
        </w:rPr>
        <w:t>在货物采购项目中，供应商提供的货物既有中小企业（监狱企业、残疾人福利性单位）制造货物，也有大型企业（非监狱企业、残疾人福利性单位）制造货物的，不享受中小企业扶持政策。</w:t>
      </w:r>
    </w:p>
    <w:p w14:paraId="26E78572">
      <w:pPr>
        <w:numPr>
          <w:ilvl w:val="0"/>
          <w:numId w:val="6"/>
        </w:numPr>
        <w:ind w:firstLine="560"/>
        <w:jc w:val="left"/>
        <w:rPr>
          <w:rFonts w:hint="eastAsia" w:asciiTheme="minorEastAsia" w:hAnsiTheme="minorEastAsia" w:eastAsiaTheme="minorEastAsia" w:cstheme="minorEastAsia"/>
          <w:bCs/>
          <w:color w:val="auto"/>
          <w:kern w:val="0"/>
          <w:sz w:val="24"/>
          <w:szCs w:val="24"/>
          <w:highlight w:val="none"/>
          <w:lang w:val="zh-CN" w:eastAsia="zh-CN" w:bidi="ar-SA"/>
        </w:rPr>
      </w:pPr>
      <w:r>
        <w:rPr>
          <w:rFonts w:hint="eastAsia" w:asciiTheme="minorEastAsia" w:hAnsiTheme="minorEastAsia" w:eastAsiaTheme="minorEastAsia" w:cstheme="minorEastAsia"/>
          <w:bCs/>
          <w:color w:val="auto"/>
          <w:kern w:val="0"/>
          <w:sz w:val="24"/>
          <w:szCs w:val="24"/>
          <w:highlight w:val="none"/>
          <w:lang w:val="zh-CN" w:eastAsia="zh-CN" w:bidi="ar-SA"/>
        </w:rPr>
        <w:t>对于预留份额专门面向中小企业的采购项目或者采购包，将按财库〔2020〕46号规定专门面向中小企业采购，不再进行价格扣除。中小企业须在投标文件中出具《中小企业声明函》{如为监狱企业，提供由省级以上监狱管理局、戒毒管理局（含新疆生产建设兵团）出具的属于监狱企业的证明文件；如为残疾人福利性单位，提供《残疾人福利性单位声明函》}，否则不享受相关中小企业扶持政策。</w:t>
      </w:r>
    </w:p>
    <w:p w14:paraId="07663DBA">
      <w:pPr>
        <w:ind w:firstLine="480" w:firstLineChars="200"/>
        <w:jc w:val="left"/>
        <w:rPr>
          <w:rFonts w:hint="eastAsia" w:asciiTheme="minorEastAsia" w:hAnsiTheme="minorEastAsia" w:eastAsiaTheme="minorEastAsia" w:cstheme="minorEastAsia"/>
          <w:bCs/>
          <w:color w:val="auto"/>
          <w:kern w:val="0"/>
          <w:sz w:val="24"/>
          <w:szCs w:val="24"/>
          <w:highlight w:val="none"/>
          <w:lang w:val="zh-CN" w:eastAsia="zh-CN" w:bidi="ar-SA"/>
        </w:rPr>
      </w:pPr>
      <w:r>
        <w:rPr>
          <w:rFonts w:hint="eastAsia" w:asciiTheme="minorEastAsia" w:hAnsiTheme="minorEastAsia" w:eastAsiaTheme="minorEastAsia" w:cstheme="minorEastAsia"/>
          <w:bCs/>
          <w:color w:val="auto"/>
          <w:kern w:val="0"/>
          <w:sz w:val="24"/>
          <w:szCs w:val="24"/>
          <w:highlight w:val="none"/>
          <w:lang w:val="zh-CN" w:eastAsia="zh-CN" w:bidi="ar-SA"/>
        </w:rPr>
        <w:t>预留份额的采购项目或者采购包，通过发布公告方式邀请供应商后，符合资格条件的中小企业数量不足 3 家的，应当中止采购活动，视同未预留份额的采购项目或者采购包，按照财库〔2020〕46号文件第九条有关规定重新组织采购活动。</w:t>
      </w:r>
    </w:p>
    <w:p w14:paraId="0F393ABF">
      <w:pPr>
        <w:ind w:firstLine="480" w:firstLineChars="200"/>
        <w:jc w:val="left"/>
        <w:rPr>
          <w:rFonts w:hint="eastAsia" w:asciiTheme="minorEastAsia" w:hAnsiTheme="minorEastAsia" w:eastAsiaTheme="minorEastAsia" w:cstheme="minorEastAsia"/>
          <w:bCs/>
          <w:color w:val="auto"/>
          <w:kern w:val="0"/>
          <w:sz w:val="24"/>
          <w:szCs w:val="24"/>
          <w:highlight w:val="none"/>
          <w:lang w:val="zh-CN" w:eastAsia="zh-CN" w:bidi="ar-SA"/>
        </w:rPr>
      </w:pPr>
      <w:r>
        <w:rPr>
          <w:rFonts w:hint="eastAsia" w:asciiTheme="minorEastAsia" w:hAnsiTheme="minorEastAsia" w:eastAsiaTheme="minorEastAsia" w:cstheme="minorEastAsia"/>
          <w:bCs/>
          <w:color w:val="auto"/>
          <w:kern w:val="0"/>
          <w:sz w:val="24"/>
          <w:szCs w:val="24"/>
          <w:highlight w:val="none"/>
          <w:lang w:val="zh-CN" w:eastAsia="zh-CN" w:bidi="ar-SA"/>
        </w:rPr>
        <w:t>（三）享受扶持政策获得政府采购合同的，小微企业不得将合同分包给大中型企业，中型企业不得将合同分包给大型企业。</w:t>
      </w:r>
    </w:p>
    <w:p w14:paraId="0BDA9D17">
      <w:pPr>
        <w:ind w:firstLine="420" w:firstLineChars="175"/>
        <w:jc w:val="left"/>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color w:val="auto"/>
          <w:kern w:val="0"/>
          <w:sz w:val="24"/>
          <w:szCs w:val="24"/>
          <w:highlight w:val="none"/>
          <w:lang w:val="en-US" w:eastAsia="zh-CN" w:bidi="ar-SA"/>
        </w:rPr>
        <w:t>评委打分最高为70分，</w:t>
      </w:r>
      <w:r>
        <w:rPr>
          <w:rFonts w:hint="eastAsia" w:asciiTheme="minorEastAsia" w:hAnsiTheme="minorEastAsia" w:eastAsiaTheme="minorEastAsia" w:cstheme="minorEastAsia"/>
          <w:bCs/>
          <w:color w:val="auto"/>
          <w:kern w:val="0"/>
          <w:sz w:val="24"/>
          <w:szCs w:val="24"/>
          <w:highlight w:val="none"/>
          <w:lang w:val="zh-CN" w:eastAsia="zh-CN" w:bidi="ar-SA"/>
        </w:rPr>
        <w:t>具体评分细则详见附件</w:t>
      </w:r>
      <w:r>
        <w:rPr>
          <w:rFonts w:hint="eastAsia" w:asciiTheme="minorEastAsia" w:hAnsiTheme="minorEastAsia" w:eastAsiaTheme="minorEastAsia" w:cstheme="minorEastAsia"/>
          <w:bCs/>
          <w:color w:val="auto"/>
          <w:kern w:val="0"/>
          <w:sz w:val="24"/>
          <w:szCs w:val="24"/>
          <w:highlight w:val="none"/>
          <w:lang w:val="en-US" w:eastAsia="zh-CN" w:bidi="ar-SA"/>
        </w:rPr>
        <w:t>（评分细则）。</w:t>
      </w:r>
    </w:p>
    <w:p w14:paraId="0A6F2AF6">
      <w:pPr>
        <w:ind w:firstLine="420" w:firstLineChars="175"/>
        <w:jc w:val="left"/>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color w:val="auto"/>
          <w:kern w:val="0"/>
          <w:sz w:val="24"/>
          <w:szCs w:val="24"/>
          <w:highlight w:val="none"/>
          <w:lang w:val="en-US" w:eastAsia="zh-CN" w:bidi="ar-SA"/>
        </w:rPr>
        <w:t>加分部分为：依据《关于调整优化节能产品、环境标志产品政府采购执行机制的通知》（财库〔2019〕9号），对政府采购节能产品、环境标志产品实施品目清单管理，依据品目清单和认证证书实施政府优先采购和强制采购。拟采购的产品属于品目清单范围的，应当依据国家确定的认证机构出具的、处于有效期之内的节能产品、环境标志产品认证证书，对获得证书的产品实施政府优先采购或强制采购。对于已列入节能产品、环境标志产品品目清单的非强制采购的产品类别及《政府采购自主创新产品目录》的产品按《吉林省财政厅文件 吉财采购【2008】3号》给予加分。供应商应对所投标货物纳入品目清单和目录的产品在投标文件中按产品所在包另行单独列表，并提供相关依据｛须以报价表附件的形式单独列表，并对此部分产品的投标报价合计及在整体投标报价中所占百分比进行明确标注。节能产品、环境标志产品须提供品目清单、国家确定的认证机构（提供市场监管总局认定为认证机构的网上截图）出具的、处于有效期之内的节能产品、环境标志产品认证证书；自主创新产品须提供《政府采购自主创新产品目录》｝，否则不予计算（如已经将此内容列为技术要求或评委评分因素，不再重复加分）。</w:t>
      </w:r>
    </w:p>
    <w:p w14:paraId="67B7C4DC">
      <w:pPr>
        <w:ind w:firstLine="420" w:firstLineChars="175"/>
        <w:jc w:val="left"/>
        <w:rPr>
          <w:rFonts w:hint="eastAsia" w:asciiTheme="minorEastAsia" w:hAnsiTheme="minorEastAsia" w:eastAsiaTheme="minorEastAsia" w:cstheme="minorEastAsia"/>
          <w:bCs/>
          <w:color w:val="auto"/>
          <w:kern w:val="0"/>
          <w:sz w:val="24"/>
          <w:szCs w:val="24"/>
          <w:highlight w:val="none"/>
          <w:lang w:val="en-US" w:eastAsia="zh-CN" w:bidi="ar-SA"/>
        </w:rPr>
      </w:pPr>
      <w:r>
        <w:rPr>
          <w:rFonts w:hint="eastAsia" w:asciiTheme="minorEastAsia" w:hAnsiTheme="minorEastAsia" w:eastAsiaTheme="minorEastAsia" w:cstheme="minorEastAsia"/>
          <w:bCs/>
          <w:color w:val="auto"/>
          <w:kern w:val="0"/>
          <w:sz w:val="24"/>
          <w:szCs w:val="24"/>
          <w:highlight w:val="none"/>
          <w:lang w:val="en-US" w:eastAsia="zh-CN" w:bidi="ar-SA"/>
        </w:rPr>
        <w:t>评委的平均分，报价得分和加分，三项之和，得出各投标单位的综合得分，得分最高的投标人应为中标单位。</w:t>
      </w:r>
    </w:p>
    <w:p w14:paraId="35CE8F07">
      <w:pPr>
        <w:numPr>
          <w:ilvl w:val="0"/>
          <w:numId w:val="0"/>
        </w:numPr>
        <w:shd w:val="clear" w:color="auto" w:fill="auto"/>
        <w:spacing w:line="500" w:lineRule="exact"/>
        <w:ind w:left="3780" w:leftChars="0"/>
        <w:jc w:val="both"/>
        <w:textAlignment w:val="baseline"/>
        <w:rPr>
          <w:rFonts w:hint="eastAsia" w:ascii="宋体" w:cs="宋体"/>
          <w:b/>
          <w:sz w:val="28"/>
          <w:szCs w:val="20"/>
          <w:highlight w:val="none"/>
        </w:rPr>
      </w:pPr>
      <w:r>
        <w:rPr>
          <w:rFonts w:hint="eastAsia" w:ascii="新宋体" w:hAnsi="新宋体" w:eastAsia="新宋体"/>
          <w:b/>
          <w:color w:val="000000"/>
          <w:sz w:val="48"/>
          <w:highlight w:val="none"/>
        </w:rPr>
        <w:br w:type="page"/>
      </w:r>
      <w:bookmarkStart w:id="61" w:name="_Toc1522"/>
      <w:r>
        <w:rPr>
          <w:rFonts w:hint="eastAsia" w:ascii="宋体" w:cs="宋体"/>
          <w:b/>
          <w:sz w:val="28"/>
          <w:szCs w:val="20"/>
          <w:highlight w:val="none"/>
        </w:rPr>
        <w:t>资格审查表</w:t>
      </w:r>
    </w:p>
    <w:tbl>
      <w:tblPr>
        <w:tblStyle w:val="46"/>
        <w:tblW w:w="8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5993"/>
        <w:gridCol w:w="2020"/>
      </w:tblGrid>
      <w:tr w14:paraId="06DE6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2" w:type="dxa"/>
            <w:tcBorders>
              <w:tl2br w:val="nil"/>
              <w:tr2bl w:val="nil"/>
            </w:tcBorders>
            <w:noWrap w:val="0"/>
            <w:vAlign w:val="center"/>
          </w:tcPr>
          <w:p w14:paraId="3FFDCC2C">
            <w:pPr>
              <w:widowControl w:val="0"/>
              <w:numPr>
                <w:ilvl w:val="0"/>
                <w:numId w:val="0"/>
              </w:numPr>
              <w:adjustRightInd w:val="0"/>
              <w:snapToGrid w:val="0"/>
              <w:spacing w:line="288" w:lineRule="auto"/>
              <w:jc w:val="both"/>
              <w:rPr>
                <w:rFonts w:hint="eastAsia" w:ascii="宋体" w:hAnsi="宋体" w:eastAsia="宋体" w:cs="宋体"/>
                <w:color w:val="auto"/>
                <w:spacing w:val="0"/>
                <w:kern w:val="2"/>
                <w:sz w:val="24"/>
                <w:szCs w:val="24"/>
                <w:highlight w:val="none"/>
                <w:lang w:bidi="ar-SA"/>
              </w:rPr>
            </w:pPr>
            <w:r>
              <w:rPr>
                <w:rFonts w:hint="eastAsia" w:ascii="宋体" w:hAnsi="宋体" w:eastAsia="宋体" w:cs="宋体"/>
                <w:b w:val="0"/>
                <w:color w:val="auto"/>
                <w:kern w:val="2"/>
                <w:sz w:val="24"/>
                <w:szCs w:val="24"/>
                <w:highlight w:val="none"/>
                <w:lang w:bidi="ar-SA"/>
              </w:rPr>
              <w:t>序号</w:t>
            </w:r>
          </w:p>
        </w:tc>
        <w:tc>
          <w:tcPr>
            <w:tcW w:w="5993" w:type="dxa"/>
            <w:tcBorders>
              <w:tl2br w:val="nil"/>
              <w:tr2bl w:val="nil"/>
            </w:tcBorders>
            <w:noWrap w:val="0"/>
            <w:vAlign w:val="center"/>
          </w:tcPr>
          <w:p w14:paraId="251EB730">
            <w:pPr>
              <w:widowControl w:val="0"/>
              <w:numPr>
                <w:ilvl w:val="0"/>
                <w:numId w:val="0"/>
              </w:numPr>
              <w:adjustRightInd w:val="0"/>
              <w:snapToGrid w:val="0"/>
              <w:spacing w:line="288" w:lineRule="auto"/>
              <w:jc w:val="both"/>
              <w:rPr>
                <w:rFonts w:hint="eastAsia" w:ascii="宋体" w:hAnsi="宋体" w:eastAsia="宋体" w:cs="宋体"/>
                <w:color w:val="auto"/>
                <w:spacing w:val="0"/>
                <w:kern w:val="2"/>
                <w:sz w:val="24"/>
                <w:szCs w:val="24"/>
                <w:highlight w:val="none"/>
                <w:lang w:bidi="ar-SA"/>
              </w:rPr>
            </w:pPr>
            <w:r>
              <w:rPr>
                <w:rFonts w:hint="eastAsia" w:ascii="宋体" w:hAnsi="宋体" w:eastAsia="宋体" w:cs="宋体"/>
                <w:b w:val="0"/>
                <w:color w:val="auto"/>
                <w:kern w:val="2"/>
                <w:sz w:val="24"/>
                <w:szCs w:val="24"/>
                <w:highlight w:val="none"/>
                <w:lang w:bidi="ar-SA"/>
              </w:rPr>
              <w:t>资格审查内容</w:t>
            </w:r>
          </w:p>
        </w:tc>
        <w:tc>
          <w:tcPr>
            <w:tcW w:w="2020" w:type="dxa"/>
            <w:tcBorders>
              <w:tl2br w:val="nil"/>
              <w:tr2bl w:val="nil"/>
            </w:tcBorders>
            <w:noWrap w:val="0"/>
            <w:vAlign w:val="center"/>
          </w:tcPr>
          <w:p w14:paraId="1F4B5C21">
            <w:pPr>
              <w:widowControl w:val="0"/>
              <w:numPr>
                <w:ilvl w:val="0"/>
                <w:numId w:val="0"/>
              </w:numPr>
              <w:adjustRightInd w:val="0"/>
              <w:snapToGrid w:val="0"/>
              <w:spacing w:line="288" w:lineRule="auto"/>
              <w:jc w:val="both"/>
              <w:rPr>
                <w:rFonts w:hint="eastAsia" w:ascii="宋体" w:hAnsi="宋体" w:eastAsia="宋体" w:cs="宋体"/>
                <w:b w:val="0"/>
                <w:color w:val="auto"/>
                <w:spacing w:val="0"/>
                <w:kern w:val="2"/>
                <w:sz w:val="24"/>
                <w:szCs w:val="24"/>
                <w:highlight w:val="none"/>
                <w:lang w:bidi="ar-SA"/>
              </w:rPr>
            </w:pPr>
            <w:r>
              <w:rPr>
                <w:rFonts w:hint="eastAsia" w:ascii="宋体" w:hAnsi="宋体" w:eastAsia="宋体" w:cs="宋体"/>
                <w:b w:val="0"/>
                <w:color w:val="auto"/>
                <w:spacing w:val="0"/>
                <w:kern w:val="2"/>
                <w:sz w:val="24"/>
                <w:szCs w:val="24"/>
                <w:highlight w:val="none"/>
                <w:lang w:bidi="ar-SA"/>
              </w:rPr>
              <w:t>要求</w:t>
            </w:r>
          </w:p>
        </w:tc>
      </w:tr>
      <w:tr w14:paraId="5037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722" w:type="dxa"/>
            <w:tcBorders>
              <w:tl2br w:val="nil"/>
              <w:tr2bl w:val="nil"/>
            </w:tcBorders>
            <w:noWrap w:val="0"/>
            <w:vAlign w:val="center"/>
          </w:tcPr>
          <w:p w14:paraId="4CE0BCFA">
            <w:pPr>
              <w:widowControl w:val="0"/>
              <w:numPr>
                <w:ilvl w:val="0"/>
                <w:numId w:val="0"/>
              </w:numPr>
              <w:adjustRightInd w:val="0"/>
              <w:snapToGrid w:val="0"/>
              <w:spacing w:line="288" w:lineRule="auto"/>
              <w:jc w:val="center"/>
              <w:rPr>
                <w:rFonts w:hint="eastAsia" w:ascii="宋体" w:hAnsi="宋体" w:eastAsia="宋体" w:cs="宋体"/>
                <w:color w:val="auto"/>
                <w:spacing w:val="0"/>
                <w:kern w:val="2"/>
                <w:sz w:val="24"/>
                <w:szCs w:val="24"/>
                <w:highlight w:val="none"/>
                <w:lang w:bidi="ar-SA"/>
              </w:rPr>
            </w:pPr>
            <w:r>
              <w:rPr>
                <w:rFonts w:hint="eastAsia" w:ascii="宋体" w:hAnsi="宋体" w:eastAsia="宋体" w:cs="宋体"/>
                <w:color w:val="auto"/>
                <w:spacing w:val="0"/>
                <w:kern w:val="2"/>
                <w:sz w:val="24"/>
                <w:szCs w:val="24"/>
                <w:highlight w:val="none"/>
                <w:lang w:bidi="ar-SA"/>
              </w:rPr>
              <w:t>1</w:t>
            </w:r>
          </w:p>
        </w:tc>
        <w:tc>
          <w:tcPr>
            <w:tcW w:w="5993" w:type="dxa"/>
            <w:tcBorders>
              <w:tl2br w:val="nil"/>
              <w:tr2bl w:val="nil"/>
            </w:tcBorders>
            <w:noWrap w:val="0"/>
            <w:vAlign w:val="center"/>
          </w:tcPr>
          <w:p w14:paraId="604A5544">
            <w:pPr>
              <w:widowControl w:val="0"/>
              <w:numPr>
                <w:ilvl w:val="0"/>
                <w:numId w:val="0"/>
              </w:numPr>
              <w:adjustRightInd w:val="0"/>
              <w:snapToGrid w:val="0"/>
              <w:spacing w:line="288" w:lineRule="auto"/>
              <w:jc w:val="both"/>
              <w:rPr>
                <w:rFonts w:hint="eastAsia" w:ascii="宋体" w:hAnsi="宋体" w:eastAsia="宋体" w:cs="宋体"/>
                <w:color w:val="auto"/>
                <w:kern w:val="2"/>
                <w:sz w:val="24"/>
                <w:szCs w:val="24"/>
                <w:highlight w:val="none"/>
                <w:lang w:eastAsia="zh-CN" w:bidi="ar-SA"/>
              </w:rPr>
            </w:pPr>
            <w:r>
              <w:rPr>
                <w:rFonts w:hint="eastAsia" w:ascii="宋体" w:hAnsi="宋体" w:eastAsia="宋体" w:cs="宋体"/>
                <w:color w:val="auto"/>
                <w:kern w:val="2"/>
                <w:sz w:val="24"/>
                <w:szCs w:val="24"/>
                <w:highlight w:val="none"/>
                <w:lang w:bidi="ar-SA"/>
              </w:rPr>
              <w:t>法定代表人参加投标的，须提供法定代表人身份证明；</w:t>
            </w:r>
          </w:p>
          <w:p w14:paraId="3C569E64">
            <w:pPr>
              <w:widowControl w:val="0"/>
              <w:numPr>
                <w:ilvl w:val="0"/>
                <w:numId w:val="0"/>
              </w:numPr>
              <w:adjustRightInd w:val="0"/>
              <w:snapToGrid w:val="0"/>
              <w:spacing w:line="288" w:lineRule="auto"/>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bidi="ar-SA"/>
              </w:rPr>
              <w:t>授权委托人参加投标的，须提供法定代表人授权委托书</w:t>
            </w:r>
          </w:p>
        </w:tc>
        <w:tc>
          <w:tcPr>
            <w:tcW w:w="2020" w:type="dxa"/>
            <w:tcBorders>
              <w:tl2br w:val="nil"/>
              <w:tr2bl w:val="nil"/>
            </w:tcBorders>
            <w:noWrap w:val="0"/>
            <w:vAlign w:val="center"/>
          </w:tcPr>
          <w:p w14:paraId="37D0C2AD">
            <w:pPr>
              <w:widowControl w:val="0"/>
              <w:numPr>
                <w:ilvl w:val="0"/>
                <w:numId w:val="0"/>
              </w:numPr>
              <w:adjustRightInd w:val="0"/>
              <w:snapToGrid w:val="0"/>
              <w:spacing w:line="288" w:lineRule="auto"/>
              <w:jc w:val="both"/>
              <w:rPr>
                <w:rFonts w:hint="eastAsia" w:ascii="宋体" w:hAnsi="宋体" w:eastAsia="宋体" w:cs="宋体"/>
                <w:color w:val="auto"/>
                <w:spacing w:val="0"/>
                <w:kern w:val="2"/>
                <w:sz w:val="24"/>
                <w:szCs w:val="24"/>
                <w:highlight w:val="none"/>
                <w:lang w:bidi="ar-SA"/>
              </w:rPr>
            </w:pPr>
            <w:r>
              <w:rPr>
                <w:rFonts w:hint="eastAsia" w:ascii="宋体" w:hAnsi="宋体" w:eastAsia="宋体" w:cs="宋体"/>
                <w:color w:val="auto"/>
                <w:kern w:val="2"/>
                <w:sz w:val="24"/>
                <w:szCs w:val="24"/>
                <w:highlight w:val="none"/>
                <w:lang w:bidi="ar-SA"/>
              </w:rPr>
              <w:t>标书内附证明及委托书</w:t>
            </w:r>
            <w:r>
              <w:rPr>
                <w:rFonts w:hint="eastAsia" w:ascii="宋体" w:hAnsi="宋体" w:eastAsia="宋体" w:cs="宋体"/>
                <w:color w:val="auto"/>
                <w:spacing w:val="0"/>
                <w:kern w:val="2"/>
                <w:sz w:val="24"/>
                <w:szCs w:val="24"/>
                <w:highlight w:val="none"/>
                <w:lang w:bidi="ar-SA"/>
              </w:rPr>
              <w:t>加盖单位公章</w:t>
            </w:r>
          </w:p>
        </w:tc>
      </w:tr>
      <w:tr w14:paraId="00F88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2" w:type="dxa"/>
            <w:tcBorders>
              <w:tl2br w:val="nil"/>
              <w:tr2bl w:val="nil"/>
            </w:tcBorders>
            <w:noWrap w:val="0"/>
            <w:vAlign w:val="center"/>
          </w:tcPr>
          <w:p w14:paraId="4EE76DF3">
            <w:pPr>
              <w:widowControl w:val="0"/>
              <w:numPr>
                <w:ilvl w:val="0"/>
                <w:numId w:val="0"/>
              </w:numPr>
              <w:adjustRightInd w:val="0"/>
              <w:snapToGrid w:val="0"/>
              <w:spacing w:line="288" w:lineRule="auto"/>
              <w:ind w:left="0" w:leftChars="0" w:firstLine="0" w:firstLineChars="0"/>
              <w:jc w:val="center"/>
              <w:rPr>
                <w:rFonts w:hint="eastAsia" w:ascii="宋体" w:hAnsi="宋体" w:eastAsia="宋体" w:cs="宋体"/>
                <w:color w:val="auto"/>
                <w:spacing w:val="0"/>
                <w:kern w:val="2"/>
                <w:sz w:val="24"/>
                <w:szCs w:val="24"/>
                <w:highlight w:val="none"/>
                <w:lang w:bidi="ar-SA"/>
              </w:rPr>
            </w:pPr>
            <w:r>
              <w:rPr>
                <w:rFonts w:hint="eastAsia" w:ascii="宋体" w:hAnsi="宋体" w:eastAsia="宋体" w:cs="宋体"/>
                <w:color w:val="auto"/>
                <w:spacing w:val="0"/>
                <w:kern w:val="2"/>
                <w:sz w:val="24"/>
                <w:szCs w:val="24"/>
                <w:highlight w:val="none"/>
                <w:lang w:bidi="ar-SA"/>
              </w:rPr>
              <w:t>2</w:t>
            </w:r>
          </w:p>
        </w:tc>
        <w:tc>
          <w:tcPr>
            <w:tcW w:w="5993" w:type="dxa"/>
            <w:tcBorders>
              <w:tl2br w:val="nil"/>
              <w:tr2bl w:val="nil"/>
            </w:tcBorders>
            <w:noWrap w:val="0"/>
            <w:vAlign w:val="center"/>
          </w:tcPr>
          <w:p w14:paraId="233A9C28">
            <w:pPr>
              <w:widowControl w:val="0"/>
              <w:numPr>
                <w:ilvl w:val="0"/>
                <w:numId w:val="0"/>
              </w:numPr>
              <w:adjustRightInd w:val="0"/>
              <w:snapToGrid w:val="0"/>
              <w:spacing w:line="288" w:lineRule="auto"/>
              <w:jc w:val="both"/>
              <w:rPr>
                <w:rFonts w:hint="eastAsia" w:ascii="宋体" w:hAnsi="宋体" w:eastAsia="宋体" w:cs="宋体"/>
                <w:color w:val="auto"/>
                <w:spacing w:val="0"/>
                <w:kern w:val="2"/>
                <w:sz w:val="24"/>
                <w:szCs w:val="24"/>
                <w:highlight w:val="none"/>
                <w:lang w:bidi="ar-SA"/>
              </w:rPr>
            </w:pPr>
            <w:r>
              <w:rPr>
                <w:rFonts w:hint="eastAsia" w:ascii="宋体" w:hAnsi="宋体" w:eastAsia="宋体" w:cs="宋体"/>
                <w:color w:val="auto"/>
                <w:spacing w:val="0"/>
                <w:kern w:val="2"/>
                <w:sz w:val="24"/>
                <w:szCs w:val="24"/>
                <w:highlight w:val="none"/>
                <w:lang w:bidi="ar-SA"/>
              </w:rPr>
              <w:t>营业执照副本</w:t>
            </w:r>
          </w:p>
        </w:tc>
        <w:tc>
          <w:tcPr>
            <w:tcW w:w="2020" w:type="dxa"/>
            <w:tcBorders>
              <w:tl2br w:val="nil"/>
              <w:tr2bl w:val="nil"/>
            </w:tcBorders>
            <w:noWrap w:val="0"/>
            <w:vAlign w:val="center"/>
          </w:tcPr>
          <w:p w14:paraId="0E7ED80F">
            <w:pPr>
              <w:widowControl w:val="0"/>
              <w:numPr>
                <w:ilvl w:val="0"/>
                <w:numId w:val="0"/>
              </w:numPr>
              <w:adjustRightInd w:val="0"/>
              <w:snapToGrid w:val="0"/>
              <w:spacing w:line="288" w:lineRule="auto"/>
              <w:jc w:val="both"/>
              <w:rPr>
                <w:rFonts w:hint="eastAsia" w:ascii="宋体" w:hAnsi="宋体" w:eastAsia="宋体" w:cs="宋体"/>
                <w:color w:val="auto"/>
                <w:spacing w:val="0"/>
                <w:kern w:val="2"/>
                <w:sz w:val="24"/>
                <w:szCs w:val="24"/>
                <w:highlight w:val="none"/>
                <w:lang w:bidi="ar-SA"/>
              </w:rPr>
            </w:pPr>
            <w:r>
              <w:rPr>
                <w:rFonts w:hint="eastAsia" w:ascii="宋体" w:hAnsi="宋体" w:eastAsia="宋体" w:cs="宋体"/>
                <w:color w:val="auto"/>
                <w:spacing w:val="0"/>
                <w:kern w:val="2"/>
                <w:sz w:val="24"/>
                <w:szCs w:val="24"/>
                <w:highlight w:val="none"/>
                <w:lang w:bidi="ar-SA"/>
              </w:rPr>
              <w:t>标书内附复印件加盖单位公章</w:t>
            </w:r>
          </w:p>
        </w:tc>
      </w:tr>
      <w:tr w14:paraId="32D3F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2" w:type="dxa"/>
            <w:tcBorders>
              <w:tl2br w:val="nil"/>
              <w:tr2bl w:val="nil"/>
            </w:tcBorders>
            <w:noWrap w:val="0"/>
            <w:vAlign w:val="center"/>
          </w:tcPr>
          <w:p w14:paraId="701F2D16">
            <w:pPr>
              <w:widowControl w:val="0"/>
              <w:numPr>
                <w:ilvl w:val="0"/>
                <w:numId w:val="0"/>
              </w:numPr>
              <w:adjustRightInd w:val="0"/>
              <w:snapToGrid w:val="0"/>
              <w:spacing w:line="288" w:lineRule="auto"/>
              <w:jc w:val="center"/>
              <w:rPr>
                <w:rFonts w:hint="eastAsia" w:ascii="宋体" w:hAnsi="宋体" w:eastAsia="宋体" w:cs="宋体"/>
                <w:color w:val="auto"/>
                <w:spacing w:val="0"/>
                <w:kern w:val="2"/>
                <w:sz w:val="24"/>
                <w:szCs w:val="24"/>
                <w:highlight w:val="none"/>
                <w:lang w:bidi="ar-SA"/>
              </w:rPr>
            </w:pPr>
            <w:r>
              <w:rPr>
                <w:rFonts w:hint="eastAsia" w:ascii="宋体" w:hAnsi="宋体" w:eastAsia="宋体" w:cs="宋体"/>
                <w:color w:val="auto"/>
                <w:spacing w:val="0"/>
                <w:kern w:val="2"/>
                <w:sz w:val="24"/>
                <w:szCs w:val="24"/>
                <w:highlight w:val="none"/>
                <w:lang w:bidi="ar-SA"/>
              </w:rPr>
              <w:t>3</w:t>
            </w:r>
          </w:p>
        </w:tc>
        <w:tc>
          <w:tcPr>
            <w:tcW w:w="5993" w:type="dxa"/>
            <w:tcBorders>
              <w:tl2br w:val="nil"/>
              <w:tr2bl w:val="nil"/>
            </w:tcBorders>
            <w:noWrap w:val="0"/>
            <w:vAlign w:val="center"/>
          </w:tcPr>
          <w:p w14:paraId="5A633375">
            <w:pPr>
              <w:widowControl w:val="0"/>
              <w:numPr>
                <w:ilvl w:val="0"/>
                <w:numId w:val="0"/>
              </w:numPr>
              <w:adjustRightInd w:val="0"/>
              <w:snapToGrid w:val="0"/>
              <w:spacing w:line="288" w:lineRule="auto"/>
              <w:jc w:val="both"/>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提供</w:t>
            </w:r>
            <w:r>
              <w:rPr>
                <w:rFonts w:hint="eastAsia" w:ascii="宋体" w:hAnsi="宋体" w:cs="宋体"/>
                <w:color w:val="auto"/>
                <w:sz w:val="24"/>
                <w:szCs w:val="24"/>
                <w:highlight w:val="none"/>
                <w:lang w:val="en-US" w:eastAsia="zh-CN"/>
              </w:rPr>
              <w:t>最近一</w:t>
            </w:r>
            <w:r>
              <w:rPr>
                <w:rFonts w:hint="eastAsia" w:ascii="宋体" w:hAnsi="宋体" w:eastAsia="宋体" w:cs="宋体"/>
                <w:color w:val="auto"/>
                <w:sz w:val="24"/>
                <w:szCs w:val="24"/>
                <w:highlight w:val="none"/>
                <w:lang w:val="en-US" w:eastAsia="zh-CN"/>
              </w:rPr>
              <w:t>年的财务报表或财务审计报告。</w:t>
            </w:r>
            <w:r>
              <w:rPr>
                <w:rFonts w:hint="eastAsia" w:ascii="宋体" w:hAnsi="宋体" w:eastAsia="宋体" w:cs="宋体"/>
                <w:color w:val="auto"/>
                <w:kern w:val="2"/>
                <w:sz w:val="24"/>
                <w:szCs w:val="24"/>
                <w:highlight w:val="none"/>
                <w:lang w:val="en-US" w:eastAsia="zh-CN" w:bidi="ar-SA"/>
              </w:rPr>
              <w:t>企业具有依法缴纳税收和社会保障资金的良好记录，提供近半年内任意一个月企业依法缴纳税收及社保的相关材料（依法免税或无欠税、依法不需要缴纳社会保险的，应提供相应文件证明其依法免税或无欠税、依法不需要缴纳社会保险）</w:t>
            </w:r>
          </w:p>
        </w:tc>
        <w:tc>
          <w:tcPr>
            <w:tcW w:w="2020" w:type="dxa"/>
            <w:tcBorders>
              <w:tl2br w:val="nil"/>
              <w:tr2bl w:val="nil"/>
            </w:tcBorders>
            <w:noWrap w:val="0"/>
            <w:vAlign w:val="center"/>
          </w:tcPr>
          <w:p w14:paraId="67CFA27D">
            <w:pPr>
              <w:widowControl w:val="0"/>
              <w:numPr>
                <w:ilvl w:val="0"/>
                <w:numId w:val="0"/>
              </w:numPr>
              <w:adjustRightInd w:val="0"/>
              <w:snapToGrid w:val="0"/>
              <w:spacing w:line="288" w:lineRule="auto"/>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bidi="ar-SA"/>
              </w:rPr>
              <w:t>标书内附复印件加盖单位公章</w:t>
            </w:r>
          </w:p>
        </w:tc>
      </w:tr>
      <w:tr w14:paraId="2CDA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2" w:type="dxa"/>
            <w:tcBorders>
              <w:tl2br w:val="nil"/>
              <w:tr2bl w:val="nil"/>
            </w:tcBorders>
            <w:noWrap w:val="0"/>
            <w:vAlign w:val="center"/>
          </w:tcPr>
          <w:p w14:paraId="61FB2653">
            <w:pPr>
              <w:widowControl w:val="0"/>
              <w:numPr>
                <w:ilvl w:val="0"/>
                <w:numId w:val="0"/>
              </w:numPr>
              <w:adjustRightInd w:val="0"/>
              <w:snapToGrid w:val="0"/>
              <w:spacing w:line="288" w:lineRule="auto"/>
              <w:ind w:left="0" w:leftChars="0" w:firstLine="0" w:firstLineChars="0"/>
              <w:jc w:val="center"/>
              <w:rPr>
                <w:rFonts w:hint="eastAsia" w:ascii="宋体" w:hAnsi="宋体" w:eastAsia="宋体" w:cs="宋体"/>
                <w:color w:val="auto"/>
                <w:spacing w:val="0"/>
                <w:kern w:val="2"/>
                <w:sz w:val="24"/>
                <w:szCs w:val="24"/>
                <w:highlight w:val="none"/>
                <w:lang w:val="en-US" w:eastAsia="zh-CN" w:bidi="ar-SA"/>
              </w:rPr>
            </w:pPr>
            <w:r>
              <w:rPr>
                <w:rFonts w:hint="eastAsia" w:ascii="宋体" w:hAnsi="宋体" w:cs="宋体"/>
                <w:color w:val="auto"/>
                <w:spacing w:val="0"/>
                <w:kern w:val="2"/>
                <w:sz w:val="24"/>
                <w:szCs w:val="24"/>
                <w:highlight w:val="none"/>
                <w:lang w:val="en-US" w:eastAsia="zh-CN" w:bidi="ar-SA"/>
              </w:rPr>
              <w:t>4</w:t>
            </w:r>
          </w:p>
        </w:tc>
        <w:tc>
          <w:tcPr>
            <w:tcW w:w="5993" w:type="dxa"/>
            <w:tcBorders>
              <w:tl2br w:val="nil"/>
              <w:tr2bl w:val="nil"/>
            </w:tcBorders>
            <w:noWrap w:val="0"/>
            <w:vAlign w:val="center"/>
          </w:tcPr>
          <w:p w14:paraId="5CA08003">
            <w:pPr>
              <w:widowControl w:val="0"/>
              <w:numPr>
                <w:ilvl w:val="0"/>
                <w:numId w:val="0"/>
              </w:numPr>
              <w:adjustRightInd w:val="0"/>
              <w:snapToGrid w:val="0"/>
              <w:spacing w:line="288" w:lineRule="auto"/>
              <w:jc w:val="both"/>
              <w:rPr>
                <w:rFonts w:hint="eastAsia" w:ascii="宋体" w:hAnsi="宋体" w:eastAsia="宋体" w:cs="宋体"/>
                <w:color w:val="auto"/>
                <w:spacing w:val="0"/>
                <w:kern w:val="2"/>
                <w:sz w:val="24"/>
                <w:szCs w:val="24"/>
                <w:highlight w:val="none"/>
                <w:lang w:bidi="ar-SA"/>
              </w:rPr>
            </w:pPr>
            <w:r>
              <w:rPr>
                <w:rFonts w:hint="eastAsia" w:ascii="宋体" w:hAnsi="宋体" w:eastAsia="宋体" w:cs="宋体"/>
                <w:color w:val="auto"/>
                <w:spacing w:val="0"/>
                <w:kern w:val="2"/>
                <w:sz w:val="24"/>
                <w:szCs w:val="24"/>
                <w:highlight w:val="none"/>
                <w:lang w:bidi="ar-SA"/>
              </w:rPr>
              <w:t>近三年在经营活动中没有重大违法记录的书面声明</w:t>
            </w:r>
          </w:p>
        </w:tc>
        <w:tc>
          <w:tcPr>
            <w:tcW w:w="2020" w:type="dxa"/>
            <w:tcBorders>
              <w:tl2br w:val="nil"/>
              <w:tr2bl w:val="nil"/>
            </w:tcBorders>
            <w:noWrap w:val="0"/>
            <w:vAlign w:val="center"/>
          </w:tcPr>
          <w:p w14:paraId="4D1606BC">
            <w:pPr>
              <w:widowControl w:val="0"/>
              <w:numPr>
                <w:ilvl w:val="0"/>
                <w:numId w:val="0"/>
              </w:numPr>
              <w:adjustRightInd w:val="0"/>
              <w:snapToGrid w:val="0"/>
              <w:spacing w:line="288"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bidi="ar-SA"/>
              </w:rPr>
              <w:t>标书内附声明</w:t>
            </w:r>
            <w:r>
              <w:rPr>
                <w:rFonts w:hint="eastAsia" w:ascii="宋体" w:hAnsi="宋体" w:cs="宋体"/>
                <w:color w:val="auto"/>
                <w:kern w:val="2"/>
                <w:sz w:val="24"/>
                <w:szCs w:val="24"/>
                <w:highlight w:val="none"/>
                <w:lang w:val="en-US" w:eastAsia="zh-CN" w:bidi="ar-SA"/>
              </w:rPr>
              <w:t>并盖章</w:t>
            </w:r>
          </w:p>
        </w:tc>
      </w:tr>
      <w:tr w14:paraId="42385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2" w:type="dxa"/>
            <w:tcBorders>
              <w:tl2br w:val="nil"/>
              <w:tr2bl w:val="nil"/>
            </w:tcBorders>
            <w:noWrap w:val="0"/>
            <w:vAlign w:val="center"/>
          </w:tcPr>
          <w:p w14:paraId="106ED187">
            <w:pPr>
              <w:widowControl w:val="0"/>
              <w:numPr>
                <w:ilvl w:val="0"/>
                <w:numId w:val="0"/>
              </w:numPr>
              <w:adjustRightInd w:val="0"/>
              <w:snapToGrid w:val="0"/>
              <w:spacing w:line="288" w:lineRule="auto"/>
              <w:ind w:left="0" w:leftChars="0" w:firstLine="0" w:firstLineChars="0"/>
              <w:jc w:val="center"/>
              <w:rPr>
                <w:rFonts w:hint="default" w:ascii="宋体" w:hAnsi="宋体" w:eastAsia="宋体" w:cs="宋体"/>
                <w:color w:val="auto"/>
                <w:spacing w:val="0"/>
                <w:kern w:val="2"/>
                <w:sz w:val="24"/>
                <w:szCs w:val="24"/>
                <w:highlight w:val="none"/>
                <w:lang w:val="en-US" w:eastAsia="zh-CN" w:bidi="ar-SA"/>
              </w:rPr>
            </w:pPr>
            <w:r>
              <w:rPr>
                <w:rFonts w:hint="eastAsia" w:ascii="宋体" w:hAnsi="宋体" w:cs="宋体"/>
                <w:color w:val="auto"/>
                <w:spacing w:val="0"/>
                <w:kern w:val="2"/>
                <w:sz w:val="24"/>
                <w:szCs w:val="24"/>
                <w:highlight w:val="none"/>
                <w:lang w:val="en-US" w:eastAsia="zh-CN" w:bidi="ar-SA"/>
              </w:rPr>
              <w:t>5</w:t>
            </w:r>
          </w:p>
        </w:tc>
        <w:tc>
          <w:tcPr>
            <w:tcW w:w="5993" w:type="dxa"/>
            <w:tcBorders>
              <w:tl2br w:val="nil"/>
              <w:tr2bl w:val="nil"/>
            </w:tcBorders>
            <w:noWrap w:val="0"/>
            <w:vAlign w:val="center"/>
          </w:tcPr>
          <w:p w14:paraId="4C28CAA0">
            <w:pPr>
              <w:widowControl w:val="0"/>
              <w:numPr>
                <w:ilvl w:val="0"/>
                <w:numId w:val="0"/>
              </w:numPr>
              <w:adjustRightInd w:val="0"/>
              <w:snapToGrid w:val="0"/>
              <w:spacing w:line="288" w:lineRule="auto"/>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bidi="ar-SA"/>
              </w:rPr>
              <w:t>拒绝列入政府取消投标资格期间的企业或个人投标。</w:t>
            </w:r>
          </w:p>
        </w:tc>
        <w:tc>
          <w:tcPr>
            <w:tcW w:w="2020" w:type="dxa"/>
            <w:tcBorders>
              <w:tl2br w:val="nil"/>
              <w:tr2bl w:val="nil"/>
            </w:tcBorders>
            <w:noWrap w:val="0"/>
            <w:vAlign w:val="center"/>
          </w:tcPr>
          <w:p w14:paraId="5F04CAD7">
            <w:pPr>
              <w:widowControl w:val="0"/>
              <w:numPr>
                <w:ilvl w:val="0"/>
                <w:numId w:val="0"/>
              </w:numPr>
              <w:adjustRightInd w:val="0"/>
              <w:snapToGrid w:val="0"/>
              <w:spacing w:line="288" w:lineRule="auto"/>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bidi="ar-SA"/>
              </w:rPr>
              <w:t>标书内附法定代表人或委托代理人签字并加盖投标人公章的承诺书</w:t>
            </w:r>
          </w:p>
        </w:tc>
      </w:tr>
      <w:tr w14:paraId="747A7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2" w:type="dxa"/>
            <w:tcBorders>
              <w:tl2br w:val="nil"/>
              <w:tr2bl w:val="nil"/>
            </w:tcBorders>
            <w:noWrap w:val="0"/>
            <w:vAlign w:val="center"/>
          </w:tcPr>
          <w:p w14:paraId="58845CDB">
            <w:pPr>
              <w:widowControl w:val="0"/>
              <w:numPr>
                <w:ilvl w:val="0"/>
                <w:numId w:val="0"/>
              </w:numPr>
              <w:adjustRightInd w:val="0"/>
              <w:snapToGrid w:val="0"/>
              <w:spacing w:line="288" w:lineRule="auto"/>
              <w:ind w:left="0" w:leftChars="0" w:firstLine="0" w:firstLineChars="0"/>
              <w:jc w:val="center"/>
              <w:rPr>
                <w:rFonts w:hint="default" w:ascii="宋体" w:hAnsi="宋体" w:eastAsia="宋体" w:cs="宋体"/>
                <w:color w:val="auto"/>
                <w:spacing w:val="0"/>
                <w:kern w:val="2"/>
                <w:sz w:val="24"/>
                <w:szCs w:val="24"/>
                <w:highlight w:val="none"/>
                <w:lang w:val="en-US" w:eastAsia="zh-CN" w:bidi="ar-SA"/>
              </w:rPr>
            </w:pPr>
            <w:r>
              <w:rPr>
                <w:rFonts w:hint="eastAsia" w:ascii="宋体" w:hAnsi="宋体" w:cs="宋体"/>
                <w:color w:val="auto"/>
                <w:spacing w:val="0"/>
                <w:kern w:val="2"/>
                <w:sz w:val="24"/>
                <w:szCs w:val="24"/>
                <w:highlight w:val="none"/>
                <w:lang w:val="en-US" w:eastAsia="zh-CN" w:bidi="ar-SA"/>
              </w:rPr>
              <w:t>6</w:t>
            </w:r>
          </w:p>
        </w:tc>
        <w:tc>
          <w:tcPr>
            <w:tcW w:w="5993" w:type="dxa"/>
            <w:tcBorders>
              <w:tl2br w:val="nil"/>
              <w:tr2bl w:val="nil"/>
            </w:tcBorders>
            <w:noWrap w:val="0"/>
            <w:vAlign w:val="center"/>
          </w:tcPr>
          <w:p w14:paraId="733BF1CB">
            <w:pPr>
              <w:widowControl w:val="0"/>
              <w:numPr>
                <w:ilvl w:val="0"/>
                <w:numId w:val="0"/>
              </w:numPr>
              <w:adjustRightInd w:val="0"/>
              <w:snapToGrid w:val="0"/>
              <w:spacing w:line="288" w:lineRule="auto"/>
              <w:ind w:left="0" w:leftChars="0" w:firstLine="0" w:firstLineChars="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SA"/>
              </w:rPr>
              <w:t>在中国裁判文书网上，近三年无行贿受贿犯罪记录</w:t>
            </w:r>
          </w:p>
        </w:tc>
        <w:tc>
          <w:tcPr>
            <w:tcW w:w="2020" w:type="dxa"/>
            <w:tcBorders>
              <w:tl2br w:val="nil"/>
              <w:tr2bl w:val="nil"/>
            </w:tcBorders>
            <w:noWrap w:val="0"/>
            <w:vAlign w:val="center"/>
          </w:tcPr>
          <w:p w14:paraId="6AAAA9DC">
            <w:pPr>
              <w:widowControl w:val="0"/>
              <w:numPr>
                <w:ilvl w:val="0"/>
                <w:numId w:val="0"/>
              </w:numPr>
              <w:adjustRightInd w:val="0"/>
              <w:snapToGrid w:val="0"/>
              <w:spacing w:line="288" w:lineRule="auto"/>
              <w:ind w:left="0" w:leftChars="0" w:firstLine="0" w:firstLineChars="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SA"/>
              </w:rPr>
              <w:t>近三年无行贿受贿犯罪记录</w:t>
            </w:r>
          </w:p>
        </w:tc>
      </w:tr>
      <w:tr w14:paraId="2A02D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2" w:type="dxa"/>
            <w:tcBorders>
              <w:tl2br w:val="nil"/>
              <w:tr2bl w:val="nil"/>
            </w:tcBorders>
            <w:noWrap w:val="0"/>
            <w:vAlign w:val="center"/>
          </w:tcPr>
          <w:p w14:paraId="1F43C286">
            <w:pPr>
              <w:widowControl w:val="0"/>
              <w:numPr>
                <w:ilvl w:val="0"/>
                <w:numId w:val="0"/>
              </w:numPr>
              <w:adjustRightInd w:val="0"/>
              <w:snapToGrid w:val="0"/>
              <w:spacing w:line="288" w:lineRule="auto"/>
              <w:ind w:left="0" w:leftChars="0" w:firstLine="0" w:firstLineChars="0"/>
              <w:jc w:val="center"/>
              <w:rPr>
                <w:rFonts w:hint="default" w:ascii="宋体" w:hAnsi="宋体" w:cs="宋体"/>
                <w:color w:val="auto"/>
                <w:spacing w:val="0"/>
                <w:kern w:val="2"/>
                <w:sz w:val="24"/>
                <w:szCs w:val="24"/>
                <w:highlight w:val="none"/>
                <w:lang w:val="en-US" w:eastAsia="zh-CN" w:bidi="ar-SA"/>
              </w:rPr>
            </w:pPr>
            <w:r>
              <w:rPr>
                <w:rFonts w:hint="eastAsia" w:ascii="宋体" w:hAnsi="宋体" w:cs="宋体"/>
                <w:color w:val="auto"/>
                <w:spacing w:val="0"/>
                <w:kern w:val="2"/>
                <w:sz w:val="24"/>
                <w:szCs w:val="24"/>
                <w:highlight w:val="none"/>
                <w:lang w:val="en-US" w:eastAsia="zh-CN" w:bidi="ar-SA"/>
              </w:rPr>
              <w:t>7</w:t>
            </w:r>
          </w:p>
        </w:tc>
        <w:tc>
          <w:tcPr>
            <w:tcW w:w="5993" w:type="dxa"/>
            <w:tcBorders>
              <w:tl2br w:val="nil"/>
              <w:tr2bl w:val="nil"/>
            </w:tcBorders>
            <w:shd w:val="clear" w:color="auto" w:fill="auto"/>
            <w:noWrap w:val="0"/>
            <w:vAlign w:val="center"/>
          </w:tcPr>
          <w:p w14:paraId="59E1D89A">
            <w:pPr>
              <w:widowControl w:val="0"/>
              <w:numPr>
                <w:ilvl w:val="0"/>
                <w:numId w:val="0"/>
              </w:numPr>
              <w:adjustRightInd w:val="0"/>
              <w:snapToGrid w:val="0"/>
              <w:spacing w:line="288"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spacing w:val="-6"/>
                <w:highlight w:val="none"/>
              </w:rPr>
              <w:t>供应商应当为中型、小型、微型企业（监狱企业和残</w:t>
            </w:r>
            <w:r>
              <w:rPr>
                <w:spacing w:val="10"/>
                <w:highlight w:val="none"/>
              </w:rPr>
              <w:t xml:space="preserve"> </w:t>
            </w:r>
            <w:r>
              <w:rPr>
                <w:spacing w:val="-3"/>
                <w:highlight w:val="none"/>
              </w:rPr>
              <w:t>疾人福利性单位视同小型、微型企业</w:t>
            </w:r>
            <w:r>
              <w:rPr>
                <w:spacing w:val="-33"/>
                <w:highlight w:val="none"/>
              </w:rPr>
              <w:t>）：</w:t>
            </w:r>
            <w:r>
              <w:rPr>
                <w:spacing w:val="-3"/>
                <w:highlight w:val="none"/>
              </w:rPr>
              <w:t>①符合国务</w:t>
            </w:r>
            <w:r>
              <w:rPr>
                <w:spacing w:val="1"/>
                <w:highlight w:val="none"/>
              </w:rPr>
              <w:t xml:space="preserve"> </w:t>
            </w:r>
            <w:r>
              <w:rPr>
                <w:spacing w:val="-6"/>
                <w:highlight w:val="none"/>
              </w:rPr>
              <w:t>院批准的中小企业划分标准的中型、小型、微型企业</w:t>
            </w:r>
            <w:r>
              <w:rPr>
                <w:spacing w:val="10"/>
                <w:highlight w:val="none"/>
              </w:rPr>
              <w:t xml:space="preserve"> </w:t>
            </w:r>
            <w:r>
              <w:rPr>
                <w:spacing w:val="-6"/>
                <w:highlight w:val="none"/>
              </w:rPr>
              <w:t>的供应商须出具《政府采购促进中小企业发展管理办</w:t>
            </w:r>
            <w:r>
              <w:rPr>
                <w:spacing w:val="10"/>
                <w:highlight w:val="none"/>
              </w:rPr>
              <w:t xml:space="preserve"> </w:t>
            </w:r>
            <w:r>
              <w:rPr>
                <w:spacing w:val="-1"/>
                <w:highlight w:val="none"/>
              </w:rPr>
              <w:t>法》的通知（财库〔2020〕46</w:t>
            </w:r>
            <w:r>
              <w:rPr>
                <w:spacing w:val="-45"/>
                <w:highlight w:val="none"/>
              </w:rPr>
              <w:t xml:space="preserve"> </w:t>
            </w:r>
            <w:r>
              <w:rPr>
                <w:spacing w:val="-1"/>
                <w:highlight w:val="none"/>
              </w:rPr>
              <w:t>号）规定的《中小企</w:t>
            </w:r>
            <w:r>
              <w:rPr>
                <w:highlight w:val="none"/>
              </w:rPr>
              <w:t xml:space="preserve"> </w:t>
            </w:r>
            <w:r>
              <w:rPr>
                <w:spacing w:val="-6"/>
                <w:highlight w:val="none"/>
              </w:rPr>
              <w:t>业声明函》。②满足《关于政府采购支持监狱企业发</w:t>
            </w:r>
            <w:r>
              <w:rPr>
                <w:spacing w:val="10"/>
                <w:highlight w:val="none"/>
              </w:rPr>
              <w:t xml:space="preserve"> </w:t>
            </w:r>
            <w:r>
              <w:rPr>
                <w:spacing w:val="-1"/>
                <w:highlight w:val="none"/>
              </w:rPr>
              <w:t>展有关问题的通知》（财库〔2014〕68</w:t>
            </w:r>
            <w:r>
              <w:rPr>
                <w:spacing w:val="-45"/>
                <w:highlight w:val="none"/>
              </w:rPr>
              <w:t xml:space="preserve"> </w:t>
            </w:r>
            <w:r>
              <w:rPr>
                <w:spacing w:val="-1"/>
                <w:highlight w:val="none"/>
              </w:rPr>
              <w:t>号）规定的</w:t>
            </w:r>
            <w:r>
              <w:rPr>
                <w:highlight w:val="none"/>
              </w:rPr>
              <w:t xml:space="preserve"> </w:t>
            </w:r>
            <w:r>
              <w:rPr>
                <w:spacing w:val="-6"/>
                <w:highlight w:val="none"/>
              </w:rPr>
              <w:t>监狱企业：提供由省级以上监狱管理局、戒毒管理局</w:t>
            </w:r>
            <w:r>
              <w:rPr>
                <w:spacing w:val="10"/>
                <w:highlight w:val="none"/>
              </w:rPr>
              <w:t xml:space="preserve"> </w:t>
            </w:r>
            <w:r>
              <w:rPr>
                <w:spacing w:val="-6"/>
                <w:highlight w:val="none"/>
              </w:rPr>
              <w:t>（含新疆生产建设兵团）出具的属于监狱企业的证明</w:t>
            </w:r>
            <w:r>
              <w:rPr>
                <w:spacing w:val="10"/>
                <w:highlight w:val="none"/>
              </w:rPr>
              <w:t xml:space="preserve"> </w:t>
            </w:r>
            <w:r>
              <w:rPr>
                <w:spacing w:val="-6"/>
                <w:highlight w:val="none"/>
              </w:rPr>
              <w:t>文件（加盖供应商公章）。③满足《三部门联合发布</w:t>
            </w:r>
            <w:r>
              <w:rPr>
                <w:spacing w:val="10"/>
                <w:highlight w:val="none"/>
              </w:rPr>
              <w:t xml:space="preserve"> </w:t>
            </w:r>
            <w:r>
              <w:rPr>
                <w:spacing w:val="-11"/>
                <w:highlight w:val="none"/>
              </w:rPr>
              <w:t>关于促进残疾人就业政府采购政策的通知》（财库〔2</w:t>
            </w:r>
            <w:r>
              <w:rPr>
                <w:spacing w:val="16"/>
                <w:highlight w:val="none"/>
              </w:rPr>
              <w:t xml:space="preserve"> </w:t>
            </w:r>
            <w:r>
              <w:rPr>
                <w:spacing w:val="-1"/>
                <w:highlight w:val="none"/>
              </w:rPr>
              <w:t>017〕141</w:t>
            </w:r>
            <w:r>
              <w:rPr>
                <w:spacing w:val="-45"/>
                <w:highlight w:val="none"/>
              </w:rPr>
              <w:t xml:space="preserve"> </w:t>
            </w:r>
            <w:r>
              <w:rPr>
                <w:spacing w:val="-1"/>
                <w:highlight w:val="none"/>
              </w:rPr>
              <w:t>号）规定的残疾人福利性单位：提供《残</w:t>
            </w:r>
            <w:r>
              <w:rPr>
                <w:highlight w:val="none"/>
              </w:rPr>
              <w:t xml:space="preserve"> </w:t>
            </w:r>
            <w:r>
              <w:rPr>
                <w:spacing w:val="-1"/>
                <w:highlight w:val="none"/>
              </w:rPr>
              <w:t>疾人福利性单位声明函》。</w:t>
            </w:r>
          </w:p>
        </w:tc>
        <w:tc>
          <w:tcPr>
            <w:tcW w:w="2020" w:type="dxa"/>
            <w:tcBorders>
              <w:tl2br w:val="nil"/>
              <w:tr2bl w:val="nil"/>
            </w:tcBorders>
            <w:shd w:val="clear" w:color="auto" w:fill="auto"/>
            <w:noWrap w:val="0"/>
            <w:vAlign w:val="center"/>
          </w:tcPr>
          <w:p w14:paraId="045BA691">
            <w:pPr>
              <w:widowControl w:val="0"/>
              <w:numPr>
                <w:ilvl w:val="0"/>
                <w:numId w:val="0"/>
              </w:numPr>
              <w:adjustRightInd w:val="0"/>
              <w:snapToGrid w:val="0"/>
              <w:spacing w:line="288"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Arial" w:hAnsi="Arial" w:eastAsia="Arial" w:cs="Arial"/>
                <w:snapToGrid w:val="0"/>
                <w:color w:val="000000"/>
                <w:spacing w:val="-4"/>
                <w:kern w:val="0"/>
                <w:sz w:val="21"/>
                <w:szCs w:val="21"/>
                <w:highlight w:val="none"/>
                <w:lang w:val="en-US" w:eastAsia="en-US" w:bidi="ar-SA"/>
              </w:rPr>
              <w:t>标书内附复印件加盖单位公章</w:t>
            </w:r>
          </w:p>
        </w:tc>
      </w:tr>
    </w:tbl>
    <w:p w14:paraId="7554912C">
      <w:pPr>
        <w:shd w:val="clear" w:color="auto" w:fill="auto"/>
        <w:autoSpaceDE w:val="0"/>
        <w:autoSpaceDN w:val="0"/>
        <w:adjustRightInd w:val="0"/>
        <w:spacing w:line="440" w:lineRule="exact"/>
        <w:jc w:val="left"/>
        <w:rPr>
          <w:rFonts w:hint="eastAsia" w:ascii="宋体" w:cs="宋体"/>
          <w:kern w:val="0"/>
          <w:sz w:val="24"/>
          <w:highlight w:val="none"/>
        </w:rPr>
      </w:pPr>
      <w:r>
        <w:rPr>
          <w:rFonts w:hint="eastAsia" w:ascii="宋体" w:cs="宋体"/>
          <w:kern w:val="0"/>
          <w:sz w:val="24"/>
          <w:highlight w:val="none"/>
        </w:rPr>
        <w:t>注：1、营业执照、组织机构代码证与税务登记证实行“三证合一”的执行《国务院办公厅关于加快推进“三证合一”登记制度改革的意见》国办发〔2015〕50号。</w:t>
      </w:r>
    </w:p>
    <w:p w14:paraId="4E4B2822">
      <w:pPr>
        <w:shd w:val="clear" w:color="auto" w:fill="auto"/>
        <w:autoSpaceDE w:val="0"/>
        <w:autoSpaceDN w:val="0"/>
        <w:adjustRightInd w:val="0"/>
        <w:spacing w:line="440" w:lineRule="exact"/>
        <w:jc w:val="left"/>
        <w:rPr>
          <w:rFonts w:hint="eastAsia" w:ascii="宋体" w:cs="宋体"/>
          <w:kern w:val="0"/>
          <w:sz w:val="24"/>
          <w:highlight w:val="none"/>
        </w:rPr>
      </w:pPr>
      <w:r>
        <w:rPr>
          <w:rFonts w:hint="eastAsia" w:ascii="宋体" w:cs="宋体"/>
          <w:kern w:val="0"/>
          <w:sz w:val="24"/>
          <w:highlight w:val="none"/>
        </w:rPr>
        <w:t xml:space="preserve">2、根据中华人民共和国财政部令第87号 《政府采购货物和服务招标投标管理办法》第六十条：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    </w:t>
      </w:r>
    </w:p>
    <w:p w14:paraId="37760D06">
      <w:pPr>
        <w:rPr>
          <w:rFonts w:hint="eastAsia" w:ascii="宋体" w:cs="宋体"/>
          <w:b/>
          <w:sz w:val="28"/>
          <w:szCs w:val="20"/>
          <w:highlight w:val="none"/>
        </w:rPr>
      </w:pPr>
      <w:r>
        <w:rPr>
          <w:rFonts w:hint="eastAsia" w:ascii="宋体" w:cs="宋体"/>
          <w:b/>
          <w:sz w:val="28"/>
          <w:szCs w:val="20"/>
          <w:highlight w:val="none"/>
        </w:rPr>
        <w:br w:type="page"/>
      </w:r>
    </w:p>
    <w:p w14:paraId="59F167BC">
      <w:pPr>
        <w:numPr>
          <w:ilvl w:val="0"/>
          <w:numId w:val="0"/>
        </w:numPr>
        <w:shd w:val="clear" w:color="auto" w:fill="auto"/>
        <w:spacing w:line="500" w:lineRule="exact"/>
        <w:jc w:val="both"/>
        <w:textAlignment w:val="baseline"/>
        <w:rPr>
          <w:rFonts w:hint="eastAsia" w:ascii="宋体" w:cs="宋体"/>
          <w:b/>
          <w:sz w:val="28"/>
          <w:szCs w:val="20"/>
          <w:highlight w:val="none"/>
        </w:rPr>
      </w:pPr>
    </w:p>
    <w:p w14:paraId="4F9E7532">
      <w:pPr>
        <w:shd w:val="clear" w:color="auto" w:fill="auto"/>
        <w:spacing w:line="500" w:lineRule="exact"/>
        <w:jc w:val="center"/>
        <w:textAlignment w:val="baseline"/>
        <w:rPr>
          <w:rFonts w:hint="eastAsia" w:ascii="宋体" w:cs="宋体"/>
          <w:b/>
          <w:sz w:val="28"/>
          <w:szCs w:val="20"/>
          <w:highlight w:val="none"/>
        </w:rPr>
      </w:pPr>
      <w:r>
        <w:rPr>
          <w:rFonts w:hint="eastAsia" w:ascii="宋体" w:cs="宋体"/>
          <w:b/>
          <w:sz w:val="28"/>
          <w:szCs w:val="20"/>
          <w:highlight w:val="none"/>
        </w:rPr>
        <w:t>（二）符合性评审表</w:t>
      </w:r>
    </w:p>
    <w:tbl>
      <w:tblPr>
        <w:tblStyle w:val="4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8"/>
        <w:gridCol w:w="7102"/>
      </w:tblGrid>
      <w:tr w14:paraId="1E051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blHeader/>
          <w:jc w:val="center"/>
        </w:trPr>
        <w:tc>
          <w:tcPr>
            <w:tcW w:w="2078" w:type="dxa"/>
            <w:tcBorders>
              <w:tl2br w:val="nil"/>
              <w:tr2bl w:val="nil"/>
            </w:tcBorders>
            <w:noWrap w:val="0"/>
            <w:vAlign w:val="center"/>
          </w:tcPr>
          <w:p w14:paraId="208D188E">
            <w:pPr>
              <w:widowControl/>
              <w:numPr>
                <w:ilvl w:val="0"/>
                <w:numId w:val="0"/>
              </w:numPr>
              <w:shd w:val="clear" w:color="auto" w:fill="auto"/>
              <w:autoSpaceDE/>
              <w:autoSpaceDN/>
              <w:adjustRightInd/>
              <w:snapToGrid/>
              <w:spacing w:line="240" w:lineRule="atLeast"/>
              <w:ind w:left="0" w:leftChars="0" w:firstLine="0" w:firstLineChars="0"/>
              <w:jc w:val="left"/>
              <w:rPr>
                <w:rFonts w:hint="eastAsia" w:asciiTheme="minorEastAsia" w:hAnsiTheme="minorEastAsia" w:eastAsiaTheme="minorEastAsia" w:cstheme="minorEastAsia"/>
                <w:bCs w:val="0"/>
                <w:kern w:val="2"/>
                <w:sz w:val="24"/>
                <w:szCs w:val="24"/>
                <w:highlight w:val="none"/>
                <w:lang w:val="zh-CN" w:eastAsia="zh-CN" w:bidi="ar-SA"/>
              </w:rPr>
            </w:pPr>
            <w:r>
              <w:rPr>
                <w:rFonts w:hint="eastAsia" w:asciiTheme="minorEastAsia" w:hAnsiTheme="minorEastAsia" w:eastAsiaTheme="minorEastAsia" w:cstheme="minorEastAsia"/>
                <w:bCs w:val="0"/>
                <w:kern w:val="2"/>
                <w:sz w:val="24"/>
                <w:szCs w:val="24"/>
                <w:highlight w:val="none"/>
                <w:lang w:val="zh-CN" w:eastAsia="zh-CN" w:bidi="ar-SA"/>
              </w:rPr>
              <w:t>评审因素</w:t>
            </w:r>
          </w:p>
        </w:tc>
        <w:tc>
          <w:tcPr>
            <w:tcW w:w="7102" w:type="dxa"/>
            <w:tcBorders>
              <w:tl2br w:val="nil"/>
              <w:tr2bl w:val="nil"/>
            </w:tcBorders>
            <w:noWrap w:val="0"/>
            <w:vAlign w:val="center"/>
          </w:tcPr>
          <w:p w14:paraId="5E529802">
            <w:pPr>
              <w:widowControl/>
              <w:numPr>
                <w:ilvl w:val="0"/>
                <w:numId w:val="0"/>
              </w:numPr>
              <w:shd w:val="clear" w:color="auto" w:fill="auto"/>
              <w:autoSpaceDE/>
              <w:autoSpaceDN/>
              <w:adjustRightInd/>
              <w:snapToGrid/>
              <w:spacing w:line="240" w:lineRule="atLeast"/>
              <w:ind w:left="0" w:leftChars="0" w:firstLine="480" w:firstLineChars="200"/>
              <w:jc w:val="left"/>
              <w:rPr>
                <w:rFonts w:hint="eastAsia" w:asciiTheme="minorEastAsia" w:hAnsiTheme="minorEastAsia" w:eastAsiaTheme="minorEastAsia" w:cstheme="minorEastAsia"/>
                <w:bCs w:val="0"/>
                <w:kern w:val="2"/>
                <w:sz w:val="24"/>
                <w:szCs w:val="24"/>
                <w:highlight w:val="none"/>
                <w:lang w:val="zh-CN" w:eastAsia="zh-CN" w:bidi="ar-SA"/>
              </w:rPr>
            </w:pPr>
            <w:r>
              <w:rPr>
                <w:rFonts w:hint="eastAsia" w:asciiTheme="minorEastAsia" w:hAnsiTheme="minorEastAsia" w:eastAsiaTheme="minorEastAsia" w:cstheme="minorEastAsia"/>
                <w:bCs w:val="0"/>
                <w:kern w:val="2"/>
                <w:sz w:val="24"/>
                <w:szCs w:val="24"/>
                <w:highlight w:val="none"/>
                <w:lang w:val="zh-CN" w:eastAsia="zh-CN" w:bidi="ar-SA"/>
              </w:rPr>
              <w:t>评审标准</w:t>
            </w:r>
          </w:p>
        </w:tc>
      </w:tr>
      <w:tr w14:paraId="4FF37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2078" w:type="dxa"/>
            <w:tcBorders>
              <w:tl2br w:val="nil"/>
              <w:tr2bl w:val="nil"/>
            </w:tcBorders>
            <w:noWrap w:val="0"/>
            <w:vAlign w:val="center"/>
          </w:tcPr>
          <w:p w14:paraId="463BD0E5">
            <w:pPr>
              <w:widowControl/>
              <w:numPr>
                <w:ilvl w:val="0"/>
                <w:numId w:val="0"/>
              </w:numPr>
              <w:shd w:val="clear" w:color="auto" w:fill="auto"/>
              <w:autoSpaceDE/>
              <w:autoSpaceDN/>
              <w:adjustRightInd/>
              <w:snapToGrid/>
              <w:spacing w:line="240" w:lineRule="atLeast"/>
              <w:ind w:left="0" w:leftChars="0" w:firstLine="0" w:firstLineChars="0"/>
              <w:jc w:val="left"/>
              <w:rPr>
                <w:rFonts w:hint="eastAsia" w:asciiTheme="minorEastAsia" w:hAnsiTheme="minorEastAsia" w:eastAsiaTheme="minorEastAsia" w:cstheme="minorEastAsia"/>
                <w:bCs w:val="0"/>
                <w:kern w:val="2"/>
                <w:sz w:val="24"/>
                <w:szCs w:val="24"/>
                <w:highlight w:val="none"/>
                <w:lang w:val="zh-CN" w:eastAsia="zh-CN" w:bidi="ar-SA"/>
              </w:rPr>
            </w:pPr>
            <w:r>
              <w:rPr>
                <w:rFonts w:hint="eastAsia" w:asciiTheme="minorEastAsia" w:hAnsiTheme="minorEastAsia" w:eastAsiaTheme="minorEastAsia" w:cstheme="minorEastAsia"/>
                <w:bCs w:val="0"/>
                <w:kern w:val="2"/>
                <w:sz w:val="24"/>
                <w:szCs w:val="24"/>
                <w:highlight w:val="none"/>
                <w:lang w:val="zh-CN" w:eastAsia="zh-CN" w:bidi="ar-SA"/>
              </w:rPr>
              <w:t>投标人名称</w:t>
            </w:r>
          </w:p>
        </w:tc>
        <w:tc>
          <w:tcPr>
            <w:tcW w:w="7102" w:type="dxa"/>
            <w:tcBorders>
              <w:tl2br w:val="nil"/>
              <w:tr2bl w:val="nil"/>
            </w:tcBorders>
            <w:noWrap w:val="0"/>
            <w:vAlign w:val="center"/>
          </w:tcPr>
          <w:p w14:paraId="53198B6D">
            <w:pPr>
              <w:widowControl/>
              <w:numPr>
                <w:ilvl w:val="0"/>
                <w:numId w:val="0"/>
              </w:numPr>
              <w:shd w:val="clear" w:color="auto" w:fill="auto"/>
              <w:autoSpaceDE/>
              <w:autoSpaceDN/>
              <w:adjustRightInd/>
              <w:snapToGrid/>
              <w:spacing w:line="240" w:lineRule="atLeast"/>
              <w:ind w:left="0" w:leftChars="0" w:firstLine="0" w:firstLineChars="0"/>
              <w:jc w:val="left"/>
              <w:rPr>
                <w:rFonts w:hint="eastAsia" w:asciiTheme="minorEastAsia" w:hAnsiTheme="minorEastAsia" w:eastAsiaTheme="minorEastAsia" w:cstheme="minorEastAsia"/>
                <w:bCs w:val="0"/>
                <w:kern w:val="2"/>
                <w:sz w:val="24"/>
                <w:szCs w:val="24"/>
                <w:highlight w:val="none"/>
                <w:lang w:val="zh-CN" w:eastAsia="zh-CN" w:bidi="ar-SA"/>
              </w:rPr>
            </w:pPr>
            <w:r>
              <w:rPr>
                <w:rFonts w:hint="eastAsia" w:asciiTheme="minorEastAsia" w:hAnsiTheme="minorEastAsia" w:eastAsiaTheme="minorEastAsia" w:cstheme="minorEastAsia"/>
                <w:bCs w:val="0"/>
                <w:kern w:val="2"/>
                <w:sz w:val="24"/>
                <w:szCs w:val="24"/>
                <w:highlight w:val="none"/>
                <w:lang w:val="zh-CN" w:eastAsia="zh-CN" w:bidi="ar-SA"/>
              </w:rPr>
              <w:t>与营业执照一致</w:t>
            </w:r>
          </w:p>
        </w:tc>
      </w:tr>
      <w:tr w14:paraId="3D99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2078" w:type="dxa"/>
            <w:tcBorders>
              <w:tl2br w:val="nil"/>
              <w:tr2bl w:val="nil"/>
            </w:tcBorders>
            <w:noWrap w:val="0"/>
            <w:vAlign w:val="center"/>
          </w:tcPr>
          <w:p w14:paraId="57E0163A">
            <w:pPr>
              <w:widowControl/>
              <w:numPr>
                <w:ilvl w:val="0"/>
                <w:numId w:val="0"/>
              </w:numPr>
              <w:shd w:val="clear" w:color="auto" w:fill="auto"/>
              <w:autoSpaceDE/>
              <w:autoSpaceDN/>
              <w:adjustRightInd/>
              <w:snapToGrid/>
              <w:spacing w:line="240" w:lineRule="atLeast"/>
              <w:ind w:left="0" w:leftChars="0" w:firstLine="0" w:firstLineChars="0"/>
              <w:jc w:val="left"/>
              <w:rPr>
                <w:rFonts w:hint="eastAsia" w:asciiTheme="minorEastAsia" w:hAnsiTheme="minorEastAsia" w:eastAsiaTheme="minorEastAsia" w:cstheme="minorEastAsia"/>
                <w:bCs w:val="0"/>
                <w:kern w:val="2"/>
                <w:sz w:val="24"/>
                <w:szCs w:val="24"/>
                <w:highlight w:val="none"/>
                <w:lang w:val="en-US" w:eastAsia="zh-CN" w:bidi="ar-SA"/>
              </w:rPr>
            </w:pPr>
            <w:r>
              <w:rPr>
                <w:rFonts w:hint="eastAsia" w:asciiTheme="minorEastAsia" w:hAnsiTheme="minorEastAsia" w:eastAsiaTheme="minorEastAsia" w:cstheme="minorEastAsia"/>
                <w:bCs w:val="0"/>
                <w:kern w:val="2"/>
                <w:sz w:val="24"/>
                <w:szCs w:val="24"/>
                <w:highlight w:val="none"/>
                <w:lang w:val="zh-CN" w:eastAsia="zh-CN" w:bidi="ar-SA"/>
              </w:rPr>
              <w:t>签字盖章</w:t>
            </w:r>
            <w:r>
              <w:rPr>
                <w:rFonts w:hint="eastAsia" w:asciiTheme="minorEastAsia" w:hAnsiTheme="minorEastAsia" w:eastAsiaTheme="minorEastAsia" w:cstheme="minorEastAsia"/>
                <w:bCs w:val="0"/>
                <w:kern w:val="2"/>
                <w:sz w:val="24"/>
                <w:szCs w:val="24"/>
                <w:highlight w:val="none"/>
                <w:lang w:val="en-US" w:eastAsia="zh-CN" w:bidi="ar-SA"/>
              </w:rPr>
              <w:t>要求</w:t>
            </w:r>
          </w:p>
        </w:tc>
        <w:tc>
          <w:tcPr>
            <w:tcW w:w="7102" w:type="dxa"/>
            <w:tcBorders>
              <w:tl2br w:val="nil"/>
              <w:tr2bl w:val="nil"/>
            </w:tcBorders>
            <w:noWrap w:val="0"/>
            <w:vAlign w:val="center"/>
          </w:tcPr>
          <w:p w14:paraId="0C117D2E">
            <w:pPr>
              <w:widowControl/>
              <w:numPr>
                <w:ilvl w:val="0"/>
                <w:numId w:val="0"/>
              </w:numPr>
              <w:shd w:val="clear" w:color="auto" w:fill="auto"/>
              <w:autoSpaceDE/>
              <w:autoSpaceDN/>
              <w:adjustRightInd/>
              <w:snapToGrid/>
              <w:spacing w:line="240" w:lineRule="atLeast"/>
              <w:ind w:left="0" w:leftChars="0" w:firstLine="0" w:firstLineChars="0"/>
              <w:jc w:val="left"/>
              <w:rPr>
                <w:rFonts w:hint="eastAsia" w:asciiTheme="minorEastAsia" w:hAnsiTheme="minorEastAsia" w:eastAsiaTheme="minorEastAsia" w:cstheme="minorEastAsia"/>
                <w:bCs w:val="0"/>
                <w:kern w:val="2"/>
                <w:sz w:val="24"/>
                <w:szCs w:val="24"/>
                <w:highlight w:val="none"/>
                <w:lang w:val="en-US" w:eastAsia="zh-CN" w:bidi="ar-SA"/>
              </w:rPr>
            </w:pPr>
            <w:r>
              <w:rPr>
                <w:rFonts w:hint="eastAsia" w:asciiTheme="minorEastAsia" w:hAnsiTheme="minorEastAsia" w:eastAsiaTheme="minorEastAsia" w:cstheme="minorEastAsia"/>
                <w:bCs w:val="0"/>
                <w:kern w:val="2"/>
                <w:sz w:val="24"/>
                <w:szCs w:val="24"/>
                <w:highlight w:val="none"/>
                <w:lang w:val="en-US" w:eastAsia="zh-CN" w:bidi="ar-SA"/>
              </w:rPr>
              <w:t>符合招标文件格式</w:t>
            </w:r>
          </w:p>
        </w:tc>
      </w:tr>
      <w:tr w14:paraId="6AC24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2078" w:type="dxa"/>
            <w:tcBorders>
              <w:tl2br w:val="nil"/>
              <w:tr2bl w:val="nil"/>
            </w:tcBorders>
            <w:noWrap w:val="0"/>
            <w:vAlign w:val="center"/>
          </w:tcPr>
          <w:p w14:paraId="607441AF">
            <w:pPr>
              <w:widowControl/>
              <w:numPr>
                <w:ilvl w:val="0"/>
                <w:numId w:val="0"/>
              </w:numPr>
              <w:shd w:val="clear" w:color="auto" w:fill="auto"/>
              <w:autoSpaceDE/>
              <w:autoSpaceDN/>
              <w:adjustRightInd/>
              <w:snapToGrid/>
              <w:spacing w:line="240" w:lineRule="atLeast"/>
              <w:ind w:left="0" w:leftChars="0" w:firstLine="0" w:firstLineChars="0"/>
              <w:jc w:val="left"/>
              <w:rPr>
                <w:rFonts w:hint="default" w:asciiTheme="minorEastAsia" w:hAnsiTheme="minorEastAsia" w:eastAsiaTheme="minorEastAsia" w:cstheme="minorEastAsia"/>
                <w:bCs w:val="0"/>
                <w:color w:val="C00000"/>
                <w:kern w:val="2"/>
                <w:sz w:val="24"/>
                <w:szCs w:val="24"/>
                <w:highlight w:val="none"/>
                <w:lang w:val="en-US" w:eastAsia="zh-CN" w:bidi="ar-SA"/>
              </w:rPr>
            </w:pPr>
            <w:r>
              <w:rPr>
                <w:rFonts w:hint="eastAsia" w:asciiTheme="minorEastAsia" w:hAnsiTheme="minorEastAsia" w:eastAsiaTheme="minorEastAsia" w:cstheme="minorEastAsia"/>
                <w:bCs w:val="0"/>
                <w:kern w:val="2"/>
                <w:sz w:val="24"/>
                <w:szCs w:val="24"/>
                <w:highlight w:val="none"/>
                <w:lang w:val="en-US" w:eastAsia="zh-CN" w:bidi="ar-SA"/>
              </w:rPr>
              <w:t>服务期限</w:t>
            </w:r>
          </w:p>
        </w:tc>
        <w:tc>
          <w:tcPr>
            <w:tcW w:w="7102" w:type="dxa"/>
            <w:tcBorders>
              <w:tl2br w:val="nil"/>
              <w:tr2bl w:val="nil"/>
            </w:tcBorders>
            <w:noWrap w:val="0"/>
            <w:vAlign w:val="center"/>
          </w:tcPr>
          <w:p w14:paraId="22D32690">
            <w:pPr>
              <w:widowControl/>
              <w:numPr>
                <w:ilvl w:val="0"/>
                <w:numId w:val="0"/>
              </w:numPr>
              <w:shd w:val="clear" w:color="auto" w:fill="auto"/>
              <w:autoSpaceDE/>
              <w:autoSpaceDN/>
              <w:adjustRightInd/>
              <w:snapToGrid/>
              <w:spacing w:line="240" w:lineRule="atLeast"/>
              <w:ind w:left="0" w:leftChars="0" w:firstLine="0" w:firstLineChars="0"/>
              <w:jc w:val="left"/>
              <w:rPr>
                <w:rFonts w:hint="eastAsia" w:asciiTheme="minorEastAsia" w:hAnsiTheme="minorEastAsia" w:eastAsiaTheme="minorEastAsia" w:cstheme="minorEastAsia"/>
                <w:bCs w:val="0"/>
                <w:color w:val="C00000"/>
                <w:kern w:val="2"/>
                <w:sz w:val="24"/>
                <w:szCs w:val="24"/>
                <w:highlight w:val="none"/>
                <w:lang w:val="en-US" w:eastAsia="zh-CN" w:bidi="ar-SA"/>
              </w:rPr>
            </w:pPr>
            <w:r>
              <w:rPr>
                <w:rFonts w:hint="eastAsia" w:asciiTheme="minorEastAsia" w:hAnsiTheme="minorEastAsia" w:eastAsiaTheme="minorEastAsia" w:cstheme="minorEastAsia"/>
                <w:bCs w:val="0"/>
                <w:kern w:val="2"/>
                <w:sz w:val="24"/>
                <w:szCs w:val="24"/>
                <w:highlight w:val="none"/>
                <w:lang w:val="en-US" w:eastAsia="zh-CN" w:bidi="ar-SA"/>
              </w:rPr>
              <w:t>一年</w:t>
            </w:r>
          </w:p>
        </w:tc>
      </w:tr>
      <w:tr w14:paraId="40439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2078" w:type="dxa"/>
            <w:tcBorders>
              <w:tl2br w:val="nil"/>
              <w:tr2bl w:val="nil"/>
            </w:tcBorders>
            <w:noWrap w:val="0"/>
            <w:vAlign w:val="center"/>
          </w:tcPr>
          <w:p w14:paraId="2668B0A0">
            <w:pPr>
              <w:widowControl/>
              <w:numPr>
                <w:ilvl w:val="0"/>
                <w:numId w:val="0"/>
              </w:numPr>
              <w:shd w:val="clear" w:color="auto" w:fill="auto"/>
              <w:autoSpaceDE/>
              <w:autoSpaceDN/>
              <w:adjustRightInd/>
              <w:snapToGrid/>
              <w:spacing w:line="240" w:lineRule="atLeast"/>
              <w:ind w:left="0" w:leftChars="0" w:firstLine="0" w:firstLineChars="0"/>
              <w:jc w:val="left"/>
              <w:rPr>
                <w:rFonts w:hint="eastAsia" w:asciiTheme="minorEastAsia" w:hAnsiTheme="minorEastAsia" w:eastAsiaTheme="minorEastAsia" w:cstheme="minorEastAsia"/>
                <w:bCs w:val="0"/>
                <w:kern w:val="2"/>
                <w:sz w:val="24"/>
                <w:szCs w:val="24"/>
                <w:highlight w:val="none"/>
                <w:lang w:val="zh-CN" w:eastAsia="zh-CN" w:bidi="ar-SA"/>
              </w:rPr>
            </w:pPr>
            <w:r>
              <w:rPr>
                <w:rFonts w:hint="eastAsia" w:ascii="宋体" w:hAnsi="宋体" w:eastAsia="宋体" w:cs="宋体"/>
                <w:kern w:val="0"/>
                <w:sz w:val="24"/>
                <w:szCs w:val="24"/>
                <w:highlight w:val="none"/>
                <w:lang w:val="en-US" w:eastAsia="zh-CN"/>
              </w:rPr>
              <w:t>服务标准及要求</w:t>
            </w:r>
          </w:p>
        </w:tc>
        <w:tc>
          <w:tcPr>
            <w:tcW w:w="7102" w:type="dxa"/>
            <w:tcBorders>
              <w:tl2br w:val="nil"/>
              <w:tr2bl w:val="nil"/>
            </w:tcBorders>
            <w:noWrap w:val="0"/>
            <w:vAlign w:val="center"/>
          </w:tcPr>
          <w:p w14:paraId="3121EF04">
            <w:pPr>
              <w:widowControl/>
              <w:numPr>
                <w:ilvl w:val="0"/>
                <w:numId w:val="0"/>
              </w:numPr>
              <w:shd w:val="clear" w:color="auto" w:fill="auto"/>
              <w:autoSpaceDE/>
              <w:autoSpaceDN/>
              <w:adjustRightInd/>
              <w:snapToGrid/>
              <w:spacing w:line="240" w:lineRule="atLeast"/>
              <w:ind w:left="0" w:leftChars="0" w:firstLine="0" w:firstLineChars="0"/>
              <w:jc w:val="left"/>
              <w:rPr>
                <w:rFonts w:hint="eastAsia" w:asciiTheme="minorEastAsia" w:hAnsiTheme="minorEastAsia" w:eastAsiaTheme="minorEastAsia" w:cstheme="minorEastAsia"/>
                <w:bCs w:val="0"/>
                <w:kern w:val="2"/>
                <w:sz w:val="24"/>
                <w:szCs w:val="24"/>
                <w:highlight w:val="none"/>
                <w:lang w:val="zh-CN" w:eastAsia="zh-CN" w:bidi="ar-SA"/>
              </w:rPr>
            </w:pPr>
            <w:r>
              <w:rPr>
                <w:rFonts w:hint="eastAsia" w:asciiTheme="minorEastAsia" w:hAnsiTheme="minorEastAsia" w:eastAsiaTheme="minorEastAsia" w:cstheme="minorEastAsia"/>
                <w:bCs w:val="0"/>
                <w:kern w:val="2"/>
                <w:sz w:val="24"/>
                <w:szCs w:val="24"/>
                <w:highlight w:val="none"/>
                <w:lang w:val="en-US" w:eastAsia="zh-CN" w:bidi="ar-SA"/>
              </w:rPr>
              <w:t>符合招标文件格式</w:t>
            </w:r>
          </w:p>
        </w:tc>
      </w:tr>
      <w:tr w14:paraId="7E2D6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2078" w:type="dxa"/>
            <w:tcBorders>
              <w:tl2br w:val="nil"/>
              <w:tr2bl w:val="nil"/>
            </w:tcBorders>
            <w:noWrap w:val="0"/>
            <w:vAlign w:val="center"/>
          </w:tcPr>
          <w:p w14:paraId="69DFE6C4">
            <w:pPr>
              <w:widowControl/>
              <w:numPr>
                <w:ilvl w:val="0"/>
                <w:numId w:val="0"/>
              </w:numPr>
              <w:shd w:val="clear" w:color="auto" w:fill="auto"/>
              <w:autoSpaceDE/>
              <w:autoSpaceDN/>
              <w:adjustRightInd/>
              <w:snapToGrid/>
              <w:spacing w:line="240" w:lineRule="atLeast"/>
              <w:ind w:left="0" w:leftChars="0" w:firstLine="0" w:firstLineChars="0"/>
              <w:jc w:val="left"/>
              <w:rPr>
                <w:rFonts w:hint="eastAsia" w:asciiTheme="minorEastAsia" w:hAnsiTheme="minorEastAsia" w:eastAsiaTheme="minorEastAsia" w:cstheme="minorEastAsia"/>
                <w:bCs w:val="0"/>
                <w:kern w:val="2"/>
                <w:sz w:val="24"/>
                <w:szCs w:val="24"/>
                <w:highlight w:val="none"/>
                <w:lang w:val="zh-CN" w:eastAsia="zh-CN" w:bidi="ar-SA"/>
              </w:rPr>
            </w:pPr>
            <w:r>
              <w:rPr>
                <w:rFonts w:hint="eastAsia" w:asciiTheme="minorEastAsia" w:hAnsiTheme="minorEastAsia" w:eastAsiaTheme="minorEastAsia" w:cstheme="minorEastAsia"/>
                <w:bCs w:val="0"/>
                <w:kern w:val="2"/>
                <w:sz w:val="24"/>
                <w:szCs w:val="24"/>
                <w:highlight w:val="none"/>
                <w:lang w:val="zh-CN" w:eastAsia="zh-CN" w:bidi="ar-SA"/>
              </w:rPr>
              <w:t>投标有效期</w:t>
            </w:r>
          </w:p>
        </w:tc>
        <w:tc>
          <w:tcPr>
            <w:tcW w:w="7102" w:type="dxa"/>
            <w:tcBorders>
              <w:tl2br w:val="nil"/>
              <w:tr2bl w:val="nil"/>
            </w:tcBorders>
            <w:noWrap w:val="0"/>
            <w:vAlign w:val="center"/>
          </w:tcPr>
          <w:p w14:paraId="0E5D967A">
            <w:pPr>
              <w:widowControl/>
              <w:numPr>
                <w:ilvl w:val="0"/>
                <w:numId w:val="0"/>
              </w:numPr>
              <w:shd w:val="clear" w:color="auto" w:fill="auto"/>
              <w:autoSpaceDE/>
              <w:autoSpaceDN/>
              <w:adjustRightInd/>
              <w:snapToGrid/>
              <w:spacing w:line="240" w:lineRule="atLeast"/>
              <w:ind w:left="0" w:leftChars="0" w:firstLine="0" w:firstLineChars="0"/>
              <w:jc w:val="left"/>
              <w:rPr>
                <w:rFonts w:hint="eastAsia" w:asciiTheme="minorEastAsia" w:hAnsiTheme="minorEastAsia" w:eastAsiaTheme="minorEastAsia" w:cstheme="minorEastAsia"/>
                <w:bCs w:val="0"/>
                <w:kern w:val="2"/>
                <w:sz w:val="24"/>
                <w:szCs w:val="24"/>
                <w:highlight w:val="none"/>
                <w:lang w:val="zh-CN" w:eastAsia="zh-CN" w:bidi="ar-SA"/>
              </w:rPr>
            </w:pPr>
            <w:r>
              <w:rPr>
                <w:rFonts w:hint="eastAsia" w:asciiTheme="minorEastAsia" w:hAnsiTheme="minorEastAsia" w:eastAsiaTheme="minorEastAsia" w:cstheme="minorEastAsia"/>
                <w:bCs w:val="0"/>
                <w:kern w:val="2"/>
                <w:sz w:val="24"/>
                <w:szCs w:val="24"/>
                <w:highlight w:val="none"/>
                <w:lang w:val="zh-CN" w:eastAsia="zh-CN" w:bidi="ar-SA"/>
              </w:rPr>
              <w:t>投标截止之日后90天（日历天）</w:t>
            </w:r>
          </w:p>
        </w:tc>
      </w:tr>
      <w:tr w14:paraId="20207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2078" w:type="dxa"/>
            <w:tcBorders>
              <w:tl2br w:val="nil"/>
              <w:tr2bl w:val="nil"/>
            </w:tcBorders>
            <w:noWrap w:val="0"/>
            <w:vAlign w:val="center"/>
          </w:tcPr>
          <w:p w14:paraId="7C8437DD">
            <w:pPr>
              <w:widowControl/>
              <w:numPr>
                <w:ilvl w:val="0"/>
                <w:numId w:val="0"/>
              </w:numPr>
              <w:shd w:val="clear" w:color="auto" w:fill="auto"/>
              <w:autoSpaceDE/>
              <w:autoSpaceDN/>
              <w:adjustRightInd/>
              <w:snapToGrid/>
              <w:spacing w:line="240" w:lineRule="atLeast"/>
              <w:ind w:left="0" w:leftChars="0" w:firstLine="0" w:firstLineChars="0"/>
              <w:jc w:val="left"/>
              <w:rPr>
                <w:rFonts w:hint="eastAsia" w:asciiTheme="minorEastAsia" w:hAnsiTheme="minorEastAsia" w:eastAsiaTheme="minorEastAsia" w:cstheme="minorEastAsia"/>
                <w:bCs w:val="0"/>
                <w:kern w:val="2"/>
                <w:sz w:val="24"/>
                <w:szCs w:val="24"/>
                <w:highlight w:val="none"/>
                <w:lang w:val="zh-CN" w:eastAsia="zh-CN" w:bidi="ar-SA"/>
              </w:rPr>
            </w:pPr>
            <w:r>
              <w:rPr>
                <w:rFonts w:hint="eastAsia" w:asciiTheme="minorEastAsia" w:hAnsiTheme="minorEastAsia" w:eastAsiaTheme="minorEastAsia" w:cstheme="minorEastAsia"/>
                <w:bCs w:val="0"/>
                <w:kern w:val="2"/>
                <w:sz w:val="24"/>
                <w:szCs w:val="24"/>
                <w:highlight w:val="none"/>
                <w:lang w:val="zh-CN" w:eastAsia="zh-CN" w:bidi="ar-SA"/>
              </w:rPr>
              <w:t>技术标准和要求</w:t>
            </w:r>
          </w:p>
        </w:tc>
        <w:tc>
          <w:tcPr>
            <w:tcW w:w="7102" w:type="dxa"/>
            <w:tcBorders>
              <w:tl2br w:val="nil"/>
              <w:tr2bl w:val="nil"/>
            </w:tcBorders>
            <w:noWrap w:val="0"/>
            <w:vAlign w:val="center"/>
          </w:tcPr>
          <w:p w14:paraId="718DD543">
            <w:pPr>
              <w:widowControl/>
              <w:numPr>
                <w:ilvl w:val="0"/>
                <w:numId w:val="0"/>
              </w:numPr>
              <w:shd w:val="clear" w:color="auto" w:fill="auto"/>
              <w:autoSpaceDE/>
              <w:autoSpaceDN/>
              <w:adjustRightInd/>
              <w:snapToGrid/>
              <w:spacing w:line="240" w:lineRule="atLeast"/>
              <w:ind w:left="0" w:leftChars="0" w:firstLine="0" w:firstLineChars="0"/>
              <w:jc w:val="left"/>
              <w:rPr>
                <w:rFonts w:hint="eastAsia" w:asciiTheme="minorEastAsia" w:hAnsiTheme="minorEastAsia" w:eastAsiaTheme="minorEastAsia" w:cstheme="minorEastAsia"/>
                <w:bCs w:val="0"/>
                <w:kern w:val="2"/>
                <w:sz w:val="24"/>
                <w:szCs w:val="24"/>
                <w:highlight w:val="none"/>
                <w:lang w:val="zh-CN" w:eastAsia="zh-CN" w:bidi="ar-SA"/>
              </w:rPr>
            </w:pPr>
            <w:r>
              <w:rPr>
                <w:rFonts w:hint="eastAsia" w:asciiTheme="minorEastAsia" w:hAnsiTheme="minorEastAsia" w:eastAsiaTheme="minorEastAsia" w:cstheme="minorEastAsia"/>
                <w:bCs w:val="0"/>
                <w:kern w:val="2"/>
                <w:sz w:val="24"/>
                <w:szCs w:val="24"/>
                <w:highlight w:val="none"/>
                <w:lang w:val="zh-CN" w:eastAsia="zh-CN" w:bidi="ar-SA"/>
              </w:rPr>
              <w:t>符合招标文件规定</w:t>
            </w:r>
          </w:p>
        </w:tc>
      </w:tr>
      <w:tr w14:paraId="733B2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2078" w:type="dxa"/>
            <w:tcBorders>
              <w:tl2br w:val="nil"/>
              <w:tr2bl w:val="nil"/>
            </w:tcBorders>
            <w:noWrap w:val="0"/>
            <w:vAlign w:val="center"/>
          </w:tcPr>
          <w:p w14:paraId="16C79063">
            <w:pPr>
              <w:widowControl/>
              <w:numPr>
                <w:ilvl w:val="0"/>
                <w:numId w:val="0"/>
              </w:numPr>
              <w:shd w:val="clear" w:color="auto" w:fill="auto"/>
              <w:autoSpaceDE/>
              <w:autoSpaceDN/>
              <w:adjustRightInd/>
              <w:snapToGrid/>
              <w:spacing w:line="240" w:lineRule="atLeast"/>
              <w:ind w:left="0" w:leftChars="0" w:firstLine="0" w:firstLineChars="0"/>
              <w:jc w:val="left"/>
              <w:rPr>
                <w:rFonts w:hint="eastAsia" w:asciiTheme="minorEastAsia" w:hAnsiTheme="minorEastAsia" w:eastAsiaTheme="minorEastAsia" w:cstheme="minorEastAsia"/>
                <w:bCs w:val="0"/>
                <w:kern w:val="2"/>
                <w:sz w:val="24"/>
                <w:szCs w:val="24"/>
                <w:highlight w:val="none"/>
                <w:lang w:val="en-US" w:eastAsia="zh-CN" w:bidi="ar-SA"/>
              </w:rPr>
            </w:pPr>
            <w:r>
              <w:rPr>
                <w:rFonts w:hint="eastAsia" w:asciiTheme="minorEastAsia" w:hAnsiTheme="minorEastAsia" w:eastAsiaTheme="minorEastAsia" w:cstheme="minorEastAsia"/>
                <w:bCs w:val="0"/>
                <w:kern w:val="2"/>
                <w:sz w:val="24"/>
                <w:szCs w:val="24"/>
                <w:highlight w:val="none"/>
                <w:lang w:val="en-US" w:eastAsia="zh-CN" w:bidi="ar-SA"/>
              </w:rPr>
              <w:t>报价唯一</w:t>
            </w:r>
          </w:p>
        </w:tc>
        <w:tc>
          <w:tcPr>
            <w:tcW w:w="7102" w:type="dxa"/>
            <w:tcBorders>
              <w:tl2br w:val="nil"/>
              <w:tr2bl w:val="nil"/>
            </w:tcBorders>
            <w:noWrap w:val="0"/>
            <w:vAlign w:val="center"/>
          </w:tcPr>
          <w:p w14:paraId="3E94416C">
            <w:pPr>
              <w:widowControl/>
              <w:numPr>
                <w:ilvl w:val="0"/>
                <w:numId w:val="0"/>
              </w:numPr>
              <w:shd w:val="clear" w:color="auto" w:fill="auto"/>
              <w:autoSpaceDE/>
              <w:autoSpaceDN/>
              <w:adjustRightInd/>
              <w:snapToGrid/>
              <w:spacing w:line="240" w:lineRule="atLeast"/>
              <w:ind w:left="0" w:leftChars="0" w:firstLine="0" w:firstLineChars="0"/>
              <w:jc w:val="left"/>
              <w:rPr>
                <w:rFonts w:hint="eastAsia" w:asciiTheme="minorEastAsia" w:hAnsiTheme="minorEastAsia" w:eastAsiaTheme="minorEastAsia" w:cstheme="minorEastAsia"/>
                <w:bCs w:val="0"/>
                <w:kern w:val="2"/>
                <w:sz w:val="24"/>
                <w:szCs w:val="24"/>
                <w:highlight w:val="none"/>
                <w:lang w:val="zh-CN" w:eastAsia="zh-CN" w:bidi="ar-SA"/>
              </w:rPr>
            </w:pPr>
            <w:r>
              <w:rPr>
                <w:rFonts w:hint="eastAsia" w:asciiTheme="minorEastAsia" w:hAnsiTheme="minorEastAsia" w:eastAsiaTheme="minorEastAsia" w:cstheme="minorEastAsia"/>
                <w:bCs w:val="0"/>
                <w:kern w:val="2"/>
                <w:sz w:val="24"/>
                <w:szCs w:val="24"/>
                <w:highlight w:val="none"/>
                <w:lang w:val="zh-CN" w:eastAsia="zh-CN" w:bidi="ar-SA"/>
              </w:rPr>
              <w:t>投标人是否按招标文件要求进行报价的,报价合理且唯一并不超过拦标价。</w:t>
            </w:r>
          </w:p>
        </w:tc>
      </w:tr>
      <w:tr w14:paraId="1289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2078" w:type="dxa"/>
            <w:tcBorders>
              <w:tl2br w:val="nil"/>
              <w:tr2bl w:val="nil"/>
            </w:tcBorders>
            <w:noWrap w:val="0"/>
            <w:vAlign w:val="center"/>
          </w:tcPr>
          <w:p w14:paraId="01352F24">
            <w:pPr>
              <w:keepNext w:val="0"/>
              <w:keepLines w:val="0"/>
              <w:pageBreakBefore w:val="0"/>
              <w:widowControl w:val="0"/>
              <w:kinsoku/>
              <w:wordWrap/>
              <w:overflowPunct/>
              <w:topLinePunct w:val="0"/>
              <w:autoSpaceDE w:val="0"/>
              <w:autoSpaceDN w:val="0"/>
              <w:bidi w:val="0"/>
              <w:snapToGrid/>
              <w:spacing w:line="300" w:lineRule="exact"/>
              <w:textAlignment w:val="auto"/>
              <w:rPr>
                <w:rFonts w:hint="eastAsia" w:asciiTheme="minorEastAsia" w:hAnsiTheme="minorEastAsia" w:eastAsiaTheme="minorEastAsia" w:cstheme="minorEastAsia"/>
                <w:bCs w:val="0"/>
                <w:kern w:val="2"/>
                <w:sz w:val="24"/>
                <w:szCs w:val="24"/>
                <w:highlight w:val="none"/>
                <w:lang w:val="en-US" w:eastAsia="zh-CN" w:bidi="ar-SA"/>
              </w:rPr>
            </w:pPr>
            <w:r>
              <w:rPr>
                <w:rFonts w:hint="eastAsia" w:ascii="宋体" w:hAnsi="宋体" w:cs="宋体"/>
                <w:color w:val="auto"/>
                <w:sz w:val="24"/>
                <w:szCs w:val="24"/>
                <w:highlight w:val="none"/>
                <w:lang w:val="en-US" w:eastAsia="zh-CN"/>
              </w:rPr>
              <w:t>技术暗标</w:t>
            </w:r>
          </w:p>
        </w:tc>
        <w:tc>
          <w:tcPr>
            <w:tcW w:w="7102" w:type="dxa"/>
            <w:tcBorders>
              <w:tl2br w:val="nil"/>
              <w:tr2bl w:val="nil"/>
            </w:tcBorders>
            <w:noWrap w:val="0"/>
            <w:vAlign w:val="center"/>
          </w:tcPr>
          <w:p w14:paraId="65358EBF">
            <w:pPr>
              <w:keepNext w:val="0"/>
              <w:keepLines w:val="0"/>
              <w:pageBreakBefore w:val="0"/>
              <w:widowControl w:val="0"/>
              <w:kinsoku/>
              <w:wordWrap/>
              <w:overflowPunct/>
              <w:topLinePunct w:val="0"/>
              <w:autoSpaceDE w:val="0"/>
              <w:autoSpaceDN w:val="0"/>
              <w:bidi w:val="0"/>
              <w:snapToGrid/>
              <w:spacing w:line="30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投标文件技术标必须遵守的统一格式和规范。</w:t>
            </w:r>
          </w:p>
          <w:p w14:paraId="711E0086">
            <w:pPr>
              <w:keepNext w:val="0"/>
              <w:keepLines w:val="0"/>
              <w:pageBreakBefore w:val="0"/>
              <w:widowControl w:val="0"/>
              <w:kinsoku/>
              <w:wordWrap/>
              <w:overflowPunct/>
              <w:topLinePunct w:val="0"/>
              <w:autoSpaceDE w:val="0"/>
              <w:autoSpaceDN w:val="0"/>
              <w:bidi w:val="0"/>
              <w:snapToGrid/>
              <w:spacing w:line="30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 技术标文件（暗标）未按以下“盲评”要求制作的，为无效投标，除下述要求外，不得因暗标格式问题认定为无效投标：</w:t>
            </w:r>
          </w:p>
          <w:p w14:paraId="7EAC6D29">
            <w:pPr>
              <w:keepNext w:val="0"/>
              <w:keepLines w:val="0"/>
              <w:pageBreakBefore w:val="0"/>
              <w:widowControl w:val="0"/>
              <w:kinsoku/>
              <w:wordWrap/>
              <w:overflowPunct/>
              <w:topLinePunct w:val="0"/>
              <w:autoSpaceDE w:val="0"/>
              <w:autoSpaceDN w:val="0"/>
              <w:bidi w:val="0"/>
              <w:snapToGrid/>
              <w:spacing w:line="30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 1.版面要求：A4纸张大小；</w:t>
            </w:r>
          </w:p>
          <w:p w14:paraId="61D98B26">
            <w:pPr>
              <w:keepNext w:val="0"/>
              <w:keepLines w:val="0"/>
              <w:pageBreakBefore w:val="0"/>
              <w:widowControl w:val="0"/>
              <w:kinsoku/>
              <w:wordWrap/>
              <w:overflowPunct/>
              <w:topLinePunct w:val="0"/>
              <w:autoSpaceDE w:val="0"/>
              <w:autoSpaceDN w:val="0"/>
              <w:bidi w:val="0"/>
              <w:snapToGrid/>
              <w:spacing w:line="30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 2.颜色要求：所有文字、图表均为黑色；</w:t>
            </w:r>
          </w:p>
          <w:p w14:paraId="7853AEE4">
            <w:pPr>
              <w:keepNext w:val="0"/>
              <w:keepLines w:val="0"/>
              <w:pageBreakBefore w:val="0"/>
              <w:widowControl w:val="0"/>
              <w:kinsoku/>
              <w:wordWrap/>
              <w:overflowPunct/>
              <w:topLinePunct w:val="0"/>
              <w:autoSpaceDE w:val="0"/>
              <w:autoSpaceDN w:val="0"/>
              <w:bidi w:val="0"/>
              <w:snapToGrid/>
              <w:spacing w:line="30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 3.字体要求：标题及正文部分所用文字均采用“宋体”四号“常规”字；图、表内的字体及字号不作要求；全部使用中文标点符号；所有字体均不得出现加粗、加色、倾斜、下划线等标记；</w:t>
            </w:r>
          </w:p>
          <w:p w14:paraId="3E1B61E4">
            <w:pPr>
              <w:keepNext w:val="0"/>
              <w:keepLines w:val="0"/>
              <w:pageBreakBefore w:val="0"/>
              <w:widowControl w:val="0"/>
              <w:kinsoku/>
              <w:wordWrap/>
              <w:overflowPunct/>
              <w:topLinePunct w:val="0"/>
              <w:autoSpaceDE w:val="0"/>
              <w:autoSpaceDN w:val="0"/>
              <w:bidi w:val="0"/>
              <w:snapToGrid/>
              <w:spacing w:line="30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 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426BF123">
            <w:pPr>
              <w:keepNext w:val="0"/>
              <w:keepLines w:val="0"/>
              <w:pageBreakBefore w:val="0"/>
              <w:widowControl w:val="0"/>
              <w:kinsoku/>
              <w:wordWrap/>
              <w:overflowPunct/>
              <w:topLinePunct w:val="0"/>
              <w:autoSpaceDE w:val="0"/>
              <w:autoSpaceDN w:val="0"/>
              <w:bidi w:val="0"/>
              <w:snapToGrid/>
              <w:spacing w:line="300" w:lineRule="exact"/>
              <w:textAlignment w:val="auto"/>
              <w:rPr>
                <w:rFonts w:hint="eastAsia" w:asciiTheme="minorEastAsia" w:hAnsiTheme="minorEastAsia" w:eastAsiaTheme="minorEastAsia" w:cstheme="minorEastAsia"/>
                <w:bCs w:val="0"/>
                <w:kern w:val="2"/>
                <w:sz w:val="24"/>
                <w:szCs w:val="24"/>
                <w:highlight w:val="none"/>
                <w:lang w:val="zh-CN" w:eastAsia="zh-CN" w:bidi="ar-SA"/>
              </w:rPr>
            </w:pPr>
            <w:r>
              <w:rPr>
                <w:rFonts w:hint="eastAsia" w:ascii="宋体" w:hAnsi="宋体" w:eastAsia="宋体" w:cs="宋体"/>
                <w:sz w:val="24"/>
                <w:szCs w:val="24"/>
                <w:highlight w:val="none"/>
                <w:lang w:eastAsia="zh-CN"/>
              </w:rPr>
              <w:t xml:space="preserve"> 5.其它：除满足上述各项要求外，构成投标文件的“技术暗标”的正文中均不得出现供应商的名称和其它可识别供应商身份的字符、徽标、人员名称以及其他可能被辨别出供应商身份的任何标记。</w:t>
            </w:r>
          </w:p>
        </w:tc>
      </w:tr>
    </w:tbl>
    <w:p w14:paraId="7D8687DD">
      <w:pPr>
        <w:spacing w:line="360" w:lineRule="exact"/>
        <w:ind w:firstLine="480" w:firstLineChars="200"/>
        <w:outlineLvl w:val="2"/>
        <w:rPr>
          <w:rFonts w:hint="eastAsia" w:ascii="华文细黑" w:hAnsi="华文细黑" w:eastAsia="华文细黑" w:cs="华文细黑"/>
          <w:b/>
          <w:color w:val="auto"/>
          <w:sz w:val="24"/>
          <w:szCs w:val="24"/>
          <w:highlight w:val="none"/>
        </w:rPr>
      </w:pPr>
    </w:p>
    <w:p w14:paraId="78289DB7">
      <w:pPr>
        <w:rPr>
          <w:rFonts w:hint="eastAsia" w:ascii="宋体" w:hAnsi="宋体"/>
          <w:b/>
          <w:bCs/>
          <w:color w:val="auto"/>
          <w:sz w:val="26"/>
          <w:highlight w:val="none"/>
        </w:rPr>
      </w:pPr>
      <w:r>
        <w:rPr>
          <w:rFonts w:hint="eastAsia" w:ascii="宋体" w:hAnsi="宋体"/>
          <w:b/>
          <w:bCs/>
          <w:color w:val="auto"/>
          <w:sz w:val="26"/>
          <w:highlight w:val="none"/>
        </w:rPr>
        <w:br w:type="page"/>
      </w:r>
    </w:p>
    <w:p w14:paraId="7CDC9FDB">
      <w:pPr>
        <w:spacing w:line="360" w:lineRule="auto"/>
        <w:jc w:val="center"/>
        <w:rPr>
          <w:highlight w:val="none"/>
        </w:rPr>
      </w:pPr>
      <w:r>
        <w:rPr>
          <w:rFonts w:hint="eastAsia" w:ascii="宋体" w:hAnsi="宋体"/>
          <w:b/>
          <w:bCs/>
          <w:color w:val="auto"/>
          <w:sz w:val="26"/>
          <w:highlight w:val="none"/>
        </w:rPr>
        <w:t>评审办法前附表（</w:t>
      </w:r>
      <w:r>
        <w:rPr>
          <w:rFonts w:hint="eastAsia" w:ascii="宋体" w:hAnsi="宋体"/>
          <w:b/>
          <w:bCs/>
          <w:color w:val="auto"/>
          <w:sz w:val="26"/>
          <w:highlight w:val="none"/>
          <w:lang w:val="en-US" w:eastAsia="zh-CN"/>
        </w:rPr>
        <w:t>三</w:t>
      </w:r>
      <w:r>
        <w:rPr>
          <w:rFonts w:hint="eastAsia" w:ascii="宋体" w:hAnsi="宋体"/>
          <w:b/>
          <w:bCs/>
          <w:color w:val="auto"/>
          <w:sz w:val="26"/>
          <w:highlight w:val="none"/>
        </w:rPr>
        <w:t>）</w:t>
      </w:r>
    </w:p>
    <w:tbl>
      <w:tblPr>
        <w:tblStyle w:val="46"/>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505"/>
        <w:gridCol w:w="1342"/>
        <w:gridCol w:w="6196"/>
      </w:tblGrid>
      <w:tr w14:paraId="376F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240" w:type="dxa"/>
            <w:gridSpan w:val="2"/>
            <w:shd w:val="clear" w:color="auto" w:fill="D9D9D9"/>
            <w:vAlign w:val="center"/>
          </w:tcPr>
          <w:p w14:paraId="0FF67220">
            <w:pPr>
              <w:spacing w:line="300" w:lineRule="auto"/>
              <w:jc w:val="center"/>
              <w:rPr>
                <w:rFonts w:ascii="宋体" w:hAnsi="宋体" w:cs="宋体"/>
                <w:szCs w:val="21"/>
                <w:highlight w:val="none"/>
              </w:rPr>
            </w:pPr>
            <w:r>
              <w:rPr>
                <w:rFonts w:hint="eastAsia" w:ascii="宋体" w:hAnsi="宋体" w:cs="宋体"/>
                <w:szCs w:val="21"/>
                <w:highlight w:val="none"/>
              </w:rPr>
              <w:t>序号</w:t>
            </w:r>
          </w:p>
        </w:tc>
        <w:tc>
          <w:tcPr>
            <w:tcW w:w="1342" w:type="dxa"/>
            <w:shd w:val="clear" w:color="auto" w:fill="D9D9D9"/>
            <w:vAlign w:val="center"/>
          </w:tcPr>
          <w:p w14:paraId="2518486F">
            <w:pPr>
              <w:spacing w:line="300" w:lineRule="auto"/>
              <w:jc w:val="center"/>
              <w:rPr>
                <w:rFonts w:ascii="宋体" w:hAnsi="宋体" w:cs="宋体"/>
                <w:szCs w:val="21"/>
                <w:highlight w:val="none"/>
              </w:rPr>
            </w:pPr>
            <w:r>
              <w:rPr>
                <w:rFonts w:hint="eastAsia" w:ascii="宋体" w:hAnsi="宋体" w:cs="宋体"/>
                <w:szCs w:val="21"/>
                <w:highlight w:val="none"/>
              </w:rPr>
              <w:t>评审项目</w:t>
            </w:r>
          </w:p>
        </w:tc>
        <w:tc>
          <w:tcPr>
            <w:tcW w:w="6196" w:type="dxa"/>
            <w:shd w:val="clear" w:color="auto" w:fill="E0E0E0"/>
            <w:vAlign w:val="center"/>
          </w:tcPr>
          <w:p w14:paraId="569BD843">
            <w:pPr>
              <w:spacing w:line="300" w:lineRule="auto"/>
              <w:jc w:val="center"/>
              <w:rPr>
                <w:rFonts w:ascii="宋体" w:hAnsi="宋体" w:cs="宋体"/>
                <w:szCs w:val="21"/>
                <w:highlight w:val="none"/>
              </w:rPr>
            </w:pPr>
            <w:r>
              <w:rPr>
                <w:rFonts w:hint="eastAsia" w:ascii="宋体" w:hAnsi="宋体" w:cs="宋体"/>
                <w:szCs w:val="21"/>
                <w:highlight w:val="none"/>
              </w:rPr>
              <w:t>评审标准</w:t>
            </w:r>
          </w:p>
        </w:tc>
      </w:tr>
      <w:tr w14:paraId="76673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6" w:hRule="atLeast"/>
        </w:trPr>
        <w:tc>
          <w:tcPr>
            <w:tcW w:w="735" w:type="dxa"/>
            <w:vAlign w:val="center"/>
          </w:tcPr>
          <w:p w14:paraId="2B1B2EAF">
            <w:pPr>
              <w:spacing w:line="300" w:lineRule="auto"/>
              <w:jc w:val="center"/>
              <w:rPr>
                <w:rFonts w:ascii="宋体" w:hAnsi="宋体" w:cs="宋体"/>
                <w:szCs w:val="21"/>
                <w:highlight w:val="none"/>
              </w:rPr>
            </w:pPr>
            <w:r>
              <w:rPr>
                <w:rFonts w:hint="eastAsia" w:ascii="宋体" w:hAnsi="宋体" w:cs="宋体"/>
                <w:szCs w:val="21"/>
                <w:highlight w:val="none"/>
              </w:rPr>
              <w:t>1</w:t>
            </w:r>
          </w:p>
        </w:tc>
        <w:tc>
          <w:tcPr>
            <w:tcW w:w="505" w:type="dxa"/>
            <w:vAlign w:val="center"/>
          </w:tcPr>
          <w:p w14:paraId="54ADC585">
            <w:pPr>
              <w:spacing w:line="300" w:lineRule="auto"/>
              <w:jc w:val="center"/>
              <w:rPr>
                <w:rFonts w:ascii="宋体" w:hAnsi="宋体" w:cs="宋体"/>
                <w:szCs w:val="21"/>
                <w:highlight w:val="none"/>
              </w:rPr>
            </w:pPr>
            <w:r>
              <w:rPr>
                <w:rFonts w:hint="eastAsia" w:ascii="宋体" w:hAnsi="宋体" w:cs="宋体"/>
                <w:szCs w:val="21"/>
                <w:highlight w:val="none"/>
              </w:rPr>
              <w:t>价格部分</w:t>
            </w:r>
          </w:p>
          <w:p w14:paraId="0132B1AC">
            <w:pPr>
              <w:spacing w:line="300" w:lineRule="auto"/>
              <w:jc w:val="center"/>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1</w:t>
            </w:r>
            <w:r>
              <w:rPr>
                <w:rFonts w:hint="eastAsia" w:ascii="宋体" w:hAnsi="宋体" w:cs="宋体"/>
                <w:szCs w:val="21"/>
                <w:highlight w:val="none"/>
              </w:rPr>
              <w:t>0分）</w:t>
            </w:r>
          </w:p>
        </w:tc>
        <w:tc>
          <w:tcPr>
            <w:tcW w:w="1342" w:type="dxa"/>
            <w:vAlign w:val="center"/>
          </w:tcPr>
          <w:p w14:paraId="3A1E1572">
            <w:pPr>
              <w:spacing w:line="300" w:lineRule="auto"/>
              <w:jc w:val="center"/>
              <w:rPr>
                <w:rFonts w:ascii="宋体" w:hAnsi="宋体" w:cs="宋体"/>
                <w:szCs w:val="21"/>
                <w:highlight w:val="none"/>
              </w:rPr>
            </w:pPr>
            <w:r>
              <w:rPr>
                <w:rFonts w:hint="eastAsia" w:ascii="宋体" w:hAnsi="宋体" w:cs="宋体"/>
                <w:szCs w:val="21"/>
                <w:highlight w:val="none"/>
              </w:rPr>
              <w:t>投标报价</w:t>
            </w:r>
          </w:p>
          <w:p w14:paraId="718D3011">
            <w:pPr>
              <w:spacing w:line="300" w:lineRule="auto"/>
              <w:jc w:val="center"/>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1</w:t>
            </w:r>
            <w:r>
              <w:rPr>
                <w:rFonts w:hint="eastAsia" w:ascii="宋体" w:hAnsi="宋体" w:cs="宋体"/>
                <w:szCs w:val="21"/>
                <w:highlight w:val="none"/>
              </w:rPr>
              <w:t>0分）</w:t>
            </w:r>
          </w:p>
        </w:tc>
        <w:tc>
          <w:tcPr>
            <w:tcW w:w="6196" w:type="dxa"/>
            <w:vAlign w:val="center"/>
          </w:tcPr>
          <w:p w14:paraId="72791044">
            <w:pPr>
              <w:rPr>
                <w:rFonts w:ascii="宋体" w:hAnsi="宋体" w:cs="宋体"/>
                <w:szCs w:val="21"/>
                <w:highlight w:val="none"/>
              </w:rPr>
            </w:pPr>
            <w:r>
              <w:rPr>
                <w:rFonts w:hint="eastAsia" w:ascii="宋体" w:hAnsi="宋体" w:cs="宋体"/>
                <w:szCs w:val="21"/>
                <w:highlight w:val="none"/>
              </w:rPr>
              <w:t>投标报价分：以按照招标文件规定的所有合格投标人的评标价的最低价作为评分基准价。</w:t>
            </w:r>
          </w:p>
          <w:p w14:paraId="35693467">
            <w:pPr>
              <w:rPr>
                <w:rFonts w:ascii="宋体" w:hAnsi="宋体" w:cs="宋体"/>
                <w:szCs w:val="21"/>
                <w:highlight w:val="none"/>
              </w:rPr>
            </w:pPr>
            <w:r>
              <w:rPr>
                <w:rFonts w:hint="eastAsia" w:ascii="宋体" w:hAnsi="宋体" w:cs="宋体"/>
                <w:szCs w:val="21"/>
                <w:highlight w:val="none"/>
              </w:rPr>
              <w:t>投标人的报价得分按下式计算：</w:t>
            </w:r>
          </w:p>
          <w:p w14:paraId="06520AC7">
            <w:pPr>
              <w:rPr>
                <w:rFonts w:ascii="宋体" w:hAnsi="宋体" w:cs="宋体"/>
                <w:szCs w:val="21"/>
                <w:highlight w:val="none"/>
              </w:rPr>
            </w:pPr>
            <w:r>
              <w:rPr>
                <w:rFonts w:hint="eastAsia" w:ascii="宋体" w:hAnsi="宋体" w:cs="宋体"/>
                <w:szCs w:val="21"/>
                <w:highlight w:val="none"/>
              </w:rPr>
              <w:t>报价得分=（评分基准价/投标报价）×</w:t>
            </w:r>
            <w:r>
              <w:rPr>
                <w:rFonts w:hint="eastAsia" w:ascii="宋体" w:hAnsi="宋体" w:cs="宋体"/>
                <w:szCs w:val="21"/>
                <w:highlight w:val="none"/>
                <w:lang w:val="en-US" w:eastAsia="zh-CN"/>
              </w:rPr>
              <w:t>1</w:t>
            </w:r>
            <w:r>
              <w:rPr>
                <w:rFonts w:hint="eastAsia" w:ascii="宋体" w:hAnsi="宋体" w:cs="宋体"/>
                <w:szCs w:val="21"/>
                <w:highlight w:val="none"/>
              </w:rPr>
              <w:t>0×100%</w:t>
            </w:r>
          </w:p>
          <w:p w14:paraId="627B4DBC">
            <w:pPr>
              <w:rPr>
                <w:rFonts w:ascii="宋体" w:hAnsi="宋体" w:cs="宋体"/>
                <w:szCs w:val="21"/>
                <w:highlight w:val="none"/>
              </w:rPr>
            </w:pPr>
            <w:r>
              <w:rPr>
                <w:rFonts w:hint="eastAsia" w:ascii="宋体" w:hAnsi="宋体" w:cs="宋体"/>
                <w:szCs w:val="21"/>
                <w:highlight w:val="none"/>
              </w:rPr>
              <w:t>注：评标委员会发现投标人的报价明显低于其他投标报价，或者在设有预算价时与之差距较大，使得其投标报价可能低于其成本，有可能影响商品或服务质量和不能诚信履约的，应当要求该投标人作出书面说明并提供相应的证明材料。投标人不能合理说明或者不能提供相应证明材料的，由评标委员会认定该投标人以低于成本报价竞标，视为无效投标。</w:t>
            </w:r>
            <w:r>
              <w:rPr>
                <w:rFonts w:hint="eastAsia" w:ascii="宋体" w:hAnsi="宋体" w:eastAsia="宋体" w:cs="宋体"/>
                <w:color w:val="000000"/>
                <w:kern w:val="0"/>
                <w:sz w:val="21"/>
                <w:szCs w:val="21"/>
                <w:highlight w:val="none"/>
                <w:lang w:bidi="ar"/>
              </w:rPr>
              <w:t>(《政府采购货物和服务招标投标管理办法》中华人民共和国财政部令</w:t>
            </w:r>
            <w:r>
              <w:rPr>
                <w:rFonts w:hint="eastAsia" w:ascii="宋体" w:hAnsi="宋体" w:cs="宋体"/>
                <w:color w:val="000000"/>
                <w:kern w:val="0"/>
                <w:sz w:val="21"/>
                <w:szCs w:val="21"/>
                <w:highlight w:val="none"/>
                <w:lang w:val="en-US" w:eastAsia="zh-CN" w:bidi="ar"/>
              </w:rPr>
              <w:t xml:space="preserve"> </w:t>
            </w:r>
            <w:r>
              <w:rPr>
                <w:rFonts w:hint="eastAsia" w:ascii="宋体" w:hAnsi="宋体" w:eastAsia="宋体" w:cs="宋体"/>
                <w:color w:val="000000"/>
                <w:kern w:val="0"/>
                <w:sz w:val="21"/>
                <w:szCs w:val="21"/>
                <w:highlight w:val="none"/>
                <w:lang w:bidi="ar"/>
              </w:rPr>
              <w:t>第87号</w:t>
            </w:r>
            <w:r>
              <w:rPr>
                <w:rFonts w:hint="eastAsia" w:ascii="宋体" w:hAnsi="宋体" w:cs="宋体"/>
                <w:color w:val="000000"/>
                <w:kern w:val="0"/>
                <w:sz w:val="21"/>
                <w:szCs w:val="21"/>
                <w:highlight w:val="none"/>
                <w:lang w:val="en-US" w:eastAsia="zh-CN" w:bidi="ar"/>
              </w:rPr>
              <w:t xml:space="preserve"> </w:t>
            </w:r>
            <w:r>
              <w:rPr>
                <w:rFonts w:hint="eastAsia" w:ascii="宋体" w:hAnsi="宋体" w:eastAsia="宋体" w:cs="宋体"/>
                <w:color w:val="000000"/>
                <w:kern w:val="0"/>
                <w:sz w:val="21"/>
                <w:szCs w:val="21"/>
                <w:highlight w:val="none"/>
                <w:lang w:bidi="ar"/>
              </w:rPr>
              <w:t>第六十条)。</w:t>
            </w:r>
          </w:p>
        </w:tc>
      </w:tr>
      <w:tr w14:paraId="7887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735" w:type="dxa"/>
            <w:vMerge w:val="restart"/>
            <w:vAlign w:val="center"/>
          </w:tcPr>
          <w:p w14:paraId="0397913D">
            <w:pPr>
              <w:spacing w:line="300" w:lineRule="auto"/>
              <w:jc w:val="center"/>
              <w:rPr>
                <w:rFonts w:hint="eastAsia" w:ascii="宋体" w:hAnsi="宋体" w:cs="宋体"/>
                <w:szCs w:val="21"/>
                <w:highlight w:val="none"/>
              </w:rPr>
            </w:pPr>
            <w:r>
              <w:rPr>
                <w:rFonts w:hint="eastAsia" w:ascii="宋体" w:hAnsi="宋体" w:cs="宋体"/>
                <w:szCs w:val="21"/>
                <w:highlight w:val="none"/>
              </w:rPr>
              <w:t>2</w:t>
            </w:r>
          </w:p>
          <w:p w14:paraId="6392AC01">
            <w:pPr>
              <w:spacing w:line="300" w:lineRule="auto"/>
              <w:jc w:val="center"/>
              <w:rPr>
                <w:rFonts w:ascii="宋体" w:hAnsi="宋体" w:cs="宋体"/>
                <w:szCs w:val="21"/>
                <w:highlight w:val="none"/>
              </w:rPr>
            </w:pPr>
          </w:p>
          <w:p w14:paraId="4E08BFD1">
            <w:pPr>
              <w:adjustRightInd w:val="0"/>
              <w:snapToGrid w:val="0"/>
              <w:spacing w:line="300" w:lineRule="auto"/>
              <w:jc w:val="center"/>
              <w:rPr>
                <w:rFonts w:ascii="宋体" w:hAnsi="宋体" w:cs="宋体"/>
                <w:szCs w:val="21"/>
                <w:highlight w:val="none"/>
              </w:rPr>
            </w:pPr>
          </w:p>
        </w:tc>
        <w:tc>
          <w:tcPr>
            <w:tcW w:w="505" w:type="dxa"/>
            <w:vMerge w:val="restart"/>
            <w:vAlign w:val="center"/>
          </w:tcPr>
          <w:p w14:paraId="7966B8F5">
            <w:pPr>
              <w:spacing w:line="300" w:lineRule="auto"/>
              <w:jc w:val="center"/>
              <w:rPr>
                <w:rFonts w:ascii="宋体" w:hAnsi="宋体" w:cs="宋体"/>
                <w:szCs w:val="21"/>
                <w:highlight w:val="none"/>
              </w:rPr>
            </w:pPr>
            <w:r>
              <w:rPr>
                <w:rFonts w:hint="eastAsia" w:ascii="宋体" w:hAnsi="宋体" w:cs="宋体"/>
                <w:szCs w:val="21"/>
                <w:highlight w:val="none"/>
              </w:rPr>
              <w:t>商务部分（</w:t>
            </w:r>
            <w:r>
              <w:rPr>
                <w:rFonts w:hint="eastAsia" w:ascii="宋体" w:hAnsi="宋体" w:cs="宋体"/>
                <w:szCs w:val="21"/>
                <w:highlight w:val="none"/>
                <w:lang w:val="en-US" w:eastAsia="zh-CN"/>
              </w:rPr>
              <w:t>60</w:t>
            </w:r>
            <w:r>
              <w:rPr>
                <w:rFonts w:hint="eastAsia" w:ascii="宋体" w:hAnsi="宋体" w:cs="宋体"/>
                <w:szCs w:val="21"/>
                <w:highlight w:val="none"/>
              </w:rPr>
              <w:t>分）</w:t>
            </w:r>
          </w:p>
        </w:tc>
        <w:tc>
          <w:tcPr>
            <w:tcW w:w="1342" w:type="dxa"/>
            <w:vAlign w:val="center"/>
          </w:tcPr>
          <w:p w14:paraId="295FE915">
            <w:pPr>
              <w:snapToGrid w:val="0"/>
              <w:spacing w:line="300" w:lineRule="auto"/>
              <w:jc w:val="center"/>
              <w:rPr>
                <w:rFonts w:ascii="宋体" w:hAnsi="宋体" w:cs="宋体"/>
                <w:szCs w:val="21"/>
                <w:highlight w:val="none"/>
              </w:rPr>
            </w:pPr>
            <w:r>
              <w:rPr>
                <w:rFonts w:hint="eastAsia" w:ascii="宋体" w:hAnsi="宋体" w:cs="宋体"/>
                <w:szCs w:val="21"/>
                <w:highlight w:val="none"/>
              </w:rPr>
              <w:t>类似项目业绩</w:t>
            </w:r>
          </w:p>
          <w:p w14:paraId="1BEC44CE">
            <w:pPr>
              <w:snapToGrid w:val="0"/>
              <w:spacing w:line="300" w:lineRule="auto"/>
              <w:jc w:val="center"/>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30</w:t>
            </w:r>
            <w:r>
              <w:rPr>
                <w:rFonts w:hint="eastAsia" w:ascii="宋体" w:hAnsi="宋体" w:cs="宋体"/>
                <w:szCs w:val="21"/>
                <w:highlight w:val="none"/>
              </w:rPr>
              <w:t>分）</w:t>
            </w:r>
          </w:p>
        </w:tc>
        <w:tc>
          <w:tcPr>
            <w:tcW w:w="6196" w:type="dxa"/>
            <w:vAlign w:val="center"/>
          </w:tcPr>
          <w:p w14:paraId="2EAF01CE">
            <w:pPr>
              <w:autoSpaceDE w:val="0"/>
              <w:autoSpaceDN w:val="0"/>
              <w:adjustRightInd w:val="0"/>
              <w:snapToGrid w:val="0"/>
              <w:spacing w:line="300" w:lineRule="auto"/>
              <w:jc w:val="left"/>
              <w:rPr>
                <w:rFonts w:hint="eastAsia" w:ascii="宋体" w:hAnsi="宋体" w:cs="宋体"/>
                <w:szCs w:val="21"/>
                <w:highlight w:val="none"/>
              </w:rPr>
            </w:pPr>
            <w:r>
              <w:rPr>
                <w:rFonts w:hint="eastAsia" w:ascii="宋体" w:hAnsi="宋体" w:cs="宋体"/>
                <w:szCs w:val="21"/>
                <w:highlight w:val="none"/>
              </w:rPr>
              <w:t>主要比较投标单位近</w:t>
            </w:r>
            <w:r>
              <w:rPr>
                <w:rFonts w:hint="eastAsia" w:ascii="宋体" w:hAnsi="宋体" w:cs="宋体"/>
                <w:szCs w:val="21"/>
                <w:highlight w:val="none"/>
                <w:lang w:eastAsia="zh-CN"/>
              </w:rPr>
              <w:t>三</w:t>
            </w:r>
            <w:r>
              <w:rPr>
                <w:rFonts w:hint="eastAsia" w:ascii="宋体" w:hAnsi="宋体" w:cs="宋体"/>
                <w:szCs w:val="21"/>
                <w:highlight w:val="none"/>
              </w:rPr>
              <w:t>年类似服务情况。</w:t>
            </w:r>
          </w:p>
          <w:p w14:paraId="371AFEAA">
            <w:pPr>
              <w:autoSpaceDE w:val="0"/>
              <w:autoSpaceDN w:val="0"/>
              <w:adjustRightInd w:val="0"/>
              <w:snapToGrid w:val="0"/>
              <w:spacing w:line="300" w:lineRule="auto"/>
              <w:jc w:val="left"/>
              <w:rPr>
                <w:rFonts w:hint="eastAsia" w:ascii="宋体" w:hAnsi="宋体" w:cs="宋体"/>
                <w:szCs w:val="21"/>
                <w:highlight w:val="none"/>
              </w:rPr>
            </w:pPr>
            <w:r>
              <w:rPr>
                <w:rFonts w:hint="eastAsia" w:ascii="宋体" w:hAnsi="宋体" w:cs="宋体"/>
                <w:szCs w:val="21"/>
                <w:highlight w:val="none"/>
              </w:rPr>
              <w:t>评分依据：投标文件中提供近</w:t>
            </w:r>
            <w:r>
              <w:rPr>
                <w:rFonts w:hint="eastAsia" w:ascii="宋体" w:hAnsi="宋体" w:cs="宋体"/>
                <w:szCs w:val="21"/>
                <w:highlight w:val="none"/>
                <w:lang w:eastAsia="zh-CN"/>
              </w:rPr>
              <w:t>三</w:t>
            </w:r>
            <w:r>
              <w:rPr>
                <w:rFonts w:hint="eastAsia" w:ascii="宋体" w:hAnsi="宋体" w:cs="宋体"/>
                <w:szCs w:val="21"/>
                <w:highlight w:val="none"/>
              </w:rPr>
              <w:t>年类似服务业绩。需提供中标通知书或盖章的服务合同。根据所提供的证明文件，每一项5分，最高得30，不提供不得分。</w:t>
            </w:r>
          </w:p>
        </w:tc>
      </w:tr>
      <w:tr w14:paraId="35A6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trPr>
        <w:tc>
          <w:tcPr>
            <w:tcW w:w="735" w:type="dxa"/>
            <w:vMerge w:val="continue"/>
            <w:vAlign w:val="center"/>
          </w:tcPr>
          <w:p w14:paraId="53ECB516">
            <w:pPr>
              <w:adjustRightInd w:val="0"/>
              <w:snapToGrid w:val="0"/>
              <w:spacing w:line="300" w:lineRule="auto"/>
              <w:jc w:val="center"/>
              <w:rPr>
                <w:rFonts w:ascii="宋体" w:hAnsi="宋体" w:cs="宋体"/>
                <w:szCs w:val="21"/>
                <w:highlight w:val="none"/>
              </w:rPr>
            </w:pPr>
          </w:p>
        </w:tc>
        <w:tc>
          <w:tcPr>
            <w:tcW w:w="505" w:type="dxa"/>
            <w:vMerge w:val="continue"/>
            <w:vAlign w:val="center"/>
          </w:tcPr>
          <w:p w14:paraId="08EB6269">
            <w:pPr>
              <w:adjustRightInd w:val="0"/>
              <w:snapToGrid w:val="0"/>
              <w:spacing w:line="300" w:lineRule="auto"/>
              <w:jc w:val="center"/>
              <w:rPr>
                <w:rFonts w:ascii="宋体" w:hAnsi="宋体" w:cs="宋体"/>
                <w:szCs w:val="21"/>
                <w:highlight w:val="none"/>
              </w:rPr>
            </w:pPr>
          </w:p>
        </w:tc>
        <w:tc>
          <w:tcPr>
            <w:tcW w:w="1342" w:type="dxa"/>
            <w:shd w:val="clear" w:color="auto" w:fill="auto"/>
            <w:vAlign w:val="center"/>
          </w:tcPr>
          <w:p w14:paraId="284E0E05">
            <w:pPr>
              <w:pStyle w:val="82"/>
              <w:spacing w:line="300" w:lineRule="auto"/>
              <w:rPr>
                <w:rFonts w:ascii="宋体" w:hAnsi="宋体" w:eastAsia="宋体" w:cs="宋体"/>
                <w:color w:val="auto"/>
                <w:sz w:val="21"/>
                <w:szCs w:val="21"/>
                <w:highlight w:val="none"/>
                <w:lang w:val="en-US" w:eastAsia="zh-CN" w:bidi="ar-SA"/>
              </w:rPr>
            </w:pPr>
          </w:p>
          <w:p w14:paraId="65FE294A">
            <w:pPr>
              <w:pStyle w:val="82"/>
              <w:snapToGrid w:val="0"/>
              <w:spacing w:line="300" w:lineRule="auto"/>
              <w:jc w:val="center"/>
              <w:rPr>
                <w:rFonts w:hint="eastAsia" w:ascii="宋体" w:hAnsi="宋体" w:cs="宋体"/>
                <w:b w:val="0"/>
                <w:bCs/>
                <w:sz w:val="21"/>
                <w:szCs w:val="21"/>
                <w:highlight w:val="none"/>
              </w:rPr>
            </w:pPr>
            <w:r>
              <w:rPr>
                <w:rFonts w:hint="eastAsia" w:ascii="宋体" w:hAnsi="宋体" w:cs="宋体"/>
                <w:b w:val="0"/>
                <w:bCs/>
                <w:sz w:val="21"/>
                <w:szCs w:val="21"/>
                <w:highlight w:val="none"/>
              </w:rPr>
              <w:t>企业履约能力</w:t>
            </w:r>
          </w:p>
          <w:p w14:paraId="2153A208">
            <w:pPr>
              <w:pStyle w:val="82"/>
              <w:snapToGrid w:val="0"/>
              <w:spacing w:line="300" w:lineRule="auto"/>
              <w:jc w:val="center"/>
              <w:rPr>
                <w:rFonts w:hint="eastAsia" w:ascii="宋体" w:hAnsi="宋体" w:eastAsia="华文细黑_x0004_" w:cs="宋体"/>
                <w:color w:val="auto"/>
                <w:sz w:val="21"/>
                <w:szCs w:val="21"/>
                <w:highlight w:val="none"/>
                <w:lang w:eastAsia="zh-CN"/>
              </w:rPr>
            </w:pPr>
            <w:r>
              <w:rPr>
                <w:rFonts w:hint="eastAsia" w:ascii="宋体" w:hAnsi="宋体" w:cs="宋体"/>
                <w:b w:val="0"/>
                <w:bCs/>
                <w:sz w:val="21"/>
                <w:szCs w:val="21"/>
                <w:highlight w:val="none"/>
                <w:lang w:eastAsia="zh-CN"/>
              </w:rPr>
              <w:t>（</w:t>
            </w:r>
            <w:r>
              <w:rPr>
                <w:rFonts w:hint="eastAsia" w:ascii="宋体" w:hAnsi="宋体" w:cs="宋体"/>
                <w:b w:val="0"/>
                <w:bCs/>
                <w:sz w:val="21"/>
                <w:szCs w:val="21"/>
                <w:highlight w:val="none"/>
                <w:lang w:val="en-US" w:eastAsia="zh-CN"/>
              </w:rPr>
              <w:t>10分</w:t>
            </w:r>
            <w:r>
              <w:rPr>
                <w:rFonts w:hint="eastAsia" w:ascii="宋体" w:hAnsi="宋体" w:cs="宋体"/>
                <w:b w:val="0"/>
                <w:bCs/>
                <w:sz w:val="21"/>
                <w:szCs w:val="21"/>
                <w:highlight w:val="none"/>
                <w:lang w:eastAsia="zh-CN"/>
              </w:rPr>
              <w:t>）</w:t>
            </w:r>
          </w:p>
        </w:tc>
        <w:tc>
          <w:tcPr>
            <w:tcW w:w="6196" w:type="dxa"/>
            <w:vAlign w:val="center"/>
          </w:tcPr>
          <w:p w14:paraId="39D9CB03">
            <w:pPr>
              <w:autoSpaceDE w:val="0"/>
              <w:autoSpaceDN w:val="0"/>
              <w:adjustRightInd w:val="0"/>
              <w:snapToGrid w:val="0"/>
              <w:spacing w:line="300" w:lineRule="auto"/>
              <w:jc w:val="left"/>
              <w:rPr>
                <w:rFonts w:hint="eastAsia" w:ascii="宋体" w:hAnsi="宋体" w:cs="宋体"/>
                <w:highlight w:val="none"/>
              </w:rPr>
            </w:pPr>
            <w:r>
              <w:rPr>
                <w:rFonts w:hint="eastAsia" w:ascii="宋体" w:hAnsi="宋体" w:cs="宋体"/>
                <w:highlight w:val="none"/>
              </w:rPr>
              <w:t>投标人提供企业履约能力证明的相关资料复印件加盖投标单位公章附于投标文件内。</w:t>
            </w:r>
          </w:p>
          <w:p w14:paraId="7BA24893">
            <w:pPr>
              <w:autoSpaceDE w:val="0"/>
              <w:autoSpaceDN w:val="0"/>
              <w:adjustRightInd w:val="0"/>
              <w:snapToGrid w:val="0"/>
              <w:spacing w:line="300" w:lineRule="auto"/>
              <w:jc w:val="left"/>
              <w:rPr>
                <w:rFonts w:ascii="宋体" w:hAnsi="宋体" w:cs="宋体"/>
                <w:highlight w:val="none"/>
              </w:rPr>
            </w:pPr>
            <w:r>
              <w:rPr>
                <w:rFonts w:hint="eastAsia" w:ascii="宋体" w:hAnsi="宋体" w:cs="宋体"/>
                <w:highlight w:val="none"/>
              </w:rPr>
              <w:t>能够提供所在服务城市内的固定办公场所证明或目前没有固定办公场所但提供承诺中标后在服务的城市建立固定办公场所的承诺函得</w:t>
            </w:r>
            <w:r>
              <w:rPr>
                <w:rFonts w:hint="eastAsia" w:ascii="宋体" w:hAnsi="宋体" w:cs="宋体"/>
                <w:highlight w:val="none"/>
                <w:lang w:val="en-US" w:eastAsia="zh-CN"/>
              </w:rPr>
              <w:t>10</w:t>
            </w:r>
            <w:r>
              <w:rPr>
                <w:rFonts w:hint="eastAsia" w:ascii="宋体" w:hAnsi="宋体" w:cs="宋体"/>
                <w:highlight w:val="none"/>
              </w:rPr>
              <w:t>分</w:t>
            </w:r>
          </w:p>
        </w:tc>
      </w:tr>
      <w:tr w14:paraId="46B49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trPr>
        <w:tc>
          <w:tcPr>
            <w:tcW w:w="735" w:type="dxa"/>
            <w:vMerge w:val="continue"/>
            <w:vAlign w:val="center"/>
          </w:tcPr>
          <w:p w14:paraId="35AD24A1">
            <w:pPr>
              <w:adjustRightInd w:val="0"/>
              <w:snapToGrid w:val="0"/>
              <w:spacing w:line="300" w:lineRule="auto"/>
              <w:jc w:val="center"/>
              <w:rPr>
                <w:rFonts w:ascii="宋体" w:hAnsi="宋体" w:cs="宋体"/>
                <w:szCs w:val="21"/>
                <w:highlight w:val="none"/>
              </w:rPr>
            </w:pPr>
          </w:p>
        </w:tc>
        <w:tc>
          <w:tcPr>
            <w:tcW w:w="505" w:type="dxa"/>
            <w:vMerge w:val="continue"/>
            <w:vAlign w:val="center"/>
          </w:tcPr>
          <w:p w14:paraId="51D72FC6">
            <w:pPr>
              <w:adjustRightInd w:val="0"/>
              <w:snapToGrid w:val="0"/>
              <w:spacing w:line="300" w:lineRule="auto"/>
              <w:jc w:val="center"/>
              <w:rPr>
                <w:rFonts w:ascii="宋体" w:hAnsi="宋体" w:cs="宋体"/>
                <w:szCs w:val="21"/>
                <w:highlight w:val="none"/>
              </w:rPr>
            </w:pPr>
          </w:p>
        </w:tc>
        <w:tc>
          <w:tcPr>
            <w:tcW w:w="1342" w:type="dxa"/>
            <w:shd w:val="clear" w:color="auto" w:fill="auto"/>
            <w:vAlign w:val="center"/>
          </w:tcPr>
          <w:p w14:paraId="5D190328">
            <w:pPr>
              <w:pStyle w:val="82"/>
              <w:snapToGrid w:val="0"/>
              <w:spacing w:line="300" w:lineRule="auto"/>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服务承诺</w:t>
            </w:r>
          </w:p>
          <w:p w14:paraId="38D66505">
            <w:pPr>
              <w:pStyle w:val="24"/>
              <w:rPr>
                <w:rFonts w:hint="eastAsia" w:ascii="宋体" w:hAnsi="宋体" w:cs="宋体"/>
                <w:b w:val="0"/>
                <w:bCs/>
                <w:sz w:val="21"/>
                <w:szCs w:val="21"/>
                <w:highlight w:val="none"/>
                <w:lang w:eastAsia="zh-CN"/>
              </w:rPr>
            </w:pP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lang w:val="en-US" w:eastAsia="zh-CN"/>
              </w:rPr>
              <w:t>10</w:t>
            </w:r>
            <w:r>
              <w:rPr>
                <w:rFonts w:hint="eastAsia" w:ascii="宋体" w:hAnsi="宋体" w:cs="宋体"/>
                <w:color w:val="auto"/>
                <w:kern w:val="2"/>
                <w:sz w:val="21"/>
                <w:szCs w:val="21"/>
                <w:highlight w:val="none"/>
                <w:lang w:eastAsia="zh-CN"/>
              </w:rPr>
              <w:t>）分</w:t>
            </w:r>
          </w:p>
        </w:tc>
        <w:tc>
          <w:tcPr>
            <w:tcW w:w="6196" w:type="dxa"/>
            <w:vAlign w:val="center"/>
          </w:tcPr>
          <w:p w14:paraId="0E174544">
            <w:pPr>
              <w:autoSpaceDE w:val="0"/>
              <w:autoSpaceDN w:val="0"/>
              <w:adjustRightInd w:val="0"/>
              <w:snapToGrid w:val="0"/>
              <w:spacing w:line="300" w:lineRule="auto"/>
              <w:jc w:val="left"/>
              <w:rPr>
                <w:rFonts w:hint="eastAsia" w:ascii="宋体" w:hAnsi="宋体" w:cs="宋体"/>
                <w:highlight w:val="none"/>
              </w:rPr>
            </w:pPr>
            <w:r>
              <w:rPr>
                <w:rFonts w:hint="default" w:ascii="宋体" w:hAnsi="宋体" w:eastAsia="宋体" w:cs="宋体"/>
                <w:highlight w:val="none"/>
                <w:lang w:val="en-US" w:eastAsia="zh-CN"/>
              </w:rPr>
              <w:t>针对本项目做出切实可行的服务承诺。</w:t>
            </w:r>
            <w:r>
              <w:rPr>
                <w:rFonts w:hint="default" w:ascii="宋体" w:hAnsi="宋体" w:eastAsia="宋体" w:cs="宋体"/>
                <w:highlight w:val="none"/>
                <w:lang w:val="en-US" w:eastAsia="zh-CN"/>
              </w:rPr>
              <w:br w:type="textWrapping"/>
            </w:r>
            <w:r>
              <w:rPr>
                <w:rFonts w:hint="default" w:ascii="宋体" w:hAnsi="宋体" w:eastAsia="宋体" w:cs="宋体"/>
                <w:highlight w:val="none"/>
                <w:lang w:val="en-US" w:eastAsia="zh-CN"/>
              </w:rPr>
              <w:t>1、承诺内容全面，切实可行的得8分，9分，10分；</w:t>
            </w:r>
            <w:r>
              <w:rPr>
                <w:rFonts w:hint="default" w:ascii="宋体" w:hAnsi="宋体" w:eastAsia="宋体" w:cs="宋体"/>
                <w:highlight w:val="none"/>
                <w:lang w:val="en-US" w:eastAsia="zh-CN"/>
              </w:rPr>
              <w:br w:type="textWrapping"/>
            </w:r>
            <w:r>
              <w:rPr>
                <w:rFonts w:hint="default" w:ascii="宋体" w:hAnsi="宋体" w:eastAsia="宋体" w:cs="宋体"/>
                <w:highlight w:val="none"/>
                <w:lang w:val="en-US" w:eastAsia="zh-CN"/>
              </w:rPr>
              <w:t>2、承诺内容较全面，比较切实可行的得4分，5分，6分，7分；</w:t>
            </w:r>
            <w:r>
              <w:rPr>
                <w:rFonts w:hint="default" w:ascii="宋体" w:hAnsi="宋体" w:eastAsia="宋体" w:cs="宋体"/>
                <w:highlight w:val="none"/>
                <w:lang w:val="en-US" w:eastAsia="zh-CN"/>
              </w:rPr>
              <w:br w:type="textWrapping"/>
            </w:r>
            <w:r>
              <w:rPr>
                <w:rFonts w:hint="default" w:ascii="宋体" w:hAnsi="宋体" w:eastAsia="宋体" w:cs="宋体"/>
                <w:highlight w:val="none"/>
                <w:lang w:val="en-US" w:eastAsia="zh-CN"/>
              </w:rPr>
              <w:t>3、承诺内容有遗漏，可行性一般的得1分，2分，3分；</w:t>
            </w:r>
            <w:r>
              <w:rPr>
                <w:rFonts w:hint="default" w:ascii="宋体" w:hAnsi="宋体" w:eastAsia="宋体" w:cs="宋体"/>
                <w:highlight w:val="none"/>
                <w:lang w:val="en-US" w:eastAsia="zh-CN"/>
              </w:rPr>
              <w:br w:type="textWrapping"/>
            </w:r>
            <w:r>
              <w:rPr>
                <w:rFonts w:hint="default" w:ascii="宋体" w:hAnsi="宋体" w:eastAsia="宋体" w:cs="宋体"/>
                <w:highlight w:val="none"/>
                <w:lang w:val="en-US" w:eastAsia="zh-CN"/>
              </w:rPr>
              <w:t>4、不提供</w:t>
            </w:r>
            <w:r>
              <w:rPr>
                <w:rFonts w:hint="eastAsia" w:ascii="宋体" w:hAnsi="宋体" w:eastAsia="宋体" w:cs="宋体"/>
                <w:highlight w:val="none"/>
                <w:lang w:val="en-US" w:eastAsia="zh-CN"/>
              </w:rPr>
              <w:t>工作服务</w:t>
            </w:r>
            <w:r>
              <w:rPr>
                <w:rFonts w:hint="default" w:ascii="宋体" w:hAnsi="宋体" w:eastAsia="宋体" w:cs="宋体"/>
                <w:highlight w:val="none"/>
                <w:lang w:val="en-US" w:eastAsia="zh-CN"/>
              </w:rPr>
              <w:t>相关信息证明扫描件加盖公章及服务承诺情况的不得分。</w:t>
            </w:r>
          </w:p>
        </w:tc>
      </w:tr>
      <w:tr w14:paraId="7C38F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trPr>
        <w:tc>
          <w:tcPr>
            <w:tcW w:w="735" w:type="dxa"/>
            <w:vMerge w:val="continue"/>
            <w:vAlign w:val="center"/>
          </w:tcPr>
          <w:p w14:paraId="75E50B98">
            <w:pPr>
              <w:adjustRightInd w:val="0"/>
              <w:snapToGrid w:val="0"/>
              <w:spacing w:line="300" w:lineRule="auto"/>
              <w:jc w:val="center"/>
              <w:rPr>
                <w:rFonts w:ascii="宋体" w:hAnsi="宋体" w:cs="宋体"/>
                <w:szCs w:val="21"/>
                <w:highlight w:val="none"/>
              </w:rPr>
            </w:pPr>
          </w:p>
        </w:tc>
        <w:tc>
          <w:tcPr>
            <w:tcW w:w="505" w:type="dxa"/>
            <w:vMerge w:val="continue"/>
            <w:vAlign w:val="center"/>
          </w:tcPr>
          <w:p w14:paraId="7AFE17D4">
            <w:pPr>
              <w:adjustRightInd w:val="0"/>
              <w:snapToGrid w:val="0"/>
              <w:spacing w:line="300" w:lineRule="auto"/>
              <w:jc w:val="center"/>
              <w:rPr>
                <w:rFonts w:ascii="宋体" w:hAnsi="宋体" w:cs="宋体"/>
                <w:szCs w:val="21"/>
                <w:highlight w:val="none"/>
              </w:rPr>
            </w:pPr>
          </w:p>
        </w:tc>
        <w:tc>
          <w:tcPr>
            <w:tcW w:w="1342" w:type="dxa"/>
            <w:shd w:val="clear" w:color="auto" w:fill="auto"/>
            <w:vAlign w:val="center"/>
          </w:tcPr>
          <w:p w14:paraId="67B0CC69">
            <w:pPr>
              <w:pStyle w:val="82"/>
              <w:snapToGrid w:val="0"/>
              <w:spacing w:line="300" w:lineRule="auto"/>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人员培训方案</w:t>
            </w:r>
          </w:p>
          <w:p w14:paraId="5AE861D3">
            <w:pPr>
              <w:pStyle w:val="24"/>
              <w:jc w:val="center"/>
              <w:rPr>
                <w:rFonts w:hint="eastAsia" w:ascii="宋体" w:hAnsi="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w:t>
            </w:r>
            <w:r>
              <w:rPr>
                <w:rFonts w:hint="eastAsia" w:ascii="宋体" w:hAnsi="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lang w:val="en-US" w:eastAsia="zh-CN"/>
              </w:rPr>
              <w:t>分）</w:t>
            </w:r>
          </w:p>
        </w:tc>
        <w:tc>
          <w:tcPr>
            <w:tcW w:w="6196" w:type="dxa"/>
            <w:vAlign w:val="center"/>
          </w:tcPr>
          <w:p w14:paraId="5DD4198F">
            <w:pPr>
              <w:spacing w:line="300" w:lineRule="auto"/>
              <w:rPr>
                <w:rFonts w:hint="eastAsia" w:ascii="宋体" w:hAnsi="宋体" w:cs="宋体"/>
                <w:highlight w:val="none"/>
              </w:rPr>
            </w:pPr>
            <w:r>
              <w:rPr>
                <w:rFonts w:hint="eastAsia" w:ascii="宋体" w:hAnsi="宋体" w:cs="宋体"/>
                <w:highlight w:val="none"/>
              </w:rPr>
              <w:t>对拟聘任人员的培训方案充分满足项目需求，科学合理，方案先进，对培训作出明确计划的得10 分，9 分，8 分；对拟聘任人员的培训方案合理可行，符合规定的得7 分，6 分，5 分，4 分；对拟聘任人员的培训方案基本合理的得3 分，2 分，1 分；不提供不得分。</w:t>
            </w:r>
          </w:p>
        </w:tc>
      </w:tr>
      <w:tr w14:paraId="16D6A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trPr>
        <w:tc>
          <w:tcPr>
            <w:tcW w:w="735" w:type="dxa"/>
            <w:vMerge w:val="continue"/>
            <w:vAlign w:val="center"/>
          </w:tcPr>
          <w:p w14:paraId="51803E4A">
            <w:pPr>
              <w:spacing w:line="300" w:lineRule="auto"/>
              <w:jc w:val="center"/>
              <w:rPr>
                <w:rFonts w:ascii="宋体" w:hAnsi="宋体" w:cs="宋体"/>
                <w:szCs w:val="21"/>
                <w:highlight w:val="none"/>
              </w:rPr>
            </w:pPr>
          </w:p>
        </w:tc>
        <w:tc>
          <w:tcPr>
            <w:tcW w:w="505" w:type="dxa"/>
            <w:vMerge w:val="restart"/>
            <w:vAlign w:val="center"/>
          </w:tcPr>
          <w:p w14:paraId="3791F6A6">
            <w:pPr>
              <w:spacing w:line="300" w:lineRule="auto"/>
              <w:jc w:val="center"/>
              <w:rPr>
                <w:rFonts w:hint="eastAsia" w:ascii="宋体" w:hAnsi="宋体" w:cs="宋体"/>
                <w:kern w:val="0"/>
                <w:szCs w:val="21"/>
                <w:highlight w:val="none"/>
              </w:rPr>
            </w:pPr>
            <w:r>
              <w:rPr>
                <w:rFonts w:hint="eastAsia" w:ascii="宋体" w:hAnsi="宋体" w:cs="宋体"/>
                <w:kern w:val="0"/>
                <w:szCs w:val="21"/>
                <w:highlight w:val="none"/>
              </w:rPr>
              <w:t>技术部分（</w:t>
            </w:r>
            <w:r>
              <w:rPr>
                <w:rFonts w:hint="eastAsia" w:ascii="宋体" w:hAnsi="宋体" w:cs="宋体"/>
                <w:kern w:val="0"/>
                <w:szCs w:val="21"/>
                <w:highlight w:val="none"/>
                <w:lang w:val="en-US" w:eastAsia="zh-CN"/>
              </w:rPr>
              <w:t>30</w:t>
            </w:r>
            <w:r>
              <w:rPr>
                <w:rFonts w:hint="eastAsia" w:ascii="宋体" w:hAnsi="宋体" w:cs="宋体"/>
                <w:kern w:val="0"/>
                <w:szCs w:val="21"/>
                <w:highlight w:val="none"/>
              </w:rPr>
              <w:t>）</w:t>
            </w:r>
          </w:p>
          <w:p w14:paraId="2A6C7CE1">
            <w:pPr>
              <w:bidi w:val="0"/>
              <w:rPr>
                <w:rFonts w:hint="eastAsia" w:ascii="Times New Roman" w:hAnsi="Times New Roman" w:eastAsia="宋体" w:cs="Times New Roman"/>
                <w:kern w:val="2"/>
                <w:sz w:val="21"/>
                <w:szCs w:val="24"/>
                <w:highlight w:val="none"/>
                <w:lang w:val="en-US" w:eastAsia="zh-CN" w:bidi="ar-SA"/>
              </w:rPr>
            </w:pPr>
          </w:p>
          <w:p w14:paraId="30B19B8C">
            <w:pPr>
              <w:bidi w:val="0"/>
              <w:rPr>
                <w:rFonts w:hint="eastAsia"/>
                <w:highlight w:val="none"/>
                <w:lang w:val="en-US" w:eastAsia="zh-CN"/>
              </w:rPr>
            </w:pPr>
          </w:p>
          <w:p w14:paraId="4014CF8D">
            <w:pPr>
              <w:bidi w:val="0"/>
              <w:rPr>
                <w:rFonts w:hint="eastAsia"/>
                <w:highlight w:val="none"/>
                <w:lang w:val="en-US" w:eastAsia="zh-CN"/>
              </w:rPr>
            </w:pPr>
          </w:p>
          <w:p w14:paraId="0CB1521E">
            <w:pPr>
              <w:bidi w:val="0"/>
              <w:rPr>
                <w:rFonts w:hint="eastAsia"/>
                <w:highlight w:val="none"/>
                <w:lang w:val="en-US" w:eastAsia="zh-CN"/>
              </w:rPr>
            </w:pPr>
          </w:p>
          <w:p w14:paraId="22FAFDDA">
            <w:pPr>
              <w:bidi w:val="0"/>
              <w:jc w:val="left"/>
              <w:rPr>
                <w:rFonts w:hint="eastAsia"/>
                <w:highlight w:val="none"/>
                <w:lang w:val="en-US" w:eastAsia="zh-CN"/>
              </w:rPr>
            </w:pPr>
          </w:p>
        </w:tc>
        <w:tc>
          <w:tcPr>
            <w:tcW w:w="1342" w:type="dxa"/>
            <w:vAlign w:val="center"/>
          </w:tcPr>
          <w:p w14:paraId="6A492D16">
            <w:pPr>
              <w:pStyle w:val="82"/>
              <w:snapToGrid w:val="0"/>
              <w:spacing w:line="300" w:lineRule="auto"/>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服务方案</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10分）</w:t>
            </w:r>
          </w:p>
        </w:tc>
        <w:tc>
          <w:tcPr>
            <w:tcW w:w="6196" w:type="dxa"/>
            <w:vAlign w:val="center"/>
          </w:tcPr>
          <w:p w14:paraId="5B3FD4F0">
            <w:pPr>
              <w:spacing w:line="300" w:lineRule="auto"/>
              <w:rPr>
                <w:rFonts w:ascii="宋体" w:hAnsi="宋体" w:cs="宋体"/>
                <w:highlight w:val="none"/>
              </w:rPr>
            </w:pPr>
            <w:r>
              <w:rPr>
                <w:rFonts w:hint="eastAsia" w:ascii="宋体" w:hAnsi="宋体" w:cs="宋体"/>
                <w:highlight w:val="none"/>
              </w:rPr>
              <w:t>投标单位针对本项目所制定的服务方案，内容详尽、服务执行规范明确、可操作性强的得 10 分，9 分，8 分；内容较详尽、服务执行规范较明确、可操作性较强的得 7 分，6 分，5 分，4 分；内容一般、服务执行规范完善性一般、可操作性一般的得 3 分，2 分，1 分；不提供不得分。</w:t>
            </w:r>
          </w:p>
        </w:tc>
      </w:tr>
      <w:tr w14:paraId="5E93D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735" w:type="dxa"/>
            <w:vMerge w:val="continue"/>
            <w:vAlign w:val="center"/>
          </w:tcPr>
          <w:p w14:paraId="0398C5A3">
            <w:pPr>
              <w:spacing w:line="300" w:lineRule="auto"/>
              <w:jc w:val="center"/>
              <w:rPr>
                <w:rFonts w:ascii="宋体" w:hAnsi="宋体" w:cs="宋体"/>
                <w:szCs w:val="21"/>
                <w:highlight w:val="none"/>
              </w:rPr>
            </w:pPr>
          </w:p>
        </w:tc>
        <w:tc>
          <w:tcPr>
            <w:tcW w:w="505" w:type="dxa"/>
            <w:vMerge w:val="continue"/>
            <w:vAlign w:val="center"/>
          </w:tcPr>
          <w:p w14:paraId="2C550EEB">
            <w:pPr>
              <w:spacing w:line="300" w:lineRule="auto"/>
              <w:jc w:val="center"/>
              <w:rPr>
                <w:rFonts w:ascii="宋体" w:hAnsi="宋体" w:cs="宋体"/>
                <w:szCs w:val="21"/>
                <w:highlight w:val="none"/>
              </w:rPr>
            </w:pPr>
          </w:p>
        </w:tc>
        <w:tc>
          <w:tcPr>
            <w:tcW w:w="1342" w:type="dxa"/>
            <w:vAlign w:val="center"/>
          </w:tcPr>
          <w:p w14:paraId="7BB22904">
            <w:pPr>
              <w:pStyle w:val="82"/>
              <w:snapToGrid w:val="0"/>
              <w:spacing w:line="300" w:lineRule="auto"/>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人员管理方案</w:t>
            </w:r>
          </w:p>
          <w:p w14:paraId="24EAF813">
            <w:pPr>
              <w:pStyle w:val="82"/>
              <w:snapToGrid w:val="0"/>
              <w:spacing w:line="300" w:lineRule="auto"/>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 xml:space="preserve">10 </w:t>
            </w:r>
            <w:r>
              <w:rPr>
                <w:rFonts w:hint="eastAsia" w:ascii="宋体" w:hAnsi="宋体" w:eastAsia="宋体" w:cs="宋体"/>
                <w:color w:val="auto"/>
                <w:kern w:val="2"/>
                <w:sz w:val="21"/>
                <w:szCs w:val="21"/>
                <w:highlight w:val="none"/>
                <w:lang w:eastAsia="zh-CN"/>
              </w:rPr>
              <w:t>分)</w:t>
            </w:r>
          </w:p>
        </w:tc>
        <w:tc>
          <w:tcPr>
            <w:tcW w:w="6196" w:type="dxa"/>
            <w:vAlign w:val="center"/>
          </w:tcPr>
          <w:p w14:paraId="0F411072">
            <w:pPr>
              <w:spacing w:line="300" w:lineRule="auto"/>
              <w:rPr>
                <w:rFonts w:hint="eastAsia" w:ascii="宋体" w:hAnsi="宋体" w:cs="宋体"/>
                <w:highlight w:val="none"/>
              </w:rPr>
            </w:pPr>
            <w:r>
              <w:rPr>
                <w:rFonts w:hint="eastAsia" w:ascii="宋体" w:hAnsi="宋体" w:cs="宋体"/>
                <w:highlight w:val="none"/>
              </w:rPr>
              <w:t>人员配备合理，组织机构完备，管理方案充分满足项目需求，科学合理，方案先进，对管理作出明确计划的得 10 分，9 分，8 分；对拟聘任人员的管理方案合理可行，符合规定的得 7 分，6 分，5 分，4 分；对拟聘任人员的管理方案基本合理的得3 分，2 分，1 分；不提供不得分。</w:t>
            </w:r>
          </w:p>
        </w:tc>
      </w:tr>
      <w:tr w14:paraId="5080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8" w:hRule="atLeast"/>
        </w:trPr>
        <w:tc>
          <w:tcPr>
            <w:tcW w:w="735" w:type="dxa"/>
            <w:vMerge w:val="continue"/>
            <w:vAlign w:val="center"/>
          </w:tcPr>
          <w:p w14:paraId="5F0910C0">
            <w:pPr>
              <w:spacing w:line="300" w:lineRule="auto"/>
              <w:jc w:val="center"/>
              <w:rPr>
                <w:rFonts w:ascii="宋体" w:hAnsi="宋体" w:cs="宋体"/>
                <w:szCs w:val="21"/>
                <w:highlight w:val="none"/>
              </w:rPr>
            </w:pPr>
          </w:p>
        </w:tc>
        <w:tc>
          <w:tcPr>
            <w:tcW w:w="505" w:type="dxa"/>
            <w:vMerge w:val="continue"/>
            <w:vAlign w:val="center"/>
          </w:tcPr>
          <w:p w14:paraId="1AF506A3">
            <w:pPr>
              <w:spacing w:line="300" w:lineRule="auto"/>
              <w:jc w:val="center"/>
              <w:rPr>
                <w:rFonts w:ascii="宋体" w:hAnsi="宋体" w:cs="宋体"/>
                <w:szCs w:val="21"/>
                <w:highlight w:val="none"/>
              </w:rPr>
            </w:pPr>
          </w:p>
        </w:tc>
        <w:tc>
          <w:tcPr>
            <w:tcW w:w="1342" w:type="dxa"/>
            <w:vAlign w:val="center"/>
          </w:tcPr>
          <w:p w14:paraId="5039641F">
            <w:pPr>
              <w:pStyle w:val="82"/>
              <w:snapToGrid w:val="0"/>
              <w:spacing w:line="300" w:lineRule="auto"/>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应急事故处理</w:t>
            </w:r>
          </w:p>
          <w:p w14:paraId="2E329A78">
            <w:pPr>
              <w:pStyle w:val="82"/>
              <w:snapToGrid w:val="0"/>
              <w:spacing w:line="300" w:lineRule="auto"/>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10分）</w:t>
            </w:r>
          </w:p>
        </w:tc>
        <w:tc>
          <w:tcPr>
            <w:tcW w:w="6196" w:type="dxa"/>
            <w:vAlign w:val="center"/>
          </w:tcPr>
          <w:p w14:paraId="3AD159BC">
            <w:pPr>
              <w:spacing w:line="300" w:lineRule="auto"/>
              <w:rPr>
                <w:rFonts w:hint="eastAsia" w:ascii="宋体" w:hAnsi="宋体" w:cs="宋体"/>
                <w:highlight w:val="none"/>
              </w:rPr>
            </w:pPr>
            <w:r>
              <w:rPr>
                <w:rFonts w:hint="eastAsia" w:ascii="宋体" w:hAnsi="宋体" w:cs="宋体"/>
                <w:highlight w:val="none"/>
              </w:rPr>
              <w:t xml:space="preserve">应急事故预案（如可能发生的应急事故情况分析、应急响应时间、紧急安全保障措施、临时处理措施、故障或事故解决处理措施、风险防控等）进行综合评审。      </w:t>
            </w:r>
          </w:p>
          <w:p w14:paraId="44387A34">
            <w:pPr>
              <w:spacing w:line="300" w:lineRule="auto"/>
              <w:rPr>
                <w:rFonts w:ascii="宋体" w:hAnsi="宋体" w:cs="宋体"/>
                <w:highlight w:val="none"/>
              </w:rPr>
            </w:pPr>
            <w:r>
              <w:rPr>
                <w:rFonts w:hint="eastAsia" w:ascii="宋体" w:hAnsi="宋体" w:cs="宋体"/>
                <w:highlight w:val="none"/>
              </w:rPr>
              <w:t>内容具体详细、符合要求，针对性强，符合本项目的所有要求，得 10 分，9 分，8 分；内容基本完备、基本符合本项目的要求，得 7 分，6 分，5 分，4 分，内容稍有欠缺，部分符合本项目的要求的，得3 分，2 分，1 分，不提供不得分。</w:t>
            </w:r>
          </w:p>
        </w:tc>
      </w:tr>
      <w:tr w14:paraId="2C058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240" w:type="dxa"/>
            <w:gridSpan w:val="2"/>
            <w:vAlign w:val="center"/>
          </w:tcPr>
          <w:p w14:paraId="43EF60BC">
            <w:pPr>
              <w:adjustRightInd w:val="0"/>
              <w:snapToGrid w:val="0"/>
              <w:spacing w:line="300" w:lineRule="auto"/>
              <w:jc w:val="center"/>
              <w:rPr>
                <w:rFonts w:ascii="宋体" w:hAnsi="宋体" w:cs="宋体"/>
                <w:szCs w:val="21"/>
                <w:highlight w:val="none"/>
              </w:rPr>
            </w:pPr>
            <w:r>
              <w:rPr>
                <w:rFonts w:hint="eastAsia" w:ascii="宋体" w:hAnsi="宋体" w:cs="宋体"/>
                <w:szCs w:val="21"/>
                <w:highlight w:val="none"/>
              </w:rPr>
              <w:t>合计</w:t>
            </w:r>
          </w:p>
        </w:tc>
        <w:tc>
          <w:tcPr>
            <w:tcW w:w="7538" w:type="dxa"/>
            <w:gridSpan w:val="2"/>
            <w:vAlign w:val="center"/>
          </w:tcPr>
          <w:p w14:paraId="74D4FB11">
            <w:pPr>
              <w:adjustRightInd w:val="0"/>
              <w:snapToGrid w:val="0"/>
              <w:spacing w:line="300" w:lineRule="auto"/>
              <w:jc w:val="center"/>
              <w:rPr>
                <w:rFonts w:ascii="宋体" w:hAnsi="宋体" w:cs="宋体"/>
                <w:szCs w:val="21"/>
                <w:highlight w:val="none"/>
              </w:rPr>
            </w:pPr>
            <w:r>
              <w:rPr>
                <w:rFonts w:hint="eastAsia" w:ascii="宋体" w:hAnsi="宋体" w:cs="宋体"/>
                <w:szCs w:val="21"/>
                <w:highlight w:val="none"/>
              </w:rPr>
              <w:t>100分</w:t>
            </w:r>
          </w:p>
        </w:tc>
      </w:tr>
    </w:tbl>
    <w:p w14:paraId="5E6DF365">
      <w:pPr>
        <w:autoSpaceDE w:val="0"/>
        <w:autoSpaceDN w:val="0"/>
        <w:adjustRightInd w:val="0"/>
        <w:spacing w:line="0" w:lineRule="atLeast"/>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注:</w:t>
      </w:r>
      <w:r>
        <w:rPr>
          <w:rFonts w:hint="eastAsia" w:ascii="新宋体" w:hAnsi="新宋体" w:eastAsia="新宋体" w:cs="新宋体"/>
          <w:sz w:val="24"/>
          <w:szCs w:val="24"/>
          <w:highlight w:val="none"/>
          <w:lang w:val="en-US" w:eastAsia="zh-CN"/>
        </w:rPr>
        <w:t xml:space="preserve"> </w:t>
      </w:r>
      <w:r>
        <w:rPr>
          <w:rFonts w:hint="eastAsia" w:ascii="新宋体" w:hAnsi="新宋体" w:eastAsia="新宋体" w:cs="新宋体"/>
          <w:sz w:val="24"/>
          <w:szCs w:val="24"/>
          <w:highlight w:val="none"/>
        </w:rPr>
        <w:t>(1)所有评委对某个合格投标人评分的算术平均值为该投标人的最终得分;</w:t>
      </w:r>
    </w:p>
    <w:p w14:paraId="07194DDD">
      <w:pPr>
        <w:autoSpaceDE w:val="0"/>
        <w:autoSpaceDN w:val="0"/>
        <w:adjustRightInd w:val="0"/>
        <w:spacing w:line="0" w:lineRule="atLeast"/>
        <w:ind w:firstLine="480" w:firstLineChars="200"/>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(2)对所有合格投标人的最终得分进行排序，得分高者为预中标人。</w:t>
      </w:r>
    </w:p>
    <w:p w14:paraId="72D1F49D">
      <w:pPr>
        <w:autoSpaceDE w:val="0"/>
        <w:autoSpaceDN w:val="0"/>
        <w:adjustRightInd w:val="0"/>
        <w:spacing w:line="0" w:lineRule="atLeast"/>
        <w:ind w:firstLine="480" w:firstLineChars="200"/>
        <w:jc w:val="left"/>
        <w:rPr>
          <w:rFonts w:hint="eastAsia" w:ascii="黑体" w:eastAsia="黑体" w:cs="黑体"/>
          <w:b/>
          <w:bCs/>
          <w:sz w:val="24"/>
          <w:szCs w:val="24"/>
          <w:highlight w:val="none"/>
          <w:lang w:val="zh-CN"/>
        </w:rPr>
      </w:pPr>
      <w:r>
        <w:rPr>
          <w:rFonts w:hint="eastAsia" w:ascii="新宋体" w:hAnsi="新宋体" w:eastAsia="新宋体" w:cs="新宋体"/>
          <w:sz w:val="24"/>
          <w:szCs w:val="24"/>
          <w:highlight w:val="none"/>
        </w:rPr>
        <w:t>(3)计算结果精确到小数点后两位。</w:t>
      </w:r>
    </w:p>
    <w:p w14:paraId="7D05E856">
      <w:pPr>
        <w:autoSpaceDE w:val="0"/>
        <w:autoSpaceDN w:val="0"/>
        <w:adjustRightInd w:val="0"/>
        <w:spacing w:line="0" w:lineRule="atLeast"/>
        <w:ind w:firstLine="480" w:firstLineChars="200"/>
        <w:jc w:val="left"/>
        <w:rPr>
          <w:rFonts w:hint="eastAsia" w:ascii="新宋体" w:hAnsi="新宋体" w:eastAsia="新宋体" w:cs="新宋体"/>
          <w:sz w:val="24"/>
          <w:szCs w:val="24"/>
          <w:highlight w:val="none"/>
          <w:lang w:val="zh-CN"/>
        </w:rPr>
      </w:pPr>
      <w:r>
        <w:rPr>
          <w:rFonts w:hint="eastAsia" w:ascii="新宋体" w:hAnsi="新宋体" w:eastAsia="新宋体" w:cs="新宋体"/>
          <w:sz w:val="24"/>
          <w:szCs w:val="24"/>
          <w:highlight w:val="none"/>
          <w:lang w:val="zh-CN"/>
        </w:rPr>
        <w:t>请供应商特别注意：供应商应提交作为评分依据的文件材料并加盖供应商公章和有效签署，否则，将是供应商的风险。</w:t>
      </w:r>
    </w:p>
    <w:p w14:paraId="6B2C1C04">
      <w:pPr>
        <w:autoSpaceDE w:val="0"/>
        <w:autoSpaceDN w:val="0"/>
        <w:adjustRightInd w:val="0"/>
        <w:spacing w:line="0" w:lineRule="atLeast"/>
        <w:ind w:firstLine="480" w:firstLineChars="200"/>
        <w:jc w:val="left"/>
        <w:rPr>
          <w:rFonts w:hint="eastAsia" w:ascii="新宋体" w:hAnsi="新宋体" w:eastAsia="新宋体" w:cs="新宋体"/>
          <w:sz w:val="24"/>
          <w:szCs w:val="24"/>
          <w:highlight w:val="none"/>
          <w:lang w:val="zh-CN"/>
        </w:rPr>
      </w:pPr>
    </w:p>
    <w:p w14:paraId="3D2B9046">
      <w:pPr>
        <w:autoSpaceDE w:val="0"/>
        <w:autoSpaceDN w:val="0"/>
        <w:adjustRightInd w:val="0"/>
        <w:spacing w:line="0" w:lineRule="atLeast"/>
        <w:ind w:firstLine="480" w:firstLineChars="200"/>
        <w:jc w:val="left"/>
        <w:rPr>
          <w:rFonts w:hint="eastAsia" w:ascii="新宋体" w:hAnsi="新宋体" w:eastAsia="新宋体" w:cs="新宋体"/>
          <w:sz w:val="24"/>
          <w:szCs w:val="24"/>
          <w:highlight w:val="none"/>
          <w:lang w:val="zh-CN"/>
        </w:rPr>
      </w:pPr>
    </w:p>
    <w:p w14:paraId="3B7633F3">
      <w:pPr>
        <w:autoSpaceDE w:val="0"/>
        <w:autoSpaceDN w:val="0"/>
        <w:adjustRightInd w:val="0"/>
        <w:spacing w:line="0" w:lineRule="atLeast"/>
        <w:ind w:firstLine="480" w:firstLineChars="200"/>
        <w:jc w:val="left"/>
        <w:rPr>
          <w:rFonts w:hint="eastAsia" w:ascii="新宋体" w:hAnsi="新宋体" w:eastAsia="新宋体" w:cs="新宋体"/>
          <w:sz w:val="24"/>
          <w:szCs w:val="24"/>
          <w:highlight w:val="none"/>
          <w:lang w:val="zh-CN"/>
        </w:rPr>
      </w:pPr>
    </w:p>
    <w:p w14:paraId="3F477FA2">
      <w:pPr>
        <w:autoSpaceDE w:val="0"/>
        <w:autoSpaceDN w:val="0"/>
        <w:adjustRightInd w:val="0"/>
        <w:spacing w:line="0" w:lineRule="atLeast"/>
        <w:ind w:firstLine="480" w:firstLineChars="200"/>
        <w:jc w:val="left"/>
        <w:rPr>
          <w:rFonts w:hint="eastAsia" w:ascii="新宋体" w:hAnsi="新宋体" w:eastAsia="新宋体" w:cs="新宋体"/>
          <w:sz w:val="24"/>
          <w:szCs w:val="24"/>
          <w:highlight w:val="none"/>
          <w:lang w:val="zh-CN"/>
        </w:rPr>
      </w:pPr>
    </w:p>
    <w:p w14:paraId="57A6B515">
      <w:pPr>
        <w:autoSpaceDE w:val="0"/>
        <w:autoSpaceDN w:val="0"/>
        <w:adjustRightInd w:val="0"/>
        <w:spacing w:line="0" w:lineRule="atLeast"/>
        <w:ind w:firstLine="480" w:firstLineChars="200"/>
        <w:jc w:val="left"/>
        <w:rPr>
          <w:rFonts w:hint="eastAsia" w:ascii="新宋体" w:hAnsi="新宋体" w:eastAsia="新宋体" w:cs="新宋体"/>
          <w:sz w:val="24"/>
          <w:szCs w:val="24"/>
          <w:highlight w:val="none"/>
          <w:lang w:val="zh-CN"/>
        </w:rPr>
      </w:pPr>
    </w:p>
    <w:p w14:paraId="5F9F1AFB">
      <w:pPr>
        <w:autoSpaceDE w:val="0"/>
        <w:autoSpaceDN w:val="0"/>
        <w:adjustRightInd w:val="0"/>
        <w:spacing w:line="0" w:lineRule="atLeast"/>
        <w:ind w:firstLine="480" w:firstLineChars="200"/>
        <w:jc w:val="left"/>
        <w:rPr>
          <w:rFonts w:hint="eastAsia" w:ascii="新宋体" w:hAnsi="新宋体" w:eastAsia="新宋体" w:cs="新宋体"/>
          <w:sz w:val="24"/>
          <w:szCs w:val="24"/>
          <w:highlight w:val="none"/>
          <w:lang w:val="zh-CN"/>
        </w:rPr>
      </w:pPr>
    </w:p>
    <w:p w14:paraId="09CB4780">
      <w:pPr>
        <w:autoSpaceDE w:val="0"/>
        <w:autoSpaceDN w:val="0"/>
        <w:adjustRightInd w:val="0"/>
        <w:spacing w:line="0" w:lineRule="atLeast"/>
        <w:ind w:firstLine="480" w:firstLineChars="200"/>
        <w:jc w:val="left"/>
        <w:rPr>
          <w:rFonts w:hint="eastAsia" w:ascii="新宋体" w:hAnsi="新宋体" w:eastAsia="新宋体" w:cs="新宋体"/>
          <w:sz w:val="24"/>
          <w:szCs w:val="24"/>
          <w:highlight w:val="none"/>
          <w:lang w:val="zh-CN"/>
        </w:rPr>
      </w:pPr>
    </w:p>
    <w:p w14:paraId="1B27D635">
      <w:pPr>
        <w:autoSpaceDE w:val="0"/>
        <w:autoSpaceDN w:val="0"/>
        <w:adjustRightInd w:val="0"/>
        <w:spacing w:line="0" w:lineRule="atLeast"/>
        <w:ind w:firstLine="883" w:firstLineChars="200"/>
        <w:jc w:val="center"/>
        <w:rPr>
          <w:rFonts w:hint="eastAsia" w:ascii="Calibri" w:hAnsi="Calibri" w:eastAsia="宋体" w:cs="Times New Roman"/>
          <w:b/>
          <w:bCs/>
          <w:kern w:val="44"/>
          <w:sz w:val="44"/>
          <w:szCs w:val="44"/>
          <w:highlight w:val="none"/>
          <w:lang w:val="en-US" w:eastAsia="zh-CN" w:bidi="ar-SA"/>
        </w:rPr>
      </w:pPr>
    </w:p>
    <w:p w14:paraId="718CFD41">
      <w:pPr>
        <w:autoSpaceDE w:val="0"/>
        <w:autoSpaceDN w:val="0"/>
        <w:adjustRightInd w:val="0"/>
        <w:spacing w:line="0" w:lineRule="atLeast"/>
        <w:ind w:firstLine="883" w:firstLineChars="200"/>
        <w:jc w:val="center"/>
        <w:rPr>
          <w:rFonts w:hint="eastAsia" w:ascii="Calibri" w:hAnsi="Calibri" w:eastAsia="宋体" w:cs="Times New Roman"/>
          <w:b/>
          <w:bCs/>
          <w:kern w:val="44"/>
          <w:sz w:val="44"/>
          <w:szCs w:val="44"/>
          <w:highlight w:val="none"/>
          <w:lang w:val="en-US" w:eastAsia="zh-CN" w:bidi="ar-SA"/>
        </w:rPr>
      </w:pPr>
    </w:p>
    <w:p w14:paraId="6226FC98">
      <w:pPr>
        <w:autoSpaceDE w:val="0"/>
        <w:autoSpaceDN w:val="0"/>
        <w:adjustRightInd w:val="0"/>
        <w:spacing w:line="0" w:lineRule="atLeast"/>
        <w:ind w:firstLine="883" w:firstLineChars="200"/>
        <w:jc w:val="center"/>
        <w:rPr>
          <w:rFonts w:hint="eastAsia" w:ascii="Calibri" w:hAnsi="Calibri" w:eastAsia="宋体" w:cs="Times New Roman"/>
          <w:b/>
          <w:bCs/>
          <w:kern w:val="44"/>
          <w:sz w:val="44"/>
          <w:szCs w:val="44"/>
          <w:highlight w:val="none"/>
          <w:lang w:val="en-US" w:eastAsia="zh-CN" w:bidi="ar-SA"/>
        </w:rPr>
      </w:pPr>
    </w:p>
    <w:p w14:paraId="04DAC464">
      <w:pPr>
        <w:autoSpaceDE w:val="0"/>
        <w:autoSpaceDN w:val="0"/>
        <w:adjustRightInd w:val="0"/>
        <w:spacing w:line="0" w:lineRule="atLeast"/>
        <w:ind w:firstLine="883" w:firstLineChars="200"/>
        <w:jc w:val="center"/>
        <w:rPr>
          <w:rFonts w:hint="eastAsia" w:ascii="Calibri" w:hAnsi="Calibri" w:eastAsia="宋体" w:cs="Times New Roman"/>
          <w:b/>
          <w:bCs/>
          <w:kern w:val="44"/>
          <w:sz w:val="44"/>
          <w:szCs w:val="44"/>
          <w:highlight w:val="none"/>
          <w:lang w:val="en-US" w:eastAsia="zh-CN" w:bidi="ar-SA"/>
        </w:rPr>
      </w:pPr>
    </w:p>
    <w:p w14:paraId="743EA87F">
      <w:pPr>
        <w:autoSpaceDE w:val="0"/>
        <w:autoSpaceDN w:val="0"/>
        <w:adjustRightInd w:val="0"/>
        <w:spacing w:line="0" w:lineRule="atLeast"/>
        <w:ind w:firstLine="883" w:firstLineChars="200"/>
        <w:jc w:val="center"/>
        <w:rPr>
          <w:rFonts w:hint="eastAsia" w:ascii="Calibri" w:hAnsi="Calibri" w:eastAsia="宋体" w:cs="Times New Roman"/>
          <w:b/>
          <w:bCs/>
          <w:kern w:val="44"/>
          <w:sz w:val="44"/>
          <w:szCs w:val="44"/>
          <w:highlight w:val="none"/>
          <w:lang w:val="en-US" w:eastAsia="zh-CN" w:bidi="ar-SA"/>
        </w:rPr>
      </w:pPr>
    </w:p>
    <w:p w14:paraId="56009AF5">
      <w:pPr>
        <w:rPr>
          <w:rFonts w:hint="eastAsia" w:ascii="Calibri" w:hAnsi="Calibri" w:eastAsia="宋体" w:cs="Times New Roman"/>
          <w:b/>
          <w:bCs/>
          <w:kern w:val="44"/>
          <w:sz w:val="44"/>
          <w:szCs w:val="44"/>
          <w:highlight w:val="none"/>
          <w:lang w:val="en-US" w:eastAsia="zh-CN" w:bidi="ar-SA"/>
        </w:rPr>
      </w:pPr>
      <w:r>
        <w:rPr>
          <w:rFonts w:hint="eastAsia" w:ascii="Calibri" w:hAnsi="Calibri" w:eastAsia="宋体" w:cs="Times New Roman"/>
          <w:b/>
          <w:bCs/>
          <w:kern w:val="44"/>
          <w:sz w:val="44"/>
          <w:szCs w:val="44"/>
          <w:highlight w:val="none"/>
          <w:lang w:val="en-US" w:eastAsia="zh-CN" w:bidi="ar-SA"/>
        </w:rPr>
        <w:br w:type="page"/>
      </w:r>
    </w:p>
    <w:p w14:paraId="4922F706">
      <w:pPr>
        <w:autoSpaceDE w:val="0"/>
        <w:autoSpaceDN w:val="0"/>
        <w:adjustRightInd w:val="0"/>
        <w:spacing w:line="0" w:lineRule="atLeast"/>
        <w:ind w:firstLine="883" w:firstLineChars="200"/>
        <w:jc w:val="center"/>
        <w:outlineLvl w:val="0"/>
        <w:rPr>
          <w:rFonts w:hint="eastAsia" w:ascii="Calibri" w:hAnsi="Calibri" w:eastAsia="宋体" w:cs="Times New Roman"/>
          <w:b/>
          <w:bCs/>
          <w:kern w:val="44"/>
          <w:sz w:val="44"/>
          <w:szCs w:val="44"/>
          <w:highlight w:val="none"/>
          <w:lang w:val="en-US" w:eastAsia="zh-CN" w:bidi="ar-SA"/>
        </w:rPr>
      </w:pPr>
      <w:r>
        <w:rPr>
          <w:rFonts w:hint="eastAsia" w:ascii="Calibri" w:hAnsi="Calibri" w:eastAsia="宋体" w:cs="Times New Roman"/>
          <w:b/>
          <w:bCs/>
          <w:kern w:val="44"/>
          <w:sz w:val="44"/>
          <w:szCs w:val="44"/>
          <w:highlight w:val="none"/>
          <w:lang w:val="en-US" w:eastAsia="zh-CN" w:bidi="ar-SA"/>
        </w:rPr>
        <w:t>第四章 合同条款及格式</w:t>
      </w:r>
      <w:bookmarkEnd w:id="51"/>
      <w:bookmarkEnd w:id="61"/>
      <w:bookmarkStart w:id="62" w:name="_Toc115687710"/>
      <w:bookmarkStart w:id="63" w:name="_Toc115690240"/>
      <w:bookmarkStart w:id="64" w:name="_Toc89436459"/>
      <w:bookmarkStart w:id="65" w:name="_Toc74050269"/>
      <w:bookmarkStart w:id="66" w:name="_Toc34735279"/>
      <w:bookmarkStart w:id="67" w:name="_Toc89978221"/>
      <w:bookmarkStart w:id="68" w:name="_Toc74050197"/>
      <w:bookmarkStart w:id="69" w:name="_Toc69124018"/>
      <w:bookmarkStart w:id="70" w:name="_Toc100688724"/>
      <w:bookmarkStart w:id="71" w:name="_Toc103774727"/>
      <w:bookmarkStart w:id="72" w:name="_Toc69207671"/>
      <w:bookmarkStart w:id="73" w:name="_Toc54437396"/>
      <w:bookmarkStart w:id="74" w:name="_Toc34734837"/>
      <w:bookmarkStart w:id="75" w:name="_Toc89930429"/>
      <w:bookmarkStart w:id="76" w:name="_Toc75659408"/>
      <w:bookmarkStart w:id="77" w:name="_Toc89247926"/>
      <w:bookmarkStart w:id="78" w:name="_Toc53896690"/>
      <w:bookmarkStart w:id="79" w:name="_Toc74715537"/>
      <w:bookmarkStart w:id="80" w:name="_Toc71084086"/>
      <w:bookmarkStart w:id="81" w:name="_Toc115690361"/>
      <w:bookmarkStart w:id="82" w:name="_Toc74974242"/>
      <w:bookmarkStart w:id="83" w:name="_Toc192055333"/>
      <w:bookmarkStart w:id="84" w:name="_Toc103769321"/>
      <w:bookmarkStart w:id="85" w:name="_Toc74051995"/>
      <w:bookmarkStart w:id="86" w:name="_Toc93998480"/>
      <w:bookmarkStart w:id="87" w:name="_Toc152046677"/>
      <w:bookmarkStart w:id="88" w:name="_Toc89968215"/>
      <w:bookmarkStart w:id="89" w:name="_Toc93840282"/>
      <w:bookmarkStart w:id="90" w:name="_Toc100685905"/>
      <w:bookmarkStart w:id="91" w:name="_Toc74052166"/>
      <w:bookmarkStart w:id="92" w:name="_Toc115690667"/>
      <w:bookmarkStart w:id="93" w:name="_Toc34732944"/>
      <w:bookmarkStart w:id="94" w:name="_Toc115690546"/>
      <w:bookmarkStart w:id="95" w:name="_Toc69702503"/>
      <w:bookmarkStart w:id="96" w:name="_Toc89436102"/>
      <w:bookmarkStart w:id="97" w:name="_Toc79374225"/>
      <w:bookmarkStart w:id="98" w:name="_Toc75170605"/>
      <w:bookmarkStart w:id="99" w:name="_Toc71969917"/>
      <w:bookmarkStart w:id="100" w:name="_Toc101232607"/>
      <w:bookmarkStart w:id="101" w:name="_Toc103776763"/>
      <w:bookmarkStart w:id="102" w:name="_Toc89831101"/>
      <w:bookmarkStart w:id="103" w:name="_Toc74653396"/>
    </w:p>
    <w:bookmarkEnd w:id="52"/>
    <w:bookmarkEnd w:id="53"/>
    <w:bookmarkEnd w:id="54"/>
    <w:bookmarkEnd w:id="55"/>
    <w:bookmarkEnd w:id="56"/>
    <w:bookmarkEnd w:id="57"/>
    <w:bookmarkEnd w:id="58"/>
    <w:bookmarkEnd w:id="59"/>
    <w:bookmarkEnd w:id="60"/>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14:paraId="31066E92">
      <w:pPr>
        <w:pStyle w:val="3"/>
        <w:bidi w:val="0"/>
        <w:ind w:firstLine="3975" w:firstLineChars="900"/>
        <w:jc w:val="both"/>
        <w:rPr>
          <w:rFonts w:hint="eastAsia" w:ascii="Calibri" w:hAnsi="Calibri" w:eastAsia="宋体" w:cs="Times New Roman"/>
          <w:b/>
          <w:bCs/>
          <w:highlight w:val="none"/>
        </w:rPr>
      </w:pPr>
      <w:bookmarkStart w:id="104" w:name="_Toc74646998"/>
      <w:bookmarkStart w:id="105" w:name="_Toc403061842"/>
      <w:bookmarkStart w:id="106" w:name="_Toc5445"/>
      <w:bookmarkStart w:id="107" w:name="_Toc5211"/>
      <w:r>
        <w:rPr>
          <w:rFonts w:hint="eastAsia" w:ascii="Calibri" w:hAnsi="Calibri" w:eastAsia="宋体" w:cs="Times New Roman"/>
          <w:b/>
          <w:bCs/>
          <w:highlight w:val="none"/>
        </w:rPr>
        <w:t>政府采购合同书格式</w:t>
      </w:r>
      <w:bookmarkEnd w:id="104"/>
    </w:p>
    <w:p w14:paraId="2A278126">
      <w:pPr>
        <w:jc w:val="center"/>
        <w:rPr>
          <w:rFonts w:ascii="宋体" w:cs="宋体"/>
          <w:color w:val="000000"/>
          <w:sz w:val="32"/>
          <w:szCs w:val="24"/>
          <w:highlight w:val="none"/>
        </w:rPr>
      </w:pPr>
      <w:r>
        <w:rPr>
          <w:rFonts w:hint="eastAsia" w:ascii="宋体" w:cs="宋体"/>
          <w:color w:val="000000"/>
          <w:sz w:val="32"/>
          <w:szCs w:val="24"/>
          <w:highlight w:val="none"/>
        </w:rPr>
        <w:t>政府采购购销合同</w:t>
      </w:r>
    </w:p>
    <w:p w14:paraId="50DC1BDE">
      <w:pPr>
        <w:jc w:val="center"/>
        <w:rPr>
          <w:rFonts w:ascii="宋体" w:cs="宋体"/>
          <w:color w:val="000000"/>
          <w:sz w:val="24"/>
          <w:szCs w:val="24"/>
          <w:highlight w:val="none"/>
        </w:rPr>
      </w:pPr>
      <w:r>
        <w:rPr>
          <w:rFonts w:ascii="宋体" w:cs="宋体"/>
          <w:color w:val="000000"/>
          <w:sz w:val="24"/>
          <w:szCs w:val="24"/>
          <w:highlight w:val="none"/>
        </w:rPr>
        <w:t xml:space="preserve">                          </w:t>
      </w:r>
    </w:p>
    <w:p w14:paraId="5D8ED3C9">
      <w:pPr>
        <w:rPr>
          <w:rFonts w:ascii="宋体" w:cs="宋体"/>
          <w:color w:val="000000"/>
          <w:sz w:val="24"/>
          <w:szCs w:val="24"/>
          <w:highlight w:val="none"/>
        </w:rPr>
      </w:pPr>
      <w:r>
        <w:rPr>
          <w:rFonts w:hint="eastAsia" w:ascii="宋体" w:cs="宋体"/>
          <w:color w:val="000000"/>
          <w:sz w:val="24"/>
          <w:szCs w:val="24"/>
          <w:highlight w:val="none"/>
        </w:rPr>
        <w:t>甲方：</w:t>
      </w:r>
    </w:p>
    <w:p w14:paraId="0D49527A">
      <w:pPr>
        <w:rPr>
          <w:rFonts w:hint="eastAsia" w:ascii="宋体" w:cs="宋体"/>
          <w:color w:val="000000"/>
          <w:sz w:val="24"/>
          <w:szCs w:val="24"/>
          <w:highlight w:val="none"/>
        </w:rPr>
      </w:pPr>
      <w:r>
        <w:rPr>
          <w:rFonts w:hint="eastAsia" w:ascii="宋体" w:cs="宋体"/>
          <w:color w:val="000000"/>
          <w:sz w:val="24"/>
          <w:szCs w:val="24"/>
          <w:highlight w:val="none"/>
        </w:rPr>
        <w:t>乙方：</w:t>
      </w:r>
    </w:p>
    <w:p w14:paraId="5C909B8C">
      <w:pPr>
        <w:tabs>
          <w:tab w:val="center" w:pos="4156"/>
          <w:tab w:val="left" w:pos="7500"/>
        </w:tabs>
        <w:ind w:firstLine="480" w:firstLineChars="200"/>
        <w:rPr>
          <w:rFonts w:hint="eastAsia" w:ascii="宋体" w:cs="宋体"/>
          <w:color w:val="000000"/>
          <w:sz w:val="24"/>
          <w:szCs w:val="24"/>
          <w:highlight w:val="none"/>
        </w:rPr>
      </w:pPr>
    </w:p>
    <w:p w14:paraId="56CB403C">
      <w:pPr>
        <w:tabs>
          <w:tab w:val="center" w:pos="4156"/>
          <w:tab w:val="left" w:pos="7500"/>
        </w:tabs>
        <w:ind w:firstLine="480" w:firstLineChars="200"/>
        <w:rPr>
          <w:rFonts w:ascii="宋体" w:cs="宋体"/>
          <w:color w:val="000000"/>
          <w:sz w:val="24"/>
          <w:szCs w:val="24"/>
          <w:highlight w:val="none"/>
        </w:rPr>
      </w:pPr>
      <w:r>
        <w:rPr>
          <w:rFonts w:hint="eastAsia" w:ascii="宋体" w:cs="宋体"/>
          <w:color w:val="000000"/>
          <w:sz w:val="24"/>
          <w:szCs w:val="24"/>
          <w:highlight w:val="none"/>
        </w:rPr>
        <w:t>乙方在</w:t>
      </w:r>
      <w:r>
        <w:rPr>
          <w:rFonts w:hint="eastAsia" w:ascii="宋体" w:cs="宋体"/>
          <w:color w:val="000000"/>
          <w:sz w:val="24"/>
          <w:szCs w:val="24"/>
          <w:highlight w:val="none"/>
          <w:lang w:eastAsia="zh-CN"/>
        </w:rPr>
        <w:t>吉林华誉项目管理有限公司</w:t>
      </w:r>
      <w:r>
        <w:rPr>
          <w:rFonts w:hint="eastAsia" w:ascii="宋体" w:cs="宋体"/>
          <w:color w:val="000000"/>
          <w:sz w:val="24"/>
          <w:szCs w:val="24"/>
          <w:highlight w:val="none"/>
        </w:rPr>
        <w:t>组织的XXXXXXXX项目政府采购招标中被确定为中标供应商</w:t>
      </w:r>
      <w:r>
        <w:rPr>
          <w:rFonts w:hint="eastAsia" w:ascii="宋体" w:cs="宋体"/>
          <w:color w:val="000000"/>
          <w:sz w:val="24"/>
          <w:szCs w:val="24"/>
          <w:highlight w:val="none"/>
          <w:lang w:eastAsia="zh-CN"/>
        </w:rPr>
        <w:t>，</w:t>
      </w:r>
      <w:r>
        <w:rPr>
          <w:rFonts w:hint="eastAsia" w:ascii="宋体" w:cs="宋体"/>
          <w:color w:val="000000"/>
          <w:sz w:val="24"/>
          <w:szCs w:val="24"/>
          <w:highlight w:val="none"/>
        </w:rPr>
        <w:t>项目编号：xxxxxxxx，根据《中华人民共和国政府采购法》、《中华人民共和国民法典》及其他有关法律法规之规定，本合同当事人遵循平等、自愿、公平和诚实信用原则，在本项目经过政府采购的基础上，经协商一致，同意按下述条款和条件签署本合同：</w:t>
      </w:r>
    </w:p>
    <w:p w14:paraId="5FA53408">
      <w:pPr>
        <w:numPr>
          <w:ilvl w:val="0"/>
          <w:numId w:val="8"/>
        </w:numPr>
        <w:ind w:firstLine="480" w:firstLineChars="200"/>
        <w:rPr>
          <w:rFonts w:hint="eastAsia" w:ascii="宋体" w:cs="宋体"/>
          <w:color w:val="000000"/>
          <w:sz w:val="24"/>
          <w:szCs w:val="24"/>
          <w:highlight w:val="none"/>
          <w:lang w:val="en-US" w:eastAsia="zh-CN"/>
        </w:rPr>
      </w:pPr>
      <w:r>
        <w:rPr>
          <w:rFonts w:hint="eastAsia" w:ascii="宋体" w:cs="宋体"/>
          <w:color w:val="000000"/>
          <w:sz w:val="24"/>
          <w:szCs w:val="24"/>
          <w:highlight w:val="none"/>
          <w:lang w:val="en-US" w:eastAsia="zh-CN"/>
        </w:rPr>
        <w:t>服务内容及要求</w:t>
      </w:r>
    </w:p>
    <w:p w14:paraId="1F7FBD4E">
      <w:pPr>
        <w:numPr>
          <w:ilvl w:val="0"/>
          <w:numId w:val="0"/>
        </w:numPr>
        <w:ind w:firstLine="480" w:firstLineChars="200"/>
        <w:rPr>
          <w:rFonts w:hint="default" w:ascii="宋体" w:eastAsia="宋体" w:cs="宋体"/>
          <w:color w:val="000000"/>
          <w:sz w:val="24"/>
          <w:szCs w:val="24"/>
          <w:highlight w:val="none"/>
          <w:u w:val="single"/>
          <w:lang w:val="en-US" w:eastAsia="zh-CN"/>
        </w:rPr>
      </w:pPr>
      <w:r>
        <w:rPr>
          <w:rFonts w:hint="eastAsia" w:ascii="宋体" w:cs="宋体"/>
          <w:color w:val="000000"/>
          <w:sz w:val="24"/>
          <w:szCs w:val="24"/>
          <w:highlight w:val="none"/>
        </w:rPr>
        <w:t>二、</w:t>
      </w:r>
      <w:r>
        <w:rPr>
          <w:rFonts w:hint="eastAsia" w:ascii="宋体" w:cs="宋体"/>
          <w:color w:val="000000"/>
          <w:sz w:val="24"/>
          <w:szCs w:val="24"/>
          <w:highlight w:val="none"/>
          <w:lang w:val="en-US" w:eastAsia="zh-CN"/>
        </w:rPr>
        <w:t>服务</w:t>
      </w:r>
      <w:r>
        <w:rPr>
          <w:rFonts w:hint="eastAsia" w:ascii="宋体" w:cs="宋体"/>
          <w:color w:val="000000"/>
          <w:sz w:val="24"/>
          <w:szCs w:val="24"/>
          <w:highlight w:val="none"/>
        </w:rPr>
        <w:t>期：</w:t>
      </w:r>
      <w:r>
        <w:rPr>
          <w:rFonts w:hint="eastAsia" w:ascii="宋体" w:cs="宋体"/>
          <w:color w:val="000000"/>
          <w:sz w:val="24"/>
          <w:szCs w:val="24"/>
          <w:highlight w:val="none"/>
          <w:u w:val="single"/>
          <w:lang w:val="en-US" w:eastAsia="zh-CN"/>
        </w:rPr>
        <w:t xml:space="preserve">                                       </w:t>
      </w:r>
    </w:p>
    <w:p w14:paraId="7D8EA949">
      <w:pPr>
        <w:ind w:firstLine="480" w:firstLineChars="200"/>
        <w:rPr>
          <w:rFonts w:hint="default" w:ascii="宋体" w:cs="宋体"/>
          <w:color w:val="000000"/>
          <w:sz w:val="24"/>
          <w:szCs w:val="24"/>
          <w:highlight w:val="none"/>
          <w:u w:val="single"/>
          <w:lang w:val="en-US" w:eastAsia="zh-CN"/>
        </w:rPr>
      </w:pPr>
      <w:r>
        <w:rPr>
          <w:rFonts w:hint="eastAsia" w:ascii="宋体" w:cs="宋体"/>
          <w:color w:val="000000"/>
          <w:sz w:val="24"/>
          <w:szCs w:val="24"/>
          <w:highlight w:val="none"/>
        </w:rPr>
        <w:t>三、</w:t>
      </w:r>
      <w:r>
        <w:rPr>
          <w:rFonts w:hint="eastAsia" w:ascii="宋体" w:cs="宋体"/>
          <w:color w:val="000000"/>
          <w:sz w:val="24"/>
          <w:szCs w:val="24"/>
          <w:highlight w:val="none"/>
          <w:lang w:val="en-US" w:eastAsia="zh-CN"/>
        </w:rPr>
        <w:t>服务</w:t>
      </w:r>
      <w:r>
        <w:rPr>
          <w:rFonts w:hint="eastAsia" w:ascii="宋体" w:cs="宋体"/>
          <w:color w:val="000000"/>
          <w:sz w:val="24"/>
          <w:szCs w:val="24"/>
          <w:highlight w:val="none"/>
        </w:rPr>
        <w:t>地点</w:t>
      </w:r>
      <w:r>
        <w:rPr>
          <w:rFonts w:hint="eastAsia" w:ascii="宋体" w:cs="宋体"/>
          <w:color w:val="000000"/>
          <w:sz w:val="24"/>
          <w:szCs w:val="24"/>
          <w:highlight w:val="none"/>
          <w:lang w:eastAsia="zh-CN"/>
        </w:rPr>
        <w:t>：</w:t>
      </w:r>
      <w:r>
        <w:rPr>
          <w:rFonts w:hint="eastAsia" w:ascii="宋体" w:cs="宋体"/>
          <w:color w:val="000000"/>
          <w:sz w:val="24"/>
          <w:szCs w:val="24"/>
          <w:highlight w:val="none"/>
          <w:u w:val="single"/>
          <w:lang w:val="en-US" w:eastAsia="zh-CN"/>
        </w:rPr>
        <w:t xml:space="preserve">                                     </w:t>
      </w:r>
    </w:p>
    <w:p w14:paraId="143B5B45">
      <w:pPr>
        <w:ind w:firstLine="480" w:firstLineChars="200"/>
        <w:rPr>
          <w:rFonts w:ascii="宋体" w:cs="宋体"/>
          <w:color w:val="000000"/>
          <w:sz w:val="24"/>
          <w:szCs w:val="24"/>
          <w:highlight w:val="none"/>
        </w:rPr>
      </w:pPr>
      <w:r>
        <w:rPr>
          <w:rFonts w:hint="eastAsia" w:ascii="宋体" w:cs="宋体"/>
          <w:color w:val="000000"/>
          <w:sz w:val="24"/>
          <w:szCs w:val="24"/>
          <w:highlight w:val="none"/>
        </w:rPr>
        <w:t>四、</w:t>
      </w:r>
      <w:r>
        <w:rPr>
          <w:rFonts w:hint="eastAsia" w:ascii="宋体" w:cs="宋体"/>
          <w:color w:val="000000"/>
          <w:sz w:val="24"/>
          <w:szCs w:val="24"/>
          <w:highlight w:val="none"/>
          <w:lang w:val="en-US" w:eastAsia="zh-CN"/>
        </w:rPr>
        <w:t>合同金额及支付方式</w:t>
      </w:r>
      <w:r>
        <w:rPr>
          <w:rFonts w:hint="eastAsia" w:ascii="宋体" w:cs="宋体"/>
          <w:color w:val="000000"/>
          <w:sz w:val="24"/>
          <w:szCs w:val="24"/>
          <w:highlight w:val="none"/>
        </w:rPr>
        <w:t>：</w:t>
      </w:r>
      <w:r>
        <w:rPr>
          <w:rFonts w:hint="eastAsia" w:ascii="宋体" w:cs="宋体"/>
          <w:color w:val="000000"/>
          <w:sz w:val="24"/>
          <w:szCs w:val="24"/>
          <w:highlight w:val="none"/>
          <w:u w:val="single"/>
          <w:lang w:val="en-US" w:eastAsia="zh-CN"/>
        </w:rPr>
        <w:t xml:space="preserve">                                     </w:t>
      </w:r>
      <w:r>
        <w:rPr>
          <w:rFonts w:hint="eastAsia" w:ascii="宋体" w:cs="宋体"/>
          <w:color w:val="FF0000"/>
          <w:sz w:val="24"/>
          <w:szCs w:val="24"/>
          <w:highlight w:val="none"/>
        </w:rPr>
        <w:t xml:space="preserve"> </w:t>
      </w:r>
      <w:r>
        <w:rPr>
          <w:rFonts w:hint="eastAsia" w:ascii="宋体" w:cs="宋体"/>
          <w:color w:val="FF0000"/>
          <w:sz w:val="24"/>
          <w:szCs w:val="24"/>
          <w:highlight w:val="none"/>
          <w:lang w:val="en-US" w:eastAsia="zh-CN"/>
        </w:rPr>
        <w:t xml:space="preserve"> </w:t>
      </w:r>
      <w:r>
        <w:rPr>
          <w:rFonts w:hint="eastAsia" w:ascii="宋体" w:cs="宋体"/>
          <w:color w:val="FF0000"/>
          <w:sz w:val="24"/>
          <w:szCs w:val="24"/>
          <w:highlight w:val="none"/>
        </w:rPr>
        <w:t xml:space="preserve"> </w:t>
      </w:r>
      <w:r>
        <w:rPr>
          <w:rFonts w:hint="eastAsia" w:ascii="宋体" w:cs="宋体"/>
          <w:color w:val="000000"/>
          <w:sz w:val="24"/>
          <w:szCs w:val="24"/>
          <w:highlight w:val="none"/>
        </w:rPr>
        <w:t xml:space="preserve">                  </w:t>
      </w:r>
    </w:p>
    <w:p w14:paraId="1BDEC3BF">
      <w:pPr>
        <w:ind w:firstLine="480" w:firstLineChars="200"/>
        <w:rPr>
          <w:rFonts w:ascii="宋体" w:cs="宋体"/>
          <w:color w:val="000000"/>
          <w:sz w:val="24"/>
          <w:szCs w:val="24"/>
          <w:highlight w:val="none"/>
        </w:rPr>
      </w:pPr>
      <w:r>
        <w:rPr>
          <w:rFonts w:hint="eastAsia" w:ascii="宋体" w:cs="宋体"/>
          <w:color w:val="000000"/>
          <w:sz w:val="24"/>
          <w:szCs w:val="24"/>
          <w:highlight w:val="none"/>
        </w:rPr>
        <w:t>五、</w:t>
      </w:r>
      <w:r>
        <w:rPr>
          <w:rFonts w:hint="eastAsia" w:ascii="宋体" w:cs="宋体"/>
          <w:color w:val="000000"/>
          <w:sz w:val="24"/>
          <w:szCs w:val="24"/>
          <w:highlight w:val="none"/>
          <w:lang w:val="en-US" w:eastAsia="zh-CN"/>
        </w:rPr>
        <w:t>双方权利于义务</w:t>
      </w:r>
      <w:r>
        <w:rPr>
          <w:rFonts w:hint="eastAsia" w:ascii="宋体" w:cs="宋体"/>
          <w:color w:val="000000"/>
          <w:sz w:val="24"/>
          <w:szCs w:val="24"/>
          <w:highlight w:val="none"/>
        </w:rPr>
        <w:t>：</w:t>
      </w:r>
      <w:r>
        <w:rPr>
          <w:rFonts w:hint="eastAsia" w:ascii="宋体" w:cs="宋体"/>
          <w:color w:val="000000"/>
          <w:sz w:val="24"/>
          <w:szCs w:val="24"/>
          <w:highlight w:val="none"/>
          <w:u w:val="single"/>
        </w:rPr>
        <w:t xml:space="preserve">                              </w:t>
      </w:r>
    </w:p>
    <w:p w14:paraId="0E9B0FC5">
      <w:pPr>
        <w:tabs>
          <w:tab w:val="left" w:pos="1600"/>
        </w:tabs>
        <w:ind w:firstLine="480" w:firstLineChars="200"/>
        <w:rPr>
          <w:rFonts w:hint="default" w:ascii="宋体" w:eastAsia="宋体" w:cs="宋体"/>
          <w:color w:val="000000"/>
          <w:sz w:val="24"/>
          <w:szCs w:val="24"/>
          <w:highlight w:val="none"/>
          <w:u w:val="single"/>
          <w:lang w:val="en-US" w:eastAsia="zh-CN"/>
        </w:rPr>
      </w:pPr>
      <w:r>
        <w:rPr>
          <w:rFonts w:hint="eastAsia" w:ascii="宋体" w:cs="宋体"/>
          <w:color w:val="000000"/>
          <w:sz w:val="24"/>
          <w:szCs w:val="24"/>
          <w:highlight w:val="none"/>
        </w:rPr>
        <w:t>六、</w:t>
      </w:r>
      <w:r>
        <w:rPr>
          <w:rFonts w:hint="eastAsia" w:ascii="宋体" w:cs="宋体"/>
          <w:color w:val="000000"/>
          <w:sz w:val="24"/>
          <w:szCs w:val="24"/>
          <w:highlight w:val="none"/>
          <w:lang w:val="en-US" w:eastAsia="zh-CN"/>
        </w:rPr>
        <w:t>质量保证与售后服务：</w:t>
      </w:r>
      <w:r>
        <w:rPr>
          <w:rFonts w:hint="eastAsia" w:ascii="宋体" w:cs="宋体"/>
          <w:color w:val="000000"/>
          <w:sz w:val="24"/>
          <w:szCs w:val="24"/>
          <w:highlight w:val="none"/>
          <w:u w:val="single"/>
          <w:lang w:val="en-US" w:eastAsia="zh-CN"/>
        </w:rPr>
        <w:t xml:space="preserve">                               </w:t>
      </w:r>
    </w:p>
    <w:p w14:paraId="3F1CA612">
      <w:pPr>
        <w:ind w:firstLine="480" w:firstLineChars="200"/>
        <w:rPr>
          <w:rFonts w:hint="eastAsia" w:ascii="宋体" w:cs="宋体"/>
          <w:color w:val="000000"/>
          <w:sz w:val="24"/>
          <w:szCs w:val="24"/>
          <w:highlight w:val="none"/>
          <w:u w:val="single"/>
          <w:lang w:val="en-US" w:eastAsia="zh-CN"/>
        </w:rPr>
      </w:pPr>
      <w:r>
        <w:rPr>
          <w:rFonts w:hint="eastAsia" w:ascii="宋体" w:cs="宋体"/>
          <w:color w:val="000000"/>
          <w:sz w:val="24"/>
          <w:szCs w:val="24"/>
          <w:highlight w:val="none"/>
          <w:lang w:val="en-US" w:eastAsia="zh-CN"/>
        </w:rPr>
        <w:t>七</w:t>
      </w:r>
      <w:r>
        <w:rPr>
          <w:rFonts w:hint="eastAsia" w:ascii="宋体" w:cs="宋体"/>
          <w:color w:val="000000"/>
          <w:sz w:val="24"/>
          <w:szCs w:val="24"/>
          <w:highlight w:val="none"/>
        </w:rPr>
        <w:t>、违约责任</w:t>
      </w:r>
      <w:r>
        <w:rPr>
          <w:rFonts w:hint="eastAsia" w:ascii="宋体" w:cs="宋体"/>
          <w:color w:val="000000"/>
          <w:sz w:val="24"/>
          <w:szCs w:val="24"/>
          <w:highlight w:val="none"/>
          <w:lang w:eastAsia="zh-CN"/>
        </w:rPr>
        <w:t>：</w:t>
      </w:r>
      <w:r>
        <w:rPr>
          <w:rFonts w:hint="eastAsia" w:ascii="宋体" w:cs="宋体"/>
          <w:color w:val="000000"/>
          <w:sz w:val="24"/>
          <w:szCs w:val="24"/>
          <w:highlight w:val="none"/>
          <w:u w:val="single"/>
          <w:lang w:val="en-US" w:eastAsia="zh-CN"/>
        </w:rPr>
        <w:t xml:space="preserve">                                               </w:t>
      </w:r>
    </w:p>
    <w:p w14:paraId="5B967E73">
      <w:pPr>
        <w:ind w:firstLine="480" w:firstLineChars="200"/>
        <w:rPr>
          <w:rFonts w:hint="default" w:ascii="宋体" w:cs="宋体"/>
          <w:color w:val="000000"/>
          <w:sz w:val="24"/>
          <w:szCs w:val="24"/>
          <w:highlight w:val="none"/>
          <w:u w:val="single"/>
          <w:lang w:val="en-US" w:eastAsia="zh-CN"/>
        </w:rPr>
      </w:pPr>
      <w:r>
        <w:rPr>
          <w:rFonts w:hint="eastAsia" w:ascii="宋体" w:cs="宋体"/>
          <w:color w:val="000000"/>
          <w:sz w:val="24"/>
          <w:szCs w:val="24"/>
          <w:highlight w:val="none"/>
          <w:u w:val="none"/>
          <w:lang w:val="en-US" w:eastAsia="zh-CN"/>
        </w:rPr>
        <w:t>八、</w:t>
      </w:r>
      <w:r>
        <w:rPr>
          <w:rFonts w:hint="eastAsia" w:ascii="宋体" w:cs="宋体"/>
          <w:color w:val="000000"/>
          <w:sz w:val="24"/>
          <w:szCs w:val="24"/>
          <w:highlight w:val="none"/>
        </w:rPr>
        <w:t>发生纠纷，双方友好协商解决</w:t>
      </w:r>
      <w:r>
        <w:rPr>
          <w:rFonts w:hint="eastAsia" w:ascii="宋体" w:cs="宋体"/>
          <w:color w:val="000000"/>
          <w:sz w:val="24"/>
          <w:szCs w:val="24"/>
          <w:highlight w:val="none"/>
          <w:u w:val="none"/>
          <w:lang w:val="en-US" w:eastAsia="zh-CN"/>
        </w:rPr>
        <w:t>：</w:t>
      </w:r>
      <w:r>
        <w:rPr>
          <w:rFonts w:hint="eastAsia" w:ascii="宋体" w:cs="宋体"/>
          <w:color w:val="000000"/>
          <w:sz w:val="24"/>
          <w:szCs w:val="24"/>
          <w:highlight w:val="none"/>
          <w:u w:val="single"/>
          <w:lang w:val="en-US" w:eastAsia="zh-CN"/>
        </w:rPr>
        <w:t xml:space="preserve">                                       </w:t>
      </w:r>
    </w:p>
    <w:p w14:paraId="01C0EA66">
      <w:pPr>
        <w:pStyle w:val="39"/>
        <w:ind w:firstLine="480" w:firstLineChars="200"/>
        <w:rPr>
          <w:rFonts w:hint="default" w:eastAsia="宋体"/>
          <w:highlight w:val="none"/>
          <w:u w:val="single"/>
          <w:lang w:val="en-US" w:eastAsia="zh-CN"/>
        </w:rPr>
      </w:pPr>
      <w:r>
        <w:rPr>
          <w:rFonts w:hint="eastAsia"/>
          <w:highlight w:val="none"/>
          <w:lang w:val="en-US" w:eastAsia="zh-CN"/>
        </w:rPr>
        <w:t>九</w:t>
      </w:r>
      <w:r>
        <w:rPr>
          <w:rFonts w:hint="eastAsia"/>
          <w:highlight w:val="none"/>
        </w:rPr>
        <w:t>、保密责任</w:t>
      </w:r>
      <w:r>
        <w:rPr>
          <w:rFonts w:hint="eastAsia"/>
          <w:highlight w:val="none"/>
          <w:lang w:eastAsia="zh-CN"/>
        </w:rPr>
        <w:t>：</w:t>
      </w:r>
      <w:r>
        <w:rPr>
          <w:rFonts w:hint="eastAsia"/>
          <w:highlight w:val="none"/>
          <w:u w:val="single"/>
          <w:lang w:val="en-US" w:eastAsia="zh-CN"/>
        </w:rPr>
        <w:t xml:space="preserve">                                               </w:t>
      </w:r>
    </w:p>
    <w:p w14:paraId="5FACFBE9">
      <w:pPr>
        <w:ind w:firstLine="480" w:firstLineChars="200"/>
        <w:rPr>
          <w:rFonts w:ascii="宋体" w:cs="宋体"/>
          <w:color w:val="000000"/>
          <w:sz w:val="24"/>
          <w:szCs w:val="24"/>
          <w:highlight w:val="none"/>
        </w:rPr>
      </w:pPr>
      <w:r>
        <w:rPr>
          <w:rFonts w:hint="eastAsia" w:ascii="宋体" w:cs="宋体"/>
          <w:color w:val="000000"/>
          <w:sz w:val="24"/>
          <w:szCs w:val="24"/>
          <w:highlight w:val="none"/>
          <w:lang w:val="en-US" w:eastAsia="zh-CN"/>
        </w:rPr>
        <w:t>十</w:t>
      </w:r>
      <w:r>
        <w:rPr>
          <w:rFonts w:hint="eastAsia" w:ascii="宋体" w:cs="宋体"/>
          <w:color w:val="000000"/>
          <w:sz w:val="24"/>
          <w:szCs w:val="24"/>
          <w:highlight w:val="none"/>
        </w:rPr>
        <w:t>、仲裁：双方在执行合同中发生的争议，应通过协商解决，如协商不成：</w:t>
      </w:r>
    </w:p>
    <w:p w14:paraId="35CF9405">
      <w:pPr>
        <w:ind w:firstLine="480" w:firstLineChars="200"/>
        <w:rPr>
          <w:rFonts w:ascii="宋体" w:cs="宋体"/>
          <w:color w:val="000000"/>
          <w:sz w:val="24"/>
          <w:szCs w:val="24"/>
          <w:highlight w:val="none"/>
        </w:rPr>
      </w:pPr>
      <w:r>
        <w:rPr>
          <w:rFonts w:hint="eastAsia" w:ascii="宋体" w:cs="宋体"/>
          <w:color w:val="000000"/>
          <w:sz w:val="24"/>
          <w:szCs w:val="24"/>
          <w:highlight w:val="none"/>
        </w:rPr>
        <w:t>○向合同签署地仲裁委员会提出仲裁。</w:t>
      </w:r>
    </w:p>
    <w:p w14:paraId="7E332A2F">
      <w:pPr>
        <w:ind w:firstLine="480" w:firstLineChars="200"/>
        <w:rPr>
          <w:rFonts w:ascii="宋体" w:cs="宋体"/>
          <w:color w:val="000000"/>
          <w:sz w:val="24"/>
          <w:szCs w:val="24"/>
          <w:highlight w:val="none"/>
        </w:rPr>
      </w:pPr>
      <w:r>
        <w:rPr>
          <w:rFonts w:hint="eastAsia" w:ascii="宋体" w:cs="宋体"/>
          <w:color w:val="000000"/>
          <w:sz w:val="24"/>
          <w:szCs w:val="24"/>
          <w:highlight w:val="none"/>
        </w:rPr>
        <w:t>○向合同签订地人民法院起诉。</w:t>
      </w:r>
    </w:p>
    <w:p w14:paraId="6259E86F">
      <w:pPr>
        <w:ind w:firstLine="480" w:firstLineChars="200"/>
        <w:rPr>
          <w:rFonts w:ascii="宋体" w:cs="宋体"/>
          <w:color w:val="000000"/>
          <w:sz w:val="24"/>
          <w:szCs w:val="24"/>
          <w:highlight w:val="none"/>
        </w:rPr>
      </w:pPr>
      <w:r>
        <w:rPr>
          <w:rFonts w:hint="eastAsia" w:ascii="宋体" w:cs="宋体"/>
          <w:color w:val="000000"/>
          <w:sz w:val="24"/>
          <w:szCs w:val="24"/>
          <w:highlight w:val="none"/>
          <w:lang w:val="en-US" w:eastAsia="zh-CN"/>
        </w:rPr>
        <w:t>十一</w:t>
      </w:r>
      <w:r>
        <w:rPr>
          <w:rFonts w:hint="eastAsia" w:ascii="宋体" w:cs="宋体"/>
          <w:color w:val="000000"/>
          <w:sz w:val="24"/>
          <w:szCs w:val="24"/>
          <w:highlight w:val="none"/>
        </w:rPr>
        <w:t>、生效及其他：</w:t>
      </w:r>
    </w:p>
    <w:p w14:paraId="1462FAD2">
      <w:pPr>
        <w:ind w:firstLine="480" w:firstLineChars="200"/>
        <w:rPr>
          <w:rFonts w:ascii="宋体" w:cs="宋体"/>
          <w:color w:val="000000"/>
          <w:sz w:val="24"/>
          <w:szCs w:val="24"/>
          <w:highlight w:val="none"/>
        </w:rPr>
      </w:pPr>
      <w:r>
        <w:rPr>
          <w:rFonts w:hint="eastAsia" w:ascii="宋体" w:cs="宋体"/>
          <w:color w:val="000000"/>
          <w:sz w:val="24"/>
          <w:szCs w:val="24"/>
          <w:highlight w:val="none"/>
        </w:rPr>
        <w:t>1、合同经双方签订即为生效。</w:t>
      </w:r>
    </w:p>
    <w:p w14:paraId="1474D844">
      <w:pPr>
        <w:ind w:firstLine="480" w:firstLineChars="200"/>
        <w:rPr>
          <w:rFonts w:ascii="宋体" w:cs="宋体"/>
          <w:color w:val="000000"/>
          <w:sz w:val="24"/>
          <w:szCs w:val="24"/>
          <w:highlight w:val="none"/>
        </w:rPr>
      </w:pPr>
      <w:r>
        <w:rPr>
          <w:rFonts w:hint="eastAsia" w:ascii="宋体" w:cs="宋体"/>
          <w:color w:val="000000"/>
          <w:sz w:val="24"/>
          <w:szCs w:val="24"/>
          <w:highlight w:val="none"/>
        </w:rPr>
        <w:t>2、合同正本四份，甲、乙双方、政府采购中心及采购办各执一份。</w:t>
      </w:r>
    </w:p>
    <w:p w14:paraId="26251A85">
      <w:pPr>
        <w:ind w:firstLine="480" w:firstLineChars="200"/>
        <w:rPr>
          <w:rFonts w:ascii="宋体" w:cs="宋体"/>
          <w:color w:val="000000"/>
          <w:sz w:val="24"/>
          <w:szCs w:val="24"/>
          <w:highlight w:val="none"/>
        </w:rPr>
      </w:pPr>
      <w:r>
        <w:rPr>
          <w:rFonts w:hint="eastAsia" w:ascii="宋体" w:cs="宋体"/>
          <w:color w:val="000000"/>
          <w:sz w:val="24"/>
          <w:szCs w:val="24"/>
          <w:highlight w:val="none"/>
        </w:rPr>
        <w:t>3、未尽事宜以《中华人民共和国民法典》为准。</w:t>
      </w:r>
    </w:p>
    <w:p w14:paraId="7D0DAF41">
      <w:pPr>
        <w:ind w:firstLine="480" w:firstLineChars="200"/>
        <w:rPr>
          <w:rFonts w:ascii="宋体" w:cs="宋体"/>
          <w:color w:val="000000"/>
          <w:sz w:val="24"/>
          <w:szCs w:val="24"/>
          <w:highlight w:val="none"/>
        </w:rPr>
      </w:pPr>
      <w:r>
        <w:rPr>
          <w:rFonts w:hint="eastAsia" w:ascii="宋体" w:cs="宋体"/>
          <w:color w:val="000000"/>
          <w:sz w:val="24"/>
          <w:szCs w:val="24"/>
          <w:highlight w:val="none"/>
          <w:lang w:val="en-US" w:eastAsia="zh-CN"/>
        </w:rPr>
        <w:t>十二</w:t>
      </w:r>
      <w:r>
        <w:rPr>
          <w:rFonts w:hint="eastAsia" w:ascii="宋体" w:cs="宋体"/>
          <w:color w:val="000000"/>
          <w:sz w:val="24"/>
          <w:szCs w:val="24"/>
          <w:highlight w:val="none"/>
        </w:rPr>
        <w:t>、备注：本合同未尽事宜，甲、乙双方可以另行签订补充协议。补充协议与本合同具有同样法律效力。</w:t>
      </w:r>
    </w:p>
    <w:p w14:paraId="6E523BBD">
      <w:pPr>
        <w:rPr>
          <w:rFonts w:ascii="宋体" w:cs="宋体"/>
          <w:color w:val="000000"/>
          <w:sz w:val="24"/>
          <w:szCs w:val="24"/>
          <w:highlight w:val="none"/>
        </w:rPr>
      </w:pPr>
    </w:p>
    <w:p w14:paraId="3902B180">
      <w:pPr>
        <w:rPr>
          <w:rFonts w:ascii="宋体" w:cs="宋体"/>
          <w:color w:val="000000"/>
          <w:sz w:val="24"/>
          <w:szCs w:val="24"/>
          <w:highlight w:val="none"/>
        </w:rPr>
      </w:pPr>
    </w:p>
    <w:p w14:paraId="488884F6">
      <w:pPr>
        <w:rPr>
          <w:rFonts w:ascii="宋体" w:cs="宋体"/>
          <w:color w:val="000000"/>
          <w:sz w:val="24"/>
          <w:szCs w:val="24"/>
          <w:highlight w:val="none"/>
        </w:rPr>
      </w:pPr>
    </w:p>
    <w:p w14:paraId="4697A178">
      <w:pPr>
        <w:rPr>
          <w:rFonts w:ascii="宋体" w:cs="宋体"/>
          <w:color w:val="000000"/>
          <w:sz w:val="24"/>
          <w:szCs w:val="24"/>
          <w:highlight w:val="none"/>
        </w:rPr>
      </w:pPr>
    </w:p>
    <w:p w14:paraId="3BFED648">
      <w:pPr>
        <w:rPr>
          <w:rFonts w:ascii="宋体" w:cs="宋体"/>
          <w:color w:val="000000"/>
          <w:sz w:val="24"/>
          <w:szCs w:val="24"/>
          <w:highlight w:val="none"/>
        </w:rPr>
      </w:pPr>
    </w:p>
    <w:p w14:paraId="4CBCFDE8">
      <w:pPr>
        <w:rPr>
          <w:rFonts w:ascii="宋体" w:cs="宋体"/>
          <w:color w:val="000000"/>
          <w:sz w:val="24"/>
          <w:szCs w:val="24"/>
          <w:highlight w:val="none"/>
        </w:rPr>
      </w:pPr>
      <w:r>
        <w:rPr>
          <w:rFonts w:hint="eastAsia" w:ascii="宋体" w:cs="宋体"/>
          <w:color w:val="000000"/>
          <w:sz w:val="24"/>
          <w:szCs w:val="24"/>
          <w:highlight w:val="none"/>
        </w:rPr>
        <w:t xml:space="preserve">甲方：                           乙方：                    </w:t>
      </w:r>
    </w:p>
    <w:p w14:paraId="1AFB8112">
      <w:pPr>
        <w:rPr>
          <w:rFonts w:ascii="宋体" w:cs="宋体"/>
          <w:color w:val="000000"/>
          <w:sz w:val="24"/>
          <w:szCs w:val="24"/>
          <w:highlight w:val="none"/>
        </w:rPr>
      </w:pPr>
      <w:r>
        <w:rPr>
          <w:rFonts w:hint="eastAsia" w:ascii="宋体" w:cs="宋体"/>
          <w:color w:val="000000"/>
          <w:sz w:val="24"/>
          <w:szCs w:val="24"/>
          <w:highlight w:val="none"/>
        </w:rPr>
        <w:t xml:space="preserve">地址：                           地址：                         </w:t>
      </w:r>
    </w:p>
    <w:p w14:paraId="482E0D87">
      <w:pPr>
        <w:rPr>
          <w:rFonts w:ascii="宋体" w:cs="宋体"/>
          <w:color w:val="000000"/>
          <w:sz w:val="24"/>
          <w:szCs w:val="24"/>
          <w:highlight w:val="none"/>
        </w:rPr>
      </w:pPr>
      <w:r>
        <w:rPr>
          <w:rFonts w:hint="eastAsia" w:ascii="宋体" w:cs="宋体"/>
          <w:color w:val="000000"/>
          <w:sz w:val="24"/>
          <w:szCs w:val="24"/>
          <w:highlight w:val="none"/>
        </w:rPr>
        <w:t xml:space="preserve">法定代表人：                     法定代表人：                       </w:t>
      </w:r>
    </w:p>
    <w:p w14:paraId="6209B749">
      <w:pPr>
        <w:rPr>
          <w:rFonts w:ascii="宋体" w:cs="宋体"/>
          <w:color w:val="000000"/>
          <w:sz w:val="24"/>
          <w:szCs w:val="24"/>
          <w:highlight w:val="none"/>
        </w:rPr>
      </w:pPr>
      <w:r>
        <w:rPr>
          <w:rFonts w:hint="eastAsia" w:ascii="宋体" w:cs="宋体"/>
          <w:color w:val="000000"/>
          <w:sz w:val="24"/>
          <w:szCs w:val="24"/>
          <w:highlight w:val="none"/>
        </w:rPr>
        <w:t xml:space="preserve">委托代理人：                     委托代理人：                       </w:t>
      </w:r>
    </w:p>
    <w:p w14:paraId="3B35D6FB">
      <w:pPr>
        <w:rPr>
          <w:rFonts w:ascii="宋体" w:cs="宋体"/>
          <w:color w:val="000000"/>
          <w:sz w:val="24"/>
          <w:szCs w:val="24"/>
          <w:highlight w:val="none"/>
        </w:rPr>
      </w:pPr>
      <w:r>
        <w:rPr>
          <w:rFonts w:hint="eastAsia" w:ascii="宋体" w:cs="宋体"/>
          <w:color w:val="000000"/>
          <w:sz w:val="24"/>
          <w:szCs w:val="24"/>
          <w:highlight w:val="none"/>
        </w:rPr>
        <w:t xml:space="preserve">电话：                           电话：                          </w:t>
      </w:r>
    </w:p>
    <w:p w14:paraId="35274F34">
      <w:pPr>
        <w:ind w:firstLine="4320" w:firstLineChars="1800"/>
        <w:rPr>
          <w:rFonts w:ascii="宋体" w:cs="宋体"/>
          <w:color w:val="000000"/>
          <w:sz w:val="24"/>
          <w:szCs w:val="24"/>
          <w:highlight w:val="none"/>
        </w:rPr>
      </w:pPr>
    </w:p>
    <w:p w14:paraId="30053D1B">
      <w:pPr>
        <w:rPr>
          <w:rFonts w:ascii="宋体" w:cs="宋体"/>
          <w:color w:val="000000"/>
          <w:sz w:val="24"/>
          <w:szCs w:val="24"/>
          <w:highlight w:val="none"/>
        </w:rPr>
      </w:pPr>
      <w:r>
        <w:rPr>
          <w:rFonts w:hint="eastAsia" w:ascii="宋体" w:cs="宋体"/>
          <w:color w:val="000000"/>
          <w:sz w:val="24"/>
          <w:szCs w:val="24"/>
          <w:highlight w:val="none"/>
        </w:rPr>
        <w:t>年   月   日                      年   月   日</w:t>
      </w:r>
    </w:p>
    <w:p w14:paraId="07619C84">
      <w:pPr>
        <w:rPr>
          <w:rFonts w:ascii="宋体" w:cs="宋体"/>
          <w:color w:val="000000"/>
          <w:sz w:val="24"/>
          <w:szCs w:val="24"/>
          <w:highlight w:val="none"/>
        </w:rPr>
      </w:pPr>
    </w:p>
    <w:p w14:paraId="247702CB">
      <w:pPr>
        <w:spacing w:line="400" w:lineRule="exact"/>
        <w:rPr>
          <w:rFonts w:ascii="宋体" w:cs="宋体"/>
          <w:color w:val="000000"/>
          <w:sz w:val="24"/>
          <w:szCs w:val="24"/>
          <w:highlight w:val="none"/>
        </w:rPr>
      </w:pPr>
    </w:p>
    <w:p w14:paraId="159CB237">
      <w:pPr>
        <w:spacing w:line="400" w:lineRule="exact"/>
        <w:rPr>
          <w:rFonts w:ascii="宋体" w:cs="宋体"/>
          <w:color w:val="000000"/>
          <w:sz w:val="24"/>
          <w:szCs w:val="24"/>
          <w:highlight w:val="none"/>
        </w:rPr>
      </w:pPr>
    </w:p>
    <w:p w14:paraId="17DA9253">
      <w:pPr>
        <w:spacing w:line="400" w:lineRule="exact"/>
        <w:rPr>
          <w:rFonts w:ascii="宋体" w:cs="宋体"/>
          <w:color w:val="000000"/>
          <w:sz w:val="24"/>
          <w:szCs w:val="24"/>
          <w:highlight w:val="none"/>
        </w:rPr>
      </w:pPr>
    </w:p>
    <w:p w14:paraId="399F56DD">
      <w:pPr>
        <w:spacing w:line="400" w:lineRule="exact"/>
        <w:rPr>
          <w:rFonts w:ascii="宋体" w:cs="宋体"/>
          <w:color w:val="000000"/>
          <w:sz w:val="24"/>
          <w:szCs w:val="24"/>
          <w:highlight w:val="none"/>
        </w:rPr>
      </w:pPr>
      <w:r>
        <w:rPr>
          <w:rFonts w:hint="eastAsia" w:ascii="宋体" w:cs="宋体"/>
          <w:color w:val="000000"/>
          <w:sz w:val="24"/>
          <w:szCs w:val="24"/>
          <w:highlight w:val="none"/>
        </w:rPr>
        <w:t>《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r>
        <w:rPr>
          <w:sz w:val="52"/>
          <w:szCs w:val="52"/>
          <w:highlight w:val="none"/>
        </w:rPr>
        <w:t xml:space="preserve">  </w:t>
      </w:r>
    </w:p>
    <w:p w14:paraId="6135A335">
      <w:pPr>
        <w:tabs>
          <w:tab w:val="left" w:pos="1365"/>
        </w:tabs>
        <w:spacing w:line="360" w:lineRule="auto"/>
        <w:rPr>
          <w:rFonts w:hint="eastAsia" w:ascii="宋体" w:hAnsi="宋体"/>
          <w:color w:val="000000"/>
          <w:sz w:val="24"/>
          <w:szCs w:val="24"/>
          <w:highlight w:val="none"/>
        </w:rPr>
      </w:pPr>
      <w:r>
        <w:rPr>
          <w:rFonts w:hint="eastAsia" w:ascii="宋体" w:hAnsi="宋体"/>
          <w:color w:val="000000"/>
          <w:sz w:val="24"/>
          <w:szCs w:val="24"/>
          <w:highlight w:val="none"/>
        </w:rPr>
        <w:t xml:space="preserve">          </w:t>
      </w:r>
    </w:p>
    <w:p w14:paraId="255D4198">
      <w:pPr>
        <w:numPr>
          <w:ilvl w:val="0"/>
          <w:numId w:val="0"/>
        </w:numPr>
        <w:autoSpaceDE w:val="0"/>
        <w:autoSpaceDN w:val="0"/>
        <w:adjustRightInd w:val="0"/>
        <w:spacing w:line="276" w:lineRule="auto"/>
        <w:jc w:val="both"/>
        <w:outlineLvl w:val="0"/>
        <w:rPr>
          <w:rFonts w:hint="eastAsia" w:ascii="宋体" w:hAnsi="宋体" w:eastAsia="宋体" w:cs="宋体"/>
          <w:b/>
          <w:bCs/>
          <w:color w:val="auto"/>
          <w:kern w:val="44"/>
          <w:sz w:val="36"/>
          <w:szCs w:val="36"/>
          <w:highlight w:val="none"/>
          <w:lang w:val="en-US" w:eastAsia="zh-CN" w:bidi="ar-SA"/>
        </w:rPr>
      </w:pPr>
    </w:p>
    <w:p w14:paraId="63DD7A94">
      <w:pPr>
        <w:numPr>
          <w:ilvl w:val="0"/>
          <w:numId w:val="0"/>
        </w:numPr>
        <w:autoSpaceDE w:val="0"/>
        <w:autoSpaceDN w:val="0"/>
        <w:adjustRightInd w:val="0"/>
        <w:spacing w:line="276" w:lineRule="auto"/>
        <w:jc w:val="both"/>
        <w:outlineLvl w:val="0"/>
        <w:rPr>
          <w:rFonts w:hint="eastAsia" w:ascii="宋体" w:hAnsi="宋体" w:eastAsia="宋体" w:cs="宋体"/>
          <w:b/>
          <w:bCs/>
          <w:color w:val="auto"/>
          <w:kern w:val="44"/>
          <w:sz w:val="36"/>
          <w:szCs w:val="36"/>
          <w:highlight w:val="none"/>
          <w:lang w:val="en-US" w:eastAsia="zh-CN" w:bidi="ar-SA"/>
        </w:rPr>
      </w:pPr>
    </w:p>
    <w:p w14:paraId="1D27A2A4">
      <w:pPr>
        <w:numPr>
          <w:ilvl w:val="0"/>
          <w:numId w:val="0"/>
        </w:numPr>
        <w:autoSpaceDE w:val="0"/>
        <w:autoSpaceDN w:val="0"/>
        <w:adjustRightInd w:val="0"/>
        <w:spacing w:line="276" w:lineRule="auto"/>
        <w:jc w:val="both"/>
        <w:outlineLvl w:val="0"/>
        <w:rPr>
          <w:rFonts w:hint="eastAsia" w:ascii="宋体" w:hAnsi="宋体" w:eastAsia="宋体" w:cs="宋体"/>
          <w:b/>
          <w:bCs/>
          <w:color w:val="auto"/>
          <w:kern w:val="44"/>
          <w:sz w:val="36"/>
          <w:szCs w:val="36"/>
          <w:highlight w:val="none"/>
          <w:lang w:val="en-US" w:eastAsia="zh-CN" w:bidi="ar-SA"/>
        </w:rPr>
      </w:pPr>
    </w:p>
    <w:p w14:paraId="7CCB744A">
      <w:pPr>
        <w:numPr>
          <w:ilvl w:val="0"/>
          <w:numId w:val="0"/>
        </w:numPr>
        <w:autoSpaceDE w:val="0"/>
        <w:autoSpaceDN w:val="0"/>
        <w:adjustRightInd w:val="0"/>
        <w:spacing w:line="276" w:lineRule="auto"/>
        <w:jc w:val="both"/>
        <w:outlineLvl w:val="0"/>
        <w:rPr>
          <w:rFonts w:hint="eastAsia" w:ascii="宋体" w:hAnsi="宋体" w:eastAsia="宋体" w:cs="宋体"/>
          <w:b/>
          <w:bCs/>
          <w:color w:val="auto"/>
          <w:kern w:val="44"/>
          <w:sz w:val="36"/>
          <w:szCs w:val="36"/>
          <w:highlight w:val="none"/>
          <w:lang w:val="en-US" w:eastAsia="zh-CN" w:bidi="ar-SA"/>
        </w:rPr>
      </w:pPr>
    </w:p>
    <w:p w14:paraId="0E885476">
      <w:pPr>
        <w:spacing w:line="400" w:lineRule="exact"/>
        <w:ind w:firstLine="1920" w:firstLineChars="800"/>
        <w:rPr>
          <w:rFonts w:hint="eastAsia" w:ascii="宋体" w:hAnsi="Times New Roman" w:eastAsia="宋体" w:cs="宋体"/>
          <w:color w:val="000000"/>
          <w:sz w:val="24"/>
          <w:szCs w:val="24"/>
          <w:highlight w:val="none"/>
          <w:lang w:val="en-US" w:eastAsia="zh-CN"/>
        </w:rPr>
      </w:pPr>
      <w:r>
        <w:rPr>
          <w:rFonts w:hint="eastAsia" w:ascii="宋体" w:hAnsi="Times New Roman" w:eastAsia="宋体" w:cs="宋体"/>
          <w:color w:val="000000"/>
          <w:sz w:val="24"/>
          <w:szCs w:val="24"/>
          <w:highlight w:val="none"/>
          <w:lang w:val="en-US" w:eastAsia="zh-CN"/>
        </w:rPr>
        <w:t>本合同为范本合同，最终版本以双方签订为准</w:t>
      </w:r>
    </w:p>
    <w:p w14:paraId="15ED9C4A">
      <w:pPr>
        <w:rPr>
          <w:rFonts w:eastAsia="黑体"/>
          <w:sz w:val="44"/>
          <w:szCs w:val="44"/>
          <w:highlight w:val="none"/>
        </w:rPr>
      </w:pPr>
    </w:p>
    <w:p w14:paraId="71914FCF">
      <w:pPr>
        <w:rPr>
          <w:rFonts w:eastAsia="黑体"/>
          <w:sz w:val="44"/>
          <w:szCs w:val="44"/>
          <w:highlight w:val="none"/>
        </w:rPr>
      </w:pPr>
    </w:p>
    <w:p w14:paraId="1FC1F6FC">
      <w:pPr>
        <w:rPr>
          <w:rFonts w:hint="eastAsia" w:ascii="华文细黑" w:hAnsi="华文细黑" w:eastAsia="华文细黑" w:cs="华文细黑"/>
          <w:b w:val="0"/>
          <w:bCs w:val="0"/>
          <w:color w:val="000000"/>
          <w:sz w:val="44"/>
          <w:szCs w:val="44"/>
          <w:highlight w:val="none"/>
        </w:rPr>
      </w:pPr>
      <w:r>
        <w:rPr>
          <w:rFonts w:hint="eastAsia"/>
          <w:highlight w:val="none"/>
        </w:rPr>
        <w:br w:type="page"/>
      </w:r>
    </w:p>
    <w:p w14:paraId="469A3FA8">
      <w:pPr>
        <w:rPr>
          <w:rFonts w:hint="eastAsia" w:eastAsia="宋体"/>
          <w:highlight w:val="none"/>
          <w:lang w:eastAsia="zh-CN"/>
        </w:rPr>
      </w:pPr>
    </w:p>
    <w:p w14:paraId="42B70DCB">
      <w:pPr>
        <w:jc w:val="center"/>
        <w:rPr>
          <w:rStyle w:val="66"/>
          <w:rFonts w:hint="eastAsia" w:eastAsia="宋体"/>
          <w:highlight w:val="none"/>
          <w:lang w:val="en-US" w:eastAsia="zh-CN"/>
        </w:rPr>
      </w:pPr>
      <w:r>
        <w:rPr>
          <w:rStyle w:val="66"/>
          <w:rFonts w:hint="eastAsia" w:eastAsia="宋体"/>
          <w:highlight w:val="none"/>
          <w:lang w:val="en-US" w:eastAsia="zh-CN"/>
        </w:rPr>
        <w:t>第五章服务标准和要求</w:t>
      </w:r>
    </w:p>
    <w:p w14:paraId="241CCB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both"/>
        <w:rPr>
          <w:rFonts w:hint="eastAsia" w:asciiTheme="minorEastAsia" w:hAnsiTheme="minorEastAsia" w:eastAsiaTheme="minorEastAsia" w:cstheme="minorEastAsia"/>
          <w:b w:val="0"/>
          <w:bCs w:val="0"/>
          <w:color w:val="1F2329"/>
          <w:sz w:val="32"/>
          <w:szCs w:val="32"/>
          <w:highlight w:val="none"/>
        </w:rPr>
      </w:pPr>
      <w:r>
        <w:rPr>
          <w:rFonts w:hint="eastAsia" w:asciiTheme="minorEastAsia" w:hAnsiTheme="minorEastAsia" w:eastAsiaTheme="minorEastAsia" w:cstheme="minorEastAsia"/>
          <w:b w:val="0"/>
          <w:bCs w:val="0"/>
          <w:color w:val="1F2329"/>
          <w:sz w:val="32"/>
          <w:szCs w:val="32"/>
          <w:highlight w:val="none"/>
        </w:rPr>
        <w:t>一、项目概况</w:t>
      </w:r>
    </w:p>
    <w:p w14:paraId="3E54D1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both"/>
        <w:rPr>
          <w:rFonts w:hint="eastAsia" w:asciiTheme="minorEastAsia" w:hAnsiTheme="minorEastAsia" w:eastAsiaTheme="minorEastAsia" w:cstheme="minorEastAsia"/>
          <w:color w:val="1F2329"/>
          <w:kern w:val="0"/>
          <w:sz w:val="32"/>
          <w:szCs w:val="32"/>
          <w:highlight w:val="none"/>
          <w:lang w:val="en-US" w:eastAsia="zh-CN" w:bidi="ar"/>
        </w:rPr>
      </w:pPr>
      <w:r>
        <w:rPr>
          <w:rFonts w:hint="eastAsia" w:asciiTheme="minorEastAsia" w:hAnsiTheme="minorEastAsia" w:eastAsiaTheme="minorEastAsia" w:cstheme="minorEastAsia"/>
          <w:color w:val="1F2329"/>
          <w:kern w:val="0"/>
          <w:sz w:val="32"/>
          <w:szCs w:val="32"/>
          <w:highlight w:val="none"/>
          <w:lang w:val="en-US" w:eastAsia="zh-CN" w:bidi="ar"/>
        </w:rPr>
        <w:t>磐石市新政务服务中心于2023年10月投入使用，按照《2020年度全省深化“一窗受理、集成服务”改革推进政务服务质量效率提升工作实施方案》（吉政数大厅监管〔2020〕4号）文件要求，设置“无差别综合审批窗口”。按照“高效办成一件事”、长春都市圈通办等工作要求设置“一网通办”、工程项目审批制度改革、24小时自助服务区等专区。同时，参考借鉴温州等先进地区工作经验，增设前台咨询、区域引导、帮办代办、信息化管理员等岗位。磐石市政府采购中心设档案管理、保洁后勤人员。为解决各驻厅单位用餐需求，设立政务服务中心食堂。</w:t>
      </w:r>
    </w:p>
    <w:p w14:paraId="4917FE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both"/>
        <w:rPr>
          <w:rFonts w:hint="eastAsia" w:asciiTheme="minorEastAsia" w:hAnsiTheme="minorEastAsia" w:eastAsiaTheme="minorEastAsia" w:cstheme="minorEastAsia"/>
          <w:color w:val="1F2329"/>
          <w:sz w:val="32"/>
          <w:szCs w:val="32"/>
          <w:highlight w:val="none"/>
        </w:rPr>
      </w:pPr>
      <w:r>
        <w:rPr>
          <w:rFonts w:hint="eastAsia" w:asciiTheme="minorEastAsia" w:hAnsiTheme="minorEastAsia" w:eastAsiaTheme="minorEastAsia" w:cstheme="minorEastAsia"/>
          <w:color w:val="1F2329"/>
          <w:kern w:val="0"/>
          <w:sz w:val="32"/>
          <w:szCs w:val="32"/>
          <w:highlight w:val="none"/>
          <w:lang w:val="en-US" w:eastAsia="zh-CN" w:bidi="ar"/>
        </w:rPr>
        <w:t>为满足磐石市政务服务中心日常服务保障工作的基本需要，进一步提升政务服务整体质效。现通过购买服务方式为磐石市政务服务中心提供综合窗口服务及食堂后勤服务。</w:t>
      </w:r>
    </w:p>
    <w:p w14:paraId="13F742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both"/>
        <w:rPr>
          <w:rFonts w:hint="eastAsia" w:asciiTheme="minorEastAsia" w:hAnsiTheme="minorEastAsia" w:eastAsiaTheme="minorEastAsia" w:cstheme="minorEastAsia"/>
          <w:b w:val="0"/>
          <w:bCs w:val="0"/>
          <w:color w:val="1F2329"/>
          <w:sz w:val="32"/>
          <w:szCs w:val="32"/>
          <w:highlight w:val="none"/>
        </w:rPr>
      </w:pPr>
      <w:r>
        <w:rPr>
          <w:rFonts w:hint="eastAsia" w:asciiTheme="minorEastAsia" w:hAnsiTheme="minorEastAsia" w:eastAsiaTheme="minorEastAsia" w:cstheme="minorEastAsia"/>
          <w:b w:val="0"/>
          <w:bCs w:val="0"/>
          <w:color w:val="1F2329"/>
          <w:sz w:val="32"/>
          <w:szCs w:val="32"/>
          <w:highlight w:val="none"/>
        </w:rPr>
        <w:t>二、服务内容</w:t>
      </w:r>
    </w:p>
    <w:p w14:paraId="243758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both"/>
        <w:rPr>
          <w:rFonts w:hint="eastAsia" w:asciiTheme="minorEastAsia" w:hAnsiTheme="minorEastAsia" w:eastAsiaTheme="minorEastAsia" w:cstheme="minorEastAsia"/>
          <w:b w:val="0"/>
          <w:bCs w:val="0"/>
          <w:color w:val="1F2329"/>
          <w:sz w:val="32"/>
          <w:szCs w:val="32"/>
          <w:highlight w:val="none"/>
        </w:rPr>
      </w:pPr>
      <w:r>
        <w:rPr>
          <w:rFonts w:hint="eastAsia" w:asciiTheme="minorEastAsia" w:hAnsiTheme="minorEastAsia" w:eastAsiaTheme="minorEastAsia" w:cstheme="minorEastAsia"/>
          <w:b w:val="0"/>
          <w:bCs w:val="0"/>
          <w:color w:val="1F2329"/>
          <w:sz w:val="32"/>
          <w:szCs w:val="32"/>
          <w:highlight w:val="none"/>
        </w:rPr>
        <w:t>（一）提供专业化服务团队</w:t>
      </w:r>
    </w:p>
    <w:p w14:paraId="7436560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40" w:firstLineChars="200"/>
        <w:jc w:val="both"/>
        <w:rPr>
          <w:rFonts w:hint="eastAsia" w:asciiTheme="minorEastAsia" w:hAnsiTheme="minorEastAsia" w:eastAsiaTheme="minorEastAsia" w:cstheme="minorEastAsia"/>
          <w:color w:val="1F2329"/>
          <w:sz w:val="32"/>
          <w:szCs w:val="32"/>
          <w:highlight w:val="none"/>
        </w:rPr>
      </w:pPr>
      <w:r>
        <w:rPr>
          <w:rFonts w:hint="eastAsia" w:asciiTheme="minorEastAsia" w:hAnsiTheme="minorEastAsia" w:eastAsiaTheme="minorEastAsia" w:cstheme="minorEastAsia"/>
          <w:color w:val="1F2329"/>
          <w:sz w:val="32"/>
          <w:szCs w:val="32"/>
          <w:highlight w:val="none"/>
          <w:lang w:val="en-US" w:eastAsia="zh-CN"/>
        </w:rPr>
        <w:t>1.</w:t>
      </w:r>
      <w:r>
        <w:rPr>
          <w:rFonts w:hint="eastAsia" w:asciiTheme="minorEastAsia" w:hAnsiTheme="minorEastAsia" w:eastAsiaTheme="minorEastAsia" w:cstheme="minorEastAsia"/>
          <w:color w:val="1F2329"/>
          <w:sz w:val="32"/>
          <w:szCs w:val="32"/>
          <w:highlight w:val="none"/>
        </w:rPr>
        <w:t>组成具有政务服务职业技能要求的综合窗口队伍，包括但不限于人员招聘、管理、培训、考核，制度建设、岗位设置、日常保障等内容。根据政务服务中心工作要求，持续完善各岗位工作职责，为企业群众提供温暖便利高效的政务服务。</w:t>
      </w:r>
    </w:p>
    <w:p w14:paraId="28B253D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both"/>
        <w:rPr>
          <w:rFonts w:hint="eastAsia" w:asciiTheme="minorEastAsia" w:hAnsiTheme="minorEastAsia" w:eastAsiaTheme="minorEastAsia" w:cstheme="minorEastAsia"/>
          <w:color w:val="1F2329"/>
          <w:sz w:val="32"/>
          <w:szCs w:val="32"/>
          <w:highlight w:val="none"/>
        </w:rPr>
      </w:pPr>
      <w:r>
        <w:rPr>
          <w:rFonts w:hint="eastAsia" w:asciiTheme="minorEastAsia" w:hAnsiTheme="minorEastAsia" w:eastAsiaTheme="minorEastAsia" w:cstheme="minorEastAsia"/>
          <w:color w:val="1F2329"/>
          <w:sz w:val="32"/>
          <w:szCs w:val="32"/>
          <w:highlight w:val="none"/>
          <w:lang w:val="en-US" w:eastAsia="zh-CN"/>
        </w:rPr>
        <w:t>2.</w:t>
      </w:r>
      <w:r>
        <w:rPr>
          <w:rFonts w:hint="eastAsia" w:asciiTheme="minorEastAsia" w:hAnsiTheme="minorEastAsia" w:eastAsiaTheme="minorEastAsia" w:cstheme="minorEastAsia"/>
          <w:color w:val="1F2329"/>
          <w:sz w:val="32"/>
          <w:szCs w:val="32"/>
          <w:highlight w:val="none"/>
        </w:rPr>
        <w:t>服务人员需具备政务服务相关咨询解答、办事引导、综合受理、材料流转、统一出件、梳理事项、“高效办成一件事” 咨询导办等专业化服务能力。</w:t>
      </w:r>
    </w:p>
    <w:p w14:paraId="74518EF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both"/>
        <w:rPr>
          <w:rFonts w:hint="eastAsia" w:asciiTheme="minorEastAsia" w:hAnsiTheme="minorEastAsia" w:eastAsiaTheme="minorEastAsia" w:cstheme="minorEastAsia"/>
          <w:color w:val="1F2329"/>
          <w:sz w:val="32"/>
          <w:szCs w:val="32"/>
          <w:highlight w:val="none"/>
        </w:rPr>
      </w:pPr>
      <w:r>
        <w:rPr>
          <w:rFonts w:hint="eastAsia" w:asciiTheme="minorEastAsia" w:hAnsiTheme="minorEastAsia" w:eastAsiaTheme="minorEastAsia" w:cstheme="minorEastAsia"/>
          <w:color w:val="1F2329"/>
          <w:sz w:val="32"/>
          <w:szCs w:val="32"/>
          <w:highlight w:val="none"/>
          <w:lang w:val="en-US" w:eastAsia="zh-CN"/>
        </w:rPr>
        <w:t>3.</w:t>
      </w:r>
      <w:r>
        <w:rPr>
          <w:rFonts w:hint="eastAsia" w:asciiTheme="minorEastAsia" w:hAnsiTheme="minorEastAsia" w:eastAsiaTheme="minorEastAsia" w:cstheme="minorEastAsia"/>
          <w:color w:val="1F2329"/>
          <w:sz w:val="32"/>
          <w:szCs w:val="32"/>
          <w:highlight w:val="none"/>
        </w:rPr>
        <w:t>定期组织专业讲师对工作人员服务标准、职业道德、礼仪形象、沟通协调等方面进行培训，开展考试考核，培养规范化服务队伍。对人员着装、配饰、仪容等方面规范管理，正装上岗，服装样式需符合相关要求。</w:t>
      </w:r>
    </w:p>
    <w:p w14:paraId="53B0259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both"/>
        <w:rPr>
          <w:rFonts w:hint="eastAsia" w:asciiTheme="minorEastAsia" w:hAnsiTheme="minorEastAsia" w:eastAsiaTheme="minorEastAsia" w:cstheme="minorEastAsia"/>
          <w:b w:val="0"/>
          <w:bCs w:val="0"/>
          <w:color w:val="1F2329"/>
          <w:sz w:val="32"/>
          <w:szCs w:val="32"/>
          <w:highlight w:val="none"/>
        </w:rPr>
      </w:pPr>
      <w:r>
        <w:rPr>
          <w:rFonts w:hint="eastAsia" w:asciiTheme="minorEastAsia" w:hAnsiTheme="minorEastAsia" w:eastAsiaTheme="minorEastAsia" w:cstheme="minorEastAsia"/>
          <w:b w:val="0"/>
          <w:bCs w:val="0"/>
          <w:color w:val="1F2329"/>
          <w:sz w:val="32"/>
          <w:szCs w:val="32"/>
          <w:highlight w:val="none"/>
        </w:rPr>
        <w:t>（二）提供规范化运行</w:t>
      </w:r>
    </w:p>
    <w:p w14:paraId="6D74F99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both"/>
        <w:rPr>
          <w:rFonts w:hint="eastAsia" w:asciiTheme="minorEastAsia" w:hAnsiTheme="minorEastAsia" w:eastAsiaTheme="minorEastAsia" w:cstheme="minorEastAsia"/>
          <w:color w:val="1F2329"/>
          <w:sz w:val="32"/>
          <w:szCs w:val="32"/>
          <w:highlight w:val="none"/>
        </w:rPr>
      </w:pPr>
      <w:r>
        <w:rPr>
          <w:rFonts w:hint="eastAsia" w:asciiTheme="minorEastAsia" w:hAnsiTheme="minorEastAsia" w:eastAsiaTheme="minorEastAsia" w:cstheme="minorEastAsia"/>
          <w:color w:val="1F2329"/>
          <w:sz w:val="32"/>
          <w:szCs w:val="32"/>
          <w:highlight w:val="none"/>
          <w:lang w:val="en-US" w:eastAsia="zh-CN"/>
        </w:rPr>
        <w:t>1.</w:t>
      </w:r>
      <w:r>
        <w:rPr>
          <w:rFonts w:hint="eastAsia" w:asciiTheme="minorEastAsia" w:hAnsiTheme="minorEastAsia" w:eastAsiaTheme="minorEastAsia" w:cstheme="minorEastAsia"/>
          <w:color w:val="1F2329"/>
          <w:sz w:val="32"/>
          <w:szCs w:val="32"/>
          <w:highlight w:val="none"/>
        </w:rPr>
        <w:t>综合管理服务。配备现场管理人员组织日常工作运行、召开会议、投诉接待、绩效考评、应急保障、业务知识学习考核、日常巡查整改等一体化管理工作。明确大厅管理的各岗位职责、工作内容及标准，推动政务服务标准化。</w:t>
      </w:r>
    </w:p>
    <w:p w14:paraId="2FDEB73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both"/>
        <w:rPr>
          <w:rFonts w:hint="eastAsia" w:asciiTheme="minorEastAsia" w:hAnsiTheme="minorEastAsia" w:eastAsiaTheme="minorEastAsia" w:cstheme="minorEastAsia"/>
          <w:color w:val="1F2329"/>
          <w:sz w:val="32"/>
          <w:szCs w:val="32"/>
          <w:highlight w:val="none"/>
        </w:rPr>
      </w:pPr>
      <w:r>
        <w:rPr>
          <w:rFonts w:hint="eastAsia" w:asciiTheme="minorEastAsia" w:hAnsiTheme="minorEastAsia" w:eastAsiaTheme="minorEastAsia" w:cstheme="minorEastAsia"/>
          <w:color w:val="1F2329"/>
          <w:sz w:val="32"/>
          <w:szCs w:val="32"/>
          <w:highlight w:val="none"/>
          <w:lang w:val="en-US" w:eastAsia="zh-CN"/>
        </w:rPr>
        <w:t>2.</w:t>
      </w:r>
      <w:r>
        <w:rPr>
          <w:rFonts w:hint="eastAsia" w:asciiTheme="minorEastAsia" w:hAnsiTheme="minorEastAsia" w:eastAsiaTheme="minorEastAsia" w:cstheme="minorEastAsia"/>
          <w:color w:val="1F2329"/>
          <w:sz w:val="32"/>
          <w:szCs w:val="32"/>
          <w:highlight w:val="none"/>
        </w:rPr>
        <w:t>综合引导咨询服务。主动询问企业和群众办事需求，并提供咨询服务；根据大厅业务区域和业务分类，引导办事群众取号排队，发挥协调、疏导、分流作用；维护大厅环境卫生，及时联系物业保洁员清理。</w:t>
      </w:r>
    </w:p>
    <w:p w14:paraId="3E08F0F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both"/>
        <w:rPr>
          <w:rFonts w:hint="eastAsia" w:asciiTheme="minorEastAsia" w:hAnsiTheme="minorEastAsia" w:eastAsiaTheme="minorEastAsia" w:cstheme="minorEastAsia"/>
          <w:color w:val="1F2329"/>
          <w:sz w:val="32"/>
          <w:szCs w:val="32"/>
          <w:highlight w:val="none"/>
        </w:rPr>
      </w:pPr>
      <w:r>
        <w:rPr>
          <w:rFonts w:hint="eastAsia" w:asciiTheme="minorEastAsia" w:hAnsiTheme="minorEastAsia" w:eastAsiaTheme="minorEastAsia" w:cstheme="minorEastAsia"/>
          <w:color w:val="1F2329"/>
          <w:sz w:val="32"/>
          <w:szCs w:val="32"/>
          <w:highlight w:val="none"/>
          <w:lang w:val="en-US" w:eastAsia="zh-CN"/>
        </w:rPr>
        <w:t>3.</w:t>
      </w:r>
      <w:r>
        <w:rPr>
          <w:rFonts w:hint="eastAsia" w:asciiTheme="minorEastAsia" w:hAnsiTheme="minorEastAsia" w:eastAsiaTheme="minorEastAsia" w:cstheme="minorEastAsia"/>
          <w:color w:val="1F2329"/>
          <w:sz w:val="32"/>
          <w:szCs w:val="32"/>
          <w:highlight w:val="none"/>
        </w:rPr>
        <w:t>业务受理服务。熟练掌握多项政务、帮办代办服务和相关政务服务平台操作流程，统一、规范地受理各类政务服务事项，严格落实 “限时办结、一次告知、首问负责” 制度，构建窗口无差别受理、前后台有效衔接的工作机制，为企业和群众提供标准化、规范化、便利化的政务服务。</w:t>
      </w:r>
    </w:p>
    <w:p w14:paraId="0AAB928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both"/>
        <w:rPr>
          <w:rFonts w:hint="eastAsia" w:asciiTheme="minorEastAsia" w:hAnsiTheme="minorEastAsia" w:eastAsiaTheme="minorEastAsia" w:cstheme="minorEastAsia"/>
          <w:color w:val="1F2329"/>
          <w:sz w:val="32"/>
          <w:szCs w:val="32"/>
          <w:highlight w:val="none"/>
        </w:rPr>
      </w:pPr>
      <w:r>
        <w:rPr>
          <w:rFonts w:hint="eastAsia" w:asciiTheme="minorEastAsia" w:hAnsiTheme="minorEastAsia" w:eastAsiaTheme="minorEastAsia" w:cstheme="minorEastAsia"/>
          <w:color w:val="1F2329"/>
          <w:sz w:val="32"/>
          <w:szCs w:val="32"/>
          <w:highlight w:val="none"/>
          <w:lang w:val="en-US" w:eastAsia="zh-CN"/>
        </w:rPr>
        <w:t>4.</w:t>
      </w:r>
      <w:r>
        <w:rPr>
          <w:rFonts w:hint="eastAsia" w:asciiTheme="minorEastAsia" w:hAnsiTheme="minorEastAsia" w:eastAsiaTheme="minorEastAsia" w:cstheme="minorEastAsia"/>
          <w:color w:val="1F2329"/>
          <w:sz w:val="32"/>
          <w:szCs w:val="32"/>
          <w:highlight w:val="none"/>
        </w:rPr>
        <w:t>材料流转服务。设置材料流转岗位，由专人负责窗口与后台工作对接、材料流转，通过 “前台窗口收件，后台分类审批” 业务办理模式，提升窗口接件和后台审批速度，提升政务服务效能。</w:t>
      </w:r>
    </w:p>
    <w:p w14:paraId="041C351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both"/>
        <w:rPr>
          <w:rFonts w:hint="eastAsia" w:asciiTheme="minorEastAsia" w:hAnsiTheme="minorEastAsia" w:eastAsiaTheme="minorEastAsia" w:cstheme="minorEastAsia"/>
          <w:color w:val="1F2329"/>
          <w:sz w:val="32"/>
          <w:szCs w:val="32"/>
          <w:highlight w:val="none"/>
        </w:rPr>
      </w:pPr>
      <w:r>
        <w:rPr>
          <w:rFonts w:hint="eastAsia" w:asciiTheme="minorEastAsia" w:hAnsiTheme="minorEastAsia" w:eastAsiaTheme="minorEastAsia" w:cstheme="minorEastAsia"/>
          <w:color w:val="1F2329"/>
          <w:sz w:val="32"/>
          <w:szCs w:val="32"/>
          <w:highlight w:val="none"/>
          <w:lang w:val="en-US" w:eastAsia="zh-CN"/>
        </w:rPr>
        <w:t>5.</w:t>
      </w:r>
      <w:r>
        <w:rPr>
          <w:rFonts w:hint="eastAsia" w:asciiTheme="minorEastAsia" w:hAnsiTheme="minorEastAsia" w:eastAsiaTheme="minorEastAsia" w:cstheme="minorEastAsia"/>
          <w:color w:val="1F2329"/>
          <w:sz w:val="32"/>
          <w:szCs w:val="32"/>
          <w:highlight w:val="none"/>
        </w:rPr>
        <w:t>统一出件服务。统一出件窗口出具办理结果，或根据群众需要提供免费邮寄服务。</w:t>
      </w:r>
    </w:p>
    <w:p w14:paraId="0C13E8F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both"/>
        <w:rPr>
          <w:rFonts w:hint="eastAsia" w:asciiTheme="minorEastAsia" w:hAnsiTheme="minorEastAsia" w:eastAsiaTheme="minorEastAsia" w:cstheme="minorEastAsia"/>
          <w:color w:val="1F2329"/>
          <w:sz w:val="32"/>
          <w:szCs w:val="32"/>
          <w:highlight w:val="none"/>
        </w:rPr>
      </w:pPr>
      <w:r>
        <w:rPr>
          <w:rFonts w:hint="eastAsia" w:asciiTheme="minorEastAsia" w:hAnsiTheme="minorEastAsia" w:eastAsiaTheme="minorEastAsia" w:cstheme="minorEastAsia"/>
          <w:color w:val="1F2329"/>
          <w:sz w:val="32"/>
          <w:szCs w:val="32"/>
          <w:highlight w:val="none"/>
          <w:lang w:val="en-US" w:eastAsia="zh-CN"/>
        </w:rPr>
        <w:t>6.</w:t>
      </w:r>
      <w:r>
        <w:rPr>
          <w:rFonts w:hint="eastAsia" w:asciiTheme="minorEastAsia" w:hAnsiTheme="minorEastAsia" w:eastAsiaTheme="minorEastAsia" w:cstheme="minorEastAsia"/>
          <w:color w:val="1F2329"/>
          <w:sz w:val="32"/>
          <w:szCs w:val="32"/>
          <w:highlight w:val="none"/>
        </w:rPr>
        <w:t>“高效办成一件事” 重点事项咨询、导办服务。协助做好加强政务服务渠道建设、深化政务服务模式创新、强化政务服务数字赋能、推动政务服务扩面增效、夯实政务服务工作基础等工作。</w:t>
      </w:r>
    </w:p>
    <w:p w14:paraId="4D68FF3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both"/>
        <w:rPr>
          <w:rFonts w:hint="eastAsia" w:asciiTheme="minorEastAsia" w:hAnsiTheme="minorEastAsia" w:eastAsiaTheme="minorEastAsia" w:cstheme="minorEastAsia"/>
          <w:color w:val="1F2329"/>
          <w:sz w:val="32"/>
          <w:szCs w:val="32"/>
          <w:highlight w:val="none"/>
        </w:rPr>
      </w:pPr>
      <w:r>
        <w:rPr>
          <w:rFonts w:hint="eastAsia" w:asciiTheme="minorEastAsia" w:hAnsiTheme="minorEastAsia" w:eastAsiaTheme="minorEastAsia" w:cstheme="minorEastAsia"/>
          <w:color w:val="1F2329"/>
          <w:sz w:val="32"/>
          <w:szCs w:val="32"/>
          <w:highlight w:val="none"/>
          <w:lang w:val="en-US" w:eastAsia="zh-CN"/>
        </w:rPr>
        <w:t>7.</w:t>
      </w:r>
      <w:r>
        <w:rPr>
          <w:rFonts w:hint="eastAsia" w:asciiTheme="minorEastAsia" w:hAnsiTheme="minorEastAsia" w:eastAsiaTheme="minorEastAsia" w:cstheme="minorEastAsia"/>
          <w:color w:val="1F2329"/>
          <w:sz w:val="32"/>
          <w:szCs w:val="32"/>
          <w:highlight w:val="none"/>
        </w:rPr>
        <w:t>“一网通办” 专区的帮办、导办服务。“一网通办” 专区的业务引导，对 “一网通办”、“跨省通办”、“高效办成一件事” 等事项提供线上操作帮助。</w:t>
      </w:r>
    </w:p>
    <w:p w14:paraId="176A431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both"/>
        <w:rPr>
          <w:rFonts w:hint="eastAsia" w:asciiTheme="minorEastAsia" w:hAnsiTheme="minorEastAsia" w:eastAsiaTheme="minorEastAsia" w:cstheme="minorEastAsia"/>
          <w:color w:val="1F2329"/>
          <w:sz w:val="32"/>
          <w:szCs w:val="32"/>
          <w:highlight w:val="none"/>
        </w:rPr>
      </w:pPr>
      <w:r>
        <w:rPr>
          <w:rFonts w:hint="eastAsia" w:asciiTheme="minorEastAsia" w:hAnsiTheme="minorEastAsia" w:eastAsiaTheme="minorEastAsia" w:cstheme="minorEastAsia"/>
          <w:color w:val="1F2329"/>
          <w:sz w:val="32"/>
          <w:szCs w:val="32"/>
          <w:highlight w:val="none"/>
          <w:lang w:val="en-US" w:eastAsia="zh-CN"/>
        </w:rPr>
        <w:t>8.</w:t>
      </w:r>
      <w:r>
        <w:rPr>
          <w:rFonts w:hint="eastAsia" w:asciiTheme="minorEastAsia" w:hAnsiTheme="minorEastAsia" w:eastAsiaTheme="minorEastAsia" w:cstheme="minorEastAsia"/>
          <w:color w:val="1F2329"/>
          <w:sz w:val="32"/>
          <w:szCs w:val="32"/>
          <w:highlight w:val="none"/>
        </w:rPr>
        <w:t>助企服务。助企服务办公室的帮办、导办，对涉及服务事项的企业诉求，负责引导到政务服务中心相关窗口按程序办理或联系相关部门予以解答。</w:t>
      </w:r>
    </w:p>
    <w:p w14:paraId="3FFAD02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both"/>
        <w:rPr>
          <w:rFonts w:hint="eastAsia" w:asciiTheme="minorEastAsia" w:hAnsiTheme="minorEastAsia" w:eastAsiaTheme="minorEastAsia" w:cstheme="minorEastAsia"/>
          <w:color w:val="1F2329"/>
          <w:sz w:val="32"/>
          <w:szCs w:val="32"/>
          <w:highlight w:val="none"/>
        </w:rPr>
      </w:pPr>
      <w:r>
        <w:rPr>
          <w:rFonts w:hint="eastAsia" w:asciiTheme="minorEastAsia" w:hAnsiTheme="minorEastAsia" w:eastAsiaTheme="minorEastAsia" w:cstheme="minorEastAsia"/>
          <w:color w:val="1F2329"/>
          <w:sz w:val="32"/>
          <w:szCs w:val="32"/>
          <w:highlight w:val="none"/>
          <w:lang w:val="en-US" w:eastAsia="zh-CN"/>
        </w:rPr>
        <w:t>9.</w:t>
      </w:r>
      <w:r>
        <w:rPr>
          <w:rFonts w:hint="eastAsia" w:asciiTheme="minorEastAsia" w:hAnsiTheme="minorEastAsia" w:eastAsiaTheme="minorEastAsia" w:cstheme="minorEastAsia"/>
          <w:color w:val="1F2329"/>
          <w:sz w:val="32"/>
          <w:szCs w:val="32"/>
          <w:highlight w:val="none"/>
        </w:rPr>
        <w:t>事项梳理服务。定期梳理汇总政务服务事项总数、进驻、变动、调整等情况，从事项办理角度进行标准化梳理，优化流转流程，提高接收受理材料及解答咨询的准确度。</w:t>
      </w:r>
    </w:p>
    <w:p w14:paraId="0D84D53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both"/>
        <w:rPr>
          <w:rFonts w:hint="eastAsia" w:asciiTheme="minorEastAsia" w:hAnsiTheme="minorEastAsia" w:eastAsiaTheme="minorEastAsia" w:cstheme="minorEastAsia"/>
          <w:color w:val="1F2329"/>
          <w:sz w:val="32"/>
          <w:szCs w:val="32"/>
          <w:highlight w:val="none"/>
        </w:rPr>
      </w:pPr>
      <w:r>
        <w:rPr>
          <w:rFonts w:hint="eastAsia" w:asciiTheme="minorEastAsia" w:hAnsiTheme="minorEastAsia" w:eastAsiaTheme="minorEastAsia" w:cstheme="minorEastAsia"/>
          <w:color w:val="1F2329"/>
          <w:sz w:val="32"/>
          <w:szCs w:val="32"/>
          <w:highlight w:val="none"/>
          <w:lang w:val="en-US" w:eastAsia="zh-CN"/>
        </w:rPr>
        <w:t>10.</w:t>
      </w:r>
      <w:r>
        <w:rPr>
          <w:rFonts w:hint="eastAsia" w:asciiTheme="minorEastAsia" w:hAnsiTheme="minorEastAsia" w:eastAsiaTheme="minorEastAsia" w:cstheme="minorEastAsia"/>
          <w:color w:val="1F2329"/>
          <w:sz w:val="32"/>
          <w:szCs w:val="32"/>
          <w:highlight w:val="none"/>
        </w:rPr>
        <w:t>宣传讲解服务。承担政务服务中心相关业务宣传工作，利用各类新媒体渠道进行宣传推广，组建规范化、标准化、品牌化的讲解小组，培养自信大方、仪态得体、业务娴熟、语言流利的讲解队伍，协助做好上级领导视察、调研、明察暗访及接待保障工作。</w:t>
      </w:r>
    </w:p>
    <w:p w14:paraId="77AE091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both"/>
        <w:rPr>
          <w:rFonts w:hint="eastAsia" w:asciiTheme="minorEastAsia" w:hAnsiTheme="minorEastAsia" w:eastAsiaTheme="minorEastAsia" w:cstheme="minorEastAsia"/>
          <w:color w:val="1F2329"/>
          <w:sz w:val="32"/>
          <w:szCs w:val="32"/>
          <w:highlight w:val="none"/>
        </w:rPr>
      </w:pPr>
      <w:r>
        <w:rPr>
          <w:rFonts w:hint="eastAsia" w:asciiTheme="minorEastAsia" w:hAnsiTheme="minorEastAsia" w:eastAsiaTheme="minorEastAsia" w:cstheme="minorEastAsia"/>
          <w:color w:val="1F2329"/>
          <w:sz w:val="32"/>
          <w:szCs w:val="32"/>
          <w:highlight w:val="none"/>
          <w:lang w:val="en-US" w:eastAsia="zh-CN"/>
        </w:rPr>
        <w:t>11.</w:t>
      </w:r>
      <w:r>
        <w:rPr>
          <w:rFonts w:hint="eastAsia" w:asciiTheme="minorEastAsia" w:hAnsiTheme="minorEastAsia" w:eastAsiaTheme="minorEastAsia" w:cstheme="minorEastAsia"/>
          <w:color w:val="1F2329"/>
          <w:sz w:val="32"/>
          <w:szCs w:val="32"/>
          <w:highlight w:val="none"/>
        </w:rPr>
        <w:t>知识库沉淀和后台支撑。根据国家在政务服务标准化的指导大方向，协助做好政务服务中心服务管理标准化体系建设，协助做好审批事项办理环节、材料、时限等的优化工作，持续完善高频事项作业指导书，形成高频事项知识库。根据工作实际情况，为后台部门提供辅助支撑。</w:t>
      </w:r>
    </w:p>
    <w:p w14:paraId="4CBAD37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both"/>
        <w:rPr>
          <w:rFonts w:hint="eastAsia" w:asciiTheme="minorEastAsia" w:hAnsiTheme="minorEastAsia" w:eastAsiaTheme="minorEastAsia" w:cstheme="minorEastAsia"/>
          <w:color w:val="1F2329"/>
          <w:sz w:val="32"/>
          <w:szCs w:val="32"/>
          <w:highlight w:val="none"/>
        </w:rPr>
      </w:pPr>
      <w:r>
        <w:rPr>
          <w:rStyle w:val="49"/>
          <w:rFonts w:hint="eastAsia" w:asciiTheme="minorEastAsia" w:hAnsiTheme="minorEastAsia" w:eastAsiaTheme="minorEastAsia" w:cstheme="minorEastAsia"/>
          <w:b w:val="0"/>
          <w:bCs w:val="0"/>
          <w:color w:val="1F2329"/>
          <w:sz w:val="32"/>
          <w:szCs w:val="32"/>
          <w:highlight w:val="none"/>
          <w:lang w:val="en-US" w:eastAsia="zh-CN"/>
        </w:rPr>
        <w:t>12.</w:t>
      </w:r>
      <w:r>
        <w:rPr>
          <w:rStyle w:val="49"/>
          <w:rFonts w:hint="eastAsia" w:asciiTheme="minorEastAsia" w:hAnsiTheme="minorEastAsia" w:eastAsiaTheme="minorEastAsia" w:cstheme="minorEastAsia"/>
          <w:b w:val="0"/>
          <w:bCs w:val="0"/>
          <w:color w:val="1F2329"/>
          <w:sz w:val="32"/>
          <w:szCs w:val="32"/>
          <w:highlight w:val="none"/>
        </w:rPr>
        <w:t>食堂后勤保障服务</w:t>
      </w:r>
      <w:r>
        <w:rPr>
          <w:rStyle w:val="49"/>
          <w:rFonts w:hint="eastAsia" w:asciiTheme="minorEastAsia" w:hAnsiTheme="minorEastAsia" w:eastAsiaTheme="minorEastAsia" w:cstheme="minorEastAsia"/>
          <w:b w:val="0"/>
          <w:bCs w:val="0"/>
          <w:color w:val="1F2329"/>
          <w:sz w:val="32"/>
          <w:szCs w:val="32"/>
          <w:highlight w:val="none"/>
          <w:lang w:eastAsia="zh-CN"/>
        </w:rPr>
        <w:t>。</w:t>
      </w:r>
      <w:r>
        <w:rPr>
          <w:rFonts w:hint="eastAsia" w:asciiTheme="minorEastAsia" w:hAnsiTheme="minorEastAsia" w:eastAsiaTheme="minorEastAsia" w:cstheme="minorEastAsia"/>
          <w:color w:val="1F2329"/>
          <w:sz w:val="32"/>
          <w:szCs w:val="32"/>
          <w:highlight w:val="none"/>
        </w:rPr>
        <w:t>（1）</w:t>
      </w:r>
      <w:r>
        <w:rPr>
          <w:rFonts w:hint="eastAsia" w:asciiTheme="minorEastAsia" w:hAnsiTheme="minorEastAsia" w:eastAsiaTheme="minorEastAsia" w:cstheme="minorEastAsia"/>
          <w:color w:val="1F2329"/>
          <w:sz w:val="32"/>
          <w:szCs w:val="32"/>
          <w:highlight w:val="none"/>
          <w:lang w:val="en-US" w:eastAsia="zh-CN"/>
        </w:rPr>
        <w:t>餐厅</w:t>
      </w:r>
      <w:r>
        <w:rPr>
          <w:rFonts w:hint="eastAsia" w:asciiTheme="minorEastAsia" w:hAnsiTheme="minorEastAsia" w:eastAsiaTheme="minorEastAsia" w:cstheme="minorEastAsia"/>
          <w:color w:val="1F2329"/>
          <w:sz w:val="32"/>
          <w:szCs w:val="32"/>
          <w:highlight w:val="none"/>
        </w:rPr>
        <w:t>：桌椅摆放整齐，表面无灰尘，无污迹；桌上物品摆放齐全（纸巾、牙签），及时填充，物品损坏及时报告；每天对地面进行清洁，确保无水渍、无污渍；保持消防通道畅通，不得在消防通道堆放杂物。（2）</w:t>
      </w:r>
      <w:r>
        <w:rPr>
          <w:rFonts w:hint="eastAsia" w:asciiTheme="minorEastAsia" w:hAnsiTheme="minorEastAsia" w:eastAsiaTheme="minorEastAsia" w:cstheme="minorEastAsia"/>
          <w:color w:val="1F2329"/>
          <w:sz w:val="32"/>
          <w:szCs w:val="32"/>
          <w:highlight w:val="none"/>
          <w:lang w:val="en-US" w:eastAsia="zh-CN"/>
        </w:rPr>
        <w:t>厨房</w:t>
      </w:r>
      <w:r>
        <w:rPr>
          <w:rFonts w:hint="eastAsia" w:asciiTheme="minorEastAsia" w:hAnsiTheme="minorEastAsia" w:eastAsiaTheme="minorEastAsia" w:cstheme="minorEastAsia"/>
          <w:color w:val="1F2329"/>
          <w:sz w:val="32"/>
          <w:szCs w:val="32"/>
          <w:highlight w:val="none"/>
        </w:rPr>
        <w:t>：食堂工作人员必须办理健康证明，持证上岗；工作期间员工必须穿戴整洁的工作服、帽子、口罩和手套；员工在操作食物前必须洗手，并在工作中定期洗手；员工不得佩戴饰品、手表等可能导致食物污染的物品；员工要确保操作规范，食品存储容器应保持清洁、密封，避免食物变质，冷藏、冷冻食品应在规定的温度下存放；食品加工过程中，确保食品煮熟、炒熟或烤熟，达到安全食用标准；厨房地面、墙面、天花板应保持清洁、干燥，无油污、积水；厨房内的设备、工具应摆放整齐，便于操作和清洁；厨房应保持良好的通风，降低厨房内温度和湿度；洗菜池应定期清洗、消毒；垃圾桶应密封、分类存放，及时清理；炉具、烟罩等易积油污的部位应定期清洗。</w:t>
      </w:r>
      <w:r>
        <w:rPr>
          <w:rFonts w:hint="eastAsia" w:asciiTheme="minorEastAsia" w:hAnsiTheme="minorEastAsia" w:eastAsiaTheme="minorEastAsia" w:cstheme="minorEastAsia"/>
          <w:color w:val="1F2329"/>
          <w:sz w:val="32"/>
          <w:szCs w:val="32"/>
          <w:highlight w:val="none"/>
          <w:lang w:eastAsia="zh-CN"/>
        </w:rPr>
        <w:t>（</w:t>
      </w:r>
      <w:r>
        <w:rPr>
          <w:rFonts w:hint="eastAsia" w:asciiTheme="minorEastAsia" w:hAnsiTheme="minorEastAsia" w:eastAsiaTheme="minorEastAsia" w:cstheme="minorEastAsia"/>
          <w:color w:val="1F2329"/>
          <w:sz w:val="32"/>
          <w:szCs w:val="32"/>
          <w:highlight w:val="none"/>
          <w:lang w:val="en-US" w:eastAsia="zh-CN"/>
        </w:rPr>
        <w:t>3</w:t>
      </w:r>
      <w:r>
        <w:rPr>
          <w:rFonts w:hint="eastAsia" w:asciiTheme="minorEastAsia" w:hAnsiTheme="minorEastAsia" w:eastAsiaTheme="minorEastAsia" w:cstheme="minorEastAsia"/>
          <w:color w:val="1F2329"/>
          <w:sz w:val="32"/>
          <w:szCs w:val="32"/>
          <w:highlight w:val="none"/>
          <w:lang w:eastAsia="zh-CN"/>
        </w:rPr>
        <w:t>）</w:t>
      </w:r>
      <w:r>
        <w:rPr>
          <w:rFonts w:hint="eastAsia" w:asciiTheme="minorEastAsia" w:hAnsiTheme="minorEastAsia" w:eastAsiaTheme="minorEastAsia" w:cstheme="minorEastAsia"/>
          <w:color w:val="1F2329"/>
          <w:sz w:val="32"/>
          <w:szCs w:val="32"/>
          <w:highlight w:val="none"/>
          <w:lang w:val="en-US" w:eastAsia="zh-CN"/>
        </w:rPr>
        <w:t>管理员：</w:t>
      </w:r>
      <w:r>
        <w:rPr>
          <w:rFonts w:hint="eastAsia" w:asciiTheme="minorEastAsia" w:hAnsiTheme="minorEastAsia" w:eastAsiaTheme="minorEastAsia" w:cstheme="minorEastAsia"/>
          <w:color w:val="1F2329"/>
          <w:sz w:val="32"/>
          <w:szCs w:val="32"/>
          <w:highlight w:val="none"/>
          <w:lang w:eastAsia="zh-CN"/>
        </w:rPr>
        <w:t>负责带领全体职工完成中心交办的各项工作任务；带头落实食堂管理各项规章制度，监督工作人员签到、签退以及工作情况，每天检查1次；抓好食堂的餐饮、环境、餐具消毒及工作人员个人卫生的管理工作，每天检查1次；抓好食堂员工的安全教育管理工作，每年不少于2次；做好食堂伙食的采购成本核算、复核工作；做好食堂水电气等设施设备的日常管理，监督各岗位工作落实情况；完成饭卡充值、补卡、退卡等相关工作；做好食堂防盗、防寒等管理，每天检查门、窗等设施完好情况，检查热风幕工作是否正常。（</w:t>
      </w:r>
      <w:r>
        <w:rPr>
          <w:rFonts w:hint="eastAsia" w:asciiTheme="minorEastAsia" w:hAnsiTheme="minorEastAsia" w:eastAsiaTheme="minorEastAsia" w:cstheme="minorEastAsia"/>
          <w:color w:val="1F2329"/>
          <w:sz w:val="32"/>
          <w:szCs w:val="32"/>
          <w:highlight w:val="none"/>
          <w:lang w:val="en-US" w:eastAsia="zh-CN"/>
        </w:rPr>
        <w:t>4</w:t>
      </w:r>
      <w:r>
        <w:rPr>
          <w:rFonts w:hint="eastAsia" w:asciiTheme="minorEastAsia" w:hAnsiTheme="minorEastAsia" w:eastAsiaTheme="minorEastAsia" w:cstheme="minorEastAsia"/>
          <w:color w:val="1F2329"/>
          <w:sz w:val="32"/>
          <w:szCs w:val="32"/>
          <w:highlight w:val="none"/>
          <w:lang w:eastAsia="zh-CN"/>
        </w:rPr>
        <w:t>）</w:t>
      </w:r>
      <w:r>
        <w:rPr>
          <w:rFonts w:hint="eastAsia" w:asciiTheme="minorEastAsia" w:hAnsiTheme="minorEastAsia" w:eastAsiaTheme="minorEastAsia" w:cstheme="minorEastAsia"/>
          <w:color w:val="1F2329"/>
          <w:sz w:val="32"/>
          <w:szCs w:val="32"/>
          <w:highlight w:val="none"/>
          <w:lang w:val="en-US" w:eastAsia="zh-CN"/>
        </w:rPr>
        <w:t>厨师长：做好厨房餐厅整体日常运作，管理食堂膳食，指导厨师烹饪工作；掌握食堂的水、电、燃气安全及设备运行，水电燃气阀门每天上班打开、下班关闭并做好开关栓记录，每日1次；科学制定每周菜谱、严格把关食材，并根据市场物价进行合理调剂，平衡膳食结构，合理控制伙食成本；准确掌握厨房设备、用具的使用情况，及时排查发现安全风险隐患；做好工作场所安全及节能工作，组织工作人员每日下班前检查操作间内水龙头、电灯、电风扇燃气等各种开关。</w:t>
      </w:r>
      <w:r>
        <w:rPr>
          <w:rFonts w:hint="eastAsia" w:asciiTheme="minorEastAsia" w:hAnsiTheme="minorEastAsia" w:eastAsiaTheme="minorEastAsia" w:cstheme="minorEastAsia"/>
          <w:color w:val="1F2329"/>
          <w:sz w:val="32"/>
          <w:szCs w:val="32"/>
          <w:highlight w:val="none"/>
          <w:lang w:eastAsia="zh-CN"/>
        </w:rPr>
        <w:t>（</w:t>
      </w:r>
      <w:r>
        <w:rPr>
          <w:rFonts w:hint="eastAsia" w:asciiTheme="minorEastAsia" w:hAnsiTheme="minorEastAsia" w:eastAsiaTheme="minorEastAsia" w:cstheme="minorEastAsia"/>
          <w:color w:val="1F2329"/>
          <w:sz w:val="32"/>
          <w:szCs w:val="32"/>
          <w:highlight w:val="none"/>
          <w:lang w:val="en-US" w:eastAsia="zh-CN"/>
        </w:rPr>
        <w:t>5</w:t>
      </w:r>
      <w:r>
        <w:rPr>
          <w:rFonts w:hint="eastAsia" w:asciiTheme="minorEastAsia" w:hAnsiTheme="minorEastAsia" w:eastAsiaTheme="minorEastAsia" w:cstheme="minorEastAsia"/>
          <w:color w:val="1F2329"/>
          <w:sz w:val="32"/>
          <w:szCs w:val="32"/>
          <w:highlight w:val="none"/>
          <w:lang w:eastAsia="zh-CN"/>
        </w:rPr>
        <w:t>）</w:t>
      </w:r>
      <w:r>
        <w:rPr>
          <w:rFonts w:hint="eastAsia" w:asciiTheme="minorEastAsia" w:hAnsiTheme="minorEastAsia" w:eastAsiaTheme="minorEastAsia" w:cstheme="minorEastAsia"/>
          <w:color w:val="1F2329"/>
          <w:sz w:val="32"/>
          <w:szCs w:val="32"/>
          <w:highlight w:val="none"/>
          <w:lang w:val="en-US" w:eastAsia="zh-CN"/>
        </w:rPr>
        <w:t>厨师：配合厨师长做好食堂菜品烹饪，共同保证菜品的口味和营养；配合厨师长做好食堂水电燃气等设施设备的安全使用及操作；配合厨师长做好相关安全记录，发现安全隐患问题及时上报。（6）服务员：做好食堂餐饮服务工作，包括维护用餐秩序用餐、菜品盛放及保温等工作；做好食堂环境卫生及餐具消毒清洁工作；做好食堂食品留样工作，每日1次，做好留样记录；做好每日食材准备及清洗，按菜谱要求配菜，确保食材新鲜和安全；做好每日餐后餐厨垃圾的收集、清扫工作，做好防鼠、防蝇、防尘等“三防”工作；正确使用食堂电气设备和相关工具，确保器具清洁卫生和操作安全规范。</w:t>
      </w:r>
    </w:p>
    <w:p w14:paraId="57F24D0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both"/>
        <w:rPr>
          <w:rFonts w:hint="eastAsia" w:asciiTheme="minorEastAsia" w:hAnsiTheme="minorEastAsia" w:eastAsiaTheme="minorEastAsia" w:cstheme="minorEastAsia"/>
          <w:color w:val="1F2329"/>
          <w:sz w:val="32"/>
          <w:szCs w:val="32"/>
          <w:highlight w:val="none"/>
        </w:rPr>
      </w:pPr>
      <w:r>
        <w:rPr>
          <w:rFonts w:hint="eastAsia" w:asciiTheme="minorEastAsia" w:hAnsiTheme="minorEastAsia" w:eastAsiaTheme="minorEastAsia" w:cstheme="minorEastAsia"/>
          <w:color w:val="1F2329"/>
          <w:sz w:val="32"/>
          <w:szCs w:val="32"/>
          <w:highlight w:val="none"/>
          <w:lang w:val="en-US" w:eastAsia="zh-CN"/>
        </w:rPr>
        <w:t>13.</w:t>
      </w:r>
      <w:r>
        <w:rPr>
          <w:rFonts w:hint="eastAsia" w:asciiTheme="minorEastAsia" w:hAnsiTheme="minorEastAsia" w:eastAsiaTheme="minorEastAsia" w:cstheme="minorEastAsia"/>
          <w:color w:val="1F2329"/>
          <w:sz w:val="32"/>
          <w:szCs w:val="32"/>
          <w:highlight w:val="none"/>
        </w:rPr>
        <w:t>其他与政务服务相关的辅助性工作。包括但不限于情况统计、沟通协调、会议会务、文件收发、材料印制、档案管理以及服从大厅调配，到各地对政务服务日常业务流程、人员管理、工作效能等内容进行调研、学习等。</w:t>
      </w:r>
    </w:p>
    <w:p w14:paraId="53F66B1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both"/>
        <w:rPr>
          <w:rFonts w:hint="eastAsia" w:asciiTheme="minorEastAsia" w:hAnsiTheme="minorEastAsia" w:eastAsiaTheme="minorEastAsia" w:cstheme="minorEastAsia"/>
          <w:b w:val="0"/>
          <w:bCs w:val="0"/>
          <w:color w:val="1F2329"/>
          <w:sz w:val="32"/>
          <w:szCs w:val="32"/>
          <w:highlight w:val="none"/>
        </w:rPr>
      </w:pPr>
      <w:r>
        <w:rPr>
          <w:rFonts w:hint="eastAsia" w:asciiTheme="minorEastAsia" w:hAnsiTheme="minorEastAsia" w:eastAsiaTheme="minorEastAsia" w:cstheme="minorEastAsia"/>
          <w:b w:val="0"/>
          <w:bCs w:val="0"/>
          <w:color w:val="1F2329"/>
          <w:sz w:val="32"/>
          <w:szCs w:val="32"/>
          <w:highlight w:val="none"/>
        </w:rPr>
        <w:t>（三）提供制度化管理</w:t>
      </w:r>
    </w:p>
    <w:p w14:paraId="4320E48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both"/>
        <w:rPr>
          <w:rFonts w:hint="eastAsia" w:asciiTheme="minorEastAsia" w:hAnsiTheme="minorEastAsia" w:eastAsiaTheme="minorEastAsia" w:cstheme="minorEastAsia"/>
          <w:color w:val="1F2329"/>
          <w:sz w:val="32"/>
          <w:szCs w:val="32"/>
          <w:highlight w:val="none"/>
        </w:rPr>
      </w:pPr>
      <w:r>
        <w:rPr>
          <w:rFonts w:hint="eastAsia" w:asciiTheme="minorEastAsia" w:hAnsiTheme="minorEastAsia" w:eastAsiaTheme="minorEastAsia" w:cstheme="minorEastAsia"/>
          <w:color w:val="1F2329"/>
          <w:sz w:val="32"/>
          <w:szCs w:val="32"/>
          <w:highlight w:val="none"/>
          <w:lang w:val="en-US" w:eastAsia="zh-CN"/>
        </w:rPr>
        <w:t>1.</w:t>
      </w:r>
      <w:r>
        <w:rPr>
          <w:rFonts w:hint="eastAsia" w:asciiTheme="minorEastAsia" w:hAnsiTheme="minorEastAsia" w:eastAsiaTheme="minorEastAsia" w:cstheme="minorEastAsia"/>
          <w:color w:val="1F2329"/>
          <w:sz w:val="32"/>
          <w:szCs w:val="32"/>
          <w:highlight w:val="none"/>
        </w:rPr>
        <w:t>组织制度。组建管理团队，提升组织领导力，强化团队建设管理，不断提升服务品质。</w:t>
      </w:r>
    </w:p>
    <w:p w14:paraId="6291B13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both"/>
        <w:rPr>
          <w:rFonts w:hint="eastAsia" w:asciiTheme="minorEastAsia" w:hAnsiTheme="minorEastAsia" w:eastAsiaTheme="minorEastAsia" w:cstheme="minorEastAsia"/>
          <w:color w:val="1F2329"/>
          <w:sz w:val="32"/>
          <w:szCs w:val="32"/>
          <w:highlight w:val="none"/>
        </w:rPr>
      </w:pPr>
      <w:r>
        <w:rPr>
          <w:rFonts w:hint="eastAsia" w:asciiTheme="minorEastAsia" w:hAnsiTheme="minorEastAsia" w:eastAsiaTheme="minorEastAsia" w:cstheme="minorEastAsia"/>
          <w:color w:val="1F2329"/>
          <w:sz w:val="32"/>
          <w:szCs w:val="32"/>
          <w:highlight w:val="none"/>
          <w:lang w:val="en-US" w:eastAsia="zh-CN"/>
        </w:rPr>
        <w:t>2.</w:t>
      </w:r>
      <w:r>
        <w:rPr>
          <w:rFonts w:hint="eastAsia" w:asciiTheme="minorEastAsia" w:hAnsiTheme="minorEastAsia" w:eastAsiaTheme="minorEastAsia" w:cstheme="minorEastAsia"/>
          <w:color w:val="1F2329"/>
          <w:sz w:val="32"/>
          <w:szCs w:val="32"/>
          <w:highlight w:val="none"/>
        </w:rPr>
        <w:t>培训制度。定期开展培训，统一业务规范、业务流程等，不断提升综窗人员业务水平；同步组织食堂从业人员开展食品安全、操作规范、服务礼仪等专项培训。</w:t>
      </w:r>
    </w:p>
    <w:p w14:paraId="08617C3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both"/>
        <w:rPr>
          <w:rFonts w:hint="eastAsia" w:asciiTheme="minorEastAsia" w:hAnsiTheme="minorEastAsia" w:eastAsiaTheme="minorEastAsia" w:cstheme="minorEastAsia"/>
          <w:color w:val="1F2329"/>
          <w:sz w:val="32"/>
          <w:szCs w:val="32"/>
          <w:highlight w:val="none"/>
        </w:rPr>
      </w:pPr>
      <w:r>
        <w:rPr>
          <w:rFonts w:hint="eastAsia" w:asciiTheme="minorEastAsia" w:hAnsiTheme="minorEastAsia" w:eastAsiaTheme="minorEastAsia" w:cstheme="minorEastAsia"/>
          <w:color w:val="1F2329"/>
          <w:sz w:val="32"/>
          <w:szCs w:val="32"/>
          <w:highlight w:val="none"/>
          <w:lang w:val="en-US" w:eastAsia="zh-CN"/>
        </w:rPr>
        <w:t>3.</w:t>
      </w:r>
      <w:r>
        <w:rPr>
          <w:rFonts w:hint="eastAsia" w:asciiTheme="minorEastAsia" w:hAnsiTheme="minorEastAsia" w:eastAsiaTheme="minorEastAsia" w:cstheme="minorEastAsia"/>
          <w:color w:val="1F2329"/>
          <w:sz w:val="32"/>
          <w:szCs w:val="32"/>
          <w:highlight w:val="none"/>
        </w:rPr>
        <w:t>会议制度。落实常态化工作会议，同步统筹食堂服务工作例会，梳理解决日常运营问题。</w:t>
      </w:r>
    </w:p>
    <w:p w14:paraId="316F01B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both"/>
        <w:rPr>
          <w:rFonts w:hint="eastAsia" w:asciiTheme="minorEastAsia" w:hAnsiTheme="minorEastAsia" w:eastAsiaTheme="minorEastAsia" w:cstheme="minorEastAsia"/>
          <w:color w:val="1F2329"/>
          <w:sz w:val="32"/>
          <w:szCs w:val="32"/>
          <w:highlight w:val="none"/>
        </w:rPr>
      </w:pPr>
      <w:r>
        <w:rPr>
          <w:rFonts w:hint="eastAsia" w:asciiTheme="minorEastAsia" w:hAnsiTheme="minorEastAsia" w:eastAsiaTheme="minorEastAsia" w:cstheme="minorEastAsia"/>
          <w:color w:val="1F2329"/>
          <w:sz w:val="32"/>
          <w:szCs w:val="32"/>
          <w:highlight w:val="none"/>
          <w:lang w:val="en-US" w:eastAsia="zh-CN"/>
        </w:rPr>
        <w:t>4.</w:t>
      </w:r>
      <w:r>
        <w:rPr>
          <w:rFonts w:hint="eastAsia" w:asciiTheme="minorEastAsia" w:hAnsiTheme="minorEastAsia" w:eastAsiaTheme="minorEastAsia" w:cstheme="minorEastAsia"/>
          <w:color w:val="1F2329"/>
          <w:sz w:val="32"/>
          <w:szCs w:val="32"/>
          <w:highlight w:val="none"/>
        </w:rPr>
        <w:t>报告制度。出具服务环境、行为规范、服务标准、服务效率等巡查日报、周报、月报，同步报送食堂运营、食材使用、食品安全等相关工作台账，按期提交采购方。</w:t>
      </w:r>
    </w:p>
    <w:p w14:paraId="2383E31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both"/>
        <w:rPr>
          <w:rFonts w:hint="eastAsia" w:asciiTheme="minorEastAsia" w:hAnsiTheme="minorEastAsia" w:eastAsiaTheme="minorEastAsia" w:cstheme="minorEastAsia"/>
          <w:color w:val="1F2329"/>
          <w:sz w:val="32"/>
          <w:szCs w:val="32"/>
          <w:highlight w:val="none"/>
        </w:rPr>
      </w:pPr>
      <w:r>
        <w:rPr>
          <w:rFonts w:hint="eastAsia" w:asciiTheme="minorEastAsia" w:hAnsiTheme="minorEastAsia" w:eastAsiaTheme="minorEastAsia" w:cstheme="minorEastAsia"/>
          <w:color w:val="1F2329"/>
          <w:sz w:val="32"/>
          <w:szCs w:val="32"/>
          <w:highlight w:val="none"/>
          <w:lang w:val="en-US" w:eastAsia="zh-CN"/>
        </w:rPr>
        <w:t>5.</w:t>
      </w:r>
      <w:r>
        <w:rPr>
          <w:rFonts w:hint="eastAsia" w:asciiTheme="minorEastAsia" w:hAnsiTheme="minorEastAsia" w:eastAsiaTheme="minorEastAsia" w:cstheme="minorEastAsia"/>
          <w:color w:val="1F2329"/>
          <w:sz w:val="32"/>
          <w:szCs w:val="32"/>
          <w:highlight w:val="none"/>
        </w:rPr>
        <w:t>应急制度。有效协助处理企业群众的投诉并给予相关工作建议；提高现场突发事件及不可抗力等情况的应急响应能力，同步制定食堂停水、停电、食材短缺、食品安全突发情况等应急处置方案。</w:t>
      </w:r>
    </w:p>
    <w:p w14:paraId="6C4096E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both"/>
        <w:rPr>
          <w:rFonts w:hint="eastAsia" w:asciiTheme="minorEastAsia" w:hAnsiTheme="minorEastAsia" w:eastAsiaTheme="minorEastAsia" w:cstheme="minorEastAsia"/>
          <w:color w:val="1F2329"/>
          <w:sz w:val="32"/>
          <w:szCs w:val="32"/>
          <w:highlight w:val="none"/>
        </w:rPr>
      </w:pPr>
      <w:r>
        <w:rPr>
          <w:rFonts w:hint="eastAsia" w:asciiTheme="minorEastAsia" w:hAnsiTheme="minorEastAsia" w:eastAsiaTheme="minorEastAsia" w:cstheme="minorEastAsia"/>
          <w:color w:val="1F2329"/>
          <w:sz w:val="32"/>
          <w:szCs w:val="32"/>
          <w:highlight w:val="none"/>
          <w:lang w:val="en-US" w:eastAsia="zh-CN"/>
        </w:rPr>
        <w:t>6.</w:t>
      </w:r>
      <w:r>
        <w:rPr>
          <w:rFonts w:hint="eastAsia" w:asciiTheme="minorEastAsia" w:hAnsiTheme="minorEastAsia" w:eastAsiaTheme="minorEastAsia" w:cstheme="minorEastAsia"/>
          <w:color w:val="1F2329"/>
          <w:sz w:val="32"/>
          <w:szCs w:val="32"/>
          <w:highlight w:val="none"/>
        </w:rPr>
        <w:t>考评制度。对政务服务工作人员的工作态度、执行纪律、行为规范、业务办理、投诉情况等多维度进行综合考核；同步建立食堂服务人员考评机制，围绕菜品质量、卫生状况、服务态度、纪律作风等开展考核</w:t>
      </w:r>
      <w:r>
        <w:rPr>
          <w:rFonts w:hint="eastAsia" w:asciiTheme="minorEastAsia" w:hAnsiTheme="minorEastAsia" w:eastAsiaTheme="minorEastAsia" w:cstheme="minorEastAsia"/>
          <w:color w:val="1F2329"/>
          <w:sz w:val="32"/>
          <w:szCs w:val="32"/>
          <w:highlight w:val="none"/>
          <w:lang w:eastAsia="zh-CN"/>
        </w:rPr>
        <w:t>。</w:t>
      </w:r>
      <w:r>
        <w:rPr>
          <w:rFonts w:hint="eastAsia" w:asciiTheme="minorEastAsia" w:hAnsiTheme="minorEastAsia" w:eastAsiaTheme="minorEastAsia" w:cstheme="minorEastAsia"/>
          <w:color w:val="1F2329"/>
          <w:sz w:val="32"/>
          <w:szCs w:val="32"/>
          <w:highlight w:val="none"/>
        </w:rPr>
        <w:t>考核结果均作为岗位调整、评优评奖、人员优化调整重要依据。</w:t>
      </w:r>
    </w:p>
    <w:p w14:paraId="2D989EF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both"/>
        <w:rPr>
          <w:rFonts w:hint="eastAsia" w:asciiTheme="minorEastAsia" w:hAnsiTheme="minorEastAsia" w:eastAsiaTheme="minorEastAsia" w:cstheme="minorEastAsia"/>
          <w:color w:val="1F2329"/>
          <w:sz w:val="32"/>
          <w:szCs w:val="32"/>
          <w:highlight w:val="none"/>
          <w:lang w:val="en-US" w:eastAsia="zh-CN"/>
        </w:rPr>
      </w:pPr>
      <w:r>
        <w:rPr>
          <w:rFonts w:hint="eastAsia" w:asciiTheme="minorEastAsia" w:hAnsiTheme="minorEastAsia" w:eastAsiaTheme="minorEastAsia" w:cstheme="minorEastAsia"/>
          <w:color w:val="1F2329"/>
          <w:sz w:val="32"/>
          <w:szCs w:val="32"/>
          <w:highlight w:val="none"/>
          <w:lang w:val="en-US" w:eastAsia="zh-CN"/>
        </w:rPr>
        <w:t>三、岗位设置</w:t>
      </w:r>
    </w:p>
    <w:p w14:paraId="0AE6BCE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both"/>
        <w:rPr>
          <w:rFonts w:hint="eastAsia" w:asciiTheme="minorEastAsia" w:hAnsiTheme="minorEastAsia" w:eastAsiaTheme="minorEastAsia" w:cstheme="minorEastAsia"/>
          <w:color w:val="1F2329"/>
          <w:sz w:val="32"/>
          <w:szCs w:val="32"/>
          <w:highlight w:val="none"/>
          <w:lang w:val="en-US" w:eastAsia="zh-CN"/>
        </w:rPr>
      </w:pPr>
      <w:r>
        <w:rPr>
          <w:rFonts w:hint="eastAsia" w:asciiTheme="minorEastAsia" w:hAnsiTheme="minorEastAsia" w:eastAsiaTheme="minorEastAsia" w:cstheme="minorEastAsia"/>
          <w:color w:val="1F2329"/>
          <w:sz w:val="32"/>
          <w:szCs w:val="32"/>
          <w:highlight w:val="none"/>
          <w:lang w:val="en-US" w:eastAsia="zh-CN"/>
        </w:rPr>
        <w:t>咨询导办台工作人员1名。负责在政务服务中心一楼咨询导办台接待办事群众、问题咨询和楼层指引。</w:t>
      </w:r>
    </w:p>
    <w:p w14:paraId="06B194C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both"/>
        <w:rPr>
          <w:rFonts w:hint="eastAsia" w:asciiTheme="minorEastAsia" w:hAnsiTheme="minorEastAsia" w:eastAsiaTheme="minorEastAsia" w:cstheme="minorEastAsia"/>
          <w:color w:val="1F2329"/>
          <w:sz w:val="32"/>
          <w:szCs w:val="32"/>
          <w:highlight w:val="none"/>
          <w:lang w:val="en-US" w:eastAsia="zh-CN"/>
        </w:rPr>
      </w:pPr>
      <w:r>
        <w:rPr>
          <w:rFonts w:hint="eastAsia" w:asciiTheme="minorEastAsia" w:hAnsiTheme="minorEastAsia" w:eastAsiaTheme="minorEastAsia" w:cstheme="minorEastAsia"/>
          <w:color w:val="1F2329"/>
          <w:sz w:val="32"/>
          <w:szCs w:val="32"/>
          <w:highlight w:val="none"/>
          <w:lang w:val="en-US" w:eastAsia="zh-CN"/>
        </w:rPr>
        <w:t>党群服务中心工作人员1名。负责在政务服务中心一楼党群服务中心提供党群服务工作，如为群众提供热水、医药、雨伞、轮椅等服务。</w:t>
      </w:r>
    </w:p>
    <w:p w14:paraId="52BE3AE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both"/>
        <w:rPr>
          <w:rFonts w:hint="eastAsia" w:asciiTheme="minorEastAsia" w:hAnsiTheme="minorEastAsia" w:eastAsiaTheme="minorEastAsia" w:cstheme="minorEastAsia"/>
          <w:color w:val="1F2329"/>
          <w:sz w:val="32"/>
          <w:szCs w:val="32"/>
          <w:highlight w:val="none"/>
          <w:lang w:val="en-US" w:eastAsia="zh-CN"/>
        </w:rPr>
      </w:pPr>
      <w:r>
        <w:rPr>
          <w:rFonts w:hint="eastAsia" w:asciiTheme="minorEastAsia" w:hAnsiTheme="minorEastAsia" w:eastAsiaTheme="minorEastAsia" w:cstheme="minorEastAsia"/>
          <w:color w:val="1F2329"/>
          <w:sz w:val="32"/>
          <w:szCs w:val="32"/>
          <w:highlight w:val="none"/>
          <w:lang w:val="en-US" w:eastAsia="zh-CN"/>
        </w:rPr>
        <w:t>无差别综合窗口工作人员9名。负责政务服务中心一楼无差别综合窗口业务受理工作。</w:t>
      </w:r>
    </w:p>
    <w:p w14:paraId="5AEA5CE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both"/>
        <w:rPr>
          <w:rFonts w:hint="eastAsia" w:asciiTheme="minorEastAsia" w:hAnsiTheme="minorEastAsia" w:eastAsiaTheme="minorEastAsia" w:cstheme="minorEastAsia"/>
          <w:color w:val="1F2329"/>
          <w:sz w:val="32"/>
          <w:szCs w:val="32"/>
          <w:highlight w:val="none"/>
          <w:lang w:val="en-US" w:eastAsia="zh-CN"/>
        </w:rPr>
      </w:pPr>
      <w:r>
        <w:rPr>
          <w:rFonts w:hint="eastAsia" w:asciiTheme="minorEastAsia" w:hAnsiTheme="minorEastAsia" w:eastAsiaTheme="minorEastAsia" w:cstheme="minorEastAsia"/>
          <w:color w:val="1F2329"/>
          <w:sz w:val="32"/>
          <w:szCs w:val="32"/>
          <w:highlight w:val="none"/>
          <w:lang w:val="en-US" w:eastAsia="zh-CN"/>
        </w:rPr>
        <w:t>不动产综合窗口工作人员7名。负责政务服务中心二楼不动产综合窗口业务受理工作。</w:t>
      </w:r>
    </w:p>
    <w:p w14:paraId="3FD1BFD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both"/>
        <w:rPr>
          <w:rFonts w:hint="eastAsia" w:asciiTheme="minorEastAsia" w:hAnsiTheme="minorEastAsia" w:eastAsiaTheme="minorEastAsia" w:cstheme="minorEastAsia"/>
          <w:color w:val="1F2329"/>
          <w:sz w:val="32"/>
          <w:szCs w:val="32"/>
          <w:highlight w:val="none"/>
          <w:lang w:val="en-US" w:eastAsia="zh-CN"/>
        </w:rPr>
      </w:pPr>
      <w:r>
        <w:rPr>
          <w:rFonts w:hint="eastAsia" w:asciiTheme="minorEastAsia" w:hAnsiTheme="minorEastAsia" w:eastAsiaTheme="minorEastAsia" w:cstheme="minorEastAsia"/>
          <w:color w:val="1F2329"/>
          <w:sz w:val="32"/>
          <w:szCs w:val="32"/>
          <w:highlight w:val="none"/>
          <w:lang w:val="en-US" w:eastAsia="zh-CN"/>
        </w:rPr>
        <w:t>工改窗口工作人员2名。负责政务服务中心一楼工程建设项目审批专区业务受理工作。</w:t>
      </w:r>
    </w:p>
    <w:p w14:paraId="0503437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both"/>
        <w:rPr>
          <w:rFonts w:hint="eastAsia" w:asciiTheme="minorEastAsia" w:hAnsiTheme="minorEastAsia" w:eastAsiaTheme="minorEastAsia" w:cstheme="minorEastAsia"/>
          <w:color w:val="1F2329"/>
          <w:sz w:val="32"/>
          <w:szCs w:val="32"/>
          <w:highlight w:val="none"/>
          <w:lang w:val="en-US" w:eastAsia="zh-CN"/>
        </w:rPr>
      </w:pPr>
      <w:r>
        <w:rPr>
          <w:rFonts w:hint="eastAsia" w:asciiTheme="minorEastAsia" w:hAnsiTheme="minorEastAsia" w:eastAsiaTheme="minorEastAsia" w:cstheme="minorEastAsia"/>
          <w:color w:val="1F2329"/>
          <w:sz w:val="32"/>
          <w:szCs w:val="32"/>
          <w:highlight w:val="none"/>
          <w:lang w:val="en-US" w:eastAsia="zh-CN"/>
        </w:rPr>
        <w:t>引导服务工作人员6名。负责政务服务中心一税务区域、综窗区域、公安区域，二楼不动产区域、医保区域、社保区域的引导、叫号等工作。</w:t>
      </w:r>
    </w:p>
    <w:p w14:paraId="3B6C18E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both"/>
        <w:rPr>
          <w:rFonts w:hint="eastAsia" w:asciiTheme="minorEastAsia" w:hAnsiTheme="minorEastAsia" w:eastAsiaTheme="minorEastAsia" w:cstheme="minorEastAsia"/>
          <w:color w:val="1F2329"/>
          <w:sz w:val="32"/>
          <w:szCs w:val="32"/>
          <w:highlight w:val="none"/>
          <w:lang w:val="en-US" w:eastAsia="zh-CN"/>
        </w:rPr>
      </w:pPr>
      <w:r>
        <w:rPr>
          <w:rFonts w:hint="eastAsia" w:asciiTheme="minorEastAsia" w:hAnsiTheme="minorEastAsia" w:eastAsiaTheme="minorEastAsia" w:cstheme="minorEastAsia"/>
          <w:color w:val="1F2329"/>
          <w:sz w:val="32"/>
          <w:szCs w:val="32"/>
          <w:highlight w:val="none"/>
          <w:lang w:val="en-US" w:eastAsia="zh-CN"/>
        </w:rPr>
        <w:t>自助区服务工作人员5名。负责政务服务中心24小时自助区、“一网通办”自助服务区、长春都市圈通办事项帮办、指导工作。</w:t>
      </w:r>
    </w:p>
    <w:p w14:paraId="28359C0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both"/>
        <w:rPr>
          <w:rFonts w:hint="eastAsia" w:asciiTheme="minorEastAsia" w:hAnsiTheme="minorEastAsia" w:eastAsiaTheme="minorEastAsia" w:cstheme="minorEastAsia"/>
          <w:color w:val="1F2329"/>
          <w:sz w:val="32"/>
          <w:szCs w:val="32"/>
          <w:highlight w:val="none"/>
          <w:lang w:val="en-US" w:eastAsia="zh-CN"/>
        </w:rPr>
      </w:pPr>
      <w:r>
        <w:rPr>
          <w:rFonts w:hint="eastAsia" w:asciiTheme="minorEastAsia" w:hAnsiTheme="minorEastAsia" w:eastAsiaTheme="minorEastAsia" w:cstheme="minorEastAsia"/>
          <w:color w:val="1F2329"/>
          <w:sz w:val="32"/>
          <w:szCs w:val="32"/>
          <w:highlight w:val="none"/>
          <w:lang w:val="en-US" w:eastAsia="zh-CN"/>
        </w:rPr>
        <w:t>复印服务工作人员2名。负责政务服务中心一楼各窗口免费打印、复印服务，二楼不动产区域免费打印服务，二楼西侧免费打印、复印服务。</w:t>
      </w:r>
    </w:p>
    <w:p w14:paraId="56FD5C9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both"/>
        <w:rPr>
          <w:rFonts w:hint="eastAsia" w:asciiTheme="minorEastAsia" w:hAnsiTheme="minorEastAsia" w:eastAsiaTheme="minorEastAsia" w:cstheme="minorEastAsia"/>
          <w:color w:val="1F2329"/>
          <w:sz w:val="32"/>
          <w:szCs w:val="32"/>
          <w:highlight w:val="none"/>
          <w:lang w:val="en-US" w:eastAsia="zh-CN"/>
        </w:rPr>
      </w:pPr>
      <w:r>
        <w:rPr>
          <w:rFonts w:hint="eastAsia" w:asciiTheme="minorEastAsia" w:hAnsiTheme="minorEastAsia" w:eastAsiaTheme="minorEastAsia" w:cstheme="minorEastAsia"/>
          <w:color w:val="1F2329"/>
          <w:sz w:val="32"/>
          <w:szCs w:val="32"/>
          <w:highlight w:val="none"/>
          <w:lang w:val="en-US" w:eastAsia="zh-CN"/>
        </w:rPr>
        <w:t>帮办代办服务工作人员4名。负责政务服务中心一楼相关“帮办代办”服务，二楼不动产区域、二楼西侧相关“帮办代办”服务。</w:t>
      </w:r>
    </w:p>
    <w:p w14:paraId="0870301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both"/>
        <w:rPr>
          <w:rFonts w:hint="eastAsia" w:asciiTheme="minorEastAsia" w:hAnsiTheme="minorEastAsia" w:eastAsiaTheme="minorEastAsia" w:cstheme="minorEastAsia"/>
          <w:color w:val="1F2329"/>
          <w:sz w:val="32"/>
          <w:szCs w:val="32"/>
          <w:highlight w:val="none"/>
          <w:lang w:val="en-US" w:eastAsia="zh-CN"/>
        </w:rPr>
      </w:pPr>
      <w:r>
        <w:rPr>
          <w:rFonts w:hint="eastAsia" w:asciiTheme="minorEastAsia" w:hAnsiTheme="minorEastAsia" w:eastAsiaTheme="minorEastAsia" w:cstheme="minorEastAsia"/>
          <w:color w:val="1F2329"/>
          <w:sz w:val="32"/>
          <w:szCs w:val="32"/>
          <w:highlight w:val="none"/>
          <w:lang w:val="en-US" w:eastAsia="zh-CN"/>
        </w:rPr>
        <w:t>投诉举报服务工作人员2名。负责政务服务中心一楼“办不成事请找我”窗口工作，二楼不动产区域、二楼西侧“办不成事请找我”窗口工作，处理群众现场投诉和电话投诉工作。</w:t>
      </w:r>
    </w:p>
    <w:p w14:paraId="316346D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both"/>
        <w:rPr>
          <w:rFonts w:hint="eastAsia" w:asciiTheme="minorEastAsia" w:hAnsiTheme="minorEastAsia" w:eastAsiaTheme="minorEastAsia" w:cstheme="minorEastAsia"/>
          <w:color w:val="1F2329"/>
          <w:sz w:val="32"/>
          <w:szCs w:val="32"/>
          <w:highlight w:val="none"/>
          <w:lang w:val="en-US" w:eastAsia="zh-CN"/>
        </w:rPr>
      </w:pPr>
      <w:r>
        <w:rPr>
          <w:rFonts w:hint="eastAsia" w:asciiTheme="minorEastAsia" w:hAnsiTheme="minorEastAsia" w:eastAsiaTheme="minorEastAsia" w:cstheme="minorEastAsia"/>
          <w:color w:val="1F2329"/>
          <w:sz w:val="32"/>
          <w:szCs w:val="32"/>
          <w:highlight w:val="none"/>
          <w:lang w:val="en-US" w:eastAsia="zh-CN"/>
        </w:rPr>
        <w:t>信息网络管理工作人员2名。负责政务服务中心日常办公网络管理工作，政务服务事项宣传视频拍摄和宣传设计。</w:t>
      </w:r>
    </w:p>
    <w:p w14:paraId="4841D46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both"/>
        <w:rPr>
          <w:rFonts w:hint="eastAsia" w:asciiTheme="minorEastAsia" w:hAnsiTheme="minorEastAsia" w:eastAsiaTheme="minorEastAsia" w:cstheme="minorEastAsia"/>
          <w:color w:val="1F2329"/>
          <w:sz w:val="32"/>
          <w:szCs w:val="32"/>
          <w:highlight w:val="none"/>
          <w:lang w:val="en-US" w:eastAsia="zh-CN"/>
        </w:rPr>
      </w:pPr>
      <w:r>
        <w:rPr>
          <w:rFonts w:hint="eastAsia" w:asciiTheme="minorEastAsia" w:hAnsiTheme="minorEastAsia" w:eastAsiaTheme="minorEastAsia" w:cstheme="minorEastAsia"/>
          <w:color w:val="1F2329"/>
          <w:sz w:val="32"/>
          <w:szCs w:val="32"/>
          <w:highlight w:val="none"/>
          <w:lang w:val="en-US" w:eastAsia="zh-CN"/>
        </w:rPr>
        <w:t>全流程审批系统监管员2名。负责全流程审批系统入场监管、问题反馈等工作。</w:t>
      </w:r>
    </w:p>
    <w:p w14:paraId="7B23B33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both"/>
        <w:rPr>
          <w:rFonts w:hint="eastAsia" w:asciiTheme="minorEastAsia" w:hAnsiTheme="minorEastAsia" w:eastAsiaTheme="minorEastAsia" w:cstheme="minorEastAsia"/>
          <w:color w:val="1F2329"/>
          <w:sz w:val="32"/>
          <w:szCs w:val="32"/>
          <w:highlight w:val="none"/>
          <w:lang w:val="en-US" w:eastAsia="zh-CN"/>
        </w:rPr>
      </w:pPr>
      <w:r>
        <w:rPr>
          <w:rFonts w:hint="eastAsia" w:asciiTheme="minorEastAsia" w:hAnsiTheme="minorEastAsia" w:eastAsiaTheme="minorEastAsia" w:cstheme="minorEastAsia"/>
          <w:color w:val="1F2329"/>
          <w:sz w:val="32"/>
          <w:szCs w:val="32"/>
          <w:highlight w:val="none"/>
          <w:lang w:val="en-US" w:eastAsia="zh-CN"/>
        </w:rPr>
        <w:t>驻厅单位证照存档员1名。负责政务服务中心一二楼所有驻厅单位证照收集整理存档工作。</w:t>
      </w:r>
    </w:p>
    <w:p w14:paraId="2E0BDE1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both"/>
        <w:rPr>
          <w:rFonts w:hint="eastAsia" w:asciiTheme="minorEastAsia" w:hAnsiTheme="minorEastAsia" w:eastAsiaTheme="minorEastAsia" w:cstheme="minorEastAsia"/>
          <w:color w:val="1F2329"/>
          <w:sz w:val="32"/>
          <w:szCs w:val="32"/>
          <w:highlight w:val="none"/>
          <w:lang w:val="en-US" w:eastAsia="zh-CN"/>
        </w:rPr>
      </w:pPr>
      <w:r>
        <w:rPr>
          <w:rFonts w:hint="eastAsia" w:asciiTheme="minorEastAsia" w:hAnsiTheme="minorEastAsia" w:eastAsiaTheme="minorEastAsia" w:cstheme="minorEastAsia"/>
          <w:color w:val="1F2329"/>
          <w:sz w:val="32"/>
          <w:szCs w:val="32"/>
          <w:highlight w:val="none"/>
          <w:lang w:val="en-US" w:eastAsia="zh-CN"/>
        </w:rPr>
        <w:t>公共资源档案管理员1名。负责公共资源交易中心档案收集整理存档工作。</w:t>
      </w:r>
    </w:p>
    <w:p w14:paraId="37CFEAD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both"/>
        <w:rPr>
          <w:rFonts w:hint="eastAsia" w:asciiTheme="minorEastAsia" w:hAnsiTheme="minorEastAsia" w:eastAsiaTheme="minorEastAsia" w:cstheme="minorEastAsia"/>
          <w:color w:val="1F2329"/>
          <w:sz w:val="32"/>
          <w:szCs w:val="32"/>
          <w:highlight w:val="none"/>
          <w:lang w:val="en-US" w:eastAsia="zh-CN"/>
        </w:rPr>
      </w:pPr>
      <w:r>
        <w:rPr>
          <w:rFonts w:hint="eastAsia" w:asciiTheme="minorEastAsia" w:hAnsiTheme="minorEastAsia" w:eastAsiaTheme="minorEastAsia" w:cstheme="minorEastAsia"/>
          <w:color w:val="1F2329"/>
          <w:sz w:val="32"/>
          <w:szCs w:val="32"/>
          <w:highlight w:val="none"/>
          <w:lang w:val="en-US" w:eastAsia="zh-CN"/>
        </w:rPr>
        <w:t>公共资源交易中心保洁1名。负责各评标室和会议室保洁。</w:t>
      </w:r>
    </w:p>
    <w:p w14:paraId="07D7D9B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both"/>
        <w:rPr>
          <w:rFonts w:hint="eastAsia" w:asciiTheme="minorEastAsia" w:hAnsiTheme="minorEastAsia" w:eastAsiaTheme="minorEastAsia" w:cstheme="minorEastAsia"/>
          <w:color w:val="1F2329"/>
          <w:sz w:val="32"/>
          <w:szCs w:val="32"/>
          <w:highlight w:val="none"/>
          <w:lang w:val="en-US" w:eastAsia="zh-CN"/>
        </w:rPr>
      </w:pPr>
      <w:r>
        <w:rPr>
          <w:rFonts w:hint="eastAsia" w:asciiTheme="minorEastAsia" w:hAnsiTheme="minorEastAsia" w:eastAsiaTheme="minorEastAsia" w:cstheme="minorEastAsia"/>
          <w:color w:val="1F2329"/>
          <w:sz w:val="32"/>
          <w:szCs w:val="32"/>
          <w:highlight w:val="none"/>
          <w:lang w:val="en-US" w:eastAsia="zh-CN"/>
        </w:rPr>
        <w:t>食堂服务15名。负责政务服务中心食堂服务人员。</w:t>
      </w:r>
    </w:p>
    <w:p w14:paraId="44B51A8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40" w:firstLineChars="200"/>
        <w:jc w:val="both"/>
        <w:rPr>
          <w:rFonts w:hint="eastAsia" w:asciiTheme="minorEastAsia" w:hAnsiTheme="minorEastAsia" w:eastAsiaTheme="minorEastAsia" w:cstheme="minorEastAsia"/>
          <w:color w:val="1F2329"/>
          <w:sz w:val="32"/>
          <w:szCs w:val="32"/>
          <w:highlight w:val="none"/>
          <w:lang w:val="en-US" w:eastAsia="zh-CN"/>
        </w:rPr>
      </w:pPr>
      <w:r>
        <w:rPr>
          <w:rFonts w:hint="eastAsia" w:asciiTheme="minorEastAsia" w:hAnsiTheme="minorEastAsia" w:eastAsiaTheme="minorEastAsia" w:cstheme="minorEastAsia"/>
          <w:color w:val="1F2329"/>
          <w:sz w:val="32"/>
          <w:szCs w:val="32"/>
          <w:highlight w:val="none"/>
          <w:lang w:val="en-US" w:eastAsia="zh-CN"/>
        </w:rPr>
        <w:t>四、有关要求</w:t>
      </w:r>
    </w:p>
    <w:p w14:paraId="44A8CCA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40" w:firstLineChars="200"/>
        <w:jc w:val="both"/>
        <w:rPr>
          <w:rFonts w:hint="eastAsia" w:asciiTheme="minorEastAsia" w:hAnsiTheme="minorEastAsia" w:eastAsiaTheme="minorEastAsia" w:cstheme="minorEastAsia"/>
          <w:color w:val="1F2329"/>
          <w:sz w:val="32"/>
          <w:szCs w:val="32"/>
          <w:highlight w:val="none"/>
          <w:lang w:val="en-US" w:eastAsia="zh-CN"/>
        </w:rPr>
      </w:pPr>
      <w:r>
        <w:rPr>
          <w:rFonts w:hint="eastAsia" w:asciiTheme="minorEastAsia" w:hAnsiTheme="minorEastAsia" w:eastAsiaTheme="minorEastAsia" w:cstheme="minorEastAsia"/>
          <w:color w:val="1F2329"/>
          <w:sz w:val="32"/>
          <w:szCs w:val="32"/>
          <w:highlight w:val="none"/>
          <w:lang w:val="en-US" w:eastAsia="zh-CN"/>
        </w:rPr>
        <w:t>（一）具有合法有效的营业执照，具有独立的法人资格，具备承担本项目的资质条件、能力和信誉。经营范围需覆盖本项目类型的服务。企业财务状况良好，具有足够的资金能力来承担本项目实施。</w:t>
      </w:r>
    </w:p>
    <w:p w14:paraId="1450E58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40" w:firstLineChars="200"/>
        <w:jc w:val="both"/>
        <w:rPr>
          <w:rFonts w:hint="eastAsia" w:asciiTheme="minorEastAsia" w:hAnsiTheme="minorEastAsia" w:eastAsiaTheme="minorEastAsia" w:cstheme="minorEastAsia"/>
          <w:color w:val="1F2329"/>
          <w:sz w:val="32"/>
          <w:szCs w:val="32"/>
          <w:highlight w:val="none"/>
          <w:lang w:val="en-US" w:eastAsia="zh-CN"/>
        </w:rPr>
      </w:pPr>
      <w:r>
        <w:rPr>
          <w:rFonts w:hint="eastAsia" w:asciiTheme="minorEastAsia" w:hAnsiTheme="minorEastAsia" w:eastAsiaTheme="minorEastAsia" w:cstheme="minorEastAsia"/>
          <w:color w:val="1F2329"/>
          <w:sz w:val="32"/>
          <w:szCs w:val="32"/>
          <w:highlight w:val="none"/>
          <w:lang w:val="en-US" w:eastAsia="zh-CN"/>
        </w:rPr>
        <w:t>（二）要按国家有关规定给从业人员缴纳相应保险（医疗保险、生育保险、工伤保险、失业保险、养老保险、住房公积金）。</w:t>
      </w:r>
    </w:p>
    <w:p w14:paraId="070239B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40" w:firstLineChars="200"/>
        <w:jc w:val="both"/>
        <w:rPr>
          <w:rFonts w:hint="eastAsia" w:asciiTheme="minorEastAsia" w:hAnsiTheme="minorEastAsia" w:eastAsiaTheme="minorEastAsia" w:cstheme="minorEastAsia"/>
          <w:color w:val="1F2329"/>
          <w:sz w:val="32"/>
          <w:szCs w:val="32"/>
          <w:highlight w:val="none"/>
          <w:lang w:val="en-US" w:eastAsia="zh-CN"/>
        </w:rPr>
      </w:pPr>
      <w:r>
        <w:rPr>
          <w:rFonts w:hint="eastAsia" w:asciiTheme="minorEastAsia" w:hAnsiTheme="minorEastAsia" w:eastAsiaTheme="minorEastAsia" w:cstheme="minorEastAsia"/>
          <w:color w:val="1F2329"/>
          <w:sz w:val="32"/>
          <w:szCs w:val="32"/>
          <w:highlight w:val="none"/>
          <w:lang w:val="en-US" w:eastAsia="zh-CN"/>
        </w:rPr>
        <w:t>（三）供应商要提前做好各类工作对接，确保提供的服务人员保持稳定和政务服务中心综合窗口服务的延续性；同步做好食堂后勤服务交接工作，确保食堂服务无缝衔接、不中断。供应商因故拟对综合窗口工作人员、食堂服务人员做出调整前一个月，应告知采购人，经采购人同意后安排能力素质相当的新工作人员做好接替，确保服务质量不下降。</w:t>
      </w:r>
    </w:p>
    <w:p w14:paraId="555AA91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40" w:firstLineChars="200"/>
        <w:jc w:val="both"/>
        <w:rPr>
          <w:rFonts w:hint="eastAsia" w:asciiTheme="minorEastAsia" w:hAnsiTheme="minorEastAsia" w:eastAsiaTheme="minorEastAsia" w:cstheme="minorEastAsia"/>
          <w:color w:val="1F2329"/>
          <w:sz w:val="32"/>
          <w:szCs w:val="32"/>
          <w:highlight w:val="none"/>
          <w:lang w:val="en-US" w:eastAsia="zh-CN"/>
        </w:rPr>
      </w:pPr>
      <w:r>
        <w:rPr>
          <w:rFonts w:hint="eastAsia" w:asciiTheme="minorEastAsia" w:hAnsiTheme="minorEastAsia" w:eastAsiaTheme="minorEastAsia" w:cstheme="minorEastAsia"/>
          <w:color w:val="1F2329"/>
          <w:sz w:val="32"/>
          <w:szCs w:val="32"/>
          <w:highlight w:val="none"/>
          <w:lang w:val="en-US" w:eastAsia="zh-CN"/>
        </w:rPr>
        <w:t>（四）供应商要按照采购人服务需求和标准配备综合窗口服务人员、食堂后勤服务人员，提前一个月按照人社部相关政务服务综合窗口职业技能要求、食品安全操作规范等，分别对两类人员开展岗前专业培训。综合窗口人员需具备岗位所需技能素质，食堂服务人员需熟练掌握餐饮制作、食材管控、卫生消杀、食品安全等相关技能，两类人员均经采购方测试考核通过后方可上岗。</w:t>
      </w:r>
    </w:p>
    <w:p w14:paraId="34AFC17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40" w:firstLineChars="200"/>
        <w:jc w:val="both"/>
        <w:rPr>
          <w:rFonts w:hint="eastAsia" w:asciiTheme="minorEastAsia" w:hAnsiTheme="minorEastAsia" w:eastAsiaTheme="minorEastAsia" w:cstheme="minorEastAsia"/>
          <w:color w:val="1F2329"/>
          <w:sz w:val="32"/>
          <w:szCs w:val="32"/>
          <w:highlight w:val="none"/>
          <w:lang w:val="en-US" w:eastAsia="zh-CN"/>
        </w:rPr>
      </w:pPr>
      <w:r>
        <w:rPr>
          <w:rFonts w:hint="eastAsia" w:asciiTheme="minorEastAsia" w:hAnsiTheme="minorEastAsia" w:eastAsiaTheme="minorEastAsia" w:cstheme="minorEastAsia"/>
          <w:color w:val="1F2329"/>
          <w:sz w:val="32"/>
          <w:szCs w:val="32"/>
          <w:highlight w:val="none"/>
          <w:lang w:val="en-US" w:eastAsia="zh-CN"/>
        </w:rPr>
        <w:t>（五）供应商应对综合窗口服务人员、食堂后勤服务人员进行全面政治审查，严格细化审查流程，核查人员无违法违纪记录、无不良从业信用，保证所有服务人员政治素养合格、思想稳定、品行端正，符合政务服务和食堂后勤服务岗位要求。</w:t>
      </w:r>
    </w:p>
    <w:p w14:paraId="0EBF742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40" w:firstLineChars="200"/>
        <w:jc w:val="both"/>
        <w:rPr>
          <w:rFonts w:hint="eastAsia" w:asciiTheme="minorEastAsia" w:hAnsiTheme="minorEastAsia" w:eastAsiaTheme="minorEastAsia" w:cstheme="minorEastAsia"/>
          <w:color w:val="1F2329"/>
          <w:sz w:val="32"/>
          <w:szCs w:val="32"/>
          <w:highlight w:val="none"/>
          <w:lang w:val="en-US" w:eastAsia="zh-CN"/>
        </w:rPr>
      </w:pPr>
      <w:r>
        <w:rPr>
          <w:rFonts w:hint="eastAsia" w:asciiTheme="minorEastAsia" w:hAnsiTheme="minorEastAsia" w:eastAsiaTheme="minorEastAsia" w:cstheme="minorEastAsia"/>
          <w:color w:val="1F2329"/>
          <w:sz w:val="32"/>
          <w:szCs w:val="32"/>
          <w:highlight w:val="none"/>
          <w:lang w:val="en-US" w:eastAsia="zh-CN"/>
        </w:rPr>
        <w:t>（六）供应商负责为综合窗口服务人员、食堂后勤服务人员依法办理劳动用工手续，在人员的聘用、辞退、工资福利、社会保险、奖优罚劣、劳动保护等事项上依法依规保证所有服务人员的合法权益。</w:t>
      </w:r>
    </w:p>
    <w:p w14:paraId="0532B5F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40" w:firstLineChars="200"/>
        <w:jc w:val="both"/>
        <w:rPr>
          <w:rFonts w:hint="eastAsia" w:asciiTheme="minorEastAsia" w:hAnsiTheme="minorEastAsia" w:eastAsiaTheme="minorEastAsia" w:cstheme="minorEastAsia"/>
          <w:color w:val="1F2329"/>
          <w:sz w:val="32"/>
          <w:szCs w:val="32"/>
          <w:highlight w:val="none"/>
          <w:lang w:val="en-US" w:eastAsia="zh-CN"/>
        </w:rPr>
      </w:pPr>
      <w:r>
        <w:rPr>
          <w:rFonts w:hint="eastAsia" w:asciiTheme="minorEastAsia" w:hAnsiTheme="minorEastAsia" w:eastAsiaTheme="minorEastAsia" w:cstheme="minorEastAsia"/>
          <w:color w:val="1F2329"/>
          <w:sz w:val="32"/>
          <w:szCs w:val="32"/>
          <w:highlight w:val="none"/>
          <w:lang w:val="en-US" w:eastAsia="zh-CN"/>
        </w:rPr>
        <w:t>（七）供应商要根据采购人所制订的相应服务规范，做好综合窗口服务和食堂后勤服务项目管理工作，保证两类岗位出勤人数和工作质量，严格把控食堂菜品质量、食品安全和服务效率，不影响采购人各项工作的正常开展。</w:t>
      </w:r>
    </w:p>
    <w:p w14:paraId="0E89C67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40" w:firstLineChars="200"/>
        <w:jc w:val="both"/>
        <w:rPr>
          <w:rFonts w:hint="eastAsia" w:asciiTheme="minorEastAsia" w:hAnsiTheme="minorEastAsia" w:eastAsiaTheme="minorEastAsia" w:cstheme="minorEastAsia"/>
          <w:color w:val="1F2329"/>
          <w:sz w:val="32"/>
          <w:szCs w:val="32"/>
          <w:highlight w:val="none"/>
          <w:lang w:val="en-US" w:eastAsia="zh-CN"/>
        </w:rPr>
      </w:pPr>
      <w:r>
        <w:rPr>
          <w:rFonts w:hint="eastAsia" w:asciiTheme="minorEastAsia" w:hAnsiTheme="minorEastAsia" w:eastAsiaTheme="minorEastAsia" w:cstheme="minorEastAsia"/>
          <w:color w:val="1F2329"/>
          <w:sz w:val="32"/>
          <w:szCs w:val="32"/>
          <w:highlight w:val="none"/>
          <w:lang w:val="en-US" w:eastAsia="zh-CN"/>
        </w:rPr>
        <w:t>（八）供应商须制定完善的考核制度、绩效考核办法，对综合窗口服务人员、食堂后勤服务人员分别实行“月度考核”，每月向采购人报告两类人员的表现情况、考核结果及整改措施。对于不能胜任相应工作岗位的综合窗口服务人员、食堂服务人员，及时予以淘汰解聘，并按要求补充合格人员。</w:t>
      </w:r>
    </w:p>
    <w:p w14:paraId="5138D4D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40" w:firstLineChars="200"/>
        <w:jc w:val="both"/>
        <w:rPr>
          <w:rFonts w:hint="eastAsia" w:asciiTheme="minorEastAsia" w:hAnsiTheme="minorEastAsia" w:eastAsiaTheme="minorEastAsia" w:cstheme="minorEastAsia"/>
          <w:color w:val="1F2329"/>
          <w:sz w:val="32"/>
          <w:szCs w:val="32"/>
          <w:highlight w:val="none"/>
          <w:lang w:val="en-US" w:eastAsia="zh-CN"/>
        </w:rPr>
      </w:pPr>
      <w:r>
        <w:rPr>
          <w:rFonts w:hint="eastAsia" w:asciiTheme="minorEastAsia" w:hAnsiTheme="minorEastAsia" w:eastAsiaTheme="minorEastAsia" w:cstheme="minorEastAsia"/>
          <w:color w:val="1F2329"/>
          <w:sz w:val="32"/>
          <w:szCs w:val="32"/>
          <w:highlight w:val="none"/>
          <w:lang w:val="en-US" w:eastAsia="zh-CN"/>
        </w:rPr>
        <w:t>（九）服务人员资格要求</w:t>
      </w:r>
    </w:p>
    <w:p w14:paraId="43F29F7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40" w:firstLineChars="200"/>
        <w:jc w:val="both"/>
        <w:rPr>
          <w:rFonts w:hint="eastAsia" w:asciiTheme="minorEastAsia" w:hAnsiTheme="minorEastAsia" w:eastAsiaTheme="minorEastAsia" w:cstheme="minorEastAsia"/>
          <w:color w:val="1F2329"/>
          <w:sz w:val="32"/>
          <w:szCs w:val="32"/>
          <w:highlight w:val="none"/>
          <w:lang w:val="en-US" w:eastAsia="zh-CN"/>
        </w:rPr>
      </w:pPr>
      <w:r>
        <w:rPr>
          <w:rFonts w:hint="eastAsia" w:asciiTheme="minorEastAsia" w:hAnsiTheme="minorEastAsia" w:eastAsiaTheme="minorEastAsia" w:cstheme="minorEastAsia"/>
          <w:color w:val="1F2329"/>
          <w:sz w:val="32"/>
          <w:szCs w:val="32"/>
          <w:highlight w:val="none"/>
          <w:lang w:val="en-US" w:eastAsia="zh-CN"/>
        </w:rPr>
        <w:t>1. 综合窗口服务人员资格要求</w:t>
      </w:r>
    </w:p>
    <w:p w14:paraId="7F7C35A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200" w:right="0" w:rightChars="0"/>
        <w:jc w:val="both"/>
        <w:rPr>
          <w:rFonts w:hint="eastAsia" w:asciiTheme="minorEastAsia" w:hAnsiTheme="minorEastAsia" w:eastAsiaTheme="minorEastAsia" w:cstheme="minorEastAsia"/>
          <w:color w:val="1F2329"/>
          <w:sz w:val="32"/>
          <w:szCs w:val="32"/>
          <w:highlight w:val="none"/>
          <w:lang w:val="en-US" w:eastAsia="zh-CN"/>
        </w:rPr>
      </w:pPr>
      <w:r>
        <w:rPr>
          <w:rFonts w:hint="eastAsia" w:asciiTheme="minorEastAsia" w:hAnsiTheme="minorEastAsia" w:eastAsiaTheme="minorEastAsia" w:cstheme="minorEastAsia"/>
          <w:color w:val="1F2329"/>
          <w:sz w:val="32"/>
          <w:szCs w:val="32"/>
          <w:highlight w:val="none"/>
          <w:lang w:val="en-US" w:eastAsia="zh-CN"/>
        </w:rPr>
        <w:t>（1）拥护中国共产党的领导，热爱社会主义。</w:t>
      </w:r>
    </w:p>
    <w:p w14:paraId="3C8DB90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40" w:firstLineChars="200"/>
        <w:jc w:val="both"/>
        <w:rPr>
          <w:rFonts w:hint="eastAsia" w:asciiTheme="minorEastAsia" w:hAnsiTheme="minorEastAsia" w:eastAsiaTheme="minorEastAsia" w:cstheme="minorEastAsia"/>
          <w:color w:val="1F2329"/>
          <w:sz w:val="32"/>
          <w:szCs w:val="32"/>
          <w:highlight w:val="none"/>
          <w:lang w:val="en-US" w:eastAsia="zh-CN"/>
        </w:rPr>
      </w:pPr>
      <w:r>
        <w:rPr>
          <w:rFonts w:hint="eastAsia" w:asciiTheme="minorEastAsia" w:hAnsiTheme="minorEastAsia" w:eastAsiaTheme="minorEastAsia" w:cstheme="minorEastAsia"/>
          <w:color w:val="1F2329"/>
          <w:sz w:val="32"/>
          <w:szCs w:val="32"/>
          <w:highlight w:val="none"/>
          <w:lang w:val="en-US" w:eastAsia="zh-CN"/>
        </w:rPr>
        <w:t>（2）工作积极主动、执行能力强，具有良好的团队合作精神、严密的组织纪律性和保密意识，能遵守政务服务中心各项规章制度和工作规范，能够提供热情服务、微笑服务。</w:t>
      </w:r>
    </w:p>
    <w:p w14:paraId="4117C7F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40" w:firstLineChars="200"/>
        <w:jc w:val="both"/>
        <w:rPr>
          <w:rFonts w:hint="eastAsia" w:asciiTheme="minorEastAsia" w:hAnsiTheme="minorEastAsia" w:eastAsiaTheme="minorEastAsia" w:cstheme="minorEastAsia"/>
          <w:color w:val="1F2329"/>
          <w:sz w:val="32"/>
          <w:szCs w:val="32"/>
          <w:highlight w:val="none"/>
          <w:lang w:val="en-US" w:eastAsia="zh-CN"/>
        </w:rPr>
      </w:pPr>
      <w:r>
        <w:rPr>
          <w:rFonts w:hint="eastAsia" w:asciiTheme="minorEastAsia" w:hAnsiTheme="minorEastAsia" w:eastAsiaTheme="minorEastAsia" w:cstheme="minorEastAsia"/>
          <w:color w:val="1F2329"/>
          <w:sz w:val="32"/>
          <w:szCs w:val="32"/>
          <w:highlight w:val="none"/>
          <w:lang w:val="en-US" w:eastAsia="zh-CN"/>
        </w:rPr>
        <w:t>（3）具备一定文字综合、多媒体宣传、产品制作等方面能力。</w:t>
      </w:r>
    </w:p>
    <w:p w14:paraId="339E7BA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40" w:firstLineChars="200"/>
        <w:jc w:val="both"/>
        <w:rPr>
          <w:rFonts w:hint="eastAsia" w:asciiTheme="minorEastAsia" w:hAnsiTheme="minorEastAsia" w:eastAsiaTheme="minorEastAsia" w:cstheme="minorEastAsia"/>
          <w:color w:val="1F2329"/>
          <w:sz w:val="32"/>
          <w:szCs w:val="32"/>
          <w:highlight w:val="none"/>
          <w:lang w:val="en-US" w:eastAsia="zh-CN"/>
        </w:rPr>
      </w:pPr>
      <w:r>
        <w:rPr>
          <w:rFonts w:hint="eastAsia" w:asciiTheme="minorEastAsia" w:hAnsiTheme="minorEastAsia" w:eastAsiaTheme="minorEastAsia" w:cstheme="minorEastAsia"/>
          <w:color w:val="1F2329"/>
          <w:sz w:val="32"/>
          <w:szCs w:val="32"/>
          <w:highlight w:val="none"/>
          <w:lang w:val="en-US" w:eastAsia="zh-CN"/>
        </w:rPr>
        <w:t>（4）熟悉计算机、大数据、人工智能等信息技术方面基础知识。</w:t>
      </w:r>
    </w:p>
    <w:p w14:paraId="75CC814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200" w:right="0" w:rightChars="0"/>
        <w:jc w:val="both"/>
        <w:rPr>
          <w:rFonts w:hint="eastAsia" w:asciiTheme="minorEastAsia" w:hAnsiTheme="minorEastAsia" w:eastAsiaTheme="minorEastAsia" w:cstheme="minorEastAsia"/>
          <w:color w:val="1F2329"/>
          <w:sz w:val="32"/>
          <w:szCs w:val="32"/>
          <w:highlight w:val="none"/>
          <w:lang w:val="en-US" w:eastAsia="zh-CN"/>
        </w:rPr>
      </w:pPr>
      <w:r>
        <w:rPr>
          <w:rFonts w:hint="eastAsia" w:asciiTheme="minorEastAsia" w:hAnsiTheme="minorEastAsia" w:eastAsiaTheme="minorEastAsia" w:cstheme="minorEastAsia"/>
          <w:color w:val="1F2329"/>
          <w:sz w:val="32"/>
          <w:szCs w:val="32"/>
          <w:highlight w:val="none"/>
          <w:lang w:val="en-US" w:eastAsia="zh-CN"/>
        </w:rPr>
        <w:t>（5）熟练掌握政务服务事项受理和审核标准。</w:t>
      </w:r>
    </w:p>
    <w:p w14:paraId="237CD05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200" w:right="0" w:rightChars="0"/>
        <w:jc w:val="both"/>
        <w:rPr>
          <w:rFonts w:hint="eastAsia" w:asciiTheme="minorEastAsia" w:hAnsiTheme="minorEastAsia" w:eastAsiaTheme="minorEastAsia" w:cstheme="minorEastAsia"/>
          <w:color w:val="1F2329"/>
          <w:sz w:val="32"/>
          <w:szCs w:val="32"/>
          <w:highlight w:val="none"/>
          <w:lang w:val="en-US" w:eastAsia="zh-CN"/>
        </w:rPr>
      </w:pPr>
      <w:r>
        <w:rPr>
          <w:rFonts w:hint="eastAsia" w:asciiTheme="minorEastAsia" w:hAnsiTheme="minorEastAsia" w:eastAsiaTheme="minorEastAsia" w:cstheme="minorEastAsia"/>
          <w:color w:val="1F2329"/>
          <w:sz w:val="32"/>
          <w:szCs w:val="32"/>
          <w:highlight w:val="none"/>
          <w:lang w:val="en-US" w:eastAsia="zh-CN"/>
        </w:rPr>
        <w:t>（6）熟练掌握群众工作技能，妥善处理各项突发事件。</w:t>
      </w:r>
    </w:p>
    <w:p w14:paraId="18AB441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40" w:firstLineChars="200"/>
        <w:jc w:val="both"/>
        <w:rPr>
          <w:rFonts w:hint="eastAsia" w:asciiTheme="minorEastAsia" w:hAnsiTheme="minorEastAsia" w:eastAsiaTheme="minorEastAsia" w:cstheme="minorEastAsia"/>
          <w:color w:val="1F2329"/>
          <w:sz w:val="32"/>
          <w:szCs w:val="32"/>
          <w:highlight w:val="none"/>
          <w:lang w:val="en-US" w:eastAsia="zh-CN"/>
        </w:rPr>
      </w:pPr>
      <w:r>
        <w:rPr>
          <w:rFonts w:hint="eastAsia" w:asciiTheme="minorEastAsia" w:hAnsiTheme="minorEastAsia" w:eastAsiaTheme="minorEastAsia" w:cstheme="minorEastAsia"/>
          <w:color w:val="1F2329"/>
          <w:sz w:val="32"/>
          <w:szCs w:val="32"/>
          <w:highlight w:val="none"/>
          <w:lang w:val="en-US" w:eastAsia="zh-CN"/>
        </w:rPr>
        <w:t>（7）有政务服务、文字综合岗位经历、短视频拍摄、讲解经验、手语等特长的优先录取。</w:t>
      </w:r>
    </w:p>
    <w:p w14:paraId="2C8B406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40" w:firstLineChars="200"/>
        <w:jc w:val="both"/>
        <w:rPr>
          <w:rFonts w:hint="eastAsia" w:asciiTheme="minorEastAsia" w:hAnsiTheme="minorEastAsia" w:eastAsiaTheme="minorEastAsia" w:cstheme="minorEastAsia"/>
          <w:color w:val="1F2329"/>
          <w:sz w:val="32"/>
          <w:szCs w:val="32"/>
          <w:highlight w:val="none"/>
          <w:lang w:val="en-US" w:eastAsia="zh-CN"/>
        </w:rPr>
      </w:pPr>
      <w:r>
        <w:rPr>
          <w:rFonts w:hint="eastAsia" w:asciiTheme="minorEastAsia" w:hAnsiTheme="minorEastAsia" w:eastAsiaTheme="minorEastAsia" w:cstheme="minorEastAsia"/>
          <w:color w:val="1F2329"/>
          <w:sz w:val="32"/>
          <w:szCs w:val="32"/>
          <w:highlight w:val="none"/>
          <w:lang w:val="en-US" w:eastAsia="zh-CN"/>
        </w:rPr>
        <w:t>（8）身体健康、心理素质稳定、学习能力强，能熟练掌握岗位所需技能，普通话标准，具有良好的言语理解与表达能力。</w:t>
      </w:r>
    </w:p>
    <w:p w14:paraId="3F5F6B7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200" w:right="0" w:rightChars="0"/>
        <w:jc w:val="both"/>
        <w:rPr>
          <w:rFonts w:hint="eastAsia" w:asciiTheme="minorEastAsia" w:hAnsiTheme="minorEastAsia" w:eastAsiaTheme="minorEastAsia" w:cstheme="minorEastAsia"/>
          <w:color w:val="1F2329"/>
          <w:sz w:val="32"/>
          <w:szCs w:val="32"/>
          <w:highlight w:val="none"/>
          <w:lang w:val="en-US" w:eastAsia="zh-CN"/>
        </w:rPr>
      </w:pPr>
      <w:r>
        <w:rPr>
          <w:rFonts w:hint="eastAsia" w:asciiTheme="minorEastAsia" w:hAnsiTheme="minorEastAsia" w:eastAsiaTheme="minorEastAsia" w:cstheme="minorEastAsia"/>
          <w:color w:val="1F2329"/>
          <w:sz w:val="32"/>
          <w:szCs w:val="32"/>
          <w:highlight w:val="none"/>
          <w:lang w:val="en-US" w:eastAsia="zh-CN"/>
        </w:rPr>
        <w:t>2. 食堂后勤服务人员资格要求</w:t>
      </w:r>
    </w:p>
    <w:p w14:paraId="6DC559C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40" w:firstLineChars="200"/>
        <w:jc w:val="both"/>
        <w:rPr>
          <w:rFonts w:hint="eastAsia" w:asciiTheme="minorEastAsia" w:hAnsiTheme="minorEastAsia" w:eastAsiaTheme="minorEastAsia" w:cstheme="minorEastAsia"/>
          <w:color w:val="1F2329"/>
          <w:sz w:val="32"/>
          <w:szCs w:val="32"/>
          <w:highlight w:val="none"/>
          <w:lang w:val="en-US" w:eastAsia="zh-CN"/>
        </w:rPr>
      </w:pPr>
      <w:r>
        <w:rPr>
          <w:rFonts w:hint="eastAsia" w:asciiTheme="minorEastAsia" w:hAnsiTheme="minorEastAsia" w:eastAsiaTheme="minorEastAsia" w:cstheme="minorEastAsia"/>
          <w:color w:val="1F2329"/>
          <w:sz w:val="32"/>
          <w:szCs w:val="32"/>
          <w:highlight w:val="none"/>
          <w:lang w:val="en-US" w:eastAsia="zh-CN"/>
        </w:rPr>
        <w:t>（1）拥护中国共产党的领导，热爱社会主义，品行端正，无违法违纪记录、无食品安全相关不良从业记录。</w:t>
      </w:r>
    </w:p>
    <w:p w14:paraId="42A8FB1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40" w:firstLineChars="200"/>
        <w:jc w:val="both"/>
        <w:rPr>
          <w:rFonts w:hint="eastAsia" w:asciiTheme="minorEastAsia" w:hAnsiTheme="minorEastAsia" w:eastAsiaTheme="minorEastAsia" w:cstheme="minorEastAsia"/>
          <w:color w:val="1F2329"/>
          <w:sz w:val="32"/>
          <w:szCs w:val="32"/>
          <w:highlight w:val="none"/>
          <w:lang w:val="en-US" w:eastAsia="zh-CN"/>
        </w:rPr>
      </w:pPr>
      <w:r>
        <w:rPr>
          <w:rFonts w:hint="eastAsia" w:asciiTheme="minorEastAsia" w:hAnsiTheme="minorEastAsia" w:eastAsiaTheme="minorEastAsia" w:cstheme="minorEastAsia"/>
          <w:color w:val="1F2329"/>
          <w:sz w:val="32"/>
          <w:szCs w:val="32"/>
          <w:highlight w:val="none"/>
          <w:lang w:val="en-US" w:eastAsia="zh-CN"/>
        </w:rPr>
        <w:t>（2）工作认真负责、责任心强，服从管理，具有良好的服务意识和团队协作能力，严格遵守食堂各项管理制度和食品安全操作规范。</w:t>
      </w:r>
    </w:p>
    <w:p w14:paraId="3EA898F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40" w:firstLineChars="200"/>
        <w:jc w:val="both"/>
        <w:rPr>
          <w:rFonts w:hint="eastAsia" w:asciiTheme="minorEastAsia" w:hAnsiTheme="minorEastAsia" w:eastAsiaTheme="minorEastAsia" w:cstheme="minorEastAsia"/>
          <w:color w:val="1F2329"/>
          <w:sz w:val="32"/>
          <w:szCs w:val="32"/>
          <w:highlight w:val="none"/>
          <w:lang w:val="en-US" w:eastAsia="zh-CN"/>
        </w:rPr>
      </w:pPr>
      <w:r>
        <w:rPr>
          <w:rFonts w:hint="eastAsia" w:asciiTheme="minorEastAsia" w:hAnsiTheme="minorEastAsia" w:eastAsiaTheme="minorEastAsia" w:cstheme="minorEastAsia"/>
          <w:color w:val="1F2329"/>
          <w:sz w:val="32"/>
          <w:szCs w:val="32"/>
          <w:highlight w:val="none"/>
          <w:lang w:val="en-US" w:eastAsia="zh-CN"/>
        </w:rPr>
        <w:t>（3）厨师岗位需具备相应的厨师从业资格证书，熟练掌握家常菜、工作餐制作技巧，能合理搭配膳食，兼顾营养与口味；食材管控、保洁等岗位需具备相应岗位从业能力，熟悉食材验收、储存及卫生消杀流程。</w:t>
      </w:r>
    </w:p>
    <w:p w14:paraId="64D51CC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40" w:firstLineChars="200"/>
        <w:jc w:val="both"/>
        <w:rPr>
          <w:rFonts w:hint="eastAsia" w:asciiTheme="minorEastAsia" w:hAnsiTheme="minorEastAsia" w:eastAsiaTheme="minorEastAsia" w:cstheme="minorEastAsia"/>
          <w:color w:val="1F2329"/>
          <w:sz w:val="32"/>
          <w:szCs w:val="32"/>
          <w:highlight w:val="none"/>
          <w:lang w:val="en-US" w:eastAsia="zh-CN"/>
        </w:rPr>
      </w:pPr>
      <w:r>
        <w:rPr>
          <w:rFonts w:hint="eastAsia" w:asciiTheme="minorEastAsia" w:hAnsiTheme="minorEastAsia" w:eastAsiaTheme="minorEastAsia" w:cstheme="minorEastAsia"/>
          <w:color w:val="1F2329"/>
          <w:sz w:val="32"/>
          <w:szCs w:val="32"/>
          <w:highlight w:val="none"/>
          <w:lang w:val="en-US" w:eastAsia="zh-CN"/>
        </w:rPr>
        <w:t>（4）所有食堂从业人员须持有效健康证明上岗，每年进行一次健康体检，体检不合格者立即暂停上岗并予以调整。</w:t>
      </w:r>
    </w:p>
    <w:p w14:paraId="2621C18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40" w:firstLineChars="200"/>
        <w:jc w:val="both"/>
        <w:rPr>
          <w:rFonts w:hint="eastAsia" w:asciiTheme="minorEastAsia" w:hAnsiTheme="minorEastAsia" w:eastAsiaTheme="minorEastAsia" w:cstheme="minorEastAsia"/>
          <w:color w:val="1F2329"/>
          <w:sz w:val="32"/>
          <w:szCs w:val="32"/>
          <w:highlight w:val="none"/>
          <w:lang w:val="en-US" w:eastAsia="zh-CN"/>
        </w:rPr>
      </w:pPr>
      <w:r>
        <w:rPr>
          <w:rFonts w:hint="eastAsia" w:asciiTheme="minorEastAsia" w:hAnsiTheme="minorEastAsia" w:eastAsiaTheme="minorEastAsia" w:cstheme="minorEastAsia"/>
          <w:color w:val="1F2329"/>
          <w:sz w:val="32"/>
          <w:szCs w:val="32"/>
          <w:highlight w:val="none"/>
          <w:lang w:val="en-US" w:eastAsia="zh-CN"/>
        </w:rPr>
        <w:t>（5）具备基本的沟通能力和应急处置能力，能妥善处理就餐过程中的简单突发问题，严格遵守食品安全保密相关要求。</w:t>
      </w:r>
    </w:p>
    <w:p w14:paraId="0BCA2B5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40" w:firstLineChars="200"/>
        <w:jc w:val="both"/>
        <w:rPr>
          <w:rFonts w:hint="eastAsia" w:asciiTheme="minorEastAsia" w:hAnsiTheme="minorEastAsia" w:eastAsiaTheme="minorEastAsia" w:cstheme="minorEastAsia"/>
          <w:color w:val="1F2329"/>
          <w:sz w:val="32"/>
          <w:szCs w:val="32"/>
          <w:highlight w:val="none"/>
          <w:lang w:val="en-US" w:eastAsia="zh-CN"/>
        </w:rPr>
      </w:pPr>
      <w:r>
        <w:rPr>
          <w:rFonts w:hint="eastAsia" w:asciiTheme="minorEastAsia" w:hAnsiTheme="minorEastAsia" w:eastAsiaTheme="minorEastAsia" w:cstheme="minorEastAsia"/>
          <w:color w:val="1F2329"/>
          <w:sz w:val="32"/>
          <w:szCs w:val="32"/>
          <w:highlight w:val="none"/>
          <w:lang w:val="en-US" w:eastAsia="zh-CN"/>
        </w:rPr>
        <w:t>（6）身体健康，无传染性疾病、精神类疾病等不适宜从事餐饮服务的疾病，服从采购人及供应商的日常管理和岗位调配。</w:t>
      </w:r>
    </w:p>
    <w:p w14:paraId="64FF812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200" w:right="0" w:rightChars="0"/>
        <w:jc w:val="both"/>
        <w:rPr>
          <w:rFonts w:hint="eastAsia" w:asciiTheme="minorEastAsia" w:hAnsiTheme="minorEastAsia" w:eastAsiaTheme="minorEastAsia" w:cstheme="minorEastAsia"/>
          <w:color w:val="1F2329"/>
          <w:sz w:val="32"/>
          <w:szCs w:val="32"/>
          <w:highlight w:val="none"/>
          <w:lang w:val="en-US" w:eastAsia="zh-CN"/>
        </w:rPr>
      </w:pPr>
      <w:r>
        <w:rPr>
          <w:rFonts w:hint="eastAsia" w:asciiTheme="minorEastAsia" w:hAnsiTheme="minorEastAsia" w:eastAsiaTheme="minorEastAsia" w:cstheme="minorEastAsia"/>
          <w:color w:val="1F2329"/>
          <w:sz w:val="32"/>
          <w:szCs w:val="32"/>
          <w:highlight w:val="none"/>
          <w:lang w:val="en-US" w:eastAsia="zh-CN"/>
        </w:rPr>
        <w:t>（十）管理要求</w:t>
      </w:r>
    </w:p>
    <w:p w14:paraId="12F6B3A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40" w:firstLineChars="200"/>
        <w:jc w:val="both"/>
        <w:rPr>
          <w:rFonts w:hint="eastAsia" w:asciiTheme="minorEastAsia" w:hAnsiTheme="minorEastAsia" w:eastAsiaTheme="minorEastAsia" w:cstheme="minorEastAsia"/>
          <w:color w:val="1F2329"/>
          <w:sz w:val="32"/>
          <w:szCs w:val="32"/>
          <w:highlight w:val="none"/>
          <w:lang w:val="en-US" w:eastAsia="zh-CN"/>
        </w:rPr>
      </w:pPr>
      <w:r>
        <w:rPr>
          <w:rFonts w:hint="eastAsia" w:asciiTheme="minorEastAsia" w:hAnsiTheme="minorEastAsia" w:eastAsiaTheme="minorEastAsia" w:cstheme="minorEastAsia"/>
          <w:color w:val="1F2329"/>
          <w:sz w:val="32"/>
          <w:szCs w:val="32"/>
          <w:highlight w:val="none"/>
          <w:lang w:val="en-US" w:eastAsia="zh-CN"/>
        </w:rPr>
        <w:t>1. 由供应商负责与综合窗口服务人员、食堂后勤服务人员分别签订劳动合同，确立劳动关系，明确双方权利义务，合同内容需符合相关法律法规及本项目服务要求。</w:t>
      </w:r>
    </w:p>
    <w:p w14:paraId="5828923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40" w:firstLineChars="200"/>
        <w:jc w:val="both"/>
        <w:rPr>
          <w:rFonts w:hint="eastAsia" w:asciiTheme="minorEastAsia" w:hAnsiTheme="minorEastAsia" w:eastAsiaTheme="minorEastAsia" w:cstheme="minorEastAsia"/>
          <w:color w:val="1F2329"/>
          <w:sz w:val="32"/>
          <w:szCs w:val="32"/>
          <w:highlight w:val="none"/>
          <w:lang w:val="en-US" w:eastAsia="zh-CN"/>
        </w:rPr>
      </w:pPr>
      <w:r>
        <w:rPr>
          <w:rFonts w:hint="eastAsia" w:asciiTheme="minorEastAsia" w:hAnsiTheme="minorEastAsia" w:eastAsiaTheme="minorEastAsia" w:cstheme="minorEastAsia"/>
          <w:color w:val="1F2329"/>
          <w:sz w:val="32"/>
          <w:szCs w:val="32"/>
          <w:highlight w:val="none"/>
          <w:lang w:val="en-US" w:eastAsia="zh-CN"/>
        </w:rPr>
        <w:t>2. 由供应商负责综合窗口服务人员、食堂后勤服务人员的招聘、培训、考勤、薪酬福利管理、社保缴纳及个税代扣代缴等；针对食堂服务人员，额外开展常态化食品安全培训、操作规范培训，定期组织考核，提升服务质量。</w:t>
      </w:r>
    </w:p>
    <w:p w14:paraId="78AEB40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40" w:firstLineChars="200"/>
        <w:jc w:val="both"/>
        <w:rPr>
          <w:rFonts w:hint="eastAsia" w:asciiTheme="minorEastAsia" w:hAnsiTheme="minorEastAsia" w:eastAsiaTheme="minorEastAsia" w:cstheme="minorEastAsia"/>
          <w:color w:val="1F2329"/>
          <w:sz w:val="32"/>
          <w:szCs w:val="32"/>
          <w:highlight w:val="none"/>
          <w:lang w:val="en-US" w:eastAsia="zh-CN"/>
        </w:rPr>
      </w:pPr>
      <w:r>
        <w:rPr>
          <w:rFonts w:hint="eastAsia" w:asciiTheme="minorEastAsia" w:hAnsiTheme="minorEastAsia" w:eastAsiaTheme="minorEastAsia" w:cstheme="minorEastAsia"/>
          <w:color w:val="1F2329"/>
          <w:sz w:val="32"/>
          <w:szCs w:val="32"/>
          <w:highlight w:val="none"/>
          <w:lang w:val="en-US" w:eastAsia="zh-CN"/>
        </w:rPr>
        <w:t>3. 由供应商负责处理综合窗口服务人员、食堂后勤服务人员提出的劳动争议、劳动仲裁、诉讼纠纷等事宜，妥善处置各类用工问题，不得影响项目正常服务。</w:t>
      </w:r>
    </w:p>
    <w:p w14:paraId="457F592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40" w:firstLineChars="200"/>
        <w:jc w:val="both"/>
        <w:rPr>
          <w:rFonts w:hint="eastAsia" w:asciiTheme="minorEastAsia" w:hAnsiTheme="minorEastAsia" w:eastAsiaTheme="minorEastAsia" w:cstheme="minorEastAsia"/>
          <w:color w:val="1F2329"/>
          <w:sz w:val="32"/>
          <w:szCs w:val="32"/>
          <w:highlight w:val="none"/>
          <w:lang w:val="en-US" w:eastAsia="zh-CN"/>
        </w:rPr>
      </w:pPr>
      <w:r>
        <w:rPr>
          <w:rFonts w:hint="eastAsia" w:asciiTheme="minorEastAsia" w:hAnsiTheme="minorEastAsia" w:eastAsiaTheme="minorEastAsia" w:cstheme="minorEastAsia"/>
          <w:color w:val="1F2329"/>
          <w:sz w:val="32"/>
          <w:szCs w:val="32"/>
          <w:highlight w:val="none"/>
          <w:lang w:val="en-US" w:eastAsia="zh-CN"/>
        </w:rPr>
        <w:t>4. 由供应商负责本项目综合窗口服务团队和食堂后勤服务团队的建设与日常管理，建立健全两类团队的管理制度，加强日常巡查监管，及时整改服务中的问题。</w:t>
      </w:r>
    </w:p>
    <w:p w14:paraId="3CCC453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40" w:firstLineChars="200"/>
        <w:jc w:val="both"/>
        <w:rPr>
          <w:rFonts w:hint="eastAsia" w:asciiTheme="minorEastAsia" w:hAnsiTheme="minorEastAsia" w:eastAsiaTheme="minorEastAsia" w:cstheme="minorEastAsia"/>
          <w:color w:val="1F2329"/>
          <w:sz w:val="32"/>
          <w:szCs w:val="32"/>
          <w:highlight w:val="none"/>
          <w:lang w:val="en-US" w:eastAsia="zh-CN"/>
        </w:rPr>
      </w:pPr>
      <w:r>
        <w:rPr>
          <w:rFonts w:hint="eastAsia" w:asciiTheme="minorEastAsia" w:hAnsiTheme="minorEastAsia" w:eastAsiaTheme="minorEastAsia" w:cstheme="minorEastAsia"/>
          <w:color w:val="1F2329"/>
          <w:sz w:val="32"/>
          <w:szCs w:val="32"/>
          <w:highlight w:val="none"/>
          <w:lang w:val="en-US" w:eastAsia="zh-CN"/>
        </w:rPr>
        <w:t>5. 相关人员上岗前需签署保密协议，严格遵守采购人的保密规定。</w:t>
      </w:r>
    </w:p>
    <w:p w14:paraId="6F74D5D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40" w:firstLineChars="200"/>
        <w:jc w:val="both"/>
        <w:rPr>
          <w:rFonts w:hint="eastAsia" w:asciiTheme="minorEastAsia" w:hAnsiTheme="minorEastAsia" w:eastAsiaTheme="minorEastAsia" w:cstheme="minorEastAsia"/>
          <w:color w:val="1F2329"/>
          <w:sz w:val="32"/>
          <w:szCs w:val="32"/>
          <w:highlight w:val="none"/>
          <w:lang w:val="en-US" w:eastAsia="zh-CN"/>
        </w:rPr>
      </w:pPr>
      <w:r>
        <w:rPr>
          <w:rFonts w:hint="eastAsia" w:asciiTheme="minorEastAsia" w:hAnsiTheme="minorEastAsia" w:eastAsiaTheme="minorEastAsia" w:cstheme="minorEastAsia"/>
          <w:color w:val="1F2329"/>
          <w:sz w:val="32"/>
          <w:szCs w:val="32"/>
          <w:highlight w:val="none"/>
          <w:lang w:val="en-US" w:eastAsia="zh-CN"/>
        </w:rPr>
        <w:t>6. 供应商需加强食堂食品安全管理，建立健全食品安全管理制度、食材采购验收制度、应急处置制度等，定期开展食品安全自查，每月向采购人报送食堂食品安全检查报告、食材采购台账、消毒记录等相关资料，接受采购人的监督检查。</w:t>
      </w:r>
    </w:p>
    <w:p w14:paraId="3429FFC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200" w:right="0" w:rightChars="0" w:firstLine="640" w:firstLineChars="200"/>
        <w:jc w:val="both"/>
        <w:rPr>
          <w:rFonts w:hint="eastAsia" w:asciiTheme="minorEastAsia" w:hAnsiTheme="minorEastAsia" w:eastAsiaTheme="minorEastAsia" w:cstheme="minorEastAsia"/>
          <w:color w:val="1F2329"/>
          <w:sz w:val="32"/>
          <w:szCs w:val="32"/>
          <w:highlight w:val="none"/>
          <w:lang w:val="en-US" w:eastAsia="zh-CN"/>
        </w:rPr>
      </w:pPr>
      <w:r>
        <w:rPr>
          <w:rFonts w:hint="eastAsia" w:asciiTheme="minorEastAsia" w:hAnsiTheme="minorEastAsia" w:eastAsiaTheme="minorEastAsia" w:cstheme="minorEastAsia"/>
          <w:color w:val="1F2329"/>
          <w:sz w:val="32"/>
          <w:szCs w:val="32"/>
          <w:highlight w:val="none"/>
          <w:lang w:val="en-US" w:eastAsia="zh-CN"/>
        </w:rPr>
        <w:t>五、商务服务要求</w:t>
      </w:r>
    </w:p>
    <w:p w14:paraId="4C8A189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200" w:right="0" w:rightChars="0" w:firstLine="640" w:firstLineChars="200"/>
        <w:jc w:val="both"/>
        <w:rPr>
          <w:rFonts w:hint="eastAsia" w:asciiTheme="minorEastAsia" w:hAnsiTheme="minorEastAsia" w:eastAsiaTheme="minorEastAsia" w:cstheme="minorEastAsia"/>
          <w:color w:val="1F2329"/>
          <w:sz w:val="32"/>
          <w:szCs w:val="32"/>
          <w:highlight w:val="none"/>
          <w:lang w:val="en-US" w:eastAsia="zh-CN"/>
        </w:rPr>
      </w:pPr>
      <w:r>
        <w:rPr>
          <w:rFonts w:hint="eastAsia" w:asciiTheme="minorEastAsia" w:hAnsiTheme="minorEastAsia" w:eastAsiaTheme="minorEastAsia" w:cstheme="minorEastAsia"/>
          <w:color w:val="1F2329"/>
          <w:sz w:val="32"/>
          <w:szCs w:val="32"/>
          <w:highlight w:val="none"/>
          <w:lang w:val="en-US" w:eastAsia="zh-CN"/>
        </w:rPr>
        <w:t>（一）本项目的采购金额最高限价286.57万元/年（含人员成本、管理费、税费）。人员成本（工资、社保、公积金等）据实按月结算，管理费最高限价为人员成本的6%，税费按6%依法计取。</w:t>
      </w:r>
    </w:p>
    <w:p w14:paraId="74606F8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200" w:right="0" w:rightChars="0" w:firstLine="640" w:firstLineChars="200"/>
        <w:jc w:val="both"/>
        <w:rPr>
          <w:rFonts w:hint="eastAsia" w:asciiTheme="minorEastAsia" w:hAnsiTheme="minorEastAsia" w:eastAsiaTheme="minorEastAsia" w:cstheme="minorEastAsia"/>
          <w:color w:val="1F2329"/>
          <w:sz w:val="32"/>
          <w:szCs w:val="32"/>
          <w:highlight w:val="none"/>
          <w:lang w:val="en-US" w:eastAsia="zh-CN"/>
        </w:rPr>
      </w:pPr>
      <w:r>
        <w:rPr>
          <w:rFonts w:hint="eastAsia" w:asciiTheme="minorEastAsia" w:hAnsiTheme="minorEastAsia" w:eastAsiaTheme="minorEastAsia" w:cstheme="minorEastAsia"/>
          <w:color w:val="1F2329"/>
          <w:sz w:val="32"/>
          <w:szCs w:val="32"/>
          <w:highlight w:val="none"/>
          <w:lang w:val="en-US" w:eastAsia="zh-CN"/>
        </w:rPr>
        <w:t>（二）甲方要求开具发票，乙方须按约提供合法合规发票，并满足甲方付款流程。</w:t>
      </w:r>
    </w:p>
    <w:p w14:paraId="567D99C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200" w:right="0" w:rightChars="0"/>
        <w:jc w:val="both"/>
        <w:rPr>
          <w:rFonts w:hint="default" w:ascii="仿宋_GB2312" w:hAnsi="仿宋_GB2312" w:cs="仿宋_GB2312"/>
          <w:color w:val="1F2329"/>
          <w:sz w:val="32"/>
          <w:szCs w:val="32"/>
          <w:highlight w:val="none"/>
          <w:lang w:val="en-US" w:eastAsia="zh-CN"/>
        </w:rPr>
      </w:pPr>
    </w:p>
    <w:p w14:paraId="2449C7E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200" w:right="0" w:rightChars="0"/>
        <w:jc w:val="both"/>
        <w:rPr>
          <w:rFonts w:hint="default" w:ascii="仿宋_GB2312" w:hAnsi="仿宋_GB2312" w:cs="仿宋_GB2312"/>
          <w:color w:val="1F2329"/>
          <w:sz w:val="32"/>
          <w:szCs w:val="32"/>
          <w:highlight w:val="none"/>
          <w:lang w:val="en-US" w:eastAsia="zh-CN"/>
        </w:rPr>
      </w:pPr>
    </w:p>
    <w:p w14:paraId="1538F1F4">
      <w:pPr>
        <w:rPr>
          <w:rStyle w:val="66"/>
          <w:rFonts w:hint="eastAsia" w:eastAsia="宋体"/>
          <w:highlight w:val="none"/>
          <w:lang w:val="en-US" w:eastAsia="zh-CN"/>
        </w:rPr>
      </w:pPr>
    </w:p>
    <w:p w14:paraId="0832F43A">
      <w:pPr>
        <w:pStyle w:val="6"/>
        <w:rPr>
          <w:rFonts w:hint="eastAsia"/>
          <w:highlight w:val="none"/>
        </w:rPr>
      </w:pPr>
    </w:p>
    <w:p w14:paraId="031A2788">
      <w:pPr>
        <w:rPr>
          <w:rFonts w:hint="eastAsia"/>
          <w:highlight w:val="none"/>
        </w:rPr>
      </w:pPr>
    </w:p>
    <w:bookmarkEnd w:id="105"/>
    <w:bookmarkEnd w:id="106"/>
    <w:bookmarkEnd w:id="107"/>
    <w:p w14:paraId="01CADEEC">
      <w:pPr>
        <w:rPr>
          <w:rStyle w:val="66"/>
          <w:rFonts w:hint="eastAsia"/>
          <w:highlight w:val="none"/>
        </w:rPr>
      </w:pPr>
      <w:r>
        <w:rPr>
          <w:rStyle w:val="66"/>
          <w:rFonts w:hint="eastAsia"/>
          <w:highlight w:val="none"/>
        </w:rPr>
        <w:br w:type="page"/>
      </w:r>
    </w:p>
    <w:p w14:paraId="693AC933">
      <w:pPr>
        <w:numPr>
          <w:ilvl w:val="0"/>
          <w:numId w:val="9"/>
        </w:numPr>
        <w:bidi w:val="0"/>
        <w:jc w:val="center"/>
        <w:outlineLvl w:val="0"/>
        <w:rPr>
          <w:rStyle w:val="66"/>
          <w:rFonts w:hint="eastAsia"/>
          <w:highlight w:val="none"/>
        </w:rPr>
      </w:pPr>
      <w:r>
        <w:rPr>
          <w:rStyle w:val="66"/>
          <w:rFonts w:hint="eastAsia"/>
          <w:highlight w:val="none"/>
        </w:rPr>
        <w:t>投标文件格式</w:t>
      </w:r>
    </w:p>
    <w:p w14:paraId="215F7C2C">
      <w:pPr>
        <w:pStyle w:val="45"/>
        <w:widowControl w:val="0"/>
        <w:numPr>
          <w:ilvl w:val="0"/>
          <w:numId w:val="0"/>
        </w:numPr>
        <w:spacing w:after="120" w:afterLines="0"/>
        <w:jc w:val="both"/>
        <w:rPr>
          <w:highlight w:val="none"/>
        </w:rPr>
      </w:pPr>
    </w:p>
    <w:p w14:paraId="00D19755">
      <w:pPr>
        <w:jc w:val="right"/>
        <w:rPr>
          <w:rFonts w:hint="eastAsia" w:ascii="宋体" w:hAnsi="宋体"/>
          <w:b/>
          <w:color w:val="auto"/>
          <w:sz w:val="44"/>
          <w:szCs w:val="36"/>
          <w:highlight w:val="none"/>
        </w:rPr>
      </w:pPr>
      <w:r>
        <w:rPr>
          <w:rFonts w:hint="eastAsia" w:ascii="宋体" w:hAnsi="宋体" w:eastAsia="宋体" w:cs="宋体"/>
          <w:color w:val="auto"/>
          <w:sz w:val="28"/>
          <w:szCs w:val="28"/>
          <w:highlight w:val="none"/>
          <w:u w:val="single"/>
        </w:rPr>
        <w:t>正本或副本</w:t>
      </w:r>
    </w:p>
    <w:p w14:paraId="27206810">
      <w:pPr>
        <w:wordWrap w:val="0"/>
        <w:ind w:firstLine="883" w:firstLineChars="200"/>
        <w:jc w:val="center"/>
        <w:rPr>
          <w:rFonts w:ascii="宋体" w:hAnsi="宋体"/>
          <w:b/>
          <w:color w:val="auto"/>
          <w:sz w:val="44"/>
          <w:szCs w:val="36"/>
          <w:highlight w:val="none"/>
        </w:rPr>
      </w:pPr>
      <w:r>
        <w:rPr>
          <w:rFonts w:hint="eastAsia" w:ascii="宋体" w:hAnsi="宋体"/>
          <w:b/>
          <w:color w:val="auto"/>
          <w:sz w:val="44"/>
          <w:szCs w:val="36"/>
          <w:highlight w:val="none"/>
        </w:rPr>
        <w:t>（项目名称）</w:t>
      </w:r>
    </w:p>
    <w:p w14:paraId="20A29D82">
      <w:pPr>
        <w:wordWrap w:val="0"/>
        <w:ind w:firstLine="1687" w:firstLineChars="200"/>
        <w:jc w:val="center"/>
        <w:rPr>
          <w:rFonts w:hint="eastAsia" w:ascii="宋体" w:hAnsi="宋体"/>
          <w:b/>
          <w:color w:val="auto"/>
          <w:sz w:val="84"/>
          <w:szCs w:val="84"/>
          <w:highlight w:val="none"/>
        </w:rPr>
      </w:pPr>
    </w:p>
    <w:p w14:paraId="6275CAB2">
      <w:pPr>
        <w:wordWrap w:val="0"/>
        <w:ind w:firstLine="2530" w:firstLineChars="300"/>
        <w:jc w:val="both"/>
        <w:rPr>
          <w:rFonts w:ascii="宋体" w:hAnsi="宋体"/>
          <w:b/>
          <w:color w:val="auto"/>
          <w:sz w:val="84"/>
          <w:szCs w:val="84"/>
          <w:highlight w:val="none"/>
        </w:rPr>
      </w:pPr>
      <w:r>
        <w:rPr>
          <w:rFonts w:hint="eastAsia" w:ascii="宋体" w:hAnsi="宋体"/>
          <w:b/>
          <w:color w:val="auto"/>
          <w:sz w:val="84"/>
          <w:szCs w:val="84"/>
          <w:highlight w:val="none"/>
        </w:rPr>
        <w:t>投 标 文 件</w:t>
      </w:r>
    </w:p>
    <w:p w14:paraId="51E25EFD">
      <w:pPr>
        <w:wordWrap w:val="0"/>
        <w:ind w:firstLine="562" w:firstLineChars="200"/>
        <w:rPr>
          <w:rFonts w:hint="eastAsia" w:ascii="宋体" w:hAnsi="宋体" w:cs="宋体"/>
          <w:b/>
          <w:color w:val="auto"/>
          <w:sz w:val="28"/>
          <w:szCs w:val="28"/>
          <w:highlight w:val="none"/>
        </w:rPr>
      </w:pPr>
    </w:p>
    <w:p w14:paraId="3EDB3449">
      <w:pPr>
        <w:pStyle w:val="45"/>
        <w:rPr>
          <w:rFonts w:hint="eastAsia" w:ascii="宋体" w:hAnsi="宋体" w:cs="宋体"/>
          <w:b/>
          <w:color w:val="auto"/>
          <w:sz w:val="28"/>
          <w:szCs w:val="28"/>
          <w:highlight w:val="none"/>
        </w:rPr>
      </w:pPr>
    </w:p>
    <w:p w14:paraId="6646C415">
      <w:pPr>
        <w:pStyle w:val="45"/>
        <w:rPr>
          <w:rFonts w:hint="eastAsia" w:ascii="宋体" w:hAnsi="宋体" w:cs="宋体"/>
          <w:b/>
          <w:color w:val="auto"/>
          <w:sz w:val="28"/>
          <w:szCs w:val="28"/>
          <w:highlight w:val="none"/>
        </w:rPr>
      </w:pPr>
    </w:p>
    <w:p w14:paraId="347CE8A9">
      <w:pPr>
        <w:pStyle w:val="45"/>
        <w:ind w:left="0" w:leftChars="0" w:firstLine="0" w:firstLineChars="0"/>
        <w:rPr>
          <w:rFonts w:hint="eastAsia" w:ascii="宋体" w:hAnsi="宋体" w:cs="宋体"/>
          <w:b/>
          <w:color w:val="auto"/>
          <w:sz w:val="28"/>
          <w:szCs w:val="28"/>
          <w:highlight w:val="none"/>
        </w:rPr>
      </w:pPr>
    </w:p>
    <w:p w14:paraId="393195BF">
      <w:pPr>
        <w:wordWrap w:val="0"/>
        <w:ind w:firstLine="562" w:firstLineChars="200"/>
        <w:rPr>
          <w:rFonts w:hint="eastAsia" w:ascii="宋体" w:hAnsi="宋体" w:cs="宋体"/>
          <w:b/>
          <w:color w:val="auto"/>
          <w:sz w:val="28"/>
          <w:szCs w:val="28"/>
          <w:highlight w:val="none"/>
        </w:rPr>
      </w:pPr>
    </w:p>
    <w:p w14:paraId="26B69CA4">
      <w:pPr>
        <w:pStyle w:val="45"/>
        <w:rPr>
          <w:rFonts w:hint="eastAsia"/>
          <w:highlight w:val="none"/>
        </w:rPr>
      </w:pPr>
    </w:p>
    <w:p w14:paraId="19C8472D">
      <w:pPr>
        <w:wordWrap w:val="0"/>
        <w:ind w:firstLine="562" w:firstLineChars="200"/>
        <w:rPr>
          <w:rFonts w:hint="eastAsia" w:ascii="宋体" w:hAnsi="宋体" w:cs="宋体"/>
          <w:b/>
          <w:color w:val="auto"/>
          <w:sz w:val="28"/>
          <w:szCs w:val="28"/>
          <w:highlight w:val="none"/>
        </w:rPr>
      </w:pPr>
    </w:p>
    <w:p w14:paraId="5362EA63">
      <w:pPr>
        <w:wordWrap w:val="0"/>
        <w:ind w:firstLine="643" w:firstLineChars="200"/>
        <w:rPr>
          <w:rFonts w:ascii="宋体" w:hAnsi="宋体" w:cs="宋体"/>
          <w:b/>
          <w:color w:val="auto"/>
          <w:sz w:val="28"/>
          <w:szCs w:val="28"/>
          <w:highlight w:val="none"/>
        </w:rPr>
      </w:pPr>
      <w:r>
        <w:rPr>
          <w:rFonts w:hint="eastAsia" w:ascii="宋体" w:hAnsi="宋体" w:cs="宋体"/>
          <w:b/>
          <w:color w:val="auto"/>
          <w:sz w:val="32"/>
          <w:szCs w:val="32"/>
          <w:highlight w:val="none"/>
        </w:rPr>
        <w:t>项目编号</w:t>
      </w:r>
      <w:r>
        <w:rPr>
          <w:rFonts w:hint="eastAsia" w:ascii="宋体" w:hAnsi="宋体" w:cs="宋体"/>
          <w:b/>
          <w:color w:val="auto"/>
          <w:sz w:val="28"/>
          <w:szCs w:val="28"/>
          <w:highlight w:val="none"/>
        </w:rPr>
        <w:t>：</w:t>
      </w:r>
    </w:p>
    <w:p w14:paraId="0A76A179">
      <w:pPr>
        <w:wordWrap w:val="0"/>
        <w:spacing w:line="360" w:lineRule="auto"/>
        <w:ind w:firstLine="643" w:firstLineChars="200"/>
        <w:rPr>
          <w:rFonts w:ascii="宋体" w:hAnsi="宋体"/>
          <w:b/>
          <w:color w:val="auto"/>
          <w:sz w:val="32"/>
          <w:szCs w:val="32"/>
          <w:highlight w:val="none"/>
        </w:rPr>
      </w:pPr>
      <w:r>
        <w:rPr>
          <w:rFonts w:hint="eastAsia" w:ascii="宋体" w:hAnsi="宋体"/>
          <w:b/>
          <w:color w:val="auto"/>
          <w:sz w:val="32"/>
          <w:szCs w:val="32"/>
          <w:highlight w:val="none"/>
        </w:rPr>
        <w:t>投标单位：</w:t>
      </w:r>
      <w:r>
        <w:rPr>
          <w:rFonts w:hint="eastAsia" w:ascii="宋体" w:hAnsi="宋体"/>
          <w:b/>
          <w:color w:val="auto"/>
          <w:sz w:val="32"/>
          <w:szCs w:val="32"/>
          <w:highlight w:val="none"/>
          <w:u w:val="single"/>
        </w:rPr>
        <w:t xml:space="preserve">                           （盖章）</w:t>
      </w:r>
    </w:p>
    <w:p w14:paraId="03B2B126">
      <w:pPr>
        <w:wordWrap w:val="0"/>
        <w:spacing w:line="360" w:lineRule="auto"/>
        <w:ind w:firstLine="643" w:firstLineChars="200"/>
        <w:rPr>
          <w:rFonts w:ascii="宋体" w:hAnsi="宋体"/>
          <w:b/>
          <w:color w:val="auto"/>
          <w:sz w:val="32"/>
          <w:szCs w:val="32"/>
          <w:highlight w:val="none"/>
        </w:rPr>
      </w:pPr>
      <w:r>
        <w:rPr>
          <w:rFonts w:hint="eastAsia" w:ascii="宋体" w:hAnsi="宋体"/>
          <w:b/>
          <w:bCs/>
          <w:color w:val="auto"/>
          <w:sz w:val="32"/>
          <w:szCs w:val="32"/>
          <w:highlight w:val="none"/>
        </w:rPr>
        <w:t>法定代表人或委托代理人：</w:t>
      </w:r>
      <w:r>
        <w:rPr>
          <w:rFonts w:hint="eastAsia" w:ascii="宋体" w:hAnsi="宋体"/>
          <w:b/>
          <w:color w:val="auto"/>
          <w:sz w:val="32"/>
          <w:szCs w:val="32"/>
          <w:highlight w:val="none"/>
          <w:u w:val="single"/>
        </w:rPr>
        <w:t xml:space="preserve">             （签字）</w:t>
      </w:r>
    </w:p>
    <w:p w14:paraId="47444416">
      <w:pPr>
        <w:wordWrap w:val="0"/>
        <w:spacing w:line="360" w:lineRule="auto"/>
        <w:ind w:firstLine="643" w:firstLineChars="200"/>
        <w:rPr>
          <w:rFonts w:ascii="宋体" w:hAnsi="宋体"/>
          <w:b/>
          <w:color w:val="auto"/>
          <w:sz w:val="32"/>
          <w:szCs w:val="32"/>
          <w:highlight w:val="none"/>
          <w:u w:val="single"/>
        </w:rPr>
      </w:pPr>
      <w:r>
        <w:rPr>
          <w:rFonts w:hint="eastAsia" w:ascii="宋体" w:hAnsi="宋体"/>
          <w:b/>
          <w:color w:val="auto"/>
          <w:sz w:val="32"/>
          <w:szCs w:val="32"/>
          <w:highlight w:val="none"/>
        </w:rPr>
        <w:t>投标日期：</w:t>
      </w:r>
      <w:r>
        <w:rPr>
          <w:rFonts w:hint="eastAsia" w:ascii="宋体" w:hAnsi="宋体"/>
          <w:b/>
          <w:color w:val="auto"/>
          <w:sz w:val="32"/>
          <w:szCs w:val="32"/>
          <w:highlight w:val="none"/>
          <w:u w:val="single"/>
        </w:rPr>
        <w:t xml:space="preserve">           年       月      日</w:t>
      </w:r>
    </w:p>
    <w:p w14:paraId="08FA8595">
      <w:pPr>
        <w:tabs>
          <w:tab w:val="left" w:pos="1365"/>
        </w:tabs>
        <w:wordWrap w:val="0"/>
        <w:spacing w:line="360" w:lineRule="auto"/>
        <w:ind w:firstLine="723" w:firstLineChars="200"/>
        <w:jc w:val="center"/>
        <w:rPr>
          <w:rFonts w:hint="eastAsia" w:ascii="宋体" w:hAnsi="宋体"/>
          <w:b/>
          <w:color w:val="auto"/>
          <w:sz w:val="36"/>
          <w:szCs w:val="36"/>
          <w:highlight w:val="none"/>
        </w:rPr>
      </w:pPr>
    </w:p>
    <w:p w14:paraId="4EE9E837">
      <w:pPr>
        <w:tabs>
          <w:tab w:val="left" w:pos="1365"/>
        </w:tabs>
        <w:wordWrap w:val="0"/>
        <w:spacing w:line="360" w:lineRule="auto"/>
        <w:ind w:firstLine="723" w:firstLineChars="200"/>
        <w:jc w:val="center"/>
        <w:rPr>
          <w:rFonts w:hint="eastAsia" w:ascii="宋体" w:hAnsi="宋体"/>
          <w:b/>
          <w:color w:val="auto"/>
          <w:sz w:val="36"/>
          <w:szCs w:val="36"/>
          <w:highlight w:val="none"/>
        </w:rPr>
      </w:pPr>
    </w:p>
    <w:p w14:paraId="1B4C022F">
      <w:pPr>
        <w:rPr>
          <w:rFonts w:ascii="宋体" w:hAnsi="宋体"/>
          <w:sz w:val="26"/>
          <w:highlight w:val="none"/>
        </w:rPr>
      </w:pPr>
      <w:r>
        <w:rPr>
          <w:rFonts w:hint="eastAsia" w:ascii="宋体" w:hAnsi="宋体"/>
          <w:b/>
          <w:color w:val="auto"/>
          <w:sz w:val="36"/>
          <w:szCs w:val="36"/>
          <w:highlight w:val="none"/>
        </w:rPr>
        <w:br w:type="page"/>
      </w:r>
    </w:p>
    <w:p w14:paraId="3AE434C9">
      <w:pPr>
        <w:spacing w:line="360" w:lineRule="auto"/>
        <w:rPr>
          <w:rFonts w:ascii="宋体" w:hAnsi="宋体"/>
          <w:sz w:val="26"/>
          <w:highlight w:val="none"/>
        </w:rPr>
      </w:pPr>
      <w:bookmarkStart w:id="108" w:name="_Toc29044"/>
      <w:bookmarkStart w:id="109" w:name="_Toc403382857"/>
      <w:bookmarkStart w:id="110" w:name="_Toc15765"/>
    </w:p>
    <w:p w14:paraId="15B1E500">
      <w:pPr>
        <w:spacing w:line="360" w:lineRule="auto"/>
        <w:rPr>
          <w:rFonts w:ascii="宋体" w:hAnsi="宋体"/>
          <w:sz w:val="26"/>
          <w:highlight w:val="none"/>
        </w:rPr>
      </w:pPr>
    </w:p>
    <w:bookmarkEnd w:id="108"/>
    <w:bookmarkEnd w:id="109"/>
    <w:bookmarkEnd w:id="110"/>
    <w:p w14:paraId="03CD1236">
      <w:pPr>
        <w:widowControl/>
        <w:jc w:val="left"/>
        <w:rPr>
          <w:rFonts w:ascii="宋体" w:hAnsi="宋体"/>
          <w:b/>
          <w:sz w:val="30"/>
          <w:szCs w:val="30"/>
          <w:highlight w:val="none"/>
        </w:rPr>
      </w:pPr>
    </w:p>
    <w:p w14:paraId="14089447">
      <w:pPr>
        <w:spacing w:line="360" w:lineRule="auto"/>
        <w:jc w:val="center"/>
        <w:rPr>
          <w:rFonts w:ascii="宋体" w:hAnsi="宋体"/>
          <w:b/>
          <w:sz w:val="44"/>
          <w:szCs w:val="44"/>
          <w:highlight w:val="none"/>
        </w:rPr>
      </w:pPr>
      <w:r>
        <w:rPr>
          <w:rFonts w:hint="eastAsia" w:ascii="宋体" w:hAnsi="宋体"/>
          <w:b/>
          <w:sz w:val="44"/>
          <w:szCs w:val="44"/>
          <w:highlight w:val="none"/>
        </w:rPr>
        <w:t>一、响应函</w:t>
      </w:r>
    </w:p>
    <w:p w14:paraId="3990B71A">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宋体"/>
          <w:color w:val="000000"/>
          <w:sz w:val="28"/>
          <w:szCs w:val="28"/>
          <w:highlight w:val="none"/>
          <w:lang w:val="en-US" w:eastAsia="zh-CN"/>
        </w:rPr>
      </w:pPr>
      <w:r>
        <w:rPr>
          <w:rFonts w:hint="eastAsia" w:ascii="宋体" w:hAnsi="宋体"/>
          <w:color w:val="000000"/>
          <w:sz w:val="28"/>
          <w:szCs w:val="28"/>
          <w:highlight w:val="none"/>
        </w:rPr>
        <w:t>致：</w:t>
      </w:r>
      <w:r>
        <w:rPr>
          <w:rFonts w:hint="eastAsia" w:ascii="宋体" w:hAnsi="宋体"/>
          <w:color w:val="000000"/>
          <w:sz w:val="28"/>
          <w:szCs w:val="28"/>
          <w:highlight w:val="none"/>
          <w:lang w:val="en-US" w:eastAsia="zh-CN"/>
        </w:rPr>
        <w:t>吉林华誉项目管理有限公司</w:t>
      </w:r>
    </w:p>
    <w:p w14:paraId="3BF50A0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新宋体" w:hAnsi="新宋体" w:eastAsia="新宋体"/>
          <w:color w:val="000000"/>
          <w:sz w:val="28"/>
          <w:szCs w:val="28"/>
          <w:highlight w:val="none"/>
        </w:rPr>
      </w:pPr>
      <w:r>
        <w:rPr>
          <w:rFonts w:hint="eastAsia" w:ascii="新宋体" w:hAnsi="新宋体" w:eastAsia="新宋体"/>
          <w:color w:val="000000"/>
          <w:sz w:val="28"/>
          <w:szCs w:val="28"/>
          <w:highlight w:val="none"/>
        </w:rPr>
        <w:t>根据贵方</w:t>
      </w:r>
      <w:r>
        <w:rPr>
          <w:rFonts w:hint="eastAsia" w:ascii="新宋体" w:hAnsi="新宋体" w:eastAsia="新宋体"/>
          <w:b w:val="0"/>
          <w:bCs/>
          <w:color w:val="000000"/>
          <w:sz w:val="28"/>
          <w:szCs w:val="28"/>
          <w:highlight w:val="none"/>
          <w:lang w:eastAsia="zh-CN"/>
        </w:rPr>
        <w:t>（</w:t>
      </w:r>
      <w:r>
        <w:rPr>
          <w:rFonts w:hint="eastAsia" w:ascii="新宋体" w:hAnsi="新宋体" w:eastAsia="新宋体"/>
          <w:b w:val="0"/>
          <w:bCs/>
          <w:color w:val="000000"/>
          <w:sz w:val="28"/>
          <w:szCs w:val="28"/>
          <w:highlight w:val="none"/>
          <w:lang w:val="en-US" w:eastAsia="zh-CN"/>
        </w:rPr>
        <w:t>项目名称</w:t>
      </w:r>
      <w:r>
        <w:rPr>
          <w:rFonts w:hint="eastAsia" w:ascii="新宋体" w:hAnsi="新宋体" w:eastAsia="新宋体"/>
          <w:b w:val="0"/>
          <w:bCs/>
          <w:color w:val="000000"/>
          <w:sz w:val="28"/>
          <w:szCs w:val="28"/>
          <w:highlight w:val="none"/>
          <w:lang w:eastAsia="zh-CN"/>
        </w:rPr>
        <w:t>）</w:t>
      </w:r>
      <w:r>
        <w:rPr>
          <w:rFonts w:hint="eastAsia" w:ascii="新宋体" w:hAnsi="新宋体" w:eastAsia="新宋体"/>
          <w:b/>
          <w:color w:val="000000"/>
          <w:sz w:val="28"/>
          <w:szCs w:val="28"/>
          <w:highlight w:val="none"/>
          <w:u w:val="single"/>
        </w:rPr>
        <w:t xml:space="preserve">       </w:t>
      </w:r>
      <w:r>
        <w:rPr>
          <w:rFonts w:hint="eastAsia" w:ascii="新宋体" w:hAnsi="新宋体" w:eastAsia="新宋体"/>
          <w:b w:val="0"/>
          <w:bCs/>
          <w:color w:val="000000"/>
          <w:sz w:val="28"/>
          <w:szCs w:val="28"/>
          <w:highlight w:val="none"/>
        </w:rPr>
        <w:t>项目</w:t>
      </w:r>
      <w:r>
        <w:rPr>
          <w:rFonts w:hint="eastAsia" w:ascii="新宋体" w:hAnsi="新宋体" w:eastAsia="新宋体"/>
          <w:color w:val="000000"/>
          <w:sz w:val="28"/>
          <w:szCs w:val="28"/>
          <w:highlight w:val="none"/>
        </w:rPr>
        <w:t>（</w:t>
      </w:r>
      <w:r>
        <w:rPr>
          <w:rFonts w:hint="eastAsia" w:ascii="新宋体" w:hAnsi="新宋体" w:eastAsia="新宋体"/>
          <w:color w:val="000000"/>
          <w:sz w:val="28"/>
          <w:szCs w:val="28"/>
          <w:highlight w:val="none"/>
          <w:lang w:val="en-US" w:eastAsia="zh-CN"/>
        </w:rPr>
        <w:t>项目</w:t>
      </w:r>
      <w:r>
        <w:rPr>
          <w:rFonts w:hint="eastAsia" w:ascii="新宋体" w:hAnsi="新宋体" w:eastAsia="新宋体"/>
          <w:color w:val="000000"/>
          <w:sz w:val="28"/>
          <w:szCs w:val="28"/>
          <w:highlight w:val="none"/>
        </w:rPr>
        <w:t>编号</w:t>
      </w:r>
      <w:r>
        <w:rPr>
          <w:rFonts w:hint="eastAsia" w:ascii="新宋体" w:hAnsi="新宋体" w:eastAsia="新宋体"/>
          <w:b w:val="0"/>
          <w:bCs/>
          <w:color w:val="000000"/>
          <w:sz w:val="28"/>
          <w:szCs w:val="28"/>
          <w:highlight w:val="none"/>
        </w:rPr>
        <w:t>）</w:t>
      </w:r>
      <w:r>
        <w:rPr>
          <w:rFonts w:hint="eastAsia" w:ascii="新宋体" w:hAnsi="新宋体" w:eastAsia="新宋体"/>
          <w:b/>
          <w:color w:val="000000"/>
          <w:sz w:val="28"/>
          <w:szCs w:val="28"/>
          <w:highlight w:val="none"/>
          <w:u w:val="single"/>
        </w:rPr>
        <w:t xml:space="preserve">       </w:t>
      </w:r>
      <w:r>
        <w:rPr>
          <w:rFonts w:hint="eastAsia" w:ascii="新宋体" w:hAnsi="新宋体" w:eastAsia="新宋体"/>
          <w:color w:val="000000"/>
          <w:sz w:val="28"/>
          <w:szCs w:val="28"/>
          <w:highlight w:val="none"/>
        </w:rPr>
        <w:t>的招标邀请，</w:t>
      </w:r>
      <w:r>
        <w:rPr>
          <w:rFonts w:hint="eastAsia" w:ascii="新宋体" w:hAnsi="新宋体" w:eastAsia="新宋体"/>
          <w:color w:val="000000"/>
          <w:sz w:val="28"/>
          <w:szCs w:val="28"/>
          <w:highlight w:val="none"/>
          <w:lang w:eastAsia="zh-CN"/>
        </w:rPr>
        <w:t>正式授权</w:t>
      </w:r>
      <w:r>
        <w:rPr>
          <w:rFonts w:hint="eastAsia" w:ascii="新宋体" w:hAnsi="新宋体" w:eastAsia="新宋体"/>
          <w:color w:val="000000"/>
          <w:sz w:val="28"/>
          <w:szCs w:val="28"/>
          <w:highlight w:val="none"/>
        </w:rPr>
        <w:t>（姓名和职务）</w:t>
      </w:r>
      <w:r>
        <w:rPr>
          <w:rFonts w:hint="eastAsia" w:ascii="新宋体" w:hAnsi="新宋体" w:eastAsia="新宋体"/>
          <w:b/>
          <w:color w:val="000000"/>
          <w:sz w:val="28"/>
          <w:szCs w:val="28"/>
          <w:highlight w:val="none"/>
          <w:u w:val="single"/>
        </w:rPr>
        <w:t xml:space="preserve">         </w:t>
      </w:r>
      <w:r>
        <w:rPr>
          <w:rFonts w:hint="eastAsia" w:ascii="新宋体" w:hAnsi="新宋体" w:eastAsia="新宋体"/>
          <w:color w:val="000000"/>
          <w:sz w:val="28"/>
          <w:szCs w:val="28"/>
          <w:highlight w:val="none"/>
        </w:rPr>
        <w:t>代表投标方（投标单位名称）</w:t>
      </w:r>
      <w:r>
        <w:rPr>
          <w:rFonts w:hint="eastAsia" w:ascii="新宋体" w:hAnsi="新宋体" w:eastAsia="新宋体"/>
          <w:b/>
          <w:color w:val="000000"/>
          <w:sz w:val="28"/>
          <w:szCs w:val="28"/>
          <w:highlight w:val="none"/>
          <w:u w:val="single"/>
        </w:rPr>
        <w:t xml:space="preserve">         </w:t>
      </w:r>
      <w:r>
        <w:rPr>
          <w:rFonts w:hint="eastAsia" w:ascii="新宋体" w:hAnsi="新宋体" w:eastAsia="新宋体"/>
          <w:color w:val="000000"/>
          <w:sz w:val="28"/>
          <w:szCs w:val="28"/>
          <w:highlight w:val="none"/>
        </w:rPr>
        <w:t>，提交投标文件。</w:t>
      </w:r>
    </w:p>
    <w:p w14:paraId="6188F0D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color w:val="000000"/>
          <w:sz w:val="28"/>
          <w:szCs w:val="28"/>
          <w:highlight w:val="none"/>
        </w:rPr>
      </w:pPr>
      <w:r>
        <w:rPr>
          <w:rFonts w:hint="eastAsia" w:ascii="宋体" w:hAnsi="宋体"/>
          <w:color w:val="000000"/>
          <w:sz w:val="28"/>
          <w:szCs w:val="28"/>
          <w:highlight w:val="none"/>
        </w:rPr>
        <w:t>据此函，签字人同意如下：</w:t>
      </w:r>
    </w:p>
    <w:p w14:paraId="5AB05B42">
      <w:pPr>
        <w:keepNext w:val="0"/>
        <w:keepLines w:val="0"/>
        <w:pageBreakBefore w:val="0"/>
        <w:widowControl w:val="0"/>
        <w:numPr>
          <w:ilvl w:val="0"/>
          <w:numId w:val="10"/>
        </w:numPr>
        <w:tabs>
          <w:tab w:val="clear" w:pos="1080"/>
        </w:tabs>
        <w:kinsoku/>
        <w:wordWrap/>
        <w:overflowPunct/>
        <w:topLinePunct w:val="0"/>
        <w:autoSpaceDE/>
        <w:autoSpaceDN/>
        <w:bidi w:val="0"/>
        <w:adjustRightInd/>
        <w:snapToGrid/>
        <w:ind w:left="0" w:leftChars="0" w:firstLine="560" w:firstLineChars="200"/>
        <w:textAlignment w:val="auto"/>
        <w:rPr>
          <w:rFonts w:hint="eastAsia" w:ascii="宋体" w:hAnsi="宋体"/>
          <w:color w:val="000000"/>
          <w:sz w:val="28"/>
          <w:szCs w:val="28"/>
          <w:highlight w:val="none"/>
        </w:rPr>
      </w:pPr>
      <w:r>
        <w:rPr>
          <w:rFonts w:hint="eastAsia" w:ascii="宋体" w:hAnsi="宋体"/>
          <w:color w:val="000000"/>
          <w:sz w:val="28"/>
          <w:szCs w:val="28"/>
          <w:highlight w:val="none"/>
        </w:rPr>
        <w:t>我们已详细审核全部招标文件，并严格按照招标文件要求编制投标书和履行一切必要手续；</w:t>
      </w:r>
    </w:p>
    <w:p w14:paraId="1F47433A">
      <w:pPr>
        <w:keepNext w:val="0"/>
        <w:keepLines w:val="0"/>
        <w:pageBreakBefore w:val="0"/>
        <w:widowControl w:val="0"/>
        <w:numPr>
          <w:ilvl w:val="0"/>
          <w:numId w:val="10"/>
        </w:numPr>
        <w:tabs>
          <w:tab w:val="clear" w:pos="1080"/>
        </w:tabs>
        <w:kinsoku/>
        <w:wordWrap/>
        <w:overflowPunct/>
        <w:topLinePunct w:val="0"/>
        <w:autoSpaceDE/>
        <w:autoSpaceDN/>
        <w:bidi w:val="0"/>
        <w:adjustRightInd/>
        <w:snapToGrid/>
        <w:ind w:left="0" w:leftChars="0" w:firstLine="560" w:firstLineChars="200"/>
        <w:textAlignment w:val="auto"/>
        <w:rPr>
          <w:rFonts w:hint="eastAsia" w:ascii="宋体" w:hAnsi="宋体"/>
          <w:color w:val="000000"/>
          <w:sz w:val="28"/>
          <w:szCs w:val="28"/>
          <w:highlight w:val="none"/>
        </w:rPr>
      </w:pPr>
      <w:r>
        <w:rPr>
          <w:rFonts w:hint="eastAsia" w:ascii="宋体" w:hAnsi="宋体"/>
          <w:color w:val="000000"/>
          <w:sz w:val="28"/>
          <w:szCs w:val="28"/>
          <w:highlight w:val="none"/>
        </w:rPr>
        <w:t>我们如中标后，严格履行招标规定的责任和义务，保证按时签订合同并于合同签字生效后立即开始依合同要求履行相关义务；</w:t>
      </w:r>
    </w:p>
    <w:p w14:paraId="4209EDCF">
      <w:pPr>
        <w:keepNext w:val="0"/>
        <w:keepLines w:val="0"/>
        <w:pageBreakBefore w:val="0"/>
        <w:widowControl w:val="0"/>
        <w:numPr>
          <w:ilvl w:val="0"/>
          <w:numId w:val="10"/>
        </w:numPr>
        <w:tabs>
          <w:tab w:val="clear" w:pos="1080"/>
        </w:tabs>
        <w:kinsoku/>
        <w:wordWrap/>
        <w:overflowPunct/>
        <w:topLinePunct w:val="0"/>
        <w:autoSpaceDE/>
        <w:autoSpaceDN/>
        <w:bidi w:val="0"/>
        <w:adjustRightInd/>
        <w:snapToGrid/>
        <w:ind w:left="0" w:leftChars="0" w:firstLine="560" w:firstLineChars="200"/>
        <w:textAlignment w:val="auto"/>
        <w:rPr>
          <w:rFonts w:hint="eastAsia" w:ascii="宋体" w:hAnsi="宋体"/>
          <w:color w:val="000000"/>
          <w:sz w:val="28"/>
          <w:szCs w:val="28"/>
          <w:highlight w:val="none"/>
        </w:rPr>
      </w:pPr>
      <w:r>
        <w:rPr>
          <w:rFonts w:hint="eastAsia" w:ascii="宋体" w:hAnsi="宋体"/>
          <w:color w:val="000000"/>
          <w:sz w:val="28"/>
          <w:szCs w:val="28"/>
          <w:highlight w:val="none"/>
        </w:rPr>
        <w:t>如果中标签约后，我们有违反合同的行为，同意依照招标文件中关于罚则的规定进行处理；</w:t>
      </w:r>
    </w:p>
    <w:p w14:paraId="3ADD9C1F">
      <w:pPr>
        <w:keepNext w:val="0"/>
        <w:keepLines w:val="0"/>
        <w:pageBreakBefore w:val="0"/>
        <w:widowControl w:val="0"/>
        <w:numPr>
          <w:ilvl w:val="0"/>
          <w:numId w:val="10"/>
        </w:numPr>
        <w:tabs>
          <w:tab w:val="clear" w:pos="1080"/>
        </w:tabs>
        <w:kinsoku/>
        <w:wordWrap/>
        <w:overflowPunct/>
        <w:topLinePunct w:val="0"/>
        <w:autoSpaceDE/>
        <w:autoSpaceDN/>
        <w:bidi w:val="0"/>
        <w:adjustRightInd/>
        <w:snapToGrid/>
        <w:ind w:left="0" w:leftChars="0" w:firstLine="560" w:firstLineChars="200"/>
        <w:textAlignment w:val="auto"/>
        <w:rPr>
          <w:rFonts w:hint="eastAsia" w:ascii="宋体" w:hAnsi="宋体"/>
          <w:color w:val="000000"/>
          <w:sz w:val="28"/>
          <w:szCs w:val="28"/>
          <w:highlight w:val="none"/>
        </w:rPr>
      </w:pPr>
      <w:r>
        <w:rPr>
          <w:rFonts w:hint="eastAsia" w:ascii="宋体" w:hAnsi="宋体"/>
          <w:color w:val="000000"/>
          <w:sz w:val="28"/>
          <w:szCs w:val="28"/>
          <w:highlight w:val="none"/>
        </w:rPr>
        <w:t>同意向贵方提供贵方可能另外要求的与投标有关的任何证据或资料；</w:t>
      </w:r>
    </w:p>
    <w:p w14:paraId="66104177">
      <w:pPr>
        <w:keepNext w:val="0"/>
        <w:keepLines w:val="0"/>
        <w:pageBreakBefore w:val="0"/>
        <w:widowControl w:val="0"/>
        <w:numPr>
          <w:ilvl w:val="0"/>
          <w:numId w:val="10"/>
        </w:numPr>
        <w:tabs>
          <w:tab w:val="clear" w:pos="1080"/>
        </w:tabs>
        <w:kinsoku/>
        <w:wordWrap/>
        <w:overflowPunct/>
        <w:topLinePunct w:val="0"/>
        <w:autoSpaceDE/>
        <w:autoSpaceDN/>
        <w:bidi w:val="0"/>
        <w:adjustRightInd/>
        <w:snapToGrid/>
        <w:ind w:left="0" w:leftChars="0" w:firstLine="560" w:firstLineChars="200"/>
        <w:textAlignment w:val="auto"/>
        <w:rPr>
          <w:rFonts w:hint="eastAsia" w:ascii="宋体" w:hAnsi="宋体"/>
          <w:color w:val="000000"/>
          <w:sz w:val="28"/>
          <w:szCs w:val="28"/>
          <w:highlight w:val="none"/>
        </w:rPr>
      </w:pPr>
      <w:r>
        <w:rPr>
          <w:rFonts w:hint="eastAsia" w:ascii="宋体" w:hAnsi="宋体"/>
          <w:color w:val="000000"/>
          <w:sz w:val="28"/>
          <w:szCs w:val="28"/>
          <w:highlight w:val="none"/>
        </w:rPr>
        <w:t>投标文件所提供的材料全部真实；</w:t>
      </w:r>
    </w:p>
    <w:p w14:paraId="0DE188D2">
      <w:pPr>
        <w:keepNext w:val="0"/>
        <w:keepLines w:val="0"/>
        <w:pageBreakBefore w:val="0"/>
        <w:widowControl w:val="0"/>
        <w:numPr>
          <w:ilvl w:val="0"/>
          <w:numId w:val="10"/>
        </w:numPr>
        <w:tabs>
          <w:tab w:val="clear" w:pos="1080"/>
        </w:tabs>
        <w:kinsoku/>
        <w:wordWrap/>
        <w:overflowPunct/>
        <w:topLinePunct w:val="0"/>
        <w:autoSpaceDE/>
        <w:autoSpaceDN/>
        <w:bidi w:val="0"/>
        <w:adjustRightInd/>
        <w:snapToGrid/>
        <w:ind w:left="0" w:leftChars="0" w:firstLine="560" w:firstLineChars="200"/>
        <w:textAlignment w:val="auto"/>
        <w:rPr>
          <w:rFonts w:hint="eastAsia" w:ascii="宋体" w:hAnsi="宋体"/>
          <w:color w:val="000000"/>
          <w:sz w:val="28"/>
          <w:szCs w:val="28"/>
          <w:highlight w:val="none"/>
        </w:rPr>
      </w:pPr>
      <w:r>
        <w:rPr>
          <w:rFonts w:hint="eastAsia" w:ascii="宋体" w:hAnsi="宋体"/>
          <w:color w:val="000000"/>
          <w:sz w:val="28"/>
          <w:szCs w:val="28"/>
          <w:highlight w:val="none"/>
        </w:rPr>
        <w:t>不以不正当手段诋毁、排挤其他供应商；</w:t>
      </w:r>
    </w:p>
    <w:p w14:paraId="1AE5C729">
      <w:pPr>
        <w:keepNext w:val="0"/>
        <w:keepLines w:val="0"/>
        <w:pageBreakBefore w:val="0"/>
        <w:widowControl w:val="0"/>
        <w:numPr>
          <w:ilvl w:val="0"/>
          <w:numId w:val="10"/>
        </w:numPr>
        <w:tabs>
          <w:tab w:val="clear" w:pos="1080"/>
        </w:tabs>
        <w:kinsoku/>
        <w:wordWrap/>
        <w:overflowPunct/>
        <w:topLinePunct w:val="0"/>
        <w:autoSpaceDE/>
        <w:autoSpaceDN/>
        <w:bidi w:val="0"/>
        <w:adjustRightInd/>
        <w:snapToGrid/>
        <w:ind w:left="0" w:leftChars="0" w:firstLine="560" w:firstLineChars="200"/>
        <w:textAlignment w:val="auto"/>
        <w:rPr>
          <w:rFonts w:hint="eastAsia" w:ascii="宋体" w:hAnsi="宋体"/>
          <w:color w:val="000000"/>
          <w:sz w:val="28"/>
          <w:szCs w:val="28"/>
          <w:highlight w:val="none"/>
        </w:rPr>
      </w:pPr>
      <w:r>
        <w:rPr>
          <w:rFonts w:hint="eastAsia" w:ascii="宋体" w:hAnsi="宋体"/>
          <w:color w:val="000000"/>
          <w:sz w:val="28"/>
          <w:szCs w:val="28"/>
          <w:highlight w:val="none"/>
        </w:rPr>
        <w:t>不与采购人、其他投标人、招标代理机构串通谋取中标；</w:t>
      </w:r>
    </w:p>
    <w:p w14:paraId="1BF455D6">
      <w:pPr>
        <w:keepNext w:val="0"/>
        <w:keepLines w:val="0"/>
        <w:pageBreakBefore w:val="0"/>
        <w:widowControl w:val="0"/>
        <w:numPr>
          <w:ilvl w:val="0"/>
          <w:numId w:val="10"/>
        </w:numPr>
        <w:tabs>
          <w:tab w:val="clear" w:pos="1080"/>
        </w:tabs>
        <w:kinsoku/>
        <w:wordWrap/>
        <w:overflowPunct/>
        <w:topLinePunct w:val="0"/>
        <w:autoSpaceDE/>
        <w:autoSpaceDN/>
        <w:bidi w:val="0"/>
        <w:adjustRightInd/>
        <w:snapToGrid/>
        <w:ind w:left="0" w:leftChars="0" w:firstLine="560" w:firstLineChars="200"/>
        <w:textAlignment w:val="auto"/>
        <w:rPr>
          <w:rFonts w:hint="eastAsia" w:ascii="宋体" w:hAnsi="宋体"/>
          <w:color w:val="000000"/>
          <w:sz w:val="28"/>
          <w:szCs w:val="28"/>
          <w:highlight w:val="none"/>
        </w:rPr>
      </w:pPr>
      <w:r>
        <w:rPr>
          <w:rFonts w:hint="eastAsia" w:ascii="宋体" w:hAnsi="宋体"/>
          <w:color w:val="000000"/>
          <w:sz w:val="28"/>
          <w:szCs w:val="28"/>
          <w:highlight w:val="none"/>
        </w:rPr>
        <w:t>不向采购人、评委、招标代理机构行贿或提供不正当利益，中标后也不向采购人行贿；</w:t>
      </w:r>
    </w:p>
    <w:p w14:paraId="38ADFBAA">
      <w:pPr>
        <w:keepNext w:val="0"/>
        <w:keepLines w:val="0"/>
        <w:pageBreakBefore w:val="0"/>
        <w:widowControl w:val="0"/>
        <w:numPr>
          <w:ilvl w:val="0"/>
          <w:numId w:val="10"/>
        </w:numPr>
        <w:tabs>
          <w:tab w:val="clear" w:pos="1080"/>
        </w:tabs>
        <w:kinsoku/>
        <w:wordWrap/>
        <w:overflowPunct/>
        <w:topLinePunct w:val="0"/>
        <w:autoSpaceDE/>
        <w:autoSpaceDN/>
        <w:bidi w:val="0"/>
        <w:adjustRightInd/>
        <w:snapToGrid/>
        <w:ind w:left="0" w:leftChars="0" w:firstLine="560" w:firstLineChars="200"/>
        <w:textAlignment w:val="auto"/>
        <w:rPr>
          <w:rFonts w:hint="eastAsia" w:ascii="宋体" w:hAnsi="宋体"/>
          <w:color w:val="000000"/>
          <w:sz w:val="28"/>
          <w:szCs w:val="28"/>
          <w:highlight w:val="none"/>
        </w:rPr>
      </w:pPr>
      <w:r>
        <w:rPr>
          <w:rFonts w:hint="eastAsia" w:ascii="宋体" w:hAnsi="宋体"/>
          <w:color w:val="000000"/>
          <w:sz w:val="28"/>
          <w:szCs w:val="28"/>
          <w:highlight w:val="none"/>
        </w:rPr>
        <w:t>自觉遵守政府采购招投标有关工作纪律，不以任何方式干涉招标工作正常进行；</w:t>
      </w:r>
    </w:p>
    <w:p w14:paraId="0604F66B">
      <w:pPr>
        <w:keepNext w:val="0"/>
        <w:keepLines w:val="0"/>
        <w:pageBreakBefore w:val="0"/>
        <w:widowControl w:val="0"/>
        <w:numPr>
          <w:ilvl w:val="0"/>
          <w:numId w:val="10"/>
        </w:numPr>
        <w:tabs>
          <w:tab w:val="clear" w:pos="1080"/>
        </w:tabs>
        <w:kinsoku/>
        <w:wordWrap/>
        <w:overflowPunct/>
        <w:topLinePunct w:val="0"/>
        <w:autoSpaceDE/>
        <w:autoSpaceDN/>
        <w:bidi w:val="0"/>
        <w:adjustRightInd/>
        <w:snapToGrid/>
        <w:ind w:left="0" w:leftChars="0" w:firstLine="560" w:firstLineChars="200"/>
        <w:textAlignment w:val="auto"/>
        <w:rPr>
          <w:rFonts w:hint="eastAsia" w:ascii="宋体" w:hAnsi="宋体"/>
          <w:color w:val="000000"/>
          <w:sz w:val="28"/>
          <w:szCs w:val="28"/>
          <w:highlight w:val="none"/>
        </w:rPr>
      </w:pPr>
      <w:r>
        <w:rPr>
          <w:rFonts w:hint="eastAsia" w:ascii="宋体" w:hAnsi="宋体"/>
          <w:color w:val="000000"/>
          <w:sz w:val="28"/>
          <w:szCs w:val="28"/>
          <w:highlight w:val="none"/>
        </w:rPr>
        <w:t>愿意向贵方提供任何与该项投标有关的数据、情况和技术资料；</w:t>
      </w:r>
    </w:p>
    <w:p w14:paraId="2C988A82">
      <w:pPr>
        <w:keepNext w:val="0"/>
        <w:keepLines w:val="0"/>
        <w:pageBreakBefore w:val="0"/>
        <w:widowControl w:val="0"/>
        <w:numPr>
          <w:ilvl w:val="0"/>
          <w:numId w:val="10"/>
        </w:numPr>
        <w:tabs>
          <w:tab w:val="clear" w:pos="1080"/>
        </w:tabs>
        <w:kinsoku/>
        <w:wordWrap/>
        <w:overflowPunct/>
        <w:topLinePunct w:val="0"/>
        <w:autoSpaceDE/>
        <w:autoSpaceDN/>
        <w:bidi w:val="0"/>
        <w:adjustRightInd/>
        <w:snapToGrid/>
        <w:ind w:left="0" w:leftChars="0" w:firstLine="560" w:firstLineChars="200"/>
        <w:textAlignment w:val="auto"/>
        <w:rPr>
          <w:rFonts w:hint="eastAsia" w:ascii="宋体" w:hAnsi="宋体"/>
          <w:color w:val="000000"/>
          <w:sz w:val="28"/>
          <w:szCs w:val="28"/>
          <w:highlight w:val="none"/>
        </w:rPr>
      </w:pPr>
      <w:r>
        <w:rPr>
          <w:rFonts w:hint="eastAsia" w:ascii="宋体" w:hAnsi="宋体"/>
          <w:color w:val="000000"/>
          <w:sz w:val="28"/>
          <w:szCs w:val="28"/>
          <w:highlight w:val="none"/>
        </w:rPr>
        <w:t>本投标自开标之日起</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天内有效。</w:t>
      </w:r>
    </w:p>
    <w:p w14:paraId="3215E2E4">
      <w:pPr>
        <w:keepNext w:val="0"/>
        <w:keepLines w:val="0"/>
        <w:pageBreakBefore w:val="0"/>
        <w:widowControl w:val="0"/>
        <w:numPr>
          <w:ilvl w:val="0"/>
          <w:numId w:val="10"/>
        </w:numPr>
        <w:tabs>
          <w:tab w:val="clear" w:pos="1080"/>
        </w:tabs>
        <w:kinsoku/>
        <w:wordWrap/>
        <w:overflowPunct/>
        <w:topLinePunct w:val="0"/>
        <w:autoSpaceDE/>
        <w:autoSpaceDN/>
        <w:bidi w:val="0"/>
        <w:adjustRightInd/>
        <w:snapToGrid/>
        <w:ind w:left="0" w:leftChars="0" w:firstLine="560" w:firstLineChars="200"/>
        <w:textAlignment w:val="auto"/>
        <w:rPr>
          <w:rFonts w:hint="eastAsia" w:ascii="宋体" w:hAnsi="宋体"/>
          <w:color w:val="000000"/>
          <w:sz w:val="28"/>
          <w:szCs w:val="28"/>
          <w:highlight w:val="none"/>
        </w:rPr>
      </w:pPr>
      <w:r>
        <w:rPr>
          <w:rFonts w:hint="eastAsia" w:ascii="宋体" w:hAnsi="宋体"/>
          <w:color w:val="000000"/>
          <w:sz w:val="28"/>
          <w:szCs w:val="28"/>
          <w:highlight w:val="none"/>
        </w:rPr>
        <w:t>与本投标有关的正式通讯地址为：</w:t>
      </w:r>
    </w:p>
    <w:p w14:paraId="21F96846">
      <w:pPr>
        <w:keepNext w:val="0"/>
        <w:keepLines w:val="0"/>
        <w:pageBreakBefore w:val="0"/>
        <w:widowControl w:val="0"/>
        <w:kinsoku/>
        <w:wordWrap/>
        <w:overflowPunct/>
        <w:topLinePunct w:val="0"/>
        <w:autoSpaceDE/>
        <w:autoSpaceDN/>
        <w:bidi w:val="0"/>
        <w:adjustRightInd/>
        <w:snapToGrid/>
        <w:ind w:firstLine="560" w:firstLineChars="200"/>
        <w:textAlignment w:val="auto"/>
        <w:rPr>
          <w:color w:val="000000"/>
          <w:sz w:val="28"/>
          <w:szCs w:val="28"/>
          <w:highlight w:val="none"/>
        </w:rPr>
      </w:pPr>
      <w:r>
        <w:rPr>
          <w:rFonts w:hint="eastAsia" w:ascii="宋体" w:hAnsi="宋体"/>
          <w:color w:val="000000"/>
          <w:sz w:val="28"/>
          <w:szCs w:val="28"/>
          <w:highlight w:val="none"/>
        </w:rPr>
        <w:t>地址：</w:t>
      </w:r>
      <w:r>
        <w:rPr>
          <w:color w:val="000000"/>
          <w:sz w:val="28"/>
          <w:szCs w:val="28"/>
          <w:highlight w:val="none"/>
        </w:rPr>
        <w:t>–––––––––––––––––––––––––––––</w:t>
      </w:r>
    </w:p>
    <w:p w14:paraId="2E91D6BA">
      <w:pPr>
        <w:keepNext w:val="0"/>
        <w:keepLines w:val="0"/>
        <w:pageBreakBefore w:val="0"/>
        <w:widowControl w:val="0"/>
        <w:kinsoku/>
        <w:wordWrap/>
        <w:overflowPunct/>
        <w:topLinePunct w:val="0"/>
        <w:autoSpaceDE/>
        <w:autoSpaceDN/>
        <w:bidi w:val="0"/>
        <w:adjustRightInd/>
        <w:snapToGrid/>
        <w:ind w:firstLine="560" w:firstLineChars="200"/>
        <w:textAlignment w:val="auto"/>
        <w:rPr>
          <w:color w:val="000000"/>
          <w:sz w:val="28"/>
          <w:szCs w:val="28"/>
          <w:highlight w:val="none"/>
        </w:rPr>
      </w:pPr>
      <w:r>
        <w:rPr>
          <w:rFonts w:hint="eastAsia"/>
          <w:color w:val="000000"/>
          <w:sz w:val="28"/>
          <w:szCs w:val="28"/>
          <w:highlight w:val="none"/>
        </w:rPr>
        <w:t>邮编：</w:t>
      </w:r>
      <w:r>
        <w:rPr>
          <w:color w:val="000000"/>
          <w:sz w:val="28"/>
          <w:szCs w:val="28"/>
          <w:highlight w:val="none"/>
        </w:rPr>
        <w:t>–––––––––––––––––––––––––––––</w:t>
      </w:r>
    </w:p>
    <w:p w14:paraId="36EC582C">
      <w:pPr>
        <w:keepNext w:val="0"/>
        <w:keepLines w:val="0"/>
        <w:pageBreakBefore w:val="0"/>
        <w:widowControl w:val="0"/>
        <w:kinsoku/>
        <w:wordWrap/>
        <w:overflowPunct/>
        <w:topLinePunct w:val="0"/>
        <w:autoSpaceDE/>
        <w:autoSpaceDN/>
        <w:bidi w:val="0"/>
        <w:adjustRightInd/>
        <w:snapToGrid/>
        <w:ind w:firstLine="560" w:firstLineChars="200"/>
        <w:textAlignment w:val="auto"/>
        <w:rPr>
          <w:color w:val="000000"/>
          <w:sz w:val="28"/>
          <w:szCs w:val="28"/>
          <w:highlight w:val="none"/>
        </w:rPr>
      </w:pPr>
      <w:r>
        <w:rPr>
          <w:rFonts w:hint="eastAsia"/>
          <w:color w:val="000000"/>
          <w:sz w:val="28"/>
          <w:szCs w:val="28"/>
          <w:highlight w:val="none"/>
        </w:rPr>
        <w:t>电话：</w:t>
      </w:r>
      <w:r>
        <w:rPr>
          <w:color w:val="000000"/>
          <w:sz w:val="28"/>
          <w:szCs w:val="28"/>
          <w:highlight w:val="none"/>
        </w:rPr>
        <w:t>–––––––––––––––––––––––––––––</w:t>
      </w:r>
    </w:p>
    <w:p w14:paraId="672A1984">
      <w:pPr>
        <w:keepNext w:val="0"/>
        <w:keepLines w:val="0"/>
        <w:pageBreakBefore w:val="0"/>
        <w:widowControl w:val="0"/>
        <w:kinsoku/>
        <w:wordWrap/>
        <w:overflowPunct/>
        <w:topLinePunct w:val="0"/>
        <w:autoSpaceDE/>
        <w:autoSpaceDN/>
        <w:bidi w:val="0"/>
        <w:adjustRightInd/>
        <w:snapToGrid/>
        <w:ind w:firstLine="560" w:firstLineChars="200"/>
        <w:textAlignment w:val="auto"/>
        <w:rPr>
          <w:color w:val="000000"/>
          <w:sz w:val="28"/>
          <w:szCs w:val="28"/>
          <w:highlight w:val="none"/>
        </w:rPr>
      </w:pPr>
      <w:r>
        <w:rPr>
          <w:rFonts w:hint="eastAsia"/>
          <w:color w:val="000000"/>
          <w:sz w:val="28"/>
          <w:szCs w:val="28"/>
          <w:highlight w:val="none"/>
        </w:rPr>
        <w:t>传真：</w:t>
      </w:r>
      <w:r>
        <w:rPr>
          <w:color w:val="000000"/>
          <w:sz w:val="28"/>
          <w:szCs w:val="28"/>
          <w:highlight w:val="none"/>
        </w:rPr>
        <w:t>–––––––––––––––––––––––––––––</w:t>
      </w:r>
    </w:p>
    <w:p w14:paraId="1070BE54">
      <w:pPr>
        <w:keepNext w:val="0"/>
        <w:keepLines w:val="0"/>
        <w:pageBreakBefore w:val="0"/>
        <w:widowControl w:val="0"/>
        <w:kinsoku/>
        <w:wordWrap/>
        <w:overflowPunct/>
        <w:topLinePunct w:val="0"/>
        <w:autoSpaceDE/>
        <w:autoSpaceDN/>
        <w:bidi w:val="0"/>
        <w:adjustRightInd/>
        <w:snapToGrid/>
        <w:ind w:firstLine="560" w:firstLineChars="200"/>
        <w:textAlignment w:val="auto"/>
        <w:rPr>
          <w:color w:val="000000"/>
          <w:sz w:val="28"/>
          <w:szCs w:val="28"/>
          <w:highlight w:val="none"/>
        </w:rPr>
      </w:pPr>
      <w:r>
        <w:rPr>
          <w:rFonts w:hint="eastAsia"/>
          <w:color w:val="000000"/>
          <w:sz w:val="28"/>
          <w:szCs w:val="28"/>
          <w:highlight w:val="none"/>
        </w:rPr>
        <w:t>投标单位代表姓名（签字</w:t>
      </w:r>
      <w:r>
        <w:rPr>
          <w:rFonts w:hint="eastAsia"/>
          <w:color w:val="000000"/>
          <w:sz w:val="28"/>
          <w:szCs w:val="28"/>
          <w:highlight w:val="none"/>
          <w:lang w:eastAsia="zh-CN"/>
        </w:rPr>
        <w:t>或盖章</w:t>
      </w:r>
      <w:r>
        <w:rPr>
          <w:rFonts w:hint="eastAsia"/>
          <w:color w:val="000000"/>
          <w:sz w:val="28"/>
          <w:szCs w:val="28"/>
          <w:highlight w:val="none"/>
        </w:rPr>
        <w:t>）</w:t>
      </w:r>
      <w:r>
        <w:rPr>
          <w:color w:val="000000"/>
          <w:sz w:val="28"/>
          <w:szCs w:val="28"/>
          <w:highlight w:val="none"/>
        </w:rPr>
        <w:t>–––––––––––</w:t>
      </w:r>
    </w:p>
    <w:p w14:paraId="4712747C">
      <w:pPr>
        <w:keepNext w:val="0"/>
        <w:keepLines w:val="0"/>
        <w:pageBreakBefore w:val="0"/>
        <w:widowControl w:val="0"/>
        <w:kinsoku/>
        <w:wordWrap/>
        <w:overflowPunct/>
        <w:topLinePunct w:val="0"/>
        <w:autoSpaceDE/>
        <w:autoSpaceDN/>
        <w:bidi w:val="0"/>
        <w:adjustRightInd/>
        <w:snapToGrid/>
        <w:ind w:firstLine="560" w:firstLineChars="200"/>
        <w:textAlignment w:val="auto"/>
        <w:rPr>
          <w:color w:val="000000"/>
          <w:sz w:val="28"/>
          <w:szCs w:val="28"/>
          <w:highlight w:val="none"/>
        </w:rPr>
      </w:pPr>
      <w:r>
        <w:rPr>
          <w:rFonts w:hint="eastAsia"/>
          <w:color w:val="000000"/>
          <w:sz w:val="28"/>
          <w:szCs w:val="28"/>
          <w:highlight w:val="none"/>
        </w:rPr>
        <w:t>公章：</w:t>
      </w:r>
      <w:r>
        <w:rPr>
          <w:color w:val="000000"/>
          <w:sz w:val="28"/>
          <w:szCs w:val="28"/>
          <w:highlight w:val="none"/>
        </w:rPr>
        <w:t>–––––––––––––––––––––––––––––</w:t>
      </w:r>
    </w:p>
    <w:p w14:paraId="5E754A6C">
      <w:pPr>
        <w:keepNext w:val="0"/>
        <w:keepLines w:val="0"/>
        <w:pageBreakBefore w:val="0"/>
        <w:widowControl w:val="0"/>
        <w:kinsoku/>
        <w:wordWrap/>
        <w:overflowPunct/>
        <w:topLinePunct w:val="0"/>
        <w:autoSpaceDE/>
        <w:autoSpaceDN/>
        <w:bidi w:val="0"/>
        <w:adjustRightInd/>
        <w:snapToGrid/>
        <w:ind w:firstLine="560" w:firstLineChars="200"/>
        <w:textAlignment w:val="auto"/>
        <w:rPr>
          <w:color w:val="000000"/>
          <w:sz w:val="28"/>
          <w:szCs w:val="28"/>
          <w:highlight w:val="none"/>
        </w:rPr>
      </w:pPr>
      <w:r>
        <w:rPr>
          <w:rFonts w:hint="eastAsia"/>
          <w:color w:val="000000"/>
          <w:sz w:val="28"/>
          <w:szCs w:val="28"/>
          <w:highlight w:val="none"/>
        </w:rPr>
        <w:t>日期：</w:t>
      </w:r>
      <w:r>
        <w:rPr>
          <w:color w:val="000000"/>
          <w:sz w:val="28"/>
          <w:szCs w:val="28"/>
          <w:highlight w:val="none"/>
        </w:rPr>
        <w:t>–––––––––––––––––––––––––––––</w:t>
      </w:r>
    </w:p>
    <w:p w14:paraId="1BABB467">
      <w:pPr>
        <w:rPr>
          <w:rFonts w:hint="eastAsia"/>
          <w:color w:val="000000"/>
          <w:sz w:val="32"/>
          <w:highlight w:val="none"/>
        </w:rPr>
      </w:pPr>
    </w:p>
    <w:p w14:paraId="55CCA787">
      <w:pPr>
        <w:rPr>
          <w:rFonts w:hint="eastAsia"/>
          <w:color w:val="000000"/>
          <w:sz w:val="32"/>
          <w:highlight w:val="none"/>
        </w:rPr>
      </w:pPr>
    </w:p>
    <w:p w14:paraId="4515F185">
      <w:pPr>
        <w:spacing w:line="360" w:lineRule="auto"/>
        <w:jc w:val="left"/>
        <w:rPr>
          <w:rFonts w:hint="eastAsia" w:ascii="宋体" w:hAnsi="宋体"/>
          <w:sz w:val="26"/>
          <w:highlight w:val="none"/>
        </w:rPr>
      </w:pPr>
    </w:p>
    <w:p w14:paraId="3148D673">
      <w:pPr>
        <w:autoSpaceDE w:val="0"/>
        <w:autoSpaceDN w:val="0"/>
        <w:adjustRightInd w:val="0"/>
        <w:jc w:val="center"/>
        <w:rPr>
          <w:rFonts w:ascii="宋体" w:hAnsi="宋体"/>
          <w:b/>
          <w:sz w:val="30"/>
          <w:szCs w:val="30"/>
          <w:highlight w:val="none"/>
        </w:rPr>
      </w:pPr>
      <w:bookmarkStart w:id="111" w:name="_Toc403382861"/>
      <w:bookmarkStart w:id="112" w:name="_Toc29343"/>
      <w:bookmarkStart w:id="113" w:name="_Toc18845"/>
    </w:p>
    <w:p w14:paraId="13700BDD">
      <w:pPr>
        <w:autoSpaceDE w:val="0"/>
        <w:autoSpaceDN w:val="0"/>
        <w:adjustRightInd w:val="0"/>
        <w:jc w:val="center"/>
        <w:rPr>
          <w:rFonts w:ascii="宋体" w:hAnsi="宋体"/>
          <w:b/>
          <w:sz w:val="30"/>
          <w:szCs w:val="30"/>
          <w:highlight w:val="none"/>
        </w:rPr>
      </w:pPr>
    </w:p>
    <w:p w14:paraId="673E23EB">
      <w:pPr>
        <w:autoSpaceDE w:val="0"/>
        <w:autoSpaceDN w:val="0"/>
        <w:adjustRightInd w:val="0"/>
        <w:jc w:val="center"/>
        <w:rPr>
          <w:rFonts w:ascii="宋体" w:hAnsi="宋体"/>
          <w:b/>
          <w:sz w:val="30"/>
          <w:szCs w:val="30"/>
          <w:highlight w:val="none"/>
          <w:lang w:val="zh-CN"/>
        </w:rPr>
      </w:pPr>
      <w:r>
        <w:rPr>
          <w:rFonts w:ascii="宋体" w:hAnsi="宋体"/>
          <w:b/>
          <w:sz w:val="30"/>
          <w:szCs w:val="30"/>
          <w:highlight w:val="none"/>
        </w:rPr>
        <w:t>二</w:t>
      </w:r>
      <w:r>
        <w:rPr>
          <w:rFonts w:hint="eastAsia" w:ascii="宋体" w:hAnsi="宋体"/>
          <w:b/>
          <w:sz w:val="30"/>
          <w:szCs w:val="30"/>
          <w:highlight w:val="none"/>
        </w:rPr>
        <w:t>、</w:t>
      </w:r>
      <w:r>
        <w:rPr>
          <w:rFonts w:hint="eastAsia" w:ascii="宋体" w:hAnsi="宋体"/>
          <w:b/>
          <w:sz w:val="30"/>
          <w:szCs w:val="30"/>
          <w:highlight w:val="none"/>
          <w:lang w:val="zh-CN"/>
        </w:rPr>
        <w:t>供应商基本情况</w:t>
      </w:r>
    </w:p>
    <w:p w14:paraId="59122541">
      <w:pPr>
        <w:autoSpaceDE w:val="0"/>
        <w:autoSpaceDN w:val="0"/>
        <w:adjustRightInd w:val="0"/>
        <w:ind w:firstLine="435"/>
        <w:rPr>
          <w:rFonts w:eastAsia="黑体"/>
          <w:sz w:val="24"/>
          <w:highlight w:val="none"/>
        </w:rPr>
      </w:pPr>
    </w:p>
    <w:tbl>
      <w:tblPr>
        <w:tblStyle w:val="4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16117F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bottom w:val="single" w:color="auto" w:sz="4" w:space="0"/>
              <w:right w:val="single" w:color="auto" w:sz="4" w:space="0"/>
            </w:tcBorders>
            <w:vAlign w:val="center"/>
          </w:tcPr>
          <w:p w14:paraId="4D598DC4">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供应商名称</w:t>
            </w:r>
          </w:p>
        </w:tc>
        <w:tc>
          <w:tcPr>
            <w:tcW w:w="6840" w:type="dxa"/>
            <w:gridSpan w:val="9"/>
            <w:tcBorders>
              <w:top w:val="single" w:color="auto" w:sz="4" w:space="0"/>
              <w:left w:val="single" w:color="auto" w:sz="4" w:space="0"/>
              <w:bottom w:val="single" w:color="auto" w:sz="4" w:space="0"/>
            </w:tcBorders>
            <w:vAlign w:val="center"/>
          </w:tcPr>
          <w:p w14:paraId="0B036C32">
            <w:pPr>
              <w:topLinePunct/>
              <w:spacing w:line="440" w:lineRule="exact"/>
              <w:jc w:val="center"/>
              <w:rPr>
                <w:rFonts w:ascii="宋体" w:hAnsi="宋体" w:cs="宋体"/>
                <w:sz w:val="24"/>
                <w:szCs w:val="24"/>
                <w:highlight w:val="none"/>
              </w:rPr>
            </w:pPr>
          </w:p>
        </w:tc>
      </w:tr>
      <w:tr w14:paraId="001F4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bottom w:val="single" w:color="auto" w:sz="4" w:space="0"/>
              <w:right w:val="single" w:color="auto" w:sz="4" w:space="0"/>
            </w:tcBorders>
            <w:vAlign w:val="center"/>
          </w:tcPr>
          <w:p w14:paraId="0F0B4DEE">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3FB2D87A">
            <w:pPr>
              <w:topLinePunct/>
              <w:spacing w:line="440" w:lineRule="exact"/>
              <w:jc w:val="center"/>
              <w:rPr>
                <w:rFonts w:ascii="宋体" w:hAnsi="宋体" w:cs="宋体"/>
                <w:sz w:val="24"/>
                <w:szCs w:val="24"/>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5330C434">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邮政编码</w:t>
            </w:r>
          </w:p>
        </w:tc>
        <w:tc>
          <w:tcPr>
            <w:tcW w:w="2342" w:type="dxa"/>
            <w:gridSpan w:val="3"/>
            <w:tcBorders>
              <w:top w:val="single" w:color="auto" w:sz="4" w:space="0"/>
              <w:left w:val="single" w:color="auto" w:sz="4" w:space="0"/>
              <w:bottom w:val="single" w:color="auto" w:sz="4" w:space="0"/>
            </w:tcBorders>
            <w:vAlign w:val="center"/>
          </w:tcPr>
          <w:p w14:paraId="1665D12D">
            <w:pPr>
              <w:topLinePunct/>
              <w:spacing w:line="440" w:lineRule="exact"/>
              <w:jc w:val="center"/>
              <w:rPr>
                <w:rFonts w:ascii="宋体" w:hAnsi="宋体" w:cs="宋体"/>
                <w:sz w:val="24"/>
                <w:szCs w:val="24"/>
                <w:highlight w:val="none"/>
              </w:rPr>
            </w:pPr>
          </w:p>
        </w:tc>
      </w:tr>
      <w:tr w14:paraId="2FE98B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bottom w:val="single" w:color="auto" w:sz="4" w:space="0"/>
              <w:right w:val="single" w:color="auto" w:sz="4" w:space="0"/>
            </w:tcBorders>
            <w:vAlign w:val="center"/>
          </w:tcPr>
          <w:p w14:paraId="5ACEAD69">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1C408AD2">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3CC086CF">
            <w:pPr>
              <w:topLinePunct/>
              <w:spacing w:line="440" w:lineRule="exact"/>
              <w:jc w:val="center"/>
              <w:rPr>
                <w:rFonts w:ascii="宋体" w:hAnsi="宋体" w:cs="宋体"/>
                <w:sz w:val="24"/>
                <w:szCs w:val="24"/>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794315D9">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电 话</w:t>
            </w:r>
          </w:p>
        </w:tc>
        <w:tc>
          <w:tcPr>
            <w:tcW w:w="2342" w:type="dxa"/>
            <w:gridSpan w:val="3"/>
            <w:tcBorders>
              <w:top w:val="single" w:color="auto" w:sz="4" w:space="0"/>
              <w:left w:val="single" w:color="auto" w:sz="4" w:space="0"/>
              <w:bottom w:val="single" w:color="auto" w:sz="4" w:space="0"/>
            </w:tcBorders>
            <w:vAlign w:val="center"/>
          </w:tcPr>
          <w:p w14:paraId="5ECD0E6D">
            <w:pPr>
              <w:topLinePunct/>
              <w:spacing w:line="440" w:lineRule="exact"/>
              <w:jc w:val="center"/>
              <w:rPr>
                <w:rFonts w:ascii="宋体" w:hAnsi="宋体" w:cs="宋体"/>
                <w:sz w:val="24"/>
                <w:szCs w:val="24"/>
                <w:highlight w:val="none"/>
              </w:rPr>
            </w:pPr>
          </w:p>
        </w:tc>
      </w:tr>
      <w:tr w14:paraId="44D618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bottom w:val="single" w:color="auto" w:sz="4" w:space="0"/>
              <w:right w:val="single" w:color="auto" w:sz="4" w:space="0"/>
            </w:tcBorders>
            <w:vAlign w:val="center"/>
          </w:tcPr>
          <w:p w14:paraId="35279B54">
            <w:pPr>
              <w:topLinePunct/>
              <w:spacing w:line="440" w:lineRule="exact"/>
              <w:jc w:val="center"/>
              <w:rPr>
                <w:rFonts w:ascii="宋体" w:hAnsi="宋体" w:cs="宋体"/>
                <w:sz w:val="24"/>
                <w:szCs w:val="24"/>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14:paraId="72DEC643">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1DE12686">
            <w:pPr>
              <w:topLinePunct/>
              <w:spacing w:line="440" w:lineRule="exact"/>
              <w:jc w:val="center"/>
              <w:rPr>
                <w:rFonts w:ascii="宋体" w:hAnsi="宋体" w:cs="宋体"/>
                <w:sz w:val="24"/>
                <w:szCs w:val="24"/>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58A84184">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网 址</w:t>
            </w:r>
          </w:p>
        </w:tc>
        <w:tc>
          <w:tcPr>
            <w:tcW w:w="2342" w:type="dxa"/>
            <w:gridSpan w:val="3"/>
            <w:tcBorders>
              <w:top w:val="single" w:color="auto" w:sz="4" w:space="0"/>
              <w:left w:val="single" w:color="auto" w:sz="4" w:space="0"/>
              <w:bottom w:val="single" w:color="auto" w:sz="4" w:space="0"/>
            </w:tcBorders>
            <w:vAlign w:val="center"/>
          </w:tcPr>
          <w:p w14:paraId="6D22E9D4">
            <w:pPr>
              <w:topLinePunct/>
              <w:spacing w:line="440" w:lineRule="exact"/>
              <w:jc w:val="center"/>
              <w:rPr>
                <w:rFonts w:ascii="宋体" w:hAnsi="宋体" w:cs="宋体"/>
                <w:sz w:val="24"/>
                <w:szCs w:val="24"/>
                <w:highlight w:val="none"/>
              </w:rPr>
            </w:pPr>
          </w:p>
        </w:tc>
      </w:tr>
      <w:tr w14:paraId="591AB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728" w:type="dxa"/>
            <w:tcBorders>
              <w:top w:val="single" w:color="auto" w:sz="4" w:space="0"/>
              <w:bottom w:val="single" w:color="auto" w:sz="4" w:space="0"/>
              <w:right w:val="single" w:color="auto" w:sz="4" w:space="0"/>
            </w:tcBorders>
            <w:vAlign w:val="center"/>
          </w:tcPr>
          <w:p w14:paraId="296DA6A8">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组织结构</w:t>
            </w:r>
          </w:p>
        </w:tc>
        <w:tc>
          <w:tcPr>
            <w:tcW w:w="6840" w:type="dxa"/>
            <w:gridSpan w:val="9"/>
            <w:tcBorders>
              <w:top w:val="single" w:color="auto" w:sz="4" w:space="0"/>
              <w:left w:val="single" w:color="auto" w:sz="4" w:space="0"/>
              <w:bottom w:val="single" w:color="auto" w:sz="4" w:space="0"/>
            </w:tcBorders>
            <w:vAlign w:val="center"/>
          </w:tcPr>
          <w:p w14:paraId="17C2B83A">
            <w:pPr>
              <w:topLinePunct/>
              <w:spacing w:line="440" w:lineRule="exact"/>
              <w:jc w:val="center"/>
              <w:rPr>
                <w:rFonts w:ascii="宋体" w:hAnsi="宋体" w:cs="宋体"/>
                <w:sz w:val="24"/>
                <w:szCs w:val="24"/>
                <w:highlight w:val="none"/>
              </w:rPr>
            </w:pPr>
          </w:p>
        </w:tc>
      </w:tr>
      <w:tr w14:paraId="7D816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bottom w:val="single" w:color="auto" w:sz="4" w:space="0"/>
              <w:right w:val="single" w:color="auto" w:sz="4" w:space="0"/>
            </w:tcBorders>
            <w:vAlign w:val="center"/>
          </w:tcPr>
          <w:p w14:paraId="3BE55396">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4C71D523">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071853AD">
            <w:pPr>
              <w:topLinePunct/>
              <w:spacing w:line="440" w:lineRule="exact"/>
              <w:jc w:val="center"/>
              <w:rPr>
                <w:rFonts w:ascii="宋体" w:hAnsi="宋体" w:cs="宋体"/>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165CCEB7">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29EB7AF3">
            <w:pPr>
              <w:topLinePunct/>
              <w:spacing w:line="440" w:lineRule="exact"/>
              <w:jc w:val="center"/>
              <w:rPr>
                <w:rFonts w:ascii="宋体" w:hAnsi="宋体" w:cs="宋体"/>
                <w:sz w:val="24"/>
                <w:szCs w:val="24"/>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058AE8D4">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电话</w:t>
            </w:r>
          </w:p>
        </w:tc>
        <w:tc>
          <w:tcPr>
            <w:tcW w:w="992" w:type="dxa"/>
            <w:tcBorders>
              <w:top w:val="single" w:color="auto" w:sz="4" w:space="0"/>
              <w:left w:val="single" w:color="auto" w:sz="4" w:space="0"/>
              <w:bottom w:val="single" w:color="auto" w:sz="4" w:space="0"/>
            </w:tcBorders>
            <w:vAlign w:val="center"/>
          </w:tcPr>
          <w:p w14:paraId="500C4340">
            <w:pPr>
              <w:topLinePunct/>
              <w:spacing w:line="440" w:lineRule="exact"/>
              <w:jc w:val="center"/>
              <w:rPr>
                <w:rFonts w:ascii="宋体" w:hAnsi="宋体" w:cs="宋体"/>
                <w:sz w:val="24"/>
                <w:szCs w:val="24"/>
                <w:highlight w:val="none"/>
              </w:rPr>
            </w:pPr>
          </w:p>
        </w:tc>
      </w:tr>
      <w:tr w14:paraId="2D70CD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bottom w:val="single" w:color="auto" w:sz="4" w:space="0"/>
              <w:right w:val="single" w:color="auto" w:sz="4" w:space="0"/>
            </w:tcBorders>
            <w:vAlign w:val="center"/>
          </w:tcPr>
          <w:p w14:paraId="18572362">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2888B67E">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49700F67">
            <w:pPr>
              <w:topLinePunct/>
              <w:spacing w:line="440" w:lineRule="exact"/>
              <w:jc w:val="center"/>
              <w:rPr>
                <w:rFonts w:ascii="宋体" w:hAnsi="宋体" w:cs="宋体"/>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3EAFEB9B">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06467067">
            <w:pPr>
              <w:topLinePunct/>
              <w:spacing w:line="440" w:lineRule="exact"/>
              <w:jc w:val="center"/>
              <w:rPr>
                <w:rFonts w:ascii="宋体" w:hAnsi="宋体" w:cs="宋体"/>
                <w:sz w:val="24"/>
                <w:szCs w:val="24"/>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33D8FD8F">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电话</w:t>
            </w:r>
          </w:p>
        </w:tc>
        <w:tc>
          <w:tcPr>
            <w:tcW w:w="992" w:type="dxa"/>
            <w:tcBorders>
              <w:top w:val="single" w:color="auto" w:sz="4" w:space="0"/>
              <w:left w:val="single" w:color="auto" w:sz="4" w:space="0"/>
              <w:bottom w:val="single" w:color="auto" w:sz="4" w:space="0"/>
            </w:tcBorders>
            <w:vAlign w:val="center"/>
          </w:tcPr>
          <w:p w14:paraId="7E4B6529">
            <w:pPr>
              <w:topLinePunct/>
              <w:spacing w:line="440" w:lineRule="exact"/>
              <w:jc w:val="center"/>
              <w:rPr>
                <w:rFonts w:ascii="宋体" w:hAnsi="宋体" w:cs="宋体"/>
                <w:sz w:val="24"/>
                <w:szCs w:val="24"/>
                <w:highlight w:val="none"/>
              </w:rPr>
            </w:pPr>
          </w:p>
        </w:tc>
      </w:tr>
      <w:tr w14:paraId="779A85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bottom w:val="single" w:color="auto" w:sz="4" w:space="0"/>
              <w:right w:val="single" w:color="auto" w:sz="4" w:space="0"/>
            </w:tcBorders>
            <w:vAlign w:val="center"/>
          </w:tcPr>
          <w:p w14:paraId="43EDB23F">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76B4548A">
            <w:pPr>
              <w:topLinePunct/>
              <w:spacing w:line="440" w:lineRule="exact"/>
              <w:jc w:val="center"/>
              <w:rPr>
                <w:rFonts w:ascii="宋体" w:hAnsi="宋体" w:cs="宋体"/>
                <w:sz w:val="24"/>
                <w:szCs w:val="24"/>
                <w:highlight w:val="none"/>
              </w:rPr>
            </w:pPr>
          </w:p>
        </w:tc>
        <w:tc>
          <w:tcPr>
            <w:tcW w:w="4991" w:type="dxa"/>
            <w:gridSpan w:val="7"/>
            <w:tcBorders>
              <w:top w:val="single" w:color="auto" w:sz="4" w:space="0"/>
              <w:left w:val="single" w:color="auto" w:sz="4" w:space="0"/>
              <w:bottom w:val="single" w:color="auto" w:sz="4" w:space="0"/>
            </w:tcBorders>
            <w:vAlign w:val="center"/>
          </w:tcPr>
          <w:p w14:paraId="22971F58">
            <w:pPr>
              <w:topLinePunct/>
              <w:spacing w:line="440" w:lineRule="exact"/>
              <w:ind w:firstLine="120" w:firstLineChars="50"/>
              <w:jc w:val="center"/>
              <w:rPr>
                <w:rFonts w:ascii="宋体" w:hAnsi="宋体" w:cs="宋体"/>
                <w:sz w:val="24"/>
                <w:szCs w:val="24"/>
                <w:highlight w:val="none"/>
              </w:rPr>
            </w:pPr>
            <w:r>
              <w:rPr>
                <w:rFonts w:hint="eastAsia" w:ascii="宋体" w:hAnsi="宋体" w:cs="宋体"/>
                <w:sz w:val="24"/>
                <w:szCs w:val="24"/>
                <w:highlight w:val="none"/>
              </w:rPr>
              <w:t>员工总人数：</w:t>
            </w:r>
          </w:p>
        </w:tc>
      </w:tr>
      <w:tr w14:paraId="3A25EC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1728" w:type="dxa"/>
            <w:tcBorders>
              <w:top w:val="single" w:color="auto" w:sz="4" w:space="0"/>
              <w:bottom w:val="single" w:color="auto" w:sz="4" w:space="0"/>
              <w:right w:val="single" w:color="auto" w:sz="4" w:space="0"/>
            </w:tcBorders>
            <w:vAlign w:val="center"/>
          </w:tcPr>
          <w:p w14:paraId="75400A37">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2A26CC8C">
            <w:pPr>
              <w:topLinePunct/>
              <w:spacing w:line="440" w:lineRule="exact"/>
              <w:jc w:val="center"/>
              <w:rPr>
                <w:rFonts w:ascii="宋体" w:hAnsi="宋体" w:cs="宋体"/>
                <w:sz w:val="24"/>
                <w:szCs w:val="24"/>
                <w:highlight w:val="none"/>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09A11EDF">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1FD6B44A">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项目经理</w:t>
            </w:r>
          </w:p>
        </w:tc>
        <w:tc>
          <w:tcPr>
            <w:tcW w:w="1852" w:type="dxa"/>
            <w:gridSpan w:val="2"/>
            <w:tcBorders>
              <w:top w:val="single" w:color="auto" w:sz="4" w:space="0"/>
              <w:left w:val="single" w:color="auto" w:sz="4" w:space="0"/>
              <w:bottom w:val="single" w:color="auto" w:sz="4" w:space="0"/>
            </w:tcBorders>
            <w:vAlign w:val="center"/>
          </w:tcPr>
          <w:p w14:paraId="2CA25A6E">
            <w:pPr>
              <w:topLinePunct/>
              <w:spacing w:line="440" w:lineRule="exact"/>
              <w:jc w:val="center"/>
              <w:rPr>
                <w:rFonts w:ascii="宋体" w:hAnsi="宋体" w:cs="宋体"/>
                <w:sz w:val="24"/>
                <w:szCs w:val="24"/>
                <w:highlight w:val="none"/>
              </w:rPr>
            </w:pPr>
          </w:p>
        </w:tc>
      </w:tr>
      <w:tr w14:paraId="2EA444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bottom w:val="single" w:color="auto" w:sz="4" w:space="0"/>
              <w:right w:val="single" w:color="auto" w:sz="4" w:space="0"/>
            </w:tcBorders>
            <w:vAlign w:val="center"/>
          </w:tcPr>
          <w:p w14:paraId="05DFED6C">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33304EA">
            <w:pPr>
              <w:topLinePunct/>
              <w:spacing w:line="440" w:lineRule="exact"/>
              <w:jc w:val="center"/>
              <w:rPr>
                <w:rFonts w:ascii="宋体" w:hAnsi="宋体" w:cs="宋体"/>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1BE7B0E8">
            <w:pPr>
              <w:topLinePunct/>
              <w:spacing w:line="440" w:lineRule="exact"/>
              <w:jc w:val="center"/>
              <w:rPr>
                <w:rFonts w:ascii="宋体" w:hAnsi="宋体" w:cs="宋体"/>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0F23183D">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高级职称人员</w:t>
            </w:r>
          </w:p>
        </w:tc>
        <w:tc>
          <w:tcPr>
            <w:tcW w:w="1852" w:type="dxa"/>
            <w:gridSpan w:val="2"/>
            <w:tcBorders>
              <w:top w:val="single" w:color="auto" w:sz="4" w:space="0"/>
              <w:left w:val="single" w:color="auto" w:sz="4" w:space="0"/>
              <w:bottom w:val="single" w:color="auto" w:sz="4" w:space="0"/>
            </w:tcBorders>
            <w:vAlign w:val="center"/>
          </w:tcPr>
          <w:p w14:paraId="7DED36C8">
            <w:pPr>
              <w:topLinePunct/>
              <w:spacing w:line="440" w:lineRule="exact"/>
              <w:jc w:val="center"/>
              <w:rPr>
                <w:rFonts w:ascii="宋体" w:hAnsi="宋体" w:cs="宋体"/>
                <w:sz w:val="24"/>
                <w:szCs w:val="24"/>
                <w:highlight w:val="none"/>
              </w:rPr>
            </w:pPr>
          </w:p>
        </w:tc>
      </w:tr>
      <w:tr w14:paraId="758372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bottom w:val="single" w:color="auto" w:sz="4" w:space="0"/>
              <w:right w:val="single" w:color="auto" w:sz="4" w:space="0"/>
            </w:tcBorders>
            <w:vAlign w:val="center"/>
          </w:tcPr>
          <w:p w14:paraId="3451ECDD">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基本账户</w:t>
            </w:r>
          </w:p>
          <w:p w14:paraId="4C0D55D1">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8D0E0A2">
            <w:pPr>
              <w:topLinePunct/>
              <w:spacing w:line="440" w:lineRule="exact"/>
              <w:jc w:val="center"/>
              <w:rPr>
                <w:rFonts w:ascii="宋体" w:hAnsi="宋体" w:cs="宋体"/>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0E63292B">
            <w:pPr>
              <w:topLinePunct/>
              <w:spacing w:line="440" w:lineRule="exact"/>
              <w:jc w:val="center"/>
              <w:rPr>
                <w:rFonts w:ascii="宋体" w:hAnsi="宋体" w:cs="宋体"/>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1396145E">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中级职称人员</w:t>
            </w:r>
          </w:p>
        </w:tc>
        <w:tc>
          <w:tcPr>
            <w:tcW w:w="1852" w:type="dxa"/>
            <w:gridSpan w:val="2"/>
            <w:tcBorders>
              <w:top w:val="single" w:color="auto" w:sz="4" w:space="0"/>
              <w:left w:val="single" w:color="auto" w:sz="4" w:space="0"/>
              <w:bottom w:val="single" w:color="auto" w:sz="4" w:space="0"/>
            </w:tcBorders>
            <w:vAlign w:val="center"/>
          </w:tcPr>
          <w:p w14:paraId="016024A4">
            <w:pPr>
              <w:topLinePunct/>
              <w:spacing w:line="440" w:lineRule="exact"/>
              <w:jc w:val="center"/>
              <w:rPr>
                <w:rFonts w:ascii="宋体" w:hAnsi="宋体" w:cs="宋体"/>
                <w:sz w:val="24"/>
                <w:szCs w:val="24"/>
                <w:highlight w:val="none"/>
              </w:rPr>
            </w:pPr>
          </w:p>
        </w:tc>
      </w:tr>
      <w:tr w14:paraId="043C0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bottom w:val="single" w:color="auto" w:sz="4" w:space="0"/>
              <w:right w:val="single" w:color="auto" w:sz="4" w:space="0"/>
            </w:tcBorders>
            <w:vAlign w:val="center"/>
          </w:tcPr>
          <w:p w14:paraId="0AE1DF09">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66388F50">
            <w:pPr>
              <w:topLinePunct/>
              <w:spacing w:line="440" w:lineRule="exact"/>
              <w:jc w:val="center"/>
              <w:rPr>
                <w:rFonts w:ascii="宋体" w:hAnsi="宋体" w:cs="宋体"/>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0BEF2EB8">
            <w:pPr>
              <w:topLinePunct/>
              <w:spacing w:line="440" w:lineRule="exact"/>
              <w:jc w:val="center"/>
              <w:rPr>
                <w:rFonts w:ascii="宋体" w:hAnsi="宋体" w:cs="宋体"/>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52EFE375">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初级职称人员</w:t>
            </w:r>
          </w:p>
        </w:tc>
        <w:tc>
          <w:tcPr>
            <w:tcW w:w="1852" w:type="dxa"/>
            <w:gridSpan w:val="2"/>
            <w:tcBorders>
              <w:top w:val="single" w:color="auto" w:sz="4" w:space="0"/>
              <w:left w:val="single" w:color="auto" w:sz="4" w:space="0"/>
              <w:bottom w:val="single" w:color="auto" w:sz="4" w:space="0"/>
            </w:tcBorders>
            <w:vAlign w:val="center"/>
          </w:tcPr>
          <w:p w14:paraId="7F9C83BD">
            <w:pPr>
              <w:topLinePunct/>
              <w:spacing w:line="440" w:lineRule="exact"/>
              <w:jc w:val="center"/>
              <w:rPr>
                <w:rFonts w:ascii="宋体" w:hAnsi="宋体" w:cs="宋体"/>
                <w:sz w:val="24"/>
                <w:szCs w:val="24"/>
                <w:highlight w:val="none"/>
              </w:rPr>
            </w:pPr>
          </w:p>
        </w:tc>
      </w:tr>
      <w:tr w14:paraId="47D938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728" w:type="dxa"/>
            <w:tcBorders>
              <w:top w:val="single" w:color="auto" w:sz="4" w:space="0"/>
              <w:bottom w:val="single" w:color="auto" w:sz="4" w:space="0"/>
              <w:right w:val="single" w:color="auto" w:sz="4" w:space="0"/>
            </w:tcBorders>
            <w:vAlign w:val="center"/>
          </w:tcPr>
          <w:p w14:paraId="34315372">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企业资质/相关体系证书</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18E41B35">
            <w:pPr>
              <w:topLinePunct/>
              <w:spacing w:line="440" w:lineRule="exact"/>
              <w:jc w:val="center"/>
              <w:rPr>
                <w:rFonts w:ascii="宋体" w:hAnsi="宋体" w:cs="宋体"/>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6E520579">
            <w:pPr>
              <w:topLinePunct/>
              <w:spacing w:line="440" w:lineRule="exact"/>
              <w:jc w:val="center"/>
              <w:rPr>
                <w:rFonts w:ascii="宋体" w:hAnsi="宋体" w:cs="宋体"/>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3DC8008B">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技  工</w:t>
            </w:r>
          </w:p>
        </w:tc>
        <w:tc>
          <w:tcPr>
            <w:tcW w:w="1852" w:type="dxa"/>
            <w:gridSpan w:val="2"/>
            <w:tcBorders>
              <w:top w:val="single" w:color="auto" w:sz="4" w:space="0"/>
              <w:left w:val="single" w:color="auto" w:sz="4" w:space="0"/>
              <w:bottom w:val="single" w:color="auto" w:sz="4" w:space="0"/>
            </w:tcBorders>
            <w:vAlign w:val="center"/>
          </w:tcPr>
          <w:p w14:paraId="038F98FC">
            <w:pPr>
              <w:topLinePunct/>
              <w:spacing w:line="440" w:lineRule="exact"/>
              <w:jc w:val="center"/>
              <w:rPr>
                <w:rFonts w:ascii="宋体" w:hAnsi="宋体" w:cs="宋体"/>
                <w:sz w:val="24"/>
                <w:szCs w:val="24"/>
                <w:highlight w:val="none"/>
              </w:rPr>
            </w:pPr>
          </w:p>
        </w:tc>
      </w:tr>
      <w:tr w14:paraId="731864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1728" w:type="dxa"/>
            <w:tcBorders>
              <w:top w:val="single" w:color="auto" w:sz="4" w:space="0"/>
              <w:right w:val="single" w:color="auto" w:sz="4" w:space="0"/>
            </w:tcBorders>
            <w:vAlign w:val="center"/>
          </w:tcPr>
          <w:p w14:paraId="0FEFDC04">
            <w:pPr>
              <w:topLinePunct/>
              <w:spacing w:line="440" w:lineRule="exact"/>
              <w:ind w:firstLine="240" w:firstLineChars="100"/>
              <w:jc w:val="center"/>
              <w:rPr>
                <w:rFonts w:ascii="宋体" w:hAnsi="宋体" w:cs="宋体"/>
                <w:sz w:val="24"/>
                <w:szCs w:val="24"/>
                <w:highlight w:val="none"/>
              </w:rPr>
            </w:pPr>
            <w:r>
              <w:rPr>
                <w:rFonts w:hint="eastAsia" w:ascii="宋体" w:hAnsi="宋体" w:cs="宋体"/>
                <w:sz w:val="24"/>
                <w:szCs w:val="24"/>
                <w:highlight w:val="none"/>
              </w:rPr>
              <w:t>经营范围</w:t>
            </w:r>
          </w:p>
        </w:tc>
        <w:tc>
          <w:tcPr>
            <w:tcW w:w="6840" w:type="dxa"/>
            <w:gridSpan w:val="9"/>
            <w:tcBorders>
              <w:top w:val="single" w:color="auto" w:sz="4" w:space="0"/>
              <w:left w:val="single" w:color="auto" w:sz="4" w:space="0"/>
            </w:tcBorders>
            <w:vAlign w:val="center"/>
          </w:tcPr>
          <w:p w14:paraId="76B1D25E">
            <w:pPr>
              <w:topLinePunct/>
              <w:spacing w:line="440" w:lineRule="exact"/>
              <w:jc w:val="center"/>
              <w:rPr>
                <w:rFonts w:ascii="宋体" w:hAnsi="宋体" w:cs="宋体"/>
                <w:sz w:val="24"/>
                <w:szCs w:val="24"/>
                <w:highlight w:val="none"/>
              </w:rPr>
            </w:pPr>
          </w:p>
          <w:p w14:paraId="4347BAF2">
            <w:pPr>
              <w:topLinePunct/>
              <w:spacing w:line="440" w:lineRule="exact"/>
              <w:jc w:val="center"/>
              <w:rPr>
                <w:rFonts w:ascii="宋体" w:hAnsi="宋体" w:cs="宋体"/>
                <w:sz w:val="24"/>
                <w:szCs w:val="24"/>
                <w:highlight w:val="none"/>
              </w:rPr>
            </w:pPr>
          </w:p>
          <w:p w14:paraId="66531660">
            <w:pPr>
              <w:topLinePunct/>
              <w:spacing w:line="440" w:lineRule="exact"/>
              <w:jc w:val="center"/>
              <w:rPr>
                <w:rFonts w:ascii="宋体" w:hAnsi="宋体" w:cs="宋体"/>
                <w:sz w:val="24"/>
                <w:szCs w:val="24"/>
                <w:highlight w:val="none"/>
              </w:rPr>
            </w:pPr>
          </w:p>
          <w:p w14:paraId="04D7BE1A">
            <w:pPr>
              <w:topLinePunct/>
              <w:spacing w:line="440" w:lineRule="exact"/>
              <w:rPr>
                <w:rFonts w:ascii="宋体" w:hAnsi="宋体" w:cs="宋体"/>
                <w:sz w:val="24"/>
                <w:szCs w:val="24"/>
                <w:highlight w:val="none"/>
              </w:rPr>
            </w:pPr>
          </w:p>
        </w:tc>
      </w:tr>
      <w:tr w14:paraId="5B0330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1728" w:type="dxa"/>
            <w:tcBorders>
              <w:top w:val="single" w:color="auto" w:sz="4" w:space="0"/>
              <w:bottom w:val="single" w:color="auto" w:sz="4" w:space="0"/>
              <w:right w:val="single" w:color="auto" w:sz="4" w:space="0"/>
            </w:tcBorders>
            <w:vAlign w:val="center"/>
          </w:tcPr>
          <w:p w14:paraId="7DDE04F1">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备注</w:t>
            </w:r>
          </w:p>
        </w:tc>
        <w:tc>
          <w:tcPr>
            <w:tcW w:w="6840" w:type="dxa"/>
            <w:gridSpan w:val="9"/>
            <w:tcBorders>
              <w:top w:val="single" w:color="auto" w:sz="4" w:space="0"/>
              <w:left w:val="single" w:color="auto" w:sz="4" w:space="0"/>
              <w:bottom w:val="single" w:color="auto" w:sz="4" w:space="0"/>
            </w:tcBorders>
            <w:vAlign w:val="center"/>
          </w:tcPr>
          <w:p w14:paraId="6A221548">
            <w:pPr>
              <w:topLinePunct/>
              <w:spacing w:line="440" w:lineRule="exact"/>
              <w:jc w:val="center"/>
              <w:rPr>
                <w:rFonts w:ascii="宋体" w:hAnsi="宋体" w:cs="宋体"/>
                <w:sz w:val="24"/>
                <w:szCs w:val="24"/>
                <w:highlight w:val="none"/>
              </w:rPr>
            </w:pPr>
          </w:p>
        </w:tc>
      </w:tr>
    </w:tbl>
    <w:p w14:paraId="2BC5AABF">
      <w:pPr>
        <w:autoSpaceDE w:val="0"/>
        <w:autoSpaceDN w:val="0"/>
        <w:adjustRightInd w:val="0"/>
        <w:ind w:firstLine="435"/>
        <w:rPr>
          <w:rFonts w:ascii="宋体"/>
          <w:sz w:val="24"/>
          <w:highlight w:val="none"/>
          <w:lang w:val="zh-CN"/>
        </w:rPr>
      </w:pPr>
    </w:p>
    <w:p w14:paraId="7B0348B1">
      <w:pPr>
        <w:autoSpaceDE w:val="0"/>
        <w:autoSpaceDN w:val="0"/>
        <w:adjustRightInd w:val="0"/>
        <w:ind w:firstLine="435"/>
        <w:rPr>
          <w:rFonts w:ascii="宋体"/>
          <w:sz w:val="24"/>
          <w:highlight w:val="none"/>
          <w:lang w:val="zh-CN"/>
        </w:rPr>
      </w:pPr>
    </w:p>
    <w:p w14:paraId="7355CDF7">
      <w:pPr>
        <w:ind w:left="1680" w:leftChars="800"/>
        <w:rPr>
          <w:highlight w:val="none"/>
          <w:lang w:val="zh-CN"/>
        </w:rPr>
      </w:pPr>
    </w:p>
    <w:bookmarkEnd w:id="111"/>
    <w:bookmarkEnd w:id="112"/>
    <w:bookmarkEnd w:id="113"/>
    <w:p w14:paraId="6E05E21C">
      <w:pPr>
        <w:widowControl/>
        <w:jc w:val="left"/>
        <w:rPr>
          <w:rFonts w:ascii="宋体" w:hAnsi="宋体"/>
          <w:b/>
          <w:sz w:val="30"/>
          <w:szCs w:val="30"/>
          <w:highlight w:val="none"/>
        </w:rPr>
      </w:pPr>
    </w:p>
    <w:p w14:paraId="58C3ECEE">
      <w:pPr>
        <w:keepNext/>
        <w:keepLines/>
        <w:spacing w:before="100" w:line="400" w:lineRule="exact"/>
        <w:ind w:left="1442" w:hanging="602"/>
        <w:jc w:val="center"/>
        <w:outlineLvl w:val="1"/>
        <w:rPr>
          <w:rFonts w:ascii="宋体" w:hAnsi="宋体" w:cs="宋体"/>
          <w:b/>
          <w:sz w:val="28"/>
          <w:highlight w:val="none"/>
        </w:rPr>
      </w:pPr>
      <w:bookmarkStart w:id="114" w:name="_Toc89350337"/>
      <w:r>
        <w:rPr>
          <w:rFonts w:hint="eastAsia" w:ascii="宋体" w:hAnsi="宋体" w:cs="宋体"/>
          <w:b/>
          <w:sz w:val="30"/>
          <w:szCs w:val="30"/>
          <w:highlight w:val="none"/>
        </w:rPr>
        <w:t>三、法定代表人授权委托书</w:t>
      </w:r>
      <w:bookmarkEnd w:id="114"/>
    </w:p>
    <w:p w14:paraId="231D7103">
      <w:pPr>
        <w:spacing w:line="440" w:lineRule="exact"/>
        <w:rPr>
          <w:rFonts w:ascii="宋体" w:hAnsi="宋体"/>
          <w:sz w:val="24"/>
          <w:highlight w:val="none"/>
        </w:rPr>
      </w:pPr>
    </w:p>
    <w:p w14:paraId="240A0936">
      <w:pPr>
        <w:topLinePunct/>
        <w:spacing w:line="440" w:lineRule="exact"/>
        <w:ind w:firstLine="420" w:firstLineChars="200"/>
        <w:rPr>
          <w:rFonts w:ascii="宋体" w:hAnsi="宋体"/>
          <w:highlight w:val="none"/>
        </w:rPr>
      </w:pPr>
      <w:r>
        <w:rPr>
          <w:rFonts w:hint="eastAsia" w:ascii="宋体" w:hAnsi="宋体"/>
          <w:highlight w:val="none"/>
        </w:rPr>
        <w:t>本人（姓名）系（供应商名称）的法定代表人，现委托（姓名）为我方代理人。代理人根据授权，以我方名义签署、澄清、说明、补正、递交、撤回、修改（项目名称</w:t>
      </w:r>
      <w:r>
        <w:rPr>
          <w:rFonts w:hint="eastAsia" w:ascii="宋体" w:hAnsi="宋体"/>
          <w:highlight w:val="none"/>
          <w:lang w:val="en-US" w:eastAsia="zh-CN"/>
        </w:rPr>
        <w:t>及项目编号</w:t>
      </w:r>
      <w:r>
        <w:rPr>
          <w:rFonts w:hint="eastAsia" w:ascii="宋体" w:hAnsi="宋体"/>
          <w:highlight w:val="none"/>
        </w:rPr>
        <w:t>）报价文件、签订合同和处理有关事宜，其法律后果由我方承担。</w:t>
      </w:r>
    </w:p>
    <w:p w14:paraId="23DE9B41">
      <w:pPr>
        <w:spacing w:line="440" w:lineRule="exact"/>
        <w:rPr>
          <w:rFonts w:ascii="宋体" w:hAnsi="宋体"/>
          <w:highlight w:val="none"/>
        </w:rPr>
      </w:pPr>
      <w:r>
        <w:rPr>
          <w:rFonts w:hint="eastAsia" w:ascii="宋体" w:hAnsi="宋体"/>
          <w:highlight w:val="none"/>
        </w:rPr>
        <w:t xml:space="preserve">    委托期限：</w:t>
      </w:r>
      <w:r>
        <w:rPr>
          <w:rFonts w:hint="eastAsia" w:ascii="宋体" w:hAnsi="宋体"/>
          <w:highlight w:val="none"/>
          <w:lang w:val="en-US" w:eastAsia="zh-CN"/>
        </w:rPr>
        <w:t xml:space="preserve">              </w:t>
      </w:r>
      <w:r>
        <w:rPr>
          <w:rFonts w:hint="eastAsia" w:ascii="宋体" w:hAnsi="宋体"/>
          <w:highlight w:val="none"/>
        </w:rPr>
        <w:t>。</w:t>
      </w:r>
    </w:p>
    <w:p w14:paraId="6ED7C1EC">
      <w:pPr>
        <w:spacing w:line="440" w:lineRule="exact"/>
        <w:ind w:firstLine="420" w:firstLineChars="200"/>
        <w:rPr>
          <w:rFonts w:ascii="宋体" w:hAnsi="宋体"/>
          <w:highlight w:val="none"/>
        </w:rPr>
      </w:pPr>
      <w:r>
        <w:rPr>
          <w:rFonts w:hint="eastAsia" w:ascii="宋体" w:hAnsi="宋体"/>
          <w:highlight w:val="none"/>
        </w:rPr>
        <w:t>代理人无转委托权。</w:t>
      </w:r>
    </w:p>
    <w:p w14:paraId="22F958B5">
      <w:pPr>
        <w:spacing w:line="440" w:lineRule="exact"/>
        <w:ind w:firstLine="420" w:firstLineChars="200"/>
        <w:rPr>
          <w:rFonts w:ascii="宋体" w:hAnsi="宋体"/>
          <w:highlight w:val="none"/>
        </w:rPr>
      </w:pPr>
      <w:r>
        <w:rPr>
          <w:rFonts w:hint="eastAsia" w:ascii="宋体" w:hAnsi="宋体"/>
          <w:highlight w:val="none"/>
        </w:rPr>
        <w:t>附：法定代表人及委托代理人身份证复印件</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0"/>
        <w:gridCol w:w="4290"/>
      </w:tblGrid>
      <w:tr w14:paraId="0F0F6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4290" w:type="dxa"/>
          </w:tcPr>
          <w:p w14:paraId="33B2181E">
            <w:pPr>
              <w:spacing w:line="440" w:lineRule="exact"/>
              <w:rPr>
                <w:rFonts w:ascii="宋体" w:hAnsi="宋体"/>
                <w:highlight w:val="none"/>
              </w:rPr>
            </w:pPr>
            <w:r>
              <w:rPr>
                <w:rFonts w:hint="eastAsia" w:ascii="宋体" w:hAnsi="宋体"/>
                <w:highlight w:val="none"/>
              </w:rPr>
              <w:t>身份证复印件</w:t>
            </w:r>
          </w:p>
        </w:tc>
        <w:tc>
          <w:tcPr>
            <w:tcW w:w="4290" w:type="dxa"/>
          </w:tcPr>
          <w:p w14:paraId="656EEF90">
            <w:pPr>
              <w:spacing w:line="440" w:lineRule="exact"/>
              <w:rPr>
                <w:rFonts w:ascii="宋体" w:hAnsi="宋体"/>
                <w:highlight w:val="none"/>
              </w:rPr>
            </w:pPr>
          </w:p>
        </w:tc>
      </w:tr>
      <w:tr w14:paraId="52616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4290" w:type="dxa"/>
          </w:tcPr>
          <w:p w14:paraId="540D7D73">
            <w:pPr>
              <w:spacing w:line="440" w:lineRule="exact"/>
              <w:rPr>
                <w:rFonts w:ascii="宋体" w:hAnsi="宋体"/>
                <w:highlight w:val="none"/>
              </w:rPr>
            </w:pPr>
          </w:p>
        </w:tc>
        <w:tc>
          <w:tcPr>
            <w:tcW w:w="4290" w:type="dxa"/>
          </w:tcPr>
          <w:p w14:paraId="001E9EFC">
            <w:pPr>
              <w:spacing w:line="440" w:lineRule="exact"/>
              <w:rPr>
                <w:rFonts w:ascii="宋体" w:hAnsi="宋体"/>
                <w:highlight w:val="none"/>
              </w:rPr>
            </w:pPr>
          </w:p>
        </w:tc>
      </w:tr>
    </w:tbl>
    <w:p w14:paraId="158E17FB">
      <w:pPr>
        <w:spacing w:line="440" w:lineRule="exact"/>
        <w:ind w:firstLine="2100" w:firstLineChars="1000"/>
        <w:rPr>
          <w:rFonts w:ascii="宋体" w:hAnsi="宋体"/>
          <w:highlight w:val="none"/>
        </w:rPr>
      </w:pPr>
      <w:r>
        <w:rPr>
          <w:rFonts w:hint="eastAsia" w:ascii="宋体" w:hAnsi="宋体"/>
          <w:highlight w:val="none"/>
        </w:rPr>
        <w:t>供应商：（盖单位章）</w:t>
      </w:r>
    </w:p>
    <w:p w14:paraId="63CEF54B">
      <w:pPr>
        <w:spacing w:line="440" w:lineRule="exact"/>
        <w:ind w:firstLine="2100" w:firstLineChars="1000"/>
        <w:rPr>
          <w:rFonts w:ascii="宋体" w:hAnsi="宋体"/>
          <w:highlight w:val="none"/>
        </w:rPr>
      </w:pPr>
      <w:r>
        <w:rPr>
          <w:rFonts w:hint="eastAsia" w:ascii="宋体" w:hAnsi="宋体"/>
          <w:highlight w:val="none"/>
        </w:rPr>
        <w:t>法定代表人：（签字）</w:t>
      </w:r>
    </w:p>
    <w:p w14:paraId="14153DD4">
      <w:pPr>
        <w:spacing w:line="440" w:lineRule="exact"/>
        <w:ind w:firstLine="2100" w:firstLineChars="1000"/>
        <w:rPr>
          <w:rFonts w:ascii="宋体" w:hAnsi="宋体"/>
          <w:highlight w:val="none"/>
        </w:rPr>
      </w:pPr>
      <w:r>
        <w:rPr>
          <w:rFonts w:hint="eastAsia" w:ascii="宋体" w:hAnsi="宋体"/>
          <w:highlight w:val="none"/>
        </w:rPr>
        <w:t>身份证号码：</w:t>
      </w:r>
    </w:p>
    <w:p w14:paraId="748E4DD9">
      <w:pPr>
        <w:spacing w:line="440" w:lineRule="exact"/>
        <w:ind w:firstLine="2100" w:firstLineChars="1000"/>
        <w:rPr>
          <w:rFonts w:ascii="宋体" w:hAnsi="宋体"/>
          <w:highlight w:val="none"/>
        </w:rPr>
      </w:pPr>
      <w:r>
        <w:rPr>
          <w:rFonts w:hint="eastAsia" w:ascii="宋体" w:hAnsi="宋体"/>
          <w:highlight w:val="none"/>
        </w:rPr>
        <w:t xml:space="preserve">委托代理人：（签字） </w:t>
      </w:r>
    </w:p>
    <w:p w14:paraId="6B236A14">
      <w:pPr>
        <w:spacing w:line="440" w:lineRule="exact"/>
        <w:ind w:firstLine="2100" w:firstLineChars="1000"/>
        <w:rPr>
          <w:rFonts w:ascii="宋体" w:hAnsi="宋体"/>
          <w:highlight w:val="none"/>
        </w:rPr>
      </w:pPr>
      <w:r>
        <w:rPr>
          <w:rFonts w:hint="eastAsia" w:ascii="宋体" w:hAnsi="宋体"/>
          <w:highlight w:val="none"/>
        </w:rPr>
        <w:t>身份证号码：</w:t>
      </w:r>
    </w:p>
    <w:p w14:paraId="14BFC606">
      <w:pPr>
        <w:spacing w:line="440" w:lineRule="exact"/>
        <w:rPr>
          <w:rFonts w:ascii="宋体" w:hAnsi="宋体"/>
          <w:highlight w:val="none"/>
        </w:rPr>
      </w:pPr>
    </w:p>
    <w:p w14:paraId="2B3ADD4C">
      <w:pPr>
        <w:spacing w:line="440" w:lineRule="exact"/>
        <w:ind w:firstLine="4830" w:firstLineChars="2300"/>
        <w:rPr>
          <w:rFonts w:hint="eastAsia" w:ascii="宋体" w:hAnsi="宋体"/>
          <w:highlight w:val="none"/>
        </w:rPr>
      </w:pPr>
      <w:r>
        <w:rPr>
          <w:rFonts w:hint="eastAsia" w:ascii="宋体" w:hAnsi="宋体"/>
          <w:highlight w:val="none"/>
        </w:rPr>
        <w:t>年</w:t>
      </w:r>
      <w:r>
        <w:rPr>
          <w:rFonts w:hint="eastAsia" w:ascii="宋体" w:hAnsi="宋体"/>
          <w:highlight w:val="none"/>
          <w:lang w:val="en-US" w:eastAsia="zh-CN"/>
        </w:rPr>
        <w:t xml:space="preserve">  </w:t>
      </w:r>
      <w:r>
        <w:rPr>
          <w:rFonts w:hint="eastAsia" w:ascii="宋体" w:hAnsi="宋体"/>
          <w:highlight w:val="none"/>
        </w:rPr>
        <w:t>月</w:t>
      </w:r>
      <w:r>
        <w:rPr>
          <w:rFonts w:hint="eastAsia" w:ascii="宋体" w:hAnsi="宋体"/>
          <w:highlight w:val="none"/>
          <w:lang w:val="en-US" w:eastAsia="zh-CN"/>
        </w:rPr>
        <w:t xml:space="preserve">  </w:t>
      </w:r>
      <w:r>
        <w:rPr>
          <w:rFonts w:hint="eastAsia" w:ascii="宋体" w:hAnsi="宋体"/>
          <w:highlight w:val="none"/>
        </w:rPr>
        <w:t>日</w:t>
      </w:r>
    </w:p>
    <w:p w14:paraId="0F47BA5A">
      <w:pPr>
        <w:spacing w:line="440" w:lineRule="exact"/>
        <w:ind w:firstLine="4830" w:firstLineChars="2300"/>
        <w:rPr>
          <w:rFonts w:hint="eastAsia" w:ascii="宋体" w:hAnsi="宋体"/>
          <w:highlight w:val="none"/>
        </w:rPr>
      </w:pPr>
    </w:p>
    <w:p w14:paraId="57730FD3">
      <w:pPr>
        <w:spacing w:line="440" w:lineRule="exact"/>
        <w:ind w:firstLine="4830" w:firstLineChars="2300"/>
        <w:rPr>
          <w:rFonts w:hint="eastAsia" w:ascii="宋体" w:hAnsi="宋体"/>
          <w:highlight w:val="none"/>
        </w:rPr>
      </w:pPr>
    </w:p>
    <w:p w14:paraId="23A0F505">
      <w:pPr>
        <w:spacing w:line="440" w:lineRule="exact"/>
        <w:ind w:firstLine="4830" w:firstLineChars="2300"/>
        <w:rPr>
          <w:rFonts w:ascii="宋体" w:hAnsi="宋体"/>
          <w:highlight w:val="none"/>
        </w:rPr>
      </w:pPr>
    </w:p>
    <w:p w14:paraId="6ED93069">
      <w:pPr>
        <w:spacing w:line="440" w:lineRule="exact"/>
        <w:ind w:firstLine="4830" w:firstLineChars="2300"/>
        <w:rPr>
          <w:rFonts w:ascii="宋体" w:hAnsi="宋体"/>
          <w:highlight w:val="none"/>
        </w:rPr>
      </w:pPr>
    </w:p>
    <w:p w14:paraId="60FECF0C">
      <w:pPr>
        <w:autoSpaceDE w:val="0"/>
        <w:autoSpaceDN w:val="0"/>
        <w:adjustRightInd w:val="0"/>
        <w:jc w:val="center"/>
        <w:rPr>
          <w:rFonts w:ascii="黑体" w:eastAsia="黑体"/>
          <w:b/>
          <w:sz w:val="24"/>
          <w:highlight w:val="none"/>
          <w:lang w:val="zh-CN"/>
        </w:rPr>
      </w:pPr>
      <w:bookmarkStart w:id="115" w:name="_Toc4788"/>
      <w:bookmarkStart w:id="116" w:name="_Toc403382863"/>
      <w:bookmarkStart w:id="117" w:name="_Toc18722"/>
      <w:r>
        <w:rPr>
          <w:rFonts w:hint="eastAsia" w:ascii="宋体" w:hAnsi="宋体"/>
          <w:b/>
          <w:sz w:val="30"/>
          <w:szCs w:val="30"/>
          <w:highlight w:val="none"/>
        </w:rPr>
        <w:t>四、</w:t>
      </w:r>
      <w:r>
        <w:rPr>
          <w:rFonts w:hint="eastAsia" w:ascii="宋体" w:hAnsi="宋体"/>
          <w:b/>
          <w:sz w:val="30"/>
          <w:szCs w:val="30"/>
          <w:highlight w:val="none"/>
          <w:lang w:val="zh-CN"/>
        </w:rPr>
        <w:t>法定代表人和被授权人身份证明</w:t>
      </w:r>
    </w:p>
    <w:p w14:paraId="6F84A097">
      <w:pPr>
        <w:spacing w:line="360" w:lineRule="auto"/>
        <w:ind w:firstLine="562" w:firstLineChars="200"/>
        <w:jc w:val="center"/>
        <w:rPr>
          <w:rFonts w:ascii="宋体" w:hAnsi="宋体"/>
          <w:b/>
          <w:sz w:val="28"/>
          <w:szCs w:val="28"/>
          <w:highlight w:val="none"/>
        </w:rPr>
      </w:pPr>
      <w:r>
        <w:rPr>
          <w:rFonts w:ascii="宋体" w:hAnsi="宋体"/>
          <w:b/>
          <w:sz w:val="28"/>
          <w:szCs w:val="28"/>
          <w:highlight w:val="none"/>
        </w:rPr>
        <w:t>（一）法定代表人身份证明</w:t>
      </w:r>
    </w:p>
    <w:p w14:paraId="5ED08BE3">
      <w:pPr>
        <w:spacing w:line="360" w:lineRule="auto"/>
        <w:ind w:firstLine="560" w:firstLineChars="200"/>
        <w:rPr>
          <w:rFonts w:ascii="宋体" w:hAnsi="宋体"/>
          <w:sz w:val="28"/>
          <w:szCs w:val="28"/>
          <w:highlight w:val="none"/>
        </w:rPr>
      </w:pPr>
      <w:r>
        <w:rPr>
          <w:rFonts w:hint="eastAsia" w:ascii="宋体" w:hAnsi="宋体"/>
          <w:sz w:val="28"/>
          <w:szCs w:val="28"/>
          <w:highlight w:val="none"/>
        </w:rPr>
        <w:t>供应商名称：</w:t>
      </w:r>
    </w:p>
    <w:p w14:paraId="638480BE">
      <w:pPr>
        <w:spacing w:line="360" w:lineRule="auto"/>
        <w:ind w:firstLine="560" w:firstLineChars="200"/>
        <w:rPr>
          <w:rFonts w:ascii="宋体" w:hAnsi="宋体"/>
          <w:sz w:val="28"/>
          <w:szCs w:val="28"/>
          <w:highlight w:val="none"/>
        </w:rPr>
      </w:pPr>
      <w:r>
        <w:rPr>
          <w:rFonts w:hint="eastAsia" w:ascii="宋体" w:hAnsi="宋体"/>
          <w:sz w:val="28"/>
          <w:szCs w:val="28"/>
          <w:highlight w:val="none"/>
        </w:rPr>
        <w:t>单位性质：</w:t>
      </w:r>
    </w:p>
    <w:p w14:paraId="2524BA58">
      <w:pPr>
        <w:spacing w:line="360" w:lineRule="auto"/>
        <w:ind w:firstLine="560" w:firstLineChars="200"/>
        <w:rPr>
          <w:rFonts w:ascii="宋体" w:hAnsi="宋体"/>
          <w:sz w:val="28"/>
          <w:szCs w:val="28"/>
          <w:highlight w:val="none"/>
        </w:rPr>
      </w:pPr>
      <w:r>
        <w:rPr>
          <w:rFonts w:hint="eastAsia" w:ascii="宋体" w:hAnsi="宋体"/>
          <w:sz w:val="28"/>
          <w:szCs w:val="28"/>
          <w:highlight w:val="none"/>
        </w:rPr>
        <w:t>地址：</w:t>
      </w:r>
    </w:p>
    <w:p w14:paraId="68C4B3DB">
      <w:pPr>
        <w:spacing w:line="360" w:lineRule="auto"/>
        <w:ind w:firstLine="560" w:firstLineChars="200"/>
        <w:rPr>
          <w:rFonts w:ascii="宋体" w:hAnsi="宋体"/>
          <w:sz w:val="28"/>
          <w:szCs w:val="28"/>
          <w:highlight w:val="none"/>
        </w:rPr>
      </w:pPr>
      <w:r>
        <w:rPr>
          <w:rFonts w:hint="eastAsia" w:ascii="宋体" w:hAnsi="宋体"/>
          <w:sz w:val="28"/>
          <w:szCs w:val="28"/>
          <w:highlight w:val="none"/>
        </w:rPr>
        <w:t>成立时间：年月＿日</w:t>
      </w:r>
    </w:p>
    <w:p w14:paraId="72C6BD34">
      <w:pPr>
        <w:spacing w:line="360" w:lineRule="auto"/>
        <w:ind w:firstLine="560" w:firstLineChars="200"/>
        <w:rPr>
          <w:rFonts w:ascii="宋体" w:hAnsi="宋体"/>
          <w:sz w:val="28"/>
          <w:szCs w:val="28"/>
          <w:highlight w:val="none"/>
        </w:rPr>
      </w:pPr>
      <w:r>
        <w:rPr>
          <w:rFonts w:hint="eastAsia" w:ascii="宋体" w:hAnsi="宋体"/>
          <w:sz w:val="28"/>
          <w:szCs w:val="28"/>
          <w:highlight w:val="none"/>
        </w:rPr>
        <w:t>经营期限：</w:t>
      </w:r>
    </w:p>
    <w:p w14:paraId="1FB0322B">
      <w:pPr>
        <w:spacing w:line="360" w:lineRule="auto"/>
        <w:ind w:firstLine="560" w:firstLineChars="200"/>
        <w:rPr>
          <w:rFonts w:ascii="宋体" w:hAnsi="宋体"/>
          <w:sz w:val="28"/>
          <w:szCs w:val="28"/>
          <w:highlight w:val="none"/>
        </w:rPr>
      </w:pPr>
      <w:r>
        <w:rPr>
          <w:rFonts w:hint="eastAsia" w:ascii="宋体" w:hAnsi="宋体"/>
          <w:sz w:val="28"/>
          <w:szCs w:val="28"/>
          <w:highlight w:val="none"/>
        </w:rPr>
        <w:t>姓名：性别：年龄：职务：</w:t>
      </w:r>
    </w:p>
    <w:p w14:paraId="22D913D6">
      <w:pPr>
        <w:spacing w:line="360" w:lineRule="auto"/>
        <w:ind w:firstLine="560" w:firstLineChars="200"/>
        <w:rPr>
          <w:rFonts w:ascii="宋体" w:hAnsi="宋体"/>
          <w:sz w:val="28"/>
          <w:szCs w:val="28"/>
          <w:highlight w:val="none"/>
        </w:rPr>
      </w:pPr>
      <w:r>
        <w:rPr>
          <w:rFonts w:hint="eastAsia" w:ascii="宋体" w:hAnsi="宋体"/>
          <w:sz w:val="28"/>
          <w:szCs w:val="28"/>
          <w:highlight w:val="none"/>
        </w:rPr>
        <w:t>系（投标人名称）的法定代表人。</w:t>
      </w:r>
    </w:p>
    <w:p w14:paraId="6596F74F">
      <w:pPr>
        <w:spacing w:line="360" w:lineRule="auto"/>
        <w:ind w:firstLine="1120" w:firstLineChars="400"/>
        <w:rPr>
          <w:rFonts w:ascii="宋体" w:hAnsi="宋体"/>
          <w:sz w:val="28"/>
          <w:szCs w:val="28"/>
          <w:highlight w:val="none"/>
        </w:rPr>
      </w:pPr>
      <w:r>
        <w:rPr>
          <w:rFonts w:hint="eastAsia" w:ascii="宋体" w:hAnsi="宋体"/>
          <w:sz w:val="28"/>
          <w:szCs w:val="28"/>
          <w:highlight w:val="none"/>
        </w:rPr>
        <w:t>特此证明。</w:t>
      </w:r>
    </w:p>
    <w:p w14:paraId="17A45F29">
      <w:pPr>
        <w:spacing w:line="360" w:lineRule="auto"/>
        <w:ind w:firstLine="560" w:firstLineChars="200"/>
        <w:rPr>
          <w:rFonts w:ascii="宋体" w:hAnsi="宋体"/>
          <w:sz w:val="28"/>
          <w:szCs w:val="28"/>
          <w:highlight w:val="none"/>
        </w:rPr>
      </w:pPr>
    </w:p>
    <w:p w14:paraId="25FC2A83">
      <w:pPr>
        <w:spacing w:line="360" w:lineRule="auto"/>
        <w:ind w:firstLine="560" w:firstLineChars="200"/>
        <w:rPr>
          <w:rFonts w:ascii="宋体" w:hAnsi="宋体"/>
          <w:sz w:val="28"/>
          <w:szCs w:val="28"/>
          <w:highlight w:val="none"/>
        </w:rPr>
      </w:pPr>
    </w:p>
    <w:p w14:paraId="5404F3E9">
      <w:pPr>
        <w:spacing w:line="360" w:lineRule="auto"/>
        <w:rPr>
          <w:rFonts w:ascii="宋体" w:hAnsi="宋体"/>
          <w:sz w:val="28"/>
          <w:szCs w:val="28"/>
          <w:highlight w:val="none"/>
        </w:rPr>
      </w:pPr>
      <w:r>
        <w:rPr>
          <w:rFonts w:hint="eastAsia" w:ascii="宋体" w:hAnsi="宋体"/>
          <w:sz w:val="28"/>
          <w:szCs w:val="28"/>
          <w:highlight w:val="none"/>
        </w:rPr>
        <w:t>供应商：（盖单位章）</w:t>
      </w:r>
    </w:p>
    <w:p w14:paraId="4FC211D9">
      <w:pPr>
        <w:spacing w:line="360" w:lineRule="auto"/>
        <w:ind w:firstLine="6020" w:firstLineChars="2150"/>
        <w:rPr>
          <w:rFonts w:ascii="宋体" w:hAnsi="宋体"/>
          <w:sz w:val="28"/>
          <w:szCs w:val="28"/>
          <w:highlight w:val="none"/>
          <w:u w:val="single"/>
        </w:rPr>
      </w:pPr>
    </w:p>
    <w:p w14:paraId="205AD24A">
      <w:pPr>
        <w:widowControl/>
        <w:jc w:val="left"/>
        <w:rPr>
          <w:rFonts w:ascii="宋体" w:hAnsi="宋体"/>
          <w:sz w:val="28"/>
          <w:szCs w:val="28"/>
          <w:highlight w:val="none"/>
        </w:rPr>
      </w:pPr>
      <w:r>
        <w:rPr>
          <w:rFonts w:hint="eastAsia" w:ascii="宋体" w:hAnsi="宋体"/>
          <w:sz w:val="28"/>
          <w:szCs w:val="28"/>
          <w:highlight w:val="none"/>
        </w:rPr>
        <w:t>年月日</w:t>
      </w:r>
    </w:p>
    <w:p w14:paraId="09E90704">
      <w:pPr>
        <w:widowControl/>
        <w:jc w:val="left"/>
        <w:rPr>
          <w:rFonts w:ascii="宋体" w:hAnsi="宋体"/>
          <w:sz w:val="28"/>
          <w:szCs w:val="28"/>
          <w:highlight w:val="none"/>
        </w:rPr>
      </w:pPr>
    </w:p>
    <w:p w14:paraId="5C5B0224">
      <w:pPr>
        <w:widowControl/>
        <w:jc w:val="left"/>
        <w:rPr>
          <w:rFonts w:ascii="宋体" w:hAnsi="宋体"/>
          <w:sz w:val="28"/>
          <w:szCs w:val="28"/>
          <w:highlight w:val="none"/>
        </w:rPr>
      </w:pPr>
    </w:p>
    <w:p w14:paraId="718050F9">
      <w:pPr>
        <w:widowControl/>
        <w:jc w:val="left"/>
        <w:rPr>
          <w:rFonts w:ascii="宋体" w:hAnsi="宋体"/>
          <w:sz w:val="28"/>
          <w:szCs w:val="28"/>
          <w:highlight w:val="none"/>
        </w:rPr>
      </w:pPr>
    </w:p>
    <w:p w14:paraId="3FC1D8F4">
      <w:pPr>
        <w:widowControl/>
        <w:jc w:val="left"/>
        <w:rPr>
          <w:rFonts w:ascii="宋体" w:hAnsi="宋体"/>
          <w:sz w:val="28"/>
          <w:szCs w:val="28"/>
          <w:highlight w:val="none"/>
        </w:rPr>
      </w:pPr>
    </w:p>
    <w:p w14:paraId="47EFA322">
      <w:pPr>
        <w:widowControl/>
        <w:jc w:val="left"/>
        <w:rPr>
          <w:rFonts w:ascii="宋体" w:hAnsi="宋体"/>
          <w:b/>
          <w:sz w:val="30"/>
          <w:szCs w:val="30"/>
          <w:highlight w:val="none"/>
        </w:rPr>
      </w:pPr>
      <w:r>
        <w:rPr>
          <w:rFonts w:ascii="宋体" w:hAnsi="宋体"/>
          <w:b/>
          <w:sz w:val="30"/>
          <w:szCs w:val="30"/>
          <w:highlight w:val="none"/>
        </w:rPr>
        <w:br w:type="page"/>
      </w:r>
    </w:p>
    <w:p w14:paraId="03E4CAD5">
      <w:pPr>
        <w:widowControl/>
        <w:jc w:val="center"/>
        <w:rPr>
          <w:rFonts w:ascii="宋体" w:hAnsi="宋体"/>
          <w:b/>
          <w:sz w:val="30"/>
          <w:szCs w:val="30"/>
          <w:highlight w:val="none"/>
        </w:rPr>
      </w:pPr>
      <w:r>
        <w:rPr>
          <w:rFonts w:ascii="宋体" w:hAnsi="宋体"/>
          <w:b/>
          <w:sz w:val="30"/>
          <w:szCs w:val="30"/>
          <w:highlight w:val="none"/>
        </w:rPr>
        <w:t>（二）法定代表人及被授权人身份证影印件</w:t>
      </w:r>
    </w:p>
    <w:p w14:paraId="18CE5376">
      <w:pPr>
        <w:rPr>
          <w:rFonts w:ascii="宋体" w:hAnsi="宋体"/>
          <w:b/>
          <w:sz w:val="30"/>
          <w:szCs w:val="30"/>
          <w:highlight w:val="none"/>
        </w:rPr>
      </w:pPr>
      <w:r>
        <w:rPr>
          <w:rFonts w:ascii="宋体" w:hAnsi="宋体"/>
          <w:b/>
          <w:sz w:val="30"/>
          <w:szCs w:val="30"/>
          <w:highlight w:val="none"/>
        </w:rPr>
        <w:br w:type="page"/>
      </w:r>
    </w:p>
    <w:p w14:paraId="13483586">
      <w:pPr>
        <w:numPr>
          <w:ilvl w:val="0"/>
          <w:numId w:val="11"/>
        </w:numPr>
        <w:autoSpaceDE w:val="0"/>
        <w:autoSpaceDN w:val="0"/>
        <w:adjustRightInd w:val="0"/>
        <w:jc w:val="center"/>
        <w:rPr>
          <w:rFonts w:hint="eastAsia" w:ascii="宋体" w:hAnsi="宋体"/>
          <w:b/>
          <w:sz w:val="30"/>
          <w:szCs w:val="30"/>
          <w:highlight w:val="none"/>
          <w:lang w:val="en-US" w:eastAsia="zh-CN"/>
        </w:rPr>
      </w:pPr>
      <w:r>
        <w:rPr>
          <w:rFonts w:hint="eastAsia" w:ascii="宋体" w:hAnsi="宋体"/>
          <w:b/>
          <w:sz w:val="30"/>
          <w:szCs w:val="30"/>
          <w:highlight w:val="none"/>
          <w:lang w:val="en-US" w:eastAsia="zh-CN"/>
        </w:rPr>
        <w:t>投标保证金</w:t>
      </w:r>
    </w:p>
    <w:p w14:paraId="5A2F2454">
      <w:pPr>
        <w:pStyle w:val="6"/>
        <w:numPr>
          <w:ilvl w:val="0"/>
          <w:numId w:val="0"/>
        </w:numPr>
        <w:rPr>
          <w:rFonts w:hint="default"/>
          <w:highlight w:val="none"/>
          <w:lang w:val="en-US" w:eastAsia="zh-CN"/>
        </w:rPr>
      </w:pPr>
      <w:r>
        <w:rPr>
          <w:rFonts w:hint="eastAsia"/>
          <w:highlight w:val="none"/>
          <w:lang w:val="en-US" w:eastAsia="zh-CN"/>
        </w:rPr>
        <w:t>格式自拟</w:t>
      </w:r>
    </w:p>
    <w:p w14:paraId="2098D5EC">
      <w:pPr>
        <w:widowControl/>
        <w:jc w:val="center"/>
        <w:rPr>
          <w:rFonts w:ascii="宋体" w:hAnsi="宋体"/>
          <w:b/>
          <w:sz w:val="30"/>
          <w:szCs w:val="30"/>
          <w:highlight w:val="none"/>
        </w:rPr>
      </w:pPr>
      <w:r>
        <w:rPr>
          <w:rFonts w:ascii="宋体" w:hAnsi="宋体"/>
          <w:b/>
          <w:sz w:val="30"/>
          <w:szCs w:val="30"/>
          <w:highlight w:val="none"/>
        </w:rPr>
        <w:br w:type="page"/>
      </w:r>
    </w:p>
    <w:p w14:paraId="701AEAD0">
      <w:pPr>
        <w:spacing w:line="360" w:lineRule="auto"/>
        <w:jc w:val="center"/>
        <w:rPr>
          <w:rFonts w:ascii="宋体" w:hAnsi="宋体"/>
          <w:b/>
          <w:sz w:val="30"/>
          <w:szCs w:val="30"/>
          <w:highlight w:val="none"/>
        </w:rPr>
      </w:pPr>
      <w:r>
        <w:rPr>
          <w:rFonts w:hint="eastAsia" w:ascii="宋体" w:hAnsi="宋体"/>
          <w:b/>
          <w:sz w:val="30"/>
          <w:szCs w:val="30"/>
          <w:highlight w:val="none"/>
          <w:lang w:val="en-US" w:eastAsia="zh-CN"/>
        </w:rPr>
        <w:t>六</w:t>
      </w:r>
      <w:r>
        <w:rPr>
          <w:rFonts w:hint="eastAsia" w:ascii="宋体" w:hAnsi="宋体"/>
          <w:b/>
          <w:sz w:val="30"/>
          <w:szCs w:val="30"/>
          <w:highlight w:val="none"/>
        </w:rPr>
        <w:t>、开标一览表</w:t>
      </w:r>
    </w:p>
    <w:tbl>
      <w:tblPr>
        <w:tblStyle w:val="46"/>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9"/>
      </w:tblGrid>
      <w:tr w14:paraId="28D3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9099" w:type="dxa"/>
            <w:noWrap w:val="0"/>
            <w:vAlign w:val="center"/>
          </w:tcPr>
          <w:p w14:paraId="2654960C">
            <w:pPr>
              <w:jc w:val="center"/>
              <w:rPr>
                <w:rFonts w:hint="eastAsia" w:ascii="新宋体" w:hAnsi="新宋体" w:eastAsia="新宋体"/>
                <w:color w:val="000000"/>
                <w:sz w:val="28"/>
                <w:szCs w:val="28"/>
                <w:highlight w:val="none"/>
              </w:rPr>
            </w:pPr>
            <w:r>
              <w:rPr>
                <w:rFonts w:hint="eastAsia" w:ascii="新宋体" w:hAnsi="新宋体" w:eastAsia="新宋体"/>
                <w:color w:val="000000"/>
                <w:sz w:val="28"/>
                <w:szCs w:val="28"/>
                <w:highlight w:val="none"/>
              </w:rPr>
              <w:t>按照本项目系统中所规定格式及要求进行填写</w:t>
            </w:r>
          </w:p>
        </w:tc>
      </w:tr>
    </w:tbl>
    <w:p w14:paraId="6E848B9C">
      <w:pPr>
        <w:spacing w:line="360" w:lineRule="auto"/>
        <w:rPr>
          <w:rFonts w:ascii="宋体" w:hAnsi="宋体"/>
          <w:sz w:val="26"/>
          <w:highlight w:val="none"/>
        </w:rPr>
      </w:pPr>
    </w:p>
    <w:p w14:paraId="3CDE8C4F">
      <w:pPr>
        <w:widowControl/>
        <w:jc w:val="left"/>
        <w:rPr>
          <w:rFonts w:ascii="宋体" w:hAnsi="宋体"/>
          <w:sz w:val="26"/>
          <w:highlight w:val="none"/>
        </w:rPr>
      </w:pPr>
      <w:r>
        <w:rPr>
          <w:rFonts w:hint="eastAsia" w:ascii="宋体" w:hAnsi="宋体"/>
          <w:b/>
          <w:bCs/>
          <w:sz w:val="26"/>
          <w:highlight w:val="none"/>
        </w:rPr>
        <w:t>说明</w:t>
      </w:r>
      <w:r>
        <w:rPr>
          <w:rFonts w:hint="eastAsia" w:ascii="宋体" w:hAnsi="宋体"/>
          <w:sz w:val="26"/>
          <w:highlight w:val="none"/>
        </w:rPr>
        <w:t xml:space="preserve">： </w:t>
      </w:r>
    </w:p>
    <w:p w14:paraId="768FE33D">
      <w:pPr>
        <w:widowControl/>
        <w:jc w:val="left"/>
        <w:rPr>
          <w:rFonts w:ascii="宋体" w:hAnsi="宋体"/>
          <w:sz w:val="26"/>
          <w:highlight w:val="none"/>
        </w:rPr>
      </w:pPr>
      <w:r>
        <w:rPr>
          <w:rFonts w:hint="eastAsia" w:ascii="宋体" w:hAnsi="宋体"/>
          <w:sz w:val="26"/>
          <w:highlight w:val="none"/>
        </w:rPr>
        <w:t>1、“开标一览表”以电子投标文件中的格式进行填写，开标时唱标使用解密后的“开标一览表”。</w:t>
      </w:r>
    </w:p>
    <w:p w14:paraId="5FF9DDF3">
      <w:pPr>
        <w:widowControl/>
        <w:jc w:val="left"/>
        <w:rPr>
          <w:rFonts w:ascii="宋体" w:hAnsi="宋体"/>
          <w:sz w:val="26"/>
          <w:highlight w:val="none"/>
        </w:rPr>
      </w:pPr>
      <w:r>
        <w:rPr>
          <w:rFonts w:hint="eastAsia" w:ascii="宋体" w:hAnsi="宋体"/>
          <w:sz w:val="26"/>
          <w:highlight w:val="none"/>
        </w:rPr>
        <w:t>2、“开标一览表”的内容应与“投标报价明细表”以及投标文件的其他相关内容一致。如果“开标一览表”的内容与“投标报价明细表”以及投标文件的其他相关内容不一致，则以“开标一览表”的内容为准。</w:t>
      </w:r>
    </w:p>
    <w:p w14:paraId="538FE842">
      <w:pPr>
        <w:widowControl/>
        <w:jc w:val="left"/>
        <w:rPr>
          <w:rFonts w:ascii="宋体" w:hAnsi="宋体"/>
          <w:sz w:val="26"/>
          <w:highlight w:val="none"/>
        </w:rPr>
      </w:pPr>
      <w:r>
        <w:rPr>
          <w:rFonts w:hint="eastAsia" w:ascii="宋体" w:hAnsi="宋体"/>
          <w:sz w:val="26"/>
          <w:highlight w:val="none"/>
        </w:rPr>
        <w:t>3、“开标一览表”中各个栏目都必须完整、准确填写。开标时，“开标一览表”的所有内容都不允许补充或者修改。</w:t>
      </w:r>
    </w:p>
    <w:p w14:paraId="3730E4AD">
      <w:pPr>
        <w:widowControl/>
        <w:jc w:val="left"/>
        <w:rPr>
          <w:rFonts w:ascii="宋体" w:hAnsi="宋体"/>
          <w:sz w:val="26"/>
          <w:highlight w:val="none"/>
        </w:rPr>
      </w:pPr>
      <w:r>
        <w:rPr>
          <w:rFonts w:hint="eastAsia" w:ascii="宋体" w:hAnsi="宋体"/>
          <w:sz w:val="26"/>
          <w:highlight w:val="none"/>
        </w:rPr>
        <w:t>4、“开标一览表”是投标文件的组成部分，必须按要求签署和加盖公章，否则为无效投标。</w:t>
      </w:r>
    </w:p>
    <w:p w14:paraId="1688CBEE">
      <w:pPr>
        <w:widowControl/>
        <w:jc w:val="left"/>
        <w:rPr>
          <w:rFonts w:ascii="宋体" w:hAnsi="宋体"/>
          <w:sz w:val="26"/>
          <w:highlight w:val="none"/>
        </w:rPr>
      </w:pPr>
    </w:p>
    <w:p w14:paraId="0172D686">
      <w:pPr>
        <w:widowControl/>
        <w:jc w:val="left"/>
        <w:rPr>
          <w:rFonts w:ascii="宋体" w:hAnsi="宋体"/>
          <w:sz w:val="26"/>
          <w:highlight w:val="none"/>
        </w:rPr>
      </w:pPr>
      <w:r>
        <w:rPr>
          <w:rFonts w:ascii="宋体" w:hAnsi="宋体"/>
          <w:b/>
          <w:sz w:val="30"/>
          <w:szCs w:val="30"/>
          <w:highlight w:val="none"/>
        </w:rPr>
        <w:br w:type="page"/>
      </w:r>
    </w:p>
    <w:p w14:paraId="57D1DCF9">
      <w:pPr>
        <w:keepNext/>
        <w:keepLines/>
        <w:spacing w:before="100" w:line="400" w:lineRule="exact"/>
        <w:jc w:val="center"/>
        <w:outlineLvl w:val="1"/>
        <w:rPr>
          <w:rFonts w:ascii="宋体" w:hAnsi="宋体" w:cs="宋体"/>
          <w:b/>
          <w:sz w:val="30"/>
          <w:szCs w:val="30"/>
          <w:highlight w:val="none"/>
        </w:rPr>
      </w:pPr>
      <w:bookmarkStart w:id="118" w:name="_Toc89350338"/>
      <w:r>
        <w:rPr>
          <w:rFonts w:hint="eastAsia" w:ascii="宋体" w:hAnsi="宋体" w:cs="宋体"/>
          <w:b/>
          <w:sz w:val="30"/>
          <w:szCs w:val="30"/>
          <w:highlight w:val="none"/>
          <w:lang w:val="en-US" w:eastAsia="zh-CN"/>
        </w:rPr>
        <w:t>七</w:t>
      </w:r>
      <w:r>
        <w:rPr>
          <w:rFonts w:hint="eastAsia" w:ascii="宋体" w:hAnsi="宋体" w:cs="宋体"/>
          <w:b/>
          <w:sz w:val="30"/>
          <w:szCs w:val="30"/>
          <w:highlight w:val="none"/>
        </w:rPr>
        <w:t>、投标报价明细表</w:t>
      </w:r>
      <w:bookmarkEnd w:id="118"/>
    </w:p>
    <w:p w14:paraId="1EDCA2D3">
      <w:pPr>
        <w:spacing w:line="300" w:lineRule="auto"/>
        <w:rPr>
          <w:rFonts w:ascii="宋体" w:hAnsi="宋体"/>
          <w:highlight w:val="none"/>
        </w:rPr>
      </w:pPr>
    </w:p>
    <w:tbl>
      <w:tblPr>
        <w:tblStyle w:val="46"/>
        <w:tblW w:w="9535" w:type="dxa"/>
        <w:jc w:val="center"/>
        <w:tblLayout w:type="fixed"/>
        <w:tblCellMar>
          <w:top w:w="0" w:type="dxa"/>
          <w:left w:w="10" w:type="dxa"/>
          <w:bottom w:w="0" w:type="dxa"/>
          <w:right w:w="10" w:type="dxa"/>
        </w:tblCellMar>
      </w:tblPr>
      <w:tblGrid>
        <w:gridCol w:w="4858"/>
        <w:gridCol w:w="2438"/>
        <w:gridCol w:w="1162"/>
        <w:gridCol w:w="1077"/>
      </w:tblGrid>
      <w:tr w14:paraId="089939F2">
        <w:tblPrEx>
          <w:tblCellMar>
            <w:top w:w="0" w:type="dxa"/>
            <w:left w:w="10" w:type="dxa"/>
            <w:bottom w:w="0" w:type="dxa"/>
            <w:right w:w="10" w:type="dxa"/>
          </w:tblCellMar>
        </w:tblPrEx>
        <w:trPr>
          <w:trHeight w:val="1281" w:hRule="atLeast"/>
          <w:jc w:val="center"/>
        </w:trPr>
        <w:tc>
          <w:tcPr>
            <w:tcW w:w="48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9DF75B9">
            <w:pPr>
              <w:spacing w:before="0" w:after="0" w:line="240" w:lineRule="auto"/>
              <w:ind w:left="0" w:right="0" w:firstLine="0"/>
              <w:jc w:val="center"/>
              <w:rPr>
                <w:rFonts w:ascii="宋体" w:hAnsi="宋体" w:eastAsia="宋体" w:cs="宋体"/>
                <w:color w:val="auto"/>
                <w:spacing w:val="0"/>
                <w:kern w:val="0"/>
                <w:position w:val="0"/>
                <w:szCs w:val="22"/>
                <w:highlight w:val="none"/>
                <w:shd w:val="clear" w:color="auto" w:fill="auto"/>
              </w:rPr>
            </w:pPr>
            <w:r>
              <w:rPr>
                <w:rFonts w:hint="eastAsia" w:ascii="宋体" w:hAnsi="宋体" w:eastAsia="宋体" w:cs="Times New Roman"/>
                <w:b/>
                <w:color w:val="auto"/>
                <w:sz w:val="24"/>
                <w:szCs w:val="24"/>
                <w:highlight w:val="none"/>
              </w:rPr>
              <w:t>服务项目</w:t>
            </w:r>
          </w:p>
        </w:tc>
        <w:tc>
          <w:tcPr>
            <w:tcW w:w="243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8791737">
            <w:pPr>
              <w:spacing w:before="0" w:after="0" w:line="240" w:lineRule="auto"/>
              <w:ind w:left="0" w:right="0" w:firstLine="0"/>
              <w:jc w:val="center"/>
              <w:rPr>
                <w:rFonts w:hint="eastAsia" w:ascii="宋体" w:hAnsi="宋体" w:eastAsia="宋体" w:cs="宋体"/>
                <w:color w:val="auto"/>
                <w:spacing w:val="0"/>
                <w:kern w:val="0"/>
                <w:position w:val="0"/>
                <w:szCs w:val="22"/>
                <w:highlight w:val="none"/>
                <w:shd w:val="clear" w:color="auto" w:fill="auto"/>
                <w:lang w:val="en-US" w:eastAsia="zh-CN"/>
              </w:rPr>
            </w:pPr>
            <w:r>
              <w:rPr>
                <w:rFonts w:ascii="宋体" w:hAnsi="宋体" w:eastAsia="宋体" w:cs="宋体"/>
                <w:b/>
                <w:color w:val="auto"/>
                <w:spacing w:val="0"/>
                <w:kern w:val="0"/>
                <w:position w:val="0"/>
                <w:sz w:val="24"/>
                <w:szCs w:val="22"/>
                <w:highlight w:val="none"/>
                <w:shd w:val="clear" w:color="auto" w:fill="auto"/>
              </w:rPr>
              <w:t>服务</w:t>
            </w:r>
            <w:r>
              <w:rPr>
                <w:rFonts w:hint="eastAsia" w:ascii="宋体" w:hAnsi="宋体" w:cs="宋体"/>
                <w:b/>
                <w:color w:val="auto"/>
                <w:spacing w:val="0"/>
                <w:kern w:val="0"/>
                <w:position w:val="0"/>
                <w:sz w:val="24"/>
                <w:szCs w:val="22"/>
                <w:highlight w:val="none"/>
                <w:shd w:val="clear" w:color="auto" w:fill="auto"/>
                <w:lang w:val="en-US" w:eastAsia="zh-CN"/>
              </w:rPr>
              <w:t>期限</w:t>
            </w:r>
          </w:p>
        </w:tc>
        <w:tc>
          <w:tcPr>
            <w:tcW w:w="116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42BBCDF">
            <w:pPr>
              <w:spacing w:before="0" w:after="0" w:line="240" w:lineRule="auto"/>
              <w:ind w:left="0" w:right="0" w:firstLine="0"/>
              <w:jc w:val="center"/>
              <w:rPr>
                <w:rFonts w:ascii="Calibri" w:hAnsi="Calibri" w:eastAsia="Calibri" w:cs="Calibri"/>
                <w:b/>
                <w:color w:val="auto"/>
                <w:spacing w:val="0"/>
                <w:kern w:val="0"/>
                <w:position w:val="0"/>
                <w:sz w:val="24"/>
                <w:szCs w:val="22"/>
                <w:highlight w:val="none"/>
                <w:shd w:val="clear" w:color="auto" w:fill="auto"/>
              </w:rPr>
            </w:pPr>
            <w:r>
              <w:rPr>
                <w:rFonts w:hint="eastAsia" w:ascii="宋体" w:hAnsi="宋体" w:eastAsia="宋体" w:cs="宋体"/>
                <w:b/>
                <w:color w:val="auto"/>
                <w:spacing w:val="0"/>
                <w:kern w:val="0"/>
                <w:position w:val="0"/>
                <w:sz w:val="24"/>
                <w:szCs w:val="22"/>
                <w:highlight w:val="none"/>
                <w:shd w:val="clear" w:color="auto" w:fill="auto"/>
                <w:lang w:val="en-US" w:eastAsia="zh-CN"/>
              </w:rPr>
              <w:t>总</w:t>
            </w:r>
            <w:r>
              <w:rPr>
                <w:rFonts w:ascii="宋体" w:hAnsi="宋体" w:eastAsia="宋体" w:cs="宋体"/>
                <w:b/>
                <w:color w:val="auto"/>
                <w:spacing w:val="0"/>
                <w:kern w:val="0"/>
                <w:position w:val="0"/>
                <w:sz w:val="24"/>
                <w:szCs w:val="22"/>
                <w:highlight w:val="none"/>
                <w:shd w:val="clear" w:color="auto" w:fill="auto"/>
              </w:rPr>
              <w:t>价</w:t>
            </w:r>
          </w:p>
          <w:p w14:paraId="7C146BBD">
            <w:pPr>
              <w:spacing w:before="0" w:after="0" w:line="240" w:lineRule="auto"/>
              <w:ind w:left="0" w:right="0" w:firstLine="0"/>
              <w:jc w:val="center"/>
              <w:rPr>
                <w:rFonts w:ascii="Calibri" w:hAnsi="Calibri" w:eastAsia="宋体" w:cs="Times New Roman"/>
                <w:color w:val="auto"/>
                <w:spacing w:val="0"/>
                <w:kern w:val="0"/>
                <w:position w:val="0"/>
                <w:szCs w:val="22"/>
                <w:highlight w:val="none"/>
                <w:shd w:val="clear" w:color="auto" w:fill="auto"/>
              </w:rPr>
            </w:pPr>
            <w:r>
              <w:rPr>
                <w:rFonts w:ascii="宋体" w:hAnsi="宋体" w:eastAsia="宋体" w:cs="宋体"/>
                <w:b/>
                <w:color w:val="auto"/>
                <w:spacing w:val="0"/>
                <w:kern w:val="0"/>
                <w:position w:val="0"/>
                <w:sz w:val="24"/>
                <w:szCs w:val="22"/>
                <w:highlight w:val="none"/>
                <w:shd w:val="clear" w:color="auto" w:fill="auto"/>
              </w:rPr>
              <w:t>（元）</w:t>
            </w:r>
          </w:p>
        </w:tc>
        <w:tc>
          <w:tcPr>
            <w:tcW w:w="107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B283D92">
            <w:pPr>
              <w:spacing w:before="0" w:after="0" w:line="240" w:lineRule="auto"/>
              <w:ind w:left="0" w:right="0" w:firstLine="0"/>
              <w:jc w:val="center"/>
              <w:rPr>
                <w:rFonts w:ascii="宋体" w:hAnsi="宋体" w:eastAsia="宋体" w:cs="宋体"/>
                <w:color w:val="auto"/>
                <w:spacing w:val="0"/>
                <w:kern w:val="0"/>
                <w:position w:val="0"/>
                <w:szCs w:val="22"/>
                <w:highlight w:val="none"/>
                <w:shd w:val="clear" w:color="auto" w:fill="auto"/>
              </w:rPr>
            </w:pPr>
            <w:r>
              <w:rPr>
                <w:rFonts w:ascii="宋体" w:hAnsi="宋体" w:eastAsia="宋体" w:cs="宋体"/>
                <w:b/>
                <w:color w:val="auto"/>
                <w:spacing w:val="0"/>
                <w:kern w:val="0"/>
                <w:position w:val="0"/>
                <w:sz w:val="24"/>
                <w:szCs w:val="22"/>
                <w:highlight w:val="none"/>
                <w:shd w:val="clear" w:color="auto" w:fill="auto"/>
              </w:rPr>
              <w:t>备注</w:t>
            </w:r>
          </w:p>
        </w:tc>
      </w:tr>
      <w:tr w14:paraId="69E795AB">
        <w:tblPrEx>
          <w:tblCellMar>
            <w:top w:w="0" w:type="dxa"/>
            <w:left w:w="10" w:type="dxa"/>
            <w:bottom w:w="0" w:type="dxa"/>
            <w:right w:w="10" w:type="dxa"/>
          </w:tblCellMar>
        </w:tblPrEx>
        <w:trPr>
          <w:trHeight w:val="1281" w:hRule="atLeast"/>
          <w:jc w:val="center"/>
        </w:trPr>
        <w:tc>
          <w:tcPr>
            <w:tcW w:w="48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0692AA1">
            <w:pPr>
              <w:spacing w:before="0" w:after="0" w:line="240" w:lineRule="auto"/>
              <w:ind w:left="0" w:right="0" w:firstLine="0"/>
              <w:jc w:val="center"/>
              <w:rPr>
                <w:rFonts w:hint="eastAsia" w:ascii="Calibri" w:hAnsi="Calibri" w:eastAsia="宋体" w:cs="Times New Roman"/>
                <w:color w:val="auto"/>
                <w:spacing w:val="0"/>
                <w:kern w:val="0"/>
                <w:position w:val="0"/>
                <w:szCs w:val="22"/>
                <w:highlight w:val="none"/>
                <w:shd w:val="clear" w:color="auto" w:fill="auto"/>
                <w:lang w:eastAsia="zh-CN"/>
              </w:rPr>
            </w:pPr>
          </w:p>
        </w:tc>
        <w:tc>
          <w:tcPr>
            <w:tcW w:w="243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C1FF531">
            <w:pPr>
              <w:spacing w:before="0" w:after="0" w:line="240" w:lineRule="auto"/>
              <w:ind w:left="0" w:right="0" w:firstLine="0"/>
              <w:jc w:val="center"/>
              <w:rPr>
                <w:rFonts w:ascii="Calibri" w:hAnsi="Calibri" w:eastAsia="宋体" w:cs="Times New Roman"/>
                <w:color w:val="auto"/>
                <w:spacing w:val="0"/>
                <w:kern w:val="0"/>
                <w:position w:val="0"/>
                <w:szCs w:val="22"/>
                <w:highlight w:val="none"/>
                <w:shd w:val="clear" w:color="auto" w:fill="auto"/>
              </w:rPr>
            </w:pPr>
          </w:p>
        </w:tc>
        <w:tc>
          <w:tcPr>
            <w:tcW w:w="116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120D051">
            <w:pPr>
              <w:spacing w:before="0" w:after="0" w:line="240" w:lineRule="auto"/>
              <w:ind w:left="0" w:right="0" w:firstLine="0"/>
              <w:jc w:val="center"/>
              <w:rPr>
                <w:rFonts w:ascii="宋体" w:hAnsi="宋体" w:eastAsia="宋体" w:cs="宋体"/>
                <w:color w:val="auto"/>
                <w:spacing w:val="0"/>
                <w:kern w:val="0"/>
                <w:position w:val="0"/>
                <w:sz w:val="22"/>
                <w:szCs w:val="22"/>
                <w:highlight w:val="none"/>
                <w:shd w:val="clear" w:color="auto" w:fill="auto"/>
              </w:rPr>
            </w:pPr>
          </w:p>
        </w:tc>
        <w:tc>
          <w:tcPr>
            <w:tcW w:w="107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AC57962">
            <w:pPr>
              <w:spacing w:before="0" w:after="0" w:line="240" w:lineRule="auto"/>
              <w:ind w:left="0" w:right="0" w:firstLine="0"/>
              <w:jc w:val="center"/>
              <w:rPr>
                <w:rFonts w:ascii="宋体" w:hAnsi="宋体" w:eastAsia="宋体" w:cs="宋体"/>
                <w:color w:val="auto"/>
                <w:spacing w:val="0"/>
                <w:kern w:val="0"/>
                <w:position w:val="0"/>
                <w:sz w:val="22"/>
                <w:szCs w:val="22"/>
                <w:highlight w:val="none"/>
                <w:shd w:val="clear" w:color="auto" w:fill="auto"/>
              </w:rPr>
            </w:pPr>
          </w:p>
        </w:tc>
      </w:tr>
      <w:bookmarkEnd w:id="115"/>
      <w:bookmarkEnd w:id="116"/>
      <w:bookmarkEnd w:id="117"/>
    </w:tbl>
    <w:p w14:paraId="0691BB15">
      <w:pPr>
        <w:widowControl/>
        <w:jc w:val="left"/>
        <w:rPr>
          <w:rFonts w:hint="eastAsia" w:ascii="华文细黑" w:hAnsi="华文细黑" w:eastAsia="华文细黑" w:cs="华文细黑"/>
          <w:b/>
          <w:sz w:val="32"/>
          <w:szCs w:val="32"/>
          <w:highlight w:val="none"/>
          <w:lang w:bidi="ar"/>
        </w:rPr>
      </w:pPr>
      <w:bookmarkStart w:id="119" w:name="_Toc403382884"/>
      <w:bookmarkStart w:id="120" w:name="_Toc403382882"/>
    </w:p>
    <w:p w14:paraId="0DB2C64F">
      <w:pPr>
        <w:widowControl/>
        <w:jc w:val="left"/>
        <w:rPr>
          <w:rFonts w:hint="eastAsia" w:ascii="华文细黑" w:hAnsi="华文细黑" w:eastAsia="华文细黑" w:cs="华文细黑"/>
          <w:b/>
          <w:sz w:val="32"/>
          <w:szCs w:val="32"/>
          <w:highlight w:val="none"/>
          <w:lang w:bidi="ar"/>
        </w:rPr>
      </w:pPr>
    </w:p>
    <w:p w14:paraId="5E81DF16">
      <w:pPr>
        <w:tabs>
          <w:tab w:val="left" w:pos="1365"/>
        </w:tabs>
        <w:wordWrap w:val="0"/>
        <w:ind w:firstLine="640" w:firstLineChars="200"/>
        <w:jc w:val="center"/>
        <w:rPr>
          <w:rFonts w:hint="eastAsia" w:ascii="华文细黑" w:hAnsi="华文细黑" w:eastAsia="华文细黑" w:cs="华文细黑"/>
          <w:b/>
          <w:sz w:val="32"/>
          <w:szCs w:val="32"/>
          <w:highlight w:val="none"/>
          <w:lang w:bidi="ar"/>
        </w:rPr>
      </w:pPr>
    </w:p>
    <w:p w14:paraId="25D49397">
      <w:pPr>
        <w:tabs>
          <w:tab w:val="left" w:pos="1365"/>
        </w:tabs>
        <w:wordWrap w:val="0"/>
        <w:ind w:firstLine="640" w:firstLineChars="200"/>
        <w:jc w:val="center"/>
        <w:rPr>
          <w:rFonts w:hint="eastAsia" w:ascii="华文细黑" w:hAnsi="华文细黑" w:eastAsia="华文细黑" w:cs="华文细黑"/>
          <w:b/>
          <w:sz w:val="32"/>
          <w:szCs w:val="32"/>
          <w:highlight w:val="none"/>
          <w:lang w:bidi="ar"/>
        </w:rPr>
      </w:pPr>
    </w:p>
    <w:p w14:paraId="09E27DCA">
      <w:pPr>
        <w:tabs>
          <w:tab w:val="left" w:pos="1365"/>
        </w:tabs>
        <w:wordWrap w:val="0"/>
        <w:ind w:firstLine="640" w:firstLineChars="200"/>
        <w:jc w:val="center"/>
        <w:rPr>
          <w:rFonts w:hint="eastAsia" w:ascii="华文细黑" w:hAnsi="华文细黑" w:eastAsia="华文细黑" w:cs="华文细黑"/>
          <w:b/>
          <w:sz w:val="32"/>
          <w:szCs w:val="32"/>
          <w:highlight w:val="none"/>
          <w:lang w:bidi="ar"/>
        </w:rPr>
      </w:pPr>
    </w:p>
    <w:p w14:paraId="5855410B">
      <w:pPr>
        <w:tabs>
          <w:tab w:val="left" w:pos="1365"/>
        </w:tabs>
        <w:wordWrap w:val="0"/>
        <w:ind w:firstLine="640" w:firstLineChars="200"/>
        <w:jc w:val="center"/>
        <w:rPr>
          <w:rFonts w:hint="eastAsia" w:ascii="华文细黑" w:hAnsi="华文细黑" w:eastAsia="华文细黑" w:cs="华文细黑"/>
          <w:b/>
          <w:sz w:val="32"/>
          <w:szCs w:val="32"/>
          <w:highlight w:val="none"/>
          <w:lang w:bidi="ar"/>
        </w:rPr>
      </w:pPr>
    </w:p>
    <w:p w14:paraId="305BCFB4">
      <w:pPr>
        <w:tabs>
          <w:tab w:val="left" w:pos="1365"/>
        </w:tabs>
        <w:wordWrap w:val="0"/>
        <w:ind w:firstLine="640" w:firstLineChars="200"/>
        <w:jc w:val="center"/>
        <w:rPr>
          <w:rFonts w:hint="eastAsia" w:ascii="华文细黑" w:hAnsi="华文细黑" w:eastAsia="华文细黑" w:cs="华文细黑"/>
          <w:b/>
          <w:sz w:val="32"/>
          <w:szCs w:val="32"/>
          <w:highlight w:val="none"/>
          <w:lang w:bidi="ar"/>
        </w:rPr>
      </w:pPr>
    </w:p>
    <w:p w14:paraId="118DA20A">
      <w:pPr>
        <w:tabs>
          <w:tab w:val="left" w:pos="1365"/>
        </w:tabs>
        <w:wordWrap w:val="0"/>
        <w:ind w:firstLine="640" w:firstLineChars="200"/>
        <w:jc w:val="center"/>
        <w:rPr>
          <w:rFonts w:hint="eastAsia" w:ascii="华文细黑" w:hAnsi="华文细黑" w:eastAsia="华文细黑" w:cs="华文细黑"/>
          <w:b/>
          <w:sz w:val="32"/>
          <w:szCs w:val="32"/>
          <w:highlight w:val="none"/>
          <w:lang w:bidi="ar"/>
        </w:rPr>
      </w:pPr>
    </w:p>
    <w:p w14:paraId="4D3EDEA8">
      <w:pPr>
        <w:tabs>
          <w:tab w:val="left" w:pos="1365"/>
        </w:tabs>
        <w:wordWrap w:val="0"/>
        <w:ind w:firstLine="640" w:firstLineChars="200"/>
        <w:jc w:val="center"/>
        <w:rPr>
          <w:rFonts w:hint="eastAsia" w:ascii="华文细黑" w:hAnsi="华文细黑" w:eastAsia="华文细黑" w:cs="华文细黑"/>
          <w:b/>
          <w:sz w:val="32"/>
          <w:szCs w:val="32"/>
          <w:highlight w:val="none"/>
          <w:lang w:bidi="ar"/>
        </w:rPr>
      </w:pPr>
    </w:p>
    <w:p w14:paraId="60488E70">
      <w:pPr>
        <w:tabs>
          <w:tab w:val="left" w:pos="1365"/>
        </w:tabs>
        <w:wordWrap w:val="0"/>
        <w:ind w:firstLine="640" w:firstLineChars="200"/>
        <w:jc w:val="center"/>
        <w:rPr>
          <w:rFonts w:hint="eastAsia" w:ascii="华文细黑" w:hAnsi="华文细黑" w:eastAsia="华文细黑" w:cs="华文细黑"/>
          <w:b/>
          <w:sz w:val="32"/>
          <w:szCs w:val="32"/>
          <w:highlight w:val="none"/>
          <w:lang w:bidi="ar"/>
        </w:rPr>
      </w:pPr>
    </w:p>
    <w:p w14:paraId="61727D67">
      <w:pPr>
        <w:tabs>
          <w:tab w:val="left" w:pos="1365"/>
        </w:tabs>
        <w:wordWrap w:val="0"/>
        <w:ind w:firstLine="640" w:firstLineChars="200"/>
        <w:jc w:val="center"/>
        <w:rPr>
          <w:rFonts w:hint="eastAsia" w:ascii="华文细黑" w:hAnsi="华文细黑" w:eastAsia="华文细黑" w:cs="华文细黑"/>
          <w:b/>
          <w:sz w:val="32"/>
          <w:szCs w:val="32"/>
          <w:highlight w:val="none"/>
          <w:lang w:bidi="ar"/>
        </w:rPr>
      </w:pPr>
    </w:p>
    <w:p w14:paraId="30C6F259">
      <w:pPr>
        <w:tabs>
          <w:tab w:val="left" w:pos="1365"/>
        </w:tabs>
        <w:wordWrap w:val="0"/>
        <w:ind w:firstLine="640" w:firstLineChars="200"/>
        <w:jc w:val="center"/>
        <w:rPr>
          <w:rFonts w:hint="eastAsia" w:ascii="华文细黑" w:hAnsi="华文细黑" w:eastAsia="华文细黑" w:cs="华文细黑"/>
          <w:b/>
          <w:sz w:val="32"/>
          <w:szCs w:val="32"/>
          <w:highlight w:val="none"/>
          <w:lang w:bidi="ar"/>
        </w:rPr>
      </w:pPr>
    </w:p>
    <w:p w14:paraId="327FD1EE">
      <w:pPr>
        <w:tabs>
          <w:tab w:val="left" w:pos="1365"/>
        </w:tabs>
        <w:wordWrap w:val="0"/>
        <w:ind w:firstLine="640" w:firstLineChars="200"/>
        <w:jc w:val="center"/>
        <w:rPr>
          <w:rFonts w:hint="eastAsia" w:ascii="华文细黑" w:hAnsi="华文细黑" w:eastAsia="华文细黑" w:cs="华文细黑"/>
          <w:b/>
          <w:sz w:val="32"/>
          <w:szCs w:val="32"/>
          <w:highlight w:val="none"/>
          <w:lang w:bidi="ar"/>
        </w:rPr>
      </w:pPr>
    </w:p>
    <w:p w14:paraId="3694C6BC">
      <w:pPr>
        <w:tabs>
          <w:tab w:val="left" w:pos="1365"/>
        </w:tabs>
        <w:wordWrap w:val="0"/>
        <w:ind w:firstLine="640" w:firstLineChars="200"/>
        <w:jc w:val="center"/>
        <w:rPr>
          <w:rFonts w:hint="eastAsia" w:ascii="华文细黑" w:hAnsi="华文细黑" w:eastAsia="华文细黑" w:cs="华文细黑"/>
          <w:b/>
          <w:sz w:val="32"/>
          <w:szCs w:val="32"/>
          <w:highlight w:val="none"/>
          <w:lang w:bidi="ar"/>
        </w:rPr>
      </w:pPr>
    </w:p>
    <w:p w14:paraId="1B806385">
      <w:pPr>
        <w:tabs>
          <w:tab w:val="left" w:pos="1365"/>
        </w:tabs>
        <w:wordWrap w:val="0"/>
        <w:ind w:firstLine="640" w:firstLineChars="200"/>
        <w:jc w:val="center"/>
        <w:rPr>
          <w:rFonts w:hint="eastAsia" w:ascii="华文细黑" w:hAnsi="华文细黑" w:eastAsia="华文细黑" w:cs="华文细黑"/>
          <w:b/>
          <w:sz w:val="32"/>
          <w:szCs w:val="32"/>
          <w:highlight w:val="none"/>
          <w:lang w:bidi="ar"/>
        </w:rPr>
      </w:pPr>
    </w:p>
    <w:p w14:paraId="04BF060C">
      <w:pPr>
        <w:tabs>
          <w:tab w:val="left" w:pos="1365"/>
        </w:tabs>
        <w:wordWrap w:val="0"/>
        <w:ind w:firstLine="640" w:firstLineChars="200"/>
        <w:jc w:val="center"/>
        <w:rPr>
          <w:rFonts w:hint="eastAsia" w:ascii="华文细黑" w:hAnsi="华文细黑" w:eastAsia="华文细黑" w:cs="华文细黑"/>
          <w:b/>
          <w:sz w:val="32"/>
          <w:szCs w:val="32"/>
          <w:highlight w:val="none"/>
          <w:lang w:bidi="ar"/>
        </w:rPr>
      </w:pPr>
    </w:p>
    <w:p w14:paraId="545200C3">
      <w:pPr>
        <w:tabs>
          <w:tab w:val="left" w:pos="1365"/>
        </w:tabs>
        <w:wordWrap w:val="0"/>
        <w:ind w:firstLine="640" w:firstLineChars="200"/>
        <w:jc w:val="center"/>
        <w:rPr>
          <w:rFonts w:hint="eastAsia" w:ascii="华文细黑" w:hAnsi="华文细黑" w:eastAsia="华文细黑" w:cs="华文细黑"/>
          <w:b/>
          <w:sz w:val="32"/>
          <w:szCs w:val="32"/>
          <w:highlight w:val="none"/>
          <w:lang w:bidi="ar"/>
        </w:rPr>
      </w:pPr>
    </w:p>
    <w:p w14:paraId="037120D1">
      <w:pPr>
        <w:tabs>
          <w:tab w:val="left" w:pos="1365"/>
        </w:tabs>
        <w:wordWrap w:val="0"/>
        <w:ind w:firstLine="640" w:firstLineChars="200"/>
        <w:jc w:val="center"/>
        <w:rPr>
          <w:rFonts w:hint="eastAsia" w:ascii="华文细黑" w:hAnsi="华文细黑" w:eastAsia="华文细黑" w:cs="华文细黑"/>
          <w:b/>
          <w:sz w:val="32"/>
          <w:szCs w:val="32"/>
          <w:highlight w:val="none"/>
          <w:lang w:bidi="ar"/>
        </w:rPr>
      </w:pPr>
    </w:p>
    <w:p w14:paraId="62AE486E">
      <w:pPr>
        <w:tabs>
          <w:tab w:val="left" w:pos="1365"/>
        </w:tabs>
        <w:wordWrap w:val="0"/>
        <w:ind w:firstLine="640" w:firstLineChars="200"/>
        <w:jc w:val="center"/>
        <w:rPr>
          <w:rFonts w:hint="eastAsia" w:ascii="华文细黑" w:hAnsi="华文细黑" w:eastAsia="华文细黑" w:cs="华文细黑"/>
          <w:b/>
          <w:sz w:val="32"/>
          <w:szCs w:val="32"/>
          <w:highlight w:val="none"/>
          <w:lang w:bidi="ar"/>
        </w:rPr>
      </w:pPr>
    </w:p>
    <w:p w14:paraId="2BD9EFCD">
      <w:pPr>
        <w:tabs>
          <w:tab w:val="left" w:pos="1365"/>
        </w:tabs>
        <w:wordWrap w:val="0"/>
        <w:ind w:firstLine="640" w:firstLineChars="200"/>
        <w:jc w:val="center"/>
        <w:rPr>
          <w:rFonts w:hint="eastAsia" w:ascii="华文细黑" w:hAnsi="华文细黑" w:eastAsia="华文细黑" w:cs="华文细黑"/>
          <w:b/>
          <w:sz w:val="32"/>
          <w:szCs w:val="32"/>
          <w:highlight w:val="none"/>
          <w:lang w:bidi="ar"/>
        </w:rPr>
      </w:pPr>
    </w:p>
    <w:p w14:paraId="7E21E698">
      <w:pPr>
        <w:tabs>
          <w:tab w:val="left" w:pos="1365"/>
        </w:tabs>
        <w:wordWrap w:val="0"/>
        <w:ind w:firstLine="640" w:firstLineChars="200"/>
        <w:jc w:val="center"/>
        <w:rPr>
          <w:rFonts w:hint="eastAsia" w:ascii="华文细黑" w:hAnsi="华文细黑" w:eastAsia="华文细黑" w:cs="华文细黑"/>
          <w:b/>
          <w:sz w:val="32"/>
          <w:szCs w:val="32"/>
          <w:highlight w:val="none"/>
          <w:lang w:bidi="ar"/>
        </w:rPr>
      </w:pPr>
    </w:p>
    <w:p w14:paraId="4CD86911">
      <w:pPr>
        <w:tabs>
          <w:tab w:val="left" w:pos="1365"/>
        </w:tabs>
        <w:wordWrap w:val="0"/>
        <w:ind w:firstLine="640" w:firstLineChars="200"/>
        <w:jc w:val="center"/>
        <w:rPr>
          <w:rFonts w:hint="eastAsia" w:ascii="华文细黑" w:hAnsi="华文细黑" w:eastAsia="华文细黑" w:cs="华文细黑"/>
          <w:b/>
          <w:sz w:val="32"/>
          <w:szCs w:val="32"/>
          <w:highlight w:val="none"/>
          <w:lang w:bidi="ar"/>
        </w:rPr>
      </w:pPr>
    </w:p>
    <w:p w14:paraId="59DA4788">
      <w:pPr>
        <w:keepNext/>
        <w:keepLines/>
        <w:spacing w:before="100" w:line="400" w:lineRule="exact"/>
        <w:jc w:val="center"/>
        <w:outlineLvl w:val="1"/>
        <w:rPr>
          <w:rFonts w:hint="eastAsia" w:ascii="宋体" w:hAnsi="宋体" w:cs="宋体"/>
          <w:b/>
          <w:sz w:val="30"/>
          <w:szCs w:val="30"/>
          <w:highlight w:val="none"/>
          <w:lang w:eastAsia="zh-CN"/>
        </w:rPr>
      </w:pPr>
      <w:r>
        <w:rPr>
          <w:rFonts w:hint="eastAsia" w:ascii="宋体" w:hAnsi="宋体" w:cs="宋体"/>
          <w:b/>
          <w:sz w:val="30"/>
          <w:szCs w:val="30"/>
          <w:highlight w:val="none"/>
          <w:lang w:val="en-US" w:eastAsia="zh-CN"/>
        </w:rPr>
        <w:t>八</w:t>
      </w:r>
      <w:r>
        <w:rPr>
          <w:rFonts w:hint="eastAsia" w:ascii="宋体" w:hAnsi="宋体" w:cs="宋体"/>
          <w:b/>
          <w:sz w:val="30"/>
          <w:szCs w:val="30"/>
          <w:highlight w:val="none"/>
          <w:lang w:eastAsia="zh-CN"/>
        </w:rPr>
        <w:t>、</w:t>
      </w:r>
      <w:r>
        <w:rPr>
          <w:rFonts w:hint="eastAsia" w:ascii="宋体" w:hAnsi="宋体" w:eastAsia="宋体" w:cs="宋体"/>
          <w:b/>
          <w:bCs/>
          <w:color w:val="auto"/>
          <w:sz w:val="30"/>
          <w:szCs w:val="30"/>
          <w:highlight w:val="none"/>
          <w:lang w:val="en-US" w:eastAsia="zh-CN"/>
        </w:rPr>
        <w:t>服务偏离表（格式）</w:t>
      </w:r>
    </w:p>
    <w:p w14:paraId="7464BB18">
      <w:pPr>
        <w:tabs>
          <w:tab w:val="left" w:pos="1365"/>
        </w:tabs>
        <w:wordWrap w:val="0"/>
        <w:ind w:firstLine="480" w:firstLineChars="200"/>
        <w:jc w:val="left"/>
        <w:rPr>
          <w:rFonts w:ascii="华文细黑" w:hAnsi="华文细黑" w:eastAsia="华文细黑" w:cs="华文细黑"/>
          <w:sz w:val="24"/>
          <w:szCs w:val="24"/>
          <w:highlight w:val="none"/>
          <w:u w:val="single"/>
        </w:rPr>
      </w:pPr>
      <w:r>
        <w:rPr>
          <w:rFonts w:hint="eastAsia" w:ascii="华文细黑" w:hAnsi="华文细黑" w:eastAsia="华文细黑" w:cs="华文细黑"/>
          <w:sz w:val="24"/>
          <w:szCs w:val="24"/>
          <w:highlight w:val="none"/>
          <w:lang w:bidi="ar"/>
        </w:rPr>
        <w:t>项目名称：</w:t>
      </w:r>
      <w:r>
        <w:rPr>
          <w:rFonts w:hint="eastAsia" w:ascii="华文细黑" w:hAnsi="华文细黑" w:eastAsia="华文细黑" w:cs="华文细黑"/>
          <w:sz w:val="24"/>
          <w:szCs w:val="24"/>
          <w:highlight w:val="none"/>
          <w:u w:val="single"/>
          <w:lang w:bidi="ar"/>
        </w:rPr>
        <w:t xml:space="preserve">                </w:t>
      </w:r>
    </w:p>
    <w:p w14:paraId="70232D28">
      <w:pPr>
        <w:wordWrap w:val="0"/>
        <w:spacing w:after="156" w:afterLines="50" w:line="360" w:lineRule="auto"/>
        <w:ind w:firstLine="480" w:firstLineChars="200"/>
        <w:rPr>
          <w:rFonts w:ascii="华文细黑" w:hAnsi="华文细黑" w:eastAsia="华文细黑" w:cs="华文细黑"/>
          <w:sz w:val="24"/>
          <w:szCs w:val="24"/>
          <w:highlight w:val="none"/>
          <w:u w:val="single"/>
        </w:rPr>
      </w:pPr>
      <w:r>
        <w:rPr>
          <w:rFonts w:hint="eastAsia" w:ascii="华文细黑" w:hAnsi="华文细黑" w:eastAsia="华文细黑" w:cs="华文细黑"/>
          <w:sz w:val="24"/>
          <w:szCs w:val="24"/>
          <w:highlight w:val="none"/>
          <w:lang w:bidi="ar"/>
        </w:rPr>
        <w:t>项目编号：</w:t>
      </w:r>
      <w:r>
        <w:rPr>
          <w:rFonts w:hint="eastAsia" w:ascii="华文细黑" w:hAnsi="华文细黑" w:eastAsia="华文细黑" w:cs="华文细黑"/>
          <w:sz w:val="24"/>
          <w:szCs w:val="24"/>
          <w:highlight w:val="none"/>
          <w:u w:val="single"/>
          <w:lang w:bidi="ar"/>
        </w:rPr>
        <w:t xml:space="preserve">                </w:t>
      </w:r>
    </w:p>
    <w:tbl>
      <w:tblPr>
        <w:tblStyle w:val="46"/>
        <w:tblW w:w="9822" w:type="dxa"/>
        <w:tblInd w:w="93" w:type="dxa"/>
        <w:tblLayout w:type="fixed"/>
        <w:tblCellMar>
          <w:top w:w="0" w:type="dxa"/>
          <w:left w:w="108" w:type="dxa"/>
          <w:bottom w:w="0" w:type="dxa"/>
          <w:right w:w="108" w:type="dxa"/>
        </w:tblCellMar>
      </w:tblPr>
      <w:tblGrid>
        <w:gridCol w:w="752"/>
        <w:gridCol w:w="2105"/>
        <w:gridCol w:w="1990"/>
        <w:gridCol w:w="2985"/>
        <w:gridCol w:w="995"/>
        <w:gridCol w:w="995"/>
      </w:tblGrid>
      <w:tr w14:paraId="0B8C3EF7">
        <w:tblPrEx>
          <w:tblCellMar>
            <w:top w:w="0" w:type="dxa"/>
            <w:left w:w="108" w:type="dxa"/>
            <w:bottom w:w="0" w:type="dxa"/>
            <w:right w:w="108" w:type="dxa"/>
          </w:tblCellMar>
        </w:tblPrEx>
        <w:trPr>
          <w:trHeight w:val="1042" w:hRule="atLeast"/>
        </w:trPr>
        <w:tc>
          <w:tcPr>
            <w:tcW w:w="752" w:type="dxa"/>
            <w:tcBorders>
              <w:top w:val="single" w:color="auto" w:sz="4" w:space="0"/>
              <w:left w:val="single" w:color="auto" w:sz="4" w:space="0"/>
              <w:bottom w:val="single" w:color="auto" w:sz="4" w:space="0"/>
              <w:right w:val="single" w:color="auto" w:sz="4" w:space="0"/>
            </w:tcBorders>
            <w:noWrap w:val="0"/>
            <w:vAlign w:val="center"/>
          </w:tcPr>
          <w:p w14:paraId="4F5FC2A6">
            <w:pPr>
              <w:keepNext w:val="0"/>
              <w:keepLines w:val="0"/>
              <w:suppressLineNumbers w:val="0"/>
              <w:spacing w:before="0" w:beforeAutospacing="0" w:after="0" w:afterAutospacing="0"/>
              <w:ind w:left="0" w:right="0"/>
              <w:jc w:val="center"/>
              <w:rPr>
                <w:rFonts w:hint="eastAsia"/>
                <w:color w:val="000000"/>
                <w:sz w:val="24"/>
                <w:szCs w:val="24"/>
                <w:highlight w:val="none"/>
              </w:rPr>
            </w:pPr>
            <w:r>
              <w:rPr>
                <w:rFonts w:hint="eastAsia"/>
                <w:color w:val="000000"/>
                <w:sz w:val="24"/>
                <w:szCs w:val="24"/>
                <w:highlight w:val="none"/>
              </w:rPr>
              <w:t>序号</w:t>
            </w:r>
          </w:p>
        </w:tc>
        <w:tc>
          <w:tcPr>
            <w:tcW w:w="2105" w:type="dxa"/>
            <w:tcBorders>
              <w:top w:val="single" w:color="auto" w:sz="4" w:space="0"/>
              <w:left w:val="nil"/>
              <w:bottom w:val="single" w:color="auto" w:sz="4" w:space="0"/>
              <w:right w:val="single" w:color="auto" w:sz="4" w:space="0"/>
            </w:tcBorders>
            <w:noWrap w:val="0"/>
            <w:vAlign w:val="center"/>
          </w:tcPr>
          <w:p w14:paraId="5C38D291">
            <w:pPr>
              <w:keepNext w:val="0"/>
              <w:keepLines w:val="0"/>
              <w:suppressLineNumbers w:val="0"/>
              <w:spacing w:before="0" w:beforeAutospacing="0" w:after="0" w:afterAutospacing="0"/>
              <w:ind w:left="0" w:right="0"/>
              <w:jc w:val="center"/>
              <w:rPr>
                <w:rFonts w:hint="default" w:eastAsia="宋体"/>
                <w:color w:val="000000"/>
                <w:sz w:val="24"/>
                <w:szCs w:val="24"/>
                <w:highlight w:val="none"/>
                <w:lang w:val="en-US" w:eastAsia="zh-CN"/>
              </w:rPr>
            </w:pPr>
            <w:r>
              <w:rPr>
                <w:rFonts w:hint="eastAsia"/>
                <w:color w:val="000000"/>
                <w:sz w:val="24"/>
                <w:szCs w:val="24"/>
                <w:highlight w:val="none"/>
                <w:lang w:val="en-US" w:eastAsia="zh-CN"/>
              </w:rPr>
              <w:t>服务项目</w:t>
            </w:r>
          </w:p>
        </w:tc>
        <w:tc>
          <w:tcPr>
            <w:tcW w:w="1990" w:type="dxa"/>
            <w:tcBorders>
              <w:top w:val="single" w:color="auto" w:sz="4" w:space="0"/>
              <w:left w:val="nil"/>
              <w:bottom w:val="single" w:color="auto" w:sz="4" w:space="0"/>
              <w:right w:val="single" w:color="auto" w:sz="4" w:space="0"/>
            </w:tcBorders>
            <w:noWrap w:val="0"/>
            <w:vAlign w:val="center"/>
          </w:tcPr>
          <w:p w14:paraId="1EE656FC">
            <w:pPr>
              <w:keepNext w:val="0"/>
              <w:keepLines w:val="0"/>
              <w:suppressLineNumbers w:val="0"/>
              <w:spacing w:before="0" w:beforeAutospacing="0" w:after="0" w:afterAutospacing="0"/>
              <w:ind w:left="0" w:right="0"/>
              <w:jc w:val="center"/>
              <w:rPr>
                <w:rFonts w:hint="eastAsia"/>
                <w:color w:val="000000"/>
                <w:sz w:val="24"/>
                <w:szCs w:val="24"/>
                <w:highlight w:val="none"/>
              </w:rPr>
            </w:pPr>
            <w:r>
              <w:rPr>
                <w:rFonts w:hint="eastAsia"/>
                <w:color w:val="000000"/>
                <w:sz w:val="24"/>
                <w:szCs w:val="24"/>
                <w:highlight w:val="none"/>
                <w:lang w:val="en-US" w:eastAsia="zh-CN"/>
              </w:rPr>
              <w:t>采购</w:t>
            </w:r>
            <w:r>
              <w:rPr>
                <w:rFonts w:hint="eastAsia"/>
                <w:color w:val="000000"/>
                <w:sz w:val="24"/>
                <w:szCs w:val="24"/>
                <w:highlight w:val="none"/>
              </w:rPr>
              <w:t>文件技术要求</w:t>
            </w:r>
          </w:p>
        </w:tc>
        <w:tc>
          <w:tcPr>
            <w:tcW w:w="2985" w:type="dxa"/>
            <w:tcBorders>
              <w:top w:val="single" w:color="auto" w:sz="4" w:space="0"/>
              <w:left w:val="nil"/>
              <w:bottom w:val="single" w:color="auto" w:sz="4" w:space="0"/>
              <w:right w:val="single" w:color="auto" w:sz="4" w:space="0"/>
            </w:tcBorders>
            <w:noWrap w:val="0"/>
            <w:vAlign w:val="center"/>
          </w:tcPr>
          <w:p w14:paraId="66D26327">
            <w:pPr>
              <w:keepNext w:val="0"/>
              <w:keepLines w:val="0"/>
              <w:suppressLineNumbers w:val="0"/>
              <w:spacing w:before="0" w:beforeAutospacing="0" w:after="0" w:afterAutospacing="0"/>
              <w:ind w:left="0" w:right="0"/>
              <w:jc w:val="center"/>
              <w:rPr>
                <w:rFonts w:hint="default" w:eastAsia="宋体"/>
                <w:color w:val="000000"/>
                <w:sz w:val="24"/>
                <w:szCs w:val="24"/>
                <w:highlight w:val="none"/>
                <w:lang w:val="en-US" w:eastAsia="zh-CN"/>
              </w:rPr>
            </w:pPr>
            <w:r>
              <w:rPr>
                <w:rFonts w:hint="eastAsia"/>
                <w:color w:val="000000"/>
                <w:sz w:val="24"/>
                <w:szCs w:val="24"/>
                <w:highlight w:val="none"/>
                <w:lang w:val="en-US" w:eastAsia="zh-CN"/>
              </w:rPr>
              <w:t>投标文件服务响应</w:t>
            </w:r>
          </w:p>
        </w:tc>
        <w:tc>
          <w:tcPr>
            <w:tcW w:w="995" w:type="dxa"/>
            <w:tcBorders>
              <w:top w:val="single" w:color="auto" w:sz="4" w:space="0"/>
              <w:left w:val="nil"/>
              <w:bottom w:val="single" w:color="auto" w:sz="4" w:space="0"/>
              <w:right w:val="single" w:color="auto" w:sz="4" w:space="0"/>
            </w:tcBorders>
            <w:noWrap w:val="0"/>
            <w:vAlign w:val="center"/>
          </w:tcPr>
          <w:p w14:paraId="189BBBB7">
            <w:pPr>
              <w:keepNext w:val="0"/>
              <w:keepLines w:val="0"/>
              <w:suppressLineNumbers w:val="0"/>
              <w:spacing w:before="0" w:beforeAutospacing="0" w:after="0" w:afterAutospacing="0"/>
              <w:ind w:left="0" w:right="0"/>
              <w:jc w:val="center"/>
              <w:rPr>
                <w:rFonts w:hint="default"/>
                <w:color w:val="000000"/>
                <w:sz w:val="24"/>
                <w:szCs w:val="24"/>
                <w:highlight w:val="none"/>
                <w:lang w:val="en-US" w:eastAsia="zh-CN"/>
              </w:rPr>
            </w:pPr>
            <w:r>
              <w:rPr>
                <w:rFonts w:hint="eastAsia"/>
                <w:color w:val="000000"/>
                <w:sz w:val="24"/>
                <w:szCs w:val="24"/>
                <w:highlight w:val="none"/>
                <w:lang w:val="en-US" w:eastAsia="zh-CN"/>
              </w:rPr>
              <w:t>差异说明</w:t>
            </w:r>
          </w:p>
        </w:tc>
        <w:tc>
          <w:tcPr>
            <w:tcW w:w="995" w:type="dxa"/>
            <w:tcBorders>
              <w:top w:val="single" w:color="auto" w:sz="4" w:space="0"/>
              <w:left w:val="nil"/>
              <w:bottom w:val="single" w:color="auto" w:sz="4" w:space="0"/>
              <w:right w:val="single" w:color="auto" w:sz="4" w:space="0"/>
            </w:tcBorders>
            <w:noWrap w:val="0"/>
            <w:vAlign w:val="center"/>
          </w:tcPr>
          <w:p w14:paraId="397946DC">
            <w:pPr>
              <w:keepNext w:val="0"/>
              <w:keepLines w:val="0"/>
              <w:suppressLineNumbers w:val="0"/>
              <w:spacing w:before="0" w:beforeAutospacing="0" w:after="0" w:afterAutospacing="0"/>
              <w:ind w:left="0" w:right="0"/>
              <w:jc w:val="center"/>
              <w:rPr>
                <w:rFonts w:hint="default" w:eastAsia="宋体"/>
                <w:color w:val="000000"/>
                <w:sz w:val="24"/>
                <w:szCs w:val="24"/>
                <w:highlight w:val="none"/>
                <w:lang w:val="en-US" w:eastAsia="zh-CN"/>
              </w:rPr>
            </w:pPr>
            <w:r>
              <w:rPr>
                <w:rFonts w:hint="eastAsia"/>
                <w:color w:val="000000"/>
                <w:sz w:val="24"/>
                <w:szCs w:val="24"/>
                <w:highlight w:val="none"/>
                <w:lang w:val="en-US" w:eastAsia="zh-CN"/>
              </w:rPr>
              <w:t>备注：相关证明材料在投标文件中的具体位置</w:t>
            </w:r>
          </w:p>
        </w:tc>
      </w:tr>
      <w:tr w14:paraId="2C4A4813">
        <w:tblPrEx>
          <w:tblCellMar>
            <w:top w:w="0" w:type="dxa"/>
            <w:left w:w="108" w:type="dxa"/>
            <w:bottom w:w="0" w:type="dxa"/>
            <w:right w:w="108" w:type="dxa"/>
          </w:tblCellMar>
        </w:tblPrEx>
        <w:trPr>
          <w:trHeight w:val="878" w:hRule="atLeast"/>
        </w:trPr>
        <w:tc>
          <w:tcPr>
            <w:tcW w:w="752" w:type="dxa"/>
            <w:tcBorders>
              <w:top w:val="single" w:color="auto" w:sz="4" w:space="0"/>
              <w:left w:val="single" w:color="auto" w:sz="4" w:space="0"/>
              <w:bottom w:val="single" w:color="auto" w:sz="4" w:space="0"/>
              <w:right w:val="single" w:color="auto" w:sz="4" w:space="0"/>
            </w:tcBorders>
            <w:noWrap w:val="0"/>
            <w:vAlign w:val="center"/>
          </w:tcPr>
          <w:p w14:paraId="1CC38469">
            <w:pPr>
              <w:keepNext w:val="0"/>
              <w:keepLines w:val="0"/>
              <w:suppressLineNumbers w:val="0"/>
              <w:spacing w:before="0" w:beforeAutospacing="0" w:after="0" w:afterAutospacing="0"/>
              <w:ind w:left="0" w:right="0"/>
              <w:rPr>
                <w:rFonts w:hint="eastAsia"/>
                <w:color w:val="000000"/>
                <w:sz w:val="24"/>
                <w:szCs w:val="24"/>
                <w:highlight w:val="none"/>
              </w:rPr>
            </w:pPr>
          </w:p>
        </w:tc>
        <w:tc>
          <w:tcPr>
            <w:tcW w:w="2105" w:type="dxa"/>
            <w:tcBorders>
              <w:top w:val="single" w:color="auto" w:sz="4" w:space="0"/>
              <w:left w:val="nil"/>
              <w:bottom w:val="single" w:color="auto" w:sz="4" w:space="0"/>
              <w:right w:val="single" w:color="auto" w:sz="4" w:space="0"/>
            </w:tcBorders>
            <w:noWrap w:val="0"/>
            <w:vAlign w:val="center"/>
          </w:tcPr>
          <w:p w14:paraId="4592EDFD">
            <w:pPr>
              <w:keepNext w:val="0"/>
              <w:keepLines w:val="0"/>
              <w:suppressLineNumbers w:val="0"/>
              <w:spacing w:before="0" w:beforeAutospacing="0" w:after="0" w:afterAutospacing="0"/>
              <w:ind w:left="0" w:right="0"/>
              <w:rPr>
                <w:rFonts w:hint="eastAsia"/>
                <w:color w:val="000000"/>
                <w:sz w:val="24"/>
                <w:szCs w:val="24"/>
                <w:highlight w:val="none"/>
              </w:rPr>
            </w:pPr>
          </w:p>
        </w:tc>
        <w:tc>
          <w:tcPr>
            <w:tcW w:w="1990" w:type="dxa"/>
            <w:tcBorders>
              <w:top w:val="single" w:color="auto" w:sz="4" w:space="0"/>
              <w:left w:val="nil"/>
              <w:bottom w:val="single" w:color="auto" w:sz="4" w:space="0"/>
              <w:right w:val="single" w:color="auto" w:sz="4" w:space="0"/>
            </w:tcBorders>
            <w:noWrap w:val="0"/>
            <w:vAlign w:val="center"/>
          </w:tcPr>
          <w:p w14:paraId="51AF5EA2">
            <w:pPr>
              <w:keepNext w:val="0"/>
              <w:keepLines w:val="0"/>
              <w:suppressLineNumbers w:val="0"/>
              <w:spacing w:before="0" w:beforeAutospacing="0" w:after="0" w:afterAutospacing="0"/>
              <w:ind w:left="0" w:right="0"/>
              <w:rPr>
                <w:rFonts w:hint="eastAsia"/>
                <w:color w:val="000000"/>
                <w:sz w:val="24"/>
                <w:szCs w:val="24"/>
                <w:highlight w:val="none"/>
              </w:rPr>
            </w:pPr>
          </w:p>
        </w:tc>
        <w:tc>
          <w:tcPr>
            <w:tcW w:w="2985" w:type="dxa"/>
            <w:tcBorders>
              <w:top w:val="single" w:color="auto" w:sz="4" w:space="0"/>
              <w:left w:val="nil"/>
              <w:bottom w:val="single" w:color="auto" w:sz="4" w:space="0"/>
              <w:right w:val="single" w:color="auto" w:sz="4" w:space="0"/>
            </w:tcBorders>
            <w:noWrap w:val="0"/>
            <w:vAlign w:val="center"/>
          </w:tcPr>
          <w:p w14:paraId="5BE758A4">
            <w:pPr>
              <w:keepNext w:val="0"/>
              <w:keepLines w:val="0"/>
              <w:suppressLineNumbers w:val="0"/>
              <w:spacing w:before="0" w:beforeAutospacing="0" w:after="0" w:afterAutospacing="0"/>
              <w:ind w:left="0" w:right="0"/>
              <w:rPr>
                <w:rFonts w:hint="eastAsia"/>
                <w:color w:val="000000"/>
                <w:sz w:val="24"/>
                <w:szCs w:val="24"/>
                <w:highlight w:val="none"/>
              </w:rPr>
            </w:pPr>
          </w:p>
        </w:tc>
        <w:tc>
          <w:tcPr>
            <w:tcW w:w="995" w:type="dxa"/>
            <w:tcBorders>
              <w:top w:val="single" w:color="auto" w:sz="4" w:space="0"/>
              <w:left w:val="nil"/>
              <w:bottom w:val="single" w:color="auto" w:sz="4" w:space="0"/>
              <w:right w:val="single" w:color="auto" w:sz="4" w:space="0"/>
            </w:tcBorders>
            <w:noWrap w:val="0"/>
            <w:vAlign w:val="center"/>
          </w:tcPr>
          <w:p w14:paraId="353BC779">
            <w:pPr>
              <w:keepNext w:val="0"/>
              <w:keepLines w:val="0"/>
              <w:suppressLineNumbers w:val="0"/>
              <w:spacing w:before="0" w:beforeAutospacing="0" w:after="0" w:afterAutospacing="0"/>
              <w:ind w:left="0" w:right="0"/>
              <w:rPr>
                <w:rFonts w:hint="eastAsia"/>
                <w:color w:val="000000"/>
                <w:sz w:val="24"/>
                <w:szCs w:val="24"/>
                <w:highlight w:val="none"/>
              </w:rPr>
            </w:pPr>
          </w:p>
        </w:tc>
        <w:tc>
          <w:tcPr>
            <w:tcW w:w="995" w:type="dxa"/>
            <w:tcBorders>
              <w:top w:val="single" w:color="auto" w:sz="4" w:space="0"/>
              <w:left w:val="nil"/>
              <w:bottom w:val="single" w:color="auto" w:sz="4" w:space="0"/>
              <w:right w:val="single" w:color="auto" w:sz="4" w:space="0"/>
            </w:tcBorders>
            <w:noWrap w:val="0"/>
            <w:vAlign w:val="center"/>
          </w:tcPr>
          <w:p w14:paraId="2DF14709">
            <w:pPr>
              <w:keepNext w:val="0"/>
              <w:keepLines w:val="0"/>
              <w:suppressLineNumbers w:val="0"/>
              <w:spacing w:before="0" w:beforeAutospacing="0" w:after="0" w:afterAutospacing="0"/>
              <w:ind w:left="0" w:right="0"/>
              <w:rPr>
                <w:rFonts w:hint="eastAsia"/>
                <w:color w:val="000000"/>
                <w:sz w:val="24"/>
                <w:szCs w:val="24"/>
                <w:highlight w:val="none"/>
              </w:rPr>
            </w:pPr>
          </w:p>
        </w:tc>
      </w:tr>
      <w:tr w14:paraId="1609E3E9">
        <w:tblPrEx>
          <w:tblCellMar>
            <w:top w:w="0" w:type="dxa"/>
            <w:left w:w="108" w:type="dxa"/>
            <w:bottom w:w="0" w:type="dxa"/>
            <w:right w:w="108" w:type="dxa"/>
          </w:tblCellMar>
        </w:tblPrEx>
        <w:trPr>
          <w:trHeight w:val="878" w:hRule="atLeast"/>
        </w:trPr>
        <w:tc>
          <w:tcPr>
            <w:tcW w:w="752" w:type="dxa"/>
            <w:tcBorders>
              <w:top w:val="single" w:color="auto" w:sz="4" w:space="0"/>
              <w:left w:val="single" w:color="auto" w:sz="4" w:space="0"/>
              <w:bottom w:val="single" w:color="auto" w:sz="4" w:space="0"/>
              <w:right w:val="single" w:color="auto" w:sz="4" w:space="0"/>
            </w:tcBorders>
            <w:noWrap w:val="0"/>
            <w:vAlign w:val="center"/>
          </w:tcPr>
          <w:p w14:paraId="0B6320A5">
            <w:pPr>
              <w:keepNext w:val="0"/>
              <w:keepLines w:val="0"/>
              <w:suppressLineNumbers w:val="0"/>
              <w:spacing w:before="0" w:beforeAutospacing="0" w:after="0" w:afterAutospacing="0"/>
              <w:ind w:left="0" w:right="0"/>
              <w:rPr>
                <w:rFonts w:hint="eastAsia"/>
                <w:color w:val="000000"/>
                <w:sz w:val="24"/>
                <w:szCs w:val="24"/>
                <w:highlight w:val="none"/>
              </w:rPr>
            </w:pPr>
          </w:p>
        </w:tc>
        <w:tc>
          <w:tcPr>
            <w:tcW w:w="2105" w:type="dxa"/>
            <w:tcBorders>
              <w:top w:val="single" w:color="auto" w:sz="4" w:space="0"/>
              <w:left w:val="nil"/>
              <w:bottom w:val="single" w:color="auto" w:sz="4" w:space="0"/>
              <w:right w:val="single" w:color="auto" w:sz="4" w:space="0"/>
            </w:tcBorders>
            <w:noWrap w:val="0"/>
            <w:vAlign w:val="center"/>
          </w:tcPr>
          <w:p w14:paraId="4372229D">
            <w:pPr>
              <w:keepNext w:val="0"/>
              <w:keepLines w:val="0"/>
              <w:suppressLineNumbers w:val="0"/>
              <w:spacing w:before="0" w:beforeAutospacing="0" w:after="0" w:afterAutospacing="0"/>
              <w:ind w:left="0" w:right="0"/>
              <w:rPr>
                <w:rFonts w:hint="eastAsia"/>
                <w:color w:val="000000"/>
                <w:sz w:val="24"/>
                <w:szCs w:val="24"/>
                <w:highlight w:val="none"/>
              </w:rPr>
            </w:pPr>
          </w:p>
        </w:tc>
        <w:tc>
          <w:tcPr>
            <w:tcW w:w="1990" w:type="dxa"/>
            <w:tcBorders>
              <w:top w:val="single" w:color="auto" w:sz="4" w:space="0"/>
              <w:left w:val="nil"/>
              <w:bottom w:val="single" w:color="auto" w:sz="4" w:space="0"/>
              <w:right w:val="single" w:color="auto" w:sz="4" w:space="0"/>
            </w:tcBorders>
            <w:noWrap w:val="0"/>
            <w:vAlign w:val="center"/>
          </w:tcPr>
          <w:p w14:paraId="3CDB9303">
            <w:pPr>
              <w:keepNext w:val="0"/>
              <w:keepLines w:val="0"/>
              <w:suppressLineNumbers w:val="0"/>
              <w:spacing w:before="0" w:beforeAutospacing="0" w:after="0" w:afterAutospacing="0"/>
              <w:ind w:left="0" w:right="0"/>
              <w:rPr>
                <w:rFonts w:hint="eastAsia"/>
                <w:color w:val="000000"/>
                <w:sz w:val="24"/>
                <w:szCs w:val="24"/>
                <w:highlight w:val="none"/>
              </w:rPr>
            </w:pPr>
          </w:p>
        </w:tc>
        <w:tc>
          <w:tcPr>
            <w:tcW w:w="2985" w:type="dxa"/>
            <w:tcBorders>
              <w:top w:val="single" w:color="auto" w:sz="4" w:space="0"/>
              <w:left w:val="nil"/>
              <w:bottom w:val="single" w:color="auto" w:sz="4" w:space="0"/>
              <w:right w:val="single" w:color="auto" w:sz="4" w:space="0"/>
            </w:tcBorders>
            <w:noWrap w:val="0"/>
            <w:vAlign w:val="center"/>
          </w:tcPr>
          <w:p w14:paraId="0D5ECC99">
            <w:pPr>
              <w:keepNext w:val="0"/>
              <w:keepLines w:val="0"/>
              <w:suppressLineNumbers w:val="0"/>
              <w:spacing w:before="0" w:beforeAutospacing="0" w:after="0" w:afterAutospacing="0"/>
              <w:ind w:left="0" w:right="0"/>
              <w:rPr>
                <w:rFonts w:hint="eastAsia"/>
                <w:color w:val="000000"/>
                <w:sz w:val="24"/>
                <w:szCs w:val="24"/>
                <w:highlight w:val="none"/>
              </w:rPr>
            </w:pPr>
          </w:p>
        </w:tc>
        <w:tc>
          <w:tcPr>
            <w:tcW w:w="995" w:type="dxa"/>
            <w:tcBorders>
              <w:top w:val="single" w:color="auto" w:sz="4" w:space="0"/>
              <w:left w:val="nil"/>
              <w:bottom w:val="single" w:color="auto" w:sz="4" w:space="0"/>
              <w:right w:val="single" w:color="auto" w:sz="4" w:space="0"/>
            </w:tcBorders>
            <w:noWrap w:val="0"/>
            <w:vAlign w:val="center"/>
          </w:tcPr>
          <w:p w14:paraId="0140F240">
            <w:pPr>
              <w:keepNext w:val="0"/>
              <w:keepLines w:val="0"/>
              <w:suppressLineNumbers w:val="0"/>
              <w:spacing w:before="0" w:beforeAutospacing="0" w:after="0" w:afterAutospacing="0"/>
              <w:ind w:left="0" w:right="0"/>
              <w:rPr>
                <w:rFonts w:hint="eastAsia"/>
                <w:color w:val="000000"/>
                <w:sz w:val="24"/>
                <w:szCs w:val="24"/>
                <w:highlight w:val="none"/>
              </w:rPr>
            </w:pPr>
          </w:p>
        </w:tc>
        <w:tc>
          <w:tcPr>
            <w:tcW w:w="995" w:type="dxa"/>
            <w:tcBorders>
              <w:top w:val="single" w:color="auto" w:sz="4" w:space="0"/>
              <w:left w:val="nil"/>
              <w:bottom w:val="single" w:color="auto" w:sz="4" w:space="0"/>
              <w:right w:val="single" w:color="auto" w:sz="4" w:space="0"/>
            </w:tcBorders>
            <w:noWrap w:val="0"/>
            <w:vAlign w:val="center"/>
          </w:tcPr>
          <w:p w14:paraId="3A387EF3">
            <w:pPr>
              <w:keepNext w:val="0"/>
              <w:keepLines w:val="0"/>
              <w:suppressLineNumbers w:val="0"/>
              <w:spacing w:before="0" w:beforeAutospacing="0" w:after="0" w:afterAutospacing="0"/>
              <w:ind w:left="0" w:right="0"/>
              <w:rPr>
                <w:rFonts w:hint="eastAsia"/>
                <w:color w:val="000000"/>
                <w:sz w:val="24"/>
                <w:szCs w:val="24"/>
                <w:highlight w:val="none"/>
              </w:rPr>
            </w:pPr>
          </w:p>
        </w:tc>
      </w:tr>
      <w:tr w14:paraId="1ABE2575">
        <w:tblPrEx>
          <w:tblCellMar>
            <w:top w:w="0" w:type="dxa"/>
            <w:left w:w="108" w:type="dxa"/>
            <w:bottom w:w="0" w:type="dxa"/>
            <w:right w:w="108" w:type="dxa"/>
          </w:tblCellMar>
        </w:tblPrEx>
        <w:trPr>
          <w:trHeight w:val="878" w:hRule="atLeast"/>
        </w:trPr>
        <w:tc>
          <w:tcPr>
            <w:tcW w:w="752" w:type="dxa"/>
            <w:tcBorders>
              <w:top w:val="single" w:color="auto" w:sz="4" w:space="0"/>
              <w:left w:val="single" w:color="auto" w:sz="4" w:space="0"/>
              <w:bottom w:val="single" w:color="auto" w:sz="4" w:space="0"/>
              <w:right w:val="single" w:color="auto" w:sz="4" w:space="0"/>
            </w:tcBorders>
            <w:noWrap w:val="0"/>
            <w:vAlign w:val="center"/>
          </w:tcPr>
          <w:p w14:paraId="03D028B5">
            <w:pPr>
              <w:keepNext w:val="0"/>
              <w:keepLines w:val="0"/>
              <w:suppressLineNumbers w:val="0"/>
              <w:spacing w:before="0" w:beforeAutospacing="0" w:after="0" w:afterAutospacing="0"/>
              <w:ind w:left="0" w:right="0"/>
              <w:rPr>
                <w:rFonts w:hint="eastAsia"/>
                <w:color w:val="000000"/>
                <w:highlight w:val="none"/>
              </w:rPr>
            </w:pPr>
          </w:p>
        </w:tc>
        <w:tc>
          <w:tcPr>
            <w:tcW w:w="2105" w:type="dxa"/>
            <w:tcBorders>
              <w:top w:val="single" w:color="auto" w:sz="4" w:space="0"/>
              <w:left w:val="nil"/>
              <w:bottom w:val="single" w:color="auto" w:sz="4" w:space="0"/>
              <w:right w:val="single" w:color="auto" w:sz="4" w:space="0"/>
            </w:tcBorders>
            <w:noWrap w:val="0"/>
            <w:vAlign w:val="center"/>
          </w:tcPr>
          <w:p w14:paraId="262AC47E">
            <w:pPr>
              <w:keepNext w:val="0"/>
              <w:keepLines w:val="0"/>
              <w:suppressLineNumbers w:val="0"/>
              <w:spacing w:before="0" w:beforeAutospacing="0" w:after="0" w:afterAutospacing="0"/>
              <w:ind w:left="0" w:right="0"/>
              <w:rPr>
                <w:rFonts w:hint="eastAsia"/>
                <w:color w:val="000000"/>
                <w:highlight w:val="none"/>
              </w:rPr>
            </w:pPr>
          </w:p>
        </w:tc>
        <w:tc>
          <w:tcPr>
            <w:tcW w:w="1990" w:type="dxa"/>
            <w:tcBorders>
              <w:top w:val="single" w:color="auto" w:sz="4" w:space="0"/>
              <w:left w:val="nil"/>
              <w:bottom w:val="single" w:color="auto" w:sz="4" w:space="0"/>
              <w:right w:val="single" w:color="auto" w:sz="4" w:space="0"/>
            </w:tcBorders>
            <w:noWrap w:val="0"/>
            <w:vAlign w:val="center"/>
          </w:tcPr>
          <w:p w14:paraId="42E348C1">
            <w:pPr>
              <w:keepNext w:val="0"/>
              <w:keepLines w:val="0"/>
              <w:suppressLineNumbers w:val="0"/>
              <w:spacing w:before="0" w:beforeAutospacing="0" w:after="0" w:afterAutospacing="0"/>
              <w:ind w:left="0" w:right="0"/>
              <w:rPr>
                <w:rFonts w:hint="eastAsia"/>
                <w:color w:val="000000"/>
                <w:highlight w:val="none"/>
              </w:rPr>
            </w:pPr>
          </w:p>
        </w:tc>
        <w:tc>
          <w:tcPr>
            <w:tcW w:w="2985" w:type="dxa"/>
            <w:tcBorders>
              <w:top w:val="single" w:color="auto" w:sz="4" w:space="0"/>
              <w:left w:val="nil"/>
              <w:bottom w:val="single" w:color="auto" w:sz="4" w:space="0"/>
              <w:right w:val="single" w:color="auto" w:sz="4" w:space="0"/>
            </w:tcBorders>
            <w:noWrap w:val="0"/>
            <w:vAlign w:val="center"/>
          </w:tcPr>
          <w:p w14:paraId="7CFD14E6">
            <w:pPr>
              <w:keepNext w:val="0"/>
              <w:keepLines w:val="0"/>
              <w:suppressLineNumbers w:val="0"/>
              <w:spacing w:before="0" w:beforeAutospacing="0" w:after="0" w:afterAutospacing="0"/>
              <w:ind w:left="0" w:right="0"/>
              <w:rPr>
                <w:rFonts w:hint="eastAsia"/>
                <w:color w:val="000000"/>
                <w:highlight w:val="none"/>
              </w:rPr>
            </w:pPr>
          </w:p>
        </w:tc>
        <w:tc>
          <w:tcPr>
            <w:tcW w:w="995" w:type="dxa"/>
            <w:tcBorders>
              <w:top w:val="single" w:color="auto" w:sz="4" w:space="0"/>
              <w:left w:val="nil"/>
              <w:bottom w:val="single" w:color="auto" w:sz="4" w:space="0"/>
              <w:right w:val="single" w:color="auto" w:sz="4" w:space="0"/>
            </w:tcBorders>
            <w:noWrap w:val="0"/>
            <w:vAlign w:val="center"/>
          </w:tcPr>
          <w:p w14:paraId="4AB6E5C6">
            <w:pPr>
              <w:keepNext w:val="0"/>
              <w:keepLines w:val="0"/>
              <w:suppressLineNumbers w:val="0"/>
              <w:spacing w:before="0" w:beforeAutospacing="0" w:after="0" w:afterAutospacing="0"/>
              <w:ind w:left="0" w:right="0"/>
              <w:rPr>
                <w:rFonts w:hint="eastAsia"/>
                <w:color w:val="000000"/>
                <w:highlight w:val="none"/>
              </w:rPr>
            </w:pPr>
          </w:p>
        </w:tc>
        <w:tc>
          <w:tcPr>
            <w:tcW w:w="995" w:type="dxa"/>
            <w:tcBorders>
              <w:top w:val="single" w:color="auto" w:sz="4" w:space="0"/>
              <w:left w:val="nil"/>
              <w:bottom w:val="single" w:color="auto" w:sz="4" w:space="0"/>
              <w:right w:val="single" w:color="auto" w:sz="4" w:space="0"/>
            </w:tcBorders>
            <w:noWrap w:val="0"/>
            <w:vAlign w:val="center"/>
          </w:tcPr>
          <w:p w14:paraId="4DE63BA3">
            <w:pPr>
              <w:keepNext w:val="0"/>
              <w:keepLines w:val="0"/>
              <w:suppressLineNumbers w:val="0"/>
              <w:spacing w:before="0" w:beforeAutospacing="0" w:after="0" w:afterAutospacing="0"/>
              <w:ind w:left="0" w:right="0"/>
              <w:rPr>
                <w:rFonts w:hint="eastAsia"/>
                <w:color w:val="000000"/>
                <w:highlight w:val="none"/>
              </w:rPr>
            </w:pPr>
          </w:p>
        </w:tc>
      </w:tr>
      <w:tr w14:paraId="47FA8CD9">
        <w:tblPrEx>
          <w:tblCellMar>
            <w:top w:w="0" w:type="dxa"/>
            <w:left w:w="108" w:type="dxa"/>
            <w:bottom w:w="0" w:type="dxa"/>
            <w:right w:w="108" w:type="dxa"/>
          </w:tblCellMar>
        </w:tblPrEx>
        <w:trPr>
          <w:trHeight w:val="878" w:hRule="atLeast"/>
        </w:trPr>
        <w:tc>
          <w:tcPr>
            <w:tcW w:w="752" w:type="dxa"/>
            <w:tcBorders>
              <w:top w:val="single" w:color="auto" w:sz="4" w:space="0"/>
              <w:left w:val="single" w:color="auto" w:sz="4" w:space="0"/>
              <w:bottom w:val="single" w:color="auto" w:sz="4" w:space="0"/>
              <w:right w:val="single" w:color="auto" w:sz="4" w:space="0"/>
            </w:tcBorders>
            <w:noWrap w:val="0"/>
            <w:vAlign w:val="center"/>
          </w:tcPr>
          <w:p w14:paraId="33D65F55">
            <w:pPr>
              <w:keepNext w:val="0"/>
              <w:keepLines w:val="0"/>
              <w:suppressLineNumbers w:val="0"/>
              <w:spacing w:before="0" w:beforeAutospacing="0" w:after="0" w:afterAutospacing="0"/>
              <w:ind w:left="0" w:right="0"/>
              <w:rPr>
                <w:rFonts w:hint="eastAsia"/>
                <w:color w:val="000000"/>
                <w:highlight w:val="none"/>
              </w:rPr>
            </w:pPr>
          </w:p>
        </w:tc>
        <w:tc>
          <w:tcPr>
            <w:tcW w:w="2105" w:type="dxa"/>
            <w:tcBorders>
              <w:top w:val="single" w:color="auto" w:sz="4" w:space="0"/>
              <w:left w:val="nil"/>
              <w:bottom w:val="single" w:color="auto" w:sz="4" w:space="0"/>
              <w:right w:val="single" w:color="auto" w:sz="4" w:space="0"/>
            </w:tcBorders>
            <w:noWrap w:val="0"/>
            <w:vAlign w:val="center"/>
          </w:tcPr>
          <w:p w14:paraId="26965E9F">
            <w:pPr>
              <w:keepNext w:val="0"/>
              <w:keepLines w:val="0"/>
              <w:suppressLineNumbers w:val="0"/>
              <w:spacing w:before="0" w:beforeAutospacing="0" w:after="0" w:afterAutospacing="0"/>
              <w:ind w:left="0" w:right="0"/>
              <w:rPr>
                <w:rFonts w:hint="eastAsia"/>
                <w:color w:val="000000"/>
                <w:highlight w:val="none"/>
              </w:rPr>
            </w:pPr>
          </w:p>
        </w:tc>
        <w:tc>
          <w:tcPr>
            <w:tcW w:w="1990" w:type="dxa"/>
            <w:tcBorders>
              <w:top w:val="single" w:color="auto" w:sz="4" w:space="0"/>
              <w:left w:val="nil"/>
              <w:bottom w:val="single" w:color="auto" w:sz="4" w:space="0"/>
              <w:right w:val="single" w:color="auto" w:sz="4" w:space="0"/>
            </w:tcBorders>
            <w:noWrap w:val="0"/>
            <w:vAlign w:val="center"/>
          </w:tcPr>
          <w:p w14:paraId="1406A1D0">
            <w:pPr>
              <w:keepNext w:val="0"/>
              <w:keepLines w:val="0"/>
              <w:suppressLineNumbers w:val="0"/>
              <w:spacing w:before="0" w:beforeAutospacing="0" w:after="0" w:afterAutospacing="0"/>
              <w:ind w:left="0" w:right="0"/>
              <w:rPr>
                <w:rFonts w:hint="eastAsia"/>
                <w:color w:val="000000"/>
                <w:highlight w:val="none"/>
              </w:rPr>
            </w:pPr>
          </w:p>
        </w:tc>
        <w:tc>
          <w:tcPr>
            <w:tcW w:w="2985" w:type="dxa"/>
            <w:tcBorders>
              <w:top w:val="single" w:color="auto" w:sz="4" w:space="0"/>
              <w:left w:val="nil"/>
              <w:bottom w:val="single" w:color="auto" w:sz="4" w:space="0"/>
              <w:right w:val="single" w:color="auto" w:sz="4" w:space="0"/>
            </w:tcBorders>
            <w:noWrap w:val="0"/>
            <w:vAlign w:val="center"/>
          </w:tcPr>
          <w:p w14:paraId="6AC9B29D">
            <w:pPr>
              <w:keepNext w:val="0"/>
              <w:keepLines w:val="0"/>
              <w:suppressLineNumbers w:val="0"/>
              <w:spacing w:before="0" w:beforeAutospacing="0" w:after="0" w:afterAutospacing="0"/>
              <w:ind w:left="0" w:right="0"/>
              <w:rPr>
                <w:rFonts w:hint="eastAsia"/>
                <w:color w:val="000000"/>
                <w:highlight w:val="none"/>
              </w:rPr>
            </w:pPr>
          </w:p>
        </w:tc>
        <w:tc>
          <w:tcPr>
            <w:tcW w:w="995" w:type="dxa"/>
            <w:tcBorders>
              <w:top w:val="single" w:color="auto" w:sz="4" w:space="0"/>
              <w:left w:val="nil"/>
              <w:bottom w:val="single" w:color="auto" w:sz="4" w:space="0"/>
              <w:right w:val="single" w:color="auto" w:sz="4" w:space="0"/>
            </w:tcBorders>
            <w:noWrap w:val="0"/>
            <w:vAlign w:val="center"/>
          </w:tcPr>
          <w:p w14:paraId="0FDEF68F">
            <w:pPr>
              <w:keepNext w:val="0"/>
              <w:keepLines w:val="0"/>
              <w:suppressLineNumbers w:val="0"/>
              <w:spacing w:before="0" w:beforeAutospacing="0" w:after="0" w:afterAutospacing="0"/>
              <w:ind w:left="0" w:right="0"/>
              <w:rPr>
                <w:rFonts w:hint="eastAsia"/>
                <w:color w:val="000000"/>
                <w:highlight w:val="none"/>
              </w:rPr>
            </w:pPr>
          </w:p>
        </w:tc>
        <w:tc>
          <w:tcPr>
            <w:tcW w:w="995" w:type="dxa"/>
            <w:tcBorders>
              <w:top w:val="single" w:color="auto" w:sz="4" w:space="0"/>
              <w:left w:val="nil"/>
              <w:bottom w:val="single" w:color="auto" w:sz="4" w:space="0"/>
              <w:right w:val="single" w:color="auto" w:sz="4" w:space="0"/>
            </w:tcBorders>
            <w:noWrap w:val="0"/>
            <w:vAlign w:val="center"/>
          </w:tcPr>
          <w:p w14:paraId="10093868">
            <w:pPr>
              <w:keepNext w:val="0"/>
              <w:keepLines w:val="0"/>
              <w:suppressLineNumbers w:val="0"/>
              <w:spacing w:before="0" w:beforeAutospacing="0" w:after="0" w:afterAutospacing="0"/>
              <w:ind w:left="0" w:right="0"/>
              <w:rPr>
                <w:rFonts w:hint="eastAsia"/>
                <w:color w:val="000000"/>
                <w:highlight w:val="none"/>
              </w:rPr>
            </w:pPr>
          </w:p>
        </w:tc>
      </w:tr>
      <w:tr w14:paraId="720ED41D">
        <w:tblPrEx>
          <w:tblCellMar>
            <w:top w:w="0" w:type="dxa"/>
            <w:left w:w="108" w:type="dxa"/>
            <w:bottom w:w="0" w:type="dxa"/>
            <w:right w:w="108" w:type="dxa"/>
          </w:tblCellMar>
        </w:tblPrEx>
        <w:trPr>
          <w:trHeight w:val="878" w:hRule="atLeast"/>
        </w:trPr>
        <w:tc>
          <w:tcPr>
            <w:tcW w:w="752" w:type="dxa"/>
            <w:tcBorders>
              <w:top w:val="single" w:color="auto" w:sz="4" w:space="0"/>
              <w:left w:val="single" w:color="auto" w:sz="4" w:space="0"/>
              <w:bottom w:val="single" w:color="auto" w:sz="4" w:space="0"/>
              <w:right w:val="single" w:color="auto" w:sz="4" w:space="0"/>
            </w:tcBorders>
            <w:noWrap w:val="0"/>
            <w:vAlign w:val="center"/>
          </w:tcPr>
          <w:p w14:paraId="735B6E8E">
            <w:pPr>
              <w:keepNext w:val="0"/>
              <w:keepLines w:val="0"/>
              <w:suppressLineNumbers w:val="0"/>
              <w:spacing w:before="0" w:beforeAutospacing="0" w:after="0" w:afterAutospacing="0"/>
              <w:ind w:left="0" w:right="0"/>
              <w:rPr>
                <w:rFonts w:hint="eastAsia"/>
                <w:color w:val="000000"/>
                <w:highlight w:val="none"/>
              </w:rPr>
            </w:pPr>
          </w:p>
        </w:tc>
        <w:tc>
          <w:tcPr>
            <w:tcW w:w="2105" w:type="dxa"/>
            <w:tcBorders>
              <w:top w:val="single" w:color="auto" w:sz="4" w:space="0"/>
              <w:left w:val="nil"/>
              <w:bottom w:val="single" w:color="auto" w:sz="4" w:space="0"/>
              <w:right w:val="single" w:color="auto" w:sz="4" w:space="0"/>
            </w:tcBorders>
            <w:noWrap w:val="0"/>
            <w:vAlign w:val="center"/>
          </w:tcPr>
          <w:p w14:paraId="466A70A3">
            <w:pPr>
              <w:keepNext w:val="0"/>
              <w:keepLines w:val="0"/>
              <w:suppressLineNumbers w:val="0"/>
              <w:spacing w:before="0" w:beforeAutospacing="0" w:after="0" w:afterAutospacing="0"/>
              <w:ind w:left="0" w:right="0"/>
              <w:rPr>
                <w:rFonts w:hint="eastAsia"/>
                <w:color w:val="000000"/>
                <w:highlight w:val="none"/>
              </w:rPr>
            </w:pPr>
          </w:p>
        </w:tc>
        <w:tc>
          <w:tcPr>
            <w:tcW w:w="1990" w:type="dxa"/>
            <w:tcBorders>
              <w:top w:val="single" w:color="auto" w:sz="4" w:space="0"/>
              <w:left w:val="nil"/>
              <w:bottom w:val="single" w:color="auto" w:sz="4" w:space="0"/>
              <w:right w:val="single" w:color="auto" w:sz="4" w:space="0"/>
            </w:tcBorders>
            <w:noWrap w:val="0"/>
            <w:vAlign w:val="center"/>
          </w:tcPr>
          <w:p w14:paraId="33A8BCC5">
            <w:pPr>
              <w:keepNext w:val="0"/>
              <w:keepLines w:val="0"/>
              <w:suppressLineNumbers w:val="0"/>
              <w:spacing w:before="0" w:beforeAutospacing="0" w:after="0" w:afterAutospacing="0"/>
              <w:ind w:left="0" w:right="0"/>
              <w:rPr>
                <w:rFonts w:hint="eastAsia"/>
                <w:color w:val="000000"/>
                <w:highlight w:val="none"/>
              </w:rPr>
            </w:pPr>
          </w:p>
        </w:tc>
        <w:tc>
          <w:tcPr>
            <w:tcW w:w="2985" w:type="dxa"/>
            <w:tcBorders>
              <w:top w:val="single" w:color="auto" w:sz="4" w:space="0"/>
              <w:left w:val="nil"/>
              <w:bottom w:val="single" w:color="auto" w:sz="4" w:space="0"/>
              <w:right w:val="single" w:color="auto" w:sz="4" w:space="0"/>
            </w:tcBorders>
            <w:noWrap w:val="0"/>
            <w:vAlign w:val="center"/>
          </w:tcPr>
          <w:p w14:paraId="5EED2F80">
            <w:pPr>
              <w:keepNext w:val="0"/>
              <w:keepLines w:val="0"/>
              <w:suppressLineNumbers w:val="0"/>
              <w:spacing w:before="0" w:beforeAutospacing="0" w:after="0" w:afterAutospacing="0"/>
              <w:ind w:left="0" w:right="0"/>
              <w:rPr>
                <w:rFonts w:hint="eastAsia"/>
                <w:color w:val="000000"/>
                <w:highlight w:val="none"/>
              </w:rPr>
            </w:pPr>
          </w:p>
        </w:tc>
        <w:tc>
          <w:tcPr>
            <w:tcW w:w="995" w:type="dxa"/>
            <w:tcBorders>
              <w:top w:val="single" w:color="auto" w:sz="4" w:space="0"/>
              <w:left w:val="nil"/>
              <w:bottom w:val="single" w:color="auto" w:sz="4" w:space="0"/>
              <w:right w:val="single" w:color="auto" w:sz="4" w:space="0"/>
            </w:tcBorders>
            <w:noWrap w:val="0"/>
            <w:vAlign w:val="center"/>
          </w:tcPr>
          <w:p w14:paraId="65530C80">
            <w:pPr>
              <w:keepNext w:val="0"/>
              <w:keepLines w:val="0"/>
              <w:suppressLineNumbers w:val="0"/>
              <w:spacing w:before="0" w:beforeAutospacing="0" w:after="0" w:afterAutospacing="0"/>
              <w:ind w:left="0" w:right="0"/>
              <w:rPr>
                <w:rFonts w:hint="eastAsia"/>
                <w:color w:val="000000"/>
                <w:highlight w:val="none"/>
              </w:rPr>
            </w:pPr>
          </w:p>
        </w:tc>
        <w:tc>
          <w:tcPr>
            <w:tcW w:w="995" w:type="dxa"/>
            <w:tcBorders>
              <w:top w:val="single" w:color="auto" w:sz="4" w:space="0"/>
              <w:left w:val="nil"/>
              <w:bottom w:val="single" w:color="auto" w:sz="4" w:space="0"/>
              <w:right w:val="single" w:color="auto" w:sz="4" w:space="0"/>
            </w:tcBorders>
            <w:noWrap w:val="0"/>
            <w:vAlign w:val="center"/>
          </w:tcPr>
          <w:p w14:paraId="5D13F317">
            <w:pPr>
              <w:keepNext w:val="0"/>
              <w:keepLines w:val="0"/>
              <w:suppressLineNumbers w:val="0"/>
              <w:spacing w:before="0" w:beforeAutospacing="0" w:after="0" w:afterAutospacing="0"/>
              <w:ind w:left="0" w:right="0"/>
              <w:rPr>
                <w:rFonts w:hint="eastAsia"/>
                <w:color w:val="000000"/>
                <w:highlight w:val="none"/>
              </w:rPr>
            </w:pPr>
          </w:p>
        </w:tc>
      </w:tr>
    </w:tbl>
    <w:p w14:paraId="5B7AB47E">
      <w:pPr>
        <w:spacing w:line="360" w:lineRule="auto"/>
        <w:rPr>
          <w:rFonts w:ascii="宋体" w:hAnsi="宋体"/>
          <w:sz w:val="26"/>
          <w:highlight w:val="none"/>
        </w:rPr>
      </w:pPr>
    </w:p>
    <w:p w14:paraId="686CBEF1">
      <w:pPr>
        <w:spacing w:line="360" w:lineRule="auto"/>
        <w:rPr>
          <w:rFonts w:ascii="宋体" w:hAnsi="宋体"/>
          <w:sz w:val="26"/>
          <w:highlight w:val="none"/>
        </w:rPr>
      </w:pPr>
    </w:p>
    <w:p w14:paraId="30D644AE">
      <w:pPr>
        <w:spacing w:line="360" w:lineRule="auto"/>
        <w:jc w:val="center"/>
        <w:rPr>
          <w:rFonts w:hint="eastAsia" w:ascii="宋体" w:hAnsi="宋体"/>
          <w:b/>
          <w:sz w:val="30"/>
          <w:szCs w:val="30"/>
          <w:highlight w:val="none"/>
          <w:lang w:eastAsia="zh-CN"/>
        </w:rPr>
      </w:pPr>
    </w:p>
    <w:p w14:paraId="7B10F983">
      <w:pPr>
        <w:spacing w:line="360" w:lineRule="auto"/>
        <w:jc w:val="center"/>
        <w:rPr>
          <w:rFonts w:hint="eastAsia" w:ascii="宋体" w:hAnsi="宋体"/>
          <w:b/>
          <w:sz w:val="30"/>
          <w:szCs w:val="30"/>
          <w:highlight w:val="none"/>
          <w:lang w:eastAsia="zh-CN"/>
        </w:rPr>
      </w:pPr>
    </w:p>
    <w:p w14:paraId="0C0E0BE6">
      <w:pPr>
        <w:spacing w:line="360" w:lineRule="auto"/>
        <w:jc w:val="center"/>
        <w:rPr>
          <w:rFonts w:hint="eastAsia" w:ascii="宋体" w:hAnsi="宋体"/>
          <w:b/>
          <w:sz w:val="30"/>
          <w:szCs w:val="30"/>
          <w:highlight w:val="none"/>
          <w:lang w:eastAsia="zh-CN"/>
        </w:rPr>
      </w:pPr>
    </w:p>
    <w:p w14:paraId="405C08B2">
      <w:pPr>
        <w:spacing w:line="360" w:lineRule="auto"/>
        <w:jc w:val="center"/>
        <w:rPr>
          <w:rFonts w:hint="eastAsia" w:ascii="宋体" w:hAnsi="宋体"/>
          <w:b/>
          <w:sz w:val="30"/>
          <w:szCs w:val="30"/>
          <w:highlight w:val="none"/>
          <w:lang w:eastAsia="zh-CN"/>
        </w:rPr>
      </w:pPr>
    </w:p>
    <w:p w14:paraId="28EA96E4">
      <w:pPr>
        <w:spacing w:line="360" w:lineRule="auto"/>
        <w:jc w:val="center"/>
        <w:rPr>
          <w:rFonts w:hint="eastAsia" w:ascii="宋体" w:hAnsi="宋体"/>
          <w:b/>
          <w:sz w:val="30"/>
          <w:szCs w:val="30"/>
          <w:highlight w:val="none"/>
          <w:lang w:eastAsia="zh-CN"/>
        </w:rPr>
      </w:pPr>
    </w:p>
    <w:p w14:paraId="18FF3E60">
      <w:pPr>
        <w:spacing w:line="360" w:lineRule="auto"/>
        <w:jc w:val="center"/>
        <w:rPr>
          <w:rFonts w:hint="eastAsia" w:ascii="宋体" w:hAnsi="宋体"/>
          <w:b/>
          <w:sz w:val="30"/>
          <w:szCs w:val="30"/>
          <w:highlight w:val="none"/>
          <w:lang w:eastAsia="zh-CN"/>
        </w:rPr>
      </w:pPr>
    </w:p>
    <w:p w14:paraId="73C5E9AE">
      <w:pPr>
        <w:spacing w:line="360" w:lineRule="auto"/>
        <w:jc w:val="center"/>
        <w:rPr>
          <w:rFonts w:hint="eastAsia" w:ascii="宋体" w:hAnsi="宋体"/>
          <w:b/>
          <w:sz w:val="30"/>
          <w:szCs w:val="30"/>
          <w:highlight w:val="none"/>
          <w:lang w:eastAsia="zh-CN"/>
        </w:rPr>
      </w:pPr>
    </w:p>
    <w:p w14:paraId="584A88A0">
      <w:pPr>
        <w:spacing w:line="360" w:lineRule="auto"/>
        <w:jc w:val="center"/>
        <w:rPr>
          <w:rFonts w:hint="eastAsia" w:ascii="宋体" w:hAnsi="宋体"/>
          <w:b/>
          <w:sz w:val="30"/>
          <w:szCs w:val="30"/>
          <w:highlight w:val="none"/>
          <w:lang w:eastAsia="zh-CN"/>
        </w:rPr>
      </w:pPr>
    </w:p>
    <w:p w14:paraId="29130D2C">
      <w:pPr>
        <w:spacing w:line="360" w:lineRule="auto"/>
        <w:jc w:val="center"/>
        <w:rPr>
          <w:rFonts w:ascii="宋体" w:hAnsi="宋体"/>
          <w:b/>
          <w:sz w:val="30"/>
          <w:szCs w:val="30"/>
          <w:highlight w:val="none"/>
        </w:rPr>
      </w:pPr>
      <w:r>
        <w:rPr>
          <w:rFonts w:hint="eastAsia" w:ascii="宋体" w:hAnsi="宋体"/>
          <w:b/>
          <w:sz w:val="30"/>
          <w:szCs w:val="30"/>
          <w:highlight w:val="none"/>
          <w:lang w:val="en-US" w:eastAsia="zh-CN"/>
        </w:rPr>
        <w:t>九</w:t>
      </w:r>
      <w:r>
        <w:rPr>
          <w:rFonts w:hint="eastAsia" w:ascii="宋体" w:hAnsi="宋体"/>
          <w:b/>
          <w:sz w:val="30"/>
          <w:szCs w:val="30"/>
          <w:highlight w:val="none"/>
        </w:rPr>
        <w:t>、供应商资格证明文件</w:t>
      </w:r>
    </w:p>
    <w:p w14:paraId="37EA281B">
      <w:pPr>
        <w:autoSpaceDE w:val="0"/>
        <w:autoSpaceDN w:val="0"/>
        <w:adjustRightInd w:val="0"/>
        <w:ind w:firstLine="435"/>
        <w:rPr>
          <w:sz w:val="24"/>
          <w:highlight w:val="none"/>
        </w:rPr>
      </w:pPr>
    </w:p>
    <w:p w14:paraId="70C9060C">
      <w:pPr>
        <w:autoSpaceDE w:val="0"/>
        <w:autoSpaceDN w:val="0"/>
        <w:adjustRightInd w:val="0"/>
        <w:ind w:firstLine="435"/>
        <w:rPr>
          <w:sz w:val="24"/>
          <w:highlight w:val="none"/>
        </w:rPr>
      </w:pPr>
    </w:p>
    <w:p w14:paraId="4AE2ADE1">
      <w:pPr>
        <w:autoSpaceDE w:val="0"/>
        <w:autoSpaceDN w:val="0"/>
        <w:adjustRightInd w:val="0"/>
        <w:ind w:firstLine="435"/>
        <w:rPr>
          <w:sz w:val="24"/>
          <w:highlight w:val="none"/>
        </w:rPr>
      </w:pPr>
      <w:r>
        <w:rPr>
          <w:sz w:val="24"/>
          <w:highlight w:val="none"/>
        </w:rPr>
        <w:t>附：营业执照、相关资质、财务审计报告或</w:t>
      </w:r>
      <w:r>
        <w:rPr>
          <w:rFonts w:hint="eastAsia"/>
          <w:sz w:val="24"/>
          <w:highlight w:val="none"/>
        </w:rPr>
        <w:t>财务</w:t>
      </w:r>
      <w:r>
        <w:rPr>
          <w:sz w:val="24"/>
          <w:highlight w:val="none"/>
        </w:rPr>
        <w:t>报表、信誉证明等</w:t>
      </w:r>
    </w:p>
    <w:p w14:paraId="070F23A3">
      <w:pPr>
        <w:rPr>
          <w:sz w:val="24"/>
          <w:highlight w:val="none"/>
        </w:rPr>
      </w:pPr>
      <w:r>
        <w:rPr>
          <w:sz w:val="24"/>
          <w:highlight w:val="none"/>
        </w:rPr>
        <w:br w:type="page"/>
      </w:r>
    </w:p>
    <w:p w14:paraId="4B4B826B">
      <w:pPr>
        <w:pStyle w:val="152"/>
        <w:numPr>
          <w:ilvl w:val="1"/>
          <w:numId w:val="0"/>
        </w:numPr>
        <w:spacing w:line="360" w:lineRule="auto"/>
        <w:jc w:val="center"/>
        <w:outlineLvl w:val="9"/>
        <w:rPr>
          <w:rFonts w:hint="default" w:ascii="宋体" w:hAnsi="宋体" w:eastAsia="宋体" w:cs="宋体"/>
          <w:bCs w:val="0"/>
          <w:color w:val="auto"/>
          <w:sz w:val="21"/>
          <w:szCs w:val="21"/>
          <w:highlight w:val="none"/>
          <w:lang w:val="en-US" w:eastAsia="zh-CN"/>
        </w:rPr>
      </w:pPr>
      <w:r>
        <w:rPr>
          <w:rFonts w:hint="eastAsia" w:ascii="宋体" w:hAnsi="宋体" w:eastAsia="宋体" w:cs="宋体"/>
          <w:bCs w:val="0"/>
          <w:color w:val="auto"/>
          <w:sz w:val="21"/>
          <w:szCs w:val="21"/>
          <w:highlight w:val="none"/>
          <w:lang w:val="en-US" w:eastAsia="zh-CN"/>
        </w:rPr>
        <w:t>供应商</w:t>
      </w:r>
      <w:r>
        <w:rPr>
          <w:rFonts w:hint="eastAsia" w:ascii="宋体" w:hAnsi="宋体" w:eastAsia="宋体" w:cs="宋体"/>
          <w:bCs w:val="0"/>
          <w:color w:val="auto"/>
          <w:sz w:val="21"/>
          <w:szCs w:val="21"/>
          <w:highlight w:val="none"/>
          <w:lang w:eastAsia="zh-CN"/>
        </w:rPr>
        <w:t>资格声明</w:t>
      </w:r>
      <w:r>
        <w:rPr>
          <w:rFonts w:hint="eastAsia" w:ascii="宋体" w:hAnsi="宋体" w:eastAsia="宋体" w:cs="宋体"/>
          <w:bCs w:val="0"/>
          <w:color w:val="auto"/>
          <w:sz w:val="21"/>
          <w:szCs w:val="21"/>
          <w:highlight w:val="none"/>
          <w:lang w:val="en-US" w:eastAsia="zh-CN"/>
        </w:rPr>
        <w:t>书</w:t>
      </w:r>
    </w:p>
    <w:p w14:paraId="576FCC8F">
      <w:pPr>
        <w:pStyle w:val="152"/>
        <w:numPr>
          <w:ilvl w:val="1"/>
          <w:numId w:val="0"/>
        </w:numPr>
        <w:spacing w:line="360" w:lineRule="auto"/>
        <w:ind w:firstLine="420" w:firstLineChars="200"/>
        <w:jc w:val="both"/>
        <w:outlineLvl w:val="9"/>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lang w:val="zh-CN"/>
        </w:rPr>
        <w:t>致：</w:t>
      </w:r>
    </w:p>
    <w:p w14:paraId="259BE048">
      <w:pPr>
        <w:pStyle w:val="152"/>
        <w:numPr>
          <w:ilvl w:val="1"/>
          <w:numId w:val="0"/>
        </w:numPr>
        <w:spacing w:line="360" w:lineRule="auto"/>
        <w:ind w:firstLine="420" w:firstLineChars="200"/>
        <w:jc w:val="both"/>
        <w:outlineLvl w:val="9"/>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 xml:space="preserve">按照《中华人民共和国政府采购法》第二十二条和你方发布的 </w:t>
      </w:r>
      <w:r>
        <w:rPr>
          <w:rFonts w:hint="eastAsia" w:ascii="宋体" w:hAnsi="宋体" w:eastAsia="宋体" w:cs="宋体"/>
          <w:bCs w:val="0"/>
          <w:color w:val="auto"/>
          <w:sz w:val="21"/>
          <w:szCs w:val="21"/>
          <w:highlight w:val="none"/>
          <w:u w:val="single"/>
        </w:rPr>
        <w:t xml:space="preserve"> 项目名称  </w:t>
      </w:r>
      <w:r>
        <w:rPr>
          <w:rFonts w:hint="eastAsia" w:ascii="宋体" w:hAnsi="宋体" w:eastAsia="宋体" w:cs="宋体"/>
          <w:bCs w:val="0"/>
          <w:color w:val="auto"/>
          <w:sz w:val="21"/>
          <w:szCs w:val="21"/>
          <w:highlight w:val="none"/>
        </w:rPr>
        <w:t>（项目编号：</w:t>
      </w:r>
      <w:r>
        <w:rPr>
          <w:rFonts w:hint="eastAsia" w:ascii="宋体" w:hAnsi="宋体" w:eastAsia="宋体" w:cs="宋体"/>
          <w:bCs w:val="0"/>
          <w:color w:val="auto"/>
          <w:sz w:val="21"/>
          <w:szCs w:val="21"/>
          <w:highlight w:val="none"/>
          <w:u w:val="single"/>
        </w:rPr>
        <w:t xml:space="preserve">     </w:t>
      </w:r>
      <w:r>
        <w:rPr>
          <w:rFonts w:hint="eastAsia" w:ascii="宋体" w:hAnsi="宋体" w:eastAsia="宋体" w:cs="宋体"/>
          <w:bCs w:val="0"/>
          <w:color w:val="auto"/>
          <w:sz w:val="21"/>
          <w:szCs w:val="21"/>
          <w:highlight w:val="none"/>
        </w:rPr>
        <w:t>）的规定，我公司郑重声明如下：</w:t>
      </w:r>
    </w:p>
    <w:p w14:paraId="334085D5">
      <w:pPr>
        <w:pStyle w:val="152"/>
        <w:numPr>
          <w:ilvl w:val="1"/>
          <w:numId w:val="0"/>
        </w:numPr>
        <w:spacing w:line="360" w:lineRule="auto"/>
        <w:ind w:firstLine="420" w:firstLineChars="200"/>
        <w:jc w:val="both"/>
        <w:outlineLvl w:val="9"/>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（一）具有独立承担民事责任的能力；</w:t>
      </w:r>
    </w:p>
    <w:p w14:paraId="01896B3D">
      <w:pPr>
        <w:pStyle w:val="152"/>
        <w:numPr>
          <w:ilvl w:val="1"/>
          <w:numId w:val="0"/>
        </w:numPr>
        <w:spacing w:line="360" w:lineRule="auto"/>
        <w:ind w:firstLine="420" w:firstLineChars="200"/>
        <w:jc w:val="both"/>
        <w:outlineLvl w:val="9"/>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（二）具有良好的商业信誉和健全的财务会计制度；</w:t>
      </w:r>
    </w:p>
    <w:p w14:paraId="184C3D2B">
      <w:pPr>
        <w:pStyle w:val="152"/>
        <w:numPr>
          <w:ilvl w:val="1"/>
          <w:numId w:val="0"/>
        </w:numPr>
        <w:spacing w:line="360" w:lineRule="auto"/>
        <w:ind w:firstLine="420" w:firstLineChars="200"/>
        <w:jc w:val="both"/>
        <w:outlineLvl w:val="9"/>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（三）具有履行合同所必需的设备和专业技术能力；</w:t>
      </w:r>
    </w:p>
    <w:p w14:paraId="37CAF12A">
      <w:pPr>
        <w:pStyle w:val="152"/>
        <w:numPr>
          <w:ilvl w:val="1"/>
          <w:numId w:val="0"/>
        </w:numPr>
        <w:spacing w:line="360" w:lineRule="auto"/>
        <w:ind w:firstLine="420" w:firstLineChars="200"/>
        <w:jc w:val="both"/>
        <w:outlineLvl w:val="9"/>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（四）有依法缴纳税收和社会保障资金的良好记录；</w:t>
      </w:r>
    </w:p>
    <w:p w14:paraId="0D448F0F">
      <w:pPr>
        <w:pStyle w:val="152"/>
        <w:numPr>
          <w:ilvl w:val="1"/>
          <w:numId w:val="0"/>
        </w:numPr>
        <w:spacing w:line="360" w:lineRule="auto"/>
        <w:ind w:firstLine="420" w:firstLineChars="200"/>
        <w:jc w:val="both"/>
        <w:outlineLvl w:val="9"/>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（五）参加本次采购活动前三年内，在经营活动中没有重大违法记录；</w:t>
      </w:r>
    </w:p>
    <w:p w14:paraId="5C2D4F0B">
      <w:pPr>
        <w:pStyle w:val="152"/>
        <w:numPr>
          <w:ilvl w:val="1"/>
          <w:numId w:val="0"/>
        </w:numPr>
        <w:spacing w:line="360" w:lineRule="auto"/>
        <w:ind w:firstLine="420" w:firstLineChars="200"/>
        <w:jc w:val="both"/>
        <w:outlineLvl w:val="9"/>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（六）符合法律、行政法规规定的其他条件。</w:t>
      </w:r>
    </w:p>
    <w:p w14:paraId="0871423B">
      <w:pPr>
        <w:pStyle w:val="152"/>
        <w:numPr>
          <w:ilvl w:val="1"/>
          <w:numId w:val="0"/>
        </w:numPr>
        <w:spacing w:line="360" w:lineRule="auto"/>
        <w:ind w:firstLine="420" w:firstLineChars="200"/>
        <w:jc w:val="both"/>
        <w:outlineLvl w:val="9"/>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我公司保证在参与本次采购活动时未受到任何地方政府采购部门作出的暂停参加政府采购活动的处罚，且上述声明的事项都是真实的，如有虚假，我公司承担相应的法律责任，并承担因此给你公司以及本项目采购人所造成的损失。</w:t>
      </w:r>
    </w:p>
    <w:p w14:paraId="7D511752">
      <w:pPr>
        <w:pStyle w:val="152"/>
        <w:numPr>
          <w:ilvl w:val="1"/>
          <w:numId w:val="0"/>
        </w:numPr>
        <w:spacing w:line="360" w:lineRule="auto"/>
        <w:ind w:firstLine="420" w:firstLineChars="200"/>
        <w:jc w:val="both"/>
        <w:outlineLvl w:val="9"/>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我公司保证随时按照你公司的要求提供能够证明上述声明事项真实性的任何有效文件。</w:t>
      </w:r>
    </w:p>
    <w:p w14:paraId="14219449">
      <w:pPr>
        <w:pStyle w:val="152"/>
        <w:numPr>
          <w:ilvl w:val="1"/>
          <w:numId w:val="0"/>
        </w:numPr>
        <w:spacing w:line="360" w:lineRule="auto"/>
        <w:ind w:firstLine="420" w:firstLineChars="200"/>
        <w:jc w:val="both"/>
        <w:outlineLvl w:val="9"/>
        <w:rPr>
          <w:rFonts w:hint="eastAsia" w:ascii="宋体" w:hAnsi="宋体" w:eastAsia="宋体" w:cs="宋体"/>
          <w:bCs w:val="0"/>
          <w:color w:val="auto"/>
          <w:sz w:val="21"/>
          <w:szCs w:val="21"/>
          <w:highlight w:val="none"/>
        </w:rPr>
      </w:pPr>
    </w:p>
    <w:p w14:paraId="00811DE1">
      <w:pPr>
        <w:pStyle w:val="152"/>
        <w:numPr>
          <w:ilvl w:val="1"/>
          <w:numId w:val="0"/>
        </w:numPr>
        <w:spacing w:line="360" w:lineRule="auto"/>
        <w:ind w:firstLine="420" w:firstLineChars="200"/>
        <w:jc w:val="both"/>
        <w:outlineLvl w:val="9"/>
        <w:rPr>
          <w:rFonts w:hint="eastAsia" w:ascii="宋体" w:hAnsi="宋体" w:eastAsia="宋体" w:cs="宋体"/>
          <w:bCs w:val="0"/>
          <w:color w:val="auto"/>
          <w:sz w:val="21"/>
          <w:szCs w:val="21"/>
          <w:highlight w:val="none"/>
          <w:lang w:val="zh-CN"/>
        </w:rPr>
      </w:pPr>
    </w:p>
    <w:p w14:paraId="3A97FC98">
      <w:pPr>
        <w:pStyle w:val="152"/>
        <w:numPr>
          <w:ilvl w:val="1"/>
          <w:numId w:val="0"/>
        </w:numPr>
        <w:spacing w:line="360" w:lineRule="auto"/>
        <w:ind w:firstLine="420" w:firstLineChars="200"/>
        <w:jc w:val="both"/>
        <w:outlineLvl w:val="9"/>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lang w:val="zh-CN"/>
        </w:rPr>
        <w:t>供应商名称：                 （盖单位章）</w:t>
      </w:r>
    </w:p>
    <w:p w14:paraId="60F8A8E7">
      <w:pPr>
        <w:pStyle w:val="152"/>
        <w:numPr>
          <w:ilvl w:val="1"/>
          <w:numId w:val="0"/>
        </w:numPr>
        <w:spacing w:line="360" w:lineRule="auto"/>
        <w:ind w:firstLine="420" w:firstLineChars="200"/>
        <w:jc w:val="both"/>
        <w:outlineLvl w:val="9"/>
        <w:rPr>
          <w:rFonts w:hint="eastAsia" w:ascii="宋体" w:hAnsi="宋体" w:eastAsia="宋体" w:cs="宋体"/>
          <w:bCs w:val="0"/>
          <w:color w:val="auto"/>
          <w:sz w:val="21"/>
          <w:szCs w:val="21"/>
          <w:highlight w:val="none"/>
          <w:lang w:eastAsia="zh-CN"/>
        </w:rPr>
      </w:pPr>
      <w:r>
        <w:rPr>
          <w:rFonts w:hint="eastAsia" w:ascii="宋体" w:hAnsi="宋体" w:eastAsia="宋体" w:cs="宋体"/>
          <w:bCs w:val="0"/>
          <w:color w:val="auto"/>
          <w:sz w:val="21"/>
          <w:szCs w:val="21"/>
          <w:highlight w:val="none"/>
          <w:lang w:val="zh-CN"/>
        </w:rPr>
        <w:t>日期：    年</w:t>
      </w:r>
      <w:r>
        <w:rPr>
          <w:rFonts w:hint="eastAsia" w:ascii="宋体" w:hAnsi="宋体" w:eastAsia="宋体" w:cs="宋体"/>
          <w:bCs w:val="0"/>
          <w:color w:val="auto"/>
          <w:sz w:val="21"/>
          <w:szCs w:val="21"/>
          <w:highlight w:val="none"/>
        </w:rPr>
        <w:t xml:space="preserve">  </w:t>
      </w:r>
      <w:r>
        <w:rPr>
          <w:rFonts w:hint="eastAsia" w:ascii="宋体" w:hAnsi="宋体" w:eastAsia="宋体" w:cs="宋体"/>
          <w:bCs w:val="0"/>
          <w:color w:val="auto"/>
          <w:sz w:val="21"/>
          <w:szCs w:val="21"/>
          <w:highlight w:val="none"/>
          <w:lang w:val="zh-CN"/>
        </w:rPr>
        <w:t>月</w:t>
      </w:r>
      <w:r>
        <w:rPr>
          <w:rFonts w:hint="eastAsia" w:ascii="宋体" w:hAnsi="宋体" w:eastAsia="宋体" w:cs="宋体"/>
          <w:bCs w:val="0"/>
          <w:color w:val="auto"/>
          <w:sz w:val="21"/>
          <w:szCs w:val="21"/>
          <w:highlight w:val="none"/>
        </w:rPr>
        <w:t xml:space="preserve">  </w:t>
      </w:r>
      <w:r>
        <w:rPr>
          <w:rFonts w:hint="eastAsia" w:ascii="宋体" w:hAnsi="宋体" w:eastAsia="宋体" w:cs="宋体"/>
          <w:bCs w:val="0"/>
          <w:color w:val="auto"/>
          <w:sz w:val="21"/>
          <w:szCs w:val="21"/>
          <w:highlight w:val="none"/>
          <w:lang w:val="zh-CN"/>
        </w:rPr>
        <w:t>日</w:t>
      </w:r>
    </w:p>
    <w:p w14:paraId="5D78CB82">
      <w:pPr>
        <w:autoSpaceDE w:val="0"/>
        <w:autoSpaceDN w:val="0"/>
        <w:adjustRightInd w:val="0"/>
        <w:ind w:firstLine="435"/>
        <w:rPr>
          <w:sz w:val="24"/>
          <w:highlight w:val="none"/>
        </w:rPr>
      </w:pPr>
    </w:p>
    <w:p w14:paraId="0C84B690">
      <w:pPr>
        <w:spacing w:line="360" w:lineRule="auto"/>
        <w:rPr>
          <w:rFonts w:ascii="宋体" w:hAnsi="宋体"/>
          <w:sz w:val="26"/>
          <w:highlight w:val="none"/>
        </w:rPr>
      </w:pPr>
    </w:p>
    <w:p w14:paraId="4EE0C806">
      <w:pPr>
        <w:spacing w:line="360" w:lineRule="auto"/>
        <w:rPr>
          <w:rFonts w:ascii="宋体" w:hAnsi="宋体"/>
          <w:sz w:val="26"/>
          <w:highlight w:val="none"/>
        </w:rPr>
      </w:pPr>
    </w:p>
    <w:p w14:paraId="0C045B75">
      <w:pPr>
        <w:spacing w:line="360" w:lineRule="auto"/>
        <w:rPr>
          <w:rFonts w:ascii="宋体" w:hAnsi="宋体"/>
          <w:sz w:val="26"/>
          <w:highlight w:val="none"/>
        </w:rPr>
      </w:pPr>
    </w:p>
    <w:p w14:paraId="003A7D35">
      <w:pPr>
        <w:spacing w:line="360" w:lineRule="auto"/>
        <w:rPr>
          <w:rFonts w:ascii="宋体" w:hAnsi="宋体"/>
          <w:sz w:val="26"/>
          <w:highlight w:val="none"/>
        </w:rPr>
      </w:pPr>
    </w:p>
    <w:p w14:paraId="371F844B">
      <w:pPr>
        <w:spacing w:line="360" w:lineRule="auto"/>
        <w:jc w:val="center"/>
        <w:rPr>
          <w:rFonts w:ascii="宋体" w:hAnsi="宋体"/>
          <w:sz w:val="26"/>
          <w:highlight w:val="none"/>
        </w:rPr>
      </w:pPr>
    </w:p>
    <w:p w14:paraId="5F7D9DC3">
      <w:pPr>
        <w:widowControl/>
        <w:jc w:val="left"/>
        <w:rPr>
          <w:rFonts w:ascii="宋体" w:hAnsi="宋体"/>
          <w:sz w:val="26"/>
          <w:highlight w:val="none"/>
        </w:rPr>
      </w:pPr>
    </w:p>
    <w:p w14:paraId="16CEEB3B">
      <w:pPr>
        <w:autoSpaceDE w:val="0"/>
        <w:autoSpaceDN w:val="0"/>
        <w:adjustRightInd w:val="0"/>
        <w:jc w:val="center"/>
        <w:outlineLvl w:val="0"/>
        <w:rPr>
          <w:rFonts w:ascii="宋体" w:hAnsi="宋体"/>
          <w:b/>
          <w:sz w:val="30"/>
          <w:szCs w:val="30"/>
          <w:highlight w:val="none"/>
        </w:rPr>
      </w:pPr>
      <w:bookmarkStart w:id="121" w:name="_Toc106893783"/>
      <w:bookmarkStart w:id="122" w:name="_Toc106894878"/>
      <w:bookmarkStart w:id="123" w:name="_Toc89350340"/>
      <w:r>
        <w:rPr>
          <w:rFonts w:hint="eastAsia" w:ascii="宋体" w:hAnsi="宋体"/>
          <w:b/>
          <w:sz w:val="30"/>
          <w:szCs w:val="30"/>
          <w:highlight w:val="none"/>
          <w:lang w:val="en-US" w:eastAsia="zh-CN"/>
        </w:rPr>
        <w:t>十</w:t>
      </w:r>
      <w:r>
        <w:rPr>
          <w:rFonts w:hint="eastAsia" w:ascii="宋体" w:hAnsi="宋体"/>
          <w:b/>
          <w:sz w:val="30"/>
          <w:szCs w:val="30"/>
          <w:highlight w:val="none"/>
        </w:rPr>
        <w:t>、商务因素评审内容</w:t>
      </w:r>
      <w:bookmarkEnd w:id="121"/>
      <w:bookmarkEnd w:id="122"/>
      <w:bookmarkEnd w:id="123"/>
    </w:p>
    <w:p w14:paraId="6377B748">
      <w:pPr>
        <w:ind w:left="1680" w:leftChars="800"/>
        <w:rPr>
          <w:bCs/>
          <w:sz w:val="24"/>
          <w:highlight w:val="none"/>
          <w:lang w:val="zh-CN"/>
        </w:rPr>
      </w:pPr>
    </w:p>
    <w:p w14:paraId="0F18151E">
      <w:pPr>
        <w:rPr>
          <w:highlight w:val="none"/>
          <w:lang w:val="zh-CN"/>
        </w:rPr>
      </w:pPr>
      <w:r>
        <w:rPr>
          <w:highlight w:val="none"/>
          <w:lang w:val="zh-CN"/>
        </w:rPr>
        <w:t>包括但不限于类似业绩、企业实力证明材料等</w:t>
      </w:r>
    </w:p>
    <w:p w14:paraId="79286336">
      <w:pPr>
        <w:widowControl/>
        <w:jc w:val="left"/>
        <w:rPr>
          <w:rFonts w:ascii="宋体" w:hAnsi="宋体"/>
          <w:b/>
          <w:sz w:val="30"/>
          <w:szCs w:val="30"/>
          <w:highlight w:val="none"/>
        </w:rPr>
      </w:pPr>
    </w:p>
    <w:p w14:paraId="44A60E1F">
      <w:pPr>
        <w:widowControl/>
        <w:jc w:val="left"/>
        <w:rPr>
          <w:highlight w:val="none"/>
        </w:rPr>
      </w:pPr>
      <w:r>
        <w:rPr>
          <w:highlight w:val="none"/>
        </w:rPr>
        <w:br w:type="page"/>
      </w:r>
    </w:p>
    <w:p w14:paraId="66009FAC">
      <w:pPr>
        <w:autoSpaceDE w:val="0"/>
        <w:autoSpaceDN w:val="0"/>
        <w:adjustRightInd w:val="0"/>
        <w:jc w:val="center"/>
        <w:outlineLvl w:val="0"/>
        <w:rPr>
          <w:rFonts w:ascii="宋体" w:hAnsi="宋体"/>
          <w:b/>
          <w:sz w:val="30"/>
          <w:szCs w:val="30"/>
          <w:highlight w:val="none"/>
        </w:rPr>
      </w:pPr>
      <w:bookmarkStart w:id="124" w:name="_Toc89350341"/>
      <w:bookmarkStart w:id="125" w:name="_Toc106894879"/>
      <w:bookmarkStart w:id="126" w:name="_Toc106893784"/>
      <w:r>
        <w:rPr>
          <w:rFonts w:hint="eastAsia" w:ascii="宋体" w:hAnsi="宋体"/>
          <w:b/>
          <w:sz w:val="30"/>
          <w:szCs w:val="30"/>
          <w:highlight w:val="none"/>
        </w:rPr>
        <w:t>十</w:t>
      </w:r>
      <w:r>
        <w:rPr>
          <w:rFonts w:hint="eastAsia" w:ascii="宋体" w:hAnsi="宋体"/>
          <w:b/>
          <w:sz w:val="30"/>
          <w:szCs w:val="30"/>
          <w:highlight w:val="none"/>
          <w:lang w:val="en-US" w:eastAsia="zh-CN"/>
        </w:rPr>
        <w:t>一</w:t>
      </w:r>
      <w:r>
        <w:rPr>
          <w:rFonts w:hint="eastAsia" w:ascii="宋体" w:hAnsi="宋体"/>
          <w:b/>
          <w:sz w:val="30"/>
          <w:szCs w:val="30"/>
          <w:highlight w:val="none"/>
        </w:rPr>
        <w:t>、技术因素评审内容</w:t>
      </w:r>
      <w:bookmarkEnd w:id="124"/>
      <w:bookmarkEnd w:id="125"/>
      <w:bookmarkEnd w:id="126"/>
    </w:p>
    <w:p w14:paraId="5468F30E">
      <w:pPr>
        <w:ind w:left="1680" w:leftChars="800"/>
        <w:rPr>
          <w:bCs/>
          <w:sz w:val="24"/>
          <w:highlight w:val="none"/>
          <w:lang w:val="zh-CN"/>
        </w:rPr>
      </w:pPr>
    </w:p>
    <w:p w14:paraId="56A77F8D">
      <w:pPr>
        <w:rPr>
          <w:highlight w:val="none"/>
          <w:lang w:val="zh-CN"/>
        </w:rPr>
      </w:pPr>
      <w:r>
        <w:rPr>
          <w:highlight w:val="none"/>
          <w:lang w:val="zh-CN"/>
        </w:rPr>
        <w:t>包括但不限于实施方案等（格式自拟）</w:t>
      </w:r>
    </w:p>
    <w:p w14:paraId="4B4DAD40">
      <w:pPr>
        <w:widowControl/>
        <w:jc w:val="left"/>
        <w:rPr>
          <w:rFonts w:ascii="宋体" w:hAnsi="宋体"/>
          <w:b/>
          <w:sz w:val="30"/>
          <w:szCs w:val="30"/>
          <w:highlight w:val="none"/>
        </w:rPr>
      </w:pPr>
      <w:r>
        <w:rPr>
          <w:rFonts w:ascii="宋体" w:hAnsi="宋体"/>
          <w:b/>
          <w:sz w:val="30"/>
          <w:szCs w:val="30"/>
          <w:highlight w:val="none"/>
        </w:rPr>
        <w:br w:type="page"/>
      </w:r>
    </w:p>
    <w:p w14:paraId="65C67DB0">
      <w:pPr>
        <w:autoSpaceDE w:val="0"/>
        <w:autoSpaceDN w:val="0"/>
        <w:adjustRightInd w:val="0"/>
        <w:jc w:val="center"/>
        <w:outlineLvl w:val="0"/>
        <w:rPr>
          <w:rFonts w:ascii="宋体" w:hAnsi="宋体"/>
          <w:b/>
          <w:sz w:val="30"/>
          <w:szCs w:val="30"/>
          <w:highlight w:val="none"/>
        </w:rPr>
      </w:pPr>
      <w:bookmarkStart w:id="127" w:name="_Toc106893786"/>
      <w:bookmarkStart w:id="128" w:name="_Toc89350343"/>
      <w:bookmarkStart w:id="129" w:name="_Toc106894881"/>
      <w:r>
        <w:rPr>
          <w:rFonts w:hint="eastAsia" w:ascii="宋体" w:hAnsi="宋体"/>
          <w:b/>
          <w:sz w:val="30"/>
          <w:szCs w:val="30"/>
          <w:highlight w:val="none"/>
        </w:rPr>
        <w:t>十</w:t>
      </w:r>
      <w:r>
        <w:rPr>
          <w:rFonts w:hint="eastAsia" w:ascii="宋体" w:hAnsi="宋体"/>
          <w:b/>
          <w:sz w:val="30"/>
          <w:szCs w:val="30"/>
          <w:highlight w:val="none"/>
          <w:lang w:val="en-US" w:eastAsia="zh-CN"/>
        </w:rPr>
        <w:t>二</w:t>
      </w:r>
      <w:r>
        <w:rPr>
          <w:rFonts w:hint="eastAsia" w:ascii="宋体" w:hAnsi="宋体"/>
          <w:b/>
          <w:sz w:val="30"/>
          <w:szCs w:val="30"/>
          <w:highlight w:val="none"/>
        </w:rPr>
        <w:t>、中小企业声明函等相关材料</w:t>
      </w:r>
      <w:bookmarkEnd w:id="127"/>
      <w:bookmarkEnd w:id="128"/>
      <w:bookmarkEnd w:id="129"/>
    </w:p>
    <w:p w14:paraId="00B9751B">
      <w:pPr>
        <w:ind w:left="1680" w:leftChars="800"/>
        <w:rPr>
          <w:bCs/>
          <w:sz w:val="24"/>
          <w:highlight w:val="none"/>
          <w:lang w:val="zh-CN"/>
        </w:rPr>
      </w:pPr>
    </w:p>
    <w:bookmarkEnd w:id="119"/>
    <w:bookmarkEnd w:id="120"/>
    <w:p w14:paraId="1DE672C9">
      <w:pPr>
        <w:jc w:val="center"/>
        <w:rPr>
          <w:rFonts w:hint="eastAsia"/>
          <w:color w:val="000000"/>
          <w:sz w:val="36"/>
          <w:szCs w:val="36"/>
          <w:highlight w:val="none"/>
        </w:rPr>
      </w:pPr>
      <w:r>
        <w:rPr>
          <w:rFonts w:hint="eastAsia"/>
          <w:b/>
          <w:bCs/>
          <w:color w:val="000000"/>
          <w:sz w:val="36"/>
          <w:szCs w:val="36"/>
          <w:highlight w:val="none"/>
        </w:rPr>
        <w:t>中小企业声明函（服务）</w:t>
      </w:r>
    </w:p>
    <w:p w14:paraId="10481C07">
      <w:pPr>
        <w:ind w:firstLine="560" w:firstLineChars="200"/>
        <w:rPr>
          <w:rFonts w:hint="eastAsia"/>
          <w:color w:val="000000"/>
          <w:sz w:val="28"/>
          <w:szCs w:val="28"/>
          <w:highlight w:val="none"/>
        </w:rPr>
      </w:pPr>
      <w:r>
        <w:rPr>
          <w:rFonts w:hint="eastAsia"/>
          <w:color w:val="000000"/>
          <w:sz w:val="28"/>
          <w:szCs w:val="28"/>
          <w:highlight w:val="none"/>
        </w:rPr>
        <w:t>本公司郑重声明，根据《政府采购促进中小企业发展管理办法》（财库﹝2020﹞46 号）的规定，本公司参加</w:t>
      </w:r>
      <w:r>
        <w:rPr>
          <w:rFonts w:hint="eastAsia"/>
          <w:i/>
          <w:color w:val="000000"/>
          <w:sz w:val="28"/>
          <w:szCs w:val="28"/>
          <w:highlight w:val="none"/>
          <w:u w:val="words"/>
        </w:rPr>
        <w:t>（单位名称）</w:t>
      </w:r>
      <w:r>
        <w:rPr>
          <w:rFonts w:hint="eastAsia"/>
          <w:color w:val="000000"/>
          <w:sz w:val="28"/>
          <w:szCs w:val="28"/>
          <w:highlight w:val="none"/>
        </w:rPr>
        <w:t>的</w:t>
      </w:r>
      <w:r>
        <w:rPr>
          <w:rFonts w:hint="eastAsia"/>
          <w:i/>
          <w:color w:val="000000"/>
          <w:sz w:val="28"/>
          <w:szCs w:val="28"/>
          <w:highlight w:val="none"/>
          <w:u w:val="words"/>
        </w:rPr>
        <w:t>（项目名称）</w:t>
      </w:r>
      <w:r>
        <w:rPr>
          <w:rFonts w:hint="eastAsia"/>
          <w:color w:val="000000"/>
          <w:sz w:val="28"/>
          <w:szCs w:val="28"/>
          <w:highlight w:val="none"/>
        </w:rPr>
        <w:t>采购活动，服务全部由符合政策要求的中小企业承接。相关企业的具体情况如下：</w:t>
      </w:r>
    </w:p>
    <w:p w14:paraId="367E9AEC">
      <w:pPr>
        <w:spacing w:line="600" w:lineRule="exact"/>
        <w:ind w:firstLine="560" w:firstLineChars="200"/>
        <w:rPr>
          <w:rFonts w:hint="eastAsia"/>
          <w:color w:val="000000"/>
          <w:sz w:val="28"/>
          <w:szCs w:val="28"/>
          <w:highlight w:val="none"/>
        </w:rPr>
      </w:pPr>
      <w:r>
        <w:rPr>
          <w:rFonts w:hint="eastAsia"/>
          <w:color w:val="000000"/>
          <w:sz w:val="28"/>
          <w:szCs w:val="28"/>
          <w:highlight w:val="none"/>
        </w:rPr>
        <w:t xml:space="preserve">1. </w:t>
      </w:r>
      <w:r>
        <w:rPr>
          <w:rFonts w:hint="eastAsia"/>
          <w:i/>
          <w:color w:val="000000"/>
          <w:sz w:val="28"/>
          <w:szCs w:val="28"/>
          <w:highlight w:val="none"/>
          <w:u w:val="words"/>
        </w:rPr>
        <w:t>（标的名称）</w:t>
      </w:r>
      <w:r>
        <w:rPr>
          <w:rFonts w:hint="eastAsia"/>
          <w:color w:val="000000"/>
          <w:sz w:val="28"/>
          <w:szCs w:val="28"/>
          <w:highlight w:val="none"/>
        </w:rPr>
        <w:t>，属于</w:t>
      </w:r>
      <w:r>
        <w:rPr>
          <w:rFonts w:hint="eastAsia"/>
          <w:i/>
          <w:color w:val="000000"/>
          <w:sz w:val="28"/>
          <w:szCs w:val="28"/>
          <w:highlight w:val="none"/>
          <w:u w:val="words"/>
        </w:rPr>
        <w:t>（对照“中小企业划型标准规定”中的所属行业及划型标准填写）行业</w:t>
      </w:r>
      <w:r>
        <w:rPr>
          <w:rFonts w:hint="eastAsia"/>
          <w:color w:val="000000"/>
          <w:sz w:val="28"/>
          <w:szCs w:val="28"/>
          <w:highlight w:val="none"/>
        </w:rPr>
        <w:t>；承接企业为</w:t>
      </w:r>
      <w:r>
        <w:rPr>
          <w:rFonts w:hint="eastAsia"/>
          <w:i/>
          <w:color w:val="000000"/>
          <w:sz w:val="28"/>
          <w:szCs w:val="28"/>
          <w:highlight w:val="none"/>
          <w:u w:val="words"/>
        </w:rPr>
        <w:t>（企业名称）</w:t>
      </w:r>
      <w:r>
        <w:rPr>
          <w:rFonts w:hint="eastAsia"/>
          <w:color w:val="000000"/>
          <w:sz w:val="28"/>
          <w:szCs w:val="28"/>
          <w:highlight w:val="none"/>
        </w:rPr>
        <w:t xml:space="preserve">，从业人员 </w:t>
      </w:r>
      <w:r>
        <w:rPr>
          <w:rFonts w:hint="eastAsia"/>
          <w:color w:val="000000"/>
          <w:sz w:val="28"/>
          <w:szCs w:val="28"/>
          <w:highlight w:val="none"/>
          <w:u w:val="single"/>
        </w:rPr>
        <w:t xml:space="preserve">     </w:t>
      </w:r>
      <w:r>
        <w:rPr>
          <w:rFonts w:hint="eastAsia"/>
          <w:color w:val="000000"/>
          <w:sz w:val="28"/>
          <w:szCs w:val="28"/>
          <w:highlight w:val="none"/>
        </w:rPr>
        <w:t>人，营业收入为</w:t>
      </w:r>
      <w:r>
        <w:rPr>
          <w:rFonts w:hint="eastAsia"/>
          <w:color w:val="000000"/>
          <w:sz w:val="28"/>
          <w:szCs w:val="28"/>
          <w:highlight w:val="none"/>
          <w:u w:val="single"/>
        </w:rPr>
        <w:t xml:space="preserve">      </w:t>
      </w:r>
      <w:r>
        <w:rPr>
          <w:rFonts w:hint="eastAsia"/>
          <w:color w:val="000000"/>
          <w:sz w:val="28"/>
          <w:szCs w:val="28"/>
          <w:highlight w:val="none"/>
        </w:rPr>
        <w:t>万元，资产总额为</w:t>
      </w:r>
      <w:r>
        <w:rPr>
          <w:rFonts w:hint="eastAsia"/>
          <w:color w:val="000000"/>
          <w:sz w:val="28"/>
          <w:szCs w:val="28"/>
          <w:highlight w:val="none"/>
          <w:u w:val="single"/>
        </w:rPr>
        <w:t xml:space="preserve">      </w:t>
      </w:r>
      <w:r>
        <w:rPr>
          <w:rFonts w:hint="eastAsia"/>
          <w:color w:val="000000"/>
          <w:sz w:val="28"/>
          <w:szCs w:val="28"/>
          <w:highlight w:val="none"/>
        </w:rPr>
        <w:t>万元，属于</w:t>
      </w:r>
      <w:r>
        <w:rPr>
          <w:rFonts w:hint="eastAsia"/>
          <w:i/>
          <w:color w:val="000000"/>
          <w:sz w:val="28"/>
          <w:szCs w:val="28"/>
          <w:highlight w:val="none"/>
          <w:u w:val="words"/>
        </w:rPr>
        <w:t>（中型企业、小型企业、微型企业）</w:t>
      </w:r>
      <w:r>
        <w:rPr>
          <w:rFonts w:hint="eastAsia"/>
          <w:color w:val="000000"/>
          <w:sz w:val="28"/>
          <w:szCs w:val="28"/>
          <w:highlight w:val="none"/>
        </w:rPr>
        <w:t>；</w:t>
      </w:r>
    </w:p>
    <w:p w14:paraId="4C8AAC3C">
      <w:pPr>
        <w:spacing w:line="600" w:lineRule="exact"/>
        <w:ind w:firstLine="560" w:firstLineChars="200"/>
        <w:rPr>
          <w:rFonts w:hint="eastAsia"/>
          <w:color w:val="000000"/>
          <w:sz w:val="28"/>
          <w:szCs w:val="28"/>
          <w:highlight w:val="none"/>
        </w:rPr>
      </w:pPr>
      <w:r>
        <w:rPr>
          <w:rFonts w:hint="eastAsia"/>
          <w:color w:val="000000"/>
          <w:sz w:val="28"/>
          <w:szCs w:val="28"/>
          <w:highlight w:val="none"/>
        </w:rPr>
        <w:t xml:space="preserve">2.  </w:t>
      </w:r>
      <w:r>
        <w:rPr>
          <w:rFonts w:hint="eastAsia"/>
          <w:i/>
          <w:color w:val="000000"/>
          <w:sz w:val="28"/>
          <w:szCs w:val="28"/>
          <w:highlight w:val="none"/>
          <w:u w:val="words"/>
        </w:rPr>
        <w:t>（标的名称）</w:t>
      </w:r>
      <w:r>
        <w:rPr>
          <w:rFonts w:hint="eastAsia"/>
          <w:color w:val="000000"/>
          <w:sz w:val="28"/>
          <w:szCs w:val="28"/>
          <w:highlight w:val="none"/>
        </w:rPr>
        <w:t>，属于</w:t>
      </w:r>
      <w:r>
        <w:rPr>
          <w:rFonts w:hint="eastAsia"/>
          <w:i/>
          <w:color w:val="000000"/>
          <w:sz w:val="28"/>
          <w:szCs w:val="28"/>
          <w:highlight w:val="none"/>
          <w:u w:val="words"/>
        </w:rPr>
        <w:t>（对照“中小企业划型标准规定”中的所属行业及划型标准填写）行业</w:t>
      </w:r>
      <w:r>
        <w:rPr>
          <w:rFonts w:hint="eastAsia"/>
          <w:color w:val="000000"/>
          <w:sz w:val="28"/>
          <w:szCs w:val="28"/>
          <w:highlight w:val="none"/>
        </w:rPr>
        <w:t>；承接企业为</w:t>
      </w:r>
      <w:r>
        <w:rPr>
          <w:rFonts w:hint="eastAsia"/>
          <w:i/>
          <w:color w:val="000000"/>
          <w:sz w:val="28"/>
          <w:szCs w:val="28"/>
          <w:highlight w:val="none"/>
          <w:u w:val="words"/>
        </w:rPr>
        <w:t>（企业名称）</w:t>
      </w:r>
      <w:r>
        <w:rPr>
          <w:rFonts w:hint="eastAsia"/>
          <w:color w:val="000000"/>
          <w:sz w:val="28"/>
          <w:szCs w:val="28"/>
          <w:highlight w:val="none"/>
        </w:rPr>
        <w:t xml:space="preserve">，从业人员 </w:t>
      </w:r>
      <w:r>
        <w:rPr>
          <w:rFonts w:hint="eastAsia"/>
          <w:color w:val="000000"/>
          <w:sz w:val="28"/>
          <w:szCs w:val="28"/>
          <w:highlight w:val="none"/>
          <w:u w:val="single"/>
        </w:rPr>
        <w:t xml:space="preserve">     </w:t>
      </w:r>
      <w:r>
        <w:rPr>
          <w:rFonts w:hint="eastAsia"/>
          <w:color w:val="000000"/>
          <w:sz w:val="28"/>
          <w:szCs w:val="28"/>
          <w:highlight w:val="none"/>
        </w:rPr>
        <w:t>人，营业收入为</w:t>
      </w:r>
      <w:r>
        <w:rPr>
          <w:rFonts w:hint="eastAsia"/>
          <w:color w:val="000000"/>
          <w:sz w:val="28"/>
          <w:szCs w:val="28"/>
          <w:highlight w:val="none"/>
          <w:u w:val="single"/>
        </w:rPr>
        <w:t xml:space="preserve">      </w:t>
      </w:r>
      <w:r>
        <w:rPr>
          <w:rFonts w:hint="eastAsia"/>
          <w:color w:val="000000"/>
          <w:sz w:val="28"/>
          <w:szCs w:val="28"/>
          <w:highlight w:val="none"/>
        </w:rPr>
        <w:t>万元，资产总额为</w:t>
      </w:r>
      <w:r>
        <w:rPr>
          <w:rFonts w:hint="eastAsia"/>
          <w:color w:val="000000"/>
          <w:sz w:val="28"/>
          <w:szCs w:val="28"/>
          <w:highlight w:val="none"/>
          <w:u w:val="single"/>
        </w:rPr>
        <w:t xml:space="preserve">      </w:t>
      </w:r>
      <w:r>
        <w:rPr>
          <w:rFonts w:hint="eastAsia"/>
          <w:color w:val="000000"/>
          <w:sz w:val="28"/>
          <w:szCs w:val="28"/>
          <w:highlight w:val="none"/>
        </w:rPr>
        <w:t>万元，属于</w:t>
      </w:r>
      <w:r>
        <w:rPr>
          <w:rFonts w:hint="eastAsia"/>
          <w:i/>
          <w:color w:val="000000"/>
          <w:sz w:val="28"/>
          <w:szCs w:val="28"/>
          <w:highlight w:val="none"/>
          <w:u w:val="words"/>
        </w:rPr>
        <w:t>（中型企业、小型企业、微型企业）</w:t>
      </w:r>
      <w:r>
        <w:rPr>
          <w:rFonts w:hint="eastAsia"/>
          <w:color w:val="000000"/>
          <w:sz w:val="28"/>
          <w:szCs w:val="28"/>
          <w:highlight w:val="none"/>
        </w:rPr>
        <w:t>；</w:t>
      </w:r>
    </w:p>
    <w:p w14:paraId="6866C7E6">
      <w:pPr>
        <w:spacing w:line="600" w:lineRule="exact"/>
        <w:ind w:firstLine="560" w:firstLineChars="200"/>
        <w:rPr>
          <w:rFonts w:hint="eastAsia"/>
          <w:color w:val="000000"/>
          <w:sz w:val="28"/>
          <w:szCs w:val="28"/>
          <w:highlight w:val="none"/>
        </w:rPr>
      </w:pPr>
      <w:r>
        <w:rPr>
          <w:rFonts w:hint="eastAsia"/>
          <w:color w:val="000000"/>
          <w:sz w:val="28"/>
          <w:szCs w:val="28"/>
          <w:highlight w:val="none"/>
        </w:rPr>
        <w:t>……</w:t>
      </w:r>
    </w:p>
    <w:p w14:paraId="585C6120">
      <w:pPr>
        <w:spacing w:line="600" w:lineRule="exact"/>
        <w:ind w:firstLine="560" w:firstLineChars="200"/>
        <w:rPr>
          <w:rFonts w:hint="eastAsia"/>
          <w:color w:val="000000"/>
          <w:sz w:val="28"/>
          <w:szCs w:val="28"/>
          <w:highlight w:val="none"/>
        </w:rPr>
      </w:pPr>
      <w:r>
        <w:rPr>
          <w:rFonts w:hint="eastAsia"/>
          <w:color w:val="000000"/>
          <w:sz w:val="28"/>
          <w:szCs w:val="28"/>
          <w:highlight w:val="none"/>
        </w:rPr>
        <w:t>以上企业，不属于大企业的分支机构，不存在控股股东为大企业的情形，也不存在与大企业的负责人为同一人的情形。</w:t>
      </w:r>
    </w:p>
    <w:p w14:paraId="5B33E1BA">
      <w:pPr>
        <w:spacing w:line="600" w:lineRule="exact"/>
        <w:ind w:firstLine="560" w:firstLineChars="200"/>
        <w:rPr>
          <w:rFonts w:hint="eastAsia"/>
          <w:color w:val="000000"/>
          <w:sz w:val="28"/>
          <w:szCs w:val="28"/>
          <w:highlight w:val="none"/>
        </w:rPr>
      </w:pPr>
      <w:r>
        <w:rPr>
          <w:rFonts w:hint="eastAsia"/>
          <w:color w:val="000000"/>
          <w:sz w:val="28"/>
          <w:szCs w:val="28"/>
          <w:highlight w:val="none"/>
        </w:rPr>
        <w:t>本企业对上述声明内容的真实性负责。如有虚假，将依法承担相应责任。</w:t>
      </w:r>
    </w:p>
    <w:p w14:paraId="4C409F72">
      <w:pPr>
        <w:ind w:firstLine="3640" w:firstLineChars="1300"/>
        <w:rPr>
          <w:rFonts w:hint="eastAsia"/>
          <w:color w:val="000000"/>
          <w:sz w:val="28"/>
          <w:szCs w:val="28"/>
          <w:highlight w:val="none"/>
        </w:rPr>
      </w:pPr>
      <w:r>
        <w:rPr>
          <w:rFonts w:hint="eastAsia"/>
          <w:color w:val="000000"/>
          <w:sz w:val="28"/>
          <w:szCs w:val="28"/>
          <w:highlight w:val="none"/>
        </w:rPr>
        <w:t>企业名称（盖章）：</w:t>
      </w:r>
    </w:p>
    <w:p w14:paraId="0ACE9004">
      <w:pPr>
        <w:ind w:firstLine="3640" w:firstLineChars="1300"/>
        <w:rPr>
          <w:rFonts w:hint="eastAsia"/>
          <w:color w:val="000000"/>
          <w:sz w:val="28"/>
          <w:szCs w:val="28"/>
          <w:highlight w:val="none"/>
        </w:rPr>
      </w:pPr>
      <w:r>
        <w:rPr>
          <w:rFonts w:hint="eastAsia"/>
          <w:color w:val="000000"/>
          <w:sz w:val="28"/>
          <w:szCs w:val="28"/>
          <w:highlight w:val="none"/>
        </w:rPr>
        <w:t>日 期：</w:t>
      </w:r>
    </w:p>
    <w:p w14:paraId="55F2FE83">
      <w:pPr>
        <w:rPr>
          <w:rFonts w:hint="eastAsia"/>
          <w:b/>
          <w:bCs/>
          <w:color w:val="000000"/>
          <w:szCs w:val="21"/>
          <w:highlight w:val="none"/>
        </w:rPr>
      </w:pPr>
      <w:r>
        <w:rPr>
          <w:rFonts w:hint="eastAsia"/>
          <w:b/>
          <w:bCs/>
          <w:color w:val="000000"/>
          <w:szCs w:val="21"/>
          <w:highlight w:val="none"/>
        </w:rPr>
        <w:t>备注：</w:t>
      </w:r>
    </w:p>
    <w:p w14:paraId="2EEEA08C">
      <w:pPr>
        <w:rPr>
          <w:b/>
          <w:bCs/>
          <w:color w:val="000000"/>
          <w:szCs w:val="21"/>
          <w:highlight w:val="none"/>
        </w:rPr>
      </w:pPr>
      <w:r>
        <w:rPr>
          <w:rFonts w:hint="eastAsia"/>
          <w:b/>
          <w:bCs/>
          <w:color w:val="000000"/>
          <w:szCs w:val="21"/>
          <w:highlight w:val="none"/>
        </w:rPr>
        <w:t>1、</w:t>
      </w:r>
      <w:r>
        <w:rPr>
          <w:rFonts w:hint="eastAsia" w:ascii="新宋体" w:hAnsi="新宋体" w:eastAsia="新宋体"/>
          <w:b/>
          <w:color w:val="000000"/>
          <w:szCs w:val="21"/>
          <w:highlight w:val="none"/>
        </w:rPr>
        <w:t>如承接企业非</w:t>
      </w:r>
      <w:r>
        <w:rPr>
          <w:rFonts w:hint="eastAsia" w:ascii="新宋体" w:hAnsi="新宋体" w:eastAsia="新宋体"/>
          <w:b/>
          <w:color w:val="000000"/>
          <w:szCs w:val="21"/>
          <w:highlight w:val="none"/>
          <w:lang w:eastAsia="zh-CN"/>
        </w:rPr>
        <w:t>中</w:t>
      </w:r>
      <w:r>
        <w:rPr>
          <w:rFonts w:hint="eastAsia" w:ascii="新宋体" w:hAnsi="新宋体" w:eastAsia="新宋体"/>
          <w:b/>
          <w:color w:val="000000"/>
          <w:szCs w:val="21"/>
          <w:highlight w:val="none"/>
        </w:rPr>
        <w:t>小微企业，本声明函无需填写。</w:t>
      </w:r>
    </w:p>
    <w:p w14:paraId="5E49C262">
      <w:pPr>
        <w:rPr>
          <w:rFonts w:hint="eastAsia"/>
          <w:b/>
          <w:bCs/>
          <w:color w:val="000000"/>
          <w:szCs w:val="21"/>
          <w:highlight w:val="none"/>
        </w:rPr>
      </w:pPr>
      <w:r>
        <w:rPr>
          <w:rFonts w:hint="eastAsia"/>
          <w:b/>
          <w:bCs/>
          <w:color w:val="000000"/>
          <w:szCs w:val="21"/>
          <w:highlight w:val="none"/>
        </w:rPr>
        <w:t>2、从业人员、营业收入、资产总额填报上一年度数据，无上一年度数据的新成立企业可不填报。</w:t>
      </w:r>
    </w:p>
    <w:p w14:paraId="79A5F134">
      <w:pPr>
        <w:rPr>
          <w:rFonts w:hint="eastAsia" w:ascii="新宋体" w:hAnsi="新宋体" w:eastAsia="新宋体"/>
          <w:b/>
          <w:color w:val="000000"/>
          <w:sz w:val="32"/>
          <w:szCs w:val="32"/>
          <w:highlight w:val="none"/>
        </w:rPr>
      </w:pPr>
      <w:r>
        <w:rPr>
          <w:rFonts w:hint="eastAsia"/>
          <w:b/>
          <w:bCs/>
          <w:color w:val="000000"/>
          <w:szCs w:val="21"/>
          <w:highlight w:val="none"/>
        </w:rPr>
        <w:t>3、中小企业划分标准所属行业详见“</w:t>
      </w:r>
      <w:r>
        <w:rPr>
          <w:rFonts w:hint="eastAsia" w:ascii="Times New Roman" w:hAnsi="Times New Roman" w:eastAsia="宋体" w:cs="Times New Roman"/>
          <w:b/>
          <w:bCs/>
          <w:color w:val="000000"/>
          <w:szCs w:val="21"/>
          <w:highlight w:val="none"/>
        </w:rPr>
        <w:t>中小企业划型标准规定</w:t>
      </w:r>
      <w:r>
        <w:rPr>
          <w:rFonts w:hint="eastAsia"/>
          <w:b/>
          <w:bCs/>
          <w:color w:val="000000"/>
          <w:szCs w:val="21"/>
          <w:highlight w:val="none"/>
        </w:rPr>
        <w:t>”。</w:t>
      </w:r>
    </w:p>
    <w:p w14:paraId="55CA270D">
      <w:pPr>
        <w:widowControl/>
        <w:spacing w:line="330" w:lineRule="atLeast"/>
        <w:jc w:val="center"/>
        <w:rPr>
          <w:rFonts w:ascii="方正小标宋简体" w:hAnsi="宋体" w:eastAsia="方正小标宋简体" w:cs="宋体"/>
          <w:color w:val="000000"/>
          <w:kern w:val="0"/>
          <w:sz w:val="36"/>
          <w:szCs w:val="32"/>
          <w:highlight w:val="none"/>
        </w:rPr>
      </w:pPr>
      <w:r>
        <w:rPr>
          <w:rFonts w:hint="eastAsia" w:ascii="方正小标宋简体" w:hAnsi="宋体" w:eastAsia="方正小标宋简体" w:cs="宋体"/>
          <w:color w:val="000000"/>
          <w:kern w:val="0"/>
          <w:sz w:val="36"/>
          <w:szCs w:val="32"/>
          <w:highlight w:val="none"/>
        </w:rPr>
        <w:t>大中小微型企业划分标准</w:t>
      </w:r>
    </w:p>
    <w:p w14:paraId="027B478D">
      <w:pPr>
        <w:widowControl/>
        <w:jc w:val="left"/>
        <w:rPr>
          <w:rFonts w:hint="eastAsia" w:ascii="宋体" w:hAnsi="宋体" w:eastAsia="宋体" w:cs="宋体"/>
          <w:color w:val="auto"/>
          <w:kern w:val="0"/>
          <w:sz w:val="28"/>
          <w:szCs w:val="18"/>
          <w:highlight w:val="none"/>
          <w:vertAlign w:val="superscript"/>
          <w:lang w:bidi="ar"/>
        </w:rPr>
      </w:pPr>
    </w:p>
    <w:tbl>
      <w:tblPr>
        <w:tblStyle w:val="46"/>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7B23EA2F">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4D85AFE8">
            <w:pPr>
              <w:widowControl/>
              <w:spacing w:line="240" w:lineRule="exact"/>
              <w:jc w:val="center"/>
              <w:rPr>
                <w:rFonts w:ascii="宋体" w:hAnsi="宋体" w:cs="宋体"/>
                <w:b/>
                <w:bCs/>
                <w:color w:val="000000"/>
                <w:kern w:val="0"/>
                <w:sz w:val="18"/>
                <w:szCs w:val="21"/>
                <w:highlight w:val="none"/>
              </w:rPr>
            </w:pPr>
            <w:r>
              <w:rPr>
                <w:rFonts w:hint="eastAsia" w:ascii="宋体" w:hAnsi="宋体" w:cs="宋体"/>
                <w:b/>
                <w:bCs/>
                <w:color w:val="000000"/>
                <w:kern w:val="0"/>
                <w:sz w:val="18"/>
                <w:szCs w:val="21"/>
                <w:highlight w:val="none"/>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20FC22F8">
            <w:pPr>
              <w:widowControl/>
              <w:jc w:val="center"/>
              <w:rPr>
                <w:rFonts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2241873A">
            <w:pPr>
              <w:widowControl/>
              <w:jc w:val="center"/>
              <w:rPr>
                <w:rFonts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计量</w:t>
            </w:r>
            <w:r>
              <w:rPr>
                <w:rFonts w:hint="eastAsia" w:ascii="宋体" w:hAnsi="宋体" w:cs="宋体"/>
                <w:b/>
                <w:bCs/>
                <w:color w:val="000000"/>
                <w:kern w:val="0"/>
                <w:sz w:val="18"/>
                <w:szCs w:val="18"/>
                <w:highlight w:val="none"/>
              </w:rPr>
              <w:br w:type="textWrapping"/>
            </w:r>
            <w:r>
              <w:rPr>
                <w:rFonts w:hint="eastAsia" w:ascii="宋体" w:hAnsi="宋体" w:cs="宋体"/>
                <w:b/>
                <w:bCs/>
                <w:color w:val="000000"/>
                <w:kern w:val="0"/>
                <w:sz w:val="18"/>
                <w:szCs w:val="18"/>
                <w:highlight w:val="none"/>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0D7DB453">
            <w:pPr>
              <w:widowControl/>
              <w:jc w:val="center"/>
              <w:rPr>
                <w:rFonts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74E2AA81">
            <w:pPr>
              <w:widowControl/>
              <w:jc w:val="center"/>
              <w:rPr>
                <w:rFonts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61BFC2C1">
            <w:pPr>
              <w:widowControl/>
              <w:jc w:val="center"/>
              <w:rPr>
                <w:rFonts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小型</w:t>
            </w:r>
          </w:p>
        </w:tc>
        <w:tc>
          <w:tcPr>
            <w:tcW w:w="992" w:type="dxa"/>
            <w:tcBorders>
              <w:top w:val="single" w:color="auto" w:sz="4" w:space="0"/>
              <w:left w:val="nil"/>
              <w:bottom w:val="single" w:color="auto" w:sz="4" w:space="0"/>
              <w:right w:val="nil"/>
            </w:tcBorders>
            <w:shd w:val="clear" w:color="auto" w:fill="auto"/>
            <w:vAlign w:val="center"/>
          </w:tcPr>
          <w:p w14:paraId="57F81DA8">
            <w:pPr>
              <w:widowControl/>
              <w:jc w:val="center"/>
              <w:rPr>
                <w:rFonts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微型</w:t>
            </w:r>
          </w:p>
        </w:tc>
      </w:tr>
      <w:tr w14:paraId="1AB17C46">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519C5A4C">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农、林、牧、渔业</w:t>
            </w:r>
          </w:p>
        </w:tc>
        <w:tc>
          <w:tcPr>
            <w:tcW w:w="1369" w:type="dxa"/>
            <w:tcBorders>
              <w:top w:val="nil"/>
              <w:left w:val="nil"/>
              <w:bottom w:val="single" w:color="auto" w:sz="4" w:space="0"/>
              <w:right w:val="single" w:color="auto" w:sz="4" w:space="0"/>
            </w:tcBorders>
            <w:shd w:val="clear" w:color="auto" w:fill="auto"/>
            <w:vAlign w:val="center"/>
          </w:tcPr>
          <w:p w14:paraId="54910125">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营业收入(Y)</w:t>
            </w:r>
          </w:p>
        </w:tc>
        <w:tc>
          <w:tcPr>
            <w:tcW w:w="709" w:type="dxa"/>
            <w:tcBorders>
              <w:top w:val="nil"/>
              <w:left w:val="nil"/>
              <w:bottom w:val="single" w:color="auto" w:sz="4" w:space="0"/>
              <w:right w:val="single" w:color="auto" w:sz="4" w:space="0"/>
            </w:tcBorders>
            <w:shd w:val="clear" w:color="auto" w:fill="auto"/>
            <w:vAlign w:val="center"/>
          </w:tcPr>
          <w:p w14:paraId="79EA7C07">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tcBorders>
              <w:top w:val="nil"/>
              <w:left w:val="nil"/>
              <w:bottom w:val="single" w:color="auto" w:sz="4" w:space="0"/>
              <w:right w:val="single" w:color="auto" w:sz="4" w:space="0"/>
            </w:tcBorders>
            <w:shd w:val="clear" w:color="auto" w:fill="auto"/>
            <w:vAlign w:val="center"/>
          </w:tcPr>
          <w:p w14:paraId="7537EBEB">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Y≥20000</w:t>
            </w:r>
          </w:p>
        </w:tc>
        <w:tc>
          <w:tcPr>
            <w:tcW w:w="1701" w:type="dxa"/>
            <w:tcBorders>
              <w:top w:val="nil"/>
              <w:left w:val="nil"/>
              <w:bottom w:val="single" w:color="auto" w:sz="4" w:space="0"/>
              <w:right w:val="single" w:color="auto" w:sz="4" w:space="0"/>
            </w:tcBorders>
            <w:shd w:val="clear" w:color="auto" w:fill="auto"/>
            <w:vAlign w:val="center"/>
          </w:tcPr>
          <w:p w14:paraId="0AC57C21">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016FA7AB">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 50≤Y＜500</w:t>
            </w:r>
          </w:p>
        </w:tc>
        <w:tc>
          <w:tcPr>
            <w:tcW w:w="992" w:type="dxa"/>
            <w:tcBorders>
              <w:top w:val="nil"/>
              <w:left w:val="nil"/>
              <w:bottom w:val="single" w:color="auto" w:sz="4" w:space="0"/>
              <w:right w:val="nil"/>
            </w:tcBorders>
            <w:shd w:val="clear" w:color="auto" w:fill="auto"/>
            <w:vAlign w:val="center"/>
          </w:tcPr>
          <w:p w14:paraId="789CFE85">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Y＜50</w:t>
            </w:r>
          </w:p>
        </w:tc>
      </w:tr>
      <w:tr w14:paraId="7938F35A">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C162EF5">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工业 *</w:t>
            </w:r>
          </w:p>
        </w:tc>
        <w:tc>
          <w:tcPr>
            <w:tcW w:w="1369" w:type="dxa"/>
            <w:tcBorders>
              <w:top w:val="nil"/>
              <w:left w:val="nil"/>
              <w:bottom w:val="nil"/>
              <w:right w:val="single" w:color="auto" w:sz="4" w:space="0"/>
            </w:tcBorders>
            <w:shd w:val="clear" w:color="auto" w:fill="auto"/>
            <w:vAlign w:val="center"/>
          </w:tcPr>
          <w:p w14:paraId="4CFB11B8">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从业人员(X)</w:t>
            </w:r>
          </w:p>
        </w:tc>
        <w:tc>
          <w:tcPr>
            <w:tcW w:w="709" w:type="dxa"/>
            <w:tcBorders>
              <w:top w:val="nil"/>
              <w:left w:val="nil"/>
              <w:bottom w:val="nil"/>
              <w:right w:val="single" w:color="auto" w:sz="4" w:space="0"/>
            </w:tcBorders>
            <w:shd w:val="clear" w:color="auto" w:fill="auto"/>
            <w:vAlign w:val="center"/>
          </w:tcPr>
          <w:p w14:paraId="3B2D7E55">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125" w:type="dxa"/>
            <w:tcBorders>
              <w:top w:val="nil"/>
              <w:left w:val="nil"/>
              <w:bottom w:val="nil"/>
              <w:right w:val="single" w:color="auto" w:sz="4" w:space="0"/>
            </w:tcBorders>
            <w:shd w:val="clear" w:color="auto" w:fill="auto"/>
            <w:vAlign w:val="center"/>
          </w:tcPr>
          <w:p w14:paraId="326FA00A">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X≥1000</w:t>
            </w:r>
          </w:p>
        </w:tc>
        <w:tc>
          <w:tcPr>
            <w:tcW w:w="1701" w:type="dxa"/>
            <w:tcBorders>
              <w:top w:val="nil"/>
              <w:left w:val="nil"/>
              <w:bottom w:val="nil"/>
              <w:right w:val="single" w:color="auto" w:sz="4" w:space="0"/>
            </w:tcBorders>
            <w:shd w:val="clear" w:color="auto" w:fill="auto"/>
            <w:vAlign w:val="center"/>
          </w:tcPr>
          <w:p w14:paraId="3ACB5998">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300≤X＜1000</w:t>
            </w:r>
          </w:p>
        </w:tc>
        <w:tc>
          <w:tcPr>
            <w:tcW w:w="1426" w:type="dxa"/>
            <w:tcBorders>
              <w:top w:val="nil"/>
              <w:left w:val="nil"/>
              <w:bottom w:val="nil"/>
              <w:right w:val="single" w:color="auto" w:sz="4" w:space="0"/>
            </w:tcBorders>
            <w:shd w:val="clear" w:color="auto" w:fill="auto"/>
            <w:vAlign w:val="center"/>
          </w:tcPr>
          <w:p w14:paraId="640FCB49">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 20≤X＜300</w:t>
            </w:r>
          </w:p>
        </w:tc>
        <w:tc>
          <w:tcPr>
            <w:tcW w:w="992" w:type="dxa"/>
            <w:tcBorders>
              <w:top w:val="nil"/>
              <w:left w:val="nil"/>
              <w:bottom w:val="nil"/>
              <w:right w:val="nil"/>
            </w:tcBorders>
            <w:shd w:val="clear" w:color="auto" w:fill="auto"/>
            <w:vAlign w:val="center"/>
          </w:tcPr>
          <w:p w14:paraId="51542D55">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X＜20</w:t>
            </w:r>
          </w:p>
        </w:tc>
      </w:tr>
      <w:tr w14:paraId="29B68FC5">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2C91FBA">
            <w:pPr>
              <w:widowControl/>
              <w:jc w:val="left"/>
              <w:rPr>
                <w:rFonts w:ascii="宋体" w:hAnsi="宋体" w:cs="宋体"/>
                <w:color w:val="000000"/>
                <w:kern w:val="0"/>
                <w:sz w:val="18"/>
                <w:szCs w:val="18"/>
                <w:highlight w:val="none"/>
              </w:rPr>
            </w:pPr>
          </w:p>
        </w:tc>
        <w:tc>
          <w:tcPr>
            <w:tcW w:w="1369" w:type="dxa"/>
            <w:tcBorders>
              <w:top w:val="nil"/>
              <w:left w:val="nil"/>
              <w:bottom w:val="single" w:color="auto" w:sz="4" w:space="0"/>
              <w:right w:val="single" w:color="auto" w:sz="4" w:space="0"/>
            </w:tcBorders>
            <w:shd w:val="clear" w:color="auto" w:fill="auto"/>
            <w:vAlign w:val="center"/>
          </w:tcPr>
          <w:p w14:paraId="2599C66D">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营业收入(Y)</w:t>
            </w:r>
          </w:p>
        </w:tc>
        <w:tc>
          <w:tcPr>
            <w:tcW w:w="709" w:type="dxa"/>
            <w:tcBorders>
              <w:top w:val="nil"/>
              <w:left w:val="nil"/>
              <w:bottom w:val="single" w:color="auto" w:sz="4" w:space="0"/>
              <w:right w:val="single" w:color="auto" w:sz="4" w:space="0"/>
            </w:tcBorders>
            <w:shd w:val="clear" w:color="auto" w:fill="auto"/>
            <w:vAlign w:val="center"/>
          </w:tcPr>
          <w:p w14:paraId="6DCA30A9">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tcBorders>
              <w:top w:val="nil"/>
              <w:left w:val="nil"/>
              <w:bottom w:val="single" w:color="auto" w:sz="4" w:space="0"/>
              <w:right w:val="single" w:color="auto" w:sz="4" w:space="0"/>
            </w:tcBorders>
            <w:shd w:val="clear" w:color="auto" w:fill="auto"/>
            <w:vAlign w:val="center"/>
          </w:tcPr>
          <w:p w14:paraId="2949F214">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Y≥40000</w:t>
            </w:r>
          </w:p>
        </w:tc>
        <w:tc>
          <w:tcPr>
            <w:tcW w:w="1701" w:type="dxa"/>
            <w:tcBorders>
              <w:top w:val="nil"/>
              <w:left w:val="nil"/>
              <w:bottom w:val="single" w:color="auto" w:sz="4" w:space="0"/>
              <w:right w:val="single" w:color="auto" w:sz="4" w:space="0"/>
            </w:tcBorders>
            <w:shd w:val="clear" w:color="auto" w:fill="auto"/>
            <w:vAlign w:val="center"/>
          </w:tcPr>
          <w:p w14:paraId="4AEAD645">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2000≤Y＜40000</w:t>
            </w:r>
          </w:p>
        </w:tc>
        <w:tc>
          <w:tcPr>
            <w:tcW w:w="1426" w:type="dxa"/>
            <w:tcBorders>
              <w:top w:val="nil"/>
              <w:left w:val="nil"/>
              <w:bottom w:val="single" w:color="auto" w:sz="4" w:space="0"/>
              <w:right w:val="single" w:color="auto" w:sz="4" w:space="0"/>
            </w:tcBorders>
            <w:shd w:val="clear" w:color="auto" w:fill="auto"/>
            <w:vAlign w:val="center"/>
          </w:tcPr>
          <w:p w14:paraId="69D28C57">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 300≤Y＜2000</w:t>
            </w:r>
          </w:p>
        </w:tc>
        <w:tc>
          <w:tcPr>
            <w:tcW w:w="992" w:type="dxa"/>
            <w:tcBorders>
              <w:top w:val="nil"/>
              <w:left w:val="nil"/>
              <w:bottom w:val="single" w:color="auto" w:sz="4" w:space="0"/>
              <w:right w:val="nil"/>
            </w:tcBorders>
            <w:shd w:val="clear" w:color="auto" w:fill="auto"/>
            <w:vAlign w:val="center"/>
          </w:tcPr>
          <w:p w14:paraId="10DCA5D9">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Y＜300</w:t>
            </w:r>
          </w:p>
        </w:tc>
      </w:tr>
      <w:tr w14:paraId="0C2E8B5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9338979">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建筑业</w:t>
            </w:r>
          </w:p>
        </w:tc>
        <w:tc>
          <w:tcPr>
            <w:tcW w:w="1369" w:type="dxa"/>
            <w:tcBorders>
              <w:top w:val="nil"/>
              <w:left w:val="nil"/>
              <w:bottom w:val="nil"/>
              <w:right w:val="single" w:color="auto" w:sz="4" w:space="0"/>
            </w:tcBorders>
            <w:shd w:val="clear" w:color="auto" w:fill="auto"/>
            <w:vAlign w:val="center"/>
          </w:tcPr>
          <w:p w14:paraId="3D7B799B">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营业收入(Y)</w:t>
            </w:r>
          </w:p>
        </w:tc>
        <w:tc>
          <w:tcPr>
            <w:tcW w:w="709" w:type="dxa"/>
            <w:tcBorders>
              <w:top w:val="nil"/>
              <w:left w:val="nil"/>
              <w:bottom w:val="nil"/>
              <w:right w:val="single" w:color="auto" w:sz="4" w:space="0"/>
            </w:tcBorders>
            <w:shd w:val="clear" w:color="auto" w:fill="auto"/>
            <w:vAlign w:val="center"/>
          </w:tcPr>
          <w:p w14:paraId="46F5EA00">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tcBorders>
              <w:top w:val="nil"/>
              <w:left w:val="nil"/>
              <w:bottom w:val="nil"/>
              <w:right w:val="single" w:color="auto" w:sz="4" w:space="0"/>
            </w:tcBorders>
            <w:shd w:val="clear" w:color="auto" w:fill="auto"/>
            <w:vAlign w:val="center"/>
          </w:tcPr>
          <w:p w14:paraId="5643F606">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Y≥80000</w:t>
            </w:r>
          </w:p>
        </w:tc>
        <w:tc>
          <w:tcPr>
            <w:tcW w:w="1701" w:type="dxa"/>
            <w:tcBorders>
              <w:top w:val="nil"/>
              <w:left w:val="nil"/>
              <w:bottom w:val="nil"/>
              <w:right w:val="single" w:color="auto" w:sz="4" w:space="0"/>
            </w:tcBorders>
            <w:shd w:val="clear" w:color="auto" w:fill="auto"/>
            <w:vAlign w:val="center"/>
          </w:tcPr>
          <w:p w14:paraId="51D6D99B">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6000≤Y＜80000</w:t>
            </w:r>
          </w:p>
        </w:tc>
        <w:tc>
          <w:tcPr>
            <w:tcW w:w="1426" w:type="dxa"/>
            <w:tcBorders>
              <w:top w:val="nil"/>
              <w:left w:val="nil"/>
              <w:bottom w:val="nil"/>
              <w:right w:val="single" w:color="auto" w:sz="4" w:space="0"/>
            </w:tcBorders>
            <w:shd w:val="clear" w:color="auto" w:fill="auto"/>
            <w:vAlign w:val="center"/>
          </w:tcPr>
          <w:p w14:paraId="0AF34949">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 300≤Y＜6000</w:t>
            </w:r>
          </w:p>
        </w:tc>
        <w:tc>
          <w:tcPr>
            <w:tcW w:w="992" w:type="dxa"/>
            <w:tcBorders>
              <w:top w:val="nil"/>
              <w:left w:val="nil"/>
              <w:bottom w:val="nil"/>
              <w:right w:val="nil"/>
            </w:tcBorders>
            <w:shd w:val="clear" w:color="auto" w:fill="auto"/>
            <w:vAlign w:val="center"/>
          </w:tcPr>
          <w:p w14:paraId="275DA5A1">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Y＜300</w:t>
            </w:r>
          </w:p>
        </w:tc>
      </w:tr>
      <w:tr w14:paraId="0BD8797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3D02758">
            <w:pPr>
              <w:widowControl/>
              <w:jc w:val="left"/>
              <w:rPr>
                <w:rFonts w:ascii="宋体" w:hAnsi="宋体" w:cs="宋体"/>
                <w:color w:val="000000"/>
                <w:kern w:val="0"/>
                <w:sz w:val="18"/>
                <w:szCs w:val="18"/>
                <w:highlight w:val="none"/>
              </w:rPr>
            </w:pPr>
          </w:p>
        </w:tc>
        <w:tc>
          <w:tcPr>
            <w:tcW w:w="1369" w:type="dxa"/>
            <w:tcBorders>
              <w:top w:val="nil"/>
              <w:left w:val="nil"/>
              <w:bottom w:val="single" w:color="auto" w:sz="4" w:space="0"/>
              <w:right w:val="single" w:color="auto" w:sz="4" w:space="0"/>
            </w:tcBorders>
            <w:shd w:val="clear" w:color="auto" w:fill="auto"/>
            <w:vAlign w:val="center"/>
          </w:tcPr>
          <w:p w14:paraId="40AAC1B1">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资产总额(Z)</w:t>
            </w:r>
          </w:p>
        </w:tc>
        <w:tc>
          <w:tcPr>
            <w:tcW w:w="709" w:type="dxa"/>
            <w:tcBorders>
              <w:top w:val="nil"/>
              <w:left w:val="nil"/>
              <w:bottom w:val="single" w:color="auto" w:sz="4" w:space="0"/>
              <w:right w:val="single" w:color="auto" w:sz="4" w:space="0"/>
            </w:tcBorders>
            <w:shd w:val="clear" w:color="auto" w:fill="auto"/>
            <w:vAlign w:val="center"/>
          </w:tcPr>
          <w:p w14:paraId="47E64C9A">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tcBorders>
              <w:top w:val="nil"/>
              <w:left w:val="nil"/>
              <w:bottom w:val="single" w:color="auto" w:sz="4" w:space="0"/>
              <w:right w:val="single" w:color="auto" w:sz="4" w:space="0"/>
            </w:tcBorders>
            <w:shd w:val="clear" w:color="auto" w:fill="auto"/>
            <w:vAlign w:val="center"/>
          </w:tcPr>
          <w:p w14:paraId="7304671D">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Z≥80000</w:t>
            </w:r>
          </w:p>
        </w:tc>
        <w:tc>
          <w:tcPr>
            <w:tcW w:w="1701" w:type="dxa"/>
            <w:tcBorders>
              <w:top w:val="nil"/>
              <w:left w:val="nil"/>
              <w:bottom w:val="single" w:color="auto" w:sz="4" w:space="0"/>
              <w:right w:val="single" w:color="auto" w:sz="4" w:space="0"/>
            </w:tcBorders>
            <w:shd w:val="clear" w:color="auto" w:fill="auto"/>
            <w:vAlign w:val="center"/>
          </w:tcPr>
          <w:p w14:paraId="6C76158B">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5000≤Z＜80000</w:t>
            </w:r>
          </w:p>
        </w:tc>
        <w:tc>
          <w:tcPr>
            <w:tcW w:w="1426" w:type="dxa"/>
            <w:tcBorders>
              <w:top w:val="nil"/>
              <w:left w:val="nil"/>
              <w:bottom w:val="single" w:color="auto" w:sz="4" w:space="0"/>
              <w:right w:val="single" w:color="auto" w:sz="4" w:space="0"/>
            </w:tcBorders>
            <w:shd w:val="clear" w:color="auto" w:fill="auto"/>
            <w:vAlign w:val="center"/>
          </w:tcPr>
          <w:p w14:paraId="2EA3E3A9">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 300≤Z＜5000</w:t>
            </w:r>
          </w:p>
        </w:tc>
        <w:tc>
          <w:tcPr>
            <w:tcW w:w="992" w:type="dxa"/>
            <w:tcBorders>
              <w:top w:val="nil"/>
              <w:left w:val="nil"/>
              <w:bottom w:val="single" w:color="auto" w:sz="4" w:space="0"/>
              <w:right w:val="nil"/>
            </w:tcBorders>
            <w:shd w:val="clear" w:color="auto" w:fill="auto"/>
            <w:vAlign w:val="center"/>
          </w:tcPr>
          <w:p w14:paraId="56A25FAC">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Z＜300</w:t>
            </w:r>
          </w:p>
        </w:tc>
      </w:tr>
      <w:tr w14:paraId="6F0BF69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1C39E57">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批发业</w:t>
            </w:r>
          </w:p>
        </w:tc>
        <w:tc>
          <w:tcPr>
            <w:tcW w:w="1369" w:type="dxa"/>
            <w:tcBorders>
              <w:top w:val="nil"/>
              <w:left w:val="nil"/>
              <w:bottom w:val="nil"/>
              <w:right w:val="single" w:color="auto" w:sz="4" w:space="0"/>
            </w:tcBorders>
            <w:shd w:val="clear" w:color="auto" w:fill="auto"/>
            <w:vAlign w:val="center"/>
          </w:tcPr>
          <w:p w14:paraId="5B9C3969">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从业人员(X)</w:t>
            </w:r>
          </w:p>
        </w:tc>
        <w:tc>
          <w:tcPr>
            <w:tcW w:w="709" w:type="dxa"/>
            <w:tcBorders>
              <w:top w:val="nil"/>
              <w:left w:val="nil"/>
              <w:bottom w:val="nil"/>
              <w:right w:val="single" w:color="auto" w:sz="4" w:space="0"/>
            </w:tcBorders>
            <w:shd w:val="clear" w:color="auto" w:fill="auto"/>
            <w:vAlign w:val="center"/>
          </w:tcPr>
          <w:p w14:paraId="7EB8064D">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125" w:type="dxa"/>
            <w:tcBorders>
              <w:top w:val="nil"/>
              <w:left w:val="nil"/>
              <w:bottom w:val="nil"/>
              <w:right w:val="single" w:color="auto" w:sz="4" w:space="0"/>
            </w:tcBorders>
            <w:shd w:val="clear" w:color="auto" w:fill="auto"/>
            <w:vAlign w:val="center"/>
          </w:tcPr>
          <w:p w14:paraId="3AE1D249">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X≥200</w:t>
            </w:r>
          </w:p>
        </w:tc>
        <w:tc>
          <w:tcPr>
            <w:tcW w:w="1701" w:type="dxa"/>
            <w:tcBorders>
              <w:top w:val="nil"/>
              <w:left w:val="nil"/>
              <w:bottom w:val="nil"/>
              <w:right w:val="single" w:color="auto" w:sz="4" w:space="0"/>
            </w:tcBorders>
            <w:shd w:val="clear" w:color="auto" w:fill="auto"/>
            <w:vAlign w:val="center"/>
          </w:tcPr>
          <w:p w14:paraId="72BF6CFF">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20≤X＜200</w:t>
            </w:r>
          </w:p>
        </w:tc>
        <w:tc>
          <w:tcPr>
            <w:tcW w:w="1426" w:type="dxa"/>
            <w:tcBorders>
              <w:top w:val="nil"/>
              <w:left w:val="nil"/>
              <w:bottom w:val="nil"/>
              <w:right w:val="single" w:color="auto" w:sz="4" w:space="0"/>
            </w:tcBorders>
            <w:shd w:val="clear" w:color="auto" w:fill="auto"/>
            <w:vAlign w:val="center"/>
          </w:tcPr>
          <w:p w14:paraId="267D876E">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 5≤X＜20</w:t>
            </w:r>
          </w:p>
        </w:tc>
        <w:tc>
          <w:tcPr>
            <w:tcW w:w="992" w:type="dxa"/>
            <w:tcBorders>
              <w:top w:val="nil"/>
              <w:left w:val="nil"/>
              <w:bottom w:val="nil"/>
              <w:right w:val="nil"/>
            </w:tcBorders>
            <w:shd w:val="clear" w:color="auto" w:fill="auto"/>
            <w:vAlign w:val="center"/>
          </w:tcPr>
          <w:p w14:paraId="4F367337">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X＜5</w:t>
            </w:r>
          </w:p>
        </w:tc>
      </w:tr>
      <w:tr w14:paraId="56405B7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09FECA4">
            <w:pPr>
              <w:widowControl/>
              <w:jc w:val="left"/>
              <w:rPr>
                <w:rFonts w:ascii="宋体" w:hAnsi="宋体" w:cs="宋体"/>
                <w:color w:val="000000"/>
                <w:kern w:val="0"/>
                <w:sz w:val="18"/>
                <w:szCs w:val="18"/>
                <w:highlight w:val="none"/>
              </w:rPr>
            </w:pPr>
          </w:p>
        </w:tc>
        <w:tc>
          <w:tcPr>
            <w:tcW w:w="1369" w:type="dxa"/>
            <w:tcBorders>
              <w:top w:val="nil"/>
              <w:left w:val="nil"/>
              <w:bottom w:val="single" w:color="auto" w:sz="4" w:space="0"/>
              <w:right w:val="single" w:color="auto" w:sz="4" w:space="0"/>
            </w:tcBorders>
            <w:shd w:val="clear" w:color="auto" w:fill="auto"/>
            <w:vAlign w:val="center"/>
          </w:tcPr>
          <w:p w14:paraId="4EF144BA">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营业收入(Y)</w:t>
            </w:r>
          </w:p>
        </w:tc>
        <w:tc>
          <w:tcPr>
            <w:tcW w:w="709" w:type="dxa"/>
            <w:tcBorders>
              <w:top w:val="nil"/>
              <w:left w:val="nil"/>
              <w:bottom w:val="single" w:color="auto" w:sz="4" w:space="0"/>
              <w:right w:val="single" w:color="auto" w:sz="4" w:space="0"/>
            </w:tcBorders>
            <w:shd w:val="clear" w:color="auto" w:fill="auto"/>
            <w:vAlign w:val="center"/>
          </w:tcPr>
          <w:p w14:paraId="728E93DA">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tcBorders>
              <w:top w:val="nil"/>
              <w:left w:val="nil"/>
              <w:bottom w:val="single" w:color="auto" w:sz="4" w:space="0"/>
              <w:right w:val="single" w:color="auto" w:sz="4" w:space="0"/>
            </w:tcBorders>
            <w:shd w:val="clear" w:color="auto" w:fill="auto"/>
            <w:vAlign w:val="center"/>
          </w:tcPr>
          <w:p w14:paraId="5FFD2A59">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Y≥40000</w:t>
            </w:r>
          </w:p>
        </w:tc>
        <w:tc>
          <w:tcPr>
            <w:tcW w:w="1701" w:type="dxa"/>
            <w:tcBorders>
              <w:top w:val="nil"/>
              <w:left w:val="nil"/>
              <w:bottom w:val="single" w:color="auto" w:sz="4" w:space="0"/>
              <w:right w:val="single" w:color="auto" w:sz="4" w:space="0"/>
            </w:tcBorders>
            <w:shd w:val="clear" w:color="auto" w:fill="auto"/>
            <w:vAlign w:val="center"/>
          </w:tcPr>
          <w:p w14:paraId="504993DD">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5000≤Y＜40000</w:t>
            </w:r>
          </w:p>
        </w:tc>
        <w:tc>
          <w:tcPr>
            <w:tcW w:w="1426" w:type="dxa"/>
            <w:tcBorders>
              <w:top w:val="nil"/>
              <w:left w:val="nil"/>
              <w:bottom w:val="single" w:color="auto" w:sz="4" w:space="0"/>
              <w:right w:val="single" w:color="auto" w:sz="4" w:space="0"/>
            </w:tcBorders>
            <w:shd w:val="clear" w:color="auto" w:fill="auto"/>
            <w:vAlign w:val="center"/>
          </w:tcPr>
          <w:p w14:paraId="1FF74273">
            <w:pPr>
              <w:widowControl/>
              <w:ind w:left="-1" w:leftChars="-1" w:hanging="1"/>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1000≤Y＜5000</w:t>
            </w:r>
          </w:p>
        </w:tc>
        <w:tc>
          <w:tcPr>
            <w:tcW w:w="992" w:type="dxa"/>
            <w:tcBorders>
              <w:top w:val="nil"/>
              <w:left w:val="nil"/>
              <w:bottom w:val="single" w:color="auto" w:sz="4" w:space="0"/>
              <w:right w:val="nil"/>
            </w:tcBorders>
            <w:shd w:val="clear" w:color="auto" w:fill="auto"/>
            <w:vAlign w:val="center"/>
          </w:tcPr>
          <w:p w14:paraId="208601D3">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Y＜1000</w:t>
            </w:r>
          </w:p>
        </w:tc>
      </w:tr>
      <w:tr w14:paraId="1846F23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072A85D">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零售业</w:t>
            </w:r>
          </w:p>
        </w:tc>
        <w:tc>
          <w:tcPr>
            <w:tcW w:w="1369" w:type="dxa"/>
            <w:tcBorders>
              <w:top w:val="nil"/>
              <w:left w:val="nil"/>
              <w:bottom w:val="nil"/>
              <w:right w:val="single" w:color="auto" w:sz="4" w:space="0"/>
            </w:tcBorders>
            <w:shd w:val="clear" w:color="auto" w:fill="auto"/>
            <w:vAlign w:val="center"/>
          </w:tcPr>
          <w:p w14:paraId="4CD8499D">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从业人员(X)</w:t>
            </w:r>
          </w:p>
        </w:tc>
        <w:tc>
          <w:tcPr>
            <w:tcW w:w="709" w:type="dxa"/>
            <w:tcBorders>
              <w:top w:val="nil"/>
              <w:left w:val="nil"/>
              <w:bottom w:val="nil"/>
              <w:right w:val="single" w:color="auto" w:sz="4" w:space="0"/>
            </w:tcBorders>
            <w:shd w:val="clear" w:color="auto" w:fill="auto"/>
            <w:vAlign w:val="center"/>
          </w:tcPr>
          <w:p w14:paraId="452C9B56">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125" w:type="dxa"/>
            <w:tcBorders>
              <w:top w:val="nil"/>
              <w:left w:val="nil"/>
              <w:bottom w:val="nil"/>
              <w:right w:val="single" w:color="auto" w:sz="4" w:space="0"/>
            </w:tcBorders>
            <w:shd w:val="clear" w:color="auto" w:fill="auto"/>
            <w:vAlign w:val="center"/>
          </w:tcPr>
          <w:p w14:paraId="2EE081D1">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X≥300</w:t>
            </w:r>
          </w:p>
        </w:tc>
        <w:tc>
          <w:tcPr>
            <w:tcW w:w="1701" w:type="dxa"/>
            <w:tcBorders>
              <w:top w:val="nil"/>
              <w:left w:val="nil"/>
              <w:bottom w:val="nil"/>
              <w:right w:val="single" w:color="auto" w:sz="4" w:space="0"/>
            </w:tcBorders>
            <w:shd w:val="clear" w:color="auto" w:fill="auto"/>
            <w:vAlign w:val="center"/>
          </w:tcPr>
          <w:p w14:paraId="439E2B65">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50≤X＜300</w:t>
            </w:r>
          </w:p>
        </w:tc>
        <w:tc>
          <w:tcPr>
            <w:tcW w:w="1426" w:type="dxa"/>
            <w:tcBorders>
              <w:top w:val="nil"/>
              <w:left w:val="nil"/>
              <w:bottom w:val="nil"/>
              <w:right w:val="single" w:color="auto" w:sz="4" w:space="0"/>
            </w:tcBorders>
            <w:shd w:val="clear" w:color="auto" w:fill="auto"/>
            <w:vAlign w:val="center"/>
          </w:tcPr>
          <w:p w14:paraId="3F09C324">
            <w:pPr>
              <w:widowControl/>
              <w:ind w:left="-1" w:leftChars="-1" w:hanging="1"/>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10≤X＜50 </w:t>
            </w:r>
          </w:p>
        </w:tc>
        <w:tc>
          <w:tcPr>
            <w:tcW w:w="992" w:type="dxa"/>
            <w:tcBorders>
              <w:top w:val="nil"/>
              <w:left w:val="nil"/>
              <w:bottom w:val="nil"/>
              <w:right w:val="nil"/>
            </w:tcBorders>
            <w:shd w:val="clear" w:color="auto" w:fill="auto"/>
            <w:vAlign w:val="center"/>
          </w:tcPr>
          <w:p w14:paraId="46CE4E8C">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X＜10</w:t>
            </w:r>
          </w:p>
        </w:tc>
      </w:tr>
      <w:tr w14:paraId="0535449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9ED4E44">
            <w:pPr>
              <w:widowControl/>
              <w:jc w:val="left"/>
              <w:rPr>
                <w:rFonts w:ascii="宋体" w:hAnsi="宋体" w:cs="宋体"/>
                <w:color w:val="000000"/>
                <w:kern w:val="0"/>
                <w:sz w:val="18"/>
                <w:szCs w:val="18"/>
                <w:highlight w:val="none"/>
              </w:rPr>
            </w:pPr>
          </w:p>
        </w:tc>
        <w:tc>
          <w:tcPr>
            <w:tcW w:w="1369" w:type="dxa"/>
            <w:tcBorders>
              <w:top w:val="nil"/>
              <w:left w:val="nil"/>
              <w:bottom w:val="single" w:color="auto" w:sz="4" w:space="0"/>
              <w:right w:val="single" w:color="auto" w:sz="4" w:space="0"/>
            </w:tcBorders>
            <w:shd w:val="clear" w:color="auto" w:fill="auto"/>
            <w:vAlign w:val="center"/>
          </w:tcPr>
          <w:p w14:paraId="34A97C9D">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营业收入(Y)</w:t>
            </w:r>
          </w:p>
        </w:tc>
        <w:tc>
          <w:tcPr>
            <w:tcW w:w="709" w:type="dxa"/>
            <w:tcBorders>
              <w:top w:val="nil"/>
              <w:left w:val="nil"/>
              <w:bottom w:val="single" w:color="auto" w:sz="4" w:space="0"/>
              <w:right w:val="single" w:color="auto" w:sz="4" w:space="0"/>
            </w:tcBorders>
            <w:shd w:val="clear" w:color="auto" w:fill="auto"/>
            <w:vAlign w:val="center"/>
          </w:tcPr>
          <w:p w14:paraId="45AC3AC4">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tcBorders>
              <w:top w:val="nil"/>
              <w:left w:val="nil"/>
              <w:bottom w:val="single" w:color="auto" w:sz="4" w:space="0"/>
              <w:right w:val="single" w:color="auto" w:sz="4" w:space="0"/>
            </w:tcBorders>
            <w:shd w:val="clear" w:color="auto" w:fill="auto"/>
            <w:vAlign w:val="center"/>
          </w:tcPr>
          <w:p w14:paraId="2A5A22A7">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Y≥20000</w:t>
            </w:r>
          </w:p>
        </w:tc>
        <w:tc>
          <w:tcPr>
            <w:tcW w:w="1701" w:type="dxa"/>
            <w:tcBorders>
              <w:top w:val="nil"/>
              <w:left w:val="nil"/>
              <w:bottom w:val="single" w:color="auto" w:sz="4" w:space="0"/>
              <w:right w:val="single" w:color="auto" w:sz="4" w:space="0"/>
            </w:tcBorders>
            <w:shd w:val="clear" w:color="auto" w:fill="auto"/>
            <w:vAlign w:val="center"/>
          </w:tcPr>
          <w:p w14:paraId="4ACC483C">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1083DB6D">
            <w:pPr>
              <w:widowControl/>
              <w:ind w:left="-1" w:leftChars="-1" w:hanging="1"/>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100≤Y＜500 </w:t>
            </w:r>
          </w:p>
        </w:tc>
        <w:tc>
          <w:tcPr>
            <w:tcW w:w="992" w:type="dxa"/>
            <w:tcBorders>
              <w:top w:val="nil"/>
              <w:left w:val="nil"/>
              <w:bottom w:val="single" w:color="auto" w:sz="4" w:space="0"/>
              <w:right w:val="nil"/>
            </w:tcBorders>
            <w:shd w:val="clear" w:color="auto" w:fill="auto"/>
            <w:vAlign w:val="center"/>
          </w:tcPr>
          <w:p w14:paraId="24DB73F7">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Y＜100</w:t>
            </w:r>
          </w:p>
        </w:tc>
      </w:tr>
      <w:tr w14:paraId="18008CAB">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7518FD3">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交通运输业 *</w:t>
            </w:r>
          </w:p>
        </w:tc>
        <w:tc>
          <w:tcPr>
            <w:tcW w:w="1369" w:type="dxa"/>
            <w:tcBorders>
              <w:top w:val="nil"/>
              <w:left w:val="nil"/>
              <w:bottom w:val="nil"/>
              <w:right w:val="single" w:color="auto" w:sz="4" w:space="0"/>
            </w:tcBorders>
            <w:shd w:val="clear" w:color="auto" w:fill="auto"/>
            <w:vAlign w:val="center"/>
          </w:tcPr>
          <w:p w14:paraId="3313EEE5">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从业人员(X)</w:t>
            </w:r>
          </w:p>
        </w:tc>
        <w:tc>
          <w:tcPr>
            <w:tcW w:w="709" w:type="dxa"/>
            <w:tcBorders>
              <w:top w:val="nil"/>
              <w:left w:val="nil"/>
              <w:bottom w:val="nil"/>
              <w:right w:val="single" w:color="auto" w:sz="4" w:space="0"/>
            </w:tcBorders>
            <w:shd w:val="clear" w:color="auto" w:fill="auto"/>
            <w:vAlign w:val="center"/>
          </w:tcPr>
          <w:p w14:paraId="0E8AF6C9">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125" w:type="dxa"/>
            <w:tcBorders>
              <w:top w:val="nil"/>
              <w:left w:val="nil"/>
              <w:bottom w:val="nil"/>
              <w:right w:val="single" w:color="auto" w:sz="4" w:space="0"/>
            </w:tcBorders>
            <w:shd w:val="clear" w:color="auto" w:fill="auto"/>
            <w:vAlign w:val="center"/>
          </w:tcPr>
          <w:p w14:paraId="47E73773">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X≥1000</w:t>
            </w:r>
          </w:p>
        </w:tc>
        <w:tc>
          <w:tcPr>
            <w:tcW w:w="1701" w:type="dxa"/>
            <w:tcBorders>
              <w:top w:val="nil"/>
              <w:left w:val="nil"/>
              <w:bottom w:val="nil"/>
              <w:right w:val="single" w:color="auto" w:sz="4" w:space="0"/>
            </w:tcBorders>
            <w:shd w:val="clear" w:color="auto" w:fill="auto"/>
            <w:vAlign w:val="center"/>
          </w:tcPr>
          <w:p w14:paraId="775E765D">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300≤X＜1000</w:t>
            </w:r>
          </w:p>
        </w:tc>
        <w:tc>
          <w:tcPr>
            <w:tcW w:w="1426" w:type="dxa"/>
            <w:tcBorders>
              <w:top w:val="nil"/>
              <w:left w:val="nil"/>
              <w:bottom w:val="nil"/>
              <w:right w:val="single" w:color="auto" w:sz="4" w:space="0"/>
            </w:tcBorders>
            <w:shd w:val="clear" w:color="auto" w:fill="auto"/>
            <w:vAlign w:val="center"/>
          </w:tcPr>
          <w:p w14:paraId="03A58C28">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 20≤X＜300</w:t>
            </w:r>
          </w:p>
        </w:tc>
        <w:tc>
          <w:tcPr>
            <w:tcW w:w="992" w:type="dxa"/>
            <w:tcBorders>
              <w:top w:val="nil"/>
              <w:left w:val="nil"/>
              <w:bottom w:val="nil"/>
              <w:right w:val="nil"/>
            </w:tcBorders>
            <w:shd w:val="clear" w:color="auto" w:fill="auto"/>
            <w:vAlign w:val="center"/>
          </w:tcPr>
          <w:p w14:paraId="081CD8DA">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X＜20</w:t>
            </w:r>
          </w:p>
        </w:tc>
      </w:tr>
      <w:tr w14:paraId="55581720">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A0B0B7B">
            <w:pPr>
              <w:widowControl/>
              <w:jc w:val="left"/>
              <w:rPr>
                <w:rFonts w:ascii="宋体" w:hAnsi="宋体" w:cs="宋体"/>
                <w:color w:val="000000"/>
                <w:kern w:val="0"/>
                <w:sz w:val="18"/>
                <w:szCs w:val="18"/>
                <w:highlight w:val="none"/>
              </w:rPr>
            </w:pPr>
          </w:p>
        </w:tc>
        <w:tc>
          <w:tcPr>
            <w:tcW w:w="1369" w:type="dxa"/>
            <w:tcBorders>
              <w:top w:val="nil"/>
              <w:left w:val="nil"/>
              <w:bottom w:val="single" w:color="auto" w:sz="4" w:space="0"/>
              <w:right w:val="single" w:color="auto" w:sz="4" w:space="0"/>
            </w:tcBorders>
            <w:shd w:val="clear" w:color="auto" w:fill="auto"/>
            <w:vAlign w:val="center"/>
          </w:tcPr>
          <w:p w14:paraId="4F449F1F">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营业收入(Y)</w:t>
            </w:r>
          </w:p>
        </w:tc>
        <w:tc>
          <w:tcPr>
            <w:tcW w:w="709" w:type="dxa"/>
            <w:tcBorders>
              <w:top w:val="nil"/>
              <w:left w:val="nil"/>
              <w:bottom w:val="single" w:color="auto" w:sz="4" w:space="0"/>
              <w:right w:val="single" w:color="auto" w:sz="4" w:space="0"/>
            </w:tcBorders>
            <w:shd w:val="clear" w:color="auto" w:fill="auto"/>
            <w:vAlign w:val="center"/>
          </w:tcPr>
          <w:p w14:paraId="311064F5">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tcBorders>
              <w:top w:val="nil"/>
              <w:left w:val="nil"/>
              <w:bottom w:val="single" w:color="auto" w:sz="4" w:space="0"/>
              <w:right w:val="single" w:color="auto" w:sz="4" w:space="0"/>
            </w:tcBorders>
            <w:shd w:val="clear" w:color="auto" w:fill="auto"/>
            <w:vAlign w:val="center"/>
          </w:tcPr>
          <w:p w14:paraId="3292FD43">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Y≥30000</w:t>
            </w:r>
          </w:p>
        </w:tc>
        <w:tc>
          <w:tcPr>
            <w:tcW w:w="1701" w:type="dxa"/>
            <w:tcBorders>
              <w:top w:val="nil"/>
              <w:left w:val="nil"/>
              <w:bottom w:val="single" w:color="auto" w:sz="4" w:space="0"/>
              <w:right w:val="single" w:color="auto" w:sz="4" w:space="0"/>
            </w:tcBorders>
            <w:shd w:val="clear" w:color="auto" w:fill="auto"/>
            <w:vAlign w:val="center"/>
          </w:tcPr>
          <w:p w14:paraId="66E378D2">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3000≤Y＜30000</w:t>
            </w:r>
          </w:p>
        </w:tc>
        <w:tc>
          <w:tcPr>
            <w:tcW w:w="1426" w:type="dxa"/>
            <w:tcBorders>
              <w:top w:val="nil"/>
              <w:left w:val="nil"/>
              <w:bottom w:val="single" w:color="auto" w:sz="4" w:space="0"/>
              <w:right w:val="single" w:color="auto" w:sz="4" w:space="0"/>
            </w:tcBorders>
            <w:shd w:val="clear" w:color="auto" w:fill="auto"/>
            <w:vAlign w:val="center"/>
          </w:tcPr>
          <w:p w14:paraId="18AEA264">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 200≤Y＜3000</w:t>
            </w:r>
          </w:p>
        </w:tc>
        <w:tc>
          <w:tcPr>
            <w:tcW w:w="992" w:type="dxa"/>
            <w:tcBorders>
              <w:top w:val="nil"/>
              <w:left w:val="nil"/>
              <w:bottom w:val="single" w:color="auto" w:sz="4" w:space="0"/>
              <w:right w:val="nil"/>
            </w:tcBorders>
            <w:shd w:val="clear" w:color="auto" w:fill="auto"/>
            <w:vAlign w:val="center"/>
          </w:tcPr>
          <w:p w14:paraId="515BFB4A">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Y＜200</w:t>
            </w:r>
          </w:p>
        </w:tc>
      </w:tr>
      <w:tr w14:paraId="64EADF0D">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29DC475">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仓储业*</w:t>
            </w:r>
          </w:p>
        </w:tc>
        <w:tc>
          <w:tcPr>
            <w:tcW w:w="1369" w:type="dxa"/>
            <w:tcBorders>
              <w:top w:val="nil"/>
              <w:left w:val="nil"/>
              <w:bottom w:val="nil"/>
              <w:right w:val="single" w:color="auto" w:sz="4" w:space="0"/>
            </w:tcBorders>
            <w:shd w:val="clear" w:color="auto" w:fill="auto"/>
            <w:vAlign w:val="center"/>
          </w:tcPr>
          <w:p w14:paraId="7494CD6C">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从业人员(X)</w:t>
            </w:r>
          </w:p>
        </w:tc>
        <w:tc>
          <w:tcPr>
            <w:tcW w:w="709" w:type="dxa"/>
            <w:tcBorders>
              <w:top w:val="nil"/>
              <w:left w:val="nil"/>
              <w:bottom w:val="nil"/>
              <w:right w:val="single" w:color="auto" w:sz="4" w:space="0"/>
            </w:tcBorders>
            <w:shd w:val="clear" w:color="auto" w:fill="auto"/>
            <w:vAlign w:val="center"/>
          </w:tcPr>
          <w:p w14:paraId="43B17F9B">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125" w:type="dxa"/>
            <w:tcBorders>
              <w:top w:val="nil"/>
              <w:left w:val="nil"/>
              <w:bottom w:val="nil"/>
              <w:right w:val="single" w:color="auto" w:sz="4" w:space="0"/>
            </w:tcBorders>
            <w:shd w:val="clear" w:color="auto" w:fill="auto"/>
            <w:vAlign w:val="center"/>
          </w:tcPr>
          <w:p w14:paraId="2274E6B5">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X≥200</w:t>
            </w:r>
          </w:p>
        </w:tc>
        <w:tc>
          <w:tcPr>
            <w:tcW w:w="1701" w:type="dxa"/>
            <w:tcBorders>
              <w:top w:val="nil"/>
              <w:left w:val="nil"/>
              <w:bottom w:val="nil"/>
              <w:right w:val="single" w:color="auto" w:sz="4" w:space="0"/>
            </w:tcBorders>
            <w:shd w:val="clear" w:color="auto" w:fill="auto"/>
            <w:vAlign w:val="center"/>
          </w:tcPr>
          <w:p w14:paraId="6B09AFD9">
            <w:pPr>
              <w:widowControl/>
              <w:ind w:left="1" w:leftChars="-51" w:hanging="108" w:hangingChars="6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100≤X＜200</w:t>
            </w:r>
          </w:p>
        </w:tc>
        <w:tc>
          <w:tcPr>
            <w:tcW w:w="1426" w:type="dxa"/>
            <w:tcBorders>
              <w:top w:val="nil"/>
              <w:left w:val="nil"/>
              <w:bottom w:val="nil"/>
              <w:right w:val="single" w:color="auto" w:sz="4" w:space="0"/>
            </w:tcBorders>
            <w:shd w:val="clear" w:color="auto" w:fill="auto"/>
            <w:vAlign w:val="center"/>
          </w:tcPr>
          <w:p w14:paraId="203E654D">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 20≤X＜100</w:t>
            </w:r>
          </w:p>
        </w:tc>
        <w:tc>
          <w:tcPr>
            <w:tcW w:w="992" w:type="dxa"/>
            <w:tcBorders>
              <w:top w:val="nil"/>
              <w:left w:val="nil"/>
              <w:bottom w:val="nil"/>
              <w:right w:val="nil"/>
            </w:tcBorders>
            <w:shd w:val="clear" w:color="auto" w:fill="auto"/>
            <w:vAlign w:val="center"/>
          </w:tcPr>
          <w:p w14:paraId="4D10E03B">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X＜20</w:t>
            </w:r>
          </w:p>
        </w:tc>
      </w:tr>
      <w:tr w14:paraId="7CF0B2B4">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6A7A0A2">
            <w:pPr>
              <w:widowControl/>
              <w:jc w:val="left"/>
              <w:rPr>
                <w:rFonts w:ascii="宋体" w:hAnsi="宋体" w:cs="宋体"/>
                <w:color w:val="000000"/>
                <w:kern w:val="0"/>
                <w:sz w:val="18"/>
                <w:szCs w:val="18"/>
                <w:highlight w:val="none"/>
              </w:rPr>
            </w:pPr>
          </w:p>
        </w:tc>
        <w:tc>
          <w:tcPr>
            <w:tcW w:w="1369" w:type="dxa"/>
            <w:tcBorders>
              <w:top w:val="nil"/>
              <w:left w:val="nil"/>
              <w:bottom w:val="single" w:color="auto" w:sz="4" w:space="0"/>
              <w:right w:val="single" w:color="auto" w:sz="4" w:space="0"/>
            </w:tcBorders>
            <w:shd w:val="clear" w:color="auto" w:fill="auto"/>
            <w:vAlign w:val="center"/>
          </w:tcPr>
          <w:p w14:paraId="08096894">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营业收入(Y)</w:t>
            </w:r>
          </w:p>
        </w:tc>
        <w:tc>
          <w:tcPr>
            <w:tcW w:w="709" w:type="dxa"/>
            <w:tcBorders>
              <w:top w:val="nil"/>
              <w:left w:val="nil"/>
              <w:bottom w:val="single" w:color="auto" w:sz="4" w:space="0"/>
              <w:right w:val="single" w:color="auto" w:sz="4" w:space="0"/>
            </w:tcBorders>
            <w:shd w:val="clear" w:color="auto" w:fill="auto"/>
            <w:vAlign w:val="center"/>
          </w:tcPr>
          <w:p w14:paraId="0C05B083">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tcBorders>
              <w:top w:val="nil"/>
              <w:left w:val="nil"/>
              <w:bottom w:val="single" w:color="auto" w:sz="4" w:space="0"/>
              <w:right w:val="single" w:color="auto" w:sz="4" w:space="0"/>
            </w:tcBorders>
            <w:shd w:val="clear" w:color="auto" w:fill="auto"/>
            <w:vAlign w:val="center"/>
          </w:tcPr>
          <w:p w14:paraId="6D76B34E">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Y≥30000</w:t>
            </w:r>
          </w:p>
        </w:tc>
        <w:tc>
          <w:tcPr>
            <w:tcW w:w="1701" w:type="dxa"/>
            <w:tcBorders>
              <w:top w:val="nil"/>
              <w:left w:val="nil"/>
              <w:bottom w:val="single" w:color="auto" w:sz="4" w:space="0"/>
              <w:right w:val="single" w:color="auto" w:sz="4" w:space="0"/>
            </w:tcBorders>
            <w:shd w:val="clear" w:color="auto" w:fill="auto"/>
            <w:vAlign w:val="center"/>
          </w:tcPr>
          <w:p w14:paraId="6F624E97">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1000≤Y＜30000</w:t>
            </w:r>
          </w:p>
        </w:tc>
        <w:tc>
          <w:tcPr>
            <w:tcW w:w="1426" w:type="dxa"/>
            <w:tcBorders>
              <w:top w:val="nil"/>
              <w:left w:val="nil"/>
              <w:bottom w:val="single" w:color="auto" w:sz="4" w:space="0"/>
              <w:right w:val="single" w:color="auto" w:sz="4" w:space="0"/>
            </w:tcBorders>
            <w:shd w:val="clear" w:color="auto" w:fill="auto"/>
            <w:vAlign w:val="center"/>
          </w:tcPr>
          <w:p w14:paraId="36BC2130">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 100≤Y＜1000</w:t>
            </w:r>
          </w:p>
        </w:tc>
        <w:tc>
          <w:tcPr>
            <w:tcW w:w="992" w:type="dxa"/>
            <w:tcBorders>
              <w:top w:val="nil"/>
              <w:left w:val="nil"/>
              <w:bottom w:val="single" w:color="auto" w:sz="4" w:space="0"/>
              <w:right w:val="nil"/>
            </w:tcBorders>
            <w:shd w:val="clear" w:color="auto" w:fill="auto"/>
            <w:vAlign w:val="center"/>
          </w:tcPr>
          <w:p w14:paraId="63B348A3">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Y＜100</w:t>
            </w:r>
          </w:p>
        </w:tc>
      </w:tr>
      <w:tr w14:paraId="46E39B7D">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208C427">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邮政业</w:t>
            </w:r>
          </w:p>
        </w:tc>
        <w:tc>
          <w:tcPr>
            <w:tcW w:w="1369" w:type="dxa"/>
            <w:tcBorders>
              <w:top w:val="nil"/>
              <w:left w:val="nil"/>
              <w:bottom w:val="nil"/>
              <w:right w:val="single" w:color="auto" w:sz="4" w:space="0"/>
            </w:tcBorders>
            <w:shd w:val="clear" w:color="auto" w:fill="auto"/>
            <w:vAlign w:val="center"/>
          </w:tcPr>
          <w:p w14:paraId="15A78B6C">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从业人员(X)</w:t>
            </w:r>
          </w:p>
        </w:tc>
        <w:tc>
          <w:tcPr>
            <w:tcW w:w="709" w:type="dxa"/>
            <w:tcBorders>
              <w:top w:val="nil"/>
              <w:left w:val="nil"/>
              <w:bottom w:val="nil"/>
              <w:right w:val="single" w:color="auto" w:sz="4" w:space="0"/>
            </w:tcBorders>
            <w:shd w:val="clear" w:color="auto" w:fill="auto"/>
            <w:vAlign w:val="center"/>
          </w:tcPr>
          <w:p w14:paraId="6EB281E0">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125" w:type="dxa"/>
            <w:tcBorders>
              <w:top w:val="nil"/>
              <w:left w:val="nil"/>
              <w:bottom w:val="nil"/>
              <w:right w:val="single" w:color="auto" w:sz="4" w:space="0"/>
            </w:tcBorders>
            <w:shd w:val="clear" w:color="auto" w:fill="auto"/>
            <w:vAlign w:val="center"/>
          </w:tcPr>
          <w:p w14:paraId="52F46E67">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X≥1000</w:t>
            </w:r>
          </w:p>
        </w:tc>
        <w:tc>
          <w:tcPr>
            <w:tcW w:w="1701" w:type="dxa"/>
            <w:tcBorders>
              <w:top w:val="nil"/>
              <w:left w:val="nil"/>
              <w:bottom w:val="nil"/>
              <w:right w:val="single" w:color="auto" w:sz="4" w:space="0"/>
            </w:tcBorders>
            <w:shd w:val="clear" w:color="auto" w:fill="auto"/>
            <w:vAlign w:val="center"/>
          </w:tcPr>
          <w:p w14:paraId="64E33C96">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300≤X＜1000</w:t>
            </w:r>
          </w:p>
        </w:tc>
        <w:tc>
          <w:tcPr>
            <w:tcW w:w="1426" w:type="dxa"/>
            <w:tcBorders>
              <w:top w:val="nil"/>
              <w:left w:val="nil"/>
              <w:bottom w:val="nil"/>
              <w:right w:val="single" w:color="auto" w:sz="4" w:space="0"/>
            </w:tcBorders>
            <w:shd w:val="clear" w:color="auto" w:fill="auto"/>
            <w:vAlign w:val="center"/>
          </w:tcPr>
          <w:p w14:paraId="0CBF3C93">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 20≤X＜300</w:t>
            </w:r>
          </w:p>
        </w:tc>
        <w:tc>
          <w:tcPr>
            <w:tcW w:w="992" w:type="dxa"/>
            <w:tcBorders>
              <w:top w:val="nil"/>
              <w:left w:val="nil"/>
              <w:bottom w:val="nil"/>
              <w:right w:val="nil"/>
            </w:tcBorders>
            <w:shd w:val="clear" w:color="auto" w:fill="auto"/>
            <w:vAlign w:val="center"/>
          </w:tcPr>
          <w:p w14:paraId="02001BC4">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X＜20</w:t>
            </w:r>
          </w:p>
        </w:tc>
      </w:tr>
      <w:tr w14:paraId="33C7B6A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4512CAC">
            <w:pPr>
              <w:widowControl/>
              <w:jc w:val="left"/>
              <w:rPr>
                <w:rFonts w:ascii="宋体" w:hAnsi="宋体" w:cs="宋体"/>
                <w:color w:val="000000"/>
                <w:kern w:val="0"/>
                <w:sz w:val="18"/>
                <w:szCs w:val="18"/>
                <w:highlight w:val="none"/>
              </w:rPr>
            </w:pPr>
          </w:p>
        </w:tc>
        <w:tc>
          <w:tcPr>
            <w:tcW w:w="1369" w:type="dxa"/>
            <w:tcBorders>
              <w:top w:val="nil"/>
              <w:left w:val="nil"/>
              <w:bottom w:val="single" w:color="auto" w:sz="4" w:space="0"/>
              <w:right w:val="single" w:color="auto" w:sz="4" w:space="0"/>
            </w:tcBorders>
            <w:shd w:val="clear" w:color="auto" w:fill="auto"/>
            <w:vAlign w:val="center"/>
          </w:tcPr>
          <w:p w14:paraId="54C384A9">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营业收入(Y)</w:t>
            </w:r>
          </w:p>
        </w:tc>
        <w:tc>
          <w:tcPr>
            <w:tcW w:w="709" w:type="dxa"/>
            <w:tcBorders>
              <w:top w:val="nil"/>
              <w:left w:val="nil"/>
              <w:bottom w:val="single" w:color="auto" w:sz="4" w:space="0"/>
              <w:right w:val="single" w:color="auto" w:sz="4" w:space="0"/>
            </w:tcBorders>
            <w:shd w:val="clear" w:color="auto" w:fill="auto"/>
            <w:vAlign w:val="center"/>
          </w:tcPr>
          <w:p w14:paraId="738BC77D">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tcBorders>
              <w:top w:val="nil"/>
              <w:left w:val="nil"/>
              <w:bottom w:val="single" w:color="auto" w:sz="4" w:space="0"/>
              <w:right w:val="single" w:color="auto" w:sz="4" w:space="0"/>
            </w:tcBorders>
            <w:shd w:val="clear" w:color="auto" w:fill="auto"/>
            <w:vAlign w:val="center"/>
          </w:tcPr>
          <w:p w14:paraId="42F39DCE">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Y≥30000</w:t>
            </w:r>
          </w:p>
        </w:tc>
        <w:tc>
          <w:tcPr>
            <w:tcW w:w="1701" w:type="dxa"/>
            <w:tcBorders>
              <w:top w:val="nil"/>
              <w:left w:val="nil"/>
              <w:bottom w:val="single" w:color="auto" w:sz="4" w:space="0"/>
              <w:right w:val="single" w:color="auto" w:sz="4" w:space="0"/>
            </w:tcBorders>
            <w:shd w:val="clear" w:color="auto" w:fill="auto"/>
            <w:vAlign w:val="center"/>
          </w:tcPr>
          <w:p w14:paraId="790ED477">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2000≤Y＜30000</w:t>
            </w:r>
          </w:p>
        </w:tc>
        <w:tc>
          <w:tcPr>
            <w:tcW w:w="1426" w:type="dxa"/>
            <w:tcBorders>
              <w:top w:val="nil"/>
              <w:left w:val="nil"/>
              <w:bottom w:val="single" w:color="auto" w:sz="4" w:space="0"/>
              <w:right w:val="single" w:color="auto" w:sz="4" w:space="0"/>
            </w:tcBorders>
            <w:shd w:val="clear" w:color="auto" w:fill="auto"/>
            <w:vAlign w:val="center"/>
          </w:tcPr>
          <w:p w14:paraId="42C0C64B">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 100≤Y＜2000</w:t>
            </w:r>
          </w:p>
        </w:tc>
        <w:tc>
          <w:tcPr>
            <w:tcW w:w="992" w:type="dxa"/>
            <w:tcBorders>
              <w:top w:val="nil"/>
              <w:left w:val="nil"/>
              <w:bottom w:val="single" w:color="auto" w:sz="4" w:space="0"/>
              <w:right w:val="nil"/>
            </w:tcBorders>
            <w:shd w:val="clear" w:color="auto" w:fill="auto"/>
            <w:vAlign w:val="center"/>
          </w:tcPr>
          <w:p w14:paraId="34863AEB">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Y＜100</w:t>
            </w:r>
          </w:p>
        </w:tc>
      </w:tr>
      <w:tr w14:paraId="1917D04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4FB8F92">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住宿业</w:t>
            </w:r>
          </w:p>
        </w:tc>
        <w:tc>
          <w:tcPr>
            <w:tcW w:w="1369" w:type="dxa"/>
            <w:tcBorders>
              <w:top w:val="nil"/>
              <w:left w:val="nil"/>
              <w:bottom w:val="nil"/>
              <w:right w:val="single" w:color="auto" w:sz="4" w:space="0"/>
            </w:tcBorders>
            <w:shd w:val="clear" w:color="auto" w:fill="auto"/>
            <w:vAlign w:val="center"/>
          </w:tcPr>
          <w:p w14:paraId="66BB5177">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从业人员(X)</w:t>
            </w:r>
          </w:p>
        </w:tc>
        <w:tc>
          <w:tcPr>
            <w:tcW w:w="709" w:type="dxa"/>
            <w:tcBorders>
              <w:top w:val="nil"/>
              <w:left w:val="nil"/>
              <w:bottom w:val="nil"/>
              <w:right w:val="single" w:color="auto" w:sz="4" w:space="0"/>
            </w:tcBorders>
            <w:shd w:val="clear" w:color="auto" w:fill="auto"/>
            <w:vAlign w:val="center"/>
          </w:tcPr>
          <w:p w14:paraId="634D96D2">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125" w:type="dxa"/>
            <w:tcBorders>
              <w:top w:val="nil"/>
              <w:left w:val="nil"/>
              <w:bottom w:val="nil"/>
              <w:right w:val="single" w:color="auto" w:sz="4" w:space="0"/>
            </w:tcBorders>
            <w:shd w:val="clear" w:color="auto" w:fill="auto"/>
            <w:vAlign w:val="center"/>
          </w:tcPr>
          <w:p w14:paraId="6C77C756">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X≥300</w:t>
            </w:r>
          </w:p>
        </w:tc>
        <w:tc>
          <w:tcPr>
            <w:tcW w:w="1701" w:type="dxa"/>
            <w:tcBorders>
              <w:top w:val="nil"/>
              <w:left w:val="nil"/>
              <w:bottom w:val="nil"/>
              <w:right w:val="single" w:color="auto" w:sz="4" w:space="0"/>
            </w:tcBorders>
            <w:shd w:val="clear" w:color="auto" w:fill="auto"/>
            <w:vAlign w:val="center"/>
          </w:tcPr>
          <w:p w14:paraId="6E777AD8">
            <w:pPr>
              <w:widowControl/>
              <w:ind w:left="1" w:leftChars="-51" w:hanging="108" w:hangingChars="6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100≤X＜300 </w:t>
            </w:r>
          </w:p>
        </w:tc>
        <w:tc>
          <w:tcPr>
            <w:tcW w:w="1426" w:type="dxa"/>
            <w:tcBorders>
              <w:top w:val="nil"/>
              <w:left w:val="nil"/>
              <w:bottom w:val="nil"/>
              <w:right w:val="single" w:color="auto" w:sz="4" w:space="0"/>
            </w:tcBorders>
            <w:shd w:val="clear" w:color="auto" w:fill="auto"/>
            <w:vAlign w:val="center"/>
          </w:tcPr>
          <w:p w14:paraId="7C6CB0CA">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 10≤X＜100</w:t>
            </w:r>
          </w:p>
        </w:tc>
        <w:tc>
          <w:tcPr>
            <w:tcW w:w="992" w:type="dxa"/>
            <w:tcBorders>
              <w:top w:val="nil"/>
              <w:left w:val="nil"/>
              <w:bottom w:val="nil"/>
              <w:right w:val="nil"/>
            </w:tcBorders>
            <w:shd w:val="clear" w:color="auto" w:fill="auto"/>
            <w:vAlign w:val="center"/>
          </w:tcPr>
          <w:p w14:paraId="5EDF2714">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X＜10</w:t>
            </w:r>
          </w:p>
        </w:tc>
      </w:tr>
      <w:tr w14:paraId="066623C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34A0B1C">
            <w:pPr>
              <w:widowControl/>
              <w:jc w:val="left"/>
              <w:rPr>
                <w:rFonts w:ascii="宋体" w:hAnsi="宋体" w:cs="宋体"/>
                <w:color w:val="000000"/>
                <w:kern w:val="0"/>
                <w:sz w:val="18"/>
                <w:szCs w:val="18"/>
                <w:highlight w:val="none"/>
              </w:rPr>
            </w:pPr>
          </w:p>
        </w:tc>
        <w:tc>
          <w:tcPr>
            <w:tcW w:w="1369" w:type="dxa"/>
            <w:tcBorders>
              <w:top w:val="nil"/>
              <w:left w:val="nil"/>
              <w:bottom w:val="single" w:color="auto" w:sz="4" w:space="0"/>
              <w:right w:val="single" w:color="auto" w:sz="4" w:space="0"/>
            </w:tcBorders>
            <w:shd w:val="clear" w:color="auto" w:fill="auto"/>
            <w:vAlign w:val="center"/>
          </w:tcPr>
          <w:p w14:paraId="6F4FC240">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营业收入(Y)</w:t>
            </w:r>
          </w:p>
        </w:tc>
        <w:tc>
          <w:tcPr>
            <w:tcW w:w="709" w:type="dxa"/>
            <w:tcBorders>
              <w:top w:val="nil"/>
              <w:left w:val="nil"/>
              <w:bottom w:val="single" w:color="auto" w:sz="4" w:space="0"/>
              <w:right w:val="single" w:color="auto" w:sz="4" w:space="0"/>
            </w:tcBorders>
            <w:shd w:val="clear" w:color="auto" w:fill="auto"/>
            <w:vAlign w:val="center"/>
          </w:tcPr>
          <w:p w14:paraId="63C1B195">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tcBorders>
              <w:top w:val="nil"/>
              <w:left w:val="nil"/>
              <w:bottom w:val="single" w:color="auto" w:sz="4" w:space="0"/>
              <w:right w:val="single" w:color="auto" w:sz="4" w:space="0"/>
            </w:tcBorders>
            <w:shd w:val="clear" w:color="auto" w:fill="auto"/>
            <w:vAlign w:val="center"/>
          </w:tcPr>
          <w:p w14:paraId="6760BBA6">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Y≥10000</w:t>
            </w:r>
          </w:p>
        </w:tc>
        <w:tc>
          <w:tcPr>
            <w:tcW w:w="1701" w:type="dxa"/>
            <w:tcBorders>
              <w:top w:val="nil"/>
              <w:left w:val="nil"/>
              <w:bottom w:val="single" w:color="auto" w:sz="4" w:space="0"/>
              <w:right w:val="single" w:color="auto" w:sz="4" w:space="0"/>
            </w:tcBorders>
            <w:shd w:val="clear" w:color="auto" w:fill="auto"/>
            <w:vAlign w:val="center"/>
          </w:tcPr>
          <w:p w14:paraId="1EB54ABA">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2000≤Y＜10000</w:t>
            </w:r>
          </w:p>
        </w:tc>
        <w:tc>
          <w:tcPr>
            <w:tcW w:w="1426" w:type="dxa"/>
            <w:tcBorders>
              <w:top w:val="nil"/>
              <w:left w:val="nil"/>
              <w:bottom w:val="single" w:color="auto" w:sz="4" w:space="0"/>
              <w:right w:val="single" w:color="auto" w:sz="4" w:space="0"/>
            </w:tcBorders>
            <w:shd w:val="clear" w:color="auto" w:fill="auto"/>
            <w:vAlign w:val="center"/>
          </w:tcPr>
          <w:p w14:paraId="667F43E7">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 100≤Y＜2000</w:t>
            </w:r>
          </w:p>
        </w:tc>
        <w:tc>
          <w:tcPr>
            <w:tcW w:w="992" w:type="dxa"/>
            <w:tcBorders>
              <w:top w:val="nil"/>
              <w:left w:val="nil"/>
              <w:bottom w:val="single" w:color="auto" w:sz="4" w:space="0"/>
              <w:right w:val="nil"/>
            </w:tcBorders>
            <w:shd w:val="clear" w:color="auto" w:fill="auto"/>
            <w:vAlign w:val="center"/>
          </w:tcPr>
          <w:p w14:paraId="2FA8D0F3">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Y＜100</w:t>
            </w:r>
          </w:p>
        </w:tc>
      </w:tr>
      <w:tr w14:paraId="29E29EFE">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CA83F16">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餐饮业</w:t>
            </w:r>
          </w:p>
        </w:tc>
        <w:tc>
          <w:tcPr>
            <w:tcW w:w="1369" w:type="dxa"/>
            <w:tcBorders>
              <w:top w:val="nil"/>
              <w:left w:val="nil"/>
              <w:bottom w:val="nil"/>
              <w:right w:val="single" w:color="auto" w:sz="4" w:space="0"/>
            </w:tcBorders>
            <w:shd w:val="clear" w:color="auto" w:fill="auto"/>
            <w:vAlign w:val="center"/>
          </w:tcPr>
          <w:p w14:paraId="65AEB0A9">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从业人员(X)</w:t>
            </w:r>
          </w:p>
        </w:tc>
        <w:tc>
          <w:tcPr>
            <w:tcW w:w="709" w:type="dxa"/>
            <w:tcBorders>
              <w:top w:val="nil"/>
              <w:left w:val="nil"/>
              <w:bottom w:val="nil"/>
              <w:right w:val="single" w:color="auto" w:sz="4" w:space="0"/>
            </w:tcBorders>
            <w:shd w:val="clear" w:color="auto" w:fill="auto"/>
            <w:vAlign w:val="center"/>
          </w:tcPr>
          <w:p w14:paraId="133E98AD">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125" w:type="dxa"/>
            <w:tcBorders>
              <w:top w:val="nil"/>
              <w:left w:val="nil"/>
              <w:bottom w:val="nil"/>
              <w:right w:val="single" w:color="auto" w:sz="4" w:space="0"/>
            </w:tcBorders>
            <w:shd w:val="clear" w:color="auto" w:fill="auto"/>
            <w:vAlign w:val="center"/>
          </w:tcPr>
          <w:p w14:paraId="56C714B7">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X≥300</w:t>
            </w:r>
          </w:p>
        </w:tc>
        <w:tc>
          <w:tcPr>
            <w:tcW w:w="1701" w:type="dxa"/>
            <w:tcBorders>
              <w:top w:val="nil"/>
              <w:left w:val="nil"/>
              <w:bottom w:val="nil"/>
              <w:right w:val="single" w:color="auto" w:sz="4" w:space="0"/>
            </w:tcBorders>
            <w:shd w:val="clear" w:color="auto" w:fill="auto"/>
            <w:vAlign w:val="center"/>
          </w:tcPr>
          <w:p w14:paraId="09C4362D">
            <w:pPr>
              <w:widowControl/>
              <w:ind w:left="1" w:leftChars="-51" w:hanging="108" w:hangingChars="6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100≤X＜300 </w:t>
            </w:r>
          </w:p>
        </w:tc>
        <w:tc>
          <w:tcPr>
            <w:tcW w:w="1426" w:type="dxa"/>
            <w:tcBorders>
              <w:top w:val="nil"/>
              <w:left w:val="nil"/>
              <w:bottom w:val="nil"/>
              <w:right w:val="single" w:color="auto" w:sz="4" w:space="0"/>
            </w:tcBorders>
            <w:shd w:val="clear" w:color="auto" w:fill="auto"/>
            <w:vAlign w:val="center"/>
          </w:tcPr>
          <w:p w14:paraId="430098E2">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 10≤X＜100</w:t>
            </w:r>
          </w:p>
        </w:tc>
        <w:tc>
          <w:tcPr>
            <w:tcW w:w="992" w:type="dxa"/>
            <w:tcBorders>
              <w:top w:val="nil"/>
              <w:left w:val="nil"/>
              <w:bottom w:val="nil"/>
              <w:right w:val="nil"/>
            </w:tcBorders>
            <w:shd w:val="clear" w:color="auto" w:fill="auto"/>
            <w:vAlign w:val="center"/>
          </w:tcPr>
          <w:p w14:paraId="0464629C">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X＜10</w:t>
            </w:r>
          </w:p>
        </w:tc>
      </w:tr>
      <w:tr w14:paraId="446A973A">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BAF2766">
            <w:pPr>
              <w:widowControl/>
              <w:jc w:val="left"/>
              <w:rPr>
                <w:rFonts w:ascii="宋体" w:hAnsi="宋体" w:cs="宋体"/>
                <w:color w:val="000000"/>
                <w:kern w:val="0"/>
                <w:sz w:val="18"/>
                <w:szCs w:val="18"/>
                <w:highlight w:val="none"/>
              </w:rPr>
            </w:pPr>
          </w:p>
        </w:tc>
        <w:tc>
          <w:tcPr>
            <w:tcW w:w="1369" w:type="dxa"/>
            <w:tcBorders>
              <w:top w:val="nil"/>
              <w:left w:val="nil"/>
              <w:bottom w:val="single" w:color="auto" w:sz="4" w:space="0"/>
              <w:right w:val="single" w:color="auto" w:sz="4" w:space="0"/>
            </w:tcBorders>
            <w:shd w:val="clear" w:color="auto" w:fill="auto"/>
            <w:vAlign w:val="center"/>
          </w:tcPr>
          <w:p w14:paraId="5E18A8AE">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营业收入(Y)</w:t>
            </w:r>
          </w:p>
        </w:tc>
        <w:tc>
          <w:tcPr>
            <w:tcW w:w="709" w:type="dxa"/>
            <w:tcBorders>
              <w:top w:val="nil"/>
              <w:left w:val="nil"/>
              <w:bottom w:val="single" w:color="auto" w:sz="4" w:space="0"/>
              <w:right w:val="single" w:color="auto" w:sz="4" w:space="0"/>
            </w:tcBorders>
            <w:shd w:val="clear" w:color="auto" w:fill="auto"/>
            <w:vAlign w:val="center"/>
          </w:tcPr>
          <w:p w14:paraId="5C63C6BD">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tcBorders>
              <w:top w:val="nil"/>
              <w:left w:val="nil"/>
              <w:bottom w:val="single" w:color="auto" w:sz="4" w:space="0"/>
              <w:right w:val="single" w:color="auto" w:sz="4" w:space="0"/>
            </w:tcBorders>
            <w:shd w:val="clear" w:color="auto" w:fill="auto"/>
            <w:vAlign w:val="center"/>
          </w:tcPr>
          <w:p w14:paraId="581B19AE">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Y≥10000</w:t>
            </w:r>
          </w:p>
        </w:tc>
        <w:tc>
          <w:tcPr>
            <w:tcW w:w="1701" w:type="dxa"/>
            <w:tcBorders>
              <w:top w:val="nil"/>
              <w:left w:val="nil"/>
              <w:bottom w:val="single" w:color="auto" w:sz="4" w:space="0"/>
              <w:right w:val="single" w:color="auto" w:sz="4" w:space="0"/>
            </w:tcBorders>
            <w:shd w:val="clear" w:color="auto" w:fill="auto"/>
            <w:vAlign w:val="center"/>
          </w:tcPr>
          <w:p w14:paraId="3954275F">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2000≤Y＜10000</w:t>
            </w:r>
          </w:p>
        </w:tc>
        <w:tc>
          <w:tcPr>
            <w:tcW w:w="1426" w:type="dxa"/>
            <w:tcBorders>
              <w:top w:val="nil"/>
              <w:left w:val="nil"/>
              <w:bottom w:val="single" w:color="auto" w:sz="4" w:space="0"/>
              <w:right w:val="single" w:color="auto" w:sz="4" w:space="0"/>
            </w:tcBorders>
            <w:shd w:val="clear" w:color="auto" w:fill="auto"/>
            <w:vAlign w:val="center"/>
          </w:tcPr>
          <w:p w14:paraId="16EFFD61">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 100≤Y＜2000</w:t>
            </w:r>
          </w:p>
        </w:tc>
        <w:tc>
          <w:tcPr>
            <w:tcW w:w="992" w:type="dxa"/>
            <w:tcBorders>
              <w:top w:val="nil"/>
              <w:left w:val="nil"/>
              <w:bottom w:val="single" w:color="auto" w:sz="4" w:space="0"/>
              <w:right w:val="nil"/>
            </w:tcBorders>
            <w:shd w:val="clear" w:color="auto" w:fill="auto"/>
            <w:vAlign w:val="center"/>
          </w:tcPr>
          <w:p w14:paraId="2596DA2A">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Y＜100</w:t>
            </w:r>
          </w:p>
        </w:tc>
      </w:tr>
      <w:tr w14:paraId="3AFCED5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A30EF38">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信息传输业 *</w:t>
            </w:r>
          </w:p>
        </w:tc>
        <w:tc>
          <w:tcPr>
            <w:tcW w:w="1369" w:type="dxa"/>
            <w:tcBorders>
              <w:top w:val="nil"/>
              <w:left w:val="nil"/>
              <w:bottom w:val="nil"/>
              <w:right w:val="single" w:color="auto" w:sz="4" w:space="0"/>
            </w:tcBorders>
            <w:shd w:val="clear" w:color="auto" w:fill="auto"/>
            <w:vAlign w:val="center"/>
          </w:tcPr>
          <w:p w14:paraId="7FCA8745">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从业人员(X)</w:t>
            </w:r>
          </w:p>
        </w:tc>
        <w:tc>
          <w:tcPr>
            <w:tcW w:w="709" w:type="dxa"/>
            <w:tcBorders>
              <w:top w:val="nil"/>
              <w:left w:val="nil"/>
              <w:bottom w:val="nil"/>
              <w:right w:val="single" w:color="auto" w:sz="4" w:space="0"/>
            </w:tcBorders>
            <w:shd w:val="clear" w:color="auto" w:fill="auto"/>
            <w:vAlign w:val="center"/>
          </w:tcPr>
          <w:p w14:paraId="6048C2A1">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125" w:type="dxa"/>
            <w:tcBorders>
              <w:top w:val="nil"/>
              <w:left w:val="nil"/>
              <w:bottom w:val="nil"/>
              <w:right w:val="single" w:color="auto" w:sz="4" w:space="0"/>
            </w:tcBorders>
            <w:shd w:val="clear" w:color="auto" w:fill="auto"/>
            <w:vAlign w:val="center"/>
          </w:tcPr>
          <w:p w14:paraId="6475FE05">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X≥2000</w:t>
            </w:r>
          </w:p>
        </w:tc>
        <w:tc>
          <w:tcPr>
            <w:tcW w:w="1701" w:type="dxa"/>
            <w:tcBorders>
              <w:top w:val="nil"/>
              <w:left w:val="nil"/>
              <w:bottom w:val="nil"/>
              <w:right w:val="single" w:color="auto" w:sz="4" w:space="0"/>
            </w:tcBorders>
            <w:shd w:val="clear" w:color="auto" w:fill="auto"/>
            <w:vAlign w:val="center"/>
          </w:tcPr>
          <w:p w14:paraId="0A530F0A">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100≤X＜2000</w:t>
            </w:r>
          </w:p>
        </w:tc>
        <w:tc>
          <w:tcPr>
            <w:tcW w:w="1426" w:type="dxa"/>
            <w:tcBorders>
              <w:top w:val="nil"/>
              <w:left w:val="nil"/>
              <w:bottom w:val="nil"/>
              <w:right w:val="single" w:color="auto" w:sz="4" w:space="0"/>
            </w:tcBorders>
            <w:shd w:val="clear" w:color="auto" w:fill="auto"/>
            <w:vAlign w:val="center"/>
          </w:tcPr>
          <w:p w14:paraId="29BF685B">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 10≤X＜100</w:t>
            </w:r>
          </w:p>
        </w:tc>
        <w:tc>
          <w:tcPr>
            <w:tcW w:w="992" w:type="dxa"/>
            <w:tcBorders>
              <w:top w:val="nil"/>
              <w:left w:val="nil"/>
              <w:bottom w:val="nil"/>
              <w:right w:val="nil"/>
            </w:tcBorders>
            <w:shd w:val="clear" w:color="auto" w:fill="auto"/>
            <w:vAlign w:val="center"/>
          </w:tcPr>
          <w:p w14:paraId="12B3D59C">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X＜10</w:t>
            </w:r>
          </w:p>
        </w:tc>
      </w:tr>
      <w:tr w14:paraId="5ADACFA4">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96EF162">
            <w:pPr>
              <w:widowControl/>
              <w:jc w:val="left"/>
              <w:rPr>
                <w:rFonts w:ascii="宋体" w:hAnsi="宋体" w:cs="宋体"/>
                <w:color w:val="000000"/>
                <w:kern w:val="0"/>
                <w:sz w:val="18"/>
                <w:szCs w:val="18"/>
                <w:highlight w:val="none"/>
              </w:rPr>
            </w:pPr>
          </w:p>
        </w:tc>
        <w:tc>
          <w:tcPr>
            <w:tcW w:w="1369" w:type="dxa"/>
            <w:tcBorders>
              <w:top w:val="nil"/>
              <w:left w:val="nil"/>
              <w:bottom w:val="single" w:color="auto" w:sz="4" w:space="0"/>
              <w:right w:val="single" w:color="auto" w:sz="4" w:space="0"/>
            </w:tcBorders>
            <w:shd w:val="clear" w:color="auto" w:fill="auto"/>
            <w:vAlign w:val="center"/>
          </w:tcPr>
          <w:p w14:paraId="2F4A7363">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营业收入(Y)</w:t>
            </w:r>
          </w:p>
        </w:tc>
        <w:tc>
          <w:tcPr>
            <w:tcW w:w="709" w:type="dxa"/>
            <w:tcBorders>
              <w:top w:val="nil"/>
              <w:left w:val="nil"/>
              <w:bottom w:val="single" w:color="auto" w:sz="4" w:space="0"/>
              <w:right w:val="single" w:color="auto" w:sz="4" w:space="0"/>
            </w:tcBorders>
            <w:shd w:val="clear" w:color="auto" w:fill="auto"/>
            <w:vAlign w:val="center"/>
          </w:tcPr>
          <w:p w14:paraId="5FE878B6">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tcBorders>
              <w:top w:val="nil"/>
              <w:left w:val="nil"/>
              <w:bottom w:val="single" w:color="auto" w:sz="4" w:space="0"/>
              <w:right w:val="single" w:color="auto" w:sz="4" w:space="0"/>
            </w:tcBorders>
            <w:shd w:val="clear" w:color="auto" w:fill="auto"/>
            <w:vAlign w:val="center"/>
          </w:tcPr>
          <w:p w14:paraId="1213C5B1">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Y≥100000</w:t>
            </w:r>
          </w:p>
        </w:tc>
        <w:tc>
          <w:tcPr>
            <w:tcW w:w="1701" w:type="dxa"/>
            <w:tcBorders>
              <w:top w:val="nil"/>
              <w:left w:val="nil"/>
              <w:bottom w:val="single" w:color="auto" w:sz="4" w:space="0"/>
              <w:right w:val="single" w:color="auto" w:sz="4" w:space="0"/>
            </w:tcBorders>
            <w:shd w:val="clear" w:color="auto" w:fill="auto"/>
            <w:vAlign w:val="center"/>
          </w:tcPr>
          <w:p w14:paraId="6D72B4F3">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58D62B37">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 100≤Y＜1000</w:t>
            </w:r>
          </w:p>
        </w:tc>
        <w:tc>
          <w:tcPr>
            <w:tcW w:w="992" w:type="dxa"/>
            <w:tcBorders>
              <w:top w:val="nil"/>
              <w:left w:val="nil"/>
              <w:bottom w:val="single" w:color="auto" w:sz="4" w:space="0"/>
              <w:right w:val="nil"/>
            </w:tcBorders>
            <w:shd w:val="clear" w:color="auto" w:fill="auto"/>
            <w:vAlign w:val="center"/>
          </w:tcPr>
          <w:p w14:paraId="48B963C6">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Y＜100</w:t>
            </w:r>
          </w:p>
        </w:tc>
      </w:tr>
      <w:tr w14:paraId="0DB96947">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75EA7D1F">
            <w:pPr>
              <w:widowControl/>
              <w:spacing w:line="240" w:lineRule="exact"/>
              <w:jc w:val="left"/>
              <w:rPr>
                <w:rFonts w:ascii="宋体" w:hAnsi="宋体" w:cs="宋体"/>
                <w:color w:val="000000"/>
                <w:spacing w:val="-12"/>
                <w:kern w:val="0"/>
                <w:sz w:val="18"/>
                <w:szCs w:val="18"/>
                <w:highlight w:val="none"/>
              </w:rPr>
            </w:pPr>
            <w:r>
              <w:rPr>
                <w:rFonts w:hint="eastAsia" w:ascii="宋体" w:hAnsi="宋体" w:cs="宋体"/>
                <w:color w:val="000000"/>
                <w:spacing w:val="-12"/>
                <w:kern w:val="0"/>
                <w:sz w:val="18"/>
                <w:szCs w:val="18"/>
                <w:highlight w:val="none"/>
              </w:rPr>
              <w:t>软件和信息技术服</w:t>
            </w:r>
            <w:r>
              <w:rPr>
                <w:rFonts w:hint="eastAsia" w:ascii="宋体" w:hAnsi="宋体" w:cs="宋体"/>
                <w:color w:val="000000"/>
                <w:kern w:val="0"/>
                <w:sz w:val="18"/>
                <w:szCs w:val="18"/>
                <w:highlight w:val="none"/>
              </w:rPr>
              <w:t>务业</w:t>
            </w:r>
          </w:p>
        </w:tc>
        <w:tc>
          <w:tcPr>
            <w:tcW w:w="1369" w:type="dxa"/>
            <w:tcBorders>
              <w:top w:val="nil"/>
              <w:left w:val="nil"/>
              <w:bottom w:val="nil"/>
              <w:right w:val="single" w:color="auto" w:sz="4" w:space="0"/>
            </w:tcBorders>
            <w:shd w:val="clear" w:color="auto" w:fill="auto"/>
            <w:vAlign w:val="center"/>
          </w:tcPr>
          <w:p w14:paraId="20A14042">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从业人员(X)</w:t>
            </w:r>
          </w:p>
        </w:tc>
        <w:tc>
          <w:tcPr>
            <w:tcW w:w="709" w:type="dxa"/>
            <w:tcBorders>
              <w:top w:val="nil"/>
              <w:left w:val="nil"/>
              <w:bottom w:val="nil"/>
              <w:right w:val="single" w:color="auto" w:sz="4" w:space="0"/>
            </w:tcBorders>
            <w:shd w:val="clear" w:color="auto" w:fill="auto"/>
            <w:vAlign w:val="center"/>
          </w:tcPr>
          <w:p w14:paraId="33C2F7FE">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125" w:type="dxa"/>
            <w:tcBorders>
              <w:top w:val="nil"/>
              <w:left w:val="nil"/>
              <w:bottom w:val="nil"/>
              <w:right w:val="single" w:color="auto" w:sz="4" w:space="0"/>
            </w:tcBorders>
            <w:shd w:val="clear" w:color="auto" w:fill="auto"/>
            <w:vAlign w:val="center"/>
          </w:tcPr>
          <w:p w14:paraId="31E1F87A">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X≥300</w:t>
            </w:r>
          </w:p>
        </w:tc>
        <w:tc>
          <w:tcPr>
            <w:tcW w:w="1701" w:type="dxa"/>
            <w:tcBorders>
              <w:top w:val="nil"/>
              <w:left w:val="nil"/>
              <w:bottom w:val="nil"/>
              <w:right w:val="single" w:color="auto" w:sz="4" w:space="0"/>
            </w:tcBorders>
            <w:shd w:val="clear" w:color="auto" w:fill="auto"/>
            <w:vAlign w:val="center"/>
          </w:tcPr>
          <w:p w14:paraId="08DEE347">
            <w:pPr>
              <w:widowControl/>
              <w:ind w:left="1" w:leftChars="-51" w:hanging="108" w:hangingChars="6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100≤X＜300 </w:t>
            </w:r>
          </w:p>
        </w:tc>
        <w:tc>
          <w:tcPr>
            <w:tcW w:w="1426" w:type="dxa"/>
            <w:tcBorders>
              <w:top w:val="nil"/>
              <w:left w:val="nil"/>
              <w:bottom w:val="nil"/>
              <w:right w:val="single" w:color="auto" w:sz="4" w:space="0"/>
            </w:tcBorders>
            <w:shd w:val="clear" w:color="auto" w:fill="auto"/>
            <w:vAlign w:val="center"/>
          </w:tcPr>
          <w:p w14:paraId="2777961A">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 10≤X＜100</w:t>
            </w:r>
          </w:p>
        </w:tc>
        <w:tc>
          <w:tcPr>
            <w:tcW w:w="992" w:type="dxa"/>
            <w:tcBorders>
              <w:top w:val="nil"/>
              <w:left w:val="nil"/>
              <w:bottom w:val="nil"/>
              <w:right w:val="nil"/>
            </w:tcBorders>
            <w:shd w:val="clear" w:color="auto" w:fill="auto"/>
            <w:vAlign w:val="center"/>
          </w:tcPr>
          <w:p w14:paraId="2635AB96">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X＜10</w:t>
            </w:r>
          </w:p>
        </w:tc>
      </w:tr>
      <w:tr w14:paraId="3D72CE0B">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7E1DEE85">
            <w:pPr>
              <w:widowControl/>
              <w:jc w:val="left"/>
              <w:rPr>
                <w:rFonts w:ascii="宋体" w:hAnsi="宋体" w:cs="宋体"/>
                <w:color w:val="000000"/>
                <w:spacing w:val="-12"/>
                <w:kern w:val="0"/>
                <w:sz w:val="18"/>
                <w:szCs w:val="18"/>
                <w:highlight w:val="none"/>
              </w:rPr>
            </w:pPr>
          </w:p>
        </w:tc>
        <w:tc>
          <w:tcPr>
            <w:tcW w:w="1369" w:type="dxa"/>
            <w:tcBorders>
              <w:top w:val="nil"/>
              <w:left w:val="nil"/>
              <w:bottom w:val="single" w:color="auto" w:sz="4" w:space="0"/>
              <w:right w:val="single" w:color="auto" w:sz="4" w:space="0"/>
            </w:tcBorders>
            <w:shd w:val="clear" w:color="auto" w:fill="auto"/>
            <w:vAlign w:val="center"/>
          </w:tcPr>
          <w:p w14:paraId="0F697C06">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营业收入(Y)</w:t>
            </w:r>
          </w:p>
        </w:tc>
        <w:tc>
          <w:tcPr>
            <w:tcW w:w="709" w:type="dxa"/>
            <w:tcBorders>
              <w:top w:val="nil"/>
              <w:left w:val="nil"/>
              <w:bottom w:val="single" w:color="auto" w:sz="4" w:space="0"/>
              <w:right w:val="single" w:color="auto" w:sz="4" w:space="0"/>
            </w:tcBorders>
            <w:shd w:val="clear" w:color="auto" w:fill="auto"/>
            <w:vAlign w:val="center"/>
          </w:tcPr>
          <w:p w14:paraId="54BC9F85">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tcBorders>
              <w:top w:val="nil"/>
              <w:left w:val="nil"/>
              <w:bottom w:val="single" w:color="auto" w:sz="4" w:space="0"/>
              <w:right w:val="single" w:color="auto" w:sz="4" w:space="0"/>
            </w:tcBorders>
            <w:shd w:val="clear" w:color="auto" w:fill="auto"/>
            <w:vAlign w:val="center"/>
          </w:tcPr>
          <w:p w14:paraId="3AD4EB1A">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Y≥10000</w:t>
            </w:r>
          </w:p>
        </w:tc>
        <w:tc>
          <w:tcPr>
            <w:tcW w:w="1701" w:type="dxa"/>
            <w:tcBorders>
              <w:top w:val="nil"/>
              <w:left w:val="nil"/>
              <w:bottom w:val="single" w:color="auto" w:sz="4" w:space="0"/>
              <w:right w:val="single" w:color="auto" w:sz="4" w:space="0"/>
            </w:tcBorders>
            <w:shd w:val="clear" w:color="auto" w:fill="auto"/>
            <w:vAlign w:val="center"/>
          </w:tcPr>
          <w:p w14:paraId="2771E460">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1000≤Y＜10000</w:t>
            </w:r>
          </w:p>
        </w:tc>
        <w:tc>
          <w:tcPr>
            <w:tcW w:w="1426" w:type="dxa"/>
            <w:tcBorders>
              <w:top w:val="nil"/>
              <w:left w:val="nil"/>
              <w:bottom w:val="single" w:color="auto" w:sz="4" w:space="0"/>
              <w:right w:val="single" w:color="auto" w:sz="4" w:space="0"/>
            </w:tcBorders>
            <w:shd w:val="clear" w:color="auto" w:fill="auto"/>
            <w:vAlign w:val="center"/>
          </w:tcPr>
          <w:p w14:paraId="6D1C73A8">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  50≤Y＜1000</w:t>
            </w:r>
          </w:p>
        </w:tc>
        <w:tc>
          <w:tcPr>
            <w:tcW w:w="992" w:type="dxa"/>
            <w:tcBorders>
              <w:top w:val="nil"/>
              <w:left w:val="nil"/>
              <w:bottom w:val="single" w:color="auto" w:sz="4" w:space="0"/>
              <w:right w:val="nil"/>
            </w:tcBorders>
            <w:shd w:val="clear" w:color="auto" w:fill="auto"/>
            <w:vAlign w:val="center"/>
          </w:tcPr>
          <w:p w14:paraId="26E91A3F">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Y＜50</w:t>
            </w:r>
          </w:p>
        </w:tc>
      </w:tr>
      <w:tr w14:paraId="3A4E3CFF">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475AE66">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房地产开发经营</w:t>
            </w:r>
          </w:p>
        </w:tc>
        <w:tc>
          <w:tcPr>
            <w:tcW w:w="1369" w:type="dxa"/>
            <w:tcBorders>
              <w:top w:val="nil"/>
              <w:left w:val="nil"/>
              <w:bottom w:val="nil"/>
              <w:right w:val="single" w:color="auto" w:sz="4" w:space="0"/>
            </w:tcBorders>
            <w:shd w:val="clear" w:color="auto" w:fill="auto"/>
            <w:vAlign w:val="center"/>
          </w:tcPr>
          <w:p w14:paraId="14F00899">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营业收入(Y)</w:t>
            </w:r>
          </w:p>
        </w:tc>
        <w:tc>
          <w:tcPr>
            <w:tcW w:w="709" w:type="dxa"/>
            <w:tcBorders>
              <w:top w:val="nil"/>
              <w:left w:val="nil"/>
              <w:bottom w:val="nil"/>
              <w:right w:val="single" w:color="auto" w:sz="4" w:space="0"/>
            </w:tcBorders>
            <w:shd w:val="clear" w:color="auto" w:fill="auto"/>
            <w:vAlign w:val="center"/>
          </w:tcPr>
          <w:p w14:paraId="43E971BF">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tcBorders>
              <w:top w:val="nil"/>
              <w:left w:val="nil"/>
              <w:bottom w:val="nil"/>
              <w:right w:val="single" w:color="auto" w:sz="4" w:space="0"/>
            </w:tcBorders>
            <w:shd w:val="clear" w:color="auto" w:fill="auto"/>
            <w:vAlign w:val="center"/>
          </w:tcPr>
          <w:p w14:paraId="0F56DF6C">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Y≥200000</w:t>
            </w:r>
          </w:p>
        </w:tc>
        <w:tc>
          <w:tcPr>
            <w:tcW w:w="1701" w:type="dxa"/>
            <w:tcBorders>
              <w:top w:val="nil"/>
              <w:left w:val="nil"/>
              <w:bottom w:val="nil"/>
              <w:right w:val="single" w:color="auto" w:sz="4" w:space="0"/>
            </w:tcBorders>
            <w:shd w:val="clear" w:color="auto" w:fill="auto"/>
            <w:vAlign w:val="center"/>
          </w:tcPr>
          <w:p w14:paraId="180F8CAA">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 1000≤Y＜200000</w:t>
            </w:r>
          </w:p>
        </w:tc>
        <w:tc>
          <w:tcPr>
            <w:tcW w:w="1426" w:type="dxa"/>
            <w:tcBorders>
              <w:top w:val="nil"/>
              <w:left w:val="nil"/>
              <w:bottom w:val="nil"/>
              <w:right w:val="single" w:color="auto" w:sz="4" w:space="0"/>
            </w:tcBorders>
            <w:shd w:val="clear" w:color="auto" w:fill="auto"/>
            <w:vAlign w:val="center"/>
          </w:tcPr>
          <w:p w14:paraId="05CC7D8C">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 100≤Y＜1000</w:t>
            </w:r>
          </w:p>
        </w:tc>
        <w:tc>
          <w:tcPr>
            <w:tcW w:w="992" w:type="dxa"/>
            <w:tcBorders>
              <w:top w:val="nil"/>
              <w:left w:val="nil"/>
              <w:bottom w:val="nil"/>
              <w:right w:val="nil"/>
            </w:tcBorders>
            <w:shd w:val="clear" w:color="auto" w:fill="auto"/>
            <w:vAlign w:val="center"/>
          </w:tcPr>
          <w:p w14:paraId="51F3CC45">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Y＜100</w:t>
            </w:r>
          </w:p>
        </w:tc>
      </w:tr>
      <w:tr w14:paraId="54ABE7F5">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58CDA65F">
            <w:pPr>
              <w:widowControl/>
              <w:jc w:val="left"/>
              <w:rPr>
                <w:rFonts w:ascii="宋体" w:hAnsi="宋体" w:cs="宋体"/>
                <w:color w:val="000000"/>
                <w:kern w:val="0"/>
                <w:sz w:val="18"/>
                <w:szCs w:val="18"/>
                <w:highlight w:val="none"/>
              </w:rPr>
            </w:pPr>
          </w:p>
        </w:tc>
        <w:tc>
          <w:tcPr>
            <w:tcW w:w="1369" w:type="dxa"/>
            <w:tcBorders>
              <w:top w:val="nil"/>
              <w:left w:val="nil"/>
              <w:bottom w:val="single" w:color="auto" w:sz="4" w:space="0"/>
              <w:right w:val="single" w:color="auto" w:sz="4" w:space="0"/>
            </w:tcBorders>
            <w:shd w:val="clear" w:color="auto" w:fill="auto"/>
            <w:vAlign w:val="center"/>
          </w:tcPr>
          <w:p w14:paraId="3D1C922D">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资产总额(Z)</w:t>
            </w:r>
          </w:p>
        </w:tc>
        <w:tc>
          <w:tcPr>
            <w:tcW w:w="709" w:type="dxa"/>
            <w:tcBorders>
              <w:top w:val="nil"/>
              <w:left w:val="nil"/>
              <w:bottom w:val="single" w:color="auto" w:sz="4" w:space="0"/>
              <w:right w:val="single" w:color="auto" w:sz="4" w:space="0"/>
            </w:tcBorders>
            <w:shd w:val="clear" w:color="auto" w:fill="auto"/>
            <w:vAlign w:val="center"/>
          </w:tcPr>
          <w:p w14:paraId="577B2E25">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tcBorders>
              <w:top w:val="nil"/>
              <w:left w:val="nil"/>
              <w:bottom w:val="single" w:color="auto" w:sz="4" w:space="0"/>
              <w:right w:val="single" w:color="auto" w:sz="4" w:space="0"/>
            </w:tcBorders>
            <w:shd w:val="clear" w:color="auto" w:fill="auto"/>
            <w:vAlign w:val="center"/>
          </w:tcPr>
          <w:p w14:paraId="7BD00E87">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Z≥10000</w:t>
            </w:r>
          </w:p>
        </w:tc>
        <w:tc>
          <w:tcPr>
            <w:tcW w:w="1701" w:type="dxa"/>
            <w:tcBorders>
              <w:top w:val="nil"/>
              <w:left w:val="nil"/>
              <w:bottom w:val="single" w:color="auto" w:sz="4" w:space="0"/>
              <w:right w:val="single" w:color="auto" w:sz="4" w:space="0"/>
            </w:tcBorders>
            <w:shd w:val="clear" w:color="auto" w:fill="auto"/>
            <w:vAlign w:val="center"/>
          </w:tcPr>
          <w:p w14:paraId="0860CF6B">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5000≤Z＜10000</w:t>
            </w:r>
          </w:p>
        </w:tc>
        <w:tc>
          <w:tcPr>
            <w:tcW w:w="1426" w:type="dxa"/>
            <w:tcBorders>
              <w:top w:val="nil"/>
              <w:left w:val="nil"/>
              <w:bottom w:val="single" w:color="auto" w:sz="4" w:space="0"/>
              <w:right w:val="single" w:color="auto" w:sz="4" w:space="0"/>
            </w:tcBorders>
            <w:shd w:val="clear" w:color="auto" w:fill="auto"/>
            <w:vAlign w:val="center"/>
          </w:tcPr>
          <w:p w14:paraId="59981EBA">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2000≤Z＜5000   </w:t>
            </w:r>
          </w:p>
        </w:tc>
        <w:tc>
          <w:tcPr>
            <w:tcW w:w="992" w:type="dxa"/>
            <w:tcBorders>
              <w:top w:val="nil"/>
              <w:left w:val="nil"/>
              <w:bottom w:val="single" w:color="auto" w:sz="4" w:space="0"/>
              <w:right w:val="nil"/>
            </w:tcBorders>
            <w:shd w:val="clear" w:color="auto" w:fill="auto"/>
            <w:vAlign w:val="center"/>
          </w:tcPr>
          <w:p w14:paraId="3ABC517C">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Z＜2000</w:t>
            </w:r>
          </w:p>
        </w:tc>
      </w:tr>
      <w:tr w14:paraId="185258B7">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6839AAB">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物业管理</w:t>
            </w:r>
          </w:p>
        </w:tc>
        <w:tc>
          <w:tcPr>
            <w:tcW w:w="1369" w:type="dxa"/>
            <w:tcBorders>
              <w:top w:val="nil"/>
              <w:left w:val="nil"/>
              <w:bottom w:val="nil"/>
              <w:right w:val="single" w:color="auto" w:sz="4" w:space="0"/>
            </w:tcBorders>
            <w:shd w:val="clear" w:color="auto" w:fill="auto"/>
            <w:vAlign w:val="center"/>
          </w:tcPr>
          <w:p w14:paraId="4B158B7F">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从业人员(X)</w:t>
            </w:r>
          </w:p>
        </w:tc>
        <w:tc>
          <w:tcPr>
            <w:tcW w:w="709" w:type="dxa"/>
            <w:tcBorders>
              <w:top w:val="nil"/>
              <w:left w:val="nil"/>
              <w:bottom w:val="nil"/>
              <w:right w:val="single" w:color="auto" w:sz="4" w:space="0"/>
            </w:tcBorders>
            <w:shd w:val="clear" w:color="auto" w:fill="auto"/>
            <w:vAlign w:val="center"/>
          </w:tcPr>
          <w:p w14:paraId="66C0F8B6">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125" w:type="dxa"/>
            <w:tcBorders>
              <w:top w:val="nil"/>
              <w:left w:val="nil"/>
              <w:bottom w:val="nil"/>
              <w:right w:val="single" w:color="auto" w:sz="4" w:space="0"/>
            </w:tcBorders>
            <w:shd w:val="clear" w:color="auto" w:fill="auto"/>
            <w:vAlign w:val="center"/>
          </w:tcPr>
          <w:p w14:paraId="2EEDB173">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X≥1000</w:t>
            </w:r>
          </w:p>
        </w:tc>
        <w:tc>
          <w:tcPr>
            <w:tcW w:w="1701" w:type="dxa"/>
            <w:tcBorders>
              <w:top w:val="nil"/>
              <w:left w:val="nil"/>
              <w:bottom w:val="nil"/>
              <w:right w:val="single" w:color="auto" w:sz="4" w:space="0"/>
            </w:tcBorders>
            <w:shd w:val="clear" w:color="auto" w:fill="auto"/>
            <w:vAlign w:val="center"/>
          </w:tcPr>
          <w:p w14:paraId="4A6B7657">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300≤X＜1000</w:t>
            </w:r>
          </w:p>
        </w:tc>
        <w:tc>
          <w:tcPr>
            <w:tcW w:w="1426" w:type="dxa"/>
            <w:tcBorders>
              <w:top w:val="nil"/>
              <w:left w:val="nil"/>
              <w:bottom w:val="nil"/>
              <w:right w:val="single" w:color="auto" w:sz="4" w:space="0"/>
            </w:tcBorders>
            <w:shd w:val="clear" w:color="auto" w:fill="auto"/>
            <w:vAlign w:val="center"/>
          </w:tcPr>
          <w:p w14:paraId="5CB7AC25">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100≤X＜300 </w:t>
            </w:r>
          </w:p>
        </w:tc>
        <w:tc>
          <w:tcPr>
            <w:tcW w:w="992" w:type="dxa"/>
            <w:tcBorders>
              <w:top w:val="nil"/>
              <w:left w:val="nil"/>
              <w:bottom w:val="nil"/>
              <w:right w:val="nil"/>
            </w:tcBorders>
            <w:shd w:val="clear" w:color="auto" w:fill="auto"/>
            <w:vAlign w:val="center"/>
          </w:tcPr>
          <w:p w14:paraId="5ECD8C39">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X＜100</w:t>
            </w:r>
          </w:p>
        </w:tc>
      </w:tr>
      <w:tr w14:paraId="5AAE68A9">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2F822B08">
            <w:pPr>
              <w:widowControl/>
              <w:jc w:val="left"/>
              <w:rPr>
                <w:rFonts w:ascii="宋体" w:hAnsi="宋体" w:cs="宋体"/>
                <w:color w:val="000000"/>
                <w:kern w:val="0"/>
                <w:sz w:val="18"/>
                <w:szCs w:val="18"/>
                <w:highlight w:val="none"/>
              </w:rPr>
            </w:pPr>
          </w:p>
        </w:tc>
        <w:tc>
          <w:tcPr>
            <w:tcW w:w="1369" w:type="dxa"/>
            <w:tcBorders>
              <w:top w:val="nil"/>
              <w:left w:val="nil"/>
              <w:bottom w:val="single" w:color="auto" w:sz="4" w:space="0"/>
              <w:right w:val="single" w:color="auto" w:sz="4" w:space="0"/>
            </w:tcBorders>
            <w:shd w:val="clear" w:color="auto" w:fill="auto"/>
            <w:vAlign w:val="center"/>
          </w:tcPr>
          <w:p w14:paraId="00989DCE">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营业收入(Y)</w:t>
            </w:r>
          </w:p>
        </w:tc>
        <w:tc>
          <w:tcPr>
            <w:tcW w:w="709" w:type="dxa"/>
            <w:tcBorders>
              <w:top w:val="nil"/>
              <w:left w:val="nil"/>
              <w:bottom w:val="single" w:color="auto" w:sz="4" w:space="0"/>
              <w:right w:val="single" w:color="auto" w:sz="4" w:space="0"/>
            </w:tcBorders>
            <w:shd w:val="clear" w:color="auto" w:fill="auto"/>
            <w:vAlign w:val="center"/>
          </w:tcPr>
          <w:p w14:paraId="5F8C322F">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tcBorders>
              <w:top w:val="nil"/>
              <w:left w:val="nil"/>
              <w:bottom w:val="single" w:color="auto" w:sz="4" w:space="0"/>
              <w:right w:val="single" w:color="auto" w:sz="4" w:space="0"/>
            </w:tcBorders>
            <w:shd w:val="clear" w:color="auto" w:fill="auto"/>
            <w:vAlign w:val="center"/>
          </w:tcPr>
          <w:p w14:paraId="1B2D2CA6">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Y≥5000</w:t>
            </w:r>
          </w:p>
        </w:tc>
        <w:tc>
          <w:tcPr>
            <w:tcW w:w="1701" w:type="dxa"/>
            <w:tcBorders>
              <w:top w:val="nil"/>
              <w:left w:val="nil"/>
              <w:bottom w:val="single" w:color="auto" w:sz="4" w:space="0"/>
              <w:right w:val="single" w:color="auto" w:sz="4" w:space="0"/>
            </w:tcBorders>
            <w:shd w:val="clear" w:color="auto" w:fill="auto"/>
            <w:vAlign w:val="center"/>
          </w:tcPr>
          <w:p w14:paraId="64C033FF">
            <w:pPr>
              <w:widowControl/>
              <w:ind w:left="1" w:leftChars="-51" w:hanging="108" w:hangingChars="6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544EBE81">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 500≤Y＜1000</w:t>
            </w:r>
          </w:p>
        </w:tc>
        <w:tc>
          <w:tcPr>
            <w:tcW w:w="992" w:type="dxa"/>
            <w:tcBorders>
              <w:top w:val="nil"/>
              <w:left w:val="nil"/>
              <w:bottom w:val="single" w:color="auto" w:sz="4" w:space="0"/>
              <w:right w:val="nil"/>
            </w:tcBorders>
            <w:shd w:val="clear" w:color="auto" w:fill="auto"/>
            <w:vAlign w:val="center"/>
          </w:tcPr>
          <w:p w14:paraId="160472AD">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Y＜500</w:t>
            </w:r>
          </w:p>
        </w:tc>
      </w:tr>
      <w:tr w14:paraId="0BF8D298">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886ABFB">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租赁和商务服务业</w:t>
            </w:r>
          </w:p>
        </w:tc>
        <w:tc>
          <w:tcPr>
            <w:tcW w:w="1369" w:type="dxa"/>
            <w:tcBorders>
              <w:top w:val="nil"/>
              <w:left w:val="nil"/>
              <w:bottom w:val="nil"/>
              <w:right w:val="single" w:color="auto" w:sz="4" w:space="0"/>
            </w:tcBorders>
            <w:shd w:val="clear" w:color="auto" w:fill="auto"/>
            <w:vAlign w:val="center"/>
          </w:tcPr>
          <w:p w14:paraId="0C851780">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从业人员(X)</w:t>
            </w:r>
          </w:p>
        </w:tc>
        <w:tc>
          <w:tcPr>
            <w:tcW w:w="709" w:type="dxa"/>
            <w:tcBorders>
              <w:top w:val="nil"/>
              <w:left w:val="nil"/>
              <w:bottom w:val="nil"/>
              <w:right w:val="single" w:color="auto" w:sz="4" w:space="0"/>
            </w:tcBorders>
            <w:shd w:val="clear" w:color="auto" w:fill="auto"/>
            <w:vAlign w:val="center"/>
          </w:tcPr>
          <w:p w14:paraId="08EC6B9F">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125" w:type="dxa"/>
            <w:tcBorders>
              <w:top w:val="nil"/>
              <w:left w:val="nil"/>
              <w:bottom w:val="nil"/>
              <w:right w:val="single" w:color="auto" w:sz="4" w:space="0"/>
            </w:tcBorders>
            <w:shd w:val="clear" w:color="auto" w:fill="auto"/>
            <w:vAlign w:val="center"/>
          </w:tcPr>
          <w:p w14:paraId="2152B235">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X≥300</w:t>
            </w:r>
          </w:p>
        </w:tc>
        <w:tc>
          <w:tcPr>
            <w:tcW w:w="1701" w:type="dxa"/>
            <w:tcBorders>
              <w:top w:val="nil"/>
              <w:left w:val="nil"/>
              <w:bottom w:val="nil"/>
              <w:right w:val="single" w:color="auto" w:sz="4" w:space="0"/>
            </w:tcBorders>
            <w:shd w:val="clear" w:color="auto" w:fill="auto"/>
            <w:vAlign w:val="center"/>
          </w:tcPr>
          <w:p w14:paraId="1C7E68A2">
            <w:pPr>
              <w:widowControl/>
              <w:ind w:left="1" w:leftChars="-51" w:hanging="108" w:hangingChars="6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100≤X＜300 </w:t>
            </w:r>
          </w:p>
        </w:tc>
        <w:tc>
          <w:tcPr>
            <w:tcW w:w="1426" w:type="dxa"/>
            <w:tcBorders>
              <w:top w:val="nil"/>
              <w:left w:val="nil"/>
              <w:bottom w:val="nil"/>
              <w:right w:val="single" w:color="auto" w:sz="4" w:space="0"/>
            </w:tcBorders>
            <w:shd w:val="clear" w:color="auto" w:fill="auto"/>
            <w:vAlign w:val="center"/>
          </w:tcPr>
          <w:p w14:paraId="3A42CF61">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 10≤X＜100</w:t>
            </w:r>
          </w:p>
        </w:tc>
        <w:tc>
          <w:tcPr>
            <w:tcW w:w="992" w:type="dxa"/>
            <w:tcBorders>
              <w:top w:val="nil"/>
              <w:left w:val="nil"/>
              <w:bottom w:val="nil"/>
              <w:right w:val="nil"/>
            </w:tcBorders>
            <w:shd w:val="clear" w:color="auto" w:fill="auto"/>
            <w:vAlign w:val="center"/>
          </w:tcPr>
          <w:p w14:paraId="272640EC">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X＜10</w:t>
            </w:r>
          </w:p>
        </w:tc>
      </w:tr>
      <w:tr w14:paraId="228151B4">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E30D6D0">
            <w:pPr>
              <w:widowControl/>
              <w:jc w:val="left"/>
              <w:rPr>
                <w:rFonts w:ascii="宋体" w:hAnsi="宋体" w:cs="宋体"/>
                <w:color w:val="000000"/>
                <w:kern w:val="0"/>
                <w:sz w:val="18"/>
                <w:szCs w:val="18"/>
                <w:highlight w:val="none"/>
              </w:rPr>
            </w:pPr>
          </w:p>
        </w:tc>
        <w:tc>
          <w:tcPr>
            <w:tcW w:w="1369" w:type="dxa"/>
            <w:tcBorders>
              <w:top w:val="nil"/>
              <w:left w:val="nil"/>
              <w:bottom w:val="single" w:color="auto" w:sz="4" w:space="0"/>
              <w:right w:val="single" w:color="auto" w:sz="4" w:space="0"/>
            </w:tcBorders>
            <w:shd w:val="clear" w:color="auto" w:fill="auto"/>
            <w:vAlign w:val="center"/>
          </w:tcPr>
          <w:p w14:paraId="465A08C6">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资产总额(Z)</w:t>
            </w:r>
          </w:p>
        </w:tc>
        <w:tc>
          <w:tcPr>
            <w:tcW w:w="709" w:type="dxa"/>
            <w:tcBorders>
              <w:top w:val="nil"/>
              <w:left w:val="nil"/>
              <w:bottom w:val="single" w:color="auto" w:sz="4" w:space="0"/>
              <w:right w:val="single" w:color="auto" w:sz="4" w:space="0"/>
            </w:tcBorders>
            <w:shd w:val="clear" w:color="auto" w:fill="auto"/>
            <w:vAlign w:val="center"/>
          </w:tcPr>
          <w:p w14:paraId="38A00750">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tcBorders>
              <w:top w:val="nil"/>
              <w:left w:val="nil"/>
              <w:bottom w:val="single" w:color="auto" w:sz="4" w:space="0"/>
              <w:right w:val="single" w:color="auto" w:sz="4" w:space="0"/>
            </w:tcBorders>
            <w:shd w:val="clear" w:color="auto" w:fill="auto"/>
            <w:vAlign w:val="center"/>
          </w:tcPr>
          <w:p w14:paraId="34062637">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Z≥120000</w:t>
            </w:r>
          </w:p>
        </w:tc>
        <w:tc>
          <w:tcPr>
            <w:tcW w:w="1701" w:type="dxa"/>
            <w:tcBorders>
              <w:top w:val="nil"/>
              <w:left w:val="nil"/>
              <w:bottom w:val="single" w:color="auto" w:sz="4" w:space="0"/>
              <w:right w:val="single" w:color="auto" w:sz="4" w:space="0"/>
            </w:tcBorders>
            <w:shd w:val="clear" w:color="auto" w:fill="auto"/>
            <w:vAlign w:val="center"/>
          </w:tcPr>
          <w:p w14:paraId="4AC60198">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096E5712">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 100≤Z＜8000</w:t>
            </w:r>
          </w:p>
        </w:tc>
        <w:tc>
          <w:tcPr>
            <w:tcW w:w="992" w:type="dxa"/>
            <w:tcBorders>
              <w:top w:val="nil"/>
              <w:left w:val="nil"/>
              <w:bottom w:val="single" w:color="auto" w:sz="4" w:space="0"/>
              <w:right w:val="nil"/>
            </w:tcBorders>
            <w:shd w:val="clear" w:color="auto" w:fill="auto"/>
            <w:vAlign w:val="center"/>
          </w:tcPr>
          <w:p w14:paraId="4545A814">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Z＜100</w:t>
            </w:r>
          </w:p>
        </w:tc>
      </w:tr>
      <w:tr w14:paraId="3BE1B2DA">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7256B1A1">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4544B41D">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从业人员(X)</w:t>
            </w:r>
          </w:p>
        </w:tc>
        <w:tc>
          <w:tcPr>
            <w:tcW w:w="709" w:type="dxa"/>
            <w:tcBorders>
              <w:top w:val="nil"/>
              <w:left w:val="nil"/>
              <w:bottom w:val="single" w:color="auto" w:sz="4" w:space="0"/>
              <w:right w:val="single" w:color="auto" w:sz="4" w:space="0"/>
            </w:tcBorders>
            <w:shd w:val="clear" w:color="auto" w:fill="auto"/>
            <w:vAlign w:val="center"/>
          </w:tcPr>
          <w:p w14:paraId="6E192672">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125" w:type="dxa"/>
            <w:tcBorders>
              <w:top w:val="nil"/>
              <w:left w:val="nil"/>
              <w:bottom w:val="single" w:color="auto" w:sz="4" w:space="0"/>
              <w:right w:val="single" w:color="auto" w:sz="4" w:space="0"/>
            </w:tcBorders>
            <w:shd w:val="clear" w:color="auto" w:fill="auto"/>
            <w:vAlign w:val="center"/>
          </w:tcPr>
          <w:p w14:paraId="1D9EA5F8">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X≥300</w:t>
            </w:r>
          </w:p>
        </w:tc>
        <w:tc>
          <w:tcPr>
            <w:tcW w:w="1701" w:type="dxa"/>
            <w:tcBorders>
              <w:top w:val="nil"/>
              <w:left w:val="nil"/>
              <w:bottom w:val="single" w:color="auto" w:sz="4" w:space="0"/>
              <w:right w:val="single" w:color="auto" w:sz="4" w:space="0"/>
            </w:tcBorders>
            <w:shd w:val="clear" w:color="auto" w:fill="auto"/>
            <w:vAlign w:val="center"/>
          </w:tcPr>
          <w:p w14:paraId="624DB4CE">
            <w:pPr>
              <w:widowControl/>
              <w:ind w:left="1" w:leftChars="-51" w:hanging="108" w:hangingChars="6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4EA15866">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 10≤X＜100</w:t>
            </w:r>
          </w:p>
        </w:tc>
        <w:tc>
          <w:tcPr>
            <w:tcW w:w="992" w:type="dxa"/>
            <w:tcBorders>
              <w:top w:val="nil"/>
              <w:left w:val="nil"/>
              <w:bottom w:val="single" w:color="auto" w:sz="4" w:space="0"/>
              <w:right w:val="nil"/>
            </w:tcBorders>
            <w:shd w:val="clear" w:color="auto" w:fill="auto"/>
            <w:vAlign w:val="center"/>
          </w:tcPr>
          <w:p w14:paraId="7AC47018">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X＜10</w:t>
            </w:r>
          </w:p>
        </w:tc>
      </w:tr>
    </w:tbl>
    <w:p w14:paraId="171389CA">
      <w:pPr>
        <w:widowControl/>
        <w:jc w:val="left"/>
        <w:rPr>
          <w:rFonts w:hint="eastAsia" w:ascii="宋体" w:hAnsi="宋体" w:eastAsia="宋体" w:cs="宋体"/>
          <w:color w:val="auto"/>
          <w:kern w:val="0"/>
          <w:sz w:val="18"/>
          <w:szCs w:val="18"/>
          <w:highlight w:val="none"/>
          <w:lang w:bidi="ar"/>
        </w:rPr>
      </w:pPr>
    </w:p>
    <w:p w14:paraId="551C3514">
      <w:pPr>
        <w:widowControl/>
        <w:jc w:val="left"/>
        <w:rPr>
          <w:rFonts w:hint="eastAsia" w:ascii="宋体" w:hAnsi="宋体" w:eastAsia="宋体" w:cs="宋体"/>
          <w:color w:val="auto"/>
          <w:kern w:val="0"/>
          <w:sz w:val="18"/>
          <w:szCs w:val="18"/>
          <w:highlight w:val="none"/>
          <w:lang w:bidi="ar"/>
        </w:rPr>
      </w:pPr>
    </w:p>
    <w:p w14:paraId="4DB9A243">
      <w:pPr>
        <w:pStyle w:val="40"/>
        <w:keepNext w:val="0"/>
        <w:keepLines w:val="0"/>
        <w:widowControl/>
        <w:suppressLineNumbers w:val="0"/>
        <w:spacing w:line="432" w:lineRule="auto"/>
        <w:jc w:val="center"/>
        <w:rPr>
          <w:rStyle w:val="49"/>
          <w:rFonts w:hint="eastAsia" w:ascii="宋体" w:hAnsi="宋体" w:eastAsia="宋体" w:cs="宋体"/>
          <w:color w:val="000000"/>
          <w:sz w:val="36"/>
          <w:szCs w:val="36"/>
          <w:highlight w:val="none"/>
          <w:u w:val="none"/>
        </w:rPr>
      </w:pPr>
      <w:r>
        <w:rPr>
          <w:rStyle w:val="49"/>
          <w:rFonts w:hint="eastAsia" w:ascii="宋体" w:hAnsi="宋体" w:eastAsia="宋体" w:cs="宋体"/>
          <w:color w:val="000000"/>
          <w:sz w:val="36"/>
          <w:szCs w:val="36"/>
          <w:highlight w:val="none"/>
          <w:u w:val="none"/>
        </w:rPr>
        <w:t>中小企业划型标准规定</w:t>
      </w:r>
    </w:p>
    <w:p w14:paraId="6944BADB">
      <w:pPr>
        <w:pStyle w:val="40"/>
        <w:keepNext w:val="0"/>
        <w:keepLines w:val="0"/>
        <w:widowControl/>
        <w:suppressLineNumbers w:val="0"/>
        <w:spacing w:line="432" w:lineRule="auto"/>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　一、根据《中华人民共和国中小企业促进法》和《国务院关于进一步促进中小企业发展的若干意见》(国发〔2009〕36号)，制定本规定。</w:t>
      </w:r>
      <w:r>
        <w:rPr>
          <w:rFonts w:hint="eastAsia" w:ascii="宋体" w:hAnsi="宋体" w:eastAsia="宋体" w:cs="宋体"/>
          <w:color w:val="000000"/>
          <w:sz w:val="24"/>
          <w:szCs w:val="24"/>
          <w:highlight w:val="none"/>
          <w:u w:val="none"/>
        </w:rPr>
        <w:br w:type="textWrapping"/>
      </w:r>
      <w:r>
        <w:rPr>
          <w:rFonts w:hint="eastAsia" w:ascii="宋体" w:hAnsi="宋体" w:eastAsia="宋体" w:cs="宋体"/>
          <w:color w:val="000000"/>
          <w:sz w:val="24"/>
          <w:szCs w:val="24"/>
          <w:highlight w:val="none"/>
          <w:u w:val="none"/>
        </w:rPr>
        <w:t>　　二、中小企业划分为中型、小型、微型三种类型，具体标准根据企业从业人员、营业收入、资产总额等指标，结合行业特点制定。</w:t>
      </w:r>
      <w:r>
        <w:rPr>
          <w:rFonts w:hint="eastAsia" w:ascii="宋体" w:hAnsi="宋体" w:eastAsia="宋体" w:cs="宋体"/>
          <w:color w:val="000000"/>
          <w:sz w:val="24"/>
          <w:szCs w:val="24"/>
          <w:highlight w:val="none"/>
          <w:u w:val="none"/>
        </w:rPr>
        <w:br w:type="textWrapping"/>
      </w:r>
      <w:r>
        <w:rPr>
          <w:rFonts w:hint="eastAsia" w:ascii="宋体" w:hAnsi="宋体" w:eastAsia="宋体" w:cs="宋体"/>
          <w:color w:val="000000"/>
          <w:sz w:val="24"/>
          <w:szCs w:val="24"/>
          <w:highlight w:val="none"/>
          <w:u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宋体" w:hAnsi="宋体" w:eastAsia="宋体" w:cs="宋体"/>
          <w:color w:val="000000"/>
          <w:sz w:val="24"/>
          <w:szCs w:val="24"/>
          <w:highlight w:val="none"/>
          <w:u w:val="none"/>
        </w:rPr>
        <w:br w:type="textWrapping"/>
      </w:r>
      <w:r>
        <w:rPr>
          <w:rFonts w:hint="eastAsia" w:ascii="宋体" w:hAnsi="宋体" w:eastAsia="宋体" w:cs="宋体"/>
          <w:color w:val="000000"/>
          <w:sz w:val="24"/>
          <w:szCs w:val="24"/>
          <w:highlight w:val="none"/>
          <w:u w:val="none"/>
        </w:rPr>
        <w:t>　　四、各行业划型标准为：</w:t>
      </w:r>
      <w:r>
        <w:rPr>
          <w:rFonts w:hint="eastAsia" w:ascii="宋体" w:hAnsi="宋体" w:eastAsia="宋体" w:cs="宋体"/>
          <w:color w:val="000000"/>
          <w:sz w:val="24"/>
          <w:szCs w:val="24"/>
          <w:highlight w:val="none"/>
          <w:u w:val="none"/>
        </w:rPr>
        <w:br w:type="textWrapping"/>
      </w:r>
      <w:r>
        <w:rPr>
          <w:rFonts w:hint="eastAsia" w:ascii="宋体" w:hAnsi="宋体" w:eastAsia="宋体" w:cs="宋体"/>
          <w:color w:val="000000"/>
          <w:sz w:val="24"/>
          <w:szCs w:val="24"/>
          <w:highlight w:val="none"/>
          <w:u w:val="none"/>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color w:val="000000"/>
          <w:sz w:val="24"/>
          <w:szCs w:val="24"/>
          <w:highlight w:val="none"/>
          <w:u w:val="none"/>
        </w:rPr>
        <w:br w:type="textWrapping"/>
      </w:r>
      <w:r>
        <w:rPr>
          <w:rFonts w:hint="eastAsia" w:ascii="宋体" w:hAnsi="宋体" w:eastAsia="宋体" w:cs="宋体"/>
          <w:color w:val="000000"/>
          <w:sz w:val="24"/>
          <w:szCs w:val="24"/>
          <w:highlight w:val="none"/>
          <w:u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color w:val="000000"/>
          <w:sz w:val="24"/>
          <w:szCs w:val="24"/>
          <w:highlight w:val="none"/>
          <w:u w:val="none"/>
        </w:rPr>
        <w:br w:type="textWrapping"/>
      </w:r>
      <w:r>
        <w:rPr>
          <w:rFonts w:hint="eastAsia" w:ascii="宋体" w:hAnsi="宋体" w:eastAsia="宋体" w:cs="宋体"/>
          <w:color w:val="000000"/>
          <w:sz w:val="24"/>
          <w:szCs w:val="24"/>
          <w:highlight w:val="none"/>
          <w:u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color w:val="000000"/>
          <w:sz w:val="24"/>
          <w:szCs w:val="24"/>
          <w:highlight w:val="none"/>
          <w:u w:val="none"/>
        </w:rPr>
        <w:br w:type="textWrapping"/>
      </w:r>
      <w:r>
        <w:rPr>
          <w:rFonts w:hint="eastAsia" w:ascii="宋体" w:hAnsi="宋体" w:eastAsia="宋体" w:cs="宋体"/>
          <w:color w:val="000000"/>
          <w:sz w:val="24"/>
          <w:szCs w:val="24"/>
          <w:highlight w:val="none"/>
          <w:u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color w:val="000000"/>
          <w:sz w:val="24"/>
          <w:szCs w:val="24"/>
          <w:highlight w:val="none"/>
          <w:u w:val="none"/>
        </w:rPr>
        <w:br w:type="textWrapping"/>
      </w:r>
      <w:r>
        <w:rPr>
          <w:rFonts w:hint="eastAsia" w:ascii="宋体" w:hAnsi="宋体" w:eastAsia="宋体" w:cs="宋体"/>
          <w:color w:val="000000"/>
          <w:sz w:val="24"/>
          <w:szCs w:val="24"/>
          <w:highlight w:val="none"/>
          <w:u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000000"/>
          <w:sz w:val="24"/>
          <w:szCs w:val="24"/>
          <w:highlight w:val="none"/>
          <w:u w:val="none"/>
        </w:rPr>
        <w:br w:type="textWrapping"/>
      </w:r>
      <w:r>
        <w:rPr>
          <w:rFonts w:hint="eastAsia" w:ascii="宋体" w:hAnsi="宋体" w:eastAsia="宋体" w:cs="宋体"/>
          <w:color w:val="000000"/>
          <w:sz w:val="24"/>
          <w:szCs w:val="24"/>
          <w:highlight w:val="none"/>
          <w:u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color w:val="000000"/>
          <w:sz w:val="24"/>
          <w:szCs w:val="24"/>
          <w:highlight w:val="none"/>
          <w:u w:val="none"/>
        </w:rPr>
        <w:br w:type="textWrapping"/>
      </w:r>
      <w:r>
        <w:rPr>
          <w:rFonts w:hint="eastAsia" w:ascii="宋体" w:hAnsi="宋体" w:eastAsia="宋体" w:cs="宋体"/>
          <w:color w:val="000000"/>
          <w:sz w:val="24"/>
          <w:szCs w:val="24"/>
          <w:highlight w:val="none"/>
          <w:u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000000"/>
          <w:sz w:val="24"/>
          <w:szCs w:val="24"/>
          <w:highlight w:val="none"/>
          <w:u w:val="none"/>
        </w:rPr>
        <w:br w:type="textWrapping"/>
      </w:r>
      <w:r>
        <w:rPr>
          <w:rFonts w:hint="eastAsia" w:ascii="宋体" w:hAnsi="宋体" w:eastAsia="宋体" w:cs="宋体"/>
          <w:color w:val="000000"/>
          <w:sz w:val="24"/>
          <w:szCs w:val="24"/>
          <w:highlight w:val="none"/>
          <w:u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000000"/>
          <w:sz w:val="24"/>
          <w:szCs w:val="24"/>
          <w:highlight w:val="none"/>
          <w:u w:val="none"/>
        </w:rPr>
        <w:br w:type="textWrapping"/>
      </w:r>
      <w:r>
        <w:rPr>
          <w:rFonts w:hint="eastAsia" w:ascii="宋体" w:hAnsi="宋体" w:eastAsia="宋体" w:cs="宋体"/>
          <w:color w:val="000000"/>
          <w:sz w:val="24"/>
          <w:szCs w:val="24"/>
          <w:highlight w:val="none"/>
          <w:u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000000"/>
          <w:sz w:val="24"/>
          <w:szCs w:val="24"/>
          <w:highlight w:val="none"/>
          <w:u w:val="none"/>
        </w:rPr>
        <w:br w:type="textWrapping"/>
      </w:r>
      <w:r>
        <w:rPr>
          <w:rFonts w:hint="eastAsia" w:ascii="宋体" w:hAnsi="宋体" w:eastAsia="宋体" w:cs="宋体"/>
          <w:color w:val="000000"/>
          <w:sz w:val="24"/>
          <w:szCs w:val="24"/>
          <w:highlight w:val="none"/>
          <w:u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000000"/>
          <w:sz w:val="24"/>
          <w:szCs w:val="24"/>
          <w:highlight w:val="none"/>
          <w:u w:val="none"/>
        </w:rPr>
        <w:br w:type="textWrapping"/>
      </w:r>
      <w:r>
        <w:rPr>
          <w:rFonts w:hint="eastAsia" w:ascii="宋体" w:hAnsi="宋体" w:eastAsia="宋体" w:cs="宋体"/>
          <w:color w:val="000000"/>
          <w:sz w:val="24"/>
          <w:szCs w:val="24"/>
          <w:highlight w:val="none"/>
          <w:u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000000"/>
          <w:sz w:val="24"/>
          <w:szCs w:val="24"/>
          <w:highlight w:val="none"/>
          <w:u w:val="none"/>
        </w:rPr>
        <w:br w:type="textWrapping"/>
      </w:r>
      <w:r>
        <w:rPr>
          <w:rFonts w:hint="eastAsia" w:ascii="宋体" w:hAnsi="宋体" w:eastAsia="宋体" w:cs="宋体"/>
          <w:color w:val="000000"/>
          <w:sz w:val="24"/>
          <w:szCs w:val="24"/>
          <w:highlight w:val="none"/>
          <w:u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color w:val="000000"/>
          <w:sz w:val="24"/>
          <w:szCs w:val="24"/>
          <w:highlight w:val="none"/>
          <w:u w:val="none"/>
        </w:rPr>
        <w:br w:type="textWrapping"/>
      </w:r>
      <w:r>
        <w:rPr>
          <w:rFonts w:hint="eastAsia" w:ascii="宋体" w:hAnsi="宋体" w:eastAsia="宋体" w:cs="宋体"/>
          <w:color w:val="000000"/>
          <w:sz w:val="24"/>
          <w:szCs w:val="24"/>
          <w:highlight w:val="none"/>
          <w:u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color w:val="000000"/>
          <w:sz w:val="24"/>
          <w:szCs w:val="24"/>
          <w:highlight w:val="none"/>
          <w:u w:val="none"/>
        </w:rPr>
        <w:br w:type="textWrapping"/>
      </w:r>
      <w:r>
        <w:rPr>
          <w:rFonts w:hint="eastAsia" w:ascii="宋体" w:hAnsi="宋体" w:eastAsia="宋体" w:cs="宋体"/>
          <w:color w:val="000000"/>
          <w:sz w:val="24"/>
          <w:szCs w:val="24"/>
          <w:highlight w:val="none"/>
          <w:u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color w:val="000000"/>
          <w:sz w:val="24"/>
          <w:szCs w:val="24"/>
          <w:highlight w:val="none"/>
          <w:u w:val="none"/>
        </w:rPr>
        <w:br w:type="textWrapping"/>
      </w:r>
      <w:r>
        <w:rPr>
          <w:rFonts w:hint="eastAsia" w:ascii="宋体" w:hAnsi="宋体" w:eastAsia="宋体" w:cs="宋体"/>
          <w:color w:val="000000"/>
          <w:sz w:val="24"/>
          <w:szCs w:val="24"/>
          <w:highlight w:val="none"/>
          <w:u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color w:val="000000"/>
          <w:sz w:val="24"/>
          <w:szCs w:val="24"/>
          <w:highlight w:val="none"/>
          <w:u w:val="none"/>
        </w:rPr>
        <w:br w:type="textWrapping"/>
      </w:r>
      <w:r>
        <w:rPr>
          <w:rFonts w:hint="eastAsia" w:ascii="宋体" w:hAnsi="宋体" w:eastAsia="宋体" w:cs="宋体"/>
          <w:color w:val="000000"/>
          <w:sz w:val="24"/>
          <w:szCs w:val="24"/>
          <w:highlight w:val="none"/>
          <w:u w:val="none"/>
        </w:rPr>
        <w:t>　　（十六）其他未列明行业。从业人员300人以下的为中小微型企业。其中，从业人员100人及以上的为中型企业；从业人员10人及以上的为小型企业；从业人员10人以下的为微型企业。</w:t>
      </w:r>
      <w:r>
        <w:rPr>
          <w:rFonts w:hint="eastAsia" w:ascii="宋体" w:hAnsi="宋体" w:eastAsia="宋体" w:cs="宋体"/>
          <w:color w:val="000000"/>
          <w:sz w:val="24"/>
          <w:szCs w:val="24"/>
          <w:highlight w:val="none"/>
          <w:u w:val="none"/>
        </w:rPr>
        <w:br w:type="textWrapping"/>
      </w:r>
      <w:r>
        <w:rPr>
          <w:rFonts w:hint="eastAsia" w:ascii="宋体" w:hAnsi="宋体" w:eastAsia="宋体" w:cs="宋体"/>
          <w:color w:val="000000"/>
          <w:sz w:val="24"/>
          <w:szCs w:val="24"/>
          <w:highlight w:val="none"/>
          <w:u w:val="none"/>
        </w:rPr>
        <w:t>　　五、企业类型的划分以统计部门的统计数据为依据。</w:t>
      </w:r>
      <w:r>
        <w:rPr>
          <w:rFonts w:hint="eastAsia" w:ascii="宋体" w:hAnsi="宋体" w:eastAsia="宋体" w:cs="宋体"/>
          <w:color w:val="000000"/>
          <w:sz w:val="24"/>
          <w:szCs w:val="24"/>
          <w:highlight w:val="none"/>
          <w:u w:val="none"/>
        </w:rPr>
        <w:br w:type="textWrapping"/>
      </w:r>
      <w:r>
        <w:rPr>
          <w:rFonts w:hint="eastAsia" w:ascii="宋体" w:hAnsi="宋体" w:eastAsia="宋体" w:cs="宋体"/>
          <w:color w:val="000000"/>
          <w:sz w:val="24"/>
          <w:szCs w:val="24"/>
          <w:highlight w:val="none"/>
          <w:u w:val="none"/>
        </w:rPr>
        <w:t>　　六、本规定适用于在中华人民共和国境内依法设立的各类所有制和各种组织形式的企业。个体工商户和本规定以外的行业，参照本规定进行划型。</w:t>
      </w:r>
      <w:r>
        <w:rPr>
          <w:rFonts w:hint="eastAsia" w:ascii="宋体" w:hAnsi="宋体" w:eastAsia="宋体" w:cs="宋体"/>
          <w:color w:val="000000"/>
          <w:sz w:val="24"/>
          <w:szCs w:val="24"/>
          <w:highlight w:val="none"/>
          <w:u w:val="none"/>
        </w:rPr>
        <w:br w:type="textWrapping"/>
      </w:r>
      <w:r>
        <w:rPr>
          <w:rFonts w:hint="eastAsia" w:ascii="宋体" w:hAnsi="宋体" w:eastAsia="宋体" w:cs="宋体"/>
          <w:color w:val="000000"/>
          <w:sz w:val="24"/>
          <w:szCs w:val="24"/>
          <w:highlight w:val="none"/>
          <w:u w:val="none"/>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宋体" w:hAnsi="宋体" w:eastAsia="宋体" w:cs="宋体"/>
          <w:color w:val="000000"/>
          <w:sz w:val="24"/>
          <w:szCs w:val="24"/>
          <w:highlight w:val="none"/>
          <w:u w:val="none"/>
        </w:rPr>
        <w:br w:type="textWrapping"/>
      </w:r>
      <w:r>
        <w:rPr>
          <w:rFonts w:hint="eastAsia" w:ascii="宋体" w:hAnsi="宋体" w:eastAsia="宋体" w:cs="宋体"/>
          <w:color w:val="000000"/>
          <w:sz w:val="24"/>
          <w:szCs w:val="24"/>
          <w:highlight w:val="none"/>
          <w:u w:val="none"/>
        </w:rPr>
        <w:t>　　八、本规定由工业和信息化部、国家统计局会同有关部门根据《国民经济行业分类》修订情况和企业发展变化情况适时修订。</w:t>
      </w:r>
      <w:r>
        <w:rPr>
          <w:rFonts w:hint="eastAsia" w:ascii="宋体" w:hAnsi="宋体" w:eastAsia="宋体" w:cs="宋体"/>
          <w:color w:val="000000"/>
          <w:sz w:val="24"/>
          <w:szCs w:val="24"/>
          <w:highlight w:val="none"/>
          <w:u w:val="none"/>
        </w:rPr>
        <w:br w:type="textWrapping"/>
      </w:r>
      <w:r>
        <w:rPr>
          <w:rFonts w:hint="eastAsia" w:ascii="宋体" w:hAnsi="宋体" w:eastAsia="宋体" w:cs="宋体"/>
          <w:color w:val="000000"/>
          <w:sz w:val="24"/>
          <w:szCs w:val="24"/>
          <w:highlight w:val="none"/>
          <w:u w:val="none"/>
        </w:rPr>
        <w:t>　　九、本规定由工业和信息化部、国家统计局会同有关部门负责解释。</w:t>
      </w:r>
      <w:r>
        <w:rPr>
          <w:rFonts w:hint="eastAsia" w:ascii="宋体" w:hAnsi="宋体" w:eastAsia="宋体" w:cs="宋体"/>
          <w:color w:val="000000"/>
          <w:sz w:val="24"/>
          <w:szCs w:val="24"/>
          <w:highlight w:val="none"/>
          <w:u w:val="none"/>
        </w:rPr>
        <w:br w:type="textWrapping"/>
      </w:r>
      <w:r>
        <w:rPr>
          <w:rFonts w:hint="eastAsia" w:ascii="宋体" w:hAnsi="宋体" w:eastAsia="宋体" w:cs="宋体"/>
          <w:color w:val="000000"/>
          <w:sz w:val="24"/>
          <w:szCs w:val="24"/>
          <w:highlight w:val="none"/>
          <w:u w:val="none"/>
        </w:rPr>
        <w:t>　　十、本规定自发布之日起执行，原国家经贸委、原国家计委、财政部和国家统计局2003年颁布的《中小企业标准暂行规定》同时废止。</w:t>
      </w:r>
    </w:p>
    <w:p w14:paraId="34EF62C1">
      <w:pPr>
        <w:pStyle w:val="40"/>
        <w:keepNext w:val="0"/>
        <w:keepLines w:val="0"/>
        <w:widowControl/>
        <w:suppressLineNumbers w:val="0"/>
        <w:spacing w:line="432" w:lineRule="auto"/>
        <w:rPr>
          <w:rFonts w:hint="eastAsia" w:ascii="宋体" w:hAnsi="Times New Roman" w:eastAsia="宋体" w:cs="Times New Roman"/>
          <w:b/>
          <w:bCs/>
          <w:color w:val="auto"/>
          <w:sz w:val="24"/>
          <w:szCs w:val="24"/>
          <w:highlight w:val="none"/>
          <w:u w:val="single"/>
        </w:rPr>
      </w:pPr>
      <w:r>
        <w:rPr>
          <w:rFonts w:hint="eastAsia" w:ascii="宋体" w:hAnsi="宋体" w:eastAsia="宋体" w:cs="宋体"/>
          <w:color w:val="000000"/>
          <w:sz w:val="24"/>
          <w:szCs w:val="24"/>
          <w:highlight w:val="none"/>
          <w:u w:val="none"/>
        </w:rPr>
        <w:br w:type="page"/>
      </w:r>
      <w:r>
        <w:rPr>
          <w:rFonts w:hint="eastAsia" w:ascii="宋体" w:hAnsi="Times New Roman" w:eastAsia="宋体" w:cs="Times New Roman"/>
          <w:b/>
          <w:bCs/>
          <w:color w:val="auto"/>
          <w:sz w:val="24"/>
          <w:szCs w:val="24"/>
          <w:highlight w:val="none"/>
          <w:u w:val="single"/>
        </w:rPr>
        <w:t>附件</w:t>
      </w:r>
      <w:r>
        <w:rPr>
          <w:rFonts w:hint="eastAsia" w:ascii="宋体" w:hAnsi="Times New Roman" w:eastAsia="宋体" w:cs="Times New Roman"/>
          <w:b/>
          <w:bCs/>
          <w:color w:val="auto"/>
          <w:sz w:val="24"/>
          <w:szCs w:val="24"/>
          <w:highlight w:val="none"/>
          <w:u w:val="single"/>
          <w:lang w:val="en-US" w:eastAsia="zh-CN"/>
        </w:rPr>
        <w:t>3</w:t>
      </w:r>
      <w:r>
        <w:rPr>
          <w:rFonts w:hint="eastAsia" w:ascii="宋体" w:hAnsi="Times New Roman" w:eastAsia="宋体" w:cs="Times New Roman"/>
          <w:b/>
          <w:bCs/>
          <w:color w:val="auto"/>
          <w:sz w:val="24"/>
          <w:szCs w:val="24"/>
          <w:highlight w:val="none"/>
          <w:u w:val="single"/>
        </w:rPr>
        <w:t xml:space="preserve"> 残疾人福利性单位声明函：</w:t>
      </w:r>
    </w:p>
    <w:p w14:paraId="2377CF6D">
      <w:pPr>
        <w:rPr>
          <w:rFonts w:ascii="Times New Roman" w:hAnsi="Times New Roman" w:eastAsia="宋体" w:cs="Times New Roman"/>
          <w:color w:val="auto"/>
          <w:szCs w:val="24"/>
          <w:highlight w:val="none"/>
        </w:rPr>
      </w:pPr>
    </w:p>
    <w:p w14:paraId="4D98029F">
      <w:pPr>
        <w:widowControl/>
        <w:spacing w:line="480" w:lineRule="auto"/>
        <w:jc w:val="center"/>
        <w:rPr>
          <w:rFonts w:hint="eastAsia" w:ascii="宋体" w:hAnsi="宋体" w:eastAsia="宋体" w:cs="宋体"/>
          <w:b/>
          <w:color w:val="auto"/>
          <w:kern w:val="0"/>
          <w:sz w:val="32"/>
          <w:szCs w:val="32"/>
          <w:highlight w:val="none"/>
          <w:lang w:bidi="ar"/>
        </w:rPr>
      </w:pPr>
      <w:bookmarkStart w:id="130" w:name="OLE_LINK14"/>
      <w:bookmarkStart w:id="131" w:name="OLE_LINK13"/>
      <w:r>
        <w:rPr>
          <w:rFonts w:hint="eastAsia" w:ascii="宋体" w:hAnsi="宋体" w:eastAsia="宋体" w:cs="宋体"/>
          <w:b/>
          <w:color w:val="auto"/>
          <w:kern w:val="0"/>
          <w:sz w:val="32"/>
          <w:szCs w:val="32"/>
          <w:highlight w:val="none"/>
          <w:lang w:bidi="ar"/>
        </w:rPr>
        <w:t>残疾人福利性单位声明函</w:t>
      </w:r>
    </w:p>
    <w:bookmarkEnd w:id="130"/>
    <w:bookmarkEnd w:id="131"/>
    <w:p w14:paraId="022798EC">
      <w:pPr>
        <w:spacing w:line="480" w:lineRule="auto"/>
        <w:jc w:val="center"/>
        <w:rPr>
          <w:rFonts w:ascii="仿宋_GB2312" w:hAnsi="Calibri" w:eastAsia="仿宋_GB2312" w:cs="Times New Roman"/>
          <w:b/>
          <w:color w:val="auto"/>
          <w:spacing w:val="6"/>
          <w:sz w:val="30"/>
          <w:szCs w:val="30"/>
          <w:highlight w:val="none"/>
        </w:rPr>
      </w:pPr>
      <w:r>
        <w:rPr>
          <w:rFonts w:hint="eastAsia" w:ascii="宋体" w:hAnsi="宋体" w:eastAsia="宋体" w:cs="宋体"/>
          <w:color w:val="auto"/>
          <w:sz w:val="24"/>
          <w:szCs w:val="24"/>
          <w:highlight w:val="none"/>
          <w:u w:val="single"/>
        </w:rPr>
        <w:t>【不属于残疾人福利性单位的无需填写】</w:t>
      </w:r>
    </w:p>
    <w:p w14:paraId="2F907628">
      <w:pPr>
        <w:spacing w:line="48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号）的规定，本单位为符合条件的残疾人福利性单位，且本单位参加</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01B24DAC">
      <w:pPr>
        <w:spacing w:line="48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6D993EC9">
      <w:pPr>
        <w:rPr>
          <w:rFonts w:hint="eastAsia" w:ascii="Times New Roman" w:hAnsi="Times New Roman" w:eastAsia="宋体" w:cs="Times New Roman"/>
          <w:color w:val="auto"/>
          <w:szCs w:val="24"/>
          <w:highlight w:val="none"/>
        </w:rPr>
      </w:pPr>
    </w:p>
    <w:p w14:paraId="2683F2D4">
      <w:pPr>
        <w:rPr>
          <w:rFonts w:hint="eastAsia" w:ascii="Times New Roman" w:hAnsi="Times New Roman" w:eastAsia="宋体" w:cs="Times New Roman"/>
          <w:color w:val="auto"/>
          <w:szCs w:val="24"/>
          <w:highlight w:val="none"/>
        </w:rPr>
      </w:pPr>
    </w:p>
    <w:p w14:paraId="5BD434F3">
      <w:pPr>
        <w:tabs>
          <w:tab w:val="left" w:pos="4860"/>
        </w:tabs>
        <w:spacing w:line="480" w:lineRule="auto"/>
        <w:ind w:left="3990" w:leftChars="19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单位名称（盖章）：</w:t>
      </w:r>
    </w:p>
    <w:p w14:paraId="2E5312B6">
      <w:pPr>
        <w:tabs>
          <w:tab w:val="left" w:pos="4860"/>
        </w:tabs>
        <w:spacing w:line="480" w:lineRule="auto"/>
        <w:ind w:left="3990" w:leftChars="19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日    期：</w:t>
      </w:r>
    </w:p>
    <w:p w14:paraId="766E036E">
      <w:pPr>
        <w:rPr>
          <w:rFonts w:hint="eastAsia" w:ascii="Times New Roman" w:hAnsi="Times New Roman" w:eastAsia="宋体" w:cs="Times New Roman"/>
          <w:color w:val="auto"/>
          <w:szCs w:val="24"/>
          <w:highlight w:val="none"/>
        </w:rPr>
      </w:pPr>
    </w:p>
    <w:p w14:paraId="1BF15C5D">
      <w:pPr>
        <w:autoSpaceDE w:val="0"/>
        <w:autoSpaceDN w:val="0"/>
        <w:adjustRightInd w:val="0"/>
        <w:spacing w:line="480" w:lineRule="auto"/>
        <w:outlineLvl w:val="4"/>
        <w:rPr>
          <w:rFonts w:ascii="宋体" w:hAnsi="Times New Roman" w:eastAsia="宋体" w:cs="Times New Roman"/>
          <w:b/>
          <w:bCs/>
          <w:color w:val="auto"/>
          <w:sz w:val="24"/>
          <w:szCs w:val="24"/>
          <w:highlight w:val="none"/>
          <w:u w:val="single"/>
        </w:rPr>
      </w:pPr>
      <w:r>
        <w:rPr>
          <w:rFonts w:hint="eastAsia" w:ascii="宋体" w:hAnsi="宋体" w:eastAsia="宋体" w:cs="Times New Roman"/>
          <w:color w:val="auto"/>
          <w:sz w:val="28"/>
          <w:szCs w:val="28"/>
          <w:highlight w:val="none"/>
          <w:lang w:val="zh-CN"/>
        </w:rPr>
        <w:br w:type="page"/>
      </w:r>
      <w:r>
        <w:rPr>
          <w:rFonts w:hint="eastAsia" w:ascii="宋体" w:hAnsi="Times New Roman" w:eastAsia="宋体" w:cs="Times New Roman"/>
          <w:b/>
          <w:bCs/>
          <w:color w:val="auto"/>
          <w:sz w:val="24"/>
          <w:szCs w:val="24"/>
          <w:highlight w:val="none"/>
          <w:u w:val="single"/>
        </w:rPr>
        <w:t>附件</w:t>
      </w:r>
      <w:r>
        <w:rPr>
          <w:rFonts w:hint="eastAsia" w:ascii="宋体" w:hAnsi="Times New Roman" w:eastAsia="宋体" w:cs="Times New Roman"/>
          <w:b/>
          <w:bCs/>
          <w:color w:val="auto"/>
          <w:sz w:val="24"/>
          <w:szCs w:val="24"/>
          <w:highlight w:val="none"/>
          <w:u w:val="single"/>
          <w:lang w:val="en-US" w:eastAsia="zh-CN"/>
        </w:rPr>
        <w:t>4</w:t>
      </w:r>
      <w:r>
        <w:rPr>
          <w:rFonts w:hint="eastAsia" w:ascii="宋体" w:hAnsi="Times New Roman" w:eastAsia="宋体" w:cs="Times New Roman"/>
          <w:b/>
          <w:bCs/>
          <w:color w:val="auto"/>
          <w:sz w:val="24"/>
          <w:szCs w:val="24"/>
          <w:highlight w:val="none"/>
          <w:u w:val="single"/>
        </w:rPr>
        <w:t xml:space="preserve"> 监狱企业声明函：</w:t>
      </w:r>
    </w:p>
    <w:p w14:paraId="4B71E7F1">
      <w:pPr>
        <w:spacing w:line="480" w:lineRule="auto"/>
        <w:jc w:val="center"/>
        <w:rPr>
          <w:rFonts w:hint="eastAsia" w:ascii="宋体" w:hAnsi="宋体" w:eastAsia="宋体" w:cs="宋体"/>
          <w:color w:val="auto"/>
          <w:sz w:val="28"/>
          <w:szCs w:val="28"/>
          <w:highlight w:val="none"/>
        </w:rPr>
      </w:pPr>
      <w:r>
        <w:rPr>
          <w:rFonts w:hint="eastAsia" w:ascii="宋体" w:hAnsi="宋体" w:eastAsia="宋体" w:cs="宋体"/>
          <w:b/>
          <w:color w:val="auto"/>
          <w:kern w:val="0"/>
          <w:sz w:val="30"/>
          <w:szCs w:val="30"/>
          <w:highlight w:val="none"/>
        </w:rPr>
        <w:t>监狱企业声明函</w:t>
      </w:r>
    </w:p>
    <w:p w14:paraId="4CFC43A6">
      <w:pPr>
        <w:widowControl/>
        <w:spacing w:line="480" w:lineRule="auto"/>
        <w:jc w:val="center"/>
        <w:rPr>
          <w:rFonts w:ascii="仿宋_GB2312" w:hAnsi="Calibri" w:eastAsia="仿宋_GB2312" w:cs="Times New Roman"/>
          <w:b/>
          <w:color w:val="auto"/>
          <w:spacing w:val="6"/>
          <w:sz w:val="30"/>
          <w:szCs w:val="30"/>
          <w:highlight w:val="none"/>
        </w:rPr>
      </w:pPr>
      <w:r>
        <w:rPr>
          <w:rFonts w:hint="eastAsia" w:ascii="宋体" w:hAnsi="宋体" w:eastAsia="宋体" w:cs="宋体"/>
          <w:color w:val="auto"/>
          <w:sz w:val="24"/>
          <w:szCs w:val="24"/>
          <w:highlight w:val="none"/>
          <w:u w:val="single"/>
        </w:rPr>
        <w:t>【不属于监狱企业的无需填写】</w:t>
      </w:r>
    </w:p>
    <w:p w14:paraId="23903A7D">
      <w:pPr>
        <w:rPr>
          <w:rFonts w:hint="eastAsia" w:ascii="Times New Roman" w:hAnsi="Times New Roman" w:eastAsia="宋体" w:cs="Times New Roman"/>
          <w:color w:val="auto"/>
          <w:szCs w:val="24"/>
          <w:highlight w:val="none"/>
        </w:rPr>
      </w:pPr>
    </w:p>
    <w:p w14:paraId="7D9E7B3F">
      <w:pPr>
        <w:widowControl/>
        <w:snapToGrid w:val="0"/>
        <w:spacing w:line="48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本公司郑重声明，根据《关于政府采购支持监狱企业发展有关问题的通知》（财库[2014]68号）的规定，本公司为</w:t>
      </w:r>
      <w:r>
        <w:rPr>
          <w:rFonts w:hint="eastAsia" w:ascii="宋体" w:hAnsi="宋体" w:eastAsia="宋体" w:cs="宋体"/>
          <w:color w:val="auto"/>
          <w:kern w:val="0"/>
          <w:sz w:val="24"/>
          <w:szCs w:val="24"/>
          <w:highlight w:val="none"/>
          <w:u w:val="single"/>
        </w:rPr>
        <w:t>监狱企业</w:t>
      </w:r>
      <w:r>
        <w:rPr>
          <w:rFonts w:hint="eastAsia" w:ascii="宋体" w:hAnsi="宋体" w:eastAsia="宋体" w:cs="宋体"/>
          <w:color w:val="auto"/>
          <w:kern w:val="0"/>
          <w:sz w:val="24"/>
          <w:szCs w:val="24"/>
          <w:highlight w:val="none"/>
        </w:rPr>
        <w:t>。</w:t>
      </w:r>
    </w:p>
    <w:p w14:paraId="614B5E71">
      <w:pPr>
        <w:widowControl/>
        <w:snapToGrid w:val="0"/>
        <w:spacing w:line="48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根据上述标准，我公司属于监狱企业的理由为：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7F0F74AD">
      <w:pPr>
        <w:widowControl/>
        <w:snapToGrid w:val="0"/>
        <w:spacing w:line="48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本公司为参加（</w:t>
      </w:r>
      <w:r>
        <w:rPr>
          <w:rFonts w:hint="eastAsia" w:ascii="宋体" w:hAnsi="宋体" w:eastAsia="宋体" w:cs="宋体"/>
          <w:color w:val="auto"/>
          <w:kern w:val="0"/>
          <w:sz w:val="24"/>
          <w:szCs w:val="24"/>
          <w:highlight w:val="none"/>
          <w:u w:val="single"/>
        </w:rPr>
        <w:t xml:space="preserve">    项目名称    </w:t>
      </w:r>
      <w:r>
        <w:rPr>
          <w:rFonts w:hint="eastAsia" w:ascii="宋体" w:hAnsi="宋体" w:eastAsia="宋体" w:cs="宋体"/>
          <w:color w:val="auto"/>
          <w:kern w:val="0"/>
          <w:sz w:val="24"/>
          <w:szCs w:val="24"/>
          <w:highlight w:val="none"/>
        </w:rPr>
        <w:t>）（项目编号：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）采购活动提供本企业提供服务。</w:t>
      </w:r>
    </w:p>
    <w:p w14:paraId="55799C56">
      <w:pPr>
        <w:widowControl/>
        <w:snapToGrid w:val="0"/>
        <w:spacing w:line="48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本公司对上述声明的真实性负责。如有虚假，将依法承担相应责任。</w:t>
      </w:r>
    </w:p>
    <w:p w14:paraId="0D424E1B">
      <w:pPr>
        <w:rPr>
          <w:rFonts w:hint="eastAsia" w:ascii="Times New Roman" w:hAnsi="Times New Roman" w:eastAsia="宋体" w:cs="Times New Roman"/>
          <w:color w:val="auto"/>
          <w:szCs w:val="24"/>
          <w:highlight w:val="none"/>
        </w:rPr>
      </w:pPr>
    </w:p>
    <w:p w14:paraId="72A1700B">
      <w:pPr>
        <w:widowControl/>
        <w:snapToGrid w:val="0"/>
        <w:spacing w:line="480" w:lineRule="auto"/>
        <w:ind w:left="3570" w:leftChars="17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供应商名称（盖章）：</w:t>
      </w:r>
    </w:p>
    <w:p w14:paraId="30915F5A">
      <w:pPr>
        <w:widowControl/>
        <w:snapToGrid w:val="0"/>
        <w:spacing w:line="480" w:lineRule="auto"/>
        <w:ind w:left="3570" w:leftChars="17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384600FC">
      <w:pPr>
        <w:rPr>
          <w:rFonts w:hint="eastAsia" w:ascii="Times New Roman" w:hAnsi="Times New Roman" w:eastAsia="宋体" w:cs="Times New Roman"/>
          <w:color w:val="auto"/>
          <w:szCs w:val="24"/>
          <w:highlight w:val="none"/>
        </w:rPr>
      </w:pPr>
    </w:p>
    <w:p w14:paraId="3F4DE016">
      <w:pPr>
        <w:widowControl w:val="0"/>
        <w:spacing w:after="120"/>
        <w:jc w:val="both"/>
        <w:rPr>
          <w:rFonts w:hint="eastAsia" w:ascii="宋体" w:hAnsi="宋体" w:eastAsia="宋体" w:cs="Times New Roman"/>
          <w:color w:val="auto"/>
          <w:kern w:val="2"/>
          <w:sz w:val="21"/>
          <w:szCs w:val="21"/>
          <w:highlight w:val="none"/>
          <w:lang w:val="en-US" w:eastAsia="zh-CN" w:bidi="ar-SA"/>
        </w:rPr>
      </w:pPr>
    </w:p>
    <w:p w14:paraId="61FE669A">
      <w:pPr>
        <w:pStyle w:val="2"/>
        <w:widowControl w:val="0"/>
        <w:numPr>
          <w:ilvl w:val="0"/>
          <w:numId w:val="0"/>
        </w:numPr>
        <w:spacing w:line="480" w:lineRule="auto"/>
        <w:jc w:val="both"/>
        <w:rPr>
          <w:rFonts w:hint="eastAsia" w:ascii="宋体" w:hAnsi="宋体" w:eastAsia="宋体" w:cs="宋体"/>
          <w:color w:val="auto"/>
          <w:highlight w:val="none"/>
          <w:lang w:eastAsia="zh-CN"/>
        </w:rPr>
      </w:pPr>
    </w:p>
    <w:p w14:paraId="4B3553C0">
      <w:pPr>
        <w:rPr>
          <w:highlight w:val="none"/>
        </w:rPr>
      </w:pPr>
    </w:p>
    <w:sectPr>
      <w:headerReference r:id="rId5" w:type="default"/>
      <w:footerReference r:id="rId6" w:type="default"/>
      <w:pgSz w:w="11906" w:h="16838"/>
      <w:pgMar w:top="1440" w:right="1080" w:bottom="1440" w:left="1080" w:header="720" w:footer="720"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
    <w:altName w:val="Times New Roman"/>
    <w:panose1 w:val="00000000000000000000"/>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细黑_x0004_">
    <w:altName w:val="宋体"/>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KSOF44523572">
    <w:panose1 w:val="020B0703020204020201"/>
    <w:charset w:val="86"/>
    <w:family w:val="auto"/>
    <w:pitch w:val="default"/>
    <w:sig w:usb0="00000001" w:usb1="00000000" w:usb2="00000000" w:usb3="00000000" w:csb0="00040001" w:csb1="00000000"/>
  </w:font>
  <w:font w:name="KSOF429D5CD3">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35979">
    <w:pPr>
      <w:pStyle w:val="27"/>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2AF39C">
                          <w:pPr>
                            <w:pStyle w:val="2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72AF39C">
                    <w:pPr>
                      <w:pStyle w:val="27"/>
                    </w:pPr>
                    <w:r>
                      <w:fldChar w:fldCharType="begin"/>
                    </w:r>
                    <w:r>
                      <w:instrText xml:space="preserve"> PAGE  \* MERGEFORMAT </w:instrText>
                    </w:r>
                    <w:r>
                      <w:fldChar w:fldCharType="separate"/>
                    </w:r>
                    <w:r>
                      <w:t>0</w:t>
                    </w:r>
                    <w:r>
                      <w:fldChar w:fldCharType="end"/>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9A0DE40">
                          <w:pPr>
                            <w:pStyle w:val="27"/>
                            <w:rPr>
                              <w:rFonts w:hint="default" w:eastAsia="宋体"/>
                              <w:lang w:val="en-US" w:eastAsia="zh-CN"/>
                            </w:rPr>
                          </w:pPr>
                          <w:r>
                            <w:rPr>
                              <w:rFonts w:hint="eastAsia"/>
                              <w:lang w:val="en-US" w:eastAsia="zh-CN"/>
                            </w:rPr>
                            <w:t>1</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79A0DE40">
                    <w:pPr>
                      <w:pStyle w:val="27"/>
                      <w:rPr>
                        <w:rFonts w:hint="default" w:eastAsia="宋体"/>
                        <w:lang w:val="en-US" w:eastAsia="zh-CN"/>
                      </w:rPr>
                    </w:pPr>
                    <w:r>
                      <w:rPr>
                        <w:rFonts w:hint="eastAsia"/>
                        <w:lang w:val="en-US" w:eastAsia="zh-CN"/>
                      </w:rPr>
                      <w:t>1</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33ED1">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2CC3E2">
                          <w:pPr>
                            <w:pStyle w:val="27"/>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02CC3E2">
                    <w:pPr>
                      <w:pStyle w:val="27"/>
                    </w:pPr>
                    <w:r>
                      <w:fldChar w:fldCharType="begin"/>
                    </w:r>
                    <w:r>
                      <w:instrText xml:space="preserve"> PAGE  \* MERGEFORMAT </w:instrText>
                    </w:r>
                    <w:r>
                      <w:fldChar w:fldCharType="separate"/>
                    </w:r>
                    <w:r>
                      <w:t>38</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3A1EAA6">
                          <w:pPr>
                            <w:snapToGrid w:val="0"/>
                            <w:rPr>
                              <w:rFonts w:hint="eastAsia"/>
                              <w:sz w:val="18"/>
                            </w:rPr>
                          </w:pP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XQVC7RAQAApA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rpI+vYcay+49FsbhoxtS7RQHDCbagwwmfZEQwTyqe7qoK4ZIeLpUraqqxBTH3OwgTvF43QeI&#10;d8IZkoyGBny+rCo7foY4ls4lqZt1t0prjLNaW9Ij6nX1/jrfuKQQXVtskliM0yYrDrthorBz7QmZ&#10;9bgDDbW48pToTxYlTusyG2E2drNx8EHtu7xPqT/4D4eI4+QpU4cRdmqMj5d5TouWtuOpn6sef67N&#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AV0FQu0QEAAKQDAAAOAAAAAAAAAAEAIAAAACIB&#10;AABkcnMvZTJvRG9jLnhtbFBLBQYAAAAABgAGAFkBAABlBQAAAAA=&#10;">
              <v:fill on="f" focussize="0,0"/>
              <v:stroke on="f" weight="1.25pt"/>
              <v:imagedata o:title=""/>
              <o:lock v:ext="edit" aspectratio="f"/>
              <v:textbox inset="0mm,0mm,0mm,0mm" style="mso-fit-shape-to-text:t;">
                <w:txbxContent>
                  <w:p w14:paraId="33A1EAA6">
                    <w:pPr>
                      <w:snapToGrid w:val="0"/>
                      <w:rPr>
                        <w:rFonts w:hint="eastAsia"/>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C17BC">
    <w:pPr>
      <w:ind w:firstLine="2625" w:firstLineChars="1250"/>
      <w:jc w:val="right"/>
      <w:rPr>
        <w:rFonts w:hint="eastAsia"/>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F0C17">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CFA19E"/>
    <w:multiLevelType w:val="singleLevel"/>
    <w:tmpl w:val="A5CFA19E"/>
    <w:lvl w:ilvl="0" w:tentative="0">
      <w:start w:val="1"/>
      <w:numFmt w:val="decimal"/>
      <w:suff w:val="nothing"/>
      <w:lvlText w:val="（%1）"/>
      <w:lvlJc w:val="left"/>
      <w:pPr>
        <w:ind w:left="-10"/>
      </w:pPr>
    </w:lvl>
  </w:abstractNum>
  <w:abstractNum w:abstractNumId="1">
    <w:nsid w:val="AD831A2E"/>
    <w:multiLevelType w:val="singleLevel"/>
    <w:tmpl w:val="AD831A2E"/>
    <w:lvl w:ilvl="0" w:tentative="0">
      <w:start w:val="1"/>
      <w:numFmt w:val="chineseCounting"/>
      <w:suff w:val="nothing"/>
      <w:lvlText w:val="%1、"/>
      <w:lvlJc w:val="left"/>
      <w:rPr>
        <w:rFonts w:hint="eastAsia"/>
      </w:rPr>
    </w:lvl>
  </w:abstractNum>
  <w:abstractNum w:abstractNumId="2">
    <w:nsid w:val="B30B4618"/>
    <w:multiLevelType w:val="singleLevel"/>
    <w:tmpl w:val="B30B4618"/>
    <w:lvl w:ilvl="0" w:tentative="0">
      <w:start w:val="1"/>
      <w:numFmt w:val="chineseCounting"/>
      <w:suff w:val="nothing"/>
      <w:lvlText w:val="（%1）"/>
      <w:lvlJc w:val="left"/>
      <w:pPr>
        <w:ind w:left="-140"/>
      </w:pPr>
      <w:rPr>
        <w:rFonts w:hint="eastAsia"/>
      </w:rPr>
    </w:lvl>
  </w:abstractNum>
  <w:abstractNum w:abstractNumId="3">
    <w:nsid w:val="00000001"/>
    <w:multiLevelType w:val="multilevel"/>
    <w:tmpl w:val="00000001"/>
    <w:lvl w:ilvl="0" w:tentative="0">
      <w:start w:val="1"/>
      <w:numFmt w:val="decimal"/>
      <w:suff w:val="nothing"/>
      <w:lvlText w:val="%1、"/>
      <w:lvlJc w:val="left"/>
      <w:rPr>
        <w:lang w:val="en-US"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pStyle w:val="135"/>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9"/>
    <w:multiLevelType w:val="multilevel"/>
    <w:tmpl w:val="00000009"/>
    <w:lvl w:ilvl="0" w:tentative="0">
      <w:start w:val="1"/>
      <w:numFmt w:val="decimal"/>
      <w:pStyle w:val="15"/>
      <w:lvlText w:val="%1）"/>
      <w:lvlJc w:val="left"/>
      <w:pPr>
        <w:tabs>
          <w:tab w:val="left" w:pos="960"/>
        </w:tabs>
        <w:ind w:left="960" w:hanging="420"/>
      </w:pPr>
      <w:rPr>
        <w:rFonts w:ascii="宋体" w:hAnsi="宋体" w:eastAsia="宋体" w:cs="Times New Roman"/>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5">
    <w:nsid w:val="0000000C"/>
    <w:multiLevelType w:val="singleLevel"/>
    <w:tmpl w:val="0000000C"/>
    <w:lvl w:ilvl="0" w:tentative="0">
      <w:start w:val="1"/>
      <w:numFmt w:val="decimal"/>
      <w:pStyle w:val="91"/>
      <w:lvlText w:val="%1)"/>
      <w:lvlJc w:val="left"/>
      <w:pPr>
        <w:tabs>
          <w:tab w:val="left" w:pos="1758"/>
        </w:tabs>
        <w:ind w:left="1758" w:hanging="511"/>
      </w:pPr>
    </w:lvl>
  </w:abstractNum>
  <w:abstractNum w:abstractNumId="6">
    <w:nsid w:val="13D1D4E4"/>
    <w:multiLevelType w:val="singleLevel"/>
    <w:tmpl w:val="13D1D4E4"/>
    <w:lvl w:ilvl="0" w:tentative="0">
      <w:start w:val="5"/>
      <w:numFmt w:val="chineseCounting"/>
      <w:suff w:val="nothing"/>
      <w:lvlText w:val="%1、"/>
      <w:lvlJc w:val="left"/>
      <w:rPr>
        <w:rFonts w:hint="eastAsia"/>
      </w:rPr>
    </w:lvl>
  </w:abstractNum>
  <w:abstractNum w:abstractNumId="7">
    <w:nsid w:val="1C3C52E1"/>
    <w:multiLevelType w:val="multilevel"/>
    <w:tmpl w:val="1C3C52E1"/>
    <w:lvl w:ilvl="0" w:tentative="0">
      <w:start w:val="1"/>
      <w:numFmt w:val="decimal"/>
      <w:lvlText w:val="（%1）"/>
      <w:lvlJc w:val="left"/>
      <w:pPr>
        <w:tabs>
          <w:tab w:val="left" w:pos="1080"/>
        </w:tabs>
        <w:ind w:left="1080" w:hanging="10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152"/>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9">
    <w:nsid w:val="4FB762A7"/>
    <w:multiLevelType w:val="singleLevel"/>
    <w:tmpl w:val="4FB762A7"/>
    <w:lvl w:ilvl="0" w:tentative="0">
      <w:start w:val="3"/>
      <w:numFmt w:val="decimal"/>
      <w:suff w:val="nothing"/>
      <w:lvlText w:val="%1．"/>
      <w:lvlJc w:val="left"/>
    </w:lvl>
  </w:abstractNum>
  <w:abstractNum w:abstractNumId="10">
    <w:nsid w:val="57D2CDB6"/>
    <w:multiLevelType w:val="singleLevel"/>
    <w:tmpl w:val="57D2CDB6"/>
    <w:lvl w:ilvl="0" w:tentative="0">
      <w:start w:val="6"/>
      <w:numFmt w:val="chineseCounting"/>
      <w:suff w:val="space"/>
      <w:lvlText w:val="第%1章"/>
      <w:lvlJc w:val="left"/>
      <w:rPr>
        <w:rFonts w:hint="eastAsia"/>
      </w:rPr>
    </w:lvl>
  </w:abstractNum>
  <w:num w:numId="1">
    <w:abstractNumId w:val="4"/>
  </w:num>
  <w:num w:numId="2">
    <w:abstractNumId w:val="5"/>
  </w:num>
  <w:num w:numId="3">
    <w:abstractNumId w:val="3"/>
  </w:num>
  <w:num w:numId="4">
    <w:abstractNumId w:val="8"/>
  </w:num>
  <w:num w:numId="5">
    <w:abstractNumId w:val="9"/>
  </w:num>
  <w:num w:numId="6">
    <w:abstractNumId w:val="2"/>
  </w:num>
  <w:num w:numId="7">
    <w:abstractNumId w:val="0"/>
  </w:num>
  <w:num w:numId="8">
    <w:abstractNumId w:val="1"/>
  </w:num>
  <w:num w:numId="9">
    <w:abstractNumId w:val="10"/>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kZThmYTNlNWE2NWUwOTRjMDIwZDZiMzNlNjU3ODgifQ=="/>
  </w:docVars>
  <w:rsids>
    <w:rsidRoot w:val="00172A27"/>
    <w:rsid w:val="000004FB"/>
    <w:rsid w:val="00000DD0"/>
    <w:rsid w:val="00001AB6"/>
    <w:rsid w:val="00014A53"/>
    <w:rsid w:val="00015FE6"/>
    <w:rsid w:val="00017768"/>
    <w:rsid w:val="00017F13"/>
    <w:rsid w:val="00020EB6"/>
    <w:rsid w:val="00024761"/>
    <w:rsid w:val="00025027"/>
    <w:rsid w:val="00027D9D"/>
    <w:rsid w:val="00027DD2"/>
    <w:rsid w:val="00037EF7"/>
    <w:rsid w:val="00040269"/>
    <w:rsid w:val="00043D32"/>
    <w:rsid w:val="000567A6"/>
    <w:rsid w:val="00061E1E"/>
    <w:rsid w:val="00064318"/>
    <w:rsid w:val="00067FD9"/>
    <w:rsid w:val="00072174"/>
    <w:rsid w:val="00073640"/>
    <w:rsid w:val="000744DD"/>
    <w:rsid w:val="00075D37"/>
    <w:rsid w:val="000760CA"/>
    <w:rsid w:val="00077897"/>
    <w:rsid w:val="0008480C"/>
    <w:rsid w:val="00084C5B"/>
    <w:rsid w:val="00091F8C"/>
    <w:rsid w:val="00092725"/>
    <w:rsid w:val="000969C5"/>
    <w:rsid w:val="00097733"/>
    <w:rsid w:val="00097D14"/>
    <w:rsid w:val="000A4633"/>
    <w:rsid w:val="000A540D"/>
    <w:rsid w:val="000A6722"/>
    <w:rsid w:val="000B1F4A"/>
    <w:rsid w:val="000B3108"/>
    <w:rsid w:val="000B351D"/>
    <w:rsid w:val="000C328B"/>
    <w:rsid w:val="000C748F"/>
    <w:rsid w:val="000D0ADE"/>
    <w:rsid w:val="000D11D0"/>
    <w:rsid w:val="000D3C1C"/>
    <w:rsid w:val="000D4A23"/>
    <w:rsid w:val="000D5E88"/>
    <w:rsid w:val="000D7462"/>
    <w:rsid w:val="000E30D3"/>
    <w:rsid w:val="000E7D22"/>
    <w:rsid w:val="0010065A"/>
    <w:rsid w:val="001037E0"/>
    <w:rsid w:val="001047DE"/>
    <w:rsid w:val="00104CFF"/>
    <w:rsid w:val="00107FDB"/>
    <w:rsid w:val="001147FE"/>
    <w:rsid w:val="0011496B"/>
    <w:rsid w:val="00114CF7"/>
    <w:rsid w:val="00116882"/>
    <w:rsid w:val="00120D70"/>
    <w:rsid w:val="00121FFD"/>
    <w:rsid w:val="00126E1C"/>
    <w:rsid w:val="0013507A"/>
    <w:rsid w:val="00137CA4"/>
    <w:rsid w:val="0014183B"/>
    <w:rsid w:val="00145F36"/>
    <w:rsid w:val="001465D4"/>
    <w:rsid w:val="00151413"/>
    <w:rsid w:val="00153148"/>
    <w:rsid w:val="00160D52"/>
    <w:rsid w:val="00171CB0"/>
    <w:rsid w:val="0017378A"/>
    <w:rsid w:val="00177CD6"/>
    <w:rsid w:val="001856A9"/>
    <w:rsid w:val="00190149"/>
    <w:rsid w:val="001939DB"/>
    <w:rsid w:val="0019537B"/>
    <w:rsid w:val="001A47AD"/>
    <w:rsid w:val="001A63D9"/>
    <w:rsid w:val="001B466C"/>
    <w:rsid w:val="001B77E8"/>
    <w:rsid w:val="001C01E7"/>
    <w:rsid w:val="001C0991"/>
    <w:rsid w:val="001C0C15"/>
    <w:rsid w:val="001C105D"/>
    <w:rsid w:val="001C1D8D"/>
    <w:rsid w:val="001D377F"/>
    <w:rsid w:val="001D5DB8"/>
    <w:rsid w:val="001D7682"/>
    <w:rsid w:val="001E1095"/>
    <w:rsid w:val="001E241C"/>
    <w:rsid w:val="001E3AF1"/>
    <w:rsid w:val="001E7CB4"/>
    <w:rsid w:val="001E7EF8"/>
    <w:rsid w:val="001F56B2"/>
    <w:rsid w:val="001F586E"/>
    <w:rsid w:val="00201581"/>
    <w:rsid w:val="002056E3"/>
    <w:rsid w:val="002065AF"/>
    <w:rsid w:val="0021053C"/>
    <w:rsid w:val="002107D7"/>
    <w:rsid w:val="00210D20"/>
    <w:rsid w:val="00210D60"/>
    <w:rsid w:val="00211BA7"/>
    <w:rsid w:val="002131D8"/>
    <w:rsid w:val="00213B2E"/>
    <w:rsid w:val="0021422D"/>
    <w:rsid w:val="00214353"/>
    <w:rsid w:val="00232263"/>
    <w:rsid w:val="00232BD8"/>
    <w:rsid w:val="00234447"/>
    <w:rsid w:val="00236C52"/>
    <w:rsid w:val="00237B01"/>
    <w:rsid w:val="00241624"/>
    <w:rsid w:val="00246AB5"/>
    <w:rsid w:val="0025017D"/>
    <w:rsid w:val="002608C2"/>
    <w:rsid w:val="00260C55"/>
    <w:rsid w:val="00261BA2"/>
    <w:rsid w:val="00261C4E"/>
    <w:rsid w:val="00262DB2"/>
    <w:rsid w:val="0027202A"/>
    <w:rsid w:val="0027450E"/>
    <w:rsid w:val="002806EB"/>
    <w:rsid w:val="00281B22"/>
    <w:rsid w:val="0028460B"/>
    <w:rsid w:val="00285263"/>
    <w:rsid w:val="00287F39"/>
    <w:rsid w:val="00297DD2"/>
    <w:rsid w:val="002A2D02"/>
    <w:rsid w:val="002B052D"/>
    <w:rsid w:val="002B1A48"/>
    <w:rsid w:val="002B506A"/>
    <w:rsid w:val="002C244D"/>
    <w:rsid w:val="002C7AB4"/>
    <w:rsid w:val="002D053F"/>
    <w:rsid w:val="002D10F5"/>
    <w:rsid w:val="002D317C"/>
    <w:rsid w:val="002D3D24"/>
    <w:rsid w:val="002E0B02"/>
    <w:rsid w:val="002F420F"/>
    <w:rsid w:val="003030EF"/>
    <w:rsid w:val="00306501"/>
    <w:rsid w:val="00310809"/>
    <w:rsid w:val="003134C4"/>
    <w:rsid w:val="00313BD6"/>
    <w:rsid w:val="00320D7E"/>
    <w:rsid w:val="00320E86"/>
    <w:rsid w:val="00321AAB"/>
    <w:rsid w:val="00322533"/>
    <w:rsid w:val="003237A0"/>
    <w:rsid w:val="003275BA"/>
    <w:rsid w:val="0033137D"/>
    <w:rsid w:val="00335856"/>
    <w:rsid w:val="00336AB0"/>
    <w:rsid w:val="00340C66"/>
    <w:rsid w:val="00342C43"/>
    <w:rsid w:val="00343B40"/>
    <w:rsid w:val="00347197"/>
    <w:rsid w:val="00350099"/>
    <w:rsid w:val="00350E30"/>
    <w:rsid w:val="00351340"/>
    <w:rsid w:val="00367CD2"/>
    <w:rsid w:val="00370361"/>
    <w:rsid w:val="00372898"/>
    <w:rsid w:val="0038539C"/>
    <w:rsid w:val="00390C03"/>
    <w:rsid w:val="003953A3"/>
    <w:rsid w:val="003A02DC"/>
    <w:rsid w:val="003A370F"/>
    <w:rsid w:val="003A54C1"/>
    <w:rsid w:val="003B2C00"/>
    <w:rsid w:val="003B4CD6"/>
    <w:rsid w:val="003B6A83"/>
    <w:rsid w:val="003C3FC2"/>
    <w:rsid w:val="003D3534"/>
    <w:rsid w:val="003D3BDD"/>
    <w:rsid w:val="003D4C34"/>
    <w:rsid w:val="003E0C08"/>
    <w:rsid w:val="003E2AA3"/>
    <w:rsid w:val="003E7D5C"/>
    <w:rsid w:val="003F16E1"/>
    <w:rsid w:val="003F3037"/>
    <w:rsid w:val="004015B6"/>
    <w:rsid w:val="0040251B"/>
    <w:rsid w:val="004056B6"/>
    <w:rsid w:val="00406264"/>
    <w:rsid w:val="0040705C"/>
    <w:rsid w:val="004110A0"/>
    <w:rsid w:val="00411BB6"/>
    <w:rsid w:val="00416E3A"/>
    <w:rsid w:val="00422DFF"/>
    <w:rsid w:val="0042400D"/>
    <w:rsid w:val="00426502"/>
    <w:rsid w:val="00430025"/>
    <w:rsid w:val="0044575E"/>
    <w:rsid w:val="00451482"/>
    <w:rsid w:val="0045408A"/>
    <w:rsid w:val="00455C45"/>
    <w:rsid w:val="00460A30"/>
    <w:rsid w:val="00462847"/>
    <w:rsid w:val="00464B83"/>
    <w:rsid w:val="00473609"/>
    <w:rsid w:val="0047422A"/>
    <w:rsid w:val="0048403B"/>
    <w:rsid w:val="0048715D"/>
    <w:rsid w:val="004903CD"/>
    <w:rsid w:val="004907CB"/>
    <w:rsid w:val="00493228"/>
    <w:rsid w:val="0049599C"/>
    <w:rsid w:val="0049767A"/>
    <w:rsid w:val="00497E68"/>
    <w:rsid w:val="004A2F87"/>
    <w:rsid w:val="004A33A9"/>
    <w:rsid w:val="004A5F1E"/>
    <w:rsid w:val="004A7178"/>
    <w:rsid w:val="004B38F7"/>
    <w:rsid w:val="004B4337"/>
    <w:rsid w:val="004B52FA"/>
    <w:rsid w:val="004B5BCE"/>
    <w:rsid w:val="004C2A10"/>
    <w:rsid w:val="004C3F86"/>
    <w:rsid w:val="004C4875"/>
    <w:rsid w:val="004C4F81"/>
    <w:rsid w:val="004C7890"/>
    <w:rsid w:val="004C7F7F"/>
    <w:rsid w:val="004D06DD"/>
    <w:rsid w:val="004D29F8"/>
    <w:rsid w:val="004D2A81"/>
    <w:rsid w:val="004D4EF4"/>
    <w:rsid w:val="004D7BF8"/>
    <w:rsid w:val="004E6ED9"/>
    <w:rsid w:val="004F04D6"/>
    <w:rsid w:val="004F2496"/>
    <w:rsid w:val="004F507F"/>
    <w:rsid w:val="004F561F"/>
    <w:rsid w:val="004F6AC6"/>
    <w:rsid w:val="00500217"/>
    <w:rsid w:val="0051113B"/>
    <w:rsid w:val="00516A79"/>
    <w:rsid w:val="00516D8D"/>
    <w:rsid w:val="0052255B"/>
    <w:rsid w:val="005228EE"/>
    <w:rsid w:val="005245F3"/>
    <w:rsid w:val="00524EDD"/>
    <w:rsid w:val="005308A8"/>
    <w:rsid w:val="00535DDD"/>
    <w:rsid w:val="005361C7"/>
    <w:rsid w:val="00536870"/>
    <w:rsid w:val="00536F9C"/>
    <w:rsid w:val="0055168D"/>
    <w:rsid w:val="00554118"/>
    <w:rsid w:val="00554BF7"/>
    <w:rsid w:val="0056336B"/>
    <w:rsid w:val="00563C0B"/>
    <w:rsid w:val="00565D4F"/>
    <w:rsid w:val="005876F4"/>
    <w:rsid w:val="005905CB"/>
    <w:rsid w:val="005A3385"/>
    <w:rsid w:val="005A37F0"/>
    <w:rsid w:val="005B02D6"/>
    <w:rsid w:val="005B36EA"/>
    <w:rsid w:val="005D0025"/>
    <w:rsid w:val="005D1C13"/>
    <w:rsid w:val="005D3177"/>
    <w:rsid w:val="005D4B2C"/>
    <w:rsid w:val="005D4C17"/>
    <w:rsid w:val="005D746B"/>
    <w:rsid w:val="005D7E01"/>
    <w:rsid w:val="005E04E4"/>
    <w:rsid w:val="005E0AA6"/>
    <w:rsid w:val="005E1B29"/>
    <w:rsid w:val="005E58DC"/>
    <w:rsid w:val="005E6130"/>
    <w:rsid w:val="005F33FC"/>
    <w:rsid w:val="005F41F3"/>
    <w:rsid w:val="006106D1"/>
    <w:rsid w:val="00612A73"/>
    <w:rsid w:val="00614904"/>
    <w:rsid w:val="006212DC"/>
    <w:rsid w:val="00622D1E"/>
    <w:rsid w:val="0062715D"/>
    <w:rsid w:val="00631153"/>
    <w:rsid w:val="0064008B"/>
    <w:rsid w:val="00643D87"/>
    <w:rsid w:val="00647170"/>
    <w:rsid w:val="00651889"/>
    <w:rsid w:val="00653E9F"/>
    <w:rsid w:val="00655F9E"/>
    <w:rsid w:val="006615F2"/>
    <w:rsid w:val="006651CC"/>
    <w:rsid w:val="006665C5"/>
    <w:rsid w:val="00672C53"/>
    <w:rsid w:val="00673238"/>
    <w:rsid w:val="00675823"/>
    <w:rsid w:val="006846A1"/>
    <w:rsid w:val="0069258E"/>
    <w:rsid w:val="006A35F7"/>
    <w:rsid w:val="006A3DE0"/>
    <w:rsid w:val="006A41B1"/>
    <w:rsid w:val="006A6BDF"/>
    <w:rsid w:val="006A7401"/>
    <w:rsid w:val="006B09E8"/>
    <w:rsid w:val="006B2426"/>
    <w:rsid w:val="006B2D9C"/>
    <w:rsid w:val="006B364B"/>
    <w:rsid w:val="006B4874"/>
    <w:rsid w:val="006B6F76"/>
    <w:rsid w:val="006C300F"/>
    <w:rsid w:val="006C47DA"/>
    <w:rsid w:val="006C6066"/>
    <w:rsid w:val="006C6616"/>
    <w:rsid w:val="006C7083"/>
    <w:rsid w:val="006C752E"/>
    <w:rsid w:val="006D1AB5"/>
    <w:rsid w:val="006D21DC"/>
    <w:rsid w:val="006D3F48"/>
    <w:rsid w:val="006D6A19"/>
    <w:rsid w:val="006E576D"/>
    <w:rsid w:val="006E7B30"/>
    <w:rsid w:val="006F0D6F"/>
    <w:rsid w:val="006F14D8"/>
    <w:rsid w:val="00704A89"/>
    <w:rsid w:val="0071372E"/>
    <w:rsid w:val="007210D5"/>
    <w:rsid w:val="00721C6E"/>
    <w:rsid w:val="00726E6E"/>
    <w:rsid w:val="007275AF"/>
    <w:rsid w:val="007305EE"/>
    <w:rsid w:val="00736E35"/>
    <w:rsid w:val="00737422"/>
    <w:rsid w:val="007374C1"/>
    <w:rsid w:val="0074622C"/>
    <w:rsid w:val="007533B0"/>
    <w:rsid w:val="00754497"/>
    <w:rsid w:val="00756E3E"/>
    <w:rsid w:val="007607C5"/>
    <w:rsid w:val="00760B8F"/>
    <w:rsid w:val="00760F6D"/>
    <w:rsid w:val="007611F9"/>
    <w:rsid w:val="007623D0"/>
    <w:rsid w:val="00763950"/>
    <w:rsid w:val="00773D87"/>
    <w:rsid w:val="00773F0A"/>
    <w:rsid w:val="007742BA"/>
    <w:rsid w:val="0077532A"/>
    <w:rsid w:val="00783D49"/>
    <w:rsid w:val="00783F95"/>
    <w:rsid w:val="007911CA"/>
    <w:rsid w:val="007919CB"/>
    <w:rsid w:val="00793F7F"/>
    <w:rsid w:val="0079440C"/>
    <w:rsid w:val="007973F4"/>
    <w:rsid w:val="007A03C0"/>
    <w:rsid w:val="007A03E1"/>
    <w:rsid w:val="007A2100"/>
    <w:rsid w:val="007A4B1F"/>
    <w:rsid w:val="007B1812"/>
    <w:rsid w:val="007B18BF"/>
    <w:rsid w:val="007B7786"/>
    <w:rsid w:val="007C0E78"/>
    <w:rsid w:val="007D07E2"/>
    <w:rsid w:val="007D4827"/>
    <w:rsid w:val="007D5A56"/>
    <w:rsid w:val="007D5FCF"/>
    <w:rsid w:val="007D719F"/>
    <w:rsid w:val="007E29AF"/>
    <w:rsid w:val="007E39C9"/>
    <w:rsid w:val="007E5433"/>
    <w:rsid w:val="007E55DE"/>
    <w:rsid w:val="007E569B"/>
    <w:rsid w:val="007F77A9"/>
    <w:rsid w:val="00800E4A"/>
    <w:rsid w:val="00805BA9"/>
    <w:rsid w:val="008062CB"/>
    <w:rsid w:val="00811678"/>
    <w:rsid w:val="008120DB"/>
    <w:rsid w:val="00812D2D"/>
    <w:rsid w:val="00821BDD"/>
    <w:rsid w:val="00832F56"/>
    <w:rsid w:val="00835D3B"/>
    <w:rsid w:val="008400B0"/>
    <w:rsid w:val="00841BAF"/>
    <w:rsid w:val="008436B6"/>
    <w:rsid w:val="008502B8"/>
    <w:rsid w:val="00854E3E"/>
    <w:rsid w:val="00856A59"/>
    <w:rsid w:val="008579E9"/>
    <w:rsid w:val="00857E27"/>
    <w:rsid w:val="00862B55"/>
    <w:rsid w:val="00863DFD"/>
    <w:rsid w:val="0086423F"/>
    <w:rsid w:val="00874550"/>
    <w:rsid w:val="008749E2"/>
    <w:rsid w:val="00876858"/>
    <w:rsid w:val="008850AC"/>
    <w:rsid w:val="00893DA1"/>
    <w:rsid w:val="00895479"/>
    <w:rsid w:val="008A37E3"/>
    <w:rsid w:val="008A39E1"/>
    <w:rsid w:val="008A6766"/>
    <w:rsid w:val="008A6887"/>
    <w:rsid w:val="008B0EFB"/>
    <w:rsid w:val="008B1021"/>
    <w:rsid w:val="008B102A"/>
    <w:rsid w:val="008B5D97"/>
    <w:rsid w:val="008B6AB6"/>
    <w:rsid w:val="008C40CD"/>
    <w:rsid w:val="008C7F07"/>
    <w:rsid w:val="008D1C34"/>
    <w:rsid w:val="008D4C5F"/>
    <w:rsid w:val="008D55E2"/>
    <w:rsid w:val="008E308E"/>
    <w:rsid w:val="008E4899"/>
    <w:rsid w:val="008F2F0D"/>
    <w:rsid w:val="008F5007"/>
    <w:rsid w:val="00902590"/>
    <w:rsid w:val="00904D2C"/>
    <w:rsid w:val="009072C3"/>
    <w:rsid w:val="00910849"/>
    <w:rsid w:val="009139BA"/>
    <w:rsid w:val="009176D0"/>
    <w:rsid w:val="00923FD2"/>
    <w:rsid w:val="0092595F"/>
    <w:rsid w:val="00930531"/>
    <w:rsid w:val="00932285"/>
    <w:rsid w:val="00936C71"/>
    <w:rsid w:val="0093785B"/>
    <w:rsid w:val="00941844"/>
    <w:rsid w:val="00942C64"/>
    <w:rsid w:val="00943CB7"/>
    <w:rsid w:val="0094779A"/>
    <w:rsid w:val="0095119F"/>
    <w:rsid w:val="00954EEA"/>
    <w:rsid w:val="009672ED"/>
    <w:rsid w:val="0097057A"/>
    <w:rsid w:val="00970A1B"/>
    <w:rsid w:val="00974BEC"/>
    <w:rsid w:val="009764FE"/>
    <w:rsid w:val="009850EE"/>
    <w:rsid w:val="00987EE4"/>
    <w:rsid w:val="009927EC"/>
    <w:rsid w:val="009931FF"/>
    <w:rsid w:val="009A0A50"/>
    <w:rsid w:val="009A7DC1"/>
    <w:rsid w:val="009B6C4A"/>
    <w:rsid w:val="009C1CC7"/>
    <w:rsid w:val="009D2F3A"/>
    <w:rsid w:val="009E66E5"/>
    <w:rsid w:val="009F66BD"/>
    <w:rsid w:val="009F6EA5"/>
    <w:rsid w:val="009F7C8D"/>
    <w:rsid w:val="00A001BC"/>
    <w:rsid w:val="00A06357"/>
    <w:rsid w:val="00A12ED0"/>
    <w:rsid w:val="00A17B1E"/>
    <w:rsid w:val="00A20668"/>
    <w:rsid w:val="00A20A9E"/>
    <w:rsid w:val="00A226C4"/>
    <w:rsid w:val="00A26433"/>
    <w:rsid w:val="00A30910"/>
    <w:rsid w:val="00A321E9"/>
    <w:rsid w:val="00A32F76"/>
    <w:rsid w:val="00A33868"/>
    <w:rsid w:val="00A34DE2"/>
    <w:rsid w:val="00A432FF"/>
    <w:rsid w:val="00A46FB1"/>
    <w:rsid w:val="00A4725D"/>
    <w:rsid w:val="00A477EC"/>
    <w:rsid w:val="00A47A46"/>
    <w:rsid w:val="00A612B1"/>
    <w:rsid w:val="00A657E6"/>
    <w:rsid w:val="00A67833"/>
    <w:rsid w:val="00A67BEB"/>
    <w:rsid w:val="00A71CDE"/>
    <w:rsid w:val="00A73072"/>
    <w:rsid w:val="00A73FBC"/>
    <w:rsid w:val="00A747D6"/>
    <w:rsid w:val="00A7639D"/>
    <w:rsid w:val="00A764BF"/>
    <w:rsid w:val="00A77128"/>
    <w:rsid w:val="00A80A26"/>
    <w:rsid w:val="00A80DA0"/>
    <w:rsid w:val="00A81606"/>
    <w:rsid w:val="00A91B06"/>
    <w:rsid w:val="00A91F22"/>
    <w:rsid w:val="00AA0E36"/>
    <w:rsid w:val="00AA301F"/>
    <w:rsid w:val="00AA50DF"/>
    <w:rsid w:val="00AB35B9"/>
    <w:rsid w:val="00AB3A93"/>
    <w:rsid w:val="00AB4F06"/>
    <w:rsid w:val="00AB6131"/>
    <w:rsid w:val="00AD3755"/>
    <w:rsid w:val="00AE0DA6"/>
    <w:rsid w:val="00AE1848"/>
    <w:rsid w:val="00AE280C"/>
    <w:rsid w:val="00AF1798"/>
    <w:rsid w:val="00B02953"/>
    <w:rsid w:val="00B03AF0"/>
    <w:rsid w:val="00B10010"/>
    <w:rsid w:val="00B13438"/>
    <w:rsid w:val="00B13AB7"/>
    <w:rsid w:val="00B13DF3"/>
    <w:rsid w:val="00B31C92"/>
    <w:rsid w:val="00B3658A"/>
    <w:rsid w:val="00B42DE0"/>
    <w:rsid w:val="00B52D9C"/>
    <w:rsid w:val="00B550D2"/>
    <w:rsid w:val="00B5590E"/>
    <w:rsid w:val="00B56AE1"/>
    <w:rsid w:val="00B62500"/>
    <w:rsid w:val="00B6587F"/>
    <w:rsid w:val="00B74EE7"/>
    <w:rsid w:val="00B76247"/>
    <w:rsid w:val="00B829B5"/>
    <w:rsid w:val="00B841B3"/>
    <w:rsid w:val="00B84997"/>
    <w:rsid w:val="00B877D3"/>
    <w:rsid w:val="00B904DD"/>
    <w:rsid w:val="00BA63F4"/>
    <w:rsid w:val="00BA799D"/>
    <w:rsid w:val="00BB0436"/>
    <w:rsid w:val="00BB4EA5"/>
    <w:rsid w:val="00BC0279"/>
    <w:rsid w:val="00BC0ED4"/>
    <w:rsid w:val="00BC196F"/>
    <w:rsid w:val="00BD1332"/>
    <w:rsid w:val="00BD52A5"/>
    <w:rsid w:val="00BD5E3E"/>
    <w:rsid w:val="00BE333C"/>
    <w:rsid w:val="00BE591C"/>
    <w:rsid w:val="00BE5FE2"/>
    <w:rsid w:val="00BF12AC"/>
    <w:rsid w:val="00BF2FD9"/>
    <w:rsid w:val="00BF6F66"/>
    <w:rsid w:val="00BF7A9E"/>
    <w:rsid w:val="00C05D3D"/>
    <w:rsid w:val="00C07DF4"/>
    <w:rsid w:val="00C106C7"/>
    <w:rsid w:val="00C119C8"/>
    <w:rsid w:val="00C12DD4"/>
    <w:rsid w:val="00C37C84"/>
    <w:rsid w:val="00C410CB"/>
    <w:rsid w:val="00C442C5"/>
    <w:rsid w:val="00C46B77"/>
    <w:rsid w:val="00C47CEA"/>
    <w:rsid w:val="00C53549"/>
    <w:rsid w:val="00C5354A"/>
    <w:rsid w:val="00C55FD9"/>
    <w:rsid w:val="00C6001E"/>
    <w:rsid w:val="00C64A6C"/>
    <w:rsid w:val="00C73196"/>
    <w:rsid w:val="00C7339C"/>
    <w:rsid w:val="00C7603A"/>
    <w:rsid w:val="00C77DEF"/>
    <w:rsid w:val="00C81262"/>
    <w:rsid w:val="00C84940"/>
    <w:rsid w:val="00C94E53"/>
    <w:rsid w:val="00CA0458"/>
    <w:rsid w:val="00CA1D74"/>
    <w:rsid w:val="00CB00DD"/>
    <w:rsid w:val="00CB31A5"/>
    <w:rsid w:val="00CB414A"/>
    <w:rsid w:val="00CB4258"/>
    <w:rsid w:val="00CB7EF5"/>
    <w:rsid w:val="00CC17EC"/>
    <w:rsid w:val="00CC257D"/>
    <w:rsid w:val="00CC2684"/>
    <w:rsid w:val="00CC7812"/>
    <w:rsid w:val="00CD12B8"/>
    <w:rsid w:val="00CD4AA1"/>
    <w:rsid w:val="00CE0FEB"/>
    <w:rsid w:val="00CE21F7"/>
    <w:rsid w:val="00CE52DF"/>
    <w:rsid w:val="00CE5FC2"/>
    <w:rsid w:val="00CF749D"/>
    <w:rsid w:val="00D009B1"/>
    <w:rsid w:val="00D05CF9"/>
    <w:rsid w:val="00D10A92"/>
    <w:rsid w:val="00D15773"/>
    <w:rsid w:val="00D20C96"/>
    <w:rsid w:val="00D26881"/>
    <w:rsid w:val="00D26C37"/>
    <w:rsid w:val="00D312A3"/>
    <w:rsid w:val="00D32A45"/>
    <w:rsid w:val="00D338D4"/>
    <w:rsid w:val="00D3398C"/>
    <w:rsid w:val="00D37865"/>
    <w:rsid w:val="00D40396"/>
    <w:rsid w:val="00D457D6"/>
    <w:rsid w:val="00D460D3"/>
    <w:rsid w:val="00D47203"/>
    <w:rsid w:val="00D6021A"/>
    <w:rsid w:val="00D6296E"/>
    <w:rsid w:val="00D64733"/>
    <w:rsid w:val="00D66E8B"/>
    <w:rsid w:val="00D73458"/>
    <w:rsid w:val="00D906FA"/>
    <w:rsid w:val="00D90EC1"/>
    <w:rsid w:val="00D9116A"/>
    <w:rsid w:val="00D95036"/>
    <w:rsid w:val="00DA005E"/>
    <w:rsid w:val="00DA5FBB"/>
    <w:rsid w:val="00DA66EE"/>
    <w:rsid w:val="00DB433D"/>
    <w:rsid w:val="00DB44E4"/>
    <w:rsid w:val="00DB78BE"/>
    <w:rsid w:val="00DC0B79"/>
    <w:rsid w:val="00DC0D37"/>
    <w:rsid w:val="00DC470C"/>
    <w:rsid w:val="00DC61CB"/>
    <w:rsid w:val="00DD4037"/>
    <w:rsid w:val="00DD5323"/>
    <w:rsid w:val="00DD580A"/>
    <w:rsid w:val="00DE0471"/>
    <w:rsid w:val="00DF4A97"/>
    <w:rsid w:val="00DF5557"/>
    <w:rsid w:val="00E0079A"/>
    <w:rsid w:val="00E0126B"/>
    <w:rsid w:val="00E04419"/>
    <w:rsid w:val="00E047CF"/>
    <w:rsid w:val="00E0579B"/>
    <w:rsid w:val="00E0788A"/>
    <w:rsid w:val="00E11607"/>
    <w:rsid w:val="00E16494"/>
    <w:rsid w:val="00E20DF0"/>
    <w:rsid w:val="00E21FDD"/>
    <w:rsid w:val="00E2317C"/>
    <w:rsid w:val="00E30E48"/>
    <w:rsid w:val="00E37FAA"/>
    <w:rsid w:val="00E442C5"/>
    <w:rsid w:val="00E4724A"/>
    <w:rsid w:val="00E47E23"/>
    <w:rsid w:val="00E50472"/>
    <w:rsid w:val="00E55C6D"/>
    <w:rsid w:val="00E56D14"/>
    <w:rsid w:val="00E630BD"/>
    <w:rsid w:val="00E7125E"/>
    <w:rsid w:val="00E859C5"/>
    <w:rsid w:val="00E86E00"/>
    <w:rsid w:val="00E9011C"/>
    <w:rsid w:val="00E90467"/>
    <w:rsid w:val="00E90BED"/>
    <w:rsid w:val="00E91FF7"/>
    <w:rsid w:val="00E95348"/>
    <w:rsid w:val="00EA095E"/>
    <w:rsid w:val="00EA09B5"/>
    <w:rsid w:val="00EA10B5"/>
    <w:rsid w:val="00EA2144"/>
    <w:rsid w:val="00EA5C97"/>
    <w:rsid w:val="00EA5FC7"/>
    <w:rsid w:val="00EB136B"/>
    <w:rsid w:val="00EC1929"/>
    <w:rsid w:val="00EC361E"/>
    <w:rsid w:val="00EC3F85"/>
    <w:rsid w:val="00ED070B"/>
    <w:rsid w:val="00ED1749"/>
    <w:rsid w:val="00ED1F95"/>
    <w:rsid w:val="00ED2FDF"/>
    <w:rsid w:val="00ED58EC"/>
    <w:rsid w:val="00EE14B8"/>
    <w:rsid w:val="00EE24AE"/>
    <w:rsid w:val="00EE5227"/>
    <w:rsid w:val="00EE5435"/>
    <w:rsid w:val="00EF0D6E"/>
    <w:rsid w:val="00EF248F"/>
    <w:rsid w:val="00EF306A"/>
    <w:rsid w:val="00F00D47"/>
    <w:rsid w:val="00F00E39"/>
    <w:rsid w:val="00F046FC"/>
    <w:rsid w:val="00F110BF"/>
    <w:rsid w:val="00F119DB"/>
    <w:rsid w:val="00F120A7"/>
    <w:rsid w:val="00F158A5"/>
    <w:rsid w:val="00F21BCB"/>
    <w:rsid w:val="00F240F4"/>
    <w:rsid w:val="00F3799B"/>
    <w:rsid w:val="00F37D34"/>
    <w:rsid w:val="00F421A8"/>
    <w:rsid w:val="00F43145"/>
    <w:rsid w:val="00F508B2"/>
    <w:rsid w:val="00F567B7"/>
    <w:rsid w:val="00F61657"/>
    <w:rsid w:val="00F61859"/>
    <w:rsid w:val="00F71525"/>
    <w:rsid w:val="00F72040"/>
    <w:rsid w:val="00F76A7C"/>
    <w:rsid w:val="00F77903"/>
    <w:rsid w:val="00F811A9"/>
    <w:rsid w:val="00F81BC5"/>
    <w:rsid w:val="00F821CE"/>
    <w:rsid w:val="00F834C9"/>
    <w:rsid w:val="00F8557F"/>
    <w:rsid w:val="00F91781"/>
    <w:rsid w:val="00F9521F"/>
    <w:rsid w:val="00F97477"/>
    <w:rsid w:val="00FA25F3"/>
    <w:rsid w:val="00FA68F6"/>
    <w:rsid w:val="00FC0FF9"/>
    <w:rsid w:val="00FC4239"/>
    <w:rsid w:val="00FC761F"/>
    <w:rsid w:val="00FD2E0F"/>
    <w:rsid w:val="00FD5602"/>
    <w:rsid w:val="00FE1310"/>
    <w:rsid w:val="00FF3AC2"/>
    <w:rsid w:val="011D6CD4"/>
    <w:rsid w:val="012C687B"/>
    <w:rsid w:val="012D7448"/>
    <w:rsid w:val="013417D6"/>
    <w:rsid w:val="014448B8"/>
    <w:rsid w:val="014B2704"/>
    <w:rsid w:val="017B0921"/>
    <w:rsid w:val="0185498B"/>
    <w:rsid w:val="01CC5F21"/>
    <w:rsid w:val="01CE1437"/>
    <w:rsid w:val="01D943BA"/>
    <w:rsid w:val="01E054EB"/>
    <w:rsid w:val="02500776"/>
    <w:rsid w:val="02610CDF"/>
    <w:rsid w:val="02647ECA"/>
    <w:rsid w:val="026B3589"/>
    <w:rsid w:val="02702D13"/>
    <w:rsid w:val="02816CCE"/>
    <w:rsid w:val="02895B83"/>
    <w:rsid w:val="029562D6"/>
    <w:rsid w:val="02A94B7D"/>
    <w:rsid w:val="02B701C1"/>
    <w:rsid w:val="02B81FC4"/>
    <w:rsid w:val="02C31748"/>
    <w:rsid w:val="02C4107E"/>
    <w:rsid w:val="02D20053"/>
    <w:rsid w:val="02D54924"/>
    <w:rsid w:val="02DA018C"/>
    <w:rsid w:val="02ED7EC0"/>
    <w:rsid w:val="0314051C"/>
    <w:rsid w:val="0378236D"/>
    <w:rsid w:val="039E49C9"/>
    <w:rsid w:val="03B15391"/>
    <w:rsid w:val="03C54999"/>
    <w:rsid w:val="03CB357B"/>
    <w:rsid w:val="03D6755C"/>
    <w:rsid w:val="03FB1FCA"/>
    <w:rsid w:val="040C173C"/>
    <w:rsid w:val="04262BAF"/>
    <w:rsid w:val="0451478F"/>
    <w:rsid w:val="045F165D"/>
    <w:rsid w:val="04B30C95"/>
    <w:rsid w:val="04E44D61"/>
    <w:rsid w:val="05114C01"/>
    <w:rsid w:val="05722829"/>
    <w:rsid w:val="058646A1"/>
    <w:rsid w:val="059470DA"/>
    <w:rsid w:val="05A21435"/>
    <w:rsid w:val="05AD2517"/>
    <w:rsid w:val="05AD6835"/>
    <w:rsid w:val="05B77A17"/>
    <w:rsid w:val="05BC06C6"/>
    <w:rsid w:val="05BF6538"/>
    <w:rsid w:val="05DD3F1A"/>
    <w:rsid w:val="05F3647C"/>
    <w:rsid w:val="05F51599"/>
    <w:rsid w:val="06336531"/>
    <w:rsid w:val="0636005F"/>
    <w:rsid w:val="064B2D53"/>
    <w:rsid w:val="06563FCE"/>
    <w:rsid w:val="066A4EB6"/>
    <w:rsid w:val="067A224C"/>
    <w:rsid w:val="06976AC0"/>
    <w:rsid w:val="06EC048E"/>
    <w:rsid w:val="070E3C70"/>
    <w:rsid w:val="071E0F8F"/>
    <w:rsid w:val="072C44ED"/>
    <w:rsid w:val="07511094"/>
    <w:rsid w:val="07A25DD3"/>
    <w:rsid w:val="07B05C4E"/>
    <w:rsid w:val="07BB67D3"/>
    <w:rsid w:val="07E86CFB"/>
    <w:rsid w:val="07EC2430"/>
    <w:rsid w:val="07F53E98"/>
    <w:rsid w:val="08043B69"/>
    <w:rsid w:val="080E5E9A"/>
    <w:rsid w:val="080F5C0F"/>
    <w:rsid w:val="082D0D5E"/>
    <w:rsid w:val="084762C4"/>
    <w:rsid w:val="08542D5F"/>
    <w:rsid w:val="08770A71"/>
    <w:rsid w:val="087E0619"/>
    <w:rsid w:val="08964B56"/>
    <w:rsid w:val="08D832FB"/>
    <w:rsid w:val="090E0B90"/>
    <w:rsid w:val="093E76C7"/>
    <w:rsid w:val="09411B2E"/>
    <w:rsid w:val="09446DE8"/>
    <w:rsid w:val="095343D8"/>
    <w:rsid w:val="096D58B6"/>
    <w:rsid w:val="0972362F"/>
    <w:rsid w:val="097A6AC9"/>
    <w:rsid w:val="09946D2D"/>
    <w:rsid w:val="09A83C3F"/>
    <w:rsid w:val="09AB4631"/>
    <w:rsid w:val="09D40332"/>
    <w:rsid w:val="09DB4F16"/>
    <w:rsid w:val="09FA41BD"/>
    <w:rsid w:val="0A0D6497"/>
    <w:rsid w:val="0A1925E4"/>
    <w:rsid w:val="0A1C483F"/>
    <w:rsid w:val="0A285C81"/>
    <w:rsid w:val="0A2A66B2"/>
    <w:rsid w:val="0A456C7B"/>
    <w:rsid w:val="0A582F68"/>
    <w:rsid w:val="0A59476C"/>
    <w:rsid w:val="0A5F6BE4"/>
    <w:rsid w:val="0A616013"/>
    <w:rsid w:val="0A6E62C8"/>
    <w:rsid w:val="0A8A729B"/>
    <w:rsid w:val="0A95718E"/>
    <w:rsid w:val="0AA34D2A"/>
    <w:rsid w:val="0AAC68B2"/>
    <w:rsid w:val="0AD26E88"/>
    <w:rsid w:val="0ADD4CBE"/>
    <w:rsid w:val="0ADF0A36"/>
    <w:rsid w:val="0AF3628F"/>
    <w:rsid w:val="0AF67B2D"/>
    <w:rsid w:val="0B0F299D"/>
    <w:rsid w:val="0B352404"/>
    <w:rsid w:val="0B5A00BC"/>
    <w:rsid w:val="0B884C29"/>
    <w:rsid w:val="0B8E5BEE"/>
    <w:rsid w:val="0B940138"/>
    <w:rsid w:val="0BBB27BC"/>
    <w:rsid w:val="0BBC48D3"/>
    <w:rsid w:val="0BD70D04"/>
    <w:rsid w:val="0BE616E7"/>
    <w:rsid w:val="0BF5443C"/>
    <w:rsid w:val="0BF8603B"/>
    <w:rsid w:val="0BFE428A"/>
    <w:rsid w:val="0C131DE7"/>
    <w:rsid w:val="0C1776D8"/>
    <w:rsid w:val="0C1C796E"/>
    <w:rsid w:val="0C897527"/>
    <w:rsid w:val="0C8B7478"/>
    <w:rsid w:val="0C9B098C"/>
    <w:rsid w:val="0CAE706F"/>
    <w:rsid w:val="0CB40DE6"/>
    <w:rsid w:val="0CE314DC"/>
    <w:rsid w:val="0CE642FD"/>
    <w:rsid w:val="0CE9794A"/>
    <w:rsid w:val="0D0429D6"/>
    <w:rsid w:val="0D186481"/>
    <w:rsid w:val="0D1D7A64"/>
    <w:rsid w:val="0D2C7710"/>
    <w:rsid w:val="0D3C6984"/>
    <w:rsid w:val="0D4731DE"/>
    <w:rsid w:val="0D7A6610"/>
    <w:rsid w:val="0D7C256C"/>
    <w:rsid w:val="0D933D59"/>
    <w:rsid w:val="0DAE298D"/>
    <w:rsid w:val="0DC07E37"/>
    <w:rsid w:val="0DE303E5"/>
    <w:rsid w:val="0DF02531"/>
    <w:rsid w:val="0DFC0D38"/>
    <w:rsid w:val="0E083E00"/>
    <w:rsid w:val="0E252E5C"/>
    <w:rsid w:val="0E4868F2"/>
    <w:rsid w:val="0E5232CD"/>
    <w:rsid w:val="0E8862F1"/>
    <w:rsid w:val="0E8A0CB9"/>
    <w:rsid w:val="0E8B04D9"/>
    <w:rsid w:val="0E8F345F"/>
    <w:rsid w:val="0E8F48E3"/>
    <w:rsid w:val="0E9B3CA5"/>
    <w:rsid w:val="0EB57A4D"/>
    <w:rsid w:val="0EDB39C9"/>
    <w:rsid w:val="0EDF32E1"/>
    <w:rsid w:val="0EE228A3"/>
    <w:rsid w:val="0EE54042"/>
    <w:rsid w:val="0EFD592E"/>
    <w:rsid w:val="0F022F45"/>
    <w:rsid w:val="0F182768"/>
    <w:rsid w:val="0F1E4424"/>
    <w:rsid w:val="0F334BAB"/>
    <w:rsid w:val="0F4C27CC"/>
    <w:rsid w:val="0F59664D"/>
    <w:rsid w:val="0F704A5E"/>
    <w:rsid w:val="0F7244C4"/>
    <w:rsid w:val="0F7F6D6C"/>
    <w:rsid w:val="0F8050EF"/>
    <w:rsid w:val="0F8C16B4"/>
    <w:rsid w:val="0F991EFA"/>
    <w:rsid w:val="0FAD6545"/>
    <w:rsid w:val="0FB73D2F"/>
    <w:rsid w:val="0FD86CD0"/>
    <w:rsid w:val="100920B1"/>
    <w:rsid w:val="101567A5"/>
    <w:rsid w:val="10183048"/>
    <w:rsid w:val="102E6819"/>
    <w:rsid w:val="10691803"/>
    <w:rsid w:val="10741C20"/>
    <w:rsid w:val="1081433D"/>
    <w:rsid w:val="109D5849"/>
    <w:rsid w:val="10A67900"/>
    <w:rsid w:val="10C4552B"/>
    <w:rsid w:val="112146D9"/>
    <w:rsid w:val="112B220E"/>
    <w:rsid w:val="1136446A"/>
    <w:rsid w:val="117A47A1"/>
    <w:rsid w:val="118B5473"/>
    <w:rsid w:val="119018D4"/>
    <w:rsid w:val="119D2E2A"/>
    <w:rsid w:val="11A303F8"/>
    <w:rsid w:val="11B35303"/>
    <w:rsid w:val="11C77AFF"/>
    <w:rsid w:val="11DC7A7D"/>
    <w:rsid w:val="11E93F48"/>
    <w:rsid w:val="1221242B"/>
    <w:rsid w:val="12272958"/>
    <w:rsid w:val="125759C3"/>
    <w:rsid w:val="1266127C"/>
    <w:rsid w:val="12AB48A0"/>
    <w:rsid w:val="12B10F0A"/>
    <w:rsid w:val="12CC681D"/>
    <w:rsid w:val="12EF3BFD"/>
    <w:rsid w:val="13072A44"/>
    <w:rsid w:val="13185BD4"/>
    <w:rsid w:val="136252DC"/>
    <w:rsid w:val="13AF2F6F"/>
    <w:rsid w:val="13DE00E2"/>
    <w:rsid w:val="13EA360C"/>
    <w:rsid w:val="14355AF1"/>
    <w:rsid w:val="1446419E"/>
    <w:rsid w:val="14576EEE"/>
    <w:rsid w:val="1462007C"/>
    <w:rsid w:val="148466EE"/>
    <w:rsid w:val="149E34A8"/>
    <w:rsid w:val="14A34882"/>
    <w:rsid w:val="14AA3E63"/>
    <w:rsid w:val="14DD66B7"/>
    <w:rsid w:val="14F73448"/>
    <w:rsid w:val="14F94927"/>
    <w:rsid w:val="14FE41AE"/>
    <w:rsid w:val="151B4D60"/>
    <w:rsid w:val="151D55BB"/>
    <w:rsid w:val="15462E1A"/>
    <w:rsid w:val="154A45F2"/>
    <w:rsid w:val="155C2C83"/>
    <w:rsid w:val="157E2125"/>
    <w:rsid w:val="15CE1DD3"/>
    <w:rsid w:val="15D241DC"/>
    <w:rsid w:val="15D67EFF"/>
    <w:rsid w:val="160B0931"/>
    <w:rsid w:val="160C28FB"/>
    <w:rsid w:val="161E1E26"/>
    <w:rsid w:val="16284C71"/>
    <w:rsid w:val="162B0FD3"/>
    <w:rsid w:val="16606C0C"/>
    <w:rsid w:val="167A1613"/>
    <w:rsid w:val="16B16B57"/>
    <w:rsid w:val="16D52CED"/>
    <w:rsid w:val="16DD1D90"/>
    <w:rsid w:val="16ED44DA"/>
    <w:rsid w:val="17173305"/>
    <w:rsid w:val="176E674F"/>
    <w:rsid w:val="17755742"/>
    <w:rsid w:val="177D47DC"/>
    <w:rsid w:val="17A252C5"/>
    <w:rsid w:val="17B31280"/>
    <w:rsid w:val="18095344"/>
    <w:rsid w:val="180D298C"/>
    <w:rsid w:val="18324C3F"/>
    <w:rsid w:val="18495740"/>
    <w:rsid w:val="184D1481"/>
    <w:rsid w:val="185D11EC"/>
    <w:rsid w:val="18713770"/>
    <w:rsid w:val="18B118AD"/>
    <w:rsid w:val="18C91753"/>
    <w:rsid w:val="18D804FE"/>
    <w:rsid w:val="18F02060"/>
    <w:rsid w:val="19007F28"/>
    <w:rsid w:val="190E3B48"/>
    <w:rsid w:val="190F25D9"/>
    <w:rsid w:val="19142554"/>
    <w:rsid w:val="191F1AB0"/>
    <w:rsid w:val="193938E2"/>
    <w:rsid w:val="193B777F"/>
    <w:rsid w:val="194D2EA6"/>
    <w:rsid w:val="197750EC"/>
    <w:rsid w:val="19A15EFF"/>
    <w:rsid w:val="19A87563"/>
    <w:rsid w:val="19C850DC"/>
    <w:rsid w:val="19D83220"/>
    <w:rsid w:val="19DA1AF8"/>
    <w:rsid w:val="19DC060A"/>
    <w:rsid w:val="1A0F63C0"/>
    <w:rsid w:val="1A340F0D"/>
    <w:rsid w:val="1A5328A6"/>
    <w:rsid w:val="1A613215"/>
    <w:rsid w:val="1A6A6BAA"/>
    <w:rsid w:val="1A7171D0"/>
    <w:rsid w:val="1A7B640B"/>
    <w:rsid w:val="1A872F16"/>
    <w:rsid w:val="1AAD7CE9"/>
    <w:rsid w:val="1AC333F3"/>
    <w:rsid w:val="1AD276D0"/>
    <w:rsid w:val="1AD75067"/>
    <w:rsid w:val="1AE27BA8"/>
    <w:rsid w:val="1B182123"/>
    <w:rsid w:val="1B2C47B1"/>
    <w:rsid w:val="1BC21F3A"/>
    <w:rsid w:val="1BD64E50"/>
    <w:rsid w:val="1BF14125"/>
    <w:rsid w:val="1BF73705"/>
    <w:rsid w:val="1BF82106"/>
    <w:rsid w:val="1BFE7D90"/>
    <w:rsid w:val="1BFF5CC9"/>
    <w:rsid w:val="1C055E22"/>
    <w:rsid w:val="1C185B56"/>
    <w:rsid w:val="1C2C6CC2"/>
    <w:rsid w:val="1C2D1948"/>
    <w:rsid w:val="1C6F14EE"/>
    <w:rsid w:val="1C7A3345"/>
    <w:rsid w:val="1C8C49F5"/>
    <w:rsid w:val="1C901B90"/>
    <w:rsid w:val="1C961170"/>
    <w:rsid w:val="1CA14E90"/>
    <w:rsid w:val="1CB735C0"/>
    <w:rsid w:val="1CD659B8"/>
    <w:rsid w:val="1CEE68B6"/>
    <w:rsid w:val="1CF251B2"/>
    <w:rsid w:val="1D120041"/>
    <w:rsid w:val="1D434E54"/>
    <w:rsid w:val="1D6C517F"/>
    <w:rsid w:val="1D6D50D7"/>
    <w:rsid w:val="1D895ED4"/>
    <w:rsid w:val="1D8A2F60"/>
    <w:rsid w:val="1DB01DBE"/>
    <w:rsid w:val="1DE657E0"/>
    <w:rsid w:val="1E1131E2"/>
    <w:rsid w:val="1E18008F"/>
    <w:rsid w:val="1E36787F"/>
    <w:rsid w:val="1E44231C"/>
    <w:rsid w:val="1E4F7829"/>
    <w:rsid w:val="1E507AB9"/>
    <w:rsid w:val="1E6A33E1"/>
    <w:rsid w:val="1E872DED"/>
    <w:rsid w:val="1E895BDC"/>
    <w:rsid w:val="1E92018F"/>
    <w:rsid w:val="1EA168D5"/>
    <w:rsid w:val="1EA7346A"/>
    <w:rsid w:val="1EA77665"/>
    <w:rsid w:val="1EC34C39"/>
    <w:rsid w:val="1EC510F6"/>
    <w:rsid w:val="1ED831A6"/>
    <w:rsid w:val="1EEB7551"/>
    <w:rsid w:val="1EF11369"/>
    <w:rsid w:val="1EFA1543"/>
    <w:rsid w:val="1F026649"/>
    <w:rsid w:val="1F271CAA"/>
    <w:rsid w:val="1F354FC8"/>
    <w:rsid w:val="1F530794"/>
    <w:rsid w:val="1F69712F"/>
    <w:rsid w:val="1F7075DA"/>
    <w:rsid w:val="1F83603F"/>
    <w:rsid w:val="1FA509AD"/>
    <w:rsid w:val="1FE02E2E"/>
    <w:rsid w:val="1FE70258"/>
    <w:rsid w:val="1FF51755"/>
    <w:rsid w:val="2005154A"/>
    <w:rsid w:val="200D34F7"/>
    <w:rsid w:val="200F7270"/>
    <w:rsid w:val="202B3AD6"/>
    <w:rsid w:val="203330F9"/>
    <w:rsid w:val="203637DC"/>
    <w:rsid w:val="2037160E"/>
    <w:rsid w:val="203B0065"/>
    <w:rsid w:val="20453D48"/>
    <w:rsid w:val="204A00D1"/>
    <w:rsid w:val="208452A8"/>
    <w:rsid w:val="208E3924"/>
    <w:rsid w:val="20957D50"/>
    <w:rsid w:val="209C4C28"/>
    <w:rsid w:val="20AF45AF"/>
    <w:rsid w:val="20B35E4D"/>
    <w:rsid w:val="20B81496"/>
    <w:rsid w:val="20D10C5F"/>
    <w:rsid w:val="20E114D0"/>
    <w:rsid w:val="20E56222"/>
    <w:rsid w:val="20F76B2D"/>
    <w:rsid w:val="2110257D"/>
    <w:rsid w:val="21132D8F"/>
    <w:rsid w:val="211663DC"/>
    <w:rsid w:val="214467A1"/>
    <w:rsid w:val="21593BA1"/>
    <w:rsid w:val="2181171D"/>
    <w:rsid w:val="219D4A77"/>
    <w:rsid w:val="21B539CE"/>
    <w:rsid w:val="21C47874"/>
    <w:rsid w:val="21DB70CD"/>
    <w:rsid w:val="21EB71E7"/>
    <w:rsid w:val="21F4790B"/>
    <w:rsid w:val="21F55784"/>
    <w:rsid w:val="22042FC2"/>
    <w:rsid w:val="221E6B0C"/>
    <w:rsid w:val="222A4072"/>
    <w:rsid w:val="22333EAB"/>
    <w:rsid w:val="223411B3"/>
    <w:rsid w:val="22365587"/>
    <w:rsid w:val="223B5BF3"/>
    <w:rsid w:val="22737F8A"/>
    <w:rsid w:val="22740D0F"/>
    <w:rsid w:val="228F6D2C"/>
    <w:rsid w:val="2290402C"/>
    <w:rsid w:val="22941CAE"/>
    <w:rsid w:val="229A35E9"/>
    <w:rsid w:val="22C05782"/>
    <w:rsid w:val="22CB5324"/>
    <w:rsid w:val="22D60519"/>
    <w:rsid w:val="22D6354E"/>
    <w:rsid w:val="2304036E"/>
    <w:rsid w:val="23190CD2"/>
    <w:rsid w:val="232D5671"/>
    <w:rsid w:val="23335C2F"/>
    <w:rsid w:val="23593A4A"/>
    <w:rsid w:val="235F07AD"/>
    <w:rsid w:val="236C6569"/>
    <w:rsid w:val="2385500C"/>
    <w:rsid w:val="23BA1BE8"/>
    <w:rsid w:val="23CF0E84"/>
    <w:rsid w:val="23D9610A"/>
    <w:rsid w:val="243B1A1F"/>
    <w:rsid w:val="243D39CE"/>
    <w:rsid w:val="245C1CD3"/>
    <w:rsid w:val="246F0E97"/>
    <w:rsid w:val="249341DB"/>
    <w:rsid w:val="249350C9"/>
    <w:rsid w:val="249E2CA0"/>
    <w:rsid w:val="24A65CC9"/>
    <w:rsid w:val="24A939BC"/>
    <w:rsid w:val="24B66468"/>
    <w:rsid w:val="25076CCD"/>
    <w:rsid w:val="25092CB6"/>
    <w:rsid w:val="25115F5F"/>
    <w:rsid w:val="252206D1"/>
    <w:rsid w:val="2522453A"/>
    <w:rsid w:val="252754F4"/>
    <w:rsid w:val="25317C88"/>
    <w:rsid w:val="25341526"/>
    <w:rsid w:val="257C3D00"/>
    <w:rsid w:val="259B266D"/>
    <w:rsid w:val="25A86080"/>
    <w:rsid w:val="25AA0309"/>
    <w:rsid w:val="25D6523C"/>
    <w:rsid w:val="25DC01B8"/>
    <w:rsid w:val="25DC06EA"/>
    <w:rsid w:val="25ED0053"/>
    <w:rsid w:val="25FB2DC9"/>
    <w:rsid w:val="25FB4531"/>
    <w:rsid w:val="26040FD6"/>
    <w:rsid w:val="2628108B"/>
    <w:rsid w:val="266A16A4"/>
    <w:rsid w:val="267C13D7"/>
    <w:rsid w:val="268D7140"/>
    <w:rsid w:val="26992D13"/>
    <w:rsid w:val="26B40B71"/>
    <w:rsid w:val="26B730EF"/>
    <w:rsid w:val="26D23572"/>
    <w:rsid w:val="26FD42C6"/>
    <w:rsid w:val="27070568"/>
    <w:rsid w:val="27075144"/>
    <w:rsid w:val="270D1B20"/>
    <w:rsid w:val="272E2055"/>
    <w:rsid w:val="273706A0"/>
    <w:rsid w:val="27473BD5"/>
    <w:rsid w:val="274912B9"/>
    <w:rsid w:val="274C2B57"/>
    <w:rsid w:val="27605F57"/>
    <w:rsid w:val="27660E89"/>
    <w:rsid w:val="279D288C"/>
    <w:rsid w:val="27AB4F34"/>
    <w:rsid w:val="27B70919"/>
    <w:rsid w:val="27BD3B39"/>
    <w:rsid w:val="27F6508D"/>
    <w:rsid w:val="27FC4F26"/>
    <w:rsid w:val="280F3D84"/>
    <w:rsid w:val="28331948"/>
    <w:rsid w:val="286D1AD1"/>
    <w:rsid w:val="28C668F3"/>
    <w:rsid w:val="28CB3F50"/>
    <w:rsid w:val="28CD4924"/>
    <w:rsid w:val="28F52F07"/>
    <w:rsid w:val="28FF2C1B"/>
    <w:rsid w:val="29100D72"/>
    <w:rsid w:val="291624C7"/>
    <w:rsid w:val="29257B04"/>
    <w:rsid w:val="2938533E"/>
    <w:rsid w:val="294E56D7"/>
    <w:rsid w:val="29551D8D"/>
    <w:rsid w:val="297B64D0"/>
    <w:rsid w:val="29842A7C"/>
    <w:rsid w:val="298736A5"/>
    <w:rsid w:val="29977D32"/>
    <w:rsid w:val="29B449E4"/>
    <w:rsid w:val="29BA1256"/>
    <w:rsid w:val="29C966E1"/>
    <w:rsid w:val="29D24C5F"/>
    <w:rsid w:val="2A2B4C3B"/>
    <w:rsid w:val="2A3F69A3"/>
    <w:rsid w:val="2A85151B"/>
    <w:rsid w:val="2A8866AE"/>
    <w:rsid w:val="2A9036A3"/>
    <w:rsid w:val="2A9F177E"/>
    <w:rsid w:val="2AA5564B"/>
    <w:rsid w:val="2AA936B1"/>
    <w:rsid w:val="2AB56D6E"/>
    <w:rsid w:val="2AC31382"/>
    <w:rsid w:val="2AC5206B"/>
    <w:rsid w:val="2ADC6FA3"/>
    <w:rsid w:val="2AE15CAC"/>
    <w:rsid w:val="2AF806EE"/>
    <w:rsid w:val="2AF93B6E"/>
    <w:rsid w:val="2B094708"/>
    <w:rsid w:val="2B2E6446"/>
    <w:rsid w:val="2B4B4B3E"/>
    <w:rsid w:val="2B7C3AE8"/>
    <w:rsid w:val="2BE24667"/>
    <w:rsid w:val="2BE7434A"/>
    <w:rsid w:val="2BED66CE"/>
    <w:rsid w:val="2BEE7B9F"/>
    <w:rsid w:val="2BF7098E"/>
    <w:rsid w:val="2C0559CB"/>
    <w:rsid w:val="2C217570"/>
    <w:rsid w:val="2C482373"/>
    <w:rsid w:val="2C992661"/>
    <w:rsid w:val="2CA06B08"/>
    <w:rsid w:val="2CAE1BBE"/>
    <w:rsid w:val="2CB01DDA"/>
    <w:rsid w:val="2CBC42DB"/>
    <w:rsid w:val="2CBC6445"/>
    <w:rsid w:val="2CC3566A"/>
    <w:rsid w:val="2CCE420F"/>
    <w:rsid w:val="2CCF04B2"/>
    <w:rsid w:val="2CF53BCC"/>
    <w:rsid w:val="2CF66D41"/>
    <w:rsid w:val="2CFB5AB1"/>
    <w:rsid w:val="2D073867"/>
    <w:rsid w:val="2D0A62AC"/>
    <w:rsid w:val="2D1044E1"/>
    <w:rsid w:val="2D285470"/>
    <w:rsid w:val="2D3C3092"/>
    <w:rsid w:val="2D7B3DCC"/>
    <w:rsid w:val="2D870D8D"/>
    <w:rsid w:val="2D984D48"/>
    <w:rsid w:val="2DA059AB"/>
    <w:rsid w:val="2DAD283C"/>
    <w:rsid w:val="2DC91CEE"/>
    <w:rsid w:val="2E304D3F"/>
    <w:rsid w:val="2E833CA7"/>
    <w:rsid w:val="2E922BF6"/>
    <w:rsid w:val="2EAB2859"/>
    <w:rsid w:val="2EC670BD"/>
    <w:rsid w:val="2ECC1AD7"/>
    <w:rsid w:val="2ED33374"/>
    <w:rsid w:val="2EF835C5"/>
    <w:rsid w:val="2F1819BF"/>
    <w:rsid w:val="2F230642"/>
    <w:rsid w:val="2F340AA1"/>
    <w:rsid w:val="2F3953B7"/>
    <w:rsid w:val="2F601896"/>
    <w:rsid w:val="2F713AA3"/>
    <w:rsid w:val="2F792957"/>
    <w:rsid w:val="2F7E52FE"/>
    <w:rsid w:val="2F835584"/>
    <w:rsid w:val="2FB86BE8"/>
    <w:rsid w:val="2FD830C3"/>
    <w:rsid w:val="2FE61B98"/>
    <w:rsid w:val="2FFD0EEC"/>
    <w:rsid w:val="300F21E4"/>
    <w:rsid w:val="304C0FFB"/>
    <w:rsid w:val="305727DF"/>
    <w:rsid w:val="30711E07"/>
    <w:rsid w:val="308E68A4"/>
    <w:rsid w:val="30977539"/>
    <w:rsid w:val="30A64E73"/>
    <w:rsid w:val="30A65A08"/>
    <w:rsid w:val="30B6688F"/>
    <w:rsid w:val="30D07063"/>
    <w:rsid w:val="30D77936"/>
    <w:rsid w:val="30DA39D6"/>
    <w:rsid w:val="30DB190B"/>
    <w:rsid w:val="30F12B50"/>
    <w:rsid w:val="312531C3"/>
    <w:rsid w:val="314675D3"/>
    <w:rsid w:val="315674D0"/>
    <w:rsid w:val="31590643"/>
    <w:rsid w:val="315D000D"/>
    <w:rsid w:val="316B62D0"/>
    <w:rsid w:val="31B9703B"/>
    <w:rsid w:val="31E00A6C"/>
    <w:rsid w:val="320D7CFB"/>
    <w:rsid w:val="321C57BD"/>
    <w:rsid w:val="32317152"/>
    <w:rsid w:val="323808A8"/>
    <w:rsid w:val="323D1C14"/>
    <w:rsid w:val="32811A45"/>
    <w:rsid w:val="32926B90"/>
    <w:rsid w:val="32963820"/>
    <w:rsid w:val="32BF68D3"/>
    <w:rsid w:val="32C8207F"/>
    <w:rsid w:val="32E3026F"/>
    <w:rsid w:val="32FD564D"/>
    <w:rsid w:val="32FF3174"/>
    <w:rsid w:val="3303555E"/>
    <w:rsid w:val="33402C25"/>
    <w:rsid w:val="334212B2"/>
    <w:rsid w:val="33912B1A"/>
    <w:rsid w:val="33976525"/>
    <w:rsid w:val="339E298D"/>
    <w:rsid w:val="33DC6039"/>
    <w:rsid w:val="33F144DC"/>
    <w:rsid w:val="33FE3C74"/>
    <w:rsid w:val="34140B9C"/>
    <w:rsid w:val="34296463"/>
    <w:rsid w:val="34313801"/>
    <w:rsid w:val="345662BE"/>
    <w:rsid w:val="346B3592"/>
    <w:rsid w:val="34753860"/>
    <w:rsid w:val="3484737E"/>
    <w:rsid w:val="34AD683E"/>
    <w:rsid w:val="34B82BB5"/>
    <w:rsid w:val="34BA7049"/>
    <w:rsid w:val="34C11B51"/>
    <w:rsid w:val="34D80120"/>
    <w:rsid w:val="34E64532"/>
    <w:rsid w:val="34E940DB"/>
    <w:rsid w:val="34EC3BCC"/>
    <w:rsid w:val="35313974"/>
    <w:rsid w:val="35440A6C"/>
    <w:rsid w:val="354457B6"/>
    <w:rsid w:val="356E2833"/>
    <w:rsid w:val="357339A5"/>
    <w:rsid w:val="358856A2"/>
    <w:rsid w:val="359528C1"/>
    <w:rsid w:val="35AD6098"/>
    <w:rsid w:val="35BA6F50"/>
    <w:rsid w:val="35BB6E36"/>
    <w:rsid w:val="35BE7316"/>
    <w:rsid w:val="35EA25E9"/>
    <w:rsid w:val="35EC1B83"/>
    <w:rsid w:val="36084D9A"/>
    <w:rsid w:val="36114A6A"/>
    <w:rsid w:val="36287986"/>
    <w:rsid w:val="3629097E"/>
    <w:rsid w:val="36301896"/>
    <w:rsid w:val="36400397"/>
    <w:rsid w:val="364017E6"/>
    <w:rsid w:val="36470A32"/>
    <w:rsid w:val="364A2B4E"/>
    <w:rsid w:val="36667D3A"/>
    <w:rsid w:val="366E1D9C"/>
    <w:rsid w:val="367B0274"/>
    <w:rsid w:val="367E4154"/>
    <w:rsid w:val="368C2F70"/>
    <w:rsid w:val="369725AC"/>
    <w:rsid w:val="369C00C1"/>
    <w:rsid w:val="36B033CF"/>
    <w:rsid w:val="36CF10AF"/>
    <w:rsid w:val="3709636F"/>
    <w:rsid w:val="3715130E"/>
    <w:rsid w:val="371B2276"/>
    <w:rsid w:val="37324E8D"/>
    <w:rsid w:val="373B64AD"/>
    <w:rsid w:val="37427AD3"/>
    <w:rsid w:val="374C62C8"/>
    <w:rsid w:val="375A78CA"/>
    <w:rsid w:val="37783257"/>
    <w:rsid w:val="3789017B"/>
    <w:rsid w:val="37B26A07"/>
    <w:rsid w:val="37C130EE"/>
    <w:rsid w:val="37E33064"/>
    <w:rsid w:val="37EB6A56"/>
    <w:rsid w:val="382E5B98"/>
    <w:rsid w:val="38391840"/>
    <w:rsid w:val="38393102"/>
    <w:rsid w:val="387A337F"/>
    <w:rsid w:val="38832151"/>
    <w:rsid w:val="389600D6"/>
    <w:rsid w:val="38E617A3"/>
    <w:rsid w:val="38F8733C"/>
    <w:rsid w:val="392544D1"/>
    <w:rsid w:val="39255B4E"/>
    <w:rsid w:val="393D3428"/>
    <w:rsid w:val="39452DE0"/>
    <w:rsid w:val="3958245A"/>
    <w:rsid w:val="39665CFB"/>
    <w:rsid w:val="39730926"/>
    <w:rsid w:val="397C37F7"/>
    <w:rsid w:val="399D1DD6"/>
    <w:rsid w:val="39A51C5B"/>
    <w:rsid w:val="39BC3B6C"/>
    <w:rsid w:val="39BE48F9"/>
    <w:rsid w:val="39CF2A49"/>
    <w:rsid w:val="39D236E8"/>
    <w:rsid w:val="39DB5E42"/>
    <w:rsid w:val="39E3734B"/>
    <w:rsid w:val="3A43603C"/>
    <w:rsid w:val="3A4A4679"/>
    <w:rsid w:val="3A5A383F"/>
    <w:rsid w:val="3A80103E"/>
    <w:rsid w:val="3AC32A96"/>
    <w:rsid w:val="3AE43186"/>
    <w:rsid w:val="3AF327F4"/>
    <w:rsid w:val="3AF630AE"/>
    <w:rsid w:val="3B1D4989"/>
    <w:rsid w:val="3B2012CB"/>
    <w:rsid w:val="3B8732EB"/>
    <w:rsid w:val="3B934138"/>
    <w:rsid w:val="3BA577BF"/>
    <w:rsid w:val="3BB0325D"/>
    <w:rsid w:val="3BC0486E"/>
    <w:rsid w:val="3BDD3B8B"/>
    <w:rsid w:val="3BE556D1"/>
    <w:rsid w:val="3BF17376"/>
    <w:rsid w:val="3C211DCF"/>
    <w:rsid w:val="3C294CFB"/>
    <w:rsid w:val="3C2B6DF4"/>
    <w:rsid w:val="3C3E6594"/>
    <w:rsid w:val="3C577B7C"/>
    <w:rsid w:val="3C892278"/>
    <w:rsid w:val="3C8C6120"/>
    <w:rsid w:val="3CA81716"/>
    <w:rsid w:val="3CAA2655"/>
    <w:rsid w:val="3CC354E9"/>
    <w:rsid w:val="3CD30B15"/>
    <w:rsid w:val="3CF3278F"/>
    <w:rsid w:val="3CF60293"/>
    <w:rsid w:val="3CF67395"/>
    <w:rsid w:val="3CFE26EE"/>
    <w:rsid w:val="3D0F0457"/>
    <w:rsid w:val="3D24741F"/>
    <w:rsid w:val="3D37175C"/>
    <w:rsid w:val="3D45031D"/>
    <w:rsid w:val="3D624A2B"/>
    <w:rsid w:val="3DFD034B"/>
    <w:rsid w:val="3E057C97"/>
    <w:rsid w:val="3E112729"/>
    <w:rsid w:val="3E1F320A"/>
    <w:rsid w:val="3E3242DB"/>
    <w:rsid w:val="3E55633E"/>
    <w:rsid w:val="3E7F07E7"/>
    <w:rsid w:val="3E894239"/>
    <w:rsid w:val="3E9A01F4"/>
    <w:rsid w:val="3EA477D4"/>
    <w:rsid w:val="3EB90543"/>
    <w:rsid w:val="3F11495A"/>
    <w:rsid w:val="3F240239"/>
    <w:rsid w:val="3F382246"/>
    <w:rsid w:val="3F406FEE"/>
    <w:rsid w:val="3F4F1C78"/>
    <w:rsid w:val="3F5050B9"/>
    <w:rsid w:val="3F572283"/>
    <w:rsid w:val="3F5C3EF0"/>
    <w:rsid w:val="3F5D194E"/>
    <w:rsid w:val="3F6070A1"/>
    <w:rsid w:val="3F616160"/>
    <w:rsid w:val="3F724CCD"/>
    <w:rsid w:val="3FAB0098"/>
    <w:rsid w:val="3FAF5CE4"/>
    <w:rsid w:val="3FCB3319"/>
    <w:rsid w:val="400C5043"/>
    <w:rsid w:val="40152228"/>
    <w:rsid w:val="40325CE1"/>
    <w:rsid w:val="404D7440"/>
    <w:rsid w:val="40505569"/>
    <w:rsid w:val="405F34A4"/>
    <w:rsid w:val="40672358"/>
    <w:rsid w:val="409655EF"/>
    <w:rsid w:val="409E2A2C"/>
    <w:rsid w:val="40A966E5"/>
    <w:rsid w:val="40DB4E75"/>
    <w:rsid w:val="40E01335"/>
    <w:rsid w:val="40F15E32"/>
    <w:rsid w:val="40FE4130"/>
    <w:rsid w:val="41061E61"/>
    <w:rsid w:val="412F08A6"/>
    <w:rsid w:val="41473A0A"/>
    <w:rsid w:val="4155574F"/>
    <w:rsid w:val="4157473C"/>
    <w:rsid w:val="41A5138A"/>
    <w:rsid w:val="41A8557F"/>
    <w:rsid w:val="41DF2AEE"/>
    <w:rsid w:val="41E55C2A"/>
    <w:rsid w:val="41EA5032"/>
    <w:rsid w:val="42393C27"/>
    <w:rsid w:val="426463ED"/>
    <w:rsid w:val="426D634C"/>
    <w:rsid w:val="42711E8D"/>
    <w:rsid w:val="427C7225"/>
    <w:rsid w:val="42997141"/>
    <w:rsid w:val="42A133E8"/>
    <w:rsid w:val="42A45AE6"/>
    <w:rsid w:val="42C43049"/>
    <w:rsid w:val="42DC7E9F"/>
    <w:rsid w:val="42DF267A"/>
    <w:rsid w:val="431A4C2F"/>
    <w:rsid w:val="43244A62"/>
    <w:rsid w:val="432602A9"/>
    <w:rsid w:val="4326474D"/>
    <w:rsid w:val="432F4ACC"/>
    <w:rsid w:val="43337FF6"/>
    <w:rsid w:val="43486471"/>
    <w:rsid w:val="434B202E"/>
    <w:rsid w:val="43503578"/>
    <w:rsid w:val="43576CDF"/>
    <w:rsid w:val="435905D0"/>
    <w:rsid w:val="437E71E3"/>
    <w:rsid w:val="439942EF"/>
    <w:rsid w:val="43B03861"/>
    <w:rsid w:val="43D913AE"/>
    <w:rsid w:val="43DA6296"/>
    <w:rsid w:val="43DC1B95"/>
    <w:rsid w:val="43F14D5A"/>
    <w:rsid w:val="43F41212"/>
    <w:rsid w:val="43F86025"/>
    <w:rsid w:val="44134CD1"/>
    <w:rsid w:val="441F0387"/>
    <w:rsid w:val="442A4B75"/>
    <w:rsid w:val="44356037"/>
    <w:rsid w:val="445B15B3"/>
    <w:rsid w:val="4475788E"/>
    <w:rsid w:val="44761D90"/>
    <w:rsid w:val="447B1DAF"/>
    <w:rsid w:val="449B0822"/>
    <w:rsid w:val="44C63AF1"/>
    <w:rsid w:val="44DA759D"/>
    <w:rsid w:val="44F3060D"/>
    <w:rsid w:val="452E45E0"/>
    <w:rsid w:val="453C2005"/>
    <w:rsid w:val="45541C11"/>
    <w:rsid w:val="45707BE3"/>
    <w:rsid w:val="45822E33"/>
    <w:rsid w:val="45A73923"/>
    <w:rsid w:val="45A8769B"/>
    <w:rsid w:val="45B2219A"/>
    <w:rsid w:val="46364CA7"/>
    <w:rsid w:val="463C0D22"/>
    <w:rsid w:val="464C1EFF"/>
    <w:rsid w:val="46505823"/>
    <w:rsid w:val="467D28D5"/>
    <w:rsid w:val="46893E4C"/>
    <w:rsid w:val="46C6602A"/>
    <w:rsid w:val="46EF15F6"/>
    <w:rsid w:val="471F46C0"/>
    <w:rsid w:val="473A6980"/>
    <w:rsid w:val="47411B55"/>
    <w:rsid w:val="47883971"/>
    <w:rsid w:val="47930F65"/>
    <w:rsid w:val="479368EF"/>
    <w:rsid w:val="479D2278"/>
    <w:rsid w:val="47A7007C"/>
    <w:rsid w:val="47CC2B9D"/>
    <w:rsid w:val="47DE7B5D"/>
    <w:rsid w:val="48025F7C"/>
    <w:rsid w:val="48084421"/>
    <w:rsid w:val="48112949"/>
    <w:rsid w:val="484D0E76"/>
    <w:rsid w:val="489039A9"/>
    <w:rsid w:val="4894280E"/>
    <w:rsid w:val="48A04659"/>
    <w:rsid w:val="48AC74A2"/>
    <w:rsid w:val="48B8373F"/>
    <w:rsid w:val="48C57DD8"/>
    <w:rsid w:val="48FD7CFE"/>
    <w:rsid w:val="490E5A67"/>
    <w:rsid w:val="492C30FE"/>
    <w:rsid w:val="494D6D05"/>
    <w:rsid w:val="495835DA"/>
    <w:rsid w:val="49595FEF"/>
    <w:rsid w:val="495A5D38"/>
    <w:rsid w:val="495B5627"/>
    <w:rsid w:val="49653419"/>
    <w:rsid w:val="49657F3E"/>
    <w:rsid w:val="496C55B5"/>
    <w:rsid w:val="498D5B4F"/>
    <w:rsid w:val="4991704F"/>
    <w:rsid w:val="499A554C"/>
    <w:rsid w:val="499E2B31"/>
    <w:rsid w:val="49A53698"/>
    <w:rsid w:val="49BB0B75"/>
    <w:rsid w:val="49F96717"/>
    <w:rsid w:val="4A1E71A6"/>
    <w:rsid w:val="4A455361"/>
    <w:rsid w:val="4A4F0834"/>
    <w:rsid w:val="4A653DAC"/>
    <w:rsid w:val="4A7605A5"/>
    <w:rsid w:val="4A794512"/>
    <w:rsid w:val="4A851614"/>
    <w:rsid w:val="4A952C21"/>
    <w:rsid w:val="4AC24D5B"/>
    <w:rsid w:val="4AD11442"/>
    <w:rsid w:val="4ADF76BB"/>
    <w:rsid w:val="4AE03060"/>
    <w:rsid w:val="4AEC28A3"/>
    <w:rsid w:val="4AFD2237"/>
    <w:rsid w:val="4AFE0B02"/>
    <w:rsid w:val="4B315A3D"/>
    <w:rsid w:val="4B6E6C91"/>
    <w:rsid w:val="4B6F3171"/>
    <w:rsid w:val="4B720D9C"/>
    <w:rsid w:val="4B90551F"/>
    <w:rsid w:val="4BAE70AD"/>
    <w:rsid w:val="4BD20FCE"/>
    <w:rsid w:val="4BDB358F"/>
    <w:rsid w:val="4BE64F44"/>
    <w:rsid w:val="4BF97886"/>
    <w:rsid w:val="4C0249A2"/>
    <w:rsid w:val="4C2E50BF"/>
    <w:rsid w:val="4C675BBA"/>
    <w:rsid w:val="4C6B00A8"/>
    <w:rsid w:val="4C6D0CF6"/>
    <w:rsid w:val="4C8238A0"/>
    <w:rsid w:val="4C84400A"/>
    <w:rsid w:val="4C980919"/>
    <w:rsid w:val="4CAA5AA7"/>
    <w:rsid w:val="4CC45486"/>
    <w:rsid w:val="4CD80C20"/>
    <w:rsid w:val="4D0109AF"/>
    <w:rsid w:val="4D112CBE"/>
    <w:rsid w:val="4D113D78"/>
    <w:rsid w:val="4D221AE1"/>
    <w:rsid w:val="4D9261CA"/>
    <w:rsid w:val="4D93016A"/>
    <w:rsid w:val="4DA96CE7"/>
    <w:rsid w:val="4DB16597"/>
    <w:rsid w:val="4DB7284F"/>
    <w:rsid w:val="4DC0189A"/>
    <w:rsid w:val="4DC960B8"/>
    <w:rsid w:val="4DD21759"/>
    <w:rsid w:val="4DE07BD1"/>
    <w:rsid w:val="4DFB6175"/>
    <w:rsid w:val="4E1F1C89"/>
    <w:rsid w:val="4E3B7554"/>
    <w:rsid w:val="4E4633F4"/>
    <w:rsid w:val="4E561117"/>
    <w:rsid w:val="4E656D5C"/>
    <w:rsid w:val="4E9C26B2"/>
    <w:rsid w:val="4EE664E5"/>
    <w:rsid w:val="4EFC5C77"/>
    <w:rsid w:val="4F02066C"/>
    <w:rsid w:val="4F1D6A04"/>
    <w:rsid w:val="4F2A68EE"/>
    <w:rsid w:val="4F3C2CBE"/>
    <w:rsid w:val="4F575281"/>
    <w:rsid w:val="4F686B17"/>
    <w:rsid w:val="4F6E725F"/>
    <w:rsid w:val="4F754DE4"/>
    <w:rsid w:val="4F7C2E75"/>
    <w:rsid w:val="4F974955"/>
    <w:rsid w:val="4FB70C06"/>
    <w:rsid w:val="4FE83829"/>
    <w:rsid w:val="50095F5C"/>
    <w:rsid w:val="503400B4"/>
    <w:rsid w:val="50395ABF"/>
    <w:rsid w:val="5066537E"/>
    <w:rsid w:val="50710D48"/>
    <w:rsid w:val="507C3BFE"/>
    <w:rsid w:val="50802485"/>
    <w:rsid w:val="509A3D3B"/>
    <w:rsid w:val="50A33AF0"/>
    <w:rsid w:val="50C87884"/>
    <w:rsid w:val="50D52EA4"/>
    <w:rsid w:val="50D574E2"/>
    <w:rsid w:val="510272D4"/>
    <w:rsid w:val="51032C26"/>
    <w:rsid w:val="514C537E"/>
    <w:rsid w:val="515F763E"/>
    <w:rsid w:val="516B614C"/>
    <w:rsid w:val="516F72BF"/>
    <w:rsid w:val="51743B84"/>
    <w:rsid w:val="51EB11CD"/>
    <w:rsid w:val="51FD0A72"/>
    <w:rsid w:val="52132340"/>
    <w:rsid w:val="5233653E"/>
    <w:rsid w:val="523A167B"/>
    <w:rsid w:val="523D4871"/>
    <w:rsid w:val="524109BE"/>
    <w:rsid w:val="524644C3"/>
    <w:rsid w:val="5247111C"/>
    <w:rsid w:val="524B0CF1"/>
    <w:rsid w:val="525F2866"/>
    <w:rsid w:val="52644168"/>
    <w:rsid w:val="526B60AD"/>
    <w:rsid w:val="52856A45"/>
    <w:rsid w:val="52B47F2F"/>
    <w:rsid w:val="52BB41F6"/>
    <w:rsid w:val="52C55FA4"/>
    <w:rsid w:val="52D47D21"/>
    <w:rsid w:val="52D70E30"/>
    <w:rsid w:val="52F80EDD"/>
    <w:rsid w:val="53051C89"/>
    <w:rsid w:val="531B7E68"/>
    <w:rsid w:val="53284BAD"/>
    <w:rsid w:val="53590D25"/>
    <w:rsid w:val="5383069C"/>
    <w:rsid w:val="53852DC9"/>
    <w:rsid w:val="53856948"/>
    <w:rsid w:val="538708F0"/>
    <w:rsid w:val="538E6B22"/>
    <w:rsid w:val="53B2564B"/>
    <w:rsid w:val="53C953AC"/>
    <w:rsid w:val="53D845F6"/>
    <w:rsid w:val="53D86CBA"/>
    <w:rsid w:val="53D8739D"/>
    <w:rsid w:val="53DE1235"/>
    <w:rsid w:val="53E21FCA"/>
    <w:rsid w:val="53E36095"/>
    <w:rsid w:val="53F306B5"/>
    <w:rsid w:val="540B6D72"/>
    <w:rsid w:val="54822E0B"/>
    <w:rsid w:val="54DB28F9"/>
    <w:rsid w:val="54EC7DFD"/>
    <w:rsid w:val="554640F6"/>
    <w:rsid w:val="555132EC"/>
    <w:rsid w:val="5557610E"/>
    <w:rsid w:val="556A4212"/>
    <w:rsid w:val="55701BBB"/>
    <w:rsid w:val="557967A4"/>
    <w:rsid w:val="55A03CA3"/>
    <w:rsid w:val="55AF4145"/>
    <w:rsid w:val="55D819C9"/>
    <w:rsid w:val="55E6607A"/>
    <w:rsid w:val="55E71B19"/>
    <w:rsid w:val="560A3BF6"/>
    <w:rsid w:val="561C29D4"/>
    <w:rsid w:val="562B4DF0"/>
    <w:rsid w:val="56372AA1"/>
    <w:rsid w:val="564139D6"/>
    <w:rsid w:val="5648272F"/>
    <w:rsid w:val="564B654C"/>
    <w:rsid w:val="56577746"/>
    <w:rsid w:val="565A75E0"/>
    <w:rsid w:val="565F3938"/>
    <w:rsid w:val="566446F0"/>
    <w:rsid w:val="56705FB3"/>
    <w:rsid w:val="5679101F"/>
    <w:rsid w:val="568850AA"/>
    <w:rsid w:val="56A65547"/>
    <w:rsid w:val="56BA07E2"/>
    <w:rsid w:val="56BA3B34"/>
    <w:rsid w:val="56C80DAB"/>
    <w:rsid w:val="56D4695B"/>
    <w:rsid w:val="56DB041B"/>
    <w:rsid w:val="57324AEF"/>
    <w:rsid w:val="57392849"/>
    <w:rsid w:val="57860F78"/>
    <w:rsid w:val="57923845"/>
    <w:rsid w:val="57B45A6F"/>
    <w:rsid w:val="57B579D6"/>
    <w:rsid w:val="57BA671A"/>
    <w:rsid w:val="57C77E54"/>
    <w:rsid w:val="57E16E3D"/>
    <w:rsid w:val="580C56B0"/>
    <w:rsid w:val="58366D88"/>
    <w:rsid w:val="584229AE"/>
    <w:rsid w:val="585908CE"/>
    <w:rsid w:val="588562C6"/>
    <w:rsid w:val="589A1E95"/>
    <w:rsid w:val="58AA4AF2"/>
    <w:rsid w:val="58AF0C56"/>
    <w:rsid w:val="58B47908"/>
    <w:rsid w:val="58E70DE8"/>
    <w:rsid w:val="5908723D"/>
    <w:rsid w:val="590A7F50"/>
    <w:rsid w:val="59545718"/>
    <w:rsid w:val="59633BAD"/>
    <w:rsid w:val="596A3E5E"/>
    <w:rsid w:val="597615BA"/>
    <w:rsid w:val="597B0EF6"/>
    <w:rsid w:val="59A47E22"/>
    <w:rsid w:val="59BA75CC"/>
    <w:rsid w:val="59CE515D"/>
    <w:rsid w:val="59D70922"/>
    <w:rsid w:val="59E24837"/>
    <w:rsid w:val="59F273E9"/>
    <w:rsid w:val="5A085DDA"/>
    <w:rsid w:val="5A1629DB"/>
    <w:rsid w:val="5A2275C4"/>
    <w:rsid w:val="5A3E7B97"/>
    <w:rsid w:val="5A4532B2"/>
    <w:rsid w:val="5A620319"/>
    <w:rsid w:val="5A6C1172"/>
    <w:rsid w:val="5A7F5187"/>
    <w:rsid w:val="5AA62BA8"/>
    <w:rsid w:val="5AAB580B"/>
    <w:rsid w:val="5AAE2C06"/>
    <w:rsid w:val="5ABF67E2"/>
    <w:rsid w:val="5AC25185"/>
    <w:rsid w:val="5ACA5594"/>
    <w:rsid w:val="5B090E75"/>
    <w:rsid w:val="5B150ED7"/>
    <w:rsid w:val="5B34263C"/>
    <w:rsid w:val="5B3E2D68"/>
    <w:rsid w:val="5B4516CD"/>
    <w:rsid w:val="5BC529A5"/>
    <w:rsid w:val="5BEA5EBF"/>
    <w:rsid w:val="5BEB53B8"/>
    <w:rsid w:val="5BF1724E"/>
    <w:rsid w:val="5BF52AD4"/>
    <w:rsid w:val="5C0255D3"/>
    <w:rsid w:val="5C3F445D"/>
    <w:rsid w:val="5C6E6AF1"/>
    <w:rsid w:val="5C7218A8"/>
    <w:rsid w:val="5C8F7379"/>
    <w:rsid w:val="5C9460B7"/>
    <w:rsid w:val="5CA442C0"/>
    <w:rsid w:val="5CA67A7B"/>
    <w:rsid w:val="5CAD6864"/>
    <w:rsid w:val="5CB62246"/>
    <w:rsid w:val="5CC47E84"/>
    <w:rsid w:val="5CD1657E"/>
    <w:rsid w:val="5D1816D0"/>
    <w:rsid w:val="5D1B35FD"/>
    <w:rsid w:val="5D3E2967"/>
    <w:rsid w:val="5D752101"/>
    <w:rsid w:val="5D773808"/>
    <w:rsid w:val="5D780793"/>
    <w:rsid w:val="5D852344"/>
    <w:rsid w:val="5D947A60"/>
    <w:rsid w:val="5D9A411F"/>
    <w:rsid w:val="5D9E51B4"/>
    <w:rsid w:val="5DB12FCE"/>
    <w:rsid w:val="5DDC7A8A"/>
    <w:rsid w:val="5DEE28AA"/>
    <w:rsid w:val="5DF179D9"/>
    <w:rsid w:val="5E070ED0"/>
    <w:rsid w:val="5E6934F3"/>
    <w:rsid w:val="5E78243B"/>
    <w:rsid w:val="5E9F5BCB"/>
    <w:rsid w:val="5EA62929"/>
    <w:rsid w:val="5EDA7500"/>
    <w:rsid w:val="5F1A293A"/>
    <w:rsid w:val="5F1F0576"/>
    <w:rsid w:val="5F3270EB"/>
    <w:rsid w:val="5F6B37BB"/>
    <w:rsid w:val="5F8701FC"/>
    <w:rsid w:val="5FA97E40"/>
    <w:rsid w:val="5FB17A73"/>
    <w:rsid w:val="5FBE7330"/>
    <w:rsid w:val="5FCF41A2"/>
    <w:rsid w:val="6005677A"/>
    <w:rsid w:val="607907F7"/>
    <w:rsid w:val="60803296"/>
    <w:rsid w:val="608552D2"/>
    <w:rsid w:val="60944519"/>
    <w:rsid w:val="609543ED"/>
    <w:rsid w:val="60DD5FF3"/>
    <w:rsid w:val="60F956D0"/>
    <w:rsid w:val="612176D9"/>
    <w:rsid w:val="6147343A"/>
    <w:rsid w:val="614A7E55"/>
    <w:rsid w:val="61530665"/>
    <w:rsid w:val="615F6762"/>
    <w:rsid w:val="61720387"/>
    <w:rsid w:val="61774699"/>
    <w:rsid w:val="61804701"/>
    <w:rsid w:val="61A40734"/>
    <w:rsid w:val="61A46882"/>
    <w:rsid w:val="61AD5228"/>
    <w:rsid w:val="61CE1DDF"/>
    <w:rsid w:val="61FC6FEA"/>
    <w:rsid w:val="62051CA5"/>
    <w:rsid w:val="620F67EC"/>
    <w:rsid w:val="62195750"/>
    <w:rsid w:val="621A5025"/>
    <w:rsid w:val="6223212B"/>
    <w:rsid w:val="6224150A"/>
    <w:rsid w:val="6233283D"/>
    <w:rsid w:val="6239395F"/>
    <w:rsid w:val="62441245"/>
    <w:rsid w:val="6247406C"/>
    <w:rsid w:val="627209BD"/>
    <w:rsid w:val="628232F6"/>
    <w:rsid w:val="629542CB"/>
    <w:rsid w:val="62B31701"/>
    <w:rsid w:val="62C437B5"/>
    <w:rsid w:val="62C5672A"/>
    <w:rsid w:val="62DF24F6"/>
    <w:rsid w:val="62FC018D"/>
    <w:rsid w:val="62FD472A"/>
    <w:rsid w:val="6300286E"/>
    <w:rsid w:val="63255A3B"/>
    <w:rsid w:val="63343EC4"/>
    <w:rsid w:val="633C1F19"/>
    <w:rsid w:val="63434487"/>
    <w:rsid w:val="634E03F5"/>
    <w:rsid w:val="63670148"/>
    <w:rsid w:val="63A454EE"/>
    <w:rsid w:val="63B70D7D"/>
    <w:rsid w:val="63C17F15"/>
    <w:rsid w:val="63CF276F"/>
    <w:rsid w:val="63D26282"/>
    <w:rsid w:val="63D3453E"/>
    <w:rsid w:val="63D73EC6"/>
    <w:rsid w:val="63D80CF3"/>
    <w:rsid w:val="63E77E2E"/>
    <w:rsid w:val="63FC23AD"/>
    <w:rsid w:val="63FF5162"/>
    <w:rsid w:val="64037F21"/>
    <w:rsid w:val="64043048"/>
    <w:rsid w:val="641E1543"/>
    <w:rsid w:val="64333C25"/>
    <w:rsid w:val="645E7808"/>
    <w:rsid w:val="64632CB3"/>
    <w:rsid w:val="64763B09"/>
    <w:rsid w:val="650007FC"/>
    <w:rsid w:val="65021814"/>
    <w:rsid w:val="65141DA0"/>
    <w:rsid w:val="6563267C"/>
    <w:rsid w:val="659D6CDB"/>
    <w:rsid w:val="65AC33C8"/>
    <w:rsid w:val="65BF0E26"/>
    <w:rsid w:val="65C140D7"/>
    <w:rsid w:val="65C24241"/>
    <w:rsid w:val="65C658FB"/>
    <w:rsid w:val="65F33509"/>
    <w:rsid w:val="65F91B21"/>
    <w:rsid w:val="65FA13F5"/>
    <w:rsid w:val="660C531D"/>
    <w:rsid w:val="66147E70"/>
    <w:rsid w:val="661544D1"/>
    <w:rsid w:val="663871AD"/>
    <w:rsid w:val="664D59C9"/>
    <w:rsid w:val="66682B88"/>
    <w:rsid w:val="666F37E0"/>
    <w:rsid w:val="667810D0"/>
    <w:rsid w:val="669C24AC"/>
    <w:rsid w:val="66A10559"/>
    <w:rsid w:val="66A60EF8"/>
    <w:rsid w:val="66C204D2"/>
    <w:rsid w:val="66DB1DE4"/>
    <w:rsid w:val="66F31626"/>
    <w:rsid w:val="673C0BE0"/>
    <w:rsid w:val="674A757D"/>
    <w:rsid w:val="675B29A9"/>
    <w:rsid w:val="6770413F"/>
    <w:rsid w:val="677156E7"/>
    <w:rsid w:val="679113F7"/>
    <w:rsid w:val="679B1F22"/>
    <w:rsid w:val="67B5796E"/>
    <w:rsid w:val="67C407C1"/>
    <w:rsid w:val="67EF42AE"/>
    <w:rsid w:val="67F94C97"/>
    <w:rsid w:val="67FA501B"/>
    <w:rsid w:val="68091DC3"/>
    <w:rsid w:val="68132768"/>
    <w:rsid w:val="68192C9D"/>
    <w:rsid w:val="68323ABC"/>
    <w:rsid w:val="68442DFB"/>
    <w:rsid w:val="684572FE"/>
    <w:rsid w:val="684C69B2"/>
    <w:rsid w:val="685079F2"/>
    <w:rsid w:val="686A408D"/>
    <w:rsid w:val="68A072C5"/>
    <w:rsid w:val="68CB5C7C"/>
    <w:rsid w:val="68DB402F"/>
    <w:rsid w:val="68FB45EF"/>
    <w:rsid w:val="68FD4557"/>
    <w:rsid w:val="690E33F5"/>
    <w:rsid w:val="69270753"/>
    <w:rsid w:val="693E3CEF"/>
    <w:rsid w:val="698450AA"/>
    <w:rsid w:val="69943DF4"/>
    <w:rsid w:val="69A15B71"/>
    <w:rsid w:val="69AF492B"/>
    <w:rsid w:val="69B021E5"/>
    <w:rsid w:val="69B67D37"/>
    <w:rsid w:val="69BE2739"/>
    <w:rsid w:val="69BF695B"/>
    <w:rsid w:val="69D22FB6"/>
    <w:rsid w:val="69F148BD"/>
    <w:rsid w:val="69FF6F72"/>
    <w:rsid w:val="6A1D1DA5"/>
    <w:rsid w:val="6A2A1AA4"/>
    <w:rsid w:val="6A3800D8"/>
    <w:rsid w:val="6A465F8A"/>
    <w:rsid w:val="6A6600BF"/>
    <w:rsid w:val="6A6E5F0E"/>
    <w:rsid w:val="6A836253"/>
    <w:rsid w:val="6A9C6F1F"/>
    <w:rsid w:val="6AA80231"/>
    <w:rsid w:val="6AEA27D0"/>
    <w:rsid w:val="6B074F8D"/>
    <w:rsid w:val="6B0D309A"/>
    <w:rsid w:val="6B34706D"/>
    <w:rsid w:val="6B39651C"/>
    <w:rsid w:val="6B426304"/>
    <w:rsid w:val="6B4E68E1"/>
    <w:rsid w:val="6B5B46E4"/>
    <w:rsid w:val="6B5D28C2"/>
    <w:rsid w:val="6BCE3108"/>
    <w:rsid w:val="6C00528B"/>
    <w:rsid w:val="6C045B36"/>
    <w:rsid w:val="6C06707A"/>
    <w:rsid w:val="6C3F7B62"/>
    <w:rsid w:val="6C6121CE"/>
    <w:rsid w:val="6C6C0A53"/>
    <w:rsid w:val="6C81017A"/>
    <w:rsid w:val="6C884656"/>
    <w:rsid w:val="6C983A2C"/>
    <w:rsid w:val="6CA16A6E"/>
    <w:rsid w:val="6CDF30F3"/>
    <w:rsid w:val="6CFC525F"/>
    <w:rsid w:val="6D03730F"/>
    <w:rsid w:val="6D0F39D8"/>
    <w:rsid w:val="6D127D62"/>
    <w:rsid w:val="6D1D3942"/>
    <w:rsid w:val="6D385C5D"/>
    <w:rsid w:val="6DA725B5"/>
    <w:rsid w:val="6DCB42A4"/>
    <w:rsid w:val="6DD73BC1"/>
    <w:rsid w:val="6DE9682F"/>
    <w:rsid w:val="6DEE183F"/>
    <w:rsid w:val="6E13574A"/>
    <w:rsid w:val="6E3D6FFE"/>
    <w:rsid w:val="6E59158A"/>
    <w:rsid w:val="6E7206C2"/>
    <w:rsid w:val="6E865653"/>
    <w:rsid w:val="6E93290D"/>
    <w:rsid w:val="6EA32620"/>
    <w:rsid w:val="6EC94784"/>
    <w:rsid w:val="6EDD18B4"/>
    <w:rsid w:val="6EDF17E0"/>
    <w:rsid w:val="6EF02A2F"/>
    <w:rsid w:val="6EF07923"/>
    <w:rsid w:val="6F0C6DF4"/>
    <w:rsid w:val="6F2032B4"/>
    <w:rsid w:val="6F410095"/>
    <w:rsid w:val="6F686A54"/>
    <w:rsid w:val="6FA14630"/>
    <w:rsid w:val="6FA7614A"/>
    <w:rsid w:val="6FAB0966"/>
    <w:rsid w:val="6FB25240"/>
    <w:rsid w:val="6FC10E6C"/>
    <w:rsid w:val="6FCC0A94"/>
    <w:rsid w:val="6FD45FAA"/>
    <w:rsid w:val="6FD67088"/>
    <w:rsid w:val="6FDF09B4"/>
    <w:rsid w:val="6FE05419"/>
    <w:rsid w:val="6FE80510"/>
    <w:rsid w:val="6FF24F26"/>
    <w:rsid w:val="70002C0E"/>
    <w:rsid w:val="700412E9"/>
    <w:rsid w:val="701D640C"/>
    <w:rsid w:val="70383547"/>
    <w:rsid w:val="705F07D2"/>
    <w:rsid w:val="705F6A24"/>
    <w:rsid w:val="706A7177"/>
    <w:rsid w:val="707B1DDA"/>
    <w:rsid w:val="709F32C5"/>
    <w:rsid w:val="70A367DC"/>
    <w:rsid w:val="70C235E1"/>
    <w:rsid w:val="70CE3BAA"/>
    <w:rsid w:val="70E31091"/>
    <w:rsid w:val="70E46F2A"/>
    <w:rsid w:val="70F93BAE"/>
    <w:rsid w:val="710B0FDC"/>
    <w:rsid w:val="7128150C"/>
    <w:rsid w:val="712E63F7"/>
    <w:rsid w:val="7157599E"/>
    <w:rsid w:val="71593474"/>
    <w:rsid w:val="719E6674"/>
    <w:rsid w:val="71B110C4"/>
    <w:rsid w:val="71B548E2"/>
    <w:rsid w:val="71BB5EDC"/>
    <w:rsid w:val="71CC36A8"/>
    <w:rsid w:val="71D271CF"/>
    <w:rsid w:val="71D40C7E"/>
    <w:rsid w:val="71ED1927"/>
    <w:rsid w:val="720A2136"/>
    <w:rsid w:val="72206B6D"/>
    <w:rsid w:val="722C6635"/>
    <w:rsid w:val="723536EF"/>
    <w:rsid w:val="723F73F7"/>
    <w:rsid w:val="724D0AFE"/>
    <w:rsid w:val="725614EF"/>
    <w:rsid w:val="72946088"/>
    <w:rsid w:val="72B71415"/>
    <w:rsid w:val="72D059B7"/>
    <w:rsid w:val="72D92B78"/>
    <w:rsid w:val="72F71196"/>
    <w:rsid w:val="73047240"/>
    <w:rsid w:val="7346211D"/>
    <w:rsid w:val="73530B3B"/>
    <w:rsid w:val="7354539B"/>
    <w:rsid w:val="735B7C4E"/>
    <w:rsid w:val="736D1C44"/>
    <w:rsid w:val="737A1DC7"/>
    <w:rsid w:val="73854316"/>
    <w:rsid w:val="7389134A"/>
    <w:rsid w:val="738D1AFA"/>
    <w:rsid w:val="73D918A2"/>
    <w:rsid w:val="73DC0680"/>
    <w:rsid w:val="73DC4D25"/>
    <w:rsid w:val="73E3171A"/>
    <w:rsid w:val="7420296E"/>
    <w:rsid w:val="74257F85"/>
    <w:rsid w:val="74500DA3"/>
    <w:rsid w:val="74730CF0"/>
    <w:rsid w:val="74964153"/>
    <w:rsid w:val="74BE5695"/>
    <w:rsid w:val="74DA4B18"/>
    <w:rsid w:val="74FD7A19"/>
    <w:rsid w:val="75275A4F"/>
    <w:rsid w:val="75357D54"/>
    <w:rsid w:val="75432B94"/>
    <w:rsid w:val="75432CCF"/>
    <w:rsid w:val="7547152C"/>
    <w:rsid w:val="755C5140"/>
    <w:rsid w:val="756248C1"/>
    <w:rsid w:val="758D381C"/>
    <w:rsid w:val="75A26BEE"/>
    <w:rsid w:val="75B25BCB"/>
    <w:rsid w:val="75C64E50"/>
    <w:rsid w:val="75CD2EFB"/>
    <w:rsid w:val="76165514"/>
    <w:rsid w:val="76313F48"/>
    <w:rsid w:val="76856AB9"/>
    <w:rsid w:val="768F7938"/>
    <w:rsid w:val="769413F2"/>
    <w:rsid w:val="76964680"/>
    <w:rsid w:val="769E7DAB"/>
    <w:rsid w:val="76AA5BE8"/>
    <w:rsid w:val="76C577FD"/>
    <w:rsid w:val="76C72039"/>
    <w:rsid w:val="76CE144F"/>
    <w:rsid w:val="76DA32A9"/>
    <w:rsid w:val="76E00193"/>
    <w:rsid w:val="77093CF3"/>
    <w:rsid w:val="77101BD6"/>
    <w:rsid w:val="77584F74"/>
    <w:rsid w:val="775E4966"/>
    <w:rsid w:val="77943700"/>
    <w:rsid w:val="77A737CA"/>
    <w:rsid w:val="77BC5C81"/>
    <w:rsid w:val="77E077E7"/>
    <w:rsid w:val="77EA4BF4"/>
    <w:rsid w:val="780739AA"/>
    <w:rsid w:val="78087293"/>
    <w:rsid w:val="780879A1"/>
    <w:rsid w:val="782C2E1C"/>
    <w:rsid w:val="7842248A"/>
    <w:rsid w:val="78476AAA"/>
    <w:rsid w:val="784F08C2"/>
    <w:rsid w:val="78711EA5"/>
    <w:rsid w:val="788E104F"/>
    <w:rsid w:val="78967EE6"/>
    <w:rsid w:val="789A73DA"/>
    <w:rsid w:val="78D06479"/>
    <w:rsid w:val="78D244C8"/>
    <w:rsid w:val="78E201F2"/>
    <w:rsid w:val="790953D2"/>
    <w:rsid w:val="79273E4D"/>
    <w:rsid w:val="792E2A6F"/>
    <w:rsid w:val="792F71B0"/>
    <w:rsid w:val="79414871"/>
    <w:rsid w:val="79414E73"/>
    <w:rsid w:val="79625133"/>
    <w:rsid w:val="7984574E"/>
    <w:rsid w:val="79920598"/>
    <w:rsid w:val="799A0ACD"/>
    <w:rsid w:val="79B778D1"/>
    <w:rsid w:val="7A0B5527"/>
    <w:rsid w:val="7A0D63E1"/>
    <w:rsid w:val="7A1563A6"/>
    <w:rsid w:val="7A1B1C61"/>
    <w:rsid w:val="7A2F605F"/>
    <w:rsid w:val="7A3F3423"/>
    <w:rsid w:val="7A5275FA"/>
    <w:rsid w:val="7A794B87"/>
    <w:rsid w:val="7A7C31A6"/>
    <w:rsid w:val="7A830B8F"/>
    <w:rsid w:val="7A831561"/>
    <w:rsid w:val="7A9C22F3"/>
    <w:rsid w:val="7AA55283"/>
    <w:rsid w:val="7AD341B7"/>
    <w:rsid w:val="7AD51975"/>
    <w:rsid w:val="7B1B7628"/>
    <w:rsid w:val="7B251EE7"/>
    <w:rsid w:val="7B2A5E81"/>
    <w:rsid w:val="7B3537A0"/>
    <w:rsid w:val="7B5A16BD"/>
    <w:rsid w:val="7B7610C6"/>
    <w:rsid w:val="7B8D1959"/>
    <w:rsid w:val="7B983C6A"/>
    <w:rsid w:val="7B9F58E0"/>
    <w:rsid w:val="7BEC31E9"/>
    <w:rsid w:val="7C2B3C5E"/>
    <w:rsid w:val="7C366787"/>
    <w:rsid w:val="7C3A20F4"/>
    <w:rsid w:val="7C9F525B"/>
    <w:rsid w:val="7CAE115F"/>
    <w:rsid w:val="7CD33028"/>
    <w:rsid w:val="7CEC47BA"/>
    <w:rsid w:val="7CFD384D"/>
    <w:rsid w:val="7D062B7C"/>
    <w:rsid w:val="7D080871"/>
    <w:rsid w:val="7D284642"/>
    <w:rsid w:val="7D3D3DC1"/>
    <w:rsid w:val="7D466F15"/>
    <w:rsid w:val="7D6873BE"/>
    <w:rsid w:val="7D835243"/>
    <w:rsid w:val="7D951CD7"/>
    <w:rsid w:val="7D985EE7"/>
    <w:rsid w:val="7DA737B9"/>
    <w:rsid w:val="7DB257F0"/>
    <w:rsid w:val="7DB54128"/>
    <w:rsid w:val="7DE91FA1"/>
    <w:rsid w:val="7E291173"/>
    <w:rsid w:val="7E30764B"/>
    <w:rsid w:val="7E357016"/>
    <w:rsid w:val="7E5356EF"/>
    <w:rsid w:val="7E622C3D"/>
    <w:rsid w:val="7E6F35AF"/>
    <w:rsid w:val="7E813419"/>
    <w:rsid w:val="7E8A5C73"/>
    <w:rsid w:val="7E9F1976"/>
    <w:rsid w:val="7EA4445E"/>
    <w:rsid w:val="7EBF4B32"/>
    <w:rsid w:val="7EC32874"/>
    <w:rsid w:val="7ECB797B"/>
    <w:rsid w:val="7ED71E7C"/>
    <w:rsid w:val="7EE37844"/>
    <w:rsid w:val="7EEF2A99"/>
    <w:rsid w:val="7EF649F8"/>
    <w:rsid w:val="7EFC2813"/>
    <w:rsid w:val="7F157994"/>
    <w:rsid w:val="7F275383"/>
    <w:rsid w:val="7F8D69DE"/>
    <w:rsid w:val="7F913256"/>
    <w:rsid w:val="7F9B2EB0"/>
    <w:rsid w:val="7FD62796"/>
    <w:rsid w:val="7FF048F5"/>
    <w:rsid w:val="7FFA33A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35" w:semiHidden="0" w:name="caption"/>
    <w:lsdException w:qFormat="1" w:unhideWhenUsed="0" w:uiPriority="0" w:semiHidden="0" w:name="table of figures"/>
    <w:lsdException w:uiPriority="99" w:name="envelope address"/>
    <w:lsdException w:qFormat="1" w:unhideWhenUsed="0" w:uiPriority="99"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nhideWhenUsed="0" w:uiPriority="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6"/>
    <w:qFormat/>
    <w:uiPriority w:val="0"/>
    <w:pPr>
      <w:keepNext/>
      <w:keepLines/>
      <w:spacing w:before="340" w:beforeLines="0" w:after="330" w:afterLines="0" w:line="576" w:lineRule="auto"/>
      <w:outlineLvl w:val="0"/>
    </w:pPr>
    <w:rPr>
      <w:rFonts w:eastAsia="宋体"/>
      <w:b/>
      <w:bCs/>
      <w:kern w:val="44"/>
      <w:sz w:val="44"/>
      <w:szCs w:val="44"/>
      <w:lang w:val="en-US" w:eastAsia="zh-CN" w:bidi="ar-SA"/>
    </w:rPr>
  </w:style>
  <w:style w:type="paragraph" w:styleId="4">
    <w:name w:val="heading 2"/>
    <w:basedOn w:val="1"/>
    <w:next w:val="5"/>
    <w:link w:val="67"/>
    <w:qFormat/>
    <w:uiPriority w:val="0"/>
    <w:pPr>
      <w:keepNext/>
      <w:keepLines/>
      <w:spacing w:before="260" w:beforeLines="0" w:after="260" w:afterLines="0" w:line="413" w:lineRule="auto"/>
      <w:outlineLvl w:val="1"/>
    </w:pPr>
    <w:rPr>
      <w:rFonts w:ascii="Arial" w:hAnsi="Arial" w:eastAsia="黑体"/>
      <w:b/>
      <w:bCs/>
      <w:kern w:val="2"/>
      <w:sz w:val="32"/>
      <w:szCs w:val="32"/>
      <w:lang w:val="en-US" w:eastAsia="zh-CN" w:bidi="ar-SA"/>
    </w:rPr>
  </w:style>
  <w:style w:type="paragraph" w:styleId="6">
    <w:name w:val="heading 3"/>
    <w:basedOn w:val="1"/>
    <w:next w:val="1"/>
    <w:link w:val="68"/>
    <w:qFormat/>
    <w:uiPriority w:val="0"/>
    <w:pPr>
      <w:keepNext/>
      <w:keepLines/>
      <w:spacing w:before="260" w:beforeLines="0" w:after="260" w:afterLines="0" w:line="413" w:lineRule="auto"/>
      <w:outlineLvl w:val="2"/>
    </w:pPr>
    <w:rPr>
      <w:rFonts w:eastAsia="宋体"/>
      <w:b/>
      <w:bCs/>
      <w:kern w:val="2"/>
      <w:sz w:val="32"/>
      <w:szCs w:val="32"/>
      <w:lang w:val="en-US" w:eastAsia="zh-CN" w:bidi="ar-SA"/>
    </w:rPr>
  </w:style>
  <w:style w:type="paragraph" w:styleId="7">
    <w:name w:val="heading 4"/>
    <w:basedOn w:val="1"/>
    <w:next w:val="1"/>
    <w:link w:val="69"/>
    <w:qFormat/>
    <w:uiPriority w:val="0"/>
    <w:pPr>
      <w:keepNext/>
      <w:keepLines/>
      <w:spacing w:before="280" w:beforeLines="0" w:after="290" w:afterLines="0" w:line="372" w:lineRule="auto"/>
      <w:outlineLvl w:val="3"/>
    </w:pPr>
    <w:rPr>
      <w:rFonts w:ascii="Arial" w:hAnsi="Arial" w:eastAsia="黑体"/>
      <w:b/>
      <w:bCs/>
      <w:kern w:val="2"/>
      <w:sz w:val="28"/>
      <w:szCs w:val="28"/>
      <w:lang w:val="en-US" w:eastAsia="zh-CN" w:bidi="ar-SA"/>
    </w:rPr>
  </w:style>
  <w:style w:type="paragraph" w:styleId="8">
    <w:name w:val="heading 6"/>
    <w:basedOn w:val="1"/>
    <w:next w:val="1"/>
    <w:qFormat/>
    <w:uiPriority w:val="0"/>
    <w:pPr>
      <w:keepNext/>
      <w:keepLines/>
      <w:widowControl/>
      <w:tabs>
        <w:tab w:val="left" w:pos="1440"/>
      </w:tabs>
      <w:spacing w:before="240" w:beforeLines="0" w:after="64" w:afterLines="0" w:line="317" w:lineRule="auto"/>
      <w:ind w:left="1152" w:hanging="1152"/>
      <w:jc w:val="left"/>
      <w:outlineLvl w:val="5"/>
    </w:pPr>
    <w:rPr>
      <w:rFonts w:ascii="Arial" w:hAnsi="Arial" w:eastAsia="黑体"/>
      <w:b/>
      <w:bCs/>
      <w:kern w:val="0"/>
      <w:sz w:val="24"/>
    </w:rPr>
  </w:style>
  <w:style w:type="paragraph" w:styleId="9">
    <w:name w:val="heading 7"/>
    <w:basedOn w:val="1"/>
    <w:next w:val="1"/>
    <w:qFormat/>
    <w:uiPriority w:val="0"/>
    <w:pPr>
      <w:keepNext/>
      <w:keepLines/>
      <w:widowControl/>
      <w:tabs>
        <w:tab w:val="left" w:pos="2520"/>
      </w:tabs>
      <w:spacing w:before="240" w:beforeLines="0" w:after="64" w:afterLines="0" w:line="317" w:lineRule="auto"/>
      <w:ind w:left="1296" w:hanging="1296"/>
      <w:jc w:val="left"/>
      <w:outlineLvl w:val="6"/>
    </w:pPr>
    <w:rPr>
      <w:b/>
      <w:bCs/>
      <w:kern w:val="0"/>
      <w:sz w:val="24"/>
    </w:rPr>
  </w:style>
  <w:style w:type="paragraph" w:styleId="10">
    <w:name w:val="heading 8"/>
    <w:basedOn w:val="1"/>
    <w:next w:val="1"/>
    <w:qFormat/>
    <w:uiPriority w:val="0"/>
    <w:pPr>
      <w:keepNext/>
      <w:keepLines/>
      <w:widowControl/>
      <w:tabs>
        <w:tab w:val="left" w:pos="1440"/>
      </w:tabs>
      <w:spacing w:before="240" w:beforeLines="0" w:after="64" w:afterLines="0" w:line="317" w:lineRule="auto"/>
      <w:ind w:left="1440" w:hanging="1440"/>
      <w:jc w:val="left"/>
      <w:outlineLvl w:val="7"/>
    </w:pPr>
    <w:rPr>
      <w:rFonts w:ascii="Arial" w:hAnsi="Arial" w:eastAsia="黑体"/>
      <w:kern w:val="0"/>
      <w:sz w:val="24"/>
    </w:rPr>
  </w:style>
  <w:style w:type="paragraph" w:styleId="11">
    <w:name w:val="heading 9"/>
    <w:basedOn w:val="1"/>
    <w:next w:val="1"/>
    <w:qFormat/>
    <w:uiPriority w:val="0"/>
    <w:pPr>
      <w:keepNext/>
      <w:keepLines/>
      <w:widowControl/>
      <w:tabs>
        <w:tab w:val="left" w:pos="1584"/>
      </w:tabs>
      <w:spacing w:before="240" w:beforeLines="0" w:after="64" w:afterLines="0" w:line="317" w:lineRule="auto"/>
      <w:ind w:left="1584" w:hanging="1584"/>
      <w:jc w:val="left"/>
      <w:outlineLvl w:val="8"/>
    </w:pPr>
    <w:rPr>
      <w:rFonts w:ascii="Arial" w:hAnsi="Arial" w:eastAsia="黑体"/>
      <w:kern w:val="0"/>
      <w:szCs w:val="21"/>
    </w:rPr>
  </w:style>
  <w:style w:type="character" w:default="1" w:styleId="48">
    <w:name w:val="Default Paragraph Font"/>
    <w:qFormat/>
    <w:uiPriority w:val="0"/>
  </w:style>
  <w:style w:type="table" w:default="1" w:styleId="46">
    <w:name w:val="Normal Table"/>
    <w:semiHidden/>
    <w:qFormat/>
    <w:uiPriority w:val="0"/>
    <w:tblPr>
      <w:tblCellMar>
        <w:top w:w="0" w:type="dxa"/>
        <w:left w:w="108" w:type="dxa"/>
        <w:bottom w:w="0" w:type="dxa"/>
        <w:right w:w="108" w:type="dxa"/>
      </w:tblCellMar>
    </w:tblPr>
  </w:style>
  <w:style w:type="paragraph" w:styleId="2">
    <w:name w:val="Body Text"/>
    <w:basedOn w:val="1"/>
    <w:next w:val="1"/>
    <w:link w:val="73"/>
    <w:qFormat/>
    <w:uiPriority w:val="0"/>
    <w:pPr>
      <w:spacing w:after="120" w:afterLines="0"/>
    </w:pPr>
    <w:rPr>
      <w:rFonts w:eastAsia="宋体"/>
      <w:kern w:val="2"/>
      <w:sz w:val="21"/>
      <w:szCs w:val="24"/>
      <w:lang w:val="en-US" w:eastAsia="zh-CN" w:bidi="ar-SA"/>
    </w:rPr>
  </w:style>
  <w:style w:type="paragraph" w:styleId="5">
    <w:name w:val="Normal Indent"/>
    <w:basedOn w:val="1"/>
    <w:qFormat/>
    <w:uiPriority w:val="0"/>
    <w:pPr>
      <w:ind w:firstLine="420" w:firstLineChars="200"/>
    </w:pPr>
  </w:style>
  <w:style w:type="paragraph" w:styleId="12">
    <w:name w:val="toc 7"/>
    <w:basedOn w:val="1"/>
    <w:next w:val="1"/>
    <w:qFormat/>
    <w:uiPriority w:val="0"/>
    <w:pPr>
      <w:ind w:left="1260"/>
      <w:jc w:val="left"/>
    </w:pPr>
    <w:rPr>
      <w:sz w:val="18"/>
      <w:szCs w:val="18"/>
    </w:rPr>
  </w:style>
  <w:style w:type="paragraph" w:styleId="13">
    <w:name w:val="caption"/>
    <w:basedOn w:val="1"/>
    <w:next w:val="1"/>
    <w:link w:val="70"/>
    <w:qFormat/>
    <w:uiPriority w:val="35"/>
    <w:pPr>
      <w:spacing w:beforeLines="50" w:afterLines="50" w:line="360" w:lineRule="auto"/>
      <w:jc w:val="center"/>
    </w:pPr>
    <w:rPr>
      <w:rFonts w:ascii="Arial" w:hAnsi="Arial" w:eastAsia="黑体"/>
      <w:sz w:val="24"/>
      <w:szCs w:val="20"/>
    </w:rPr>
  </w:style>
  <w:style w:type="paragraph" w:styleId="14">
    <w:name w:val="index 5"/>
    <w:basedOn w:val="1"/>
    <w:next w:val="1"/>
    <w:qFormat/>
    <w:uiPriority w:val="0"/>
    <w:pPr>
      <w:adjustRightInd w:val="0"/>
      <w:snapToGrid w:val="0"/>
      <w:spacing w:line="360" w:lineRule="auto"/>
      <w:jc w:val="center"/>
    </w:pPr>
    <w:rPr>
      <w:rFonts w:ascii="宋体" w:hAnsi="宋体" w:cs="宋体"/>
      <w:bCs/>
      <w:kern w:val="0"/>
      <w:szCs w:val="21"/>
    </w:rPr>
  </w:style>
  <w:style w:type="paragraph" w:styleId="15">
    <w:name w:val="List Bullet"/>
    <w:basedOn w:val="1"/>
    <w:qFormat/>
    <w:uiPriority w:val="0"/>
    <w:pPr>
      <w:numPr>
        <w:ilvl w:val="0"/>
        <w:numId w:val="1"/>
      </w:numPr>
      <w:contextualSpacing/>
    </w:pPr>
  </w:style>
  <w:style w:type="paragraph" w:styleId="16">
    <w:name w:val="Document Map"/>
    <w:basedOn w:val="1"/>
    <w:link w:val="71"/>
    <w:qFormat/>
    <w:uiPriority w:val="0"/>
    <w:pPr>
      <w:shd w:val="clear" w:color="auto" w:fill="000080"/>
    </w:pPr>
    <w:rPr>
      <w:rFonts w:eastAsia="宋体"/>
      <w:kern w:val="2"/>
      <w:sz w:val="21"/>
      <w:szCs w:val="24"/>
      <w:lang w:val="en-US" w:eastAsia="zh-CN" w:bidi="ar-SA"/>
    </w:rPr>
  </w:style>
  <w:style w:type="paragraph" w:styleId="17">
    <w:name w:val="annotation text"/>
    <w:basedOn w:val="1"/>
    <w:link w:val="72"/>
    <w:qFormat/>
    <w:uiPriority w:val="0"/>
    <w:pPr>
      <w:jc w:val="left"/>
    </w:pPr>
    <w:rPr>
      <w:rFonts w:eastAsia="宋体"/>
      <w:kern w:val="2"/>
      <w:sz w:val="24"/>
      <w:szCs w:val="24"/>
      <w:lang w:val="en-US" w:eastAsia="zh-CN" w:bidi="ar-SA"/>
    </w:rPr>
  </w:style>
  <w:style w:type="paragraph" w:styleId="18">
    <w:name w:val="Body Text 3"/>
    <w:basedOn w:val="1"/>
    <w:qFormat/>
    <w:uiPriority w:val="0"/>
    <w:rPr>
      <w:rFonts w:ascii="宋体"/>
      <w:sz w:val="24"/>
      <w:szCs w:val="20"/>
    </w:rPr>
  </w:style>
  <w:style w:type="paragraph" w:styleId="19">
    <w:name w:val="Body Text Indent"/>
    <w:basedOn w:val="1"/>
    <w:qFormat/>
    <w:uiPriority w:val="0"/>
    <w:pPr>
      <w:spacing w:after="120" w:afterLines="0"/>
      <w:ind w:left="420" w:leftChars="200"/>
    </w:pPr>
  </w:style>
  <w:style w:type="paragraph" w:styleId="20">
    <w:name w:val="toc 5"/>
    <w:basedOn w:val="1"/>
    <w:next w:val="1"/>
    <w:qFormat/>
    <w:uiPriority w:val="0"/>
    <w:pPr>
      <w:ind w:left="840"/>
      <w:jc w:val="left"/>
    </w:pPr>
    <w:rPr>
      <w:sz w:val="18"/>
      <w:szCs w:val="18"/>
    </w:rPr>
  </w:style>
  <w:style w:type="paragraph" w:styleId="21">
    <w:name w:val="toc 3"/>
    <w:basedOn w:val="1"/>
    <w:next w:val="1"/>
    <w:qFormat/>
    <w:uiPriority w:val="39"/>
    <w:pPr>
      <w:ind w:left="420"/>
      <w:jc w:val="left"/>
    </w:pPr>
    <w:rPr>
      <w:i/>
      <w:iCs/>
      <w:sz w:val="20"/>
      <w:szCs w:val="20"/>
    </w:rPr>
  </w:style>
  <w:style w:type="paragraph" w:styleId="22">
    <w:name w:val="Plain Text"/>
    <w:basedOn w:val="1"/>
    <w:link w:val="74"/>
    <w:qFormat/>
    <w:uiPriority w:val="0"/>
    <w:rPr>
      <w:rFonts w:ascii="Courier New" w:hAnsi="Courier New"/>
      <w:szCs w:val="20"/>
    </w:rPr>
  </w:style>
  <w:style w:type="paragraph" w:styleId="23">
    <w:name w:val="toc 8"/>
    <w:basedOn w:val="1"/>
    <w:next w:val="1"/>
    <w:qFormat/>
    <w:uiPriority w:val="0"/>
    <w:pPr>
      <w:ind w:left="1470"/>
      <w:jc w:val="left"/>
    </w:pPr>
    <w:rPr>
      <w:sz w:val="18"/>
      <w:szCs w:val="18"/>
    </w:rPr>
  </w:style>
  <w:style w:type="paragraph" w:styleId="24">
    <w:name w:val="Date"/>
    <w:basedOn w:val="1"/>
    <w:next w:val="1"/>
    <w:qFormat/>
    <w:uiPriority w:val="0"/>
    <w:rPr>
      <w:sz w:val="24"/>
      <w:szCs w:val="20"/>
    </w:rPr>
  </w:style>
  <w:style w:type="paragraph" w:styleId="25">
    <w:name w:val="Body Text Indent 2"/>
    <w:basedOn w:val="1"/>
    <w:qFormat/>
    <w:uiPriority w:val="0"/>
    <w:pPr>
      <w:spacing w:after="120" w:line="480" w:lineRule="auto"/>
      <w:ind w:left="420" w:leftChars="200"/>
    </w:pPr>
  </w:style>
  <w:style w:type="paragraph" w:styleId="26">
    <w:name w:val="Balloon Text"/>
    <w:basedOn w:val="1"/>
    <w:qFormat/>
    <w:uiPriority w:val="0"/>
    <w:rPr>
      <w:sz w:val="18"/>
      <w:szCs w:val="18"/>
    </w:rPr>
  </w:style>
  <w:style w:type="paragraph" w:styleId="27">
    <w:name w:val="footer"/>
    <w:basedOn w:val="1"/>
    <w:link w:val="75"/>
    <w:qFormat/>
    <w:uiPriority w:val="0"/>
    <w:pPr>
      <w:tabs>
        <w:tab w:val="center" w:pos="4153"/>
        <w:tab w:val="right" w:pos="8306"/>
      </w:tabs>
      <w:snapToGrid w:val="0"/>
      <w:jc w:val="left"/>
    </w:pPr>
    <w:rPr>
      <w:rFonts w:eastAsia="宋体"/>
      <w:kern w:val="2"/>
      <w:sz w:val="18"/>
      <w:szCs w:val="18"/>
      <w:lang w:val="en-US" w:eastAsia="zh-CN" w:bidi="ar-SA"/>
    </w:rPr>
  </w:style>
  <w:style w:type="paragraph" w:styleId="28">
    <w:name w:val="envelope return"/>
    <w:basedOn w:val="1"/>
    <w:qFormat/>
    <w:uiPriority w:val="99"/>
    <w:pPr>
      <w:snapToGrid w:val="0"/>
    </w:pPr>
    <w:rPr>
      <w:rFonts w:ascii="Arial" w:hAnsi="Arial" w:cs="Arial"/>
    </w:rPr>
  </w:style>
  <w:style w:type="paragraph" w:styleId="29">
    <w:name w:val="header"/>
    <w:basedOn w:val="1"/>
    <w:link w:val="76"/>
    <w:qFormat/>
    <w:uiPriority w:val="99"/>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30">
    <w:name w:val="toc 1"/>
    <w:basedOn w:val="1"/>
    <w:next w:val="1"/>
    <w:qFormat/>
    <w:uiPriority w:val="39"/>
    <w:pPr>
      <w:spacing w:before="120" w:beforeLines="0" w:after="120" w:afterLines="0"/>
      <w:jc w:val="left"/>
    </w:pPr>
    <w:rPr>
      <w:b/>
      <w:bCs/>
      <w:caps/>
      <w:sz w:val="20"/>
      <w:szCs w:val="20"/>
    </w:rPr>
  </w:style>
  <w:style w:type="paragraph" w:styleId="31">
    <w:name w:val="toc 4"/>
    <w:basedOn w:val="1"/>
    <w:next w:val="1"/>
    <w:qFormat/>
    <w:uiPriority w:val="39"/>
    <w:pPr>
      <w:ind w:left="630"/>
      <w:jc w:val="left"/>
    </w:pPr>
    <w:rPr>
      <w:sz w:val="18"/>
      <w:szCs w:val="18"/>
    </w:rPr>
  </w:style>
  <w:style w:type="paragraph" w:styleId="32">
    <w:name w:val="footnote text"/>
    <w:basedOn w:val="1"/>
    <w:qFormat/>
    <w:uiPriority w:val="0"/>
    <w:rPr>
      <w:sz w:val="20"/>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qFormat/>
    <w:uiPriority w:val="0"/>
    <w:pPr>
      <w:spacing w:after="120" w:afterLines="0"/>
      <w:ind w:left="420" w:leftChars="200"/>
    </w:pPr>
    <w:rPr>
      <w:sz w:val="16"/>
      <w:szCs w:val="16"/>
    </w:rPr>
  </w:style>
  <w:style w:type="paragraph" w:styleId="35">
    <w:name w:val="table of figures"/>
    <w:basedOn w:val="1"/>
    <w:next w:val="1"/>
    <w:qFormat/>
    <w:uiPriority w:val="0"/>
    <w:pPr>
      <w:ind w:left="200" w:leftChars="200" w:hanging="200" w:hangingChars="200"/>
    </w:pPr>
  </w:style>
  <w:style w:type="paragraph" w:styleId="36">
    <w:name w:val="toc 2"/>
    <w:basedOn w:val="1"/>
    <w:next w:val="1"/>
    <w:qFormat/>
    <w:uiPriority w:val="39"/>
    <w:pPr>
      <w:ind w:left="210"/>
      <w:jc w:val="left"/>
    </w:pPr>
    <w:rPr>
      <w:smallCaps/>
      <w:sz w:val="20"/>
      <w:szCs w:val="20"/>
    </w:rPr>
  </w:style>
  <w:style w:type="paragraph" w:styleId="37">
    <w:name w:val="toc 9"/>
    <w:basedOn w:val="1"/>
    <w:next w:val="1"/>
    <w:qFormat/>
    <w:uiPriority w:val="0"/>
    <w:pPr>
      <w:ind w:left="1680"/>
      <w:jc w:val="left"/>
    </w:pPr>
    <w:rPr>
      <w:sz w:val="18"/>
      <w:szCs w:val="18"/>
    </w:rPr>
  </w:style>
  <w:style w:type="paragraph" w:styleId="38">
    <w:name w:val="Body Text 2"/>
    <w:basedOn w:val="1"/>
    <w:qFormat/>
    <w:uiPriority w:val="0"/>
    <w:pPr>
      <w:spacing w:after="120" w:line="480" w:lineRule="auto"/>
    </w:pPr>
  </w:style>
  <w:style w:type="paragraph" w:styleId="39">
    <w:name w:val="HTML Preformatted"/>
    <w:basedOn w:val="1"/>
    <w:unhideWhenUsed/>
    <w:qFormat/>
    <w:uiPriority w:val="99"/>
    <w:pPr>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微软雅黑" w:hAnsi="微软雅黑" w:eastAsia="微软雅黑" w:cs="微软雅黑"/>
      <w:kern w:val="0"/>
      <w:sz w:val="24"/>
      <w:szCs w:val="24"/>
      <w:lang w:val="en-US" w:eastAsia="zh-CN" w:bidi="ar"/>
    </w:rPr>
  </w:style>
  <w:style w:type="paragraph" w:styleId="40">
    <w:name w:val="Normal (Web)"/>
    <w:basedOn w:val="1"/>
    <w:qFormat/>
    <w:uiPriority w:val="99"/>
    <w:pPr>
      <w:widowControl/>
      <w:spacing w:before="100" w:beforeLines="0" w:beforeAutospacing="1" w:after="100" w:afterLines="0" w:afterAutospacing="1"/>
      <w:jc w:val="left"/>
    </w:pPr>
    <w:rPr>
      <w:rFonts w:ascii="??" w:hAnsi="??" w:cs="宋体"/>
      <w:kern w:val="0"/>
      <w:sz w:val="24"/>
    </w:rPr>
  </w:style>
  <w:style w:type="paragraph" w:styleId="41">
    <w:name w:val="index 1"/>
    <w:basedOn w:val="1"/>
    <w:next w:val="1"/>
    <w:qFormat/>
    <w:uiPriority w:val="0"/>
    <w:pPr>
      <w:spacing w:line="220" w:lineRule="exact"/>
      <w:jc w:val="center"/>
    </w:pPr>
    <w:rPr>
      <w:rFonts w:ascii="仿宋_GB2312" w:eastAsia="仿宋_GB2312"/>
      <w:szCs w:val="21"/>
    </w:rPr>
  </w:style>
  <w:style w:type="paragraph" w:styleId="42">
    <w:name w:val="Title"/>
    <w:basedOn w:val="1"/>
    <w:link w:val="77"/>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43">
    <w:name w:val="annotation subject"/>
    <w:basedOn w:val="17"/>
    <w:next w:val="17"/>
    <w:link w:val="78"/>
    <w:qFormat/>
    <w:uiPriority w:val="0"/>
    <w:rPr>
      <w:b/>
      <w:bCs/>
    </w:rPr>
  </w:style>
  <w:style w:type="paragraph" w:styleId="44">
    <w:name w:val="Body Text First Indent"/>
    <w:basedOn w:val="2"/>
    <w:next w:val="1"/>
    <w:link w:val="79"/>
    <w:qFormat/>
    <w:uiPriority w:val="0"/>
    <w:pPr>
      <w:spacing w:line="312" w:lineRule="auto"/>
      <w:ind w:firstLine="420"/>
    </w:pPr>
  </w:style>
  <w:style w:type="paragraph" w:styleId="45">
    <w:name w:val="Body Text First Indent 2"/>
    <w:basedOn w:val="1"/>
    <w:next w:val="1"/>
    <w:unhideWhenUsed/>
    <w:qFormat/>
    <w:uiPriority w:val="99"/>
    <w:pPr>
      <w:ind w:firstLine="420" w:firstLineChars="200"/>
    </w:pPr>
  </w:style>
  <w:style w:type="table" w:styleId="47">
    <w:name w:val="Table Grid"/>
    <w:basedOn w:val="4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0"/>
    <w:rPr>
      <w:rFonts w:cs="Times New Roman"/>
      <w:b/>
      <w:bCs/>
    </w:rPr>
  </w:style>
  <w:style w:type="character" w:styleId="50">
    <w:name w:val="page number"/>
    <w:basedOn w:val="48"/>
    <w:qFormat/>
    <w:uiPriority w:val="0"/>
    <w:rPr>
      <w:rFonts w:cs="Times New Roman"/>
    </w:rPr>
  </w:style>
  <w:style w:type="character" w:styleId="51">
    <w:name w:val="FollowedHyperlink"/>
    <w:basedOn w:val="48"/>
    <w:qFormat/>
    <w:uiPriority w:val="0"/>
    <w:rPr>
      <w:rFonts w:cs="Times New Roman"/>
      <w:color w:val="800080"/>
      <w:u w:val="single"/>
    </w:rPr>
  </w:style>
  <w:style w:type="character" w:styleId="52">
    <w:name w:val="Emphasis"/>
    <w:basedOn w:val="48"/>
    <w:qFormat/>
    <w:uiPriority w:val="20"/>
  </w:style>
  <w:style w:type="character" w:styleId="53">
    <w:name w:val="HTML Definition"/>
    <w:basedOn w:val="48"/>
    <w:unhideWhenUsed/>
    <w:qFormat/>
    <w:uiPriority w:val="99"/>
  </w:style>
  <w:style w:type="character" w:styleId="54">
    <w:name w:val="HTML Typewriter"/>
    <w:basedOn w:val="48"/>
    <w:unhideWhenUsed/>
    <w:qFormat/>
    <w:uiPriority w:val="99"/>
    <w:rPr>
      <w:rFonts w:hint="default" w:ascii="monospace" w:hAnsi="monospace" w:eastAsia="monospace" w:cs="monospace"/>
      <w:sz w:val="20"/>
    </w:rPr>
  </w:style>
  <w:style w:type="character" w:styleId="55">
    <w:name w:val="HTML Acronym"/>
    <w:basedOn w:val="48"/>
    <w:unhideWhenUsed/>
    <w:qFormat/>
    <w:uiPriority w:val="99"/>
  </w:style>
  <w:style w:type="character" w:styleId="56">
    <w:name w:val="HTML Variable"/>
    <w:basedOn w:val="48"/>
    <w:unhideWhenUsed/>
    <w:qFormat/>
    <w:uiPriority w:val="99"/>
  </w:style>
  <w:style w:type="character" w:styleId="57">
    <w:name w:val="Hyperlink"/>
    <w:basedOn w:val="48"/>
    <w:qFormat/>
    <w:uiPriority w:val="99"/>
    <w:rPr>
      <w:rFonts w:cs="Times New Roman"/>
      <w:color w:val="0000FF"/>
      <w:u w:val="single"/>
    </w:rPr>
  </w:style>
  <w:style w:type="character" w:styleId="58">
    <w:name w:val="HTML Code"/>
    <w:basedOn w:val="48"/>
    <w:unhideWhenUsed/>
    <w:qFormat/>
    <w:uiPriority w:val="99"/>
    <w:rPr>
      <w:rFonts w:hint="default" w:ascii="monospace" w:hAnsi="monospace" w:eastAsia="monospace" w:cs="monospace"/>
      <w:sz w:val="20"/>
    </w:rPr>
  </w:style>
  <w:style w:type="character" w:styleId="59">
    <w:name w:val="annotation reference"/>
    <w:basedOn w:val="48"/>
    <w:qFormat/>
    <w:uiPriority w:val="0"/>
    <w:rPr>
      <w:rFonts w:cs="Times New Roman"/>
      <w:sz w:val="21"/>
      <w:szCs w:val="21"/>
    </w:rPr>
  </w:style>
  <w:style w:type="character" w:styleId="60">
    <w:name w:val="HTML Cite"/>
    <w:basedOn w:val="48"/>
    <w:unhideWhenUsed/>
    <w:qFormat/>
    <w:uiPriority w:val="99"/>
  </w:style>
  <w:style w:type="character" w:styleId="61">
    <w:name w:val="footnote reference"/>
    <w:basedOn w:val="48"/>
    <w:qFormat/>
    <w:uiPriority w:val="0"/>
    <w:rPr>
      <w:rFonts w:cs="Times New Roman"/>
      <w:vertAlign w:val="superscript"/>
    </w:rPr>
  </w:style>
  <w:style w:type="character" w:styleId="62">
    <w:name w:val="HTML Keyboard"/>
    <w:basedOn w:val="48"/>
    <w:unhideWhenUsed/>
    <w:qFormat/>
    <w:uiPriority w:val="99"/>
    <w:rPr>
      <w:rFonts w:ascii="monospace" w:hAnsi="monospace" w:eastAsia="monospace" w:cs="monospace"/>
      <w:sz w:val="20"/>
    </w:rPr>
  </w:style>
  <w:style w:type="character" w:styleId="63">
    <w:name w:val="HTML Sample"/>
    <w:basedOn w:val="48"/>
    <w:unhideWhenUsed/>
    <w:qFormat/>
    <w:uiPriority w:val="99"/>
    <w:rPr>
      <w:rFonts w:hint="default" w:ascii="monospace" w:hAnsi="monospace" w:eastAsia="monospace" w:cs="monospace"/>
    </w:rPr>
  </w:style>
  <w:style w:type="paragraph" w:styleId="64">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66">
    <w:name w:val="标题 1 Char"/>
    <w:basedOn w:val="48"/>
    <w:link w:val="3"/>
    <w:qFormat/>
    <w:uiPriority w:val="0"/>
    <w:rPr>
      <w:rFonts w:eastAsia="宋体"/>
      <w:b/>
      <w:bCs/>
      <w:kern w:val="44"/>
      <w:sz w:val="44"/>
      <w:szCs w:val="44"/>
      <w:lang w:val="en-US" w:eastAsia="zh-CN" w:bidi="ar-SA"/>
    </w:rPr>
  </w:style>
  <w:style w:type="character" w:customStyle="1" w:styleId="67">
    <w:name w:val="标题 2 Char"/>
    <w:basedOn w:val="48"/>
    <w:link w:val="4"/>
    <w:qFormat/>
    <w:uiPriority w:val="0"/>
    <w:rPr>
      <w:rFonts w:ascii="Arial" w:hAnsi="Arial" w:eastAsia="黑体"/>
      <w:b/>
      <w:bCs/>
      <w:kern w:val="2"/>
      <w:sz w:val="32"/>
      <w:szCs w:val="32"/>
      <w:lang w:val="en-US" w:eastAsia="zh-CN" w:bidi="ar-SA"/>
    </w:rPr>
  </w:style>
  <w:style w:type="character" w:customStyle="1" w:styleId="68">
    <w:name w:val="标题 3 Char"/>
    <w:basedOn w:val="48"/>
    <w:link w:val="6"/>
    <w:qFormat/>
    <w:uiPriority w:val="0"/>
    <w:rPr>
      <w:rFonts w:eastAsia="宋体"/>
      <w:b/>
      <w:bCs/>
      <w:kern w:val="2"/>
      <w:sz w:val="32"/>
      <w:szCs w:val="32"/>
      <w:lang w:val="en-US" w:eastAsia="zh-CN" w:bidi="ar-SA"/>
    </w:rPr>
  </w:style>
  <w:style w:type="character" w:customStyle="1" w:styleId="69">
    <w:name w:val="标题 4 Char"/>
    <w:basedOn w:val="48"/>
    <w:link w:val="7"/>
    <w:qFormat/>
    <w:uiPriority w:val="0"/>
    <w:rPr>
      <w:rFonts w:ascii="Arial" w:hAnsi="Arial" w:eastAsia="黑体"/>
      <w:b/>
      <w:bCs/>
      <w:kern w:val="2"/>
      <w:sz w:val="28"/>
      <w:szCs w:val="28"/>
      <w:lang w:val="en-US" w:eastAsia="zh-CN" w:bidi="ar-SA"/>
    </w:rPr>
  </w:style>
  <w:style w:type="character" w:customStyle="1" w:styleId="70">
    <w:name w:val="题注 Char"/>
    <w:link w:val="13"/>
    <w:qFormat/>
    <w:uiPriority w:val="35"/>
    <w:rPr>
      <w:rFonts w:ascii="Arial" w:hAnsi="Arial" w:eastAsia="黑体" w:cs="Arial"/>
      <w:kern w:val="2"/>
      <w:sz w:val="24"/>
    </w:rPr>
  </w:style>
  <w:style w:type="character" w:customStyle="1" w:styleId="71">
    <w:name w:val="文档结构图 Char"/>
    <w:basedOn w:val="48"/>
    <w:link w:val="16"/>
    <w:qFormat/>
    <w:uiPriority w:val="0"/>
    <w:rPr>
      <w:rFonts w:eastAsia="宋体"/>
      <w:kern w:val="2"/>
      <w:sz w:val="21"/>
      <w:szCs w:val="24"/>
      <w:lang w:val="en-US" w:eastAsia="zh-CN" w:bidi="ar-SA"/>
    </w:rPr>
  </w:style>
  <w:style w:type="character" w:customStyle="1" w:styleId="72">
    <w:name w:val="批注文字 Char"/>
    <w:basedOn w:val="48"/>
    <w:link w:val="17"/>
    <w:qFormat/>
    <w:uiPriority w:val="0"/>
    <w:rPr>
      <w:rFonts w:eastAsia="宋体"/>
      <w:kern w:val="2"/>
      <w:sz w:val="24"/>
      <w:szCs w:val="24"/>
      <w:lang w:val="en-US" w:eastAsia="zh-CN" w:bidi="ar-SA"/>
    </w:rPr>
  </w:style>
  <w:style w:type="character" w:customStyle="1" w:styleId="73">
    <w:name w:val="正文文本 Char1"/>
    <w:basedOn w:val="48"/>
    <w:link w:val="2"/>
    <w:qFormat/>
    <w:uiPriority w:val="0"/>
    <w:rPr>
      <w:rFonts w:eastAsia="宋体"/>
      <w:kern w:val="2"/>
      <w:sz w:val="21"/>
      <w:szCs w:val="24"/>
      <w:lang w:val="en-US" w:eastAsia="zh-CN" w:bidi="ar-SA"/>
    </w:rPr>
  </w:style>
  <w:style w:type="character" w:customStyle="1" w:styleId="74">
    <w:name w:val="纯文本 Char"/>
    <w:basedOn w:val="48"/>
    <w:link w:val="22"/>
    <w:qFormat/>
    <w:uiPriority w:val="0"/>
    <w:rPr>
      <w:rFonts w:ascii="Courier New" w:hAnsi="Courier New" w:eastAsia="宋体"/>
      <w:kern w:val="2"/>
      <w:sz w:val="21"/>
      <w:lang w:val="en-US" w:eastAsia="zh-CN" w:bidi="ar-SA"/>
    </w:rPr>
  </w:style>
  <w:style w:type="character" w:customStyle="1" w:styleId="75">
    <w:name w:val="页脚 Char"/>
    <w:basedOn w:val="48"/>
    <w:link w:val="27"/>
    <w:qFormat/>
    <w:uiPriority w:val="0"/>
    <w:rPr>
      <w:rFonts w:eastAsia="宋体"/>
      <w:kern w:val="2"/>
      <w:sz w:val="18"/>
      <w:szCs w:val="18"/>
      <w:lang w:val="en-US" w:eastAsia="zh-CN" w:bidi="ar-SA"/>
    </w:rPr>
  </w:style>
  <w:style w:type="character" w:customStyle="1" w:styleId="76">
    <w:name w:val="页眉 Char"/>
    <w:basedOn w:val="48"/>
    <w:link w:val="29"/>
    <w:qFormat/>
    <w:uiPriority w:val="99"/>
    <w:rPr>
      <w:rFonts w:eastAsia="宋体"/>
      <w:kern w:val="2"/>
      <w:sz w:val="18"/>
      <w:szCs w:val="18"/>
      <w:lang w:val="en-US" w:eastAsia="zh-CN" w:bidi="ar-SA"/>
    </w:rPr>
  </w:style>
  <w:style w:type="character" w:customStyle="1" w:styleId="77">
    <w:name w:val="标题 Char"/>
    <w:link w:val="42"/>
    <w:qFormat/>
    <w:uiPriority w:val="0"/>
    <w:rPr>
      <w:rFonts w:ascii="Arial" w:hAnsi="Arial"/>
      <w:b/>
      <w:sz w:val="32"/>
    </w:rPr>
  </w:style>
  <w:style w:type="character" w:customStyle="1" w:styleId="78">
    <w:name w:val="批注主题 Char"/>
    <w:basedOn w:val="72"/>
    <w:link w:val="43"/>
    <w:qFormat/>
    <w:uiPriority w:val="0"/>
    <w:rPr>
      <w:b/>
      <w:bCs/>
    </w:rPr>
  </w:style>
  <w:style w:type="character" w:customStyle="1" w:styleId="79">
    <w:name w:val="正文首行缩进 Char"/>
    <w:basedOn w:val="80"/>
    <w:link w:val="44"/>
    <w:qFormat/>
    <w:uiPriority w:val="0"/>
  </w:style>
  <w:style w:type="character" w:customStyle="1" w:styleId="80">
    <w:name w:val="正文文本 Char"/>
    <w:basedOn w:val="48"/>
    <w:qFormat/>
    <w:uiPriority w:val="0"/>
    <w:rPr>
      <w:rFonts w:eastAsia="宋体" w:cs="Times New Roman"/>
      <w:kern w:val="2"/>
      <w:sz w:val="24"/>
      <w:szCs w:val="24"/>
      <w:lang w:val="en-US" w:eastAsia="zh-CN" w:bidi="ar-SA"/>
    </w:rPr>
  </w:style>
  <w:style w:type="paragraph" w:customStyle="1" w:styleId="81">
    <w:name w:val="正文_3"/>
    <w:next w:val="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Default"/>
    <w:next w:val="24"/>
    <w:qFormat/>
    <w:uiPriority w:val="0"/>
    <w:pPr>
      <w:widowControl w:val="0"/>
      <w:autoSpaceDE w:val="0"/>
      <w:autoSpaceDN w:val="0"/>
      <w:adjustRightInd w:val="0"/>
    </w:pPr>
    <w:rPr>
      <w:rFonts w:ascii="华文细黑_x0004_" w:hAnsi="Times New Roman" w:eastAsia="华文细黑_x0004_" w:cs="华文细黑_x0004_"/>
      <w:color w:val="000000"/>
      <w:sz w:val="24"/>
      <w:szCs w:val="24"/>
      <w:lang w:val="en-US" w:eastAsia="zh-CN" w:bidi="ar-SA"/>
    </w:rPr>
  </w:style>
  <w:style w:type="character" w:customStyle="1" w:styleId="83">
    <w:name w:val="txt1"/>
    <w:qFormat/>
    <w:uiPriority w:val="0"/>
    <w:rPr>
      <w:color w:val="000000"/>
      <w:sz w:val="18"/>
      <w:u w:val="none"/>
    </w:rPr>
  </w:style>
  <w:style w:type="character" w:customStyle="1" w:styleId="84">
    <w:name w:val="ca-3"/>
    <w:basedOn w:val="48"/>
    <w:qFormat/>
    <w:uiPriority w:val="0"/>
  </w:style>
  <w:style w:type="character" w:customStyle="1" w:styleId="85">
    <w:name w:val="Char Char8"/>
    <w:basedOn w:val="48"/>
    <w:qFormat/>
    <w:uiPriority w:val="0"/>
    <w:rPr>
      <w:rFonts w:ascii="Arial" w:hAnsi="Arial" w:eastAsia="黑体" w:cs="Times New Roman"/>
      <w:b/>
      <w:bCs/>
      <w:kern w:val="2"/>
      <w:sz w:val="32"/>
      <w:szCs w:val="32"/>
      <w:lang w:val="en-US" w:eastAsia="zh-CN" w:bidi="ar-SA"/>
    </w:rPr>
  </w:style>
  <w:style w:type="character" w:customStyle="1" w:styleId="86">
    <w:name w:val="font21"/>
    <w:basedOn w:val="48"/>
    <w:qFormat/>
    <w:uiPriority w:val="0"/>
    <w:rPr>
      <w:rFonts w:hint="eastAsia" w:ascii="宋体" w:hAnsi="宋体" w:eastAsia="宋体" w:cs="宋体"/>
      <w:color w:val="000000"/>
      <w:sz w:val="18"/>
      <w:szCs w:val="18"/>
      <w:u w:val="none"/>
    </w:rPr>
  </w:style>
  <w:style w:type="character" w:customStyle="1" w:styleId="87">
    <w:name w:val="NormalCharacter"/>
    <w:qFormat/>
    <w:uiPriority w:val="0"/>
  </w:style>
  <w:style w:type="character" w:customStyle="1" w:styleId="88">
    <w:name w:val="Char Char7"/>
    <w:basedOn w:val="48"/>
    <w:qFormat/>
    <w:uiPriority w:val="0"/>
    <w:rPr>
      <w:rFonts w:ascii="Arial" w:hAnsi="Arial" w:eastAsia="黑体" w:cs="Times New Roman"/>
      <w:b/>
      <w:bCs/>
      <w:kern w:val="2"/>
      <w:sz w:val="32"/>
      <w:szCs w:val="32"/>
      <w:lang w:val="en-US" w:eastAsia="zh-CN" w:bidi="ar-SA"/>
    </w:rPr>
  </w:style>
  <w:style w:type="character" w:customStyle="1" w:styleId="89">
    <w:name w:val="普通文字1 Char"/>
    <w:basedOn w:val="48"/>
    <w:qFormat/>
    <w:uiPriority w:val="0"/>
    <w:rPr>
      <w:rFonts w:ascii="宋体" w:hAnsi="Courier New" w:eastAsia="仿宋_GB2312"/>
      <w:kern w:val="2"/>
      <w:sz w:val="21"/>
      <w:lang w:bidi="ar-SA"/>
    </w:rPr>
  </w:style>
  <w:style w:type="character" w:customStyle="1" w:styleId="90">
    <w:name w:val="4正文 Char"/>
    <w:basedOn w:val="48"/>
    <w:link w:val="91"/>
    <w:qFormat/>
    <w:uiPriority w:val="0"/>
    <w:rPr>
      <w:rFonts w:hAnsi="宋体" w:eastAsia="宋体" w:cs="Arial"/>
      <w:spacing w:val="30"/>
      <w:sz w:val="24"/>
      <w:szCs w:val="24"/>
      <w:lang w:val="en-GB" w:eastAsia="zh-CN" w:bidi="ar-SA"/>
    </w:rPr>
  </w:style>
  <w:style w:type="paragraph" w:customStyle="1" w:styleId="91">
    <w:name w:val="4正文"/>
    <w:basedOn w:val="2"/>
    <w:link w:val="90"/>
    <w:qFormat/>
    <w:uiPriority w:val="0"/>
    <w:pPr>
      <w:numPr>
        <w:ilvl w:val="0"/>
        <w:numId w:val="2"/>
      </w:numPr>
      <w:adjustRightInd w:val="0"/>
      <w:snapToGrid w:val="0"/>
      <w:spacing w:before="218" w:beforeLines="70" w:after="218" w:afterLines="70" w:line="360" w:lineRule="exact"/>
      <w:textAlignment w:val="baseline"/>
    </w:pPr>
    <w:rPr>
      <w:rFonts w:hAnsi="宋体" w:eastAsia="宋体" w:cs="Arial"/>
      <w:spacing w:val="30"/>
      <w:sz w:val="24"/>
      <w:szCs w:val="24"/>
      <w:lang w:val="en-GB" w:eastAsia="zh-CN" w:bidi="ar-SA"/>
    </w:rPr>
  </w:style>
  <w:style w:type="character" w:customStyle="1" w:styleId="92">
    <w:name w:val="正文首行缩进 Char1"/>
    <w:basedOn w:val="73"/>
    <w:qFormat/>
    <w:uiPriority w:val="0"/>
  </w:style>
  <w:style w:type="character" w:customStyle="1" w:styleId="93">
    <w:name w:val="列出段落 Char"/>
    <w:link w:val="94"/>
    <w:qFormat/>
    <w:uiPriority w:val="34"/>
    <w:rPr>
      <w:rFonts w:ascii="Calibri" w:hAnsi="Calibri"/>
      <w:kern w:val="2"/>
      <w:sz w:val="21"/>
      <w:szCs w:val="22"/>
    </w:rPr>
  </w:style>
  <w:style w:type="paragraph" w:customStyle="1" w:styleId="94">
    <w:name w:val="列出段落1"/>
    <w:basedOn w:val="1"/>
    <w:link w:val="93"/>
    <w:qFormat/>
    <w:uiPriority w:val="34"/>
    <w:pPr>
      <w:ind w:firstLine="420" w:firstLineChars="200"/>
    </w:pPr>
    <w:rPr>
      <w:rFonts w:ascii="Calibri" w:hAnsi="Calibri"/>
      <w:szCs w:val="22"/>
    </w:rPr>
  </w:style>
  <w:style w:type="character" w:customStyle="1" w:styleId="95">
    <w:name w:val="font11"/>
    <w:basedOn w:val="48"/>
    <w:qFormat/>
    <w:uiPriority w:val="0"/>
    <w:rPr>
      <w:rFonts w:hint="eastAsia" w:ascii="宋体" w:hAnsi="宋体" w:eastAsia="宋体" w:cs="宋体"/>
      <w:color w:val="000000"/>
      <w:sz w:val="20"/>
      <w:szCs w:val="20"/>
      <w:u w:val="none"/>
    </w:rPr>
  </w:style>
  <w:style w:type="character" w:customStyle="1" w:styleId="96">
    <w:name w:val="font161"/>
    <w:basedOn w:val="48"/>
    <w:qFormat/>
    <w:uiPriority w:val="0"/>
    <w:rPr>
      <w:rFonts w:cs="Times New Roman"/>
      <w:b/>
      <w:bCs/>
      <w:sz w:val="32"/>
      <w:szCs w:val="32"/>
    </w:rPr>
  </w:style>
  <w:style w:type="character" w:customStyle="1" w:styleId="97">
    <w:name w:val="Char Char2"/>
    <w:basedOn w:val="48"/>
    <w:qFormat/>
    <w:uiPriority w:val="0"/>
    <w:rPr>
      <w:rFonts w:eastAsia="宋体" w:cs="Times New Roman"/>
      <w:kern w:val="2"/>
      <w:sz w:val="24"/>
      <w:szCs w:val="24"/>
      <w:lang w:val="en-US" w:eastAsia="zh-CN" w:bidi="ar-SA"/>
    </w:rPr>
  </w:style>
  <w:style w:type="character" w:customStyle="1" w:styleId="98">
    <w:name w:val="Char Char"/>
    <w:basedOn w:val="48"/>
    <w:qFormat/>
    <w:uiPriority w:val="0"/>
    <w:rPr>
      <w:rFonts w:ascii="Arial" w:hAnsi="Arial" w:eastAsia="黑体" w:cs="Times New Roman"/>
      <w:b/>
      <w:bCs/>
      <w:kern w:val="2"/>
      <w:sz w:val="32"/>
      <w:szCs w:val="32"/>
      <w:lang w:val="en-US" w:eastAsia="zh-CN" w:bidi="ar-SA"/>
    </w:rPr>
  </w:style>
  <w:style w:type="character" w:customStyle="1" w:styleId="99">
    <w:name w:val="font01"/>
    <w:basedOn w:val="48"/>
    <w:qFormat/>
    <w:uiPriority w:val="0"/>
    <w:rPr>
      <w:rFonts w:hint="eastAsia" w:ascii="宋体" w:hAnsi="宋体" w:eastAsia="宋体" w:cs="宋体"/>
      <w:color w:val="000000"/>
      <w:sz w:val="24"/>
      <w:szCs w:val="24"/>
      <w:u w:val="none"/>
    </w:rPr>
  </w:style>
  <w:style w:type="paragraph" w:customStyle="1" w:styleId="10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01">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02">
    <w:name w:val="样式 样式 宋体 小三 首行缩进:  2 字符 + 首行缩进:  2 字符"/>
    <w:basedOn w:val="1"/>
    <w:qFormat/>
    <w:uiPriority w:val="0"/>
    <w:pPr>
      <w:spacing w:line="360" w:lineRule="auto"/>
      <w:ind w:firstLine="200" w:firstLineChars="200"/>
    </w:pPr>
    <w:rPr>
      <w:rFonts w:ascii="宋体" w:hAnsi="宋体"/>
      <w:sz w:val="28"/>
      <w:szCs w:val="20"/>
    </w:rPr>
  </w:style>
  <w:style w:type="paragraph" w:customStyle="1" w:styleId="103">
    <w:name w:val="Char1"/>
    <w:basedOn w:val="1"/>
    <w:qFormat/>
    <w:uiPriority w:val="0"/>
    <w:pPr>
      <w:tabs>
        <w:tab w:val="left" w:pos="360"/>
      </w:tabs>
    </w:pPr>
    <w:rPr>
      <w:sz w:val="24"/>
    </w:rPr>
  </w:style>
  <w:style w:type="paragraph" w:customStyle="1" w:styleId="104">
    <w:name w:val="样式4"/>
    <w:basedOn w:val="6"/>
    <w:qFormat/>
    <w:uiPriority w:val="0"/>
    <w:rPr>
      <w:rFonts w:eastAsia="Times New Roman"/>
    </w:rPr>
  </w:style>
  <w:style w:type="paragraph" w:customStyle="1" w:styleId="105">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106">
    <w:name w:val="_Style 3"/>
    <w:basedOn w:val="1"/>
    <w:qFormat/>
    <w:uiPriority w:val="34"/>
    <w:pPr>
      <w:ind w:firstLine="420" w:firstLineChars="200"/>
    </w:pPr>
  </w:style>
  <w:style w:type="paragraph" w:customStyle="1" w:styleId="107">
    <w:name w:val="正文2"/>
    <w:basedOn w:val="1"/>
    <w:qFormat/>
    <w:uiPriority w:val="0"/>
    <w:pPr>
      <w:keepLines/>
      <w:widowControl/>
      <w:adjustRightInd w:val="0"/>
      <w:snapToGrid w:val="0"/>
      <w:spacing w:before="218" w:beforeLines="70" w:after="218" w:afterLines="70" w:line="360" w:lineRule="exact"/>
      <w:ind w:left="1247"/>
      <w:textAlignment w:val="baseline"/>
    </w:pPr>
    <w:rPr>
      <w:rFonts w:cs="Arial"/>
      <w:snapToGrid w:val="0"/>
      <w:spacing w:val="30"/>
      <w:kern w:val="0"/>
      <w:sz w:val="24"/>
      <w:lang w:val="en-GB"/>
    </w:rPr>
  </w:style>
  <w:style w:type="paragraph" w:customStyle="1" w:styleId="108">
    <w:name w:val="List Paragraph1"/>
    <w:basedOn w:val="1"/>
    <w:qFormat/>
    <w:uiPriority w:val="0"/>
    <w:pPr>
      <w:ind w:firstLine="420" w:firstLineChars="200"/>
    </w:pPr>
  </w:style>
  <w:style w:type="paragraph" w:customStyle="1" w:styleId="109">
    <w:name w:val="Char2"/>
    <w:basedOn w:val="1"/>
    <w:qFormat/>
    <w:uiPriority w:val="0"/>
    <w:pPr>
      <w:tabs>
        <w:tab w:val="left" w:pos="360"/>
      </w:tabs>
    </w:pPr>
    <w:rPr>
      <w:sz w:val="24"/>
    </w:rPr>
  </w:style>
  <w:style w:type="paragraph" w:customStyle="1" w:styleId="110">
    <w:name w:val="_Style 7"/>
    <w:basedOn w:val="1"/>
    <w:qFormat/>
    <w:uiPriority w:val="99"/>
    <w:pPr>
      <w:ind w:firstLine="420" w:firstLineChars="200"/>
    </w:pPr>
    <w:rPr>
      <w:rFonts w:ascii="Calibri" w:hAnsi="Calibri"/>
      <w:kern w:val="0"/>
      <w:sz w:val="20"/>
    </w:rPr>
  </w:style>
  <w:style w:type="paragraph" w:customStyle="1" w:styleId="111">
    <w:name w:val="p0"/>
    <w:basedOn w:val="1"/>
    <w:qFormat/>
    <w:uiPriority w:val="0"/>
    <w:pPr>
      <w:widowControl/>
    </w:pPr>
    <w:rPr>
      <w:kern w:val="0"/>
      <w:szCs w:val="21"/>
    </w:rPr>
  </w:style>
  <w:style w:type="paragraph" w:customStyle="1" w:styleId="112">
    <w:name w:val="样式 标题 1 + 黑体 三号 非加粗 居中 段前: 6 磅 段后: 6 磅 行距: 固定值 20 磅"/>
    <w:basedOn w:val="3"/>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113">
    <w:name w:val="表格"/>
    <w:basedOn w:val="1"/>
    <w:qFormat/>
    <w:uiPriority w:val="0"/>
    <w:pPr>
      <w:jc w:val="center"/>
      <w:textAlignment w:val="center"/>
    </w:pPr>
    <w:rPr>
      <w:rFonts w:ascii="华文细黑" w:hAnsi="华文细黑"/>
      <w:kern w:val="0"/>
      <w:szCs w:val="20"/>
    </w:rPr>
  </w:style>
  <w:style w:type="paragraph" w:customStyle="1" w:styleId="114">
    <w:name w:val="样式 小四 段前: 5 磅 段后: 5 磅 首行缩进:  2 字符"/>
    <w:basedOn w:val="1"/>
    <w:qFormat/>
    <w:uiPriority w:val="0"/>
    <w:pPr>
      <w:spacing w:line="360" w:lineRule="auto"/>
    </w:pPr>
    <w:rPr>
      <w:rFonts w:ascii="宋体" w:hAnsi="宋体"/>
      <w:sz w:val="24"/>
      <w:szCs w:val="21"/>
    </w:rPr>
  </w:style>
  <w:style w:type="paragraph" w:customStyle="1" w:styleId="115">
    <w:name w:val="样式1"/>
    <w:basedOn w:val="6"/>
    <w:qFormat/>
    <w:uiPriority w:val="0"/>
    <w:rPr>
      <w:rFonts w:eastAsia="Times New Roman"/>
    </w:rPr>
  </w:style>
  <w:style w:type="paragraph" w:styleId="116">
    <w:name w:val="List Paragraph"/>
    <w:basedOn w:val="1"/>
    <w:qFormat/>
    <w:uiPriority w:val="99"/>
    <w:pPr>
      <w:ind w:firstLine="420" w:firstLineChars="200"/>
    </w:pPr>
    <w:rPr>
      <w:rFonts w:ascii="Calibri" w:hAnsi="Calibri"/>
      <w:szCs w:val="22"/>
    </w:rPr>
  </w:style>
  <w:style w:type="paragraph" w:customStyle="1" w:styleId="117">
    <w:name w:val="表格文字"/>
    <w:basedOn w:val="1"/>
    <w:qFormat/>
    <w:uiPriority w:val="0"/>
    <w:pPr>
      <w:adjustRightInd w:val="0"/>
      <w:spacing w:line="420" w:lineRule="atLeast"/>
      <w:jc w:val="left"/>
      <w:textAlignment w:val="baseline"/>
    </w:pPr>
    <w:rPr>
      <w:kern w:val="0"/>
      <w:szCs w:val="20"/>
    </w:rPr>
  </w:style>
  <w:style w:type="paragraph" w:customStyle="1" w:styleId="118">
    <w:name w:val="Char"/>
    <w:basedOn w:val="1"/>
    <w:qFormat/>
    <w:uiPriority w:val="0"/>
    <w:pPr>
      <w:tabs>
        <w:tab w:val="left" w:pos="360"/>
      </w:tabs>
    </w:pPr>
    <w:rPr>
      <w:sz w:val="24"/>
    </w:rPr>
  </w:style>
  <w:style w:type="paragraph" w:customStyle="1" w:styleId="119">
    <w:name w:val="Revision1"/>
    <w:qFormat/>
    <w:uiPriority w:val="0"/>
    <w:rPr>
      <w:rFonts w:ascii="Times New Roman" w:hAnsi="Times New Roman" w:eastAsia="宋体" w:cs="Times New Roman"/>
      <w:kern w:val="2"/>
      <w:sz w:val="21"/>
      <w:szCs w:val="24"/>
      <w:lang w:val="en-US" w:eastAsia="zh-CN" w:bidi="ar-SA"/>
    </w:rPr>
  </w:style>
  <w:style w:type="paragraph" w:customStyle="1" w:styleId="120">
    <w:name w:val="_Style 2"/>
    <w:basedOn w:val="1"/>
    <w:qFormat/>
    <w:uiPriority w:val="34"/>
    <w:pPr>
      <w:ind w:firstLine="420" w:firstLineChars="200"/>
    </w:pPr>
  </w:style>
  <w:style w:type="paragraph" w:customStyle="1" w:styleId="121">
    <w:name w:val="Char Char Char Char Char Char1 Char"/>
    <w:basedOn w:val="1"/>
    <w:qFormat/>
    <w:uiPriority w:val="0"/>
    <w:pPr>
      <w:widowControl/>
      <w:spacing w:after="160" w:afterLines="0" w:line="240" w:lineRule="exact"/>
      <w:jc w:val="left"/>
    </w:pPr>
    <w:rPr>
      <w:rFonts w:ascii="Verdana" w:hAnsi="Verdana"/>
      <w:kern w:val="0"/>
      <w:szCs w:val="20"/>
      <w:lang w:eastAsia="en-US"/>
    </w:rPr>
  </w:style>
  <w:style w:type="paragraph" w:customStyle="1" w:styleId="122">
    <w:name w:val="普通正文缩进2字符"/>
    <w:basedOn w:val="1"/>
    <w:qFormat/>
    <w:uiPriority w:val="99"/>
    <w:pPr>
      <w:adjustRightInd w:val="0"/>
      <w:snapToGrid w:val="0"/>
      <w:spacing w:line="300" w:lineRule="auto"/>
      <w:ind w:firstLine="200" w:firstLineChars="200"/>
      <w:jc w:val="left"/>
    </w:pPr>
    <w:rPr>
      <w:rFonts w:ascii="宋体" w:hAnsi="宋体" w:cs="宋体"/>
      <w:sz w:val="24"/>
    </w:rPr>
  </w:style>
  <w:style w:type="paragraph" w:customStyle="1" w:styleId="123">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24">
    <w:name w:val="样式 标题 3 + (中文) 黑体 小四 非加粗 段前: 7.8 磅 段后: 0 磅 行距: 固定值 20 磅"/>
    <w:basedOn w:val="6"/>
    <w:qFormat/>
    <w:uiPriority w:val="0"/>
    <w:pPr>
      <w:spacing w:before="0" w:beforeLines="0" w:after="0" w:afterLines="0" w:line="400" w:lineRule="exact"/>
    </w:pPr>
    <w:rPr>
      <w:rFonts w:eastAsia="黑体" w:cs="宋体"/>
      <w:b w:val="0"/>
      <w:bCs w:val="0"/>
      <w:sz w:val="24"/>
      <w:szCs w:val="20"/>
    </w:rPr>
  </w:style>
  <w:style w:type="paragraph" w:customStyle="1" w:styleId="125">
    <w:name w:val="样式3"/>
    <w:basedOn w:val="6"/>
    <w:qFormat/>
    <w:uiPriority w:val="0"/>
    <w:rPr>
      <w:rFonts w:eastAsia="Times New Roman"/>
    </w:rPr>
  </w:style>
  <w:style w:type="paragraph" w:customStyle="1" w:styleId="126">
    <w:name w:val="1"/>
    <w:basedOn w:val="1"/>
    <w:next w:val="1"/>
    <w:qFormat/>
    <w:uiPriority w:val="0"/>
  </w:style>
  <w:style w:type="paragraph" w:customStyle="1" w:styleId="127">
    <w:name w:val="样式2"/>
    <w:basedOn w:val="6"/>
    <w:qFormat/>
    <w:uiPriority w:val="0"/>
  </w:style>
  <w:style w:type="paragraph" w:customStyle="1" w:styleId="128">
    <w:name w:val="默认段落字体 Para Char Char Char Char"/>
    <w:basedOn w:val="1"/>
    <w:qFormat/>
    <w:uiPriority w:val="0"/>
  </w:style>
  <w:style w:type="paragraph" w:customStyle="1" w:styleId="129">
    <w:name w:val="3-正文-1-样式 行距: 1.5 倍行距 首行缩进:  2 字符"/>
    <w:basedOn w:val="1"/>
    <w:qFormat/>
    <w:uiPriority w:val="0"/>
    <w:pPr>
      <w:spacing w:line="360" w:lineRule="auto"/>
      <w:ind w:firstLine="485" w:firstLineChars="202"/>
    </w:pPr>
    <w:rPr>
      <w:rFonts w:ascii="华文仿宋" w:hAnsi="华文仿宋" w:eastAsia="仿宋_GB2312" w:cs="宋体"/>
      <w:sz w:val="24"/>
      <w:szCs w:val="20"/>
    </w:rPr>
  </w:style>
  <w:style w:type="paragraph" w:customStyle="1" w:styleId="130">
    <w:name w:val="1正文"/>
    <w:basedOn w:val="1"/>
    <w:qFormat/>
    <w:uiPriority w:val="0"/>
    <w:pPr>
      <w:widowControl/>
      <w:adjustRightInd w:val="0"/>
      <w:spacing w:line="360" w:lineRule="auto"/>
      <w:ind w:left="-38" w:leftChars="-38" w:firstLine="482"/>
      <w:jc w:val="left"/>
      <w:textAlignment w:val="baseline"/>
    </w:pPr>
    <w:rPr>
      <w:rFonts w:ascii="宋体" w:hAnsi="宋体" w:eastAsia="宋体" w:cs="Times New Roman"/>
      <w:kern w:val="0"/>
      <w:sz w:val="24"/>
      <w:szCs w:val="20"/>
    </w:rPr>
  </w:style>
  <w:style w:type="paragraph" w:customStyle="1" w:styleId="131">
    <w:name w:val="样式 小四"/>
    <w:qFormat/>
    <w:uiPriority w:val="99"/>
    <w:pPr>
      <w:widowControl w:val="0"/>
      <w:adjustRightInd w:val="0"/>
      <w:spacing w:line="360" w:lineRule="atLeast"/>
      <w:textAlignment w:val="baseline"/>
    </w:pPr>
    <w:rPr>
      <w:rFonts w:ascii="Calibri" w:hAnsi="Calibri" w:eastAsia="宋体" w:cs="Calibri"/>
      <w:sz w:val="24"/>
      <w:szCs w:val="24"/>
      <w:lang w:val="en-US" w:eastAsia="zh-CN" w:bidi="ar-SA"/>
    </w:rPr>
  </w:style>
  <w:style w:type="character" w:customStyle="1" w:styleId="132">
    <w:name w:val="font71"/>
    <w:basedOn w:val="48"/>
    <w:qFormat/>
    <w:uiPriority w:val="0"/>
    <w:rPr>
      <w:rFonts w:hint="eastAsia" w:ascii="宋体" w:hAnsi="宋体" w:eastAsia="宋体" w:cs="宋体"/>
      <w:b/>
      <w:bCs/>
      <w:color w:val="000000"/>
      <w:sz w:val="22"/>
      <w:szCs w:val="22"/>
      <w:u w:val="none"/>
    </w:rPr>
  </w:style>
  <w:style w:type="character" w:customStyle="1" w:styleId="133">
    <w:name w:val="font51"/>
    <w:basedOn w:val="48"/>
    <w:qFormat/>
    <w:uiPriority w:val="0"/>
    <w:rPr>
      <w:rFonts w:hint="eastAsia" w:ascii="宋体" w:hAnsi="宋体" w:eastAsia="宋体" w:cs="宋体"/>
      <w:b/>
      <w:bCs/>
      <w:color w:val="000000"/>
      <w:sz w:val="22"/>
      <w:szCs w:val="22"/>
      <w:u w:val="none"/>
    </w:rPr>
  </w:style>
  <w:style w:type="character" w:customStyle="1" w:styleId="134">
    <w:name w:val="font81"/>
    <w:basedOn w:val="48"/>
    <w:qFormat/>
    <w:uiPriority w:val="0"/>
    <w:rPr>
      <w:rFonts w:hint="eastAsia" w:ascii="宋体" w:hAnsi="宋体" w:eastAsia="宋体" w:cs="宋体"/>
      <w:color w:val="000000"/>
      <w:sz w:val="22"/>
      <w:szCs w:val="22"/>
      <w:u w:val="none"/>
    </w:rPr>
  </w:style>
  <w:style w:type="paragraph" w:customStyle="1" w:styleId="135">
    <w:name w:val="标题 5（有编号）（绿盟科技）"/>
    <w:basedOn w:val="1"/>
    <w:next w:val="136"/>
    <w:qFormat/>
    <w:uiPriority w:val="0"/>
    <w:pPr>
      <w:keepNext/>
      <w:keepLines/>
      <w:numPr>
        <w:ilvl w:val="4"/>
        <w:numId w:val="3"/>
      </w:numPr>
      <w:spacing w:before="280" w:after="156" w:line="377" w:lineRule="auto"/>
      <w:jc w:val="left"/>
      <w:outlineLvl w:val="4"/>
    </w:pPr>
    <w:rPr>
      <w:rFonts w:ascii="Arial" w:hAnsi="Arial" w:eastAsia="黑体"/>
      <w:b/>
      <w:kern w:val="0"/>
      <w:sz w:val="24"/>
      <w:szCs w:val="28"/>
    </w:rPr>
  </w:style>
  <w:style w:type="paragraph" w:customStyle="1" w:styleId="136">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37">
    <w:name w:val="Table Paragraph"/>
    <w:basedOn w:val="1"/>
    <w:qFormat/>
    <w:uiPriority w:val="1"/>
    <w:rPr>
      <w:rFonts w:ascii="宋体" w:hAnsi="宋体" w:eastAsia="宋体" w:cs="宋体"/>
    </w:rPr>
  </w:style>
  <w:style w:type="character" w:customStyle="1" w:styleId="138">
    <w:name w:val="font61"/>
    <w:basedOn w:val="48"/>
    <w:qFormat/>
    <w:uiPriority w:val="0"/>
    <w:rPr>
      <w:rFonts w:hint="eastAsia" w:ascii="宋体" w:hAnsi="宋体" w:eastAsia="宋体" w:cs="宋体"/>
      <w:color w:val="000000"/>
      <w:sz w:val="20"/>
      <w:szCs w:val="20"/>
      <w:u w:val="none"/>
    </w:rPr>
  </w:style>
  <w:style w:type="character" w:customStyle="1" w:styleId="139">
    <w:name w:val="font91"/>
    <w:basedOn w:val="48"/>
    <w:qFormat/>
    <w:uiPriority w:val="0"/>
    <w:rPr>
      <w:rFonts w:hint="default" w:ascii="Arial" w:hAnsi="Arial" w:cs="Arial"/>
      <w:color w:val="000000"/>
      <w:sz w:val="20"/>
      <w:szCs w:val="20"/>
      <w:u w:val="none"/>
    </w:rPr>
  </w:style>
  <w:style w:type="character" w:customStyle="1" w:styleId="140">
    <w:name w:val="font101"/>
    <w:basedOn w:val="48"/>
    <w:qFormat/>
    <w:uiPriority w:val="0"/>
    <w:rPr>
      <w:rFonts w:hint="eastAsia" w:ascii="宋体" w:hAnsi="宋体" w:eastAsia="宋体" w:cs="宋体"/>
      <w:b/>
      <w:bCs/>
      <w:color w:val="000000"/>
      <w:sz w:val="28"/>
      <w:szCs w:val="28"/>
      <w:u w:val="none"/>
    </w:rPr>
  </w:style>
  <w:style w:type="paragraph" w:customStyle="1" w:styleId="141">
    <w:name w:val="Normal_73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142">
    <w:name w:val="font112"/>
    <w:basedOn w:val="48"/>
    <w:qFormat/>
    <w:uiPriority w:val="0"/>
    <w:rPr>
      <w:rFonts w:hint="default" w:ascii="Times New Roman" w:hAnsi="Times New Roman" w:cs="Times New Roman"/>
      <w:b/>
      <w:bCs/>
      <w:color w:val="000000"/>
      <w:sz w:val="36"/>
      <w:szCs w:val="36"/>
      <w:u w:val="none"/>
    </w:rPr>
  </w:style>
  <w:style w:type="character" w:customStyle="1" w:styleId="143">
    <w:name w:val="font41"/>
    <w:basedOn w:val="48"/>
    <w:qFormat/>
    <w:uiPriority w:val="0"/>
    <w:rPr>
      <w:rFonts w:hint="eastAsia" w:ascii="宋体" w:hAnsi="宋体" w:eastAsia="宋体" w:cs="宋体"/>
      <w:color w:val="000000"/>
      <w:sz w:val="20"/>
      <w:szCs w:val="20"/>
      <w:u w:val="none"/>
    </w:rPr>
  </w:style>
  <w:style w:type="character" w:customStyle="1" w:styleId="144">
    <w:name w:val="font31"/>
    <w:basedOn w:val="48"/>
    <w:qFormat/>
    <w:uiPriority w:val="0"/>
    <w:rPr>
      <w:rFonts w:hint="eastAsia" w:ascii="宋体" w:hAnsi="宋体" w:eastAsia="宋体" w:cs="宋体"/>
      <w:color w:val="000000"/>
      <w:sz w:val="20"/>
      <w:szCs w:val="20"/>
      <w:u w:val="none"/>
    </w:rPr>
  </w:style>
  <w:style w:type="character" w:customStyle="1" w:styleId="145">
    <w:name w:val="font122"/>
    <w:basedOn w:val="48"/>
    <w:qFormat/>
    <w:uiPriority w:val="0"/>
    <w:rPr>
      <w:rFonts w:hint="default" w:ascii="Times New Roman" w:hAnsi="Times New Roman" w:cs="Times New Roman"/>
      <w:b/>
      <w:bCs/>
      <w:color w:val="000000"/>
      <w:sz w:val="36"/>
      <w:szCs w:val="36"/>
      <w:u w:val="none"/>
    </w:rPr>
  </w:style>
  <w:style w:type="character" w:customStyle="1" w:styleId="146">
    <w:name w:val="font141"/>
    <w:basedOn w:val="48"/>
    <w:qFormat/>
    <w:uiPriority w:val="0"/>
    <w:rPr>
      <w:rFonts w:hint="default" w:ascii="Times New Roman" w:hAnsi="Times New Roman" w:cs="Times New Roman"/>
      <w:b/>
      <w:bCs/>
      <w:color w:val="000000"/>
      <w:sz w:val="36"/>
      <w:szCs w:val="36"/>
      <w:u w:val="none"/>
    </w:rPr>
  </w:style>
  <w:style w:type="character" w:customStyle="1" w:styleId="147">
    <w:name w:val="font121"/>
    <w:basedOn w:val="48"/>
    <w:qFormat/>
    <w:uiPriority w:val="0"/>
    <w:rPr>
      <w:rFonts w:hint="eastAsia" w:ascii="微软雅黑" w:hAnsi="微软雅黑" w:eastAsia="微软雅黑" w:cs="微软雅黑"/>
      <w:color w:val="000000"/>
      <w:sz w:val="20"/>
      <w:szCs w:val="20"/>
      <w:u w:val="none"/>
    </w:rPr>
  </w:style>
  <w:style w:type="character" w:customStyle="1" w:styleId="148">
    <w:name w:val="font151"/>
    <w:basedOn w:val="48"/>
    <w:qFormat/>
    <w:uiPriority w:val="0"/>
    <w:rPr>
      <w:rFonts w:hint="eastAsia" w:ascii="微软雅黑" w:hAnsi="微软雅黑" w:eastAsia="微软雅黑" w:cs="微软雅黑"/>
      <w:color w:val="000000"/>
      <w:sz w:val="20"/>
      <w:szCs w:val="20"/>
      <w:u w:val="none"/>
      <w:vertAlign w:val="superscript"/>
    </w:rPr>
  </w:style>
  <w:style w:type="table" w:customStyle="1" w:styleId="149">
    <w:name w:val="网格型1"/>
    <w:basedOn w:val="46"/>
    <w:qFormat/>
    <w:uiPriority w:val="0"/>
    <w:pPr>
      <w:widowControl w:val="0"/>
      <w:jc w:val="both"/>
    </w:pPr>
    <w:rPr>
      <w:rFonts w:ascii="Calibri" w:hAnsi="Calibri" w:eastAsia="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0">
    <w:name w:val="标准文本"/>
    <w:basedOn w:val="1"/>
    <w:qFormat/>
    <w:uiPriority w:val="99"/>
    <w:pPr>
      <w:spacing w:line="360" w:lineRule="auto"/>
      <w:ind w:firstLine="480" w:firstLineChars="200"/>
    </w:pPr>
    <w:rPr>
      <w:rFonts w:ascii="Times New Roman" w:hAnsi="Times New Roman" w:eastAsia="宋体" w:cs="宋体"/>
      <w:sz w:val="24"/>
      <w:szCs w:val="20"/>
    </w:rPr>
  </w:style>
  <w:style w:type="paragraph" w:customStyle="1" w:styleId="151">
    <w:name w:val="*正文"/>
    <w:basedOn w:val="1"/>
    <w:qFormat/>
    <w:uiPriority w:val="0"/>
    <w:pPr>
      <w:widowControl/>
      <w:spacing w:line="300" w:lineRule="auto"/>
      <w:ind w:firstLine="480"/>
      <w:jc w:val="left"/>
    </w:pPr>
    <w:rPr>
      <w:rFonts w:ascii="宋体" w:hAnsi="宋体" w:eastAsia="宋体" w:cs="仿宋_GB2312"/>
      <w:sz w:val="24"/>
      <w:szCs w:val="24"/>
    </w:rPr>
  </w:style>
  <w:style w:type="paragraph" w:customStyle="1" w:styleId="152">
    <w:name w:val="节"/>
    <w:basedOn w:val="4"/>
    <w:qFormat/>
    <w:uiPriority w:val="0"/>
    <w:pPr>
      <w:numPr>
        <w:ilvl w:val="1"/>
        <w:numId w:val="4"/>
      </w:numPr>
      <w:spacing w:line="240" w:lineRule="auto"/>
    </w:pPr>
    <w:rPr>
      <w:rFonts w:ascii="黑体"/>
      <w:b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63</Pages>
  <Words>11582</Words>
  <Characters>12532</Characters>
  <Lines>236</Lines>
  <Paragraphs>66</Paragraphs>
  <TotalTime>14</TotalTime>
  <ScaleCrop>false</ScaleCrop>
  <LinksUpToDate>false</LinksUpToDate>
  <CharactersWithSpaces>12676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2023-06-15T08:10:00Z</dcterms:created>
  <dc:creator>dgh</dc:creator>
  <cp:lastModifiedBy>哈</cp:lastModifiedBy>
  <cp:lastPrinted>2026-05-25T23:20:32Z</cp:lastPrinted>
  <dcterms:modified xsi:type="dcterms:W3CDTF">2026-05-25T23:46:47Z</dcterms:modified>
  <dc:title>招标文件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DCEB0680EC214F9793998C36B23CF1A3_13</vt:lpwstr>
  </property>
  <property fmtid="{D5CDD505-2E9C-101B-9397-08002B2CF9AE}" pid="4" name="KSOTemplateDocerSaveRecord">
    <vt:lpwstr>eyJoZGlkIjoiNjQ3Y2YyMDhkZWJmODU1NTk5NmFjMGFlMDE5NTdjZmYiLCJ1c2VySWQiOiI0MDI0MDY1NTgifQ==</vt:lpwstr>
  </property>
</Properties>
</file>