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64810">
      <w:pPr>
        <w:jc w:val="center"/>
        <w:rPr>
          <w:rFonts w:hint="eastAsia"/>
          <w:color w:val="auto"/>
          <w:sz w:val="44"/>
          <w:szCs w:val="44"/>
          <w:highlight w:val="none"/>
        </w:rPr>
      </w:pPr>
      <w:r>
        <w:rPr>
          <w:rFonts w:hint="eastAsia"/>
          <w:b/>
          <w:bCs/>
          <w:color w:val="auto"/>
          <w:sz w:val="48"/>
          <w:szCs w:val="48"/>
          <w:highlight w:val="none"/>
        </w:rPr>
        <w:t>塔城边境管理支队2026年主副食品配送服务采购项目（裕民大队及其所属基层单位）</w:t>
      </w:r>
    </w:p>
    <w:p w14:paraId="32045791">
      <w:pPr>
        <w:jc w:val="center"/>
        <w:rPr>
          <w:rFonts w:hint="eastAsia"/>
          <w:color w:val="auto"/>
          <w:sz w:val="44"/>
          <w:szCs w:val="44"/>
          <w:highlight w:val="none"/>
        </w:rPr>
      </w:pPr>
    </w:p>
    <w:p w14:paraId="4A6BD03B">
      <w:pPr>
        <w:jc w:val="center"/>
        <w:rPr>
          <w:rFonts w:hint="eastAsia"/>
          <w:color w:val="auto"/>
          <w:sz w:val="44"/>
          <w:szCs w:val="44"/>
          <w:highlight w:val="none"/>
        </w:rPr>
      </w:pPr>
    </w:p>
    <w:p w14:paraId="11719411">
      <w:pPr>
        <w:jc w:val="center"/>
        <w:rPr>
          <w:rFonts w:hint="eastAsia"/>
          <w:color w:val="auto"/>
          <w:sz w:val="44"/>
          <w:szCs w:val="44"/>
          <w:highlight w:val="none"/>
        </w:rPr>
      </w:pPr>
    </w:p>
    <w:p w14:paraId="16E66146">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招 标 文 件</w:t>
      </w:r>
    </w:p>
    <w:p w14:paraId="065AC7BF">
      <w:pPr>
        <w:jc w:val="center"/>
        <w:rPr>
          <w:rFonts w:hint="eastAsia"/>
          <w:color w:val="auto"/>
          <w:sz w:val="44"/>
          <w:szCs w:val="44"/>
          <w:highlight w:val="none"/>
          <w:lang w:val="en-US" w:eastAsia="zh-CN"/>
        </w:rPr>
      </w:pPr>
    </w:p>
    <w:p w14:paraId="4EB5BA13">
      <w:pPr>
        <w:jc w:val="center"/>
        <w:rPr>
          <w:rFonts w:hint="eastAsia"/>
          <w:color w:val="auto"/>
          <w:sz w:val="44"/>
          <w:szCs w:val="44"/>
          <w:highlight w:val="none"/>
          <w:lang w:val="en-US" w:eastAsia="zh-CN"/>
        </w:rPr>
      </w:pPr>
    </w:p>
    <w:p w14:paraId="60A2F023">
      <w:pPr>
        <w:jc w:val="both"/>
        <w:rPr>
          <w:rFonts w:hint="eastAsia"/>
          <w:color w:val="auto"/>
          <w:sz w:val="44"/>
          <w:szCs w:val="44"/>
          <w:highlight w:val="none"/>
          <w:lang w:val="en-US" w:eastAsia="zh-CN"/>
        </w:rPr>
      </w:pPr>
    </w:p>
    <w:p w14:paraId="343D34FC">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标项名称：塔城边境管理支队2026年主副食品配送服务采购项目（裕民大队及其所属基层单位）</w:t>
      </w:r>
    </w:p>
    <w:p w14:paraId="4CD53C06">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标项编号：XJYS-2026-FW-023（3）</w:t>
      </w:r>
    </w:p>
    <w:p w14:paraId="11290B1D">
      <w:pPr>
        <w:jc w:val="both"/>
        <w:rPr>
          <w:rFonts w:hint="eastAsia"/>
          <w:color w:val="auto"/>
          <w:sz w:val="32"/>
          <w:szCs w:val="32"/>
          <w:highlight w:val="none"/>
          <w:lang w:val="en-US" w:eastAsia="zh-CN"/>
        </w:rPr>
      </w:pPr>
    </w:p>
    <w:p w14:paraId="4C7D2B83">
      <w:pPr>
        <w:jc w:val="both"/>
        <w:rPr>
          <w:rFonts w:hint="eastAsia"/>
          <w:color w:val="auto"/>
          <w:sz w:val="32"/>
          <w:szCs w:val="32"/>
          <w:highlight w:val="none"/>
          <w:lang w:val="en-US" w:eastAsia="zh-CN"/>
        </w:rPr>
      </w:pPr>
    </w:p>
    <w:p w14:paraId="0BB3A692">
      <w:pPr>
        <w:jc w:val="both"/>
        <w:rPr>
          <w:rFonts w:hint="eastAsia"/>
          <w:color w:val="auto"/>
          <w:sz w:val="32"/>
          <w:szCs w:val="32"/>
          <w:highlight w:val="none"/>
          <w:lang w:val="en-US" w:eastAsia="zh-CN"/>
        </w:rPr>
      </w:pPr>
    </w:p>
    <w:p w14:paraId="4325F9A5">
      <w:pPr>
        <w:jc w:val="both"/>
        <w:rPr>
          <w:rFonts w:hint="eastAsia"/>
          <w:color w:val="auto"/>
          <w:sz w:val="32"/>
          <w:szCs w:val="32"/>
          <w:highlight w:val="none"/>
          <w:lang w:val="en-US" w:eastAsia="zh-CN"/>
        </w:rPr>
      </w:pPr>
      <w:r>
        <w:rPr>
          <w:rFonts w:hint="eastAsia"/>
          <w:color w:val="auto"/>
          <w:sz w:val="32"/>
          <w:szCs w:val="32"/>
          <w:highlight w:val="none"/>
          <w:lang w:val="en-US" w:eastAsia="zh-CN"/>
        </w:rPr>
        <w:t>采购人：塔城边境管理支队</w:t>
      </w:r>
    </w:p>
    <w:p w14:paraId="2DD6EDFD">
      <w:pPr>
        <w:jc w:val="both"/>
        <w:rPr>
          <w:rFonts w:hint="eastAsia"/>
          <w:color w:val="auto"/>
          <w:sz w:val="32"/>
          <w:szCs w:val="32"/>
          <w:highlight w:val="none"/>
          <w:lang w:val="en-US" w:eastAsia="zh-CN"/>
        </w:rPr>
      </w:pPr>
      <w:r>
        <w:rPr>
          <w:rFonts w:hint="eastAsia"/>
          <w:color w:val="auto"/>
          <w:sz w:val="32"/>
          <w:szCs w:val="32"/>
          <w:highlight w:val="none"/>
          <w:lang w:val="en-US" w:eastAsia="zh-CN"/>
        </w:rPr>
        <w:t>采购代理机构：新疆驿松工程项目管理有限公司</w:t>
      </w:r>
    </w:p>
    <w:p w14:paraId="248FE72E">
      <w:pPr>
        <w:jc w:val="both"/>
        <w:rPr>
          <w:rFonts w:hint="default"/>
          <w:color w:val="auto"/>
          <w:sz w:val="32"/>
          <w:szCs w:val="32"/>
          <w:highlight w:val="none"/>
          <w:lang w:val="en-US" w:eastAsia="zh-CN"/>
        </w:rPr>
      </w:pPr>
      <w:r>
        <w:rPr>
          <w:rFonts w:hint="eastAsia"/>
          <w:color w:val="auto"/>
          <w:sz w:val="32"/>
          <w:szCs w:val="32"/>
          <w:highlight w:val="none"/>
          <w:lang w:val="en-US" w:eastAsia="zh-CN"/>
        </w:rPr>
        <w:t>联系人：刘工</w:t>
      </w:r>
    </w:p>
    <w:p w14:paraId="2F6BF245">
      <w:pPr>
        <w:jc w:val="both"/>
        <w:rPr>
          <w:rFonts w:hint="default"/>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color w:val="auto"/>
          <w:sz w:val="32"/>
          <w:szCs w:val="32"/>
          <w:highlight w:val="none"/>
          <w:lang w:val="en-US" w:eastAsia="zh-CN"/>
        </w:rPr>
        <w:t>联系电话：15276065666</w:t>
      </w:r>
    </w:p>
    <w:p w14:paraId="5C35B9A5">
      <w:pPr>
        <w:jc w:val="both"/>
        <w:rPr>
          <w:rFonts w:hint="default"/>
          <w:color w:val="auto"/>
          <w:sz w:val="32"/>
          <w:szCs w:val="32"/>
          <w:highlight w:val="none"/>
          <w:lang w:val="en-US" w:eastAsia="zh-CN"/>
        </w:rPr>
      </w:pPr>
    </w:p>
    <w:p w14:paraId="516A0B29">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目 录</w:t>
      </w:r>
    </w:p>
    <w:p w14:paraId="41584C7B">
      <w:pPr>
        <w:jc w:val="both"/>
        <w:rPr>
          <w:rFonts w:hint="default"/>
          <w:color w:val="auto"/>
          <w:sz w:val="32"/>
          <w:szCs w:val="32"/>
          <w:highlight w:val="none"/>
          <w:lang w:val="en-US" w:eastAsia="zh-CN"/>
        </w:rPr>
      </w:pPr>
    </w:p>
    <w:p w14:paraId="7921DC90">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_Toc28841 </w:instrText>
      </w:r>
      <w:r>
        <w:rPr>
          <w:rFonts w:hint="eastAsia"/>
          <w:b w:val="0"/>
          <w:bCs/>
          <w:color w:val="auto"/>
          <w:highlight w:val="none"/>
        </w:rPr>
        <w:fldChar w:fldCharType="separate"/>
      </w:r>
      <w:r>
        <w:rPr>
          <w:rFonts w:hint="eastAsia"/>
          <w:b w:val="0"/>
          <w:bCs/>
          <w:color w:val="auto"/>
          <w:szCs w:val="32"/>
          <w:highlight w:val="none"/>
        </w:rPr>
        <w:t>第一章 招标公告</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p>
    <w:p w14:paraId="43CA8E0D">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_Toc32206 </w:instrText>
      </w:r>
      <w:r>
        <w:rPr>
          <w:rFonts w:hint="eastAsia"/>
          <w:b w:val="0"/>
          <w:bCs/>
          <w:color w:val="auto"/>
          <w:highlight w:val="none"/>
        </w:rPr>
        <w:fldChar w:fldCharType="separate"/>
      </w:r>
      <w:r>
        <w:rPr>
          <w:rFonts w:hint="eastAsia" w:cs="Times New Roman"/>
          <w:b w:val="0"/>
          <w:bCs/>
          <w:color w:val="auto"/>
          <w:szCs w:val="32"/>
          <w:highlight w:val="none"/>
        </w:rPr>
        <w:t xml:space="preserve">第二章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须知前附表</w:t>
      </w:r>
      <w:r>
        <w:rPr>
          <w:b w:val="0"/>
          <w:bCs/>
          <w:color w:val="auto"/>
          <w:highlight w:val="none"/>
        </w:rPr>
        <w:tab/>
      </w:r>
      <w:r>
        <w:rPr>
          <w:rFonts w:hint="eastAsia"/>
          <w:b w:val="0"/>
          <w:bCs/>
          <w:color w:val="auto"/>
          <w:highlight w:val="none"/>
          <w:lang w:val="en-US" w:eastAsia="zh-CN"/>
        </w:rPr>
        <w:t>5</w:t>
      </w:r>
      <w:r>
        <w:rPr>
          <w:rFonts w:hint="eastAsia"/>
          <w:b w:val="0"/>
          <w:bCs/>
          <w:color w:val="auto"/>
          <w:highlight w:val="none"/>
        </w:rPr>
        <w:fldChar w:fldCharType="end"/>
      </w:r>
    </w:p>
    <w:p w14:paraId="3FD4925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_Toc12829 </w:instrText>
      </w:r>
      <w:r>
        <w:rPr>
          <w:rFonts w:hint="eastAsia"/>
          <w:b w:val="0"/>
          <w:bCs/>
          <w:color w:val="auto"/>
          <w:highlight w:val="none"/>
        </w:rPr>
        <w:fldChar w:fldCharType="separate"/>
      </w:r>
      <w:r>
        <w:rPr>
          <w:rFonts w:hint="eastAsia" w:cs="Times New Roman"/>
          <w:b w:val="0"/>
          <w:bCs/>
          <w:color w:val="auto"/>
          <w:szCs w:val="32"/>
          <w:highlight w:val="none"/>
        </w:rPr>
        <w:t xml:space="preserve">第三章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3B4B0033">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_Toc19674 </w:instrText>
      </w:r>
      <w:r>
        <w:rPr>
          <w:rFonts w:hint="eastAsia"/>
          <w:b w:val="0"/>
          <w:bCs/>
          <w:color w:val="auto"/>
          <w:highlight w:val="none"/>
        </w:rPr>
        <w:fldChar w:fldCharType="separate"/>
      </w:r>
      <w:r>
        <w:rPr>
          <w:rFonts w:hint="eastAsia"/>
          <w:b w:val="0"/>
          <w:bCs/>
          <w:color w:val="auto"/>
          <w:szCs w:val="32"/>
          <w:highlight w:val="none"/>
        </w:rPr>
        <w:t>一</w:t>
      </w:r>
      <w:r>
        <w:rPr>
          <w:rFonts w:hint="eastAsia"/>
          <w:b w:val="0"/>
          <w:bCs/>
          <w:color w:val="auto"/>
          <w:szCs w:val="32"/>
          <w:highlight w:val="none"/>
          <w:lang w:eastAsia="zh-CN"/>
        </w:rPr>
        <w:t>、</w:t>
      </w:r>
      <w:r>
        <w:rPr>
          <w:rFonts w:hint="eastAsia"/>
          <w:b w:val="0"/>
          <w:bCs/>
          <w:color w:val="auto"/>
          <w:szCs w:val="32"/>
          <w:highlight w:val="none"/>
        </w:rPr>
        <w:t>说  明</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7AC5937A">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_Toc9428 </w:instrText>
      </w:r>
      <w:r>
        <w:rPr>
          <w:rFonts w:hint="eastAsia"/>
          <w:b w:val="0"/>
          <w:bCs/>
          <w:color w:val="auto"/>
          <w:highlight w:val="none"/>
        </w:rPr>
        <w:fldChar w:fldCharType="separate"/>
      </w:r>
      <w:r>
        <w:rPr>
          <w:rFonts w:hint="eastAsia"/>
          <w:b w:val="0"/>
          <w:bCs/>
          <w:color w:val="auto"/>
          <w:szCs w:val="32"/>
          <w:highlight w:val="none"/>
        </w:rPr>
        <w:t>二</w:t>
      </w:r>
      <w:r>
        <w:rPr>
          <w:rFonts w:hint="eastAsia"/>
          <w:b w:val="0"/>
          <w:bCs/>
          <w:color w:val="auto"/>
          <w:szCs w:val="32"/>
          <w:highlight w:val="none"/>
          <w:lang w:eastAsia="zh-CN"/>
        </w:rPr>
        <w:t>、</w:t>
      </w:r>
      <w:r>
        <w:rPr>
          <w:rFonts w:hint="eastAsia"/>
          <w:b w:val="0"/>
          <w:bCs/>
          <w:color w:val="auto"/>
          <w:szCs w:val="32"/>
          <w:highlight w:val="none"/>
        </w:rPr>
        <w:t>招标文件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3</w:t>
      </w:r>
    </w:p>
    <w:p w14:paraId="7CB5790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_Toc30401 </w:instrText>
      </w:r>
      <w:r>
        <w:rPr>
          <w:rFonts w:hint="eastAsia"/>
          <w:b w:val="0"/>
          <w:bCs/>
          <w:color w:val="auto"/>
          <w:highlight w:val="none"/>
        </w:rPr>
        <w:fldChar w:fldCharType="separate"/>
      </w:r>
      <w:r>
        <w:rPr>
          <w:rFonts w:hint="eastAsia"/>
          <w:b w:val="0"/>
          <w:bCs/>
          <w:color w:val="auto"/>
          <w:szCs w:val="32"/>
          <w:highlight w:val="none"/>
        </w:rPr>
        <w:t>三</w:t>
      </w:r>
      <w:r>
        <w:rPr>
          <w:rFonts w:hint="eastAsia"/>
          <w:b w:val="0"/>
          <w:bCs/>
          <w:color w:val="auto"/>
          <w:szCs w:val="32"/>
          <w:highlight w:val="none"/>
          <w:lang w:eastAsia="zh-CN"/>
        </w:rPr>
        <w:t>、</w:t>
      </w:r>
      <w:r>
        <w:rPr>
          <w:rFonts w:hint="eastAsia"/>
          <w:b w:val="0"/>
          <w:bCs/>
          <w:color w:val="auto"/>
          <w:szCs w:val="32"/>
          <w:highlight w:val="none"/>
        </w:rPr>
        <w:t>投标文件的编制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4</w:t>
      </w:r>
    </w:p>
    <w:p w14:paraId="23CA7DAC">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_Toc15388 </w:instrText>
      </w:r>
      <w:r>
        <w:rPr>
          <w:rFonts w:hint="eastAsia"/>
          <w:b w:val="0"/>
          <w:bCs/>
          <w:color w:val="auto"/>
          <w:highlight w:val="none"/>
        </w:rPr>
        <w:fldChar w:fldCharType="separate"/>
      </w:r>
      <w:r>
        <w:rPr>
          <w:rFonts w:hint="eastAsia"/>
          <w:b w:val="0"/>
          <w:bCs/>
          <w:color w:val="auto"/>
          <w:szCs w:val="32"/>
          <w:highlight w:val="none"/>
        </w:rPr>
        <w:t>四</w:t>
      </w:r>
      <w:r>
        <w:rPr>
          <w:rFonts w:hint="eastAsia"/>
          <w:b w:val="0"/>
          <w:bCs/>
          <w:color w:val="auto"/>
          <w:szCs w:val="32"/>
          <w:highlight w:val="none"/>
          <w:lang w:eastAsia="zh-CN"/>
        </w:rPr>
        <w:t>、</w:t>
      </w:r>
      <w:r>
        <w:rPr>
          <w:rFonts w:hint="eastAsia"/>
          <w:b w:val="0"/>
          <w:bCs/>
          <w:color w:val="auto"/>
          <w:szCs w:val="32"/>
          <w:highlight w:val="none"/>
        </w:rPr>
        <w:t>投标文件的递交</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6</w:t>
      </w:r>
    </w:p>
    <w:p w14:paraId="50F9D89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_Toc8344 </w:instrText>
      </w:r>
      <w:r>
        <w:rPr>
          <w:rFonts w:hint="eastAsia"/>
          <w:b w:val="0"/>
          <w:bCs/>
          <w:color w:val="auto"/>
          <w:highlight w:val="none"/>
        </w:rPr>
        <w:fldChar w:fldCharType="separate"/>
      </w:r>
      <w:r>
        <w:rPr>
          <w:rFonts w:hint="eastAsia"/>
          <w:b w:val="0"/>
          <w:bCs/>
          <w:color w:val="auto"/>
          <w:szCs w:val="32"/>
          <w:highlight w:val="none"/>
        </w:rPr>
        <w:t>五</w:t>
      </w:r>
      <w:r>
        <w:rPr>
          <w:rFonts w:hint="eastAsia"/>
          <w:b w:val="0"/>
          <w:bCs/>
          <w:color w:val="auto"/>
          <w:szCs w:val="32"/>
          <w:highlight w:val="none"/>
          <w:lang w:eastAsia="zh-CN"/>
        </w:rPr>
        <w:t>、</w:t>
      </w:r>
      <w:r>
        <w:rPr>
          <w:rFonts w:hint="eastAsia"/>
          <w:b w:val="0"/>
          <w:bCs/>
          <w:color w:val="auto"/>
          <w:szCs w:val="32"/>
          <w:highlight w:val="none"/>
        </w:rPr>
        <w:t>开标与评标</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7</w:t>
      </w:r>
    </w:p>
    <w:p w14:paraId="7389BD17">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_Toc25515 </w:instrText>
      </w:r>
      <w:r>
        <w:rPr>
          <w:rFonts w:hint="eastAsia"/>
          <w:b w:val="0"/>
          <w:bCs/>
          <w:color w:val="auto"/>
          <w:highlight w:val="none"/>
        </w:rPr>
        <w:fldChar w:fldCharType="separate"/>
      </w:r>
      <w:r>
        <w:rPr>
          <w:rFonts w:hint="eastAsia"/>
          <w:b w:val="0"/>
          <w:bCs/>
          <w:color w:val="auto"/>
          <w:szCs w:val="32"/>
          <w:highlight w:val="none"/>
        </w:rPr>
        <w:t>六</w:t>
      </w:r>
      <w:r>
        <w:rPr>
          <w:rFonts w:hint="eastAsia"/>
          <w:b w:val="0"/>
          <w:bCs/>
          <w:color w:val="auto"/>
          <w:szCs w:val="32"/>
          <w:highlight w:val="none"/>
          <w:lang w:eastAsia="zh-CN"/>
        </w:rPr>
        <w:t>、</w:t>
      </w:r>
      <w:r>
        <w:rPr>
          <w:rFonts w:hint="eastAsia"/>
          <w:b w:val="0"/>
          <w:bCs/>
          <w:color w:val="auto"/>
          <w:szCs w:val="32"/>
          <w:highlight w:val="none"/>
        </w:rPr>
        <w:t>确定中标</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0</w:t>
      </w:r>
    </w:p>
    <w:p w14:paraId="1875F04C">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_Toc24142 </w:instrText>
      </w:r>
      <w:r>
        <w:rPr>
          <w:rFonts w:hint="eastAsia"/>
          <w:b w:val="0"/>
          <w:bCs/>
          <w:color w:val="auto"/>
          <w:highlight w:val="none"/>
        </w:rPr>
        <w:fldChar w:fldCharType="separate"/>
      </w:r>
      <w:r>
        <w:rPr>
          <w:rFonts w:hint="eastAsia"/>
          <w:b w:val="0"/>
          <w:bCs/>
          <w:color w:val="auto"/>
          <w:szCs w:val="32"/>
          <w:highlight w:val="none"/>
        </w:rPr>
        <w:t>第四章 采购需求</w:t>
      </w:r>
      <w:r>
        <w:rPr>
          <w:rFonts w:hint="eastAsia"/>
          <w:b w:val="0"/>
          <w:bCs/>
          <w:color w:val="auto"/>
          <w:szCs w:val="32"/>
          <w:highlight w:val="none"/>
          <w:lang w:val="en-US" w:eastAsia="zh-CN"/>
        </w:rPr>
        <w:t>及服务要求</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3</w:t>
      </w:r>
    </w:p>
    <w:p w14:paraId="05AA4E84">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_Toc8833 </w:instrText>
      </w:r>
      <w:r>
        <w:rPr>
          <w:rFonts w:hint="eastAsia"/>
          <w:b w:val="0"/>
          <w:bCs/>
          <w:color w:val="auto"/>
          <w:highlight w:val="none"/>
        </w:rPr>
        <w:fldChar w:fldCharType="separate"/>
      </w:r>
      <w:r>
        <w:rPr>
          <w:rFonts w:hint="eastAsia"/>
          <w:b w:val="0"/>
          <w:bCs/>
          <w:color w:val="auto"/>
          <w:szCs w:val="32"/>
          <w:highlight w:val="none"/>
        </w:rPr>
        <w:t>第五章 评审内容</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2</w:t>
      </w:r>
    </w:p>
    <w:p w14:paraId="1196E4E8">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_Toc14508 </w:instrText>
      </w:r>
      <w:r>
        <w:rPr>
          <w:rFonts w:hint="eastAsia"/>
          <w:b w:val="0"/>
          <w:bCs/>
          <w:color w:val="auto"/>
          <w:highlight w:val="none"/>
        </w:rPr>
        <w:fldChar w:fldCharType="separate"/>
      </w:r>
      <w:r>
        <w:rPr>
          <w:rFonts w:hint="eastAsia"/>
          <w:b w:val="0"/>
          <w:bCs/>
          <w:color w:val="auto"/>
          <w:szCs w:val="32"/>
          <w:highlight w:val="none"/>
        </w:rPr>
        <w:t>第六章 合同条款</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7</w:t>
      </w:r>
    </w:p>
    <w:p w14:paraId="4072736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_Toc17105 </w:instrText>
      </w:r>
      <w:r>
        <w:rPr>
          <w:rFonts w:hint="eastAsia"/>
          <w:b w:val="0"/>
          <w:bCs/>
          <w:color w:val="auto"/>
          <w:highlight w:val="none"/>
        </w:rPr>
        <w:fldChar w:fldCharType="separate"/>
      </w:r>
      <w:r>
        <w:rPr>
          <w:rFonts w:hint="eastAsia"/>
          <w:b w:val="0"/>
          <w:bCs/>
          <w:color w:val="auto"/>
          <w:szCs w:val="32"/>
          <w:highlight w:val="none"/>
        </w:rPr>
        <w:t>第七章 投标文件格式</w:t>
      </w:r>
      <w:r>
        <w:rPr>
          <w:b w:val="0"/>
          <w:bCs/>
          <w:color w:val="auto"/>
          <w:highlight w:val="none"/>
        </w:rPr>
        <w:tab/>
      </w:r>
      <w:r>
        <w:rPr>
          <w:rFonts w:hint="eastAsia"/>
          <w:b w:val="0"/>
          <w:bCs/>
          <w:color w:val="auto"/>
          <w:highlight w:val="none"/>
          <w:lang w:val="en-US" w:eastAsia="zh-CN"/>
        </w:rPr>
        <w:t>4</w:t>
      </w:r>
      <w:r>
        <w:rPr>
          <w:rFonts w:hint="eastAsia"/>
          <w:b w:val="0"/>
          <w:bCs/>
          <w:color w:val="auto"/>
          <w:highlight w:val="none"/>
        </w:rPr>
        <w:fldChar w:fldCharType="end"/>
      </w:r>
      <w:r>
        <w:rPr>
          <w:rFonts w:hint="eastAsia"/>
          <w:b w:val="0"/>
          <w:bCs/>
          <w:color w:val="auto"/>
          <w:highlight w:val="none"/>
          <w:lang w:val="en-US" w:eastAsia="zh-CN"/>
        </w:rPr>
        <w:t>4</w:t>
      </w:r>
    </w:p>
    <w:p w14:paraId="066B8A7A">
      <w:pPr>
        <w:pStyle w:val="2"/>
        <w:bidi w:val="0"/>
        <w:rPr>
          <w:rFonts w:hint="eastAsia"/>
          <w:color w:val="auto"/>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2262BF">
      <w:pPr>
        <w:pStyle w:val="2"/>
        <w:bidi w:val="0"/>
        <w:rPr>
          <w:rFonts w:hint="eastAsia"/>
          <w:color w:val="auto"/>
          <w:highlight w:val="none"/>
          <w:lang w:val="en-US" w:eastAsia="zh-CN"/>
        </w:rPr>
      </w:pPr>
      <w:r>
        <w:rPr>
          <w:rFonts w:hint="eastAsia"/>
          <w:color w:val="auto"/>
          <w:highlight w:val="none"/>
          <w:lang w:val="en-US" w:eastAsia="zh-CN"/>
        </w:rPr>
        <w:t>第一章 招标公告</w:t>
      </w:r>
    </w:p>
    <w:p w14:paraId="710CFC1A">
      <w:pPr>
        <w:pBdr>
          <w:top w:val="single" w:color="auto" w:sz="4" w:space="1"/>
          <w:left w:val="single" w:color="auto" w:sz="4" w:space="4"/>
          <w:bottom w:val="single" w:color="auto" w:sz="4" w:space="1"/>
          <w:right w:val="single" w:color="auto" w:sz="4" w:space="4"/>
        </w:pBd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011CE6D6">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eastAsia="zh-CN"/>
        </w:rPr>
        <w:t>塔城边境管理支队2026年主副食品配送服务采购项目（</w:t>
      </w:r>
      <w:r>
        <w:rPr>
          <w:rFonts w:hint="eastAsia" w:ascii="宋体" w:hAnsi="宋体" w:cs="宋体"/>
          <w:color w:val="auto"/>
          <w:sz w:val="24"/>
          <w:highlight w:val="none"/>
          <w:lang w:val="en-US" w:eastAsia="zh-CN"/>
        </w:rPr>
        <w:t>塔城地区</w:t>
      </w:r>
      <w:r>
        <w:rPr>
          <w:rFonts w:hint="eastAsia" w:ascii="宋体" w:hAnsi="宋体" w:cs="宋体"/>
          <w:color w:val="auto"/>
          <w:sz w:val="24"/>
          <w:highlight w:val="none"/>
          <w:lang w:eastAsia="zh-CN"/>
        </w:rPr>
        <w:t>）</w:t>
      </w:r>
      <w:r>
        <w:rPr>
          <w:rFonts w:hint="eastAsia" w:ascii="宋体" w:hAnsi="宋体" w:cs="宋体"/>
          <w:color w:val="auto"/>
          <w:sz w:val="24"/>
          <w:highlight w:val="none"/>
        </w:rPr>
        <w:t>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应在政采云平台线上获取招标文件，并于</w:t>
      </w:r>
      <w:r>
        <w:rPr>
          <w:rFonts w:hint="eastAsia" w:ascii="宋体" w:hAnsi="宋体" w:cs="宋体"/>
          <w:color w:val="auto"/>
          <w:sz w:val="24"/>
          <w:highlight w:val="none"/>
          <w:lang w:val="en-US" w:eastAsia="zh-CN"/>
        </w:rPr>
        <w:t xml:space="preserve"> 2026年06月09日10:30</w:t>
      </w:r>
      <w:r>
        <w:rPr>
          <w:rFonts w:hint="eastAsia" w:ascii="宋体" w:hAnsi="宋体" w:cs="宋体"/>
          <w:color w:val="auto"/>
          <w:sz w:val="24"/>
          <w:highlight w:val="none"/>
        </w:rPr>
        <w:t xml:space="preserve"> （北京时间）前递交投标文件。</w:t>
      </w:r>
    </w:p>
    <w:p w14:paraId="35B0F420">
      <w:pPr>
        <w:spacing w:line="440" w:lineRule="exact"/>
        <w:outlineLvl w:val="1"/>
        <w:rPr>
          <w:rFonts w:hint="eastAsia" w:ascii="宋体" w:hAnsi="宋体" w:cs="宋体"/>
          <w:b/>
          <w:color w:val="auto"/>
          <w:sz w:val="24"/>
          <w:highlight w:val="none"/>
        </w:rPr>
      </w:pPr>
      <w:bookmarkStart w:id="0" w:name="_Toc35393790"/>
      <w:bookmarkStart w:id="1" w:name="_Toc26429"/>
      <w:bookmarkStart w:id="2" w:name="_Toc28359079"/>
      <w:bookmarkStart w:id="3" w:name="_Toc35393621"/>
      <w:bookmarkStart w:id="4" w:name="_Toc28359002"/>
      <w:bookmarkStart w:id="5" w:name="_Hlk24379207"/>
      <w:r>
        <w:rPr>
          <w:rFonts w:hint="eastAsia" w:ascii="宋体" w:hAnsi="宋体" w:cs="宋体"/>
          <w:b/>
          <w:color w:val="auto"/>
          <w:sz w:val="24"/>
          <w:highlight w:val="none"/>
        </w:rPr>
        <w:t>一、项目基本情况</w:t>
      </w:r>
      <w:bookmarkEnd w:id="0"/>
      <w:bookmarkEnd w:id="1"/>
      <w:bookmarkEnd w:id="2"/>
      <w:bookmarkEnd w:id="3"/>
      <w:bookmarkEnd w:id="4"/>
    </w:p>
    <w:p w14:paraId="5C3DADAD">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项目编号：XJYS-2026-FW-023</w:t>
      </w:r>
    </w:p>
    <w:p w14:paraId="397E21E3">
      <w:pPr>
        <w:pStyle w:val="25"/>
        <w:spacing w:line="440" w:lineRule="exact"/>
        <w:ind w:firstLine="480" w:firstLineChars="200"/>
        <w:rPr>
          <w:rFonts w:hint="eastAsia" w:ascii="宋体" w:hAnsi="宋体" w:cs="宋体"/>
          <w:b w:val="0"/>
          <w:bCs w:val="0"/>
          <w:color w:val="auto"/>
          <w:sz w:val="24"/>
          <w:highlight w:val="none"/>
          <w:lang w:eastAsia="zh-CN"/>
        </w:rPr>
      </w:pPr>
      <w:r>
        <w:rPr>
          <w:rFonts w:hint="eastAsia" w:ascii="宋体" w:hAnsi="宋体" w:cs="宋体"/>
          <w:color w:val="auto"/>
          <w:sz w:val="24"/>
          <w:highlight w:val="none"/>
        </w:rPr>
        <w:t>项目名称：</w:t>
      </w:r>
      <w:bookmarkEnd w:id="5"/>
      <w:r>
        <w:rPr>
          <w:rFonts w:hint="eastAsia" w:ascii="宋体" w:hAnsi="宋体" w:cs="宋体"/>
          <w:b w:val="0"/>
          <w:bCs w:val="0"/>
          <w:color w:val="auto"/>
          <w:sz w:val="24"/>
          <w:highlight w:val="none"/>
          <w:lang w:eastAsia="zh-CN"/>
        </w:rPr>
        <w:t>塔城边境管理支队2026年主副食品配送服务采购项目</w:t>
      </w:r>
    </w:p>
    <w:p w14:paraId="4FA1224E">
      <w:pPr>
        <w:pStyle w:val="25"/>
        <w:spacing w:line="440" w:lineRule="exact"/>
        <w:ind w:firstLine="480" w:firstLineChars="200"/>
        <w:rPr>
          <w:rFonts w:hint="eastAsia" w:ascii="宋体" w:hAnsi="宋体" w:cs="宋体"/>
          <w:color w:val="auto"/>
          <w:sz w:val="20"/>
          <w:szCs w:val="21"/>
          <w:highlight w:val="none"/>
        </w:rPr>
      </w:pPr>
      <w:r>
        <w:rPr>
          <w:rFonts w:hint="eastAsia" w:ascii="宋体" w:hAnsi="宋体" w:cs="宋体"/>
          <w:color w:val="auto"/>
          <w:sz w:val="24"/>
          <w:szCs w:val="24"/>
          <w:highlight w:val="none"/>
        </w:rPr>
        <w:t>采购方式：公开招标</w:t>
      </w:r>
    </w:p>
    <w:p w14:paraId="7641036C">
      <w:pPr>
        <w:spacing w:line="44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11000000</w:t>
      </w:r>
    </w:p>
    <w:p w14:paraId="145738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最高限价（元）：</w:t>
      </w:r>
      <w:r>
        <w:rPr>
          <w:rFonts w:hint="eastAsia" w:ascii="宋体" w:hAnsi="宋体" w:cs="宋体"/>
          <w:color w:val="auto"/>
          <w:sz w:val="24"/>
          <w:highlight w:val="none"/>
          <w:lang w:val="en-US" w:eastAsia="zh-CN"/>
        </w:rPr>
        <w:t>5695</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1888</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173</w:t>
      </w:r>
      <w:r>
        <w:rPr>
          <w:rFonts w:hint="eastAsia" w:ascii="宋体" w:hAnsi="宋体" w:cs="宋体"/>
          <w:color w:val="auto"/>
          <w:sz w:val="24"/>
          <w:highlight w:val="none"/>
        </w:rPr>
        <w:t>0000，</w:t>
      </w:r>
      <w:r>
        <w:rPr>
          <w:rFonts w:hint="eastAsia" w:ascii="宋体" w:hAnsi="宋体" w:cs="宋体"/>
          <w:color w:val="auto"/>
          <w:sz w:val="24"/>
          <w:highlight w:val="none"/>
          <w:lang w:val="en-US" w:eastAsia="zh-CN"/>
        </w:rPr>
        <w:t>665</w:t>
      </w:r>
      <w:r>
        <w:rPr>
          <w:rFonts w:hint="eastAsia" w:ascii="宋体" w:hAnsi="宋体" w:cs="宋体"/>
          <w:color w:val="auto"/>
          <w:sz w:val="24"/>
          <w:highlight w:val="none"/>
        </w:rPr>
        <w:t>000，1022000</w:t>
      </w:r>
    </w:p>
    <w:p w14:paraId="7E0820C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18DF7648">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标项一：</w:t>
      </w:r>
    </w:p>
    <w:p w14:paraId="5570DEB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年主副食品配送服务采购项目（支队机关、轮训队、塔城大队及其所属基层单位）</w:t>
      </w:r>
    </w:p>
    <w:p w14:paraId="27B5F84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5F16C8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预算金额（元）:5695000</w:t>
      </w:r>
    </w:p>
    <w:p w14:paraId="3E588805">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EEAC63E">
      <w:pPr>
        <w:spacing w:line="440" w:lineRule="exact"/>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简要规格描述或项目基本概况介绍、用途：支队机关、轮训队、塔城大队及其所属基层单位的主副食品配送：包括但不限于米、面、油、调料、蔬菜、水果、牛羊肉、猪肉、鱼、蛋、禽类等主副食品。</w:t>
      </w:r>
    </w:p>
    <w:p w14:paraId="3114B7DD">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标项二：</w:t>
      </w:r>
    </w:p>
    <w:p w14:paraId="140D263D">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年主副食品配送服务采购项目（额敏大队及其所属基层单位）</w:t>
      </w:r>
    </w:p>
    <w:p w14:paraId="6FF85424">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631F61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预算金额（元）:18880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p w14:paraId="476B634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25790BE">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简要规格描述或项目基本概况介绍、用途：额敏大队及其所属基层单位的主副食品配送：包括但不限于米、面、油、调料、蔬菜、水果、牛羊肉、猪肉、鱼、蛋、禽类等主副食品。</w:t>
      </w:r>
    </w:p>
    <w:p w14:paraId="7404BCF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标项三：</w:t>
      </w:r>
    </w:p>
    <w:p w14:paraId="69E51A8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年主副食品配送服务采购项目（裕民大队及其所属基层单位）</w:t>
      </w:r>
    </w:p>
    <w:p w14:paraId="66CB3500">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2D1570D">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1730000</w:t>
      </w:r>
    </w:p>
    <w:p w14:paraId="0E4C24B3">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76D5542">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简要规格描述或项目基本概况介绍、用途：裕民大队及其所属基层单位的主副食品配送：包括但不限于米、面、油、调料、蔬菜、水果、牛羊肉、猪肉、鱼、蛋、禽类等主副食品。</w:t>
      </w:r>
    </w:p>
    <w:p w14:paraId="3BF0B01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标项四：</w:t>
      </w:r>
    </w:p>
    <w:p w14:paraId="3A495E88">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年主副食品配送服务采购项目（托里大队及其所属基层单位）</w:t>
      </w:r>
    </w:p>
    <w:p w14:paraId="11281DF2">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7F607CB">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665000</w:t>
      </w:r>
    </w:p>
    <w:p w14:paraId="531CE2D9">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F07430C">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简要规格描述或项目基本概况介绍、用途：托里大队及其所属基层单位的主副食品配送：包括但不限于米、面、油、调料、蔬菜、水果、牛羊肉、猪肉、鱼、蛋、禽类等主副食品。</w:t>
      </w:r>
    </w:p>
    <w:p w14:paraId="7BFB6BC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标项五：</w:t>
      </w:r>
    </w:p>
    <w:p w14:paraId="024CBAAB">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年主副食品配送服务采购项目（和丰大队及其所属基层单位）</w:t>
      </w:r>
    </w:p>
    <w:p w14:paraId="60A3E50F">
      <w:pPr>
        <w:pStyle w:val="8"/>
        <w:spacing w:before="104" w:line="219" w:lineRule="auto"/>
        <w:ind w:left="371"/>
        <w:rPr>
          <w:color w:val="auto"/>
          <w:highlight w:val="none"/>
        </w:rPr>
      </w:pPr>
      <w:r>
        <w:rPr>
          <w:color w:val="auto"/>
          <w:spacing w:val="-3"/>
          <w:highlight w:val="none"/>
        </w:rPr>
        <w:t>数量:不限</w:t>
      </w:r>
    </w:p>
    <w:p w14:paraId="3D18A81E">
      <w:pPr>
        <w:pStyle w:val="8"/>
        <w:spacing w:before="104" w:line="219" w:lineRule="auto"/>
        <w:ind w:left="371"/>
        <w:rPr>
          <w:color w:val="auto"/>
          <w:highlight w:val="none"/>
        </w:rPr>
      </w:pPr>
      <w:r>
        <w:rPr>
          <w:color w:val="auto"/>
          <w:spacing w:val="-1"/>
          <w:highlight w:val="none"/>
        </w:rPr>
        <w:t>预算金额（元）:1022000</w:t>
      </w:r>
    </w:p>
    <w:p w14:paraId="13BDAF40">
      <w:pPr>
        <w:pStyle w:val="8"/>
        <w:spacing w:before="104" w:line="220" w:lineRule="auto"/>
        <w:ind w:left="371"/>
        <w:rPr>
          <w:color w:val="auto"/>
          <w:highlight w:val="none"/>
        </w:rPr>
      </w:pPr>
      <w:r>
        <w:rPr>
          <w:color w:val="auto"/>
          <w:spacing w:val="-1"/>
          <w:highlight w:val="none"/>
        </w:rPr>
        <w:t>单位：批</w:t>
      </w:r>
    </w:p>
    <w:p w14:paraId="716305FC">
      <w:pPr>
        <w:pStyle w:val="32"/>
        <w:numPr>
          <w:ilvl w:val="0"/>
          <w:numId w:val="0"/>
        </w:numPr>
        <w:spacing w:beforeLines="0" w:afterLines="0" w:line="360" w:lineRule="auto"/>
        <w:ind w:firstLine="488" w:firstLineChars="200"/>
        <w:rPr>
          <w:rFonts w:hint="eastAsia"/>
          <w:color w:val="auto"/>
          <w:highlight w:val="none"/>
          <w:lang w:val="en-US" w:eastAsia="zh-CN"/>
        </w:rPr>
      </w:pPr>
      <w:r>
        <w:rPr>
          <w:rFonts w:hint="eastAsia"/>
          <w:color w:val="auto"/>
          <w:spacing w:val="2"/>
          <w:sz w:val="24"/>
          <w:szCs w:val="24"/>
          <w:highlight w:val="none"/>
        </w:rPr>
        <w:t>简要规格描述或项目基本概况介绍、用途：和丰大队及其所属基层单位的主副食品配送：包括但不限于米、面、油、调料、蔬菜、水果、牛羊肉、猪肉、鱼、蛋、禽类等主副食品。</w:t>
      </w:r>
    </w:p>
    <w:p w14:paraId="09ADC49E">
      <w:pPr>
        <w:spacing w:line="440" w:lineRule="exact"/>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p w14:paraId="15BF71EB">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合同履约期限：自合同签订之日起一年。</w:t>
      </w:r>
    </w:p>
    <w:p w14:paraId="2849F9E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本项目（否）接受联合体投标。</w:t>
      </w:r>
    </w:p>
    <w:p w14:paraId="32645E90">
      <w:pPr>
        <w:spacing w:line="440" w:lineRule="exact"/>
        <w:outlineLvl w:val="1"/>
        <w:rPr>
          <w:rFonts w:hint="eastAsia" w:ascii="宋体" w:hAnsi="宋体" w:cs="宋体"/>
          <w:b/>
          <w:color w:val="auto"/>
          <w:sz w:val="24"/>
          <w:highlight w:val="none"/>
        </w:rPr>
      </w:pPr>
      <w:bookmarkStart w:id="6" w:name="_Toc35393791"/>
      <w:bookmarkStart w:id="7" w:name="_Toc28359003"/>
      <w:bookmarkStart w:id="8" w:name="_Toc28359080"/>
      <w:bookmarkStart w:id="9" w:name="_Toc35393622"/>
      <w:bookmarkStart w:id="10" w:name="_Toc8168"/>
      <w:r>
        <w:rPr>
          <w:rFonts w:hint="eastAsia" w:ascii="宋体" w:hAnsi="宋体" w:cs="宋体"/>
          <w:b/>
          <w:color w:val="auto"/>
          <w:sz w:val="24"/>
          <w:highlight w:val="none"/>
        </w:rPr>
        <w:t>二、申请人的资格要求：</w:t>
      </w:r>
      <w:bookmarkEnd w:id="6"/>
      <w:bookmarkEnd w:id="7"/>
      <w:bookmarkEnd w:id="8"/>
      <w:bookmarkEnd w:id="9"/>
      <w:bookmarkEnd w:id="10"/>
    </w:p>
    <w:p w14:paraId="3A3ACDFE">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76EB4C5">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w:t>
      </w:r>
    </w:p>
    <w:p w14:paraId="162505B9">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3.本项目的特定资格要求：提供有效期内的《食品经营许可证》</w:t>
      </w:r>
    </w:p>
    <w:p w14:paraId="6760A25C">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48D1CA16">
      <w:pPr>
        <w:spacing w:line="440" w:lineRule="exact"/>
        <w:ind w:firstLine="480" w:firstLineChars="200"/>
        <w:outlineLvl w:val="2"/>
        <w:rPr>
          <w:rFonts w:hint="eastAsia" w:ascii="宋体" w:hAnsi="宋体" w:cs="宋体"/>
          <w:color w:val="auto"/>
          <w:sz w:val="24"/>
          <w:highlight w:val="none"/>
        </w:rPr>
      </w:pPr>
      <w:bookmarkStart w:id="11" w:name="_Toc24086"/>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，每天上午00:00至14：00，下午14：00至23：59（北京时间，法定节假日除外）</w:t>
      </w:r>
    </w:p>
    <w:p w14:paraId="62EC3D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地点：政采云平台线上获取</w:t>
      </w:r>
    </w:p>
    <w:p w14:paraId="6CC0E963">
      <w:pPr>
        <w:tabs>
          <w:tab w:val="left" w:pos="366"/>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F3B1455">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售价（元）：0</w:t>
      </w:r>
    </w:p>
    <w:p w14:paraId="4139B917">
      <w:pPr>
        <w:spacing w:line="440" w:lineRule="exact"/>
        <w:outlineLvl w:val="1"/>
        <w:rPr>
          <w:rFonts w:hint="eastAsia" w:ascii="宋体" w:hAnsi="宋体" w:cs="宋体"/>
          <w:b/>
          <w:color w:val="auto"/>
          <w:sz w:val="24"/>
          <w:highlight w:val="none"/>
        </w:rPr>
      </w:pPr>
      <w:bookmarkStart w:id="12" w:name="_Toc21610"/>
      <w:r>
        <w:rPr>
          <w:rFonts w:hint="eastAsia" w:ascii="宋体" w:hAnsi="宋体" w:cs="宋体"/>
          <w:b/>
          <w:color w:val="auto"/>
          <w:sz w:val="24"/>
          <w:highlight w:val="none"/>
        </w:rPr>
        <w:t>四、提交投标文件截止时间、开标时间和地点</w:t>
      </w:r>
      <w:bookmarkEnd w:id="12"/>
    </w:p>
    <w:p w14:paraId="3268322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提交投标文件截止时间：202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36DACB0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投标地点：请登录政采云投标客户端投标</w:t>
      </w:r>
    </w:p>
    <w:p w14:paraId="6A919C4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076075A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登录政采云平台https://www.zcygov.cn/，进入“项目采购-开标评标-右边选择对应项目点击“进入项目”进入开标大厅。</w:t>
      </w:r>
    </w:p>
    <w:p w14:paraId="739F6863">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五、公告期限</w:t>
      </w:r>
      <w:bookmarkEnd w:id="11"/>
    </w:p>
    <w:p w14:paraId="2DD2222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E59485B">
      <w:pPr>
        <w:numPr>
          <w:ilvl w:val="0"/>
          <w:numId w:val="1"/>
        </w:numPr>
        <w:spacing w:line="440" w:lineRule="exact"/>
        <w:outlineLvl w:val="1"/>
        <w:rPr>
          <w:rFonts w:hint="eastAsia" w:ascii="宋体" w:hAnsi="宋体" w:cs="宋体"/>
          <w:b/>
          <w:color w:val="auto"/>
          <w:sz w:val="24"/>
          <w:highlight w:val="none"/>
        </w:rPr>
      </w:pPr>
      <w:bookmarkStart w:id="13" w:name="_Toc15685"/>
      <w:r>
        <w:rPr>
          <w:rFonts w:hint="eastAsia" w:ascii="宋体" w:hAnsi="宋体" w:cs="宋体"/>
          <w:b/>
          <w:color w:val="auto"/>
          <w:sz w:val="24"/>
          <w:highlight w:val="none"/>
        </w:rPr>
        <w:t>其他补充事宜</w:t>
      </w:r>
      <w:bookmarkEnd w:id="13"/>
      <w:r>
        <w:rPr>
          <w:rFonts w:hint="eastAsia" w:ascii="宋体" w:hAnsi="宋体" w:cs="宋体"/>
          <w:b/>
          <w:color w:val="auto"/>
          <w:sz w:val="24"/>
          <w:highlight w:val="none"/>
        </w:rPr>
        <w:t xml:space="preserve"> </w:t>
      </w:r>
    </w:p>
    <w:p w14:paraId="09BCE57B">
      <w:pPr>
        <w:numPr>
          <w:ilvl w:val="0"/>
          <w:numId w:val="0"/>
        </w:numPr>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1、本项目实行网上投标，采用电子投标文件。</w:t>
      </w:r>
    </w:p>
    <w:p w14:paraId="16B13B4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296A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3、供应商将政采云电子交易客户端下载、安装完成后，可通过账号密码或CA登录客户端进行投标文件的制作。在使用政采云投标客户端时，建议使用WIN7及以上操作系统。</w:t>
      </w:r>
    </w:p>
    <w:p w14:paraId="0556142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4、其他事项：</w:t>
      </w:r>
      <w:r>
        <w:rPr>
          <w:rFonts w:hint="eastAsia" w:ascii="宋体" w:hAnsi="宋体" w:cs="宋体"/>
          <w:color w:val="auto"/>
          <w:sz w:val="24"/>
          <w:highlight w:val="none"/>
          <w:lang w:val="en-US" w:eastAsia="zh-CN"/>
        </w:rPr>
        <w:t>/</w:t>
      </w:r>
    </w:p>
    <w:p w14:paraId="729C0E76">
      <w:pPr>
        <w:spacing w:line="440" w:lineRule="exact"/>
        <w:outlineLvl w:val="1"/>
        <w:rPr>
          <w:rFonts w:hint="eastAsia" w:hAnsi="宋体" w:cs="宋体"/>
          <w:b w:val="0"/>
          <w:bCs/>
          <w:color w:val="auto"/>
          <w:sz w:val="24"/>
          <w:szCs w:val="18"/>
          <w:highlight w:val="none"/>
        </w:rPr>
      </w:pPr>
      <w:r>
        <w:rPr>
          <w:rFonts w:hint="eastAsia" w:hAnsi="宋体" w:cs="宋体"/>
          <w:b/>
          <w:color w:val="auto"/>
          <w:sz w:val="24"/>
          <w:szCs w:val="18"/>
          <w:highlight w:val="none"/>
        </w:rPr>
        <w:t>特别提示：</w:t>
      </w:r>
    </w:p>
    <w:p w14:paraId="2990D7A9">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1、采购限额标准以上，200万元以下的货物和服务采购项目、400万元以下的工程采购项目，适宜由中小企业提供的，采购人应当专门面向中小企业采购。</w:t>
      </w:r>
    </w:p>
    <w:p w14:paraId="4266CD4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2、超过200万元的货物和服务采购项目，预留该部分采购项目预算总额的30%以上专门面向中小企业采购，其中预留给小微企业的比例不低于60%。</w:t>
      </w:r>
    </w:p>
    <w:p w14:paraId="443DF7FB">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3、超过400万元的工程采购项目中适宜由中小企业提供的，预留该部分采购项目预算总额的40%以上专门面向中小企业采购，其中预留给小微企业的比例不低于60%。</w:t>
      </w:r>
    </w:p>
    <w:p w14:paraId="0CCEDE34">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8A78CD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3BA2A1">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7F244C5D">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1.采购人信息</w:t>
      </w:r>
    </w:p>
    <w:p w14:paraId="0106550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塔城边境管理支队</w:t>
      </w:r>
      <w:r>
        <w:rPr>
          <w:rFonts w:hint="eastAsia" w:ascii="宋体" w:hAnsi="宋体" w:cs="宋体"/>
          <w:color w:val="auto"/>
          <w:sz w:val="24"/>
          <w:highlight w:val="none"/>
        </w:rPr>
        <w:t xml:space="preserve">                  </w:t>
      </w:r>
    </w:p>
    <w:p w14:paraId="4949E75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塔城市新南街128号</w:t>
      </w:r>
      <w:r>
        <w:rPr>
          <w:rFonts w:hint="eastAsia" w:ascii="宋体" w:hAnsi="宋体" w:cs="宋体"/>
          <w:color w:val="auto"/>
          <w:sz w:val="24"/>
          <w:highlight w:val="none"/>
        </w:rPr>
        <w:t xml:space="preserve">                           </w:t>
      </w:r>
    </w:p>
    <w:p w14:paraId="379B6D44">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AD3003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新疆驿松工程项目管理有限公司</w:t>
      </w:r>
      <w:r>
        <w:rPr>
          <w:rFonts w:hint="eastAsia" w:ascii="宋体" w:hAnsi="宋体" w:cs="宋体"/>
          <w:color w:val="auto"/>
          <w:sz w:val="24"/>
          <w:highlight w:val="none"/>
        </w:rPr>
        <w:t xml:space="preserve">   </w:t>
      </w:r>
    </w:p>
    <w:p w14:paraId="3B09285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新疆塔城地区塔城市昌南国际12号楼二楼201</w:t>
      </w:r>
      <w:r>
        <w:rPr>
          <w:rFonts w:hint="eastAsia" w:ascii="宋体" w:hAnsi="宋体" w:cs="宋体"/>
          <w:color w:val="auto"/>
          <w:sz w:val="24"/>
          <w:highlight w:val="none"/>
        </w:rPr>
        <w:t xml:space="preserve"> </w:t>
      </w:r>
    </w:p>
    <w:p w14:paraId="6CDC46D9">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联系方式：15276065666            </w:t>
      </w:r>
    </w:p>
    <w:p w14:paraId="056AB38F">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3.项目联系方式</w:t>
      </w:r>
    </w:p>
    <w:p w14:paraId="6FB8D460">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项目联系人：吴警官                                 </w:t>
      </w:r>
    </w:p>
    <w:p w14:paraId="5FBA3BF2">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电话：09016244185</w:t>
      </w:r>
    </w:p>
    <w:p w14:paraId="08E8C6C3">
      <w:pPr>
        <w:rPr>
          <w:rFonts w:hint="eastAsia"/>
          <w:color w:val="auto"/>
          <w:highlight w:val="none"/>
          <w:lang w:val="en-US" w:eastAsia="zh-CN"/>
        </w:rPr>
      </w:pPr>
      <w:r>
        <w:rPr>
          <w:rFonts w:hint="eastAsia"/>
          <w:color w:val="auto"/>
          <w:highlight w:val="none"/>
          <w:lang w:val="en-US" w:eastAsia="zh-CN"/>
        </w:rPr>
        <w:br w:type="page"/>
      </w:r>
    </w:p>
    <w:p w14:paraId="6392D719">
      <w:pPr>
        <w:pStyle w:val="2"/>
        <w:bidi w:val="0"/>
        <w:rPr>
          <w:rFonts w:hint="eastAsia"/>
          <w:color w:val="auto"/>
          <w:highlight w:val="none"/>
          <w:lang w:val="en-US" w:eastAsia="zh-CN"/>
        </w:rPr>
      </w:pPr>
      <w:r>
        <w:rPr>
          <w:rFonts w:hint="eastAsia"/>
          <w:color w:val="auto"/>
          <w:highlight w:val="none"/>
          <w:lang w:val="en-US" w:eastAsia="zh-CN"/>
        </w:rPr>
        <w:t>第二章 供应商须知前附表</w:t>
      </w:r>
    </w:p>
    <w:tbl>
      <w:tblPr>
        <w:tblStyle w:val="2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65"/>
        <w:gridCol w:w="7020"/>
      </w:tblGrid>
      <w:tr w14:paraId="51D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7EBBAE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A3A6AD">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 目</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A658F58">
            <w:pPr>
              <w:spacing w:line="360" w:lineRule="auto"/>
              <w:jc w:val="center"/>
              <w:rPr>
                <w:rFonts w:hint="eastAsia" w:ascii="宋体"/>
                <w:color w:val="auto"/>
                <w:sz w:val="24"/>
                <w:highlight w:val="none"/>
              </w:rPr>
            </w:pPr>
            <w:r>
              <w:rPr>
                <w:rFonts w:hint="eastAsia" w:ascii="宋体" w:hAnsi="宋体" w:cs="宋体"/>
                <w:color w:val="auto"/>
                <w:sz w:val="24"/>
                <w:highlight w:val="none"/>
              </w:rPr>
              <w:t>内   容</w:t>
            </w:r>
          </w:p>
        </w:tc>
      </w:tr>
      <w:tr w14:paraId="4BE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6A15F7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306DE0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名称及编号</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225124">
            <w:pPr>
              <w:spacing w:line="400" w:lineRule="exac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标项</w:t>
            </w:r>
            <w:r>
              <w:rPr>
                <w:rFonts w:hint="eastAsia" w:ascii="宋体" w:hAnsi="宋体" w:cs="宋体"/>
                <w:b w:val="0"/>
                <w:bCs w:val="0"/>
                <w:color w:val="auto"/>
                <w:sz w:val="24"/>
                <w:highlight w:val="none"/>
              </w:rPr>
              <w:t>名称：</w:t>
            </w:r>
            <w:r>
              <w:rPr>
                <w:rFonts w:hint="eastAsia" w:ascii="宋体" w:hAnsi="宋体" w:eastAsia="宋体" w:cs="宋体"/>
                <w:color w:val="auto"/>
                <w:sz w:val="24"/>
                <w:szCs w:val="24"/>
                <w:highlight w:val="none"/>
                <w:lang w:val="en-US" w:eastAsia="zh-CN"/>
              </w:rPr>
              <w:t>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年主副食品配送服务采购项目（裕民大队及其所属基层单位）</w:t>
            </w:r>
          </w:p>
          <w:p w14:paraId="5585E9B8">
            <w:pPr>
              <w:spacing w:line="400" w:lineRule="exact"/>
              <w:rPr>
                <w:rFonts w:hint="eastAsia" w:ascii="宋体" w:hAnsi="宋体" w:eastAsia="宋体"/>
                <w:color w:val="auto"/>
                <w:sz w:val="24"/>
                <w:highlight w:val="none"/>
                <w:lang w:val="en-US" w:eastAsia="zh-CN"/>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编号：XJYS-2026-FW-023</w:t>
            </w:r>
            <w:r>
              <w:rPr>
                <w:rFonts w:hint="eastAsia" w:ascii="宋体" w:hAnsi="宋体" w:cs="宋体"/>
                <w:color w:val="auto"/>
                <w:sz w:val="24"/>
                <w:highlight w:val="none"/>
                <w:lang w:val="en-US" w:eastAsia="zh-CN"/>
              </w:rPr>
              <w:t>（3）</w:t>
            </w:r>
          </w:p>
        </w:tc>
      </w:tr>
      <w:tr w14:paraId="21B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A1DD2A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799D59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04017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名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称：塔城边境管理支队</w:t>
            </w:r>
          </w:p>
          <w:p w14:paraId="76E92432">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址：塔城市新南街128号</w:t>
            </w:r>
          </w:p>
          <w:p w14:paraId="2C863AC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lang w:eastAsia="zh-CN"/>
              </w:rPr>
              <w:t>警官</w:t>
            </w:r>
          </w:p>
          <w:p w14:paraId="4D69766C">
            <w:pPr>
              <w:spacing w:line="400" w:lineRule="exact"/>
              <w:rPr>
                <w:rFonts w:hint="eastAsia" w:ascii="宋体" w:eastAsia="宋体" w:cs="宋体"/>
                <w:bCs/>
                <w:color w:val="auto"/>
                <w:kern w:val="0"/>
                <w:sz w:val="24"/>
                <w:highlight w:val="none"/>
                <w:lang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09016244185</w:t>
            </w:r>
          </w:p>
        </w:tc>
      </w:tr>
      <w:tr w14:paraId="6E4F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199A72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293EEC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13D541A">
            <w:pPr>
              <w:spacing w:line="400" w:lineRule="exact"/>
              <w:rPr>
                <w:rFonts w:hint="eastAsia" w:ascii="宋体" w:eastAsia="宋体"/>
                <w:color w:val="auto"/>
                <w:sz w:val="24"/>
                <w:highlight w:val="none"/>
                <w:lang w:eastAsia="zh-CN"/>
              </w:rPr>
            </w:pPr>
            <w:r>
              <w:rPr>
                <w:rFonts w:hint="eastAsia" w:ascii="宋体"/>
                <w:color w:val="auto"/>
                <w:sz w:val="24"/>
                <w:highlight w:val="none"/>
              </w:rPr>
              <w:t>名</w:t>
            </w:r>
            <w:r>
              <w:rPr>
                <w:rFonts w:hint="eastAsia" w:ascii="宋体"/>
                <w:color w:val="auto"/>
                <w:sz w:val="24"/>
                <w:highlight w:val="none"/>
                <w:lang w:val="en-US" w:eastAsia="zh-CN"/>
              </w:rPr>
              <w:t xml:space="preserve">  </w:t>
            </w:r>
            <w:r>
              <w:rPr>
                <w:rFonts w:hint="eastAsia" w:ascii="宋体"/>
                <w:color w:val="auto"/>
                <w:sz w:val="24"/>
                <w:highlight w:val="none"/>
              </w:rPr>
              <w:t>称：</w:t>
            </w:r>
            <w:r>
              <w:rPr>
                <w:rFonts w:hint="eastAsia" w:ascii="宋体" w:hAnsi="宋体"/>
                <w:color w:val="auto"/>
                <w:sz w:val="24"/>
                <w:highlight w:val="none"/>
                <w:lang w:val="en-US" w:eastAsia="zh-CN"/>
              </w:rPr>
              <w:t>新疆驿松工程项目管理有限公司</w:t>
            </w:r>
          </w:p>
          <w:p w14:paraId="713AC9D5">
            <w:pPr>
              <w:pStyle w:val="26"/>
              <w:shd w:val="clear" w:color="auto" w:fill="FFFFFF"/>
              <w:spacing w:line="400" w:lineRule="exact"/>
              <w:rPr>
                <w:rFonts w:hint="eastAsia" w:ascii="宋体" w:hAnsi="宋体" w:eastAsia="宋体"/>
                <w:color w:val="auto"/>
                <w:sz w:val="24"/>
                <w:szCs w:val="24"/>
                <w:highlight w:val="none"/>
                <w:lang w:eastAsia="zh-CN"/>
              </w:rPr>
            </w:pPr>
            <w:r>
              <w:rPr>
                <w:rFonts w:hint="eastAsia" w:ascii="宋体"/>
                <w:color w:val="auto"/>
                <w:sz w:val="24"/>
                <w:highlight w:val="none"/>
              </w:rPr>
              <w:t>地</w:t>
            </w:r>
            <w:r>
              <w:rPr>
                <w:rFonts w:hint="eastAsia" w:ascii="宋体"/>
                <w:color w:val="auto"/>
                <w:sz w:val="24"/>
                <w:highlight w:val="none"/>
                <w:lang w:val="en-US" w:eastAsia="zh-CN"/>
              </w:rPr>
              <w:t xml:space="preserve">  </w:t>
            </w:r>
            <w:r>
              <w:rPr>
                <w:rFonts w:hint="eastAsia" w:ascii="宋体"/>
                <w:color w:val="auto"/>
                <w:sz w:val="24"/>
                <w:highlight w:val="none"/>
              </w:rPr>
              <w:t>址：</w:t>
            </w:r>
            <w:r>
              <w:rPr>
                <w:rFonts w:hint="eastAsia" w:ascii="宋体" w:hAnsi="宋体"/>
                <w:color w:val="auto"/>
                <w:sz w:val="24"/>
                <w:szCs w:val="24"/>
                <w:highlight w:val="none"/>
                <w:lang w:eastAsia="zh-CN"/>
              </w:rPr>
              <w:t xml:space="preserve">新疆塔城地区塔城市昌南国际12号楼二楼201 </w:t>
            </w:r>
          </w:p>
          <w:p w14:paraId="28C01F0C">
            <w:pPr>
              <w:spacing w:line="400" w:lineRule="exact"/>
              <w:rPr>
                <w:rFonts w:hint="default" w:ascii="宋体"/>
                <w:color w:val="auto"/>
                <w:sz w:val="24"/>
                <w:highlight w:val="none"/>
                <w:lang w:val="en-US" w:eastAsia="zh-CN"/>
              </w:rPr>
            </w:pPr>
            <w:r>
              <w:rPr>
                <w:rFonts w:hint="eastAsia" w:ascii="宋体"/>
                <w:color w:val="auto"/>
                <w:sz w:val="24"/>
                <w:highlight w:val="none"/>
              </w:rPr>
              <w:t>联 系 人：</w:t>
            </w:r>
            <w:r>
              <w:rPr>
                <w:rFonts w:hint="eastAsia" w:ascii="宋体"/>
                <w:color w:val="auto"/>
                <w:sz w:val="24"/>
                <w:highlight w:val="none"/>
                <w:lang w:val="en-US" w:eastAsia="zh-CN"/>
              </w:rPr>
              <w:t>刘工</w:t>
            </w:r>
          </w:p>
          <w:p w14:paraId="55736762">
            <w:pPr>
              <w:spacing w:line="400" w:lineRule="exact"/>
              <w:rPr>
                <w:rFonts w:hint="default" w:ascii="宋体" w:eastAsiaTheme="minorEastAsia"/>
                <w:color w:val="auto"/>
                <w:sz w:val="24"/>
                <w:highlight w:val="none"/>
                <w:lang w:val="en-US" w:eastAsia="zh-CN"/>
              </w:rPr>
            </w:pPr>
            <w:r>
              <w:rPr>
                <w:rFonts w:hint="eastAsia" w:ascii="宋体"/>
                <w:color w:val="auto"/>
                <w:sz w:val="24"/>
                <w:highlight w:val="none"/>
              </w:rPr>
              <w:t>电    话：</w:t>
            </w:r>
            <w:r>
              <w:rPr>
                <w:rFonts w:hint="eastAsia" w:ascii="宋体"/>
                <w:color w:val="auto"/>
                <w:sz w:val="24"/>
                <w:highlight w:val="none"/>
                <w:lang w:val="en-US" w:eastAsia="zh-CN"/>
              </w:rPr>
              <w:t>15276065666</w:t>
            </w:r>
          </w:p>
        </w:tc>
      </w:tr>
      <w:tr w14:paraId="6AEE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B09CFF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49CC82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697EBE">
            <w:pPr>
              <w:spacing w:line="400" w:lineRule="exact"/>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一般公共预算资金</w:t>
            </w:r>
          </w:p>
        </w:tc>
      </w:tr>
      <w:tr w14:paraId="6EC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FD621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D9338B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B752B78">
            <w:pPr>
              <w:widowControl/>
              <w:spacing w:line="400" w:lineRule="exact"/>
              <w:rPr>
                <w:rFonts w:hint="eastAsia" w:ascii="宋体" w:hAnsi="宋体"/>
                <w:color w:val="auto"/>
                <w:sz w:val="24"/>
                <w:highlight w:val="none"/>
              </w:rPr>
            </w:pPr>
            <w:r>
              <w:rPr>
                <w:rFonts w:hint="eastAsia" w:ascii="宋体" w:hAnsi="宋体"/>
                <w:color w:val="auto"/>
                <w:sz w:val="24"/>
                <w:highlight w:val="none"/>
                <w:lang w:val="en-US" w:eastAsia="zh-CN"/>
              </w:rPr>
              <w:t>173</w:t>
            </w:r>
            <w:r>
              <w:rPr>
                <w:rFonts w:hint="eastAsia" w:ascii="宋体" w:hAnsi="宋体"/>
                <w:color w:val="auto"/>
                <w:sz w:val="24"/>
                <w:highlight w:val="none"/>
              </w:rPr>
              <w:t>万元</w:t>
            </w:r>
          </w:p>
        </w:tc>
      </w:tr>
      <w:tr w14:paraId="666A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E4839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B5860D4">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采购内容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0FB422B">
            <w:pPr>
              <w:spacing w:line="400" w:lineRule="exact"/>
              <w:rPr>
                <w:rFonts w:hint="eastAsia" w:ascii="宋体" w:hAnsi="宋体" w:cs="仿宋"/>
                <w:color w:val="auto"/>
                <w:sz w:val="24"/>
                <w:highlight w:val="none"/>
              </w:rPr>
            </w:pPr>
            <w:r>
              <w:rPr>
                <w:rFonts w:hint="eastAsia" w:ascii="宋体" w:eastAsia="宋体" w:cs="Times New Roman"/>
                <w:b w:val="0"/>
                <w:bCs w:val="0"/>
                <w:color w:val="auto"/>
                <w:sz w:val="24"/>
                <w:highlight w:val="none"/>
                <w:lang w:val="en-US" w:eastAsia="zh-CN"/>
              </w:rPr>
              <w:t>裕民大队及其所属基层单位的主副食品配送：包括但不限于米、面、油、调料、蔬菜、水果、牛羊肉、猪肉、鱼、蛋、禽类等主副食品。</w:t>
            </w:r>
          </w:p>
        </w:tc>
      </w:tr>
      <w:tr w14:paraId="70E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B6AEC9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46F60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438A76F">
            <w:pPr>
              <w:spacing w:line="400" w:lineRule="exact"/>
              <w:rPr>
                <w:rFonts w:hint="eastAsia" w:ascii="宋体"/>
                <w:color w:val="auto"/>
                <w:sz w:val="24"/>
                <w:highlight w:val="none"/>
              </w:rPr>
            </w:pPr>
            <w:r>
              <w:rPr>
                <w:rFonts w:hint="eastAsia" w:ascii="宋体"/>
                <w:color w:val="auto"/>
                <w:sz w:val="24"/>
                <w:highlight w:val="none"/>
              </w:rPr>
              <w:t>公开招标</w:t>
            </w:r>
          </w:p>
        </w:tc>
      </w:tr>
      <w:tr w14:paraId="6DAC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D09A4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B3A96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F9A7974">
            <w:pPr>
              <w:spacing w:line="400" w:lineRule="exact"/>
              <w:rPr>
                <w:rFonts w:hint="eastAsia" w:ascii="宋体" w:eastAsia="宋体"/>
                <w:color w:val="auto"/>
                <w:sz w:val="24"/>
                <w:highlight w:val="none"/>
                <w:lang w:eastAsia="zh-CN"/>
              </w:rPr>
            </w:pPr>
            <w:r>
              <w:rPr>
                <w:rFonts w:hint="eastAsia" w:ascii="宋体"/>
                <w:color w:val="auto"/>
                <w:sz w:val="24"/>
                <w:highlight w:val="none"/>
              </w:rPr>
              <w:t>符合国家及行业相关标准。</w:t>
            </w:r>
          </w:p>
        </w:tc>
      </w:tr>
      <w:tr w14:paraId="1582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1B375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AD34F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88B6000">
            <w:pPr>
              <w:spacing w:line="40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按供货周期结算货款，最终以甲乙双方在采购合同中约定的方式</w:t>
            </w:r>
          </w:p>
          <w:p w14:paraId="7223EEA6">
            <w:pPr>
              <w:spacing w:line="400" w:lineRule="exact"/>
              <w:rPr>
                <w:rFonts w:hint="default" w:ascii="宋体" w:eastAsia="宋体"/>
                <w:color w:val="auto"/>
                <w:sz w:val="24"/>
                <w:highlight w:val="none"/>
                <w:lang w:val="en-US" w:eastAsia="zh-CN"/>
              </w:rPr>
            </w:pPr>
            <w:r>
              <w:rPr>
                <w:rFonts w:hint="eastAsia" w:ascii="宋体"/>
                <w:b/>
                <w:bCs/>
                <w:color w:val="auto"/>
                <w:sz w:val="24"/>
                <w:highlight w:val="none"/>
                <w:lang w:val="en-US" w:eastAsia="zh-CN"/>
              </w:rPr>
              <w:t>为准。</w:t>
            </w:r>
          </w:p>
        </w:tc>
      </w:tr>
      <w:tr w14:paraId="009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B1A9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03177F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交货及完成期</w:t>
            </w:r>
          </w:p>
        </w:tc>
        <w:tc>
          <w:tcPr>
            <w:tcW w:w="7020" w:type="dxa"/>
            <w:tcBorders>
              <w:top w:val="single" w:color="auto" w:sz="4" w:space="0"/>
              <w:left w:val="single" w:color="auto" w:sz="4" w:space="0"/>
              <w:bottom w:val="single" w:color="auto" w:sz="4" w:space="0"/>
              <w:right w:val="single" w:color="auto" w:sz="4" w:space="0"/>
            </w:tcBorders>
            <w:noWrap w:val="0"/>
            <w:vAlign w:val="top"/>
          </w:tcPr>
          <w:p w14:paraId="7B82DFDB">
            <w:pPr>
              <w:spacing w:line="400" w:lineRule="exact"/>
              <w:rPr>
                <w:rFonts w:hint="eastAsia" w:ascii="宋体"/>
                <w:color w:val="auto"/>
                <w:sz w:val="24"/>
                <w:highlight w:val="none"/>
              </w:rPr>
            </w:pPr>
            <w:r>
              <w:rPr>
                <w:rFonts w:hint="eastAsia" w:ascii="宋体"/>
                <w:b/>
                <w:bCs/>
                <w:color w:val="auto"/>
                <w:sz w:val="24"/>
                <w:highlight w:val="none"/>
                <w:lang w:val="en-US" w:eastAsia="zh-CN"/>
              </w:rPr>
              <w:t>自合同签订之日起一年。</w:t>
            </w:r>
          </w:p>
        </w:tc>
      </w:tr>
      <w:tr w14:paraId="1CC4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1D835E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50B11A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E8FC347">
            <w:pPr>
              <w:spacing w:line="400" w:lineRule="exact"/>
              <w:rPr>
                <w:rFonts w:hint="eastAsia" w:ascii="宋体"/>
                <w:color w:val="auto"/>
                <w:sz w:val="24"/>
                <w:highlight w:val="none"/>
              </w:rPr>
            </w:pPr>
            <w:r>
              <w:rPr>
                <w:rFonts w:hint="eastAsia" w:ascii="宋体"/>
                <w:color w:val="auto"/>
                <w:sz w:val="24"/>
                <w:highlight w:val="none"/>
                <w:lang w:val="en-US" w:eastAsia="zh-CN"/>
              </w:rPr>
              <w:t>采购人</w:t>
            </w:r>
            <w:r>
              <w:rPr>
                <w:rFonts w:hint="eastAsia" w:ascii="宋体"/>
                <w:color w:val="auto"/>
                <w:sz w:val="24"/>
                <w:highlight w:val="none"/>
              </w:rPr>
              <w:t>指定地点。</w:t>
            </w:r>
          </w:p>
        </w:tc>
      </w:tr>
      <w:tr w14:paraId="5E8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9F868D9">
            <w:pPr>
              <w:spacing w:line="360" w:lineRule="auto"/>
              <w:jc w:val="center"/>
              <w:rPr>
                <w:rFonts w:hint="eastAsia" w:ascii="宋体"/>
                <w:color w:val="auto"/>
                <w:sz w:val="24"/>
                <w:highlight w:val="none"/>
              </w:rPr>
            </w:pPr>
            <w:r>
              <w:rPr>
                <w:rFonts w:hint="eastAsia" w:ascii="宋体"/>
                <w:color w:val="auto"/>
                <w:sz w:val="24"/>
                <w:highlight w:val="none"/>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D170D7">
            <w:pPr>
              <w:spacing w:line="360" w:lineRule="auto"/>
              <w:jc w:val="center"/>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资格</w:t>
            </w:r>
          </w:p>
          <w:p w14:paraId="23EE19B2">
            <w:pPr>
              <w:spacing w:line="360" w:lineRule="auto"/>
              <w:jc w:val="center"/>
              <w:rPr>
                <w:rFonts w:hint="eastAsia" w:ascii="宋体"/>
                <w:color w:val="auto"/>
                <w:sz w:val="24"/>
                <w:highlight w:val="none"/>
              </w:rPr>
            </w:pPr>
            <w:r>
              <w:rPr>
                <w:rFonts w:hint="eastAsia" w:ascii="宋体"/>
                <w:color w:val="auto"/>
                <w:sz w:val="24"/>
                <w:highlight w:val="none"/>
              </w:rPr>
              <w:t>证明文件</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2BF6271">
            <w:pPr>
              <w:pStyle w:val="27"/>
              <w:ind w:firstLine="0"/>
              <w:rPr>
                <w:rFonts w:hint="eastAsia"/>
                <w:color w:val="auto"/>
                <w:highlight w:val="none"/>
              </w:rPr>
            </w:pPr>
            <w:r>
              <w:rPr>
                <w:rFonts w:hint="eastAsia"/>
                <w:color w:val="auto"/>
                <w:highlight w:val="none"/>
              </w:rPr>
              <w:t xml:space="preserve">1 、须符合《中华人民共和国政府采购法》第 22 条规定： </w:t>
            </w:r>
          </w:p>
          <w:p w14:paraId="26E849AF">
            <w:pPr>
              <w:pStyle w:val="27"/>
              <w:ind w:firstLine="0"/>
              <w:rPr>
                <w:rFonts w:hint="eastAsia"/>
                <w:color w:val="auto"/>
                <w:highlight w:val="none"/>
              </w:rPr>
            </w:pPr>
            <w:r>
              <w:rPr>
                <w:rFonts w:hint="eastAsia"/>
                <w:color w:val="auto"/>
                <w:highlight w:val="none"/>
              </w:rPr>
              <w:t>（1）具有独立承担民事责任的能力的供应商；</w:t>
            </w:r>
          </w:p>
          <w:p w14:paraId="2FBBFB22">
            <w:pPr>
              <w:pStyle w:val="27"/>
              <w:ind w:firstLine="0"/>
              <w:rPr>
                <w:rFonts w:hint="eastAsia"/>
                <w:color w:val="auto"/>
                <w:highlight w:val="none"/>
              </w:rPr>
            </w:pPr>
            <w:r>
              <w:rPr>
                <w:rFonts w:hint="eastAsia"/>
                <w:color w:val="auto"/>
                <w:highlight w:val="none"/>
              </w:rPr>
              <w:t>（2）具有良好的商业信誉和健全的财务会计制度；</w:t>
            </w:r>
          </w:p>
          <w:p w14:paraId="701D0AC2">
            <w:pPr>
              <w:pStyle w:val="27"/>
              <w:ind w:firstLine="0"/>
              <w:rPr>
                <w:rFonts w:hint="eastAsia"/>
                <w:color w:val="auto"/>
                <w:highlight w:val="none"/>
              </w:rPr>
            </w:pPr>
            <w:r>
              <w:rPr>
                <w:rFonts w:hint="eastAsia"/>
                <w:color w:val="auto"/>
                <w:highlight w:val="none"/>
              </w:rPr>
              <w:t>（3）具有履行合同所必需的设备和专业技术能力；</w:t>
            </w:r>
          </w:p>
          <w:p w14:paraId="0AE6326A">
            <w:pPr>
              <w:pStyle w:val="27"/>
              <w:ind w:firstLine="0"/>
              <w:rPr>
                <w:rFonts w:hint="eastAsia"/>
                <w:color w:val="auto"/>
                <w:highlight w:val="none"/>
              </w:rPr>
            </w:pPr>
            <w:r>
              <w:rPr>
                <w:rFonts w:hint="eastAsia"/>
                <w:color w:val="auto"/>
                <w:highlight w:val="none"/>
              </w:rPr>
              <w:t>（4）有依法缴纳税收和社会保障资金的良好记录；</w:t>
            </w:r>
          </w:p>
          <w:p w14:paraId="15BB641C">
            <w:pPr>
              <w:pStyle w:val="27"/>
              <w:ind w:firstLine="0"/>
              <w:rPr>
                <w:rFonts w:hint="eastAsia"/>
                <w:color w:val="auto"/>
                <w:highlight w:val="none"/>
              </w:rPr>
            </w:pPr>
            <w:r>
              <w:rPr>
                <w:rFonts w:hint="eastAsia"/>
                <w:color w:val="auto"/>
                <w:highlight w:val="none"/>
              </w:rPr>
              <w:t>（5）参加本次采购活动前三年内，在经营活动中没有重大违法记录；</w:t>
            </w:r>
          </w:p>
          <w:p w14:paraId="66FB1D56">
            <w:pPr>
              <w:pStyle w:val="27"/>
              <w:ind w:firstLine="0"/>
              <w:rPr>
                <w:rFonts w:hint="eastAsia"/>
                <w:color w:val="auto"/>
                <w:highlight w:val="none"/>
              </w:rPr>
            </w:pPr>
            <w:r>
              <w:rPr>
                <w:rFonts w:hint="eastAsia"/>
                <w:color w:val="auto"/>
                <w:highlight w:val="none"/>
              </w:rPr>
              <w:t>（6）法律、行政法规规定的其他条件。</w:t>
            </w:r>
          </w:p>
          <w:p w14:paraId="77CFF808">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2、在中华人民共和国境内注册，有能力提供本项目全部产品及服务能力的</w:t>
            </w:r>
            <w:r>
              <w:rPr>
                <w:rFonts w:hint="eastAsia"/>
                <w:color w:val="auto"/>
                <w:highlight w:val="none"/>
                <w:lang w:val="en-US" w:eastAsia="zh-CN"/>
              </w:rPr>
              <w:t>供应商</w:t>
            </w:r>
            <w:r>
              <w:rPr>
                <w:rFonts w:hint="eastAsia"/>
                <w:color w:val="auto"/>
                <w:highlight w:val="none"/>
              </w:rPr>
              <w:t xml:space="preserve"> </w:t>
            </w:r>
            <w:r>
              <w:rPr>
                <w:rFonts w:hint="eastAsia"/>
                <w:color w:val="auto"/>
                <w:highlight w:val="none"/>
                <w:lang w:eastAsia="zh-CN"/>
              </w:rPr>
              <w:t>，</w:t>
            </w:r>
            <w:r>
              <w:rPr>
                <w:rFonts w:hint="eastAsia"/>
                <w:color w:val="auto"/>
                <w:highlight w:val="none"/>
              </w:rPr>
              <w:t>未在“信用中国”网 站（www.creditchina.gov.cn ）、中国政府采购网（www.ccgp.gov.cn）等渠道列入失信被执行人、重大税收违法案件当事人名单、政府采购严重违法失信行为记录名单。</w:t>
            </w:r>
          </w:p>
          <w:p w14:paraId="425E9436">
            <w:pPr>
              <w:pStyle w:val="27"/>
              <w:ind w:firstLine="0"/>
              <w:rPr>
                <w:rFonts w:hint="eastAsia"/>
                <w:color w:val="auto"/>
                <w:highlight w:val="none"/>
              </w:rPr>
            </w:pPr>
            <w:r>
              <w:rPr>
                <w:rFonts w:hint="eastAsia"/>
                <w:color w:val="auto"/>
                <w:highlight w:val="none"/>
              </w:rPr>
              <w:t>3、单位负责人为同一人或者存在直接控股、管理关系的不同供应商，不得参加同一合同项下的政府采购活动。</w:t>
            </w:r>
          </w:p>
          <w:p w14:paraId="3193A0DA">
            <w:pPr>
              <w:pStyle w:val="27"/>
              <w:ind w:firstLine="0"/>
              <w:rPr>
                <w:rFonts w:hint="eastAsia"/>
                <w:color w:val="auto"/>
                <w:highlight w:val="none"/>
              </w:rPr>
            </w:pPr>
            <w:r>
              <w:rPr>
                <w:rFonts w:hint="eastAsia"/>
                <w:color w:val="auto"/>
                <w:highlight w:val="none"/>
              </w:rPr>
              <w:t>4、本项目的特定资格要求：提供有效期内的《食品经营许可证》。</w:t>
            </w:r>
          </w:p>
          <w:p w14:paraId="6E13DCB4">
            <w:pPr>
              <w:pStyle w:val="27"/>
              <w:ind w:firstLine="0"/>
              <w:rPr>
                <w:rFonts w:hint="eastAsia"/>
                <w:color w:val="auto"/>
                <w:highlight w:val="none"/>
              </w:rPr>
            </w:pPr>
            <w:r>
              <w:rPr>
                <w:rFonts w:hint="eastAsia"/>
                <w:color w:val="auto"/>
                <w:highlight w:val="none"/>
              </w:rPr>
              <w:t>5 、本项目不接受联合体投标。</w:t>
            </w:r>
          </w:p>
        </w:tc>
      </w:tr>
      <w:tr w14:paraId="7D0B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A9FB52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0C96FC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6DEA280">
            <w:pPr>
              <w:spacing w:line="400" w:lineRule="exact"/>
              <w:rPr>
                <w:rFonts w:hint="eastAsia" w:ascii="宋体"/>
                <w:color w:val="auto"/>
                <w:sz w:val="24"/>
                <w:highlight w:val="none"/>
              </w:rPr>
            </w:pPr>
            <w:r>
              <w:rPr>
                <w:rFonts w:hint="eastAsia" w:ascii="宋体"/>
                <w:color w:val="auto"/>
                <w:sz w:val="24"/>
                <w:highlight w:val="none"/>
              </w:rPr>
              <w:t>自投标截止之日起90个日历日</w:t>
            </w:r>
          </w:p>
        </w:tc>
      </w:tr>
      <w:tr w14:paraId="369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42853D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B2CECC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3DEC39">
            <w:pPr>
              <w:spacing w:line="400" w:lineRule="exact"/>
              <w:rPr>
                <w:rFonts w:hint="eastAsia" w:ascii="宋体"/>
                <w:color w:val="auto"/>
                <w:sz w:val="24"/>
                <w:highlight w:val="none"/>
              </w:rPr>
            </w:pPr>
            <w:r>
              <w:rPr>
                <w:rFonts w:hint="eastAsia" w:ascii="宋体"/>
                <w:color w:val="auto"/>
                <w:sz w:val="24"/>
                <w:highlight w:val="none"/>
              </w:rPr>
              <w:t>综合评分法</w:t>
            </w:r>
          </w:p>
        </w:tc>
      </w:tr>
      <w:tr w14:paraId="7D1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0E6E8E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D1621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C438CCC">
            <w:pPr>
              <w:spacing w:line="400" w:lineRule="exact"/>
              <w:rPr>
                <w:rFonts w:hint="eastAsia" w:ascii="宋体"/>
                <w:color w:val="auto"/>
                <w:sz w:val="24"/>
                <w:highlight w:val="none"/>
              </w:rPr>
            </w:pPr>
            <w:r>
              <w:rPr>
                <w:rFonts w:hint="eastAsia" w:ascii="宋体"/>
                <w:color w:val="auto"/>
                <w:sz w:val="24"/>
                <w:highlight w:val="none"/>
              </w:rPr>
              <w:t>资格后审</w:t>
            </w:r>
          </w:p>
        </w:tc>
      </w:tr>
      <w:tr w14:paraId="32C1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5066D0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9FF63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B9C1FE3">
            <w:pPr>
              <w:spacing w:line="5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评标委员会构成：</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人</w:t>
            </w:r>
            <w:r>
              <w:rPr>
                <w:rFonts w:hint="eastAsia" w:ascii="宋体" w:hAnsi="宋体" w:cs="宋体"/>
                <w:b/>
                <w:bCs/>
                <w:color w:val="auto"/>
                <w:sz w:val="24"/>
                <w:highlight w:val="none"/>
                <w:u w:val="single"/>
                <w:lang w:val="en-US" w:eastAsia="zh-CN"/>
              </w:rPr>
              <w:t>其中抽取专家6人，甲方代表1人</w:t>
            </w:r>
          </w:p>
        </w:tc>
      </w:tr>
      <w:tr w14:paraId="01EC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FE607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231DC93">
            <w:pPr>
              <w:spacing w:line="440" w:lineRule="exact"/>
              <w:jc w:val="center"/>
              <w:rPr>
                <w:rFonts w:hint="eastAsia" w:ascii="宋体"/>
                <w:color w:val="auto"/>
                <w:sz w:val="24"/>
                <w:highlight w:val="none"/>
              </w:rPr>
            </w:pPr>
            <w:r>
              <w:rPr>
                <w:rFonts w:hint="eastAsia" w:ascii="宋体"/>
                <w:color w:val="auto"/>
                <w:sz w:val="24"/>
                <w:highlight w:val="none"/>
              </w:rPr>
              <w:t>投标截止时间（开标时间）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4516F1D">
            <w:pPr>
              <w:spacing w:line="500" w:lineRule="exact"/>
              <w:rPr>
                <w:rFonts w:hint="eastAsia" w:ascii="宋体"/>
                <w:color w:val="auto"/>
                <w:sz w:val="24"/>
                <w:highlight w:val="none"/>
              </w:rPr>
            </w:pP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rPr>
              <w:t>年</w:t>
            </w:r>
            <w:r>
              <w:rPr>
                <w:rFonts w:hint="eastAsia" w:ascii="宋体" w:hAnsi="宋体" w:cs="宋体"/>
                <w:b/>
                <w:color w:val="auto"/>
                <w:sz w:val="24"/>
                <w:highlight w:val="none"/>
                <w:u w:val="single"/>
                <w:lang w:val="en-US" w:eastAsia="zh-CN"/>
              </w:rPr>
              <w:t xml:space="preserve"> 06</w:t>
            </w:r>
            <w:r>
              <w:rPr>
                <w:rFonts w:hint="eastAsia" w:ascii="宋体" w:hAnsi="宋体" w:cs="宋体"/>
                <w:b/>
                <w:color w:val="auto"/>
                <w:sz w:val="24"/>
                <w:highlight w:val="none"/>
              </w:rPr>
              <w:t>月</w:t>
            </w:r>
            <w:r>
              <w:rPr>
                <w:rFonts w:hint="eastAsia" w:ascii="宋体" w:hAnsi="宋体" w:cs="宋体"/>
                <w:b/>
                <w:color w:val="auto"/>
                <w:sz w:val="24"/>
                <w:highlight w:val="none"/>
                <w:u w:val="single"/>
                <w:lang w:val="en-US" w:eastAsia="zh-CN"/>
              </w:rPr>
              <w:t xml:space="preserve"> 09 </w:t>
            </w:r>
            <w:r>
              <w:rPr>
                <w:rFonts w:hint="eastAsia" w:ascii="宋体" w:hAnsi="宋体" w:cs="宋体"/>
                <w:b/>
                <w:color w:val="auto"/>
                <w:sz w:val="24"/>
                <w:highlight w:val="none"/>
              </w:rPr>
              <w:t>日</w:t>
            </w:r>
            <w:r>
              <w:rPr>
                <w:rFonts w:hint="eastAsia" w:ascii="宋体" w:hAnsi="宋体" w:cs="宋体"/>
                <w:b/>
                <w:color w:val="auto"/>
                <w:sz w:val="24"/>
                <w:highlight w:val="none"/>
                <w:u w:val="single"/>
                <w:lang w:val="en-US" w:eastAsia="zh-CN"/>
              </w:rPr>
              <w:t xml:space="preserve"> 10:30 </w:t>
            </w:r>
            <w:r>
              <w:rPr>
                <w:rFonts w:hint="eastAsia" w:ascii="宋体" w:hAnsi="宋体" w:cs="宋体"/>
                <w:bCs/>
                <w:color w:val="auto"/>
                <w:sz w:val="24"/>
                <w:highlight w:val="none"/>
              </w:rPr>
              <w:t>（北京时间）</w:t>
            </w:r>
          </w:p>
        </w:tc>
      </w:tr>
      <w:tr w14:paraId="0A2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FCEFC0">
            <w:pPr>
              <w:spacing w:line="360" w:lineRule="auto"/>
              <w:jc w:val="center"/>
              <w:rPr>
                <w:rFonts w:hint="eastAsia" w:ascii="宋体"/>
                <w:color w:val="auto"/>
                <w:sz w:val="24"/>
                <w:highlight w:val="none"/>
              </w:rPr>
            </w:pPr>
            <w:r>
              <w:rPr>
                <w:rFonts w:hint="eastAsia" w:ascii="宋体"/>
                <w:color w:val="auto"/>
                <w:sz w:val="24"/>
                <w:highlight w:val="none"/>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103A3FA">
            <w:pPr>
              <w:spacing w:line="440" w:lineRule="exact"/>
              <w:jc w:val="center"/>
              <w:rPr>
                <w:rFonts w:hint="eastAsia" w:ascii="宋体"/>
                <w:color w:val="auto"/>
                <w:sz w:val="24"/>
                <w:highlight w:val="none"/>
              </w:rPr>
            </w:pPr>
            <w:r>
              <w:rPr>
                <w:rFonts w:hint="eastAsia" w:ascii="宋体"/>
                <w:color w:val="auto"/>
                <w:sz w:val="24"/>
                <w:highlight w:val="none"/>
              </w:rPr>
              <w:t>投标文件的递交</w:t>
            </w:r>
          </w:p>
          <w:p w14:paraId="0F24DD3D">
            <w:pPr>
              <w:spacing w:line="440" w:lineRule="exact"/>
              <w:jc w:val="center"/>
              <w:rPr>
                <w:rFonts w:hint="eastAsia" w:ascii="宋体"/>
                <w:color w:val="auto"/>
                <w:sz w:val="24"/>
                <w:highlight w:val="none"/>
              </w:rPr>
            </w:pPr>
            <w:r>
              <w:rPr>
                <w:rFonts w:hint="eastAsia" w:ascii="宋体"/>
                <w:color w:val="auto"/>
                <w:sz w:val="24"/>
                <w:highlight w:val="none"/>
              </w:rPr>
              <w:t>及开标地点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9AE2079">
            <w:pPr>
              <w:pStyle w:val="26"/>
              <w:shd w:val="clear" w:color="auto" w:fill="FFFFFF"/>
              <w:spacing w:line="360" w:lineRule="auto"/>
              <w:rPr>
                <w:rFonts w:hint="eastAsia" w:ascii="宋体" w:hAnsi="宋体"/>
                <w:color w:val="auto"/>
                <w:sz w:val="24"/>
                <w:szCs w:val="24"/>
                <w:highlight w:val="none"/>
              </w:rPr>
            </w:pPr>
            <w:bookmarkStart w:id="14" w:name="_Toc29131"/>
            <w:r>
              <w:rPr>
                <w:rFonts w:hint="eastAsia" w:ascii="宋体" w:hAnsi="宋体"/>
                <w:color w:val="auto"/>
                <w:sz w:val="24"/>
                <w:szCs w:val="24"/>
                <w:highlight w:val="none"/>
              </w:rPr>
              <w:t>提交时间：同投标截止时间</w:t>
            </w:r>
            <w:bookmarkEnd w:id="14"/>
          </w:p>
          <w:p w14:paraId="0685079E">
            <w:pPr>
              <w:pStyle w:val="26"/>
              <w:shd w:val="clear" w:color="auto" w:fill="FFFFFF"/>
              <w:spacing w:line="360" w:lineRule="auto"/>
              <w:rPr>
                <w:rFonts w:hint="eastAsia" w:ascii="宋体" w:hAnsi="宋体"/>
                <w:color w:val="auto"/>
                <w:sz w:val="24"/>
                <w:szCs w:val="24"/>
                <w:highlight w:val="none"/>
              </w:rPr>
            </w:pPr>
            <w:bookmarkStart w:id="15" w:name="_Toc28083"/>
            <w:r>
              <w:rPr>
                <w:rFonts w:hint="eastAsia" w:ascii="宋体" w:hAnsi="宋体"/>
                <w:color w:val="auto"/>
                <w:sz w:val="24"/>
                <w:szCs w:val="24"/>
                <w:highlight w:val="none"/>
              </w:rPr>
              <w:t>开标地点：政采云远程不见面开标大厅</w:t>
            </w:r>
            <w:bookmarkEnd w:id="15"/>
          </w:p>
          <w:p w14:paraId="45BA0F9F">
            <w:pPr>
              <w:pStyle w:val="26"/>
              <w:shd w:val="clear" w:color="auto" w:fill="FFFFFF"/>
              <w:spacing w:line="360" w:lineRule="auto"/>
              <w:rPr>
                <w:rFonts w:hint="eastAsia" w:ascii="宋体" w:hAnsi="宋体"/>
                <w:color w:val="auto"/>
                <w:sz w:val="24"/>
                <w:szCs w:val="24"/>
                <w:highlight w:val="none"/>
              </w:rPr>
            </w:pPr>
            <w:bookmarkStart w:id="16" w:name="_Toc4915"/>
            <w:r>
              <w:rPr>
                <w:rFonts w:hint="eastAsia" w:ascii="宋体" w:hAnsi="宋体"/>
                <w:color w:val="auto"/>
                <w:sz w:val="24"/>
                <w:szCs w:val="24"/>
                <w:highlight w:val="none"/>
              </w:rPr>
              <w:t>不见面开标默认解密时长：30分钟</w:t>
            </w:r>
            <w:bookmarkEnd w:id="16"/>
          </w:p>
          <w:p w14:paraId="341E5961">
            <w:pPr>
              <w:pStyle w:val="26"/>
              <w:shd w:val="clear" w:color="auto" w:fill="FFFFFF"/>
              <w:spacing w:line="360" w:lineRule="auto"/>
              <w:rPr>
                <w:rFonts w:hint="eastAsia" w:ascii="宋体" w:hAnsi="宋体"/>
                <w:color w:val="auto"/>
                <w:sz w:val="24"/>
                <w:szCs w:val="24"/>
                <w:highlight w:val="none"/>
              </w:rPr>
            </w:pPr>
            <w:bookmarkStart w:id="17" w:name="_Toc23541"/>
            <w:r>
              <w:rPr>
                <w:rFonts w:hint="eastAsia" w:ascii="宋体" w:hAnsi="宋体"/>
                <w:color w:val="auto"/>
                <w:sz w:val="24"/>
                <w:szCs w:val="24"/>
                <w:highlight w:val="none"/>
              </w:rPr>
              <w:t>1、本项目采用不见面开标，</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需要递交电子投标文件，将加密的电子投标文件在投标截止时间前通过政采云平台（https://www.zcygov.cn/）上传到指定位置。</w:t>
            </w:r>
            <w:bookmarkEnd w:id="17"/>
          </w:p>
          <w:p w14:paraId="0A75704C">
            <w:pPr>
              <w:pStyle w:val="26"/>
              <w:numPr>
                <w:ilvl w:val="0"/>
                <w:numId w:val="2"/>
              </w:numPr>
              <w:shd w:val="clear" w:color="auto" w:fill="FFFFFF"/>
              <w:spacing w:line="360" w:lineRule="auto"/>
              <w:rPr>
                <w:rFonts w:hint="eastAsia" w:ascii="宋体" w:hAnsi="宋体"/>
                <w:color w:val="auto"/>
                <w:sz w:val="24"/>
                <w:szCs w:val="24"/>
                <w:highlight w:val="none"/>
              </w:rPr>
            </w:pPr>
            <w:bookmarkStart w:id="18" w:name="_Toc11884"/>
            <w:r>
              <w:rPr>
                <w:rFonts w:hint="eastAsia" w:ascii="宋体" w:hAnsi="宋体"/>
                <w:color w:val="auto"/>
                <w:sz w:val="24"/>
                <w:szCs w:val="24"/>
                <w:highlight w:val="none"/>
              </w:rPr>
              <w:t>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无需到达开标现场，仅需通过政采云平台完成远程解密、提疑澄清、开标唱标、结果公布等交互环节。</w:t>
            </w:r>
          </w:p>
          <w:p w14:paraId="3C92CBA6">
            <w:pPr>
              <w:pStyle w:val="26"/>
              <w:numPr>
                <w:ilvl w:val="0"/>
                <w:numId w:val="2"/>
              </w:numPr>
              <w:shd w:val="clear" w:color="auto" w:fill="FFFFFF"/>
              <w:spacing w:line="360" w:lineRule="auto"/>
              <w:rPr>
                <w:rFonts w:hint="eastAsia" w:ascii="宋体"/>
                <w:color w:val="auto"/>
                <w:sz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必须使用能正确解密投标文件的“CA锁”在规定的时间内完成远程解密，因</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原因未能解密、解密失败或解密超时，视为</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已领取副锁（含多把副锁）请注意正副锁的使用差别，务必使用生成投标文件的锁解密）。</w:t>
            </w:r>
            <w:bookmarkEnd w:id="18"/>
          </w:p>
        </w:tc>
      </w:tr>
      <w:tr w14:paraId="309A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447EFC6">
            <w:pPr>
              <w:spacing w:line="360" w:lineRule="auto"/>
              <w:jc w:val="center"/>
              <w:rPr>
                <w:rFonts w:hint="eastAsia" w:ascii="宋体"/>
                <w:color w:val="auto"/>
                <w:sz w:val="24"/>
                <w:highlight w:val="none"/>
              </w:rPr>
            </w:pPr>
            <w:r>
              <w:rPr>
                <w:rFonts w:hint="eastAsia" w:ascii="宋体"/>
                <w:color w:val="auto"/>
                <w:sz w:val="24"/>
                <w:highlight w:val="none"/>
              </w:rPr>
              <w:t>19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8F666B3">
            <w:pPr>
              <w:spacing w:line="360" w:lineRule="auto"/>
              <w:jc w:val="center"/>
              <w:rPr>
                <w:rFonts w:hint="eastAsia" w:ascii="宋体"/>
                <w:color w:val="auto"/>
                <w:sz w:val="24"/>
                <w:highlight w:val="none"/>
              </w:rPr>
            </w:pPr>
            <w:r>
              <w:rPr>
                <w:rFonts w:hint="eastAsia" w:ascii="宋体"/>
                <w:color w:val="auto"/>
                <w:sz w:val="24"/>
                <w:highlight w:val="none"/>
              </w:rPr>
              <w:t>投标保证金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BC3EEAB">
            <w:pPr>
              <w:spacing w:line="460" w:lineRule="exact"/>
              <w:rPr>
                <w:rFonts w:hint="eastAsia" w:ascii="宋体"/>
                <w:b/>
                <w:bCs/>
                <w:color w:val="auto"/>
                <w:sz w:val="24"/>
                <w:highlight w:val="none"/>
              </w:rPr>
            </w:pPr>
            <w:r>
              <w:rPr>
                <w:rFonts w:hint="eastAsia" w:ascii="宋体"/>
                <w:b/>
                <w:bCs/>
                <w:color w:val="auto"/>
                <w:sz w:val="24"/>
                <w:highlight w:val="none"/>
              </w:rPr>
              <w:t>保证金金额：</w:t>
            </w:r>
          </w:p>
          <w:p w14:paraId="1052207E">
            <w:pPr>
              <w:spacing w:line="460" w:lineRule="exact"/>
              <w:rPr>
                <w:rFonts w:hint="eastAsia" w:ascii="宋体"/>
                <w:b/>
                <w:bCs/>
                <w:color w:val="auto"/>
                <w:sz w:val="24"/>
                <w:highlight w:val="none"/>
              </w:rPr>
            </w:pPr>
            <w:r>
              <w:rPr>
                <w:rFonts w:hint="eastAsia" w:ascii="宋体"/>
                <w:b/>
                <w:bCs/>
                <w:color w:val="auto"/>
                <w:sz w:val="24"/>
                <w:highlight w:val="none"/>
                <w:lang w:val="en-US" w:eastAsia="zh-CN"/>
              </w:rPr>
              <w:t>标项一：</w:t>
            </w:r>
            <w:r>
              <w:rPr>
                <w:rFonts w:hint="eastAsia" w:ascii="宋体" w:hAnsi="宋体" w:eastAsia="宋体" w:cs="宋体"/>
                <w:b/>
                <w:bCs/>
                <w:color w:val="auto"/>
                <w:sz w:val="24"/>
                <w:szCs w:val="24"/>
                <w:highlight w:val="none"/>
                <w:lang w:val="en-US" w:eastAsia="zh-CN"/>
              </w:rPr>
              <w:t>110000</w:t>
            </w:r>
            <w:r>
              <w:rPr>
                <w:rFonts w:ascii="宋体" w:hAnsi="宋体" w:eastAsia="宋体" w:cs="宋体"/>
                <w:b/>
                <w:bCs/>
                <w:color w:val="auto"/>
                <w:sz w:val="24"/>
                <w:szCs w:val="24"/>
                <w:highlight w:val="none"/>
              </w:rPr>
              <w:t>元</w:t>
            </w:r>
            <w:r>
              <w:rPr>
                <w:rFonts w:hint="eastAsia" w:ascii="宋体"/>
                <w:b/>
                <w:bCs/>
                <w:color w:val="auto"/>
                <w:sz w:val="24"/>
                <w:highlight w:val="none"/>
              </w:rPr>
              <w:t>（大写：</w:t>
            </w:r>
            <w:r>
              <w:rPr>
                <w:rFonts w:hint="eastAsia" w:ascii="宋体"/>
                <w:b/>
                <w:bCs/>
                <w:color w:val="auto"/>
                <w:sz w:val="24"/>
                <w:highlight w:val="none"/>
                <w:lang w:val="en-US" w:eastAsia="zh-CN"/>
              </w:rPr>
              <w:t>壹拾壹万</w:t>
            </w:r>
            <w:r>
              <w:rPr>
                <w:rFonts w:hint="eastAsia" w:ascii="宋体"/>
                <w:b/>
                <w:bCs/>
                <w:color w:val="auto"/>
                <w:sz w:val="24"/>
                <w:highlight w:val="none"/>
              </w:rPr>
              <w:t>元整）</w:t>
            </w:r>
          </w:p>
          <w:p w14:paraId="4E60E190">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标项二：35000元（大写：叁万伍仟元整）</w:t>
            </w:r>
          </w:p>
          <w:p w14:paraId="75918F25">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标项三：30000元（大写：叁万元整）</w:t>
            </w:r>
          </w:p>
          <w:p w14:paraId="1D564E5B">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标项四：10000元（大写：壹万元整）</w:t>
            </w:r>
          </w:p>
          <w:p w14:paraId="26F4906D">
            <w:pPr>
              <w:spacing w:line="460" w:lineRule="exact"/>
              <w:rPr>
                <w:rFonts w:hint="default" w:ascii="宋体"/>
                <w:b/>
                <w:bCs/>
                <w:color w:val="auto"/>
                <w:sz w:val="24"/>
                <w:highlight w:val="none"/>
                <w:lang w:val="en-US" w:eastAsia="zh-CN"/>
              </w:rPr>
            </w:pPr>
            <w:r>
              <w:rPr>
                <w:rFonts w:hint="eastAsia" w:ascii="宋体"/>
                <w:b/>
                <w:bCs/>
                <w:color w:val="auto"/>
                <w:sz w:val="24"/>
                <w:highlight w:val="none"/>
                <w:lang w:val="en-US" w:eastAsia="zh-CN"/>
              </w:rPr>
              <w:t>标项五：20000元（大写;贰万元整）</w:t>
            </w:r>
          </w:p>
          <w:p w14:paraId="2FFF648B">
            <w:pPr>
              <w:spacing w:line="460" w:lineRule="exact"/>
              <w:rPr>
                <w:rFonts w:hint="eastAsia" w:ascii="宋体"/>
                <w:b/>
                <w:bCs/>
                <w:color w:val="auto"/>
                <w:sz w:val="24"/>
                <w:highlight w:val="none"/>
                <w:lang w:val="zh-CN"/>
              </w:rPr>
            </w:pPr>
            <w:r>
              <w:rPr>
                <w:rFonts w:hint="eastAsia" w:ascii="宋体"/>
                <w:b/>
                <w:bCs/>
                <w:color w:val="auto"/>
                <w:sz w:val="24"/>
                <w:highlight w:val="none"/>
                <w:lang w:val="zh-CN"/>
              </w:rPr>
              <w:t>开户名称：</w:t>
            </w:r>
            <w:r>
              <w:rPr>
                <w:rFonts w:hint="eastAsia" w:ascii="宋体"/>
                <w:b/>
                <w:bCs/>
                <w:color w:val="auto"/>
                <w:sz w:val="24"/>
                <w:highlight w:val="none"/>
                <w:lang w:val="en-US" w:eastAsia="zh-CN"/>
              </w:rPr>
              <w:t xml:space="preserve">新疆驿松工程项目管理有限公司 </w:t>
            </w:r>
            <w:r>
              <w:rPr>
                <w:rFonts w:hint="eastAsia" w:ascii="宋体"/>
                <w:b/>
                <w:bCs/>
                <w:color w:val="auto"/>
                <w:sz w:val="24"/>
                <w:highlight w:val="none"/>
                <w:lang w:val="zh-CN"/>
              </w:rPr>
              <w:t> </w:t>
            </w:r>
          </w:p>
          <w:p w14:paraId="37E86102">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 xml:space="preserve">开户银行：交通银行股份有限公司乌鲁木齐北京路支行 </w:t>
            </w:r>
          </w:p>
          <w:p w14:paraId="76BF09A1">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账号：651651026013000321847</w:t>
            </w:r>
          </w:p>
          <w:p w14:paraId="49C66470">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行号：301881000219</w:t>
            </w:r>
          </w:p>
          <w:p w14:paraId="5AD148F5">
            <w:pPr>
              <w:spacing w:line="460" w:lineRule="exact"/>
              <w:rPr>
                <w:rFonts w:hint="eastAsia" w:ascii="宋体"/>
                <w:color w:val="auto"/>
                <w:sz w:val="24"/>
                <w:highlight w:val="none"/>
              </w:rPr>
            </w:pPr>
            <w:r>
              <w:rPr>
                <w:rFonts w:hint="eastAsia" w:ascii="宋体"/>
                <w:color w:val="auto"/>
                <w:sz w:val="24"/>
                <w:highlight w:val="none"/>
              </w:rPr>
              <w:t>投标保证金缴纳形式：转账或电汇</w:t>
            </w:r>
            <w:r>
              <w:rPr>
                <w:rFonts w:hint="eastAsia" w:ascii="宋体"/>
                <w:color w:val="auto"/>
                <w:sz w:val="24"/>
                <w:highlight w:val="none"/>
                <w:lang w:val="en-US" w:eastAsia="zh-CN"/>
              </w:rPr>
              <w:t>或保函</w:t>
            </w:r>
            <w:r>
              <w:rPr>
                <w:rFonts w:hint="eastAsia" w:ascii="宋体"/>
                <w:color w:val="auto"/>
                <w:sz w:val="24"/>
                <w:highlight w:val="none"/>
              </w:rPr>
              <w:t>等其他</w:t>
            </w:r>
            <w:r>
              <w:rPr>
                <w:rFonts w:hint="eastAsia" w:ascii="宋体"/>
                <w:color w:val="auto"/>
                <w:sz w:val="24"/>
                <w:highlight w:val="none"/>
                <w:lang w:val="en-US" w:eastAsia="zh-CN"/>
              </w:rPr>
              <w:t>非现金</w:t>
            </w:r>
            <w:r>
              <w:rPr>
                <w:rFonts w:hint="eastAsia" w:ascii="宋体"/>
                <w:color w:val="auto"/>
                <w:sz w:val="24"/>
                <w:highlight w:val="none"/>
              </w:rPr>
              <w:t>形式</w:t>
            </w:r>
          </w:p>
          <w:p w14:paraId="6EAEFD82">
            <w:pPr>
              <w:spacing w:line="460" w:lineRule="exact"/>
              <w:jc w:val="left"/>
              <w:rPr>
                <w:rFonts w:hint="eastAsia" w:ascii="宋体"/>
                <w:color w:val="auto"/>
                <w:sz w:val="24"/>
                <w:highlight w:val="none"/>
              </w:rPr>
            </w:pPr>
            <w:r>
              <w:rPr>
                <w:rFonts w:hint="eastAsia" w:ascii="宋体"/>
                <w:color w:val="auto"/>
                <w:sz w:val="24"/>
                <w:highlight w:val="none"/>
              </w:rPr>
              <w:t>打款时注明响应保证金项目名称及包号。投标保证金在汇款备注栏注明</w:t>
            </w:r>
            <w:r>
              <w:rPr>
                <w:rFonts w:hint="eastAsia" w:ascii="宋体"/>
                <w:color w:val="auto"/>
                <w:sz w:val="24"/>
                <w:highlight w:val="none"/>
                <w:lang w:val="en-US" w:eastAsia="zh-CN"/>
              </w:rPr>
              <w:t>标项</w:t>
            </w:r>
            <w:r>
              <w:rPr>
                <w:rFonts w:hint="eastAsia" w:ascii="宋体"/>
                <w:color w:val="auto"/>
                <w:sz w:val="24"/>
                <w:highlight w:val="none"/>
              </w:rPr>
              <w:t>名称</w:t>
            </w:r>
            <w:r>
              <w:rPr>
                <w:rFonts w:hint="eastAsia" w:ascii="宋体"/>
                <w:color w:val="auto"/>
                <w:sz w:val="24"/>
                <w:highlight w:val="none"/>
                <w:lang w:val="en-US" w:eastAsia="zh-CN"/>
              </w:rPr>
              <w:t>简称</w:t>
            </w:r>
            <w:r>
              <w:rPr>
                <w:rFonts w:hint="eastAsia" w:ascii="宋体"/>
                <w:color w:val="auto"/>
                <w:sz w:val="24"/>
                <w:highlight w:val="none"/>
              </w:rPr>
              <w:t>及</w:t>
            </w:r>
            <w:r>
              <w:rPr>
                <w:rFonts w:hint="eastAsia" w:ascii="宋体"/>
                <w:color w:val="auto"/>
                <w:sz w:val="24"/>
                <w:highlight w:val="none"/>
                <w:lang w:val="en-US" w:eastAsia="zh-CN"/>
              </w:rPr>
              <w:t>标项编号</w:t>
            </w:r>
            <w:r>
              <w:rPr>
                <w:rFonts w:hint="eastAsia" w:ascii="宋体"/>
                <w:color w:val="auto"/>
                <w:sz w:val="24"/>
                <w:highlight w:val="none"/>
              </w:rPr>
              <w:t>，并注明是投标保证金，保函或汇款凭单应做入投标文件中。</w:t>
            </w:r>
          </w:p>
          <w:p w14:paraId="7C6D22B9">
            <w:pPr>
              <w:spacing w:line="460" w:lineRule="exact"/>
              <w:jc w:val="left"/>
              <w:rPr>
                <w:rFonts w:hint="eastAsia" w:ascii="宋体"/>
                <w:color w:val="auto"/>
                <w:sz w:val="24"/>
                <w:highlight w:val="none"/>
              </w:rPr>
            </w:pPr>
            <w:r>
              <w:rPr>
                <w:rFonts w:hint="eastAsia" w:ascii="宋体"/>
                <w:color w:val="auto"/>
                <w:sz w:val="24"/>
                <w:highlight w:val="none"/>
              </w:rPr>
              <w:t>保证金缴纳要求：保证金须在开标时间前缴纳，以银行到账时间为准，从投标单位的基本账户一次性汇入指定账户，不接受现金形式。打款时注明投标保证金项目名称、标段号。无需换取保证金收据，只需将银行转账回执单复印件上传至电子投标文件中。采用保函的将保函做到电子投标文件中。</w:t>
            </w:r>
          </w:p>
          <w:p w14:paraId="3CB45AD4">
            <w:pPr>
              <w:spacing w:line="460" w:lineRule="exact"/>
              <w:jc w:val="left"/>
              <w:rPr>
                <w:rFonts w:hint="eastAsia" w:ascii="宋体"/>
                <w:color w:val="auto"/>
                <w:sz w:val="24"/>
                <w:highlight w:val="none"/>
              </w:rPr>
            </w:pPr>
            <w:r>
              <w:rPr>
                <w:rFonts w:hint="eastAsia" w:ascii="宋体"/>
                <w:color w:val="auto"/>
                <w:sz w:val="24"/>
                <w:highlight w:val="none"/>
              </w:rPr>
              <w:t>投标保证金的退还：采购人或者采购代理机构应当自中标通知书发出之日起5个工作日内退还未中标人的投标保证金，自采购合同签订之日起5个工作日内退还中标人的投标保证金。</w:t>
            </w:r>
          </w:p>
          <w:p w14:paraId="46A7DF2F">
            <w:pPr>
              <w:spacing w:line="460" w:lineRule="exact"/>
              <w:jc w:val="left"/>
              <w:rPr>
                <w:rFonts w:hint="eastAsia" w:ascii="宋体"/>
                <w:color w:val="auto"/>
                <w:sz w:val="24"/>
                <w:highlight w:val="none"/>
              </w:rPr>
            </w:pPr>
            <w:r>
              <w:rPr>
                <w:rFonts w:hint="eastAsia" w:ascii="宋体"/>
                <w:color w:val="auto"/>
                <w:sz w:val="24"/>
                <w:highlight w:val="none"/>
              </w:rPr>
              <w:t>注：参照中华人民共和国财政部令第87号令第三十八条规定。</w:t>
            </w:r>
          </w:p>
        </w:tc>
      </w:tr>
      <w:tr w14:paraId="3A5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26CAAAD">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3734FE2">
            <w:pPr>
              <w:spacing w:line="360" w:lineRule="auto"/>
              <w:jc w:val="center"/>
              <w:rPr>
                <w:rFonts w:hint="default" w:ascii="宋体" w:eastAsia="宋体"/>
                <w:color w:val="auto"/>
                <w:sz w:val="24"/>
                <w:highlight w:val="none"/>
                <w:lang w:val="en-US" w:eastAsia="zh-CN"/>
              </w:rPr>
            </w:pPr>
            <w:r>
              <w:rPr>
                <w:rFonts w:hint="eastAsia" w:ascii="宋体"/>
                <w:b/>
                <w:bCs/>
                <w:color w:val="auto"/>
                <w:sz w:val="24"/>
                <w:highlight w:val="none"/>
                <w:lang w:val="en-US" w:eastAsia="zh-CN"/>
              </w:rPr>
              <w:t xml:space="preserve">报价方式 </w:t>
            </w:r>
            <w:r>
              <w:rPr>
                <w:rFonts w:hint="eastAsia" w:ascii="宋体"/>
                <w:color w:val="auto"/>
                <w:sz w:val="24"/>
                <w:highlight w:val="none"/>
                <w:lang w:val="en-US" w:eastAsia="zh-CN"/>
              </w:rPr>
              <w:t xml:space="preserve">   </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7E9B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报价方式：本次报价为下浮费率报价。包含为完成本项目采购内容和采购范围并达到验收合格所需要的全部费用，包括但不限于各项税费、人工费、货物运至最终目的地的运输费以及其他有关费用等。</w:t>
            </w:r>
          </w:p>
          <w:p w14:paraId="09252B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1、价格下浮比例是指供应商在同期市场平均价格的基础上让利的百分点，例如某货物市场均价是100元，让利5个百分点（打九五折），即表述为供应商价格下浮比例为5%；</w:t>
            </w:r>
          </w:p>
          <w:p w14:paraId="44377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2、供应商一旦通过本次招标成为中标人，在今后合同期内提供货物价格须按照本次投标下浮比例执行，可以在本次成交下浮比例基础上再次下浮让利，但不能上浮。</w:t>
            </w:r>
          </w:p>
          <w:p w14:paraId="14B0D2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3、市场价的认定：市场价以各县市大型商超、农贸市场当期价格为基础进行综合认定。采购人将本着公平公正的态度，派员每月或其他不定时间进行市场走访调研，对各类主副食品市场价格进行询问，综合认定市场价。</w:t>
            </w:r>
          </w:p>
          <w:p w14:paraId="391D4C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4、在确定市场价时，采购人将走访裕民县不少于3家的大型商超、农贸市场进行询价，中标供应商可派员共同参与，若中标供应商对采购人市场价认定有争议或不予认可，采购人有权终止与中标供应商的合同，在投标有效期内授予下一成交候选人供货，超过投标有效期的，采购人将重新组织招标。</w:t>
            </w:r>
          </w:p>
          <w:p w14:paraId="49227C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注：1、投标报价包括项目实施所需的货物费、分割包装运输费、装卸费、管理费、利润、税费及其他一切费用。</w:t>
            </w:r>
          </w:p>
          <w:p w14:paraId="2812BA2A">
            <w:pPr>
              <w:spacing w:line="460" w:lineRule="exact"/>
              <w:rPr>
                <w:rFonts w:hint="eastAsia" w:ascii="宋体"/>
                <w:color w:val="auto"/>
                <w:sz w:val="24"/>
                <w:highlight w:val="none"/>
                <w:lang w:eastAsia="zh-CN"/>
              </w:rPr>
            </w:pPr>
            <w:r>
              <w:rPr>
                <w:rFonts w:hint="eastAsia" w:ascii="宋体" w:hAnsi="宋体" w:eastAsia="宋体" w:cs="Times New Roman"/>
                <w:b/>
                <w:color w:val="auto"/>
                <w:kern w:val="2"/>
                <w:sz w:val="24"/>
                <w:szCs w:val="24"/>
                <w:highlight w:val="none"/>
                <w:lang w:val="en-US" w:eastAsia="zh-CN" w:bidi="ar-SA"/>
              </w:rPr>
              <w:t>2、评标委员会认为供应商的报价明显低于其他通过符合性审查供应商的报价，有可能影响产品质量或者不能诚信履约的，应当要求其在评标现场合理的时间内按评标委员会要求的内容提供书面说明，必要时提交相关证明材料（内容包括成本说明、供货来源和渠道等）；供应商在规定时限内不能证明其报价合理性的或资料提交不全的，评标委员会应当将其作为无效投标处理。</w:t>
            </w:r>
          </w:p>
        </w:tc>
      </w:tr>
      <w:tr w14:paraId="4BB0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ABEF32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1</w:t>
            </w:r>
          </w:p>
        </w:tc>
        <w:tc>
          <w:tcPr>
            <w:tcW w:w="1965" w:type="dxa"/>
            <w:tcBorders>
              <w:left w:val="single" w:color="auto" w:sz="4" w:space="0"/>
              <w:right w:val="single" w:color="auto" w:sz="4" w:space="0"/>
            </w:tcBorders>
            <w:noWrap w:val="0"/>
            <w:vAlign w:val="center"/>
          </w:tcPr>
          <w:p w14:paraId="7CC8E7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本项目行业</w:t>
            </w:r>
          </w:p>
          <w:p w14:paraId="38B8B33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划分类型</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A6A6B09">
            <w:pPr>
              <w:spacing w:line="440" w:lineRule="exact"/>
              <w:jc w:val="lef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批发业</w:t>
            </w:r>
            <w:r>
              <w:rPr>
                <w:rFonts w:hint="eastAsia" w:ascii="宋体" w:hAnsi="宋体" w:cs="宋体"/>
                <w:color w:val="auto"/>
                <w:sz w:val="24"/>
                <w:highlight w:val="none"/>
              </w:rPr>
              <w:t>（从业人员200人以下或营业收入40000万元以下的为中小微型企业。）</w:t>
            </w:r>
          </w:p>
        </w:tc>
      </w:tr>
      <w:tr w14:paraId="548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778F7D75">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2</w:t>
            </w:r>
          </w:p>
        </w:tc>
        <w:tc>
          <w:tcPr>
            <w:tcW w:w="1965" w:type="dxa"/>
            <w:tcBorders>
              <w:left w:val="single" w:color="auto" w:sz="4" w:space="0"/>
              <w:right w:val="single" w:color="auto" w:sz="4" w:space="0"/>
            </w:tcBorders>
            <w:noWrap w:val="0"/>
            <w:vAlign w:val="center"/>
          </w:tcPr>
          <w:p w14:paraId="5231BA9A">
            <w:pPr>
              <w:spacing w:line="360" w:lineRule="auto"/>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是否允许联合体投标</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EA42315">
            <w:pPr>
              <w:spacing w:line="440" w:lineRule="exact"/>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否</w:t>
            </w:r>
          </w:p>
        </w:tc>
      </w:tr>
      <w:tr w14:paraId="124E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jc w:val="center"/>
        </w:trPr>
        <w:tc>
          <w:tcPr>
            <w:tcW w:w="773" w:type="dxa"/>
            <w:tcBorders>
              <w:left w:val="single" w:color="auto" w:sz="4" w:space="0"/>
              <w:right w:val="single" w:color="auto" w:sz="4" w:space="0"/>
            </w:tcBorders>
            <w:noWrap w:val="0"/>
            <w:vAlign w:val="center"/>
          </w:tcPr>
          <w:p w14:paraId="0CFD52E7">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3</w:t>
            </w:r>
          </w:p>
        </w:tc>
        <w:tc>
          <w:tcPr>
            <w:tcW w:w="1965" w:type="dxa"/>
            <w:tcBorders>
              <w:left w:val="single" w:color="auto" w:sz="4" w:space="0"/>
              <w:right w:val="single" w:color="auto" w:sz="4" w:space="0"/>
            </w:tcBorders>
            <w:noWrap w:val="0"/>
            <w:vAlign w:val="center"/>
          </w:tcPr>
          <w:p w14:paraId="0575320A">
            <w:pPr>
              <w:spacing w:line="360" w:lineRule="auto"/>
              <w:jc w:val="center"/>
              <w:rPr>
                <w:rFonts w:hint="eastAsia" w:ascii="宋体" w:hAnsi="宋体"/>
                <w:color w:val="auto"/>
                <w:sz w:val="24"/>
                <w:highlight w:val="none"/>
              </w:rPr>
            </w:pPr>
            <w:r>
              <w:rPr>
                <w:rFonts w:hint="eastAsia" w:ascii="宋体" w:hAnsi="宋体"/>
                <w:color w:val="auto"/>
                <w:sz w:val="24"/>
                <w:highlight w:val="none"/>
              </w:rPr>
              <w:t>政府采购</w:t>
            </w:r>
          </w:p>
          <w:p w14:paraId="470C08BC">
            <w:pPr>
              <w:spacing w:line="360" w:lineRule="auto"/>
              <w:jc w:val="center"/>
              <w:rPr>
                <w:rFonts w:hint="eastAsia" w:ascii="宋体" w:hAnsi="宋体"/>
                <w:color w:val="auto"/>
                <w:sz w:val="24"/>
                <w:highlight w:val="none"/>
              </w:rPr>
            </w:pPr>
            <w:r>
              <w:rPr>
                <w:rFonts w:hint="eastAsia" w:ascii="宋体" w:hAnsi="宋体"/>
                <w:color w:val="auto"/>
                <w:sz w:val="24"/>
                <w:highlight w:val="none"/>
              </w:rPr>
              <w:t>政策功能</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280B87F">
            <w:pPr>
              <w:numPr>
                <w:ilvl w:val="0"/>
                <w:numId w:val="3"/>
              </w:numPr>
              <w:spacing w:line="440" w:lineRule="exact"/>
              <w:rPr>
                <w:rFonts w:hint="eastAsia"/>
                <w:color w:val="auto"/>
                <w:sz w:val="24"/>
                <w:szCs w:val="32"/>
                <w:highlight w:val="none"/>
              </w:rPr>
            </w:pPr>
            <w:r>
              <w:rPr>
                <w:rFonts w:hint="eastAsia"/>
                <w:color w:val="auto"/>
                <w:sz w:val="24"/>
                <w:szCs w:val="32"/>
                <w:highlight w:val="none"/>
              </w:rPr>
              <w:t>促进中小企业发展政策：根据《政府采购促进中小企业发展管理办法》规定，本项目</w:t>
            </w:r>
            <w:r>
              <w:rPr>
                <w:rFonts w:hint="eastAsia"/>
                <w:color w:val="auto"/>
                <w:sz w:val="24"/>
                <w:szCs w:val="32"/>
                <w:highlight w:val="none"/>
                <w:lang w:eastAsia="zh-CN"/>
              </w:rPr>
              <w:t>供应商</w:t>
            </w:r>
            <w:r>
              <w:rPr>
                <w:rFonts w:hint="eastAsia"/>
                <w:color w:val="auto"/>
                <w:sz w:val="24"/>
                <w:szCs w:val="32"/>
                <w:highlight w:val="none"/>
              </w:rPr>
              <w:t>为小型或微型企业且报价产品为小型或微型企业生产的，将对该报价产品的评审报价给予10%的扣除。</w:t>
            </w:r>
            <w:r>
              <w:rPr>
                <w:rFonts w:hint="eastAsia"/>
                <w:color w:val="auto"/>
                <w:sz w:val="24"/>
                <w:szCs w:val="32"/>
                <w:highlight w:val="none"/>
                <w:lang w:eastAsia="zh-CN"/>
              </w:rPr>
              <w:t>供应商</w:t>
            </w:r>
            <w:r>
              <w:rPr>
                <w:rFonts w:hint="eastAsia"/>
                <w:color w:val="auto"/>
                <w:sz w:val="24"/>
                <w:szCs w:val="32"/>
                <w:highlight w:val="none"/>
              </w:rPr>
              <w:t>和制造商应出具招标文件中要求的《中小企业声明函》，否则评审时不予认可。</w:t>
            </w:r>
            <w:r>
              <w:rPr>
                <w:rFonts w:hint="eastAsia"/>
                <w:color w:val="auto"/>
                <w:sz w:val="24"/>
                <w:szCs w:val="32"/>
                <w:highlight w:val="none"/>
                <w:lang w:eastAsia="zh-CN"/>
              </w:rPr>
              <w:t>供应商</w:t>
            </w:r>
            <w:r>
              <w:rPr>
                <w:rFonts w:hint="eastAsia"/>
                <w:color w:val="auto"/>
                <w:sz w:val="24"/>
                <w:szCs w:val="32"/>
                <w:highlight w:val="none"/>
              </w:rPr>
              <w:t>和制造商应对提交的中小企业声明函的真实性负责，提交的中小企业声明函不真实的，应承担相应的法律责任。</w:t>
            </w:r>
          </w:p>
          <w:p w14:paraId="63D0081F">
            <w:pPr>
              <w:numPr>
                <w:ilvl w:val="0"/>
                <w:numId w:val="3"/>
              </w:numPr>
              <w:spacing w:line="440" w:lineRule="exact"/>
              <w:rPr>
                <w:rFonts w:hint="eastAsia"/>
                <w:color w:val="auto"/>
                <w:sz w:val="24"/>
                <w:szCs w:val="32"/>
                <w:highlight w:val="none"/>
              </w:rPr>
            </w:pPr>
            <w:r>
              <w:rPr>
                <w:rFonts w:hint="eastAsia"/>
                <w:color w:val="auto"/>
                <w:sz w:val="24"/>
                <w:szCs w:val="32"/>
                <w:highlight w:val="none"/>
              </w:rPr>
              <w:t>监狱企业扶持政策：</w:t>
            </w:r>
            <w:r>
              <w:rPr>
                <w:rFonts w:hint="eastAsia"/>
                <w:color w:val="auto"/>
                <w:sz w:val="24"/>
                <w:szCs w:val="32"/>
                <w:highlight w:val="none"/>
                <w:lang w:eastAsia="zh-CN"/>
              </w:rPr>
              <w:t>供应商</w:t>
            </w:r>
            <w:r>
              <w:rPr>
                <w:rFonts w:hint="eastAsia"/>
                <w:color w:val="auto"/>
                <w:sz w:val="24"/>
                <w:szCs w:val="32"/>
                <w:highlight w:val="none"/>
              </w:rPr>
              <w:t>如为监狱企业将视同小型或微型企业，且报价产品为小型或微型企业生产的，将对该产品的评审报价给予10%的扣除。</w:t>
            </w:r>
            <w:r>
              <w:rPr>
                <w:rFonts w:hint="eastAsia"/>
                <w:color w:val="auto"/>
                <w:sz w:val="24"/>
                <w:szCs w:val="32"/>
                <w:highlight w:val="none"/>
                <w:lang w:eastAsia="zh-CN"/>
              </w:rPr>
              <w:t>供应商</w:t>
            </w:r>
            <w:r>
              <w:rPr>
                <w:rFonts w:hint="eastAsia"/>
                <w:color w:val="auto"/>
                <w:sz w:val="24"/>
                <w:szCs w:val="32"/>
                <w:highlight w:val="none"/>
              </w:rPr>
              <w:t>为监狱企业的，应提供由省级以上监狱管理局、戒毒管理局（含新疆生产建设兵团）出具的属于监狱企业的证明文件或声明函。</w:t>
            </w:r>
            <w:r>
              <w:rPr>
                <w:rFonts w:hint="eastAsia"/>
                <w:color w:val="auto"/>
                <w:sz w:val="24"/>
                <w:szCs w:val="32"/>
                <w:highlight w:val="none"/>
                <w:lang w:eastAsia="zh-CN"/>
              </w:rPr>
              <w:t>供应商</w:t>
            </w:r>
            <w:r>
              <w:rPr>
                <w:rFonts w:hint="eastAsia"/>
                <w:color w:val="auto"/>
                <w:sz w:val="24"/>
                <w:szCs w:val="32"/>
                <w:highlight w:val="none"/>
              </w:rPr>
              <w:t>应对提交属于监狱企业的证明文件的真实性负责，提交的监狱企业的证明文件不真实的，应承担相应的法律责任。</w:t>
            </w:r>
          </w:p>
          <w:p w14:paraId="7C5FD6E1">
            <w:pPr>
              <w:numPr>
                <w:ilvl w:val="0"/>
                <w:numId w:val="3"/>
              </w:numPr>
              <w:spacing w:line="440" w:lineRule="exact"/>
              <w:rPr>
                <w:rFonts w:hint="eastAsia"/>
                <w:color w:val="auto"/>
                <w:highlight w:val="none"/>
              </w:rPr>
            </w:pPr>
            <w:r>
              <w:rPr>
                <w:rFonts w:hint="eastAsia"/>
                <w:color w:val="auto"/>
                <w:sz w:val="24"/>
                <w:szCs w:val="32"/>
                <w:highlight w:val="none"/>
              </w:rPr>
              <w:t>残疾人福利性单位视同小型、微型企业。不重复享受政策。</w:t>
            </w:r>
          </w:p>
          <w:p w14:paraId="3B18D330">
            <w:pPr>
              <w:pStyle w:val="4"/>
              <w:rPr>
                <w:rFonts w:hint="eastAsia"/>
                <w:color w:val="auto"/>
                <w:highlight w:val="none"/>
              </w:rPr>
            </w:pPr>
            <w:r>
              <w:rPr>
                <w:rFonts w:hint="eastAsia"/>
                <w:color w:val="auto"/>
                <w:sz w:val="24"/>
                <w:szCs w:val="32"/>
                <w:highlight w:val="none"/>
              </w:rPr>
              <w:t>本项目专门面向中小微企业，故价格不予</w:t>
            </w:r>
            <w:r>
              <w:rPr>
                <w:rFonts w:hint="eastAsia"/>
                <w:color w:val="auto"/>
                <w:sz w:val="24"/>
                <w:szCs w:val="32"/>
                <w:highlight w:val="none"/>
                <w:lang w:val="en-US" w:eastAsia="zh-CN"/>
              </w:rPr>
              <w:t>重复</w:t>
            </w:r>
            <w:r>
              <w:rPr>
                <w:rFonts w:hint="eastAsia"/>
                <w:color w:val="auto"/>
                <w:sz w:val="24"/>
                <w:szCs w:val="32"/>
                <w:highlight w:val="none"/>
              </w:rPr>
              <w:t>扣除。</w:t>
            </w:r>
          </w:p>
        </w:tc>
      </w:tr>
      <w:tr w14:paraId="14D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01FED2F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4</w:t>
            </w:r>
          </w:p>
        </w:tc>
        <w:tc>
          <w:tcPr>
            <w:tcW w:w="1965" w:type="dxa"/>
            <w:tcBorders>
              <w:left w:val="single" w:color="auto" w:sz="4" w:space="0"/>
              <w:right w:val="single" w:color="auto" w:sz="4" w:space="0"/>
            </w:tcBorders>
            <w:noWrap w:val="0"/>
            <w:vAlign w:val="center"/>
          </w:tcPr>
          <w:p w14:paraId="0ACD571E">
            <w:pPr>
              <w:spacing w:line="360" w:lineRule="auto"/>
              <w:jc w:val="center"/>
              <w:rPr>
                <w:rFonts w:hint="eastAsia" w:ascii="宋体"/>
                <w:color w:val="auto"/>
                <w:spacing w:val="-14"/>
                <w:sz w:val="24"/>
                <w:highlight w:val="none"/>
              </w:rPr>
            </w:pPr>
            <w:r>
              <w:rPr>
                <w:rFonts w:hint="eastAsia" w:ascii="宋体" w:hAnsi="宋体" w:cs="宋体"/>
                <w:color w:val="auto"/>
                <w:sz w:val="24"/>
                <w:highlight w:val="none"/>
              </w:rPr>
              <w:t>招标代理服务费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F55B78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代理报酬的计算方法： </w:t>
            </w:r>
          </w:p>
          <w:p w14:paraId="48156AE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1、服务费收费标准：采购代理服务费由成交供应商向采购代理机构支付，采购代理服务费以成交金额作为收费的计算基数。 </w:t>
            </w:r>
          </w:p>
          <w:p w14:paraId="25E74953">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2、代理报酬支付方式：中标人支付。 </w:t>
            </w:r>
          </w:p>
          <w:p w14:paraId="402D4E4C">
            <w:pPr>
              <w:spacing w:line="360" w:lineRule="auto"/>
              <w:rPr>
                <w:rFonts w:hint="eastAsia" w:ascii="宋体"/>
                <w:color w:val="auto"/>
                <w:sz w:val="24"/>
                <w:highlight w:val="none"/>
              </w:rPr>
            </w:pPr>
            <w:r>
              <w:rPr>
                <w:rFonts w:hint="eastAsia" w:ascii="宋体" w:hAnsi="宋体"/>
                <w:color w:val="auto"/>
                <w:sz w:val="24"/>
                <w:highlight w:val="none"/>
                <w:lang w:val="en-US" w:eastAsia="zh-CN"/>
              </w:rPr>
              <w:t>3、代理报酬的支付时间：中标人领取中标（成交）通知书前支付。</w:t>
            </w:r>
          </w:p>
        </w:tc>
      </w:tr>
      <w:tr w14:paraId="24D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DD2EAC2">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5</w:t>
            </w:r>
          </w:p>
        </w:tc>
        <w:tc>
          <w:tcPr>
            <w:tcW w:w="1965" w:type="dxa"/>
            <w:tcBorders>
              <w:left w:val="single" w:color="auto" w:sz="4" w:space="0"/>
              <w:right w:val="single" w:color="auto" w:sz="4" w:space="0"/>
            </w:tcBorders>
            <w:noWrap w:val="0"/>
            <w:vAlign w:val="center"/>
          </w:tcPr>
          <w:p w14:paraId="2D3A5EE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w:t>
            </w:r>
          </w:p>
          <w:p w14:paraId="6A5C13EB">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公示期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4EC12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公示期为1个工作日。</w:t>
            </w:r>
          </w:p>
        </w:tc>
      </w:tr>
      <w:tr w14:paraId="5E2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BD15E84">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6</w:t>
            </w:r>
          </w:p>
        </w:tc>
        <w:tc>
          <w:tcPr>
            <w:tcW w:w="1965" w:type="dxa"/>
            <w:tcBorders>
              <w:left w:val="single" w:color="auto" w:sz="4" w:space="0"/>
              <w:right w:val="single" w:color="auto" w:sz="4" w:space="0"/>
            </w:tcBorders>
            <w:noWrap w:val="0"/>
            <w:vAlign w:val="center"/>
          </w:tcPr>
          <w:p w14:paraId="652846F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DE0C5A8">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履约保证金：政府采购合同金额的3%；</w:t>
            </w:r>
          </w:p>
          <w:p w14:paraId="48138314">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履约保证金递交：中标人需在合同签订前缴纳合同总金额的3%作为履约保证金；</w:t>
            </w:r>
          </w:p>
          <w:p w14:paraId="2D261CFB">
            <w:pPr>
              <w:spacing w:line="440" w:lineRule="exact"/>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履约保证金形式：支票、汇票、本票或者金融机构、担保机构出具的保函等非现金形式；中标人未按招标文件规定缴纳履约保证金的，其投标保证金将不予退还。</w:t>
            </w:r>
          </w:p>
        </w:tc>
      </w:tr>
      <w:tr w14:paraId="462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356162A2">
            <w:pPr>
              <w:spacing w:line="360" w:lineRule="auto"/>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27</w:t>
            </w:r>
          </w:p>
        </w:tc>
        <w:tc>
          <w:tcPr>
            <w:tcW w:w="1965" w:type="dxa"/>
            <w:tcBorders>
              <w:left w:val="single" w:color="auto" w:sz="4" w:space="0"/>
              <w:right w:val="single" w:color="auto" w:sz="4" w:space="0"/>
            </w:tcBorders>
            <w:noWrap w:val="0"/>
            <w:vAlign w:val="center"/>
          </w:tcPr>
          <w:p w14:paraId="34730C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结算资料要求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4EC33A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.中标供应商</w:t>
            </w:r>
            <w:r>
              <w:rPr>
                <w:rFonts w:hint="default" w:ascii="宋体" w:hAnsi="宋体" w:eastAsia="宋体" w:cs="宋体"/>
                <w:color w:val="auto"/>
                <w:sz w:val="24"/>
                <w:highlight w:val="none"/>
                <w:lang w:val="en-US" w:eastAsia="zh-CN"/>
              </w:rPr>
              <w:t>开具的发票；</w:t>
            </w:r>
          </w:p>
          <w:p w14:paraId="486DB388">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.随发票机打的税控系统销货清单明细</w:t>
            </w:r>
            <w:r>
              <w:rPr>
                <w:rFonts w:hint="default" w:ascii="宋体" w:hAnsi="宋体" w:eastAsia="宋体" w:cs="宋体"/>
                <w:color w:val="auto"/>
                <w:sz w:val="24"/>
                <w:highlight w:val="none"/>
                <w:lang w:val="en-US" w:eastAsia="zh-CN"/>
              </w:rPr>
              <w:t>（包括货物名称、</w:t>
            </w:r>
            <w:r>
              <w:rPr>
                <w:rFonts w:hint="eastAsia" w:ascii="宋体" w:hAnsi="宋体" w:eastAsia="宋体" w:cs="宋体"/>
                <w:color w:val="auto"/>
                <w:sz w:val="24"/>
                <w:highlight w:val="none"/>
                <w:lang w:val="en-US" w:eastAsia="zh-CN"/>
              </w:rPr>
              <w:t>规格型号、</w:t>
            </w:r>
            <w:r>
              <w:rPr>
                <w:rFonts w:hint="default" w:ascii="宋体" w:hAnsi="宋体" w:eastAsia="宋体" w:cs="宋体"/>
                <w:color w:val="auto"/>
                <w:sz w:val="24"/>
                <w:highlight w:val="none"/>
                <w:lang w:val="en-US" w:eastAsia="zh-CN"/>
              </w:rPr>
              <w:t>供货数量、供货价格</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p>
          <w:p w14:paraId="45CDC805">
            <w:pPr>
              <w:spacing w:line="440" w:lineRule="exact"/>
              <w:rPr>
                <w:rFonts w:hint="eastAsia" w:ascii="Calibri" w:hAnsi="Calibri"/>
                <w:color w:val="auto"/>
                <w:kern w:val="2"/>
                <w:sz w:val="21"/>
                <w:szCs w:val="24"/>
                <w:highlight w:val="none"/>
                <w:lang w:val="en-US" w:eastAsia="zh-CN" w:bidi="ar-SA"/>
              </w:rPr>
            </w:pPr>
            <w:r>
              <w:rPr>
                <w:rFonts w:hint="default"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供货单（每次送货提供，包括货物名称、规格型号、供货数量、供货重量、市场均价、下浮率、供货价格等需和发票内容一致，需商家、食堂管理民警、社会化保障人员三方签字）。</w:t>
            </w:r>
          </w:p>
        </w:tc>
      </w:tr>
      <w:tr w14:paraId="6695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407DC3A9">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28</w:t>
            </w:r>
          </w:p>
        </w:tc>
        <w:tc>
          <w:tcPr>
            <w:tcW w:w="1965" w:type="dxa"/>
            <w:tcBorders>
              <w:left w:val="single" w:color="auto" w:sz="4" w:space="0"/>
              <w:right w:val="single" w:color="auto" w:sz="4" w:space="0"/>
            </w:tcBorders>
            <w:noWrap w:val="0"/>
            <w:vAlign w:val="center"/>
          </w:tcPr>
          <w:p w14:paraId="47C3BC25">
            <w:pPr>
              <w:spacing w:line="440" w:lineRule="exact"/>
              <w:jc w:val="center"/>
              <w:rPr>
                <w:rFonts w:hint="eastAsia"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质疑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00EEA7D">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（1）供应商认为采购文件、采购过程、中标或者成交结果使自己的权益受到损害的，可以在知道或者应知其权益受到损害之日起 7个工作日内，以书面形式向采购人、采购代理机构提出质疑。 </w:t>
            </w:r>
          </w:p>
          <w:p w14:paraId="34E77FA5">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（2）供应商应当在法定质疑期内一次性提出针对同一采购程序环 </w:t>
            </w:r>
          </w:p>
          <w:p w14:paraId="32978D16">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节的质疑。 </w:t>
            </w:r>
          </w:p>
          <w:p w14:paraId="69DB8FC1">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号令《政府采购质疑和投诉办法》的规定，供应商质疑不得超出采购文件、采购过程及中标（成交）结果的范围以及时效限制。</w:t>
            </w:r>
          </w:p>
        </w:tc>
      </w:tr>
      <w:tr w14:paraId="412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9CAF8CF">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29</w:t>
            </w:r>
          </w:p>
        </w:tc>
        <w:tc>
          <w:tcPr>
            <w:tcW w:w="1965" w:type="dxa"/>
            <w:tcBorders>
              <w:left w:val="single" w:color="auto" w:sz="4" w:space="0"/>
              <w:right w:val="single" w:color="auto" w:sz="4" w:space="0"/>
            </w:tcBorders>
            <w:noWrap w:val="0"/>
            <w:vAlign w:val="center"/>
          </w:tcPr>
          <w:p w14:paraId="2B7D7E72">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FB533E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（1）质疑供应商对采购人、采购代理机构的答复不满意，或者采购人、采购代理机构未在规定时间内作出答复的，可以在答复期满后15个工作日内向本办法第六条规定的财政部门提起投诉。 </w:t>
            </w:r>
          </w:p>
          <w:p w14:paraId="3518D2B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质疑、投诉应当采用书面形式，质疑书、投诉书均应明确阐述招标文件、采购过程或成交结果中使自己合法权益受到损害的实质性内容，提供相关事实、依据和证据及其来源或线索，便于有关单位调查、答复和处理。 </w:t>
            </w:r>
          </w:p>
          <w:p w14:paraId="6DF7A72F">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号令《政府采购质疑和投诉办法》的规定，供应商的投诉事项不得超出已质疑事项的范围。</w:t>
            </w:r>
          </w:p>
        </w:tc>
      </w:tr>
      <w:tr w14:paraId="0CC6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41E1348">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30</w:t>
            </w:r>
          </w:p>
        </w:tc>
        <w:tc>
          <w:tcPr>
            <w:tcW w:w="1965" w:type="dxa"/>
            <w:tcBorders>
              <w:left w:val="single" w:color="auto" w:sz="4" w:space="0"/>
              <w:right w:val="single" w:color="auto" w:sz="4" w:space="0"/>
            </w:tcBorders>
            <w:noWrap w:val="0"/>
            <w:vAlign w:val="center"/>
          </w:tcPr>
          <w:p w14:paraId="13C91B5F">
            <w:pPr>
              <w:spacing w:line="440" w:lineRule="exact"/>
              <w:jc w:val="center"/>
              <w:rPr>
                <w:rFonts w:hint="default" w:ascii="宋体" w:hAnsi="宋体" w:eastAsia="宋体" w:cs="宋体"/>
                <w:color w:val="auto"/>
                <w:sz w:val="24"/>
                <w:highlight w:val="none"/>
                <w:lang w:val="en-US" w:eastAsia="zh-CN"/>
              </w:rPr>
            </w:pPr>
            <w:r>
              <w:rPr>
                <w:rFonts w:hint="eastAsia" w:ascii="东文宋体" w:hAnsi="东文宋体" w:eastAsia="东文宋体" w:cs="东文宋体"/>
                <w:color w:val="auto"/>
                <w:sz w:val="24"/>
                <w:highlight w:val="none"/>
                <w:lang w:val="en-US" w:eastAsia="zh-CN"/>
              </w:rPr>
              <w:t>☆</w:t>
            </w:r>
            <w:r>
              <w:rPr>
                <w:rFonts w:hint="eastAsia" w:ascii="宋体" w:hAnsi="宋体" w:eastAsia="宋体" w:cs="宋体"/>
                <w:color w:val="auto"/>
                <w:sz w:val="24"/>
                <w:highlight w:val="none"/>
                <w:lang w:val="en-US" w:eastAsia="zh-CN"/>
              </w:rPr>
              <w:t>特别提示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EDC47E1">
            <w:pPr>
              <w:spacing w:line="44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default" w:ascii="宋体" w:hAnsi="宋体" w:eastAsia="宋体" w:cs="宋体"/>
                <w:b/>
                <w:bCs/>
                <w:color w:val="auto"/>
                <w:sz w:val="24"/>
                <w:highlight w:val="none"/>
                <w:lang w:val="en-US" w:eastAsia="zh-CN"/>
              </w:rPr>
              <w:t>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32D6F037">
            <w:pPr>
              <w:pStyle w:val="8"/>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2、为便于评审：1.投标文件应当严格按照评审细则的顺序及规定的内容制作，并在PDF版中关联到目录中，确保点击目录时能到达相应页码。2.应当按照</w:t>
            </w:r>
            <w:r>
              <w:rPr>
                <w:rFonts w:hint="eastAsia" w:hAnsi="宋体" w:eastAsia="宋体" w:cs="宋体"/>
                <w:b/>
                <w:bCs/>
                <w:color w:val="auto"/>
                <w:kern w:val="2"/>
                <w:sz w:val="24"/>
                <w:szCs w:val="24"/>
                <w:highlight w:val="none"/>
                <w:lang w:val="en-US" w:eastAsia="zh-CN" w:bidi="ar-SA"/>
              </w:rPr>
              <w:t>文件中《资格证明文件审查索引表》以及《评分索引表》</w:t>
            </w:r>
            <w:r>
              <w:rPr>
                <w:rFonts w:hint="eastAsia" w:ascii="宋体" w:hAnsi="宋体" w:eastAsia="宋体" w:cs="宋体"/>
                <w:b/>
                <w:bCs/>
                <w:color w:val="auto"/>
                <w:kern w:val="2"/>
                <w:sz w:val="24"/>
                <w:szCs w:val="24"/>
                <w:highlight w:val="none"/>
                <w:lang w:val="en-US" w:eastAsia="zh-CN" w:bidi="ar-SA"/>
              </w:rPr>
              <w:t>相关格式，明确</w:t>
            </w:r>
            <w:r>
              <w:rPr>
                <w:rFonts w:hint="eastAsia" w:hAnsi="宋体" w:eastAsia="宋体" w:cs="宋体"/>
                <w:b/>
                <w:bCs/>
                <w:color w:val="auto"/>
                <w:kern w:val="2"/>
                <w:sz w:val="24"/>
                <w:szCs w:val="24"/>
                <w:highlight w:val="none"/>
                <w:lang w:val="en-US" w:eastAsia="zh-CN" w:bidi="ar-SA"/>
              </w:rPr>
              <w:t>填写</w:t>
            </w:r>
            <w:r>
              <w:rPr>
                <w:rFonts w:hint="eastAsia" w:ascii="宋体" w:hAnsi="宋体" w:eastAsia="宋体" w:cs="宋体"/>
                <w:b/>
                <w:bCs/>
                <w:color w:val="auto"/>
                <w:kern w:val="2"/>
                <w:sz w:val="24"/>
                <w:szCs w:val="24"/>
                <w:highlight w:val="none"/>
                <w:lang w:val="en-US" w:eastAsia="zh-CN" w:bidi="ar-SA"/>
              </w:rPr>
              <w:t>资料对应的页码范围。</w:t>
            </w:r>
          </w:p>
          <w:p w14:paraId="305B6AE7">
            <w:pPr>
              <w:pStyle w:val="8"/>
              <w:spacing w:line="360" w:lineRule="auto"/>
              <w:rPr>
                <w:rFonts w:hint="eastAsia"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3、各投标供应商须确保投标资料真实、合法、有效。供应商中标后，招标人将开展实地核查，一经查实存在弄虚作假等违规行为，将全额没收投标保证金，并依规上报财政监管部门，依据违规情节从严追责处罚。请各投标单位诚信投标、如实报送资料，杜绝虚假填报。</w:t>
            </w:r>
          </w:p>
          <w:p w14:paraId="3DA1FF46">
            <w:pPr>
              <w:pStyle w:val="8"/>
              <w:spacing w:line="360" w:lineRule="auto"/>
              <w:rPr>
                <w:rFonts w:hint="default" w:ascii="宋体" w:hAnsi="宋体" w:eastAsia="宋体" w:cs="宋体"/>
                <w:b/>
                <w:bCs/>
                <w:color w:val="auto"/>
                <w:kern w:val="2"/>
                <w:sz w:val="24"/>
                <w:szCs w:val="24"/>
                <w:highlight w:val="none"/>
                <w:lang w:val="en-US" w:eastAsia="zh-CN" w:bidi="ar-SA"/>
              </w:rPr>
            </w:pPr>
            <w:r>
              <w:rPr>
                <w:rFonts w:hint="eastAsia" w:hAnsi="宋体" w:eastAsia="宋体" w:cs="宋体"/>
                <w:b/>
                <w:bCs/>
                <w:color w:val="auto"/>
                <w:kern w:val="2"/>
                <w:sz w:val="28"/>
                <w:szCs w:val="28"/>
                <w:highlight w:val="none"/>
                <w:lang w:val="en-US" w:eastAsia="zh-CN" w:bidi="ar-SA"/>
              </w:rPr>
              <w:t>4、本项目五个标段投标人可兼投兼中，评标顺序为一、二、三、四、五标段，如上一标段供应商已推荐为第一中标候选人，在评审中，涉及到配送车辆及配送人员重复配备的内容均不得分。</w:t>
            </w:r>
          </w:p>
        </w:tc>
      </w:tr>
      <w:tr w14:paraId="312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73" w:type="dxa"/>
            <w:tcBorders>
              <w:left w:val="single" w:color="auto" w:sz="4" w:space="0"/>
              <w:right w:val="single" w:color="auto" w:sz="4" w:space="0"/>
            </w:tcBorders>
            <w:noWrap w:val="0"/>
            <w:vAlign w:val="center"/>
          </w:tcPr>
          <w:p w14:paraId="10E4C323">
            <w:pPr>
              <w:spacing w:line="360" w:lineRule="auto"/>
              <w:jc w:val="center"/>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31</w:t>
            </w:r>
          </w:p>
        </w:tc>
        <w:tc>
          <w:tcPr>
            <w:tcW w:w="1965" w:type="dxa"/>
            <w:tcBorders>
              <w:left w:val="single" w:color="auto" w:sz="4" w:space="0"/>
              <w:right w:val="single" w:color="auto" w:sz="4" w:space="0"/>
            </w:tcBorders>
            <w:noWrap w:val="0"/>
            <w:vAlign w:val="center"/>
          </w:tcPr>
          <w:p w14:paraId="3433017B">
            <w:pPr>
              <w:spacing w:line="360" w:lineRule="auto"/>
              <w:jc w:val="center"/>
              <w:rPr>
                <w:rFonts w:hint="eastAsia" w:ascii="宋体" w:hAnsi="宋体"/>
                <w:color w:val="auto"/>
                <w:sz w:val="24"/>
                <w:highlight w:val="none"/>
              </w:rPr>
            </w:pPr>
            <w:r>
              <w:rPr>
                <w:rFonts w:hint="eastAsia" w:ascii="宋体"/>
                <w:color w:val="auto"/>
                <w:sz w:val="24"/>
                <w:highlight w:val="none"/>
              </w:rPr>
              <w:t>备注</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0158F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1、中标供应商所提供的货物要满足中华人民共和国的相应标准。</w:t>
            </w:r>
          </w:p>
          <w:p w14:paraId="5A4BCB6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2、验收标准应符合中国有关的国家、地方、行业标准。</w:t>
            </w:r>
          </w:p>
          <w:p w14:paraId="092438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3、本前附表是关于采购货物的具体资料，如有矛盾，以本表为准。</w:t>
            </w:r>
          </w:p>
          <w:p w14:paraId="42771DF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4、本项目为不见面电子标，招标文件中要求提供的复印件均应提供原件的扫描件，并按要求签章。</w:t>
            </w:r>
          </w:p>
          <w:p w14:paraId="2E233A7E">
            <w:pPr>
              <w:spacing w:line="440" w:lineRule="exact"/>
              <w:rPr>
                <w:rFonts w:hint="default"/>
                <w:color w:val="auto"/>
                <w:highlight w:val="none"/>
                <w:lang w:val="en-US" w:eastAsia="zh-CN"/>
              </w:rPr>
            </w:pPr>
          </w:p>
        </w:tc>
      </w:tr>
    </w:tbl>
    <w:p w14:paraId="77240BAC">
      <w:pPr>
        <w:rPr>
          <w:rFonts w:hint="default"/>
          <w:color w:val="auto"/>
          <w:highlight w:val="none"/>
          <w:lang w:val="en-US" w:eastAsia="zh-CN"/>
        </w:rPr>
      </w:pPr>
      <w:r>
        <w:rPr>
          <w:rFonts w:hint="eastAsia" w:ascii="宋体"/>
          <w:b/>
          <w:color w:val="auto"/>
          <w:sz w:val="24"/>
          <w:highlight w:val="none"/>
        </w:rPr>
        <w:t>注：下文内容若与本前附表不一致，请以本前附表内容为准。</w:t>
      </w:r>
    </w:p>
    <w:p w14:paraId="459C2EC4">
      <w:pPr>
        <w:bidi w:val="0"/>
        <w:rPr>
          <w:rFonts w:hint="eastAsia"/>
          <w:color w:val="auto"/>
          <w:highlight w:val="none"/>
        </w:rPr>
      </w:pPr>
    </w:p>
    <w:p w14:paraId="4E39D3E7">
      <w:pPr>
        <w:pStyle w:val="4"/>
        <w:rPr>
          <w:rFonts w:hint="default"/>
          <w:color w:val="auto"/>
          <w:highlight w:val="none"/>
          <w:lang w:val="en-US" w:eastAsia="zh-CN"/>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3228561F">
      <w:pPr>
        <w:pStyle w:val="2"/>
        <w:bidi w:val="0"/>
        <w:rPr>
          <w:rFonts w:hint="eastAsia"/>
          <w:color w:val="auto"/>
          <w:highlight w:val="none"/>
        </w:rPr>
      </w:pPr>
      <w:bookmarkStart w:id="19" w:name="_Toc12829"/>
      <w:r>
        <w:rPr>
          <w:rFonts w:hint="eastAsia"/>
          <w:color w:val="auto"/>
          <w:highlight w:val="none"/>
        </w:rPr>
        <w:t xml:space="preserve">第三章  </w:t>
      </w:r>
      <w:r>
        <w:rPr>
          <w:rFonts w:hint="eastAsia"/>
          <w:color w:val="auto"/>
          <w:highlight w:val="none"/>
          <w:lang w:eastAsia="zh-CN"/>
        </w:rPr>
        <w:t>供应商</w:t>
      </w:r>
      <w:r>
        <w:rPr>
          <w:rFonts w:hint="eastAsia"/>
          <w:color w:val="auto"/>
          <w:highlight w:val="none"/>
        </w:rPr>
        <w:t>须知</w:t>
      </w:r>
      <w:bookmarkEnd w:id="19"/>
    </w:p>
    <w:p w14:paraId="0046124E">
      <w:pPr>
        <w:pStyle w:val="28"/>
        <w:spacing w:line="360" w:lineRule="auto"/>
        <w:jc w:val="center"/>
        <w:outlineLvl w:val="1"/>
        <w:rPr>
          <w:rFonts w:hint="eastAsia" w:ascii="宋体" w:hAnsi="宋体"/>
          <w:b/>
          <w:color w:val="auto"/>
          <w:sz w:val="32"/>
          <w:szCs w:val="32"/>
          <w:highlight w:val="none"/>
        </w:rPr>
      </w:pPr>
      <w:bookmarkStart w:id="20" w:name="_Toc19674"/>
      <w:r>
        <w:rPr>
          <w:rFonts w:hint="eastAsia" w:ascii="宋体" w:hAnsi="宋体"/>
          <w:b/>
          <w:color w:val="auto"/>
          <w:sz w:val="32"/>
          <w:szCs w:val="32"/>
          <w:highlight w:val="none"/>
        </w:rPr>
        <w:t>一、说  明</w:t>
      </w:r>
      <w:bookmarkEnd w:id="20"/>
    </w:p>
    <w:p w14:paraId="229D0D81">
      <w:pPr>
        <w:pStyle w:val="28"/>
        <w:spacing w:line="360" w:lineRule="auto"/>
        <w:outlineLvl w:val="2"/>
        <w:rPr>
          <w:rFonts w:hint="eastAsia" w:ascii="宋体" w:hAnsi="宋体" w:eastAsia="宋体"/>
          <w:b/>
          <w:color w:val="auto"/>
          <w:sz w:val="24"/>
          <w:highlight w:val="none"/>
          <w:lang w:eastAsia="zh-CN"/>
        </w:rPr>
      </w:pPr>
      <w:r>
        <w:rPr>
          <w:rFonts w:hint="eastAsia" w:ascii="宋体" w:hAnsi="宋体"/>
          <w:b/>
          <w:color w:val="auto"/>
          <w:sz w:val="24"/>
          <w:highlight w:val="none"/>
        </w:rPr>
        <w:t>1.采购人、采购代理机构及</w:t>
      </w:r>
      <w:r>
        <w:rPr>
          <w:rFonts w:hint="eastAsia" w:ascii="宋体" w:hAnsi="宋体"/>
          <w:b/>
          <w:color w:val="auto"/>
          <w:sz w:val="24"/>
          <w:highlight w:val="none"/>
          <w:lang w:eastAsia="zh-CN"/>
        </w:rPr>
        <w:t>供应商</w:t>
      </w:r>
    </w:p>
    <w:p w14:paraId="1D9DD15D">
      <w:pPr>
        <w:pStyle w:val="28"/>
        <w:spacing w:line="360" w:lineRule="auto"/>
        <w:rPr>
          <w:rFonts w:hint="eastAsia" w:ascii="宋体" w:hAnsi="宋体"/>
          <w:color w:val="auto"/>
          <w:sz w:val="24"/>
          <w:highlight w:val="none"/>
        </w:rPr>
      </w:pPr>
      <w:r>
        <w:rPr>
          <w:rFonts w:hint="eastAsia" w:ascii="宋体" w:hAnsi="宋体"/>
          <w:color w:val="auto"/>
          <w:sz w:val="24"/>
          <w:highlight w:val="none"/>
        </w:rPr>
        <w:t>1.1采购人：是指依法进行政府采购的国家机关、事业单位、团体组织。本项目采购人为</w:t>
      </w:r>
      <w:r>
        <w:rPr>
          <w:rFonts w:hint="eastAsia" w:ascii="宋体" w:hAnsi="宋体"/>
          <w:color w:val="auto"/>
          <w:sz w:val="24"/>
          <w:highlight w:val="none"/>
          <w:u w:val="none"/>
          <w:lang w:eastAsia="zh-CN"/>
        </w:rPr>
        <w:t>塔城边境管理支队</w:t>
      </w:r>
      <w:r>
        <w:rPr>
          <w:rFonts w:hint="eastAsia" w:ascii="宋体" w:hAnsi="宋体"/>
          <w:color w:val="auto"/>
          <w:sz w:val="24"/>
          <w:highlight w:val="none"/>
          <w:u w:val="none"/>
        </w:rPr>
        <w:t>。</w:t>
      </w:r>
    </w:p>
    <w:p w14:paraId="0E7B99DE">
      <w:pPr>
        <w:pStyle w:val="28"/>
        <w:spacing w:line="360" w:lineRule="auto"/>
        <w:rPr>
          <w:rFonts w:hint="eastAsia" w:ascii="宋体" w:hAnsi="宋体"/>
          <w:color w:val="auto"/>
          <w:sz w:val="24"/>
          <w:highlight w:val="none"/>
          <w:u w:val="single"/>
        </w:rPr>
      </w:pPr>
      <w:r>
        <w:rPr>
          <w:rFonts w:hint="eastAsia" w:ascii="宋体" w:hAnsi="宋体"/>
          <w:color w:val="auto"/>
          <w:sz w:val="24"/>
          <w:highlight w:val="none"/>
        </w:rPr>
        <w:t>1.2采购代理机构：是指在中国政府采购网或其省级分网站网上登记的代理机构。本次招标的采购代理机构为</w:t>
      </w:r>
      <w:r>
        <w:rPr>
          <w:rFonts w:hint="eastAsia" w:ascii="宋体" w:hAnsi="宋体"/>
          <w:color w:val="auto"/>
          <w:sz w:val="24"/>
          <w:highlight w:val="none"/>
          <w:u w:val="none"/>
          <w:lang w:val="en-US" w:eastAsia="zh-CN"/>
        </w:rPr>
        <w:t>新疆驿松工程项目管理有限公司</w:t>
      </w:r>
      <w:r>
        <w:rPr>
          <w:rFonts w:hint="eastAsia" w:ascii="宋体" w:hAnsi="宋体"/>
          <w:color w:val="auto"/>
          <w:sz w:val="24"/>
          <w:highlight w:val="none"/>
          <w:u w:val="none"/>
        </w:rPr>
        <w:t>。</w:t>
      </w:r>
    </w:p>
    <w:p w14:paraId="24FA4632">
      <w:pPr>
        <w:pStyle w:val="28"/>
        <w:spacing w:line="360" w:lineRule="auto"/>
        <w:rPr>
          <w:rFonts w:hint="eastAsia"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eastAsia="zh-CN"/>
        </w:rPr>
        <w:t>供应商</w:t>
      </w:r>
      <w:r>
        <w:rPr>
          <w:rFonts w:hint="eastAsia" w:ascii="宋体" w:hAnsi="宋体"/>
          <w:color w:val="auto"/>
          <w:sz w:val="24"/>
          <w:highlight w:val="none"/>
        </w:rPr>
        <w:t>，是指响应招标、参加投标竞争的法人、其他组织或者自然人，满足以下条件的</w:t>
      </w:r>
      <w:r>
        <w:rPr>
          <w:rFonts w:hint="eastAsia" w:ascii="宋体" w:hAnsi="宋体"/>
          <w:color w:val="auto"/>
          <w:sz w:val="24"/>
          <w:highlight w:val="none"/>
          <w:lang w:eastAsia="zh-CN"/>
        </w:rPr>
        <w:t>供应商</w:t>
      </w:r>
      <w:r>
        <w:rPr>
          <w:rFonts w:hint="eastAsia" w:ascii="宋体" w:hAnsi="宋体"/>
          <w:color w:val="auto"/>
          <w:sz w:val="24"/>
          <w:highlight w:val="none"/>
        </w:rPr>
        <w:t>是合格的</w:t>
      </w:r>
      <w:r>
        <w:rPr>
          <w:rFonts w:hint="eastAsia" w:ascii="宋体" w:hAnsi="宋体"/>
          <w:color w:val="auto"/>
          <w:sz w:val="24"/>
          <w:highlight w:val="none"/>
          <w:lang w:eastAsia="zh-CN"/>
        </w:rPr>
        <w:t>供应商</w:t>
      </w:r>
      <w:r>
        <w:rPr>
          <w:rFonts w:hint="eastAsia" w:ascii="宋体" w:hAnsi="宋体"/>
          <w:color w:val="auto"/>
          <w:sz w:val="24"/>
          <w:highlight w:val="none"/>
        </w:rPr>
        <w:t>，可以参加本次投标：</w:t>
      </w:r>
    </w:p>
    <w:p w14:paraId="559E03B0">
      <w:pPr>
        <w:pStyle w:val="28"/>
        <w:spacing w:line="360" w:lineRule="auto"/>
        <w:rPr>
          <w:rFonts w:ascii="宋体" w:hAnsi="宋体"/>
          <w:color w:val="auto"/>
          <w:sz w:val="24"/>
          <w:highlight w:val="none"/>
        </w:rPr>
      </w:pPr>
      <w:r>
        <w:rPr>
          <w:rFonts w:hint="eastAsia" w:ascii="宋体" w:hAnsi="宋体"/>
          <w:color w:val="auto"/>
          <w:sz w:val="24"/>
          <w:highlight w:val="none"/>
        </w:rPr>
        <w:t>1.3.1在中华人民共和国境内注册，能够独立承担民事责任，有生产或供应能力的本国</w:t>
      </w:r>
      <w:r>
        <w:rPr>
          <w:rFonts w:hint="eastAsia" w:ascii="宋体" w:hAnsi="宋体"/>
          <w:color w:val="auto"/>
          <w:sz w:val="24"/>
          <w:highlight w:val="none"/>
          <w:lang w:eastAsia="zh-CN"/>
        </w:rPr>
        <w:t>供应商</w:t>
      </w:r>
      <w:r>
        <w:rPr>
          <w:rFonts w:hint="eastAsia" w:ascii="宋体" w:hAnsi="宋体"/>
          <w:color w:val="auto"/>
          <w:sz w:val="24"/>
          <w:highlight w:val="none"/>
        </w:rPr>
        <w:t>，法律法规另有规定的除外。</w:t>
      </w:r>
    </w:p>
    <w:p w14:paraId="08AEDDBB">
      <w:pPr>
        <w:pStyle w:val="28"/>
        <w:spacing w:line="360" w:lineRule="auto"/>
        <w:rPr>
          <w:rFonts w:ascii="宋体" w:hAnsi="宋体"/>
          <w:color w:val="auto"/>
          <w:sz w:val="24"/>
          <w:highlight w:val="none"/>
        </w:rPr>
      </w:pPr>
      <w:r>
        <w:rPr>
          <w:rFonts w:hint="eastAsia" w:ascii="宋体" w:hAnsi="宋体"/>
          <w:color w:val="auto"/>
          <w:sz w:val="24"/>
          <w:highlight w:val="none"/>
        </w:rPr>
        <w:t>1.3.2</w:t>
      </w:r>
      <w:r>
        <w:rPr>
          <w:rFonts w:ascii="宋体" w:hAnsi="宋体"/>
          <w:color w:val="auto"/>
          <w:sz w:val="24"/>
          <w:highlight w:val="none"/>
        </w:rPr>
        <w:t>符合第一章</w:t>
      </w:r>
      <w:r>
        <w:rPr>
          <w:rFonts w:hint="eastAsia" w:ascii="宋体" w:hAnsi="宋体"/>
          <w:color w:val="auto"/>
          <w:sz w:val="24"/>
          <w:highlight w:val="none"/>
          <w:lang w:val="en-US" w:eastAsia="zh-CN"/>
        </w:rPr>
        <w:t>招标公告</w:t>
      </w:r>
      <w:r>
        <w:rPr>
          <w:rFonts w:ascii="宋体" w:hAnsi="宋体"/>
          <w:color w:val="auto"/>
          <w:sz w:val="24"/>
          <w:highlight w:val="none"/>
        </w:rPr>
        <w:t>中“</w:t>
      </w:r>
      <w:r>
        <w:rPr>
          <w:rFonts w:hint="eastAsia" w:ascii="宋体" w:hAnsi="宋体"/>
          <w:color w:val="auto"/>
          <w:sz w:val="24"/>
          <w:highlight w:val="none"/>
          <w:lang w:eastAsia="zh-CN"/>
        </w:rPr>
        <w:t>供应商</w:t>
      </w:r>
      <w:r>
        <w:rPr>
          <w:rFonts w:ascii="宋体" w:hAnsi="宋体"/>
          <w:color w:val="auto"/>
          <w:sz w:val="24"/>
          <w:highlight w:val="none"/>
        </w:rPr>
        <w:t>资格</w:t>
      </w:r>
      <w:r>
        <w:rPr>
          <w:rFonts w:hint="eastAsia" w:ascii="宋体" w:hAnsi="宋体"/>
          <w:color w:val="auto"/>
          <w:sz w:val="24"/>
          <w:highlight w:val="none"/>
        </w:rPr>
        <w:t>要求</w:t>
      </w:r>
      <w:r>
        <w:rPr>
          <w:rFonts w:ascii="宋体" w:hAnsi="宋体"/>
          <w:color w:val="auto"/>
          <w:sz w:val="24"/>
          <w:highlight w:val="none"/>
        </w:rPr>
        <w:t>”规定的</w:t>
      </w:r>
      <w:r>
        <w:rPr>
          <w:rFonts w:hint="eastAsia" w:ascii="宋体" w:hAnsi="宋体"/>
          <w:color w:val="auto"/>
          <w:sz w:val="24"/>
          <w:highlight w:val="none"/>
        </w:rPr>
        <w:t>内容</w:t>
      </w:r>
      <w:r>
        <w:rPr>
          <w:rFonts w:ascii="宋体" w:hAnsi="宋体"/>
          <w:color w:val="auto"/>
          <w:sz w:val="24"/>
          <w:highlight w:val="none"/>
        </w:rPr>
        <w:t>；</w:t>
      </w:r>
    </w:p>
    <w:p w14:paraId="3B2A1E2B">
      <w:pPr>
        <w:pStyle w:val="28"/>
        <w:spacing w:line="360" w:lineRule="auto"/>
        <w:rPr>
          <w:rFonts w:ascii="宋体" w:hAnsi="宋体"/>
          <w:color w:val="auto"/>
          <w:sz w:val="24"/>
          <w:highlight w:val="none"/>
        </w:rPr>
      </w:pPr>
      <w:r>
        <w:rPr>
          <w:rFonts w:hint="eastAsia" w:ascii="宋体" w:hAnsi="宋体"/>
          <w:color w:val="auto"/>
          <w:sz w:val="24"/>
          <w:highlight w:val="none"/>
        </w:rPr>
        <w:t>1.3.3</w:t>
      </w:r>
      <w:r>
        <w:rPr>
          <w:rFonts w:hint="eastAsia" w:ascii="宋体" w:hAnsi="宋体"/>
          <w:color w:val="auto"/>
          <w:sz w:val="24"/>
          <w:highlight w:val="none"/>
          <w:lang w:eastAsia="zh-CN"/>
        </w:rPr>
        <w:t>供应商</w:t>
      </w:r>
      <w:r>
        <w:rPr>
          <w:rFonts w:ascii="宋体" w:hAnsi="宋体"/>
          <w:color w:val="auto"/>
          <w:sz w:val="24"/>
          <w:highlight w:val="none"/>
        </w:rPr>
        <w:t>须</w:t>
      </w:r>
      <w:r>
        <w:rPr>
          <w:rFonts w:hint="eastAsia" w:ascii="宋体" w:hAnsi="宋体"/>
          <w:color w:val="auto"/>
          <w:sz w:val="24"/>
          <w:highlight w:val="none"/>
          <w:lang w:val="en-US" w:eastAsia="zh-CN"/>
        </w:rPr>
        <w:t>按要求获取</w:t>
      </w:r>
      <w:r>
        <w:rPr>
          <w:rFonts w:ascii="宋体" w:hAnsi="宋体"/>
          <w:color w:val="auto"/>
          <w:sz w:val="24"/>
          <w:highlight w:val="none"/>
        </w:rPr>
        <w:t>招标文件并登记备案，未</w:t>
      </w:r>
      <w:r>
        <w:rPr>
          <w:rFonts w:hint="eastAsia" w:ascii="宋体" w:hAnsi="宋体"/>
          <w:color w:val="auto"/>
          <w:sz w:val="24"/>
          <w:highlight w:val="none"/>
          <w:lang w:val="en-US" w:eastAsia="zh-CN"/>
        </w:rPr>
        <w:t>获取</w:t>
      </w:r>
      <w:r>
        <w:rPr>
          <w:rFonts w:ascii="宋体" w:hAnsi="宋体"/>
          <w:color w:val="auto"/>
          <w:sz w:val="24"/>
          <w:highlight w:val="none"/>
        </w:rPr>
        <w:t>招标文件的无资格参加本次投标。</w:t>
      </w:r>
    </w:p>
    <w:p w14:paraId="49C9A8AB">
      <w:pPr>
        <w:pStyle w:val="28"/>
        <w:spacing w:line="360" w:lineRule="auto"/>
        <w:rPr>
          <w:rFonts w:ascii="宋体" w:hAnsi="宋体"/>
          <w:color w:val="auto"/>
          <w:sz w:val="24"/>
          <w:highlight w:val="none"/>
        </w:rPr>
      </w:pPr>
      <w:r>
        <w:rPr>
          <w:rFonts w:hint="eastAsia" w:ascii="宋体" w:hAnsi="宋体"/>
          <w:color w:val="auto"/>
          <w:sz w:val="24"/>
          <w:highlight w:val="none"/>
        </w:rPr>
        <w:t>1.3.4如</w:t>
      </w:r>
      <w:r>
        <w:rPr>
          <w:rFonts w:hint="eastAsia" w:ascii="宋体" w:hAnsi="宋体"/>
          <w:color w:val="auto"/>
          <w:sz w:val="24"/>
          <w:highlight w:val="none"/>
          <w:lang w:eastAsia="zh-CN"/>
        </w:rPr>
        <w:t>供应商</w:t>
      </w:r>
      <w:r>
        <w:rPr>
          <w:rFonts w:hint="eastAsia" w:ascii="宋体" w:hAnsi="宋体"/>
          <w:color w:val="auto"/>
          <w:sz w:val="24"/>
          <w:highlight w:val="none"/>
        </w:rPr>
        <w:t>须知前附表中允许联合体投标，对联合体规定如下：</w:t>
      </w:r>
    </w:p>
    <w:p w14:paraId="39B2F6A9">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1两个以上的自然人、法人或者其他组织可以组成一个联合体，以一个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w:t>
      </w:r>
    </w:p>
    <w:p w14:paraId="16FFDEA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2以联合体形式进行政府采购的，参加联合体的</w:t>
      </w:r>
      <w:r>
        <w:rPr>
          <w:rFonts w:hint="eastAsia" w:ascii="宋体" w:hAnsi="宋体"/>
          <w:color w:val="auto"/>
          <w:sz w:val="24"/>
          <w:highlight w:val="none"/>
          <w:lang w:eastAsia="zh-CN"/>
        </w:rPr>
        <w:t>供应商</w:t>
      </w:r>
      <w:r>
        <w:rPr>
          <w:rFonts w:hint="eastAsia" w:ascii="宋体" w:hAnsi="宋体"/>
          <w:color w:val="auto"/>
          <w:sz w:val="24"/>
          <w:highlight w:val="none"/>
        </w:rPr>
        <w:t>均应当具备《中华人民共和国政府采购法》第二十二条规定的条件。</w:t>
      </w:r>
    </w:p>
    <w:p w14:paraId="31B9430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3联合体各方应签订联合体协议，载明联合体各方承担的工作和义务，联合体各方应当共同与采购人签订采购合同，就采购合同约定的事项对采购人承担连带责任。</w:t>
      </w:r>
    </w:p>
    <w:p w14:paraId="2E050CC5">
      <w:pPr>
        <w:pStyle w:val="28"/>
        <w:spacing w:line="360" w:lineRule="auto"/>
        <w:rPr>
          <w:rFonts w:hint="eastAsia"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4联合体各方签订联合体协议后，不得再以自己名义单独在同一项目中投标，也不得组成新的联合体参加同一项目投标。</w:t>
      </w:r>
    </w:p>
    <w:p w14:paraId="789BA8D3">
      <w:pPr>
        <w:pStyle w:val="28"/>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信用信息</w:t>
      </w:r>
      <w:r>
        <w:rPr>
          <w:rFonts w:hint="eastAsia" w:ascii="宋体" w:hAnsi="宋体"/>
          <w:color w:val="auto"/>
          <w:sz w:val="24"/>
          <w:highlight w:val="none"/>
        </w:rPr>
        <w:t>查询渠道：“信用</w:t>
      </w:r>
      <w:r>
        <w:rPr>
          <w:rFonts w:ascii="宋体" w:hAnsi="宋体"/>
          <w:color w:val="auto"/>
          <w:sz w:val="24"/>
          <w:highlight w:val="none"/>
        </w:rPr>
        <w:t>中国”</w:t>
      </w:r>
      <w:r>
        <w:rPr>
          <w:rFonts w:hint="eastAsia" w:ascii="宋体" w:hAnsi="宋体"/>
          <w:color w:val="auto"/>
          <w:sz w:val="24"/>
          <w:highlight w:val="none"/>
        </w:rPr>
        <w:t>网站（www.creditchina.gov.cn）、中国政府采购网（</w:t>
      </w:r>
      <w:r>
        <w:rPr>
          <w:color w:val="auto"/>
          <w:highlight w:val="none"/>
        </w:rPr>
        <w:fldChar w:fldCharType="begin"/>
      </w:r>
      <w:r>
        <w:rPr>
          <w:color w:val="auto"/>
          <w:highlight w:val="none"/>
        </w:rPr>
        <w:instrText xml:space="preserve">HYPERLINK "http://www.ccgp.gov.cn"</w:instrText>
      </w:r>
      <w:r>
        <w:rPr>
          <w:color w:val="auto"/>
          <w:highlight w:val="none"/>
        </w:rPr>
        <w:fldChar w:fldCharType="separate"/>
      </w:r>
      <w:r>
        <w:rPr>
          <w:rFonts w:hint="eastAsia" w:ascii="宋体" w:hAnsi="宋体"/>
          <w:color w:val="auto"/>
          <w:sz w:val="24"/>
          <w:highlight w:val="none"/>
        </w:rPr>
        <w:t>www.ccgp.gov.cn</w:t>
      </w:r>
      <w:r>
        <w:rPr>
          <w:color w:val="auto"/>
          <w:highlight w:val="none"/>
        </w:rPr>
        <w:fldChar w:fldCharType="end"/>
      </w:r>
      <w:r>
        <w:rPr>
          <w:rFonts w:hint="eastAsia" w:ascii="宋体" w:hAnsi="宋体"/>
          <w:color w:val="auto"/>
          <w:sz w:val="24"/>
          <w:highlight w:val="none"/>
        </w:rPr>
        <w:t>）；</w:t>
      </w:r>
      <w:r>
        <w:rPr>
          <w:rFonts w:ascii="宋体" w:hAnsi="宋体"/>
          <w:color w:val="auto"/>
          <w:sz w:val="24"/>
          <w:highlight w:val="none"/>
        </w:rPr>
        <w:t>信用信息</w:t>
      </w:r>
      <w:r>
        <w:rPr>
          <w:rFonts w:hint="eastAsia" w:ascii="宋体" w:hAnsi="宋体"/>
          <w:color w:val="auto"/>
          <w:sz w:val="24"/>
          <w:highlight w:val="none"/>
        </w:rPr>
        <w:t>查询</w:t>
      </w:r>
      <w:r>
        <w:rPr>
          <w:rFonts w:hint="eastAsia" w:ascii="宋体" w:hAnsi="宋体"/>
          <w:color w:val="auto"/>
          <w:sz w:val="24"/>
          <w:highlight w:val="none"/>
          <w:lang w:val="en-US" w:eastAsia="zh-CN"/>
        </w:rPr>
        <w:t>起</w:t>
      </w:r>
      <w:r>
        <w:rPr>
          <w:rFonts w:hint="eastAsia" w:ascii="宋体" w:hAnsi="宋体"/>
          <w:color w:val="auto"/>
          <w:sz w:val="24"/>
          <w:highlight w:val="none"/>
        </w:rPr>
        <w:t>止时点：</w:t>
      </w:r>
      <w:r>
        <w:rPr>
          <w:rFonts w:hint="eastAsia" w:ascii="宋体" w:hAnsi="宋体"/>
          <w:color w:val="auto"/>
          <w:sz w:val="24"/>
          <w:highlight w:val="none"/>
          <w:lang w:val="en-US" w:eastAsia="zh-CN"/>
        </w:rPr>
        <w:t>自招标公告发布之日起至</w:t>
      </w:r>
      <w:r>
        <w:rPr>
          <w:rFonts w:hint="eastAsia" w:ascii="宋体" w:hAnsi="宋体"/>
          <w:color w:val="auto"/>
          <w:sz w:val="24"/>
          <w:highlight w:val="none"/>
        </w:rPr>
        <w:t>投标截止时间</w:t>
      </w:r>
      <w:r>
        <w:rPr>
          <w:rFonts w:hint="eastAsia" w:ascii="宋体" w:hAnsi="宋体"/>
          <w:color w:val="auto"/>
          <w:sz w:val="24"/>
          <w:highlight w:val="none"/>
          <w:lang w:val="en-US" w:eastAsia="zh-CN"/>
        </w:rPr>
        <w:t>止</w:t>
      </w:r>
      <w:r>
        <w:rPr>
          <w:rFonts w:hint="eastAsia" w:ascii="宋体" w:hAnsi="宋体"/>
          <w:color w:val="auto"/>
          <w:sz w:val="24"/>
          <w:highlight w:val="none"/>
        </w:rPr>
        <w:t>；两个以上的自然人、法人或者其他组织组成一个联合体，以一个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的身份共同参加政府采购活动的，应当对所有联合体成员进行信用记录查询，联合体成员存在不良信用记录的，视同联合体存在不良信用记录。</w:t>
      </w:r>
    </w:p>
    <w:p w14:paraId="36BAA680">
      <w:pPr>
        <w:spacing w:line="360" w:lineRule="auto"/>
        <w:jc w:val="left"/>
        <w:outlineLvl w:val="2"/>
        <w:rPr>
          <w:rFonts w:hint="eastAsia" w:ascii="宋体"/>
          <w:b/>
          <w:color w:val="auto"/>
          <w:sz w:val="24"/>
          <w:highlight w:val="none"/>
        </w:rPr>
      </w:pPr>
      <w:r>
        <w:rPr>
          <w:rFonts w:hint="eastAsia" w:ascii="宋体"/>
          <w:b/>
          <w:color w:val="auto"/>
          <w:sz w:val="24"/>
          <w:highlight w:val="none"/>
        </w:rPr>
        <w:t>2.资金来源</w:t>
      </w:r>
    </w:p>
    <w:p w14:paraId="0FBAB151">
      <w:pPr>
        <w:spacing w:line="360" w:lineRule="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招标公告中所述的采购人必须获得足以支付本次招标后所签订的合同项下的款项。</w:t>
      </w:r>
    </w:p>
    <w:p w14:paraId="0A1FE08C">
      <w:pPr>
        <w:spacing w:line="360" w:lineRule="auto"/>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报价超过招标文件规定的预算金额或者分项、分包最高限价的，其投标将作为无效投标被否决。</w:t>
      </w:r>
      <w:bookmarkStart w:id="21" w:name="_Toc324255541"/>
      <w:bookmarkStart w:id="22" w:name="_Toc34951612"/>
      <w:bookmarkStart w:id="23" w:name="_Toc5895170"/>
    </w:p>
    <w:p w14:paraId="2E6A8557">
      <w:pPr>
        <w:spacing w:line="360" w:lineRule="auto"/>
        <w:jc w:val="left"/>
        <w:outlineLvl w:val="2"/>
        <w:rPr>
          <w:rFonts w:ascii="宋体"/>
          <w:b/>
          <w:color w:val="auto"/>
          <w:sz w:val="24"/>
          <w:highlight w:val="none"/>
        </w:rPr>
      </w:pPr>
      <w:r>
        <w:rPr>
          <w:rFonts w:ascii="宋体"/>
          <w:b/>
          <w:color w:val="auto"/>
          <w:sz w:val="24"/>
          <w:highlight w:val="none"/>
        </w:rPr>
        <w:t>3.投标费用</w:t>
      </w:r>
      <w:bookmarkEnd w:id="21"/>
      <w:bookmarkEnd w:id="22"/>
      <w:bookmarkEnd w:id="23"/>
    </w:p>
    <w:p w14:paraId="14028F07">
      <w:pPr>
        <w:pStyle w:val="28"/>
        <w:spacing w:line="360" w:lineRule="auto"/>
        <w:rPr>
          <w:rFonts w:hint="eastAsia" w:ascii="宋体" w:hAnsi="宋体"/>
          <w:color w:val="auto"/>
          <w:sz w:val="24"/>
          <w:highlight w:val="none"/>
        </w:rPr>
      </w:pPr>
      <w:r>
        <w:rPr>
          <w:rFonts w:hint="eastAsia" w:ascii="宋体" w:hAnsi="宋体"/>
          <w:color w:val="auto"/>
          <w:sz w:val="24"/>
          <w:highlight w:val="none"/>
        </w:rPr>
        <w:t xml:space="preserve">3.1 </w:t>
      </w:r>
      <w:r>
        <w:rPr>
          <w:rFonts w:hint="eastAsia" w:ascii="宋体" w:hAnsi="宋体"/>
          <w:color w:val="auto"/>
          <w:sz w:val="24"/>
          <w:highlight w:val="none"/>
          <w:lang w:eastAsia="zh-CN"/>
        </w:rPr>
        <w:t>供应商</w:t>
      </w:r>
      <w:r>
        <w:rPr>
          <w:rFonts w:hint="eastAsia" w:ascii="宋体" w:hAnsi="宋体"/>
          <w:color w:val="auto"/>
          <w:sz w:val="24"/>
          <w:highlight w:val="none"/>
        </w:rPr>
        <w:t>应承担所有与准备和参加投标有关的费用。不论投标的结果如何，采购人和采购代理机构均无义务和责任承担</w:t>
      </w:r>
      <w:r>
        <w:rPr>
          <w:rFonts w:hint="eastAsia" w:ascii="宋体" w:hAnsi="宋体"/>
          <w:color w:val="auto"/>
          <w:sz w:val="24"/>
          <w:highlight w:val="none"/>
          <w:lang w:val="en-US" w:eastAsia="zh-CN"/>
        </w:rPr>
        <w:t>此类</w:t>
      </w:r>
      <w:r>
        <w:rPr>
          <w:rFonts w:hint="eastAsia" w:ascii="宋体" w:hAnsi="宋体"/>
          <w:color w:val="auto"/>
          <w:sz w:val="24"/>
          <w:highlight w:val="none"/>
        </w:rPr>
        <w:t>费用。</w:t>
      </w:r>
    </w:p>
    <w:p w14:paraId="6538622F">
      <w:pPr>
        <w:pStyle w:val="28"/>
        <w:spacing w:line="360" w:lineRule="auto"/>
        <w:jc w:val="center"/>
        <w:outlineLvl w:val="1"/>
        <w:rPr>
          <w:rFonts w:hint="eastAsia" w:ascii="宋体" w:hAnsi="宋体"/>
          <w:b/>
          <w:color w:val="auto"/>
          <w:sz w:val="32"/>
          <w:szCs w:val="32"/>
          <w:highlight w:val="none"/>
        </w:rPr>
      </w:pPr>
      <w:bookmarkStart w:id="24" w:name="_Toc9428"/>
      <w:r>
        <w:rPr>
          <w:rFonts w:hint="eastAsia" w:ascii="宋体" w:hAnsi="宋体"/>
          <w:b/>
          <w:color w:val="auto"/>
          <w:sz w:val="32"/>
          <w:szCs w:val="32"/>
          <w:highlight w:val="none"/>
        </w:rPr>
        <w:t>二、招标文件</w:t>
      </w:r>
      <w:bookmarkEnd w:id="24"/>
    </w:p>
    <w:p w14:paraId="7A5E0AE9">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4.招标文件构成</w:t>
      </w:r>
    </w:p>
    <w:p w14:paraId="4BB7882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4.1要求提供的货物的内容及详细技术需求、投标须知和合同条件等在招标文件中均有说明。招标文件共七章，内容如下：</w:t>
      </w:r>
    </w:p>
    <w:p w14:paraId="13DADB5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第一章 招标公告</w:t>
      </w:r>
    </w:p>
    <w:p w14:paraId="17240E05">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第二章 </w:t>
      </w:r>
      <w:r>
        <w:rPr>
          <w:rFonts w:hint="eastAsia" w:ascii="宋体" w:hAnsi="宋体"/>
          <w:color w:val="auto"/>
          <w:sz w:val="24"/>
          <w:highlight w:val="none"/>
          <w:lang w:eastAsia="zh-CN"/>
        </w:rPr>
        <w:t>供应商</w:t>
      </w:r>
      <w:r>
        <w:rPr>
          <w:rFonts w:hint="eastAsia" w:ascii="宋体" w:hAnsi="宋体"/>
          <w:color w:val="auto"/>
          <w:sz w:val="24"/>
          <w:highlight w:val="none"/>
        </w:rPr>
        <w:t>须知前附表</w:t>
      </w:r>
    </w:p>
    <w:p w14:paraId="260F9A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第三章 </w:t>
      </w:r>
      <w:r>
        <w:rPr>
          <w:rFonts w:hint="eastAsia" w:ascii="宋体" w:hAnsi="宋体"/>
          <w:color w:val="auto"/>
          <w:sz w:val="24"/>
          <w:highlight w:val="none"/>
          <w:lang w:eastAsia="zh-CN"/>
        </w:rPr>
        <w:t>供应商</w:t>
      </w:r>
      <w:r>
        <w:rPr>
          <w:rFonts w:hint="eastAsia" w:ascii="宋体" w:hAnsi="宋体"/>
          <w:color w:val="auto"/>
          <w:sz w:val="24"/>
          <w:highlight w:val="none"/>
        </w:rPr>
        <w:t>须知</w:t>
      </w:r>
    </w:p>
    <w:p w14:paraId="446AC3D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第四章 采购需求</w:t>
      </w:r>
    </w:p>
    <w:p w14:paraId="7B9AD60F">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第五章 评标方法和标准</w:t>
      </w:r>
    </w:p>
    <w:p w14:paraId="1ABC43E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第六章 合同条款</w:t>
      </w:r>
    </w:p>
    <w:p w14:paraId="4257DEF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第七章 投标文件格式</w:t>
      </w:r>
    </w:p>
    <w:p w14:paraId="6E99CB7D">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lang w:eastAsia="zh-CN"/>
        </w:rPr>
        <w:t>供应商</w:t>
      </w:r>
      <w:r>
        <w:rPr>
          <w:rFonts w:hint="eastAsia" w:ascii="宋体" w:hAnsi="宋体"/>
          <w:color w:val="auto"/>
          <w:sz w:val="24"/>
          <w:highlight w:val="none"/>
        </w:rPr>
        <w:t>应认真阅读招标文件中所有的事项、格式、条款和技术规范等，</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应当按照招标文件的要求编制投标文件，投标文件应当对招标文件提出的要求和条件作出明确响应。如</w:t>
      </w:r>
      <w:r>
        <w:rPr>
          <w:rFonts w:hint="eastAsia" w:ascii="宋体" w:hAnsi="宋体"/>
          <w:color w:val="auto"/>
          <w:sz w:val="24"/>
          <w:highlight w:val="none"/>
          <w:lang w:eastAsia="zh-CN"/>
        </w:rPr>
        <w:t>供应商</w:t>
      </w:r>
      <w:r>
        <w:rPr>
          <w:rFonts w:hint="eastAsia" w:ascii="宋体" w:hAnsi="宋体"/>
          <w:color w:val="auto"/>
          <w:sz w:val="24"/>
          <w:highlight w:val="none"/>
        </w:rPr>
        <w:t>没有按照招标文件要求提交全部资料，或者投标文件没有对招标文件在各方面都作出实质性响应是</w:t>
      </w:r>
      <w:r>
        <w:rPr>
          <w:rFonts w:hint="eastAsia" w:ascii="宋体" w:hAnsi="宋体"/>
          <w:color w:val="auto"/>
          <w:sz w:val="24"/>
          <w:highlight w:val="none"/>
          <w:lang w:eastAsia="zh-CN"/>
        </w:rPr>
        <w:t>供应商</w:t>
      </w:r>
      <w:r>
        <w:rPr>
          <w:rFonts w:hint="eastAsia" w:ascii="宋体" w:hAnsi="宋体"/>
          <w:color w:val="auto"/>
          <w:sz w:val="24"/>
          <w:highlight w:val="none"/>
        </w:rPr>
        <w:t>的风险，并可能导致其投标被拒绝。</w:t>
      </w:r>
    </w:p>
    <w:p w14:paraId="0FD9088E">
      <w:pPr>
        <w:pStyle w:val="28"/>
        <w:spacing w:line="360" w:lineRule="auto"/>
        <w:jc w:val="left"/>
        <w:outlineLvl w:val="2"/>
        <w:rPr>
          <w:rFonts w:ascii="宋体" w:hAnsi="宋体"/>
          <w:b/>
          <w:color w:val="auto"/>
          <w:sz w:val="24"/>
          <w:highlight w:val="none"/>
        </w:rPr>
      </w:pPr>
      <w:r>
        <w:rPr>
          <w:rFonts w:hint="eastAsia" w:ascii="宋体" w:hAnsi="宋体"/>
          <w:b/>
          <w:color w:val="auto"/>
          <w:sz w:val="24"/>
          <w:highlight w:val="none"/>
        </w:rPr>
        <w:t>5. 招标文件的澄清或者修改</w:t>
      </w:r>
    </w:p>
    <w:p w14:paraId="5BD8271B">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5.1在投标截止时间前，采购人可主动地或者在解答潜在</w:t>
      </w:r>
      <w:r>
        <w:rPr>
          <w:rFonts w:hint="eastAsia" w:ascii="宋体" w:hAnsi="宋体"/>
          <w:color w:val="auto"/>
          <w:sz w:val="24"/>
          <w:highlight w:val="none"/>
          <w:lang w:eastAsia="zh-CN"/>
        </w:rPr>
        <w:t>供应商</w:t>
      </w:r>
      <w:r>
        <w:rPr>
          <w:rFonts w:hint="eastAsia" w:ascii="宋体" w:hAnsi="宋体"/>
          <w:color w:val="auto"/>
          <w:sz w:val="24"/>
          <w:highlight w:val="none"/>
        </w:rPr>
        <w:t>提出的问题时，对招标文件进行必要的澄清或修改。澄清或者修改的内容为招标文件的组成部分。</w:t>
      </w:r>
    </w:p>
    <w:p w14:paraId="03D2D11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5.2澄清或者修改的内容可能影响投标文件编制的，将在投标截止时间至少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ascii="宋体" w:hAnsi="宋体"/>
          <w:color w:val="auto"/>
          <w:sz w:val="24"/>
          <w:highlight w:val="none"/>
        </w:rPr>
        <w:t>1</w:t>
      </w:r>
      <w:r>
        <w:rPr>
          <w:rFonts w:hint="eastAsia" w:ascii="宋体" w:hAnsi="宋体"/>
          <w:color w:val="auto"/>
          <w:sz w:val="24"/>
          <w:highlight w:val="none"/>
        </w:rPr>
        <w:t>5日的将顺延提交投标文件的截止时间。</w:t>
      </w:r>
    </w:p>
    <w:p w14:paraId="5B8AE46E">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5.3对招标文件必要的澄清或者修改将以书面形式通知所有获取招标文件的潜在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，并对其具有约束力。</w:t>
      </w:r>
      <w:r>
        <w:rPr>
          <w:rFonts w:hint="eastAsia" w:ascii="宋体" w:hAnsi="宋体"/>
          <w:color w:val="auto"/>
          <w:sz w:val="24"/>
          <w:highlight w:val="none"/>
          <w:lang w:eastAsia="zh-CN"/>
        </w:rPr>
        <w:t>供应商</w:t>
      </w:r>
      <w:r>
        <w:rPr>
          <w:rFonts w:hint="eastAsia" w:ascii="宋体" w:hAnsi="宋体"/>
          <w:color w:val="auto"/>
          <w:sz w:val="24"/>
          <w:highlight w:val="none"/>
        </w:rPr>
        <w:t>在收到上述通知后，应及时向采购代理机构回函确认。</w:t>
      </w:r>
    </w:p>
    <w:p w14:paraId="51DDB550">
      <w:pPr>
        <w:rPr>
          <w:rFonts w:hint="eastAsia" w:ascii="宋体" w:hAnsi="宋体"/>
          <w:b/>
          <w:color w:val="auto"/>
          <w:sz w:val="32"/>
          <w:szCs w:val="32"/>
          <w:highlight w:val="none"/>
        </w:rPr>
      </w:pPr>
      <w:bookmarkStart w:id="25" w:name="_Toc30401"/>
      <w:r>
        <w:rPr>
          <w:rFonts w:hint="eastAsia" w:ascii="宋体" w:hAnsi="宋体"/>
          <w:b/>
          <w:color w:val="auto"/>
          <w:sz w:val="32"/>
          <w:szCs w:val="32"/>
          <w:highlight w:val="none"/>
        </w:rPr>
        <w:br w:type="page"/>
      </w:r>
    </w:p>
    <w:p w14:paraId="19DC1D89">
      <w:pPr>
        <w:pStyle w:val="28"/>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三、投标文件的编制</w:t>
      </w:r>
      <w:bookmarkEnd w:id="25"/>
    </w:p>
    <w:p w14:paraId="500156B1">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6. 投标范围及投标文件中语言和计量单位的使用</w:t>
      </w:r>
    </w:p>
    <w:p w14:paraId="2946FF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6.1</w:t>
      </w:r>
      <w:r>
        <w:rPr>
          <w:rFonts w:hint="eastAsia" w:ascii="宋体" w:hAnsi="宋体"/>
          <w:color w:val="auto"/>
          <w:sz w:val="24"/>
          <w:highlight w:val="none"/>
          <w:lang w:eastAsia="zh-CN"/>
        </w:rPr>
        <w:t>供应商</w:t>
      </w:r>
      <w:r>
        <w:rPr>
          <w:rFonts w:hint="eastAsia" w:ascii="宋体" w:hAnsi="宋体"/>
          <w:color w:val="auto"/>
          <w:sz w:val="24"/>
          <w:highlight w:val="none"/>
        </w:rPr>
        <w:t>可对招标文件其中一包或几包货物进行投标，除非在</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须知前附表</w:t>
      </w:r>
      <w:r>
        <w:rPr>
          <w:rFonts w:hint="eastAsia" w:ascii="宋体" w:hAnsi="宋体"/>
          <w:color w:val="auto"/>
          <w:sz w:val="24"/>
          <w:highlight w:val="none"/>
        </w:rPr>
        <w:t>中另有规定。</w:t>
      </w:r>
      <w:r>
        <w:rPr>
          <w:rFonts w:hint="eastAsia" w:ascii="宋体" w:hAnsi="宋体"/>
          <w:color w:val="auto"/>
          <w:sz w:val="24"/>
          <w:highlight w:val="none"/>
          <w:lang w:eastAsia="zh-CN"/>
        </w:rPr>
        <w:t>供应商</w:t>
      </w:r>
      <w:r>
        <w:rPr>
          <w:rFonts w:hint="eastAsia" w:ascii="宋体" w:hAnsi="宋体"/>
          <w:color w:val="auto"/>
          <w:sz w:val="24"/>
          <w:highlight w:val="none"/>
        </w:rPr>
        <w:t>对所投分包招标文件中</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所列的所有货物进行投标，如仅响应一包中的部分货物，其投标将作为</w:t>
      </w:r>
      <w:r>
        <w:rPr>
          <w:rFonts w:hint="eastAsia" w:ascii="宋体" w:hAnsi="宋体"/>
          <w:b/>
          <w:bCs/>
          <w:color w:val="auto"/>
          <w:sz w:val="24"/>
          <w:highlight w:val="none"/>
        </w:rPr>
        <w:t>无效投标</w:t>
      </w:r>
      <w:r>
        <w:rPr>
          <w:rFonts w:hint="eastAsia" w:ascii="宋体" w:hAnsi="宋体"/>
          <w:color w:val="auto"/>
          <w:sz w:val="24"/>
          <w:highlight w:val="none"/>
        </w:rPr>
        <w:t>被否决。</w:t>
      </w:r>
    </w:p>
    <w:p w14:paraId="399F2A0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eastAsia="zh-CN"/>
        </w:rPr>
        <w:t>供应商</w:t>
      </w:r>
      <w:r>
        <w:rPr>
          <w:rFonts w:hint="eastAsia" w:ascii="宋体" w:hAnsi="宋体"/>
          <w:color w:val="auto"/>
          <w:sz w:val="24"/>
          <w:highlight w:val="none"/>
        </w:rPr>
        <w:t>提交的投标文件以及</w:t>
      </w:r>
      <w:r>
        <w:rPr>
          <w:rFonts w:hint="eastAsia" w:ascii="宋体" w:hAnsi="宋体"/>
          <w:color w:val="auto"/>
          <w:sz w:val="24"/>
          <w:highlight w:val="none"/>
          <w:lang w:eastAsia="zh-CN"/>
        </w:rPr>
        <w:t>供应商</w:t>
      </w:r>
      <w:r>
        <w:rPr>
          <w:rFonts w:hint="eastAsia" w:ascii="宋体" w:hAnsi="宋体"/>
          <w:color w:val="auto"/>
          <w:sz w:val="24"/>
          <w:highlight w:val="none"/>
        </w:rPr>
        <w:t>与采购人、采购代理机构有关投标的所有来往文件、函电均应以简体中文书写。</w:t>
      </w:r>
      <w:r>
        <w:rPr>
          <w:rFonts w:hint="eastAsia" w:ascii="宋体" w:hAnsi="宋体"/>
          <w:color w:val="auto"/>
          <w:sz w:val="24"/>
          <w:highlight w:val="none"/>
          <w:lang w:eastAsia="zh-CN"/>
        </w:rPr>
        <w:t>供应商</w:t>
      </w:r>
      <w:r>
        <w:rPr>
          <w:rFonts w:hint="eastAsia" w:ascii="宋体" w:hAnsi="宋体"/>
          <w:color w:val="auto"/>
          <w:sz w:val="24"/>
          <w:highlight w:val="none"/>
        </w:rPr>
        <w:t>可以提交其它语言的资料，</w:t>
      </w:r>
      <w:r>
        <w:rPr>
          <w:rFonts w:ascii="宋体" w:hAnsi="宋体"/>
          <w:color w:val="auto"/>
          <w:sz w:val="24"/>
          <w:highlight w:val="none"/>
        </w:rPr>
        <w:t xml:space="preserve"> </w:t>
      </w:r>
      <w:r>
        <w:rPr>
          <w:rFonts w:hint="eastAsia" w:ascii="宋体" w:hAnsi="宋体"/>
          <w:color w:val="auto"/>
          <w:sz w:val="24"/>
          <w:highlight w:val="none"/>
        </w:rPr>
        <w:t>但有关段落必须翻译成简体中文，在有差异时以简体中文为准。</w:t>
      </w:r>
    </w:p>
    <w:p w14:paraId="6F8CD69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6.3投标文件中所使用的计量单位，除招标文件中有特殊要求外，应采用中华人民共和国法定计量单位。</w:t>
      </w:r>
    </w:p>
    <w:p w14:paraId="01D03933">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7. 投标文件构成</w:t>
      </w:r>
    </w:p>
    <w:p w14:paraId="26BF76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7.1</w:t>
      </w:r>
      <w:r>
        <w:rPr>
          <w:rFonts w:hint="eastAsia" w:ascii="宋体" w:hAnsi="宋体"/>
          <w:color w:val="auto"/>
          <w:sz w:val="24"/>
          <w:highlight w:val="none"/>
          <w:lang w:eastAsia="zh-CN"/>
        </w:rPr>
        <w:t>供应商</w:t>
      </w:r>
      <w:r>
        <w:rPr>
          <w:rFonts w:hint="eastAsia" w:ascii="宋体" w:hAnsi="宋体"/>
          <w:color w:val="auto"/>
          <w:sz w:val="24"/>
          <w:highlight w:val="none"/>
        </w:rPr>
        <w:t>应完整地按招标文件提供的投标文件格式编写投标文件，投标文件应包括以下内容：</w:t>
      </w:r>
      <w:r>
        <w:rPr>
          <w:rFonts w:hint="eastAsia" w:ascii="宋体" w:hAnsi="宋体"/>
          <w:b/>
          <w:color w:val="auto"/>
          <w:sz w:val="24"/>
          <w:highlight w:val="none"/>
        </w:rPr>
        <w:t>资格证明文件和商务技术文件</w:t>
      </w:r>
    </w:p>
    <w:p w14:paraId="6903CE99">
      <w:pPr>
        <w:pStyle w:val="8"/>
        <w:spacing w:line="359" w:lineRule="auto"/>
        <w:ind w:left="8" w:right="149"/>
        <w:rPr>
          <w:color w:val="auto"/>
          <w:highlight w:val="none"/>
        </w:rPr>
      </w:pPr>
      <w:r>
        <w:rPr>
          <w:b/>
          <w:bCs/>
          <w:color w:val="auto"/>
          <w:spacing w:val="-2"/>
          <w:highlight w:val="none"/>
        </w:rPr>
        <w:t>第一部分</w:t>
      </w:r>
      <w:r>
        <w:rPr>
          <w:color w:val="auto"/>
          <w:spacing w:val="-2"/>
          <w:highlight w:val="none"/>
        </w:rPr>
        <w:t xml:space="preserve">  </w:t>
      </w:r>
      <w:r>
        <w:rPr>
          <w:b/>
          <w:bCs/>
          <w:color w:val="auto"/>
          <w:spacing w:val="-2"/>
          <w:highlight w:val="none"/>
        </w:rPr>
        <w:t>资格证明文件</w:t>
      </w:r>
      <w:r>
        <w:rPr>
          <w:color w:val="auto"/>
          <w:spacing w:val="-2"/>
          <w:highlight w:val="none"/>
        </w:rPr>
        <w:t>（详见供应商须知前附表第</w:t>
      </w:r>
      <w:r>
        <w:rPr>
          <w:color w:val="auto"/>
          <w:spacing w:val="-20"/>
          <w:highlight w:val="none"/>
        </w:rPr>
        <w:t xml:space="preserve"> </w:t>
      </w:r>
      <w:r>
        <w:rPr>
          <w:color w:val="auto"/>
          <w:spacing w:val="-2"/>
          <w:highlight w:val="none"/>
        </w:rPr>
        <w:t>12</w:t>
      </w:r>
      <w:r>
        <w:rPr>
          <w:color w:val="auto"/>
          <w:spacing w:val="-46"/>
          <w:highlight w:val="none"/>
        </w:rPr>
        <w:t xml:space="preserve"> </w:t>
      </w:r>
      <w:r>
        <w:rPr>
          <w:color w:val="auto"/>
          <w:spacing w:val="-2"/>
          <w:highlight w:val="none"/>
        </w:rPr>
        <w:t>项，格式详见附件九资格证明文</w:t>
      </w:r>
      <w:r>
        <w:rPr>
          <w:color w:val="auto"/>
          <w:spacing w:val="-5"/>
          <w:highlight w:val="none"/>
        </w:rPr>
        <w:t>件）</w:t>
      </w:r>
    </w:p>
    <w:p w14:paraId="0448ADFD">
      <w:pPr>
        <w:pStyle w:val="8"/>
        <w:spacing w:line="219" w:lineRule="auto"/>
        <w:ind w:left="9"/>
        <w:outlineLvl w:val="3"/>
        <w:rPr>
          <w:color w:val="auto"/>
          <w:highlight w:val="none"/>
        </w:rPr>
      </w:pPr>
      <w:r>
        <w:rPr>
          <w:b/>
          <w:bCs/>
          <w:color w:val="auto"/>
          <w:spacing w:val="-3"/>
          <w:highlight w:val="none"/>
        </w:rPr>
        <w:t>第二部分</w:t>
      </w:r>
      <w:r>
        <w:rPr>
          <w:color w:val="auto"/>
          <w:spacing w:val="-3"/>
          <w:highlight w:val="none"/>
        </w:rPr>
        <w:t xml:space="preserve">  </w:t>
      </w:r>
      <w:r>
        <w:rPr>
          <w:b/>
          <w:bCs/>
          <w:color w:val="auto"/>
          <w:spacing w:val="-3"/>
          <w:highlight w:val="none"/>
        </w:rPr>
        <w:t>商务及技术文件</w:t>
      </w:r>
    </w:p>
    <w:p w14:paraId="0EC9F1E6">
      <w:pPr>
        <w:pStyle w:val="8"/>
        <w:spacing w:before="183" w:line="220" w:lineRule="auto"/>
        <w:ind w:left="26"/>
        <w:rPr>
          <w:color w:val="auto"/>
          <w:highlight w:val="none"/>
        </w:rPr>
      </w:pPr>
      <w:r>
        <w:rPr>
          <w:color w:val="auto"/>
          <w:spacing w:val="-6"/>
          <w:highlight w:val="none"/>
        </w:rPr>
        <w:t>1、投标函</w:t>
      </w:r>
    </w:p>
    <w:p w14:paraId="6EE84CC7">
      <w:pPr>
        <w:pStyle w:val="8"/>
        <w:spacing w:before="182" w:line="218" w:lineRule="auto"/>
        <w:ind w:left="12"/>
        <w:rPr>
          <w:color w:val="auto"/>
          <w:highlight w:val="none"/>
        </w:rPr>
      </w:pPr>
      <w:r>
        <w:rPr>
          <w:color w:val="auto"/>
          <w:spacing w:val="-2"/>
          <w:highlight w:val="none"/>
        </w:rPr>
        <w:t>2、报价一览表</w:t>
      </w:r>
    </w:p>
    <w:p w14:paraId="2F959700">
      <w:pPr>
        <w:pStyle w:val="8"/>
        <w:spacing w:before="182" w:line="219" w:lineRule="auto"/>
        <w:ind w:left="13"/>
        <w:rPr>
          <w:color w:val="auto"/>
          <w:highlight w:val="none"/>
        </w:rPr>
      </w:pPr>
      <w:r>
        <w:rPr>
          <w:color w:val="auto"/>
          <w:spacing w:val="-2"/>
          <w:highlight w:val="none"/>
        </w:rPr>
        <w:t>3、法定代表人身份证明书</w:t>
      </w:r>
    </w:p>
    <w:p w14:paraId="5BCDB848">
      <w:pPr>
        <w:pStyle w:val="8"/>
        <w:spacing w:before="184" w:line="220" w:lineRule="auto"/>
        <w:ind w:left="8"/>
        <w:rPr>
          <w:color w:val="auto"/>
          <w:highlight w:val="none"/>
        </w:rPr>
      </w:pPr>
      <w:r>
        <w:rPr>
          <w:color w:val="auto"/>
          <w:spacing w:val="-2"/>
          <w:highlight w:val="none"/>
        </w:rPr>
        <w:t>4、投标保证金</w:t>
      </w:r>
    </w:p>
    <w:p w14:paraId="32515E16">
      <w:pPr>
        <w:pStyle w:val="8"/>
        <w:spacing w:before="179" w:line="218" w:lineRule="auto"/>
        <w:ind w:left="13"/>
        <w:rPr>
          <w:color w:val="auto"/>
          <w:highlight w:val="none"/>
        </w:rPr>
      </w:pPr>
      <w:r>
        <w:rPr>
          <w:color w:val="auto"/>
          <w:spacing w:val="-1"/>
          <w:highlight w:val="none"/>
        </w:rPr>
        <w:t>5、投标报价明细表（本项目为下浮率报价，可不提供）</w:t>
      </w:r>
    </w:p>
    <w:p w14:paraId="4C1D12EB">
      <w:pPr>
        <w:pStyle w:val="8"/>
        <w:spacing w:before="185" w:line="219" w:lineRule="auto"/>
        <w:ind w:left="11"/>
        <w:rPr>
          <w:color w:val="auto"/>
          <w:highlight w:val="none"/>
        </w:rPr>
      </w:pPr>
      <w:r>
        <w:rPr>
          <w:color w:val="auto"/>
          <w:spacing w:val="-2"/>
          <w:highlight w:val="none"/>
        </w:rPr>
        <w:t>6、商务条款偏离表</w:t>
      </w:r>
    </w:p>
    <w:p w14:paraId="7A2058BB">
      <w:pPr>
        <w:pStyle w:val="8"/>
        <w:spacing w:before="180" w:line="219" w:lineRule="auto"/>
        <w:ind w:left="14"/>
        <w:rPr>
          <w:color w:val="auto"/>
          <w:highlight w:val="none"/>
        </w:rPr>
      </w:pPr>
      <w:r>
        <w:rPr>
          <w:color w:val="auto"/>
          <w:spacing w:val="-2"/>
          <w:highlight w:val="none"/>
        </w:rPr>
        <w:t>7、采购需求偏离表</w:t>
      </w:r>
    </w:p>
    <w:p w14:paraId="2F11FA6D">
      <w:pPr>
        <w:pStyle w:val="8"/>
        <w:spacing w:before="184" w:line="219" w:lineRule="auto"/>
        <w:ind w:left="10"/>
        <w:rPr>
          <w:color w:val="auto"/>
          <w:highlight w:val="none"/>
        </w:rPr>
      </w:pPr>
      <w:r>
        <w:rPr>
          <w:color w:val="auto"/>
          <w:spacing w:val="-2"/>
          <w:highlight w:val="none"/>
        </w:rPr>
        <w:t>8、供应商基本情况表</w:t>
      </w:r>
    </w:p>
    <w:p w14:paraId="67D0A503">
      <w:pPr>
        <w:pStyle w:val="8"/>
        <w:spacing w:before="181" w:line="220" w:lineRule="auto"/>
        <w:ind w:left="10"/>
        <w:rPr>
          <w:color w:val="auto"/>
          <w:spacing w:val="-2"/>
          <w:highlight w:val="none"/>
        </w:rPr>
      </w:pPr>
      <w:r>
        <w:rPr>
          <w:color w:val="auto"/>
          <w:spacing w:val="-2"/>
          <w:highlight w:val="none"/>
        </w:rPr>
        <w:t>9、资格证明文件</w:t>
      </w:r>
    </w:p>
    <w:p w14:paraId="5890F5F8">
      <w:pPr>
        <w:pStyle w:val="8"/>
        <w:spacing w:before="181" w:line="220" w:lineRule="auto"/>
        <w:ind w:left="10"/>
        <w:rPr>
          <w:color w:val="auto"/>
          <w:highlight w:val="none"/>
        </w:rPr>
      </w:pPr>
      <w:r>
        <w:rPr>
          <w:rFonts w:hint="eastAsia"/>
          <w:color w:val="auto"/>
          <w:spacing w:val="-2"/>
          <w:highlight w:val="none"/>
          <w:lang w:val="en-US" w:eastAsia="zh-CN"/>
        </w:rPr>
        <w:t>10、</w:t>
      </w:r>
      <w:r>
        <w:rPr>
          <w:color w:val="auto"/>
          <w:spacing w:val="-2"/>
          <w:highlight w:val="none"/>
        </w:rPr>
        <w:t>业绩案例一览表</w:t>
      </w:r>
    </w:p>
    <w:p w14:paraId="726A2BDB">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1</w:t>
      </w:r>
      <w:r>
        <w:rPr>
          <w:color w:val="auto"/>
          <w:spacing w:val="-3"/>
          <w:highlight w:val="none"/>
        </w:rPr>
        <w:t>、拟派项目负责人情况表</w:t>
      </w:r>
    </w:p>
    <w:p w14:paraId="61B28C80">
      <w:pPr>
        <w:pStyle w:val="8"/>
        <w:spacing w:before="180" w:line="219" w:lineRule="auto"/>
        <w:ind w:left="26"/>
        <w:rPr>
          <w:color w:val="auto"/>
          <w:highlight w:val="none"/>
        </w:rPr>
      </w:pPr>
      <w:r>
        <w:rPr>
          <w:color w:val="auto"/>
          <w:spacing w:val="-3"/>
          <w:highlight w:val="none"/>
        </w:rPr>
        <w:t>1</w:t>
      </w:r>
      <w:r>
        <w:rPr>
          <w:rFonts w:hint="eastAsia"/>
          <w:color w:val="auto"/>
          <w:spacing w:val="-3"/>
          <w:highlight w:val="none"/>
          <w:lang w:val="en-US" w:eastAsia="zh-CN"/>
        </w:rPr>
        <w:t>2</w:t>
      </w:r>
      <w:r>
        <w:rPr>
          <w:color w:val="auto"/>
          <w:spacing w:val="-3"/>
          <w:highlight w:val="none"/>
        </w:rPr>
        <w:t>、本项目主要人员配备表</w:t>
      </w:r>
    </w:p>
    <w:p w14:paraId="20AEA1B9">
      <w:pPr>
        <w:pStyle w:val="8"/>
        <w:spacing w:before="185" w:line="219" w:lineRule="auto"/>
        <w:ind w:left="26"/>
        <w:rPr>
          <w:color w:val="auto"/>
          <w:highlight w:val="none"/>
        </w:rPr>
      </w:pPr>
      <w:r>
        <w:rPr>
          <w:color w:val="auto"/>
          <w:spacing w:val="-1"/>
          <w:highlight w:val="none"/>
        </w:rPr>
        <w:t>1</w:t>
      </w:r>
      <w:r>
        <w:rPr>
          <w:rFonts w:hint="eastAsia"/>
          <w:color w:val="auto"/>
          <w:spacing w:val="-1"/>
          <w:highlight w:val="none"/>
          <w:lang w:val="en-US" w:eastAsia="zh-CN"/>
        </w:rPr>
        <w:t>3</w:t>
      </w:r>
      <w:r>
        <w:rPr>
          <w:color w:val="auto"/>
          <w:spacing w:val="-1"/>
          <w:highlight w:val="none"/>
        </w:rPr>
        <w:t>、中小企业、监狱企业、残疾人福利单</w:t>
      </w:r>
      <w:r>
        <w:rPr>
          <w:color w:val="auto"/>
          <w:spacing w:val="-2"/>
          <w:highlight w:val="none"/>
        </w:rPr>
        <w:t>位的声明函</w:t>
      </w:r>
    </w:p>
    <w:p w14:paraId="753A13BB">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4</w:t>
      </w:r>
      <w:r>
        <w:rPr>
          <w:color w:val="auto"/>
          <w:spacing w:val="-3"/>
          <w:highlight w:val="none"/>
        </w:rPr>
        <w:t>、供应商服务承诺及方案</w:t>
      </w:r>
    </w:p>
    <w:p w14:paraId="55B0327B">
      <w:pPr>
        <w:pStyle w:val="8"/>
        <w:spacing w:before="181" w:line="219" w:lineRule="auto"/>
        <w:ind w:left="26"/>
        <w:rPr>
          <w:color w:val="auto"/>
          <w:spacing w:val="-2"/>
          <w:highlight w:val="none"/>
        </w:rPr>
      </w:pPr>
      <w:r>
        <w:rPr>
          <w:color w:val="auto"/>
          <w:spacing w:val="-2"/>
          <w:highlight w:val="none"/>
        </w:rPr>
        <w:t>1</w:t>
      </w:r>
      <w:r>
        <w:rPr>
          <w:rFonts w:hint="eastAsia"/>
          <w:color w:val="auto"/>
          <w:spacing w:val="-2"/>
          <w:highlight w:val="none"/>
          <w:lang w:val="en-US" w:eastAsia="zh-CN"/>
        </w:rPr>
        <w:t>5</w:t>
      </w:r>
      <w:r>
        <w:rPr>
          <w:color w:val="auto"/>
          <w:spacing w:val="-2"/>
          <w:highlight w:val="none"/>
        </w:rPr>
        <w:t>、供应商自行提交的其他文件</w:t>
      </w:r>
    </w:p>
    <w:p w14:paraId="7DDA1B1B">
      <w:pPr>
        <w:pStyle w:val="8"/>
        <w:spacing w:before="181" w:line="219" w:lineRule="auto"/>
        <w:ind w:left="26"/>
        <w:rPr>
          <w:color w:val="auto"/>
          <w:spacing w:val="-2"/>
          <w:highlight w:val="none"/>
        </w:rPr>
      </w:pPr>
      <w:r>
        <w:rPr>
          <w:rFonts w:hint="eastAsia"/>
          <w:color w:val="auto"/>
          <w:spacing w:val="-2"/>
          <w:highlight w:val="none"/>
        </w:rPr>
        <w:t>7.2 上述文件应按照招标文件规定的格式填写、签署和盖章。</w:t>
      </w:r>
    </w:p>
    <w:p w14:paraId="3D142A9E">
      <w:pPr>
        <w:pStyle w:val="28"/>
        <w:numPr>
          <w:ilvl w:val="0"/>
          <w:numId w:val="4"/>
        </w:numPr>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证明货物服务的合格性和符合招标文件规定的文件</w:t>
      </w:r>
    </w:p>
    <w:p w14:paraId="7B4AF6F1">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lang w:eastAsia="zh-CN"/>
        </w:rPr>
        <w:t>供应商</w:t>
      </w:r>
      <w:r>
        <w:rPr>
          <w:rFonts w:hint="eastAsia" w:ascii="宋体" w:hAnsi="宋体"/>
          <w:color w:val="auto"/>
          <w:sz w:val="24"/>
          <w:highlight w:val="none"/>
        </w:rPr>
        <w:t>应提交证明文件，证明其拟供的合同项下的货物和服务的合格性符合招标文件规定。该证明文件是投标文件的一部分。</w:t>
      </w:r>
    </w:p>
    <w:p w14:paraId="2739FE2A">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8.2上款所述的证明文件，可以是文字资料、图纸和数据，它包括：</w:t>
      </w:r>
    </w:p>
    <w:p w14:paraId="5167DB4C">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8.2.1货物和服务主要技术指标、品质、性能和服务内容及承诺的详细说明。</w:t>
      </w:r>
    </w:p>
    <w:p w14:paraId="3F0C24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8.2.2对照招标文件技术规格和服务要求，逐条说明所提供货物和服务已对招标文件的技术规格做出了响应，或申明与技术规格条文的偏差和例外。</w:t>
      </w:r>
    </w:p>
    <w:p w14:paraId="3A083ED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8.3本条所指证明文件不得为对招标文件相关部分的文字、图标的复制。</w:t>
      </w:r>
    </w:p>
    <w:p w14:paraId="519ABFAE">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9.投标报价</w:t>
      </w:r>
    </w:p>
    <w:p w14:paraId="2B6D3599">
      <w:pPr>
        <w:pStyle w:val="28"/>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9.1投标报价须包含所有人工、运输、包装、保险、税费等及其他发生的与本项目相关需计入投标成本的费用。</w:t>
      </w:r>
    </w:p>
    <w:p w14:paraId="126343F6">
      <w:pPr>
        <w:pStyle w:val="28"/>
        <w:spacing w:line="360" w:lineRule="auto"/>
        <w:jc w:val="left"/>
        <w:rPr>
          <w:rFonts w:hint="eastAsia" w:ascii="宋体" w:hAnsi="宋体"/>
          <w:b/>
          <w:bCs/>
          <w:color w:val="auto"/>
          <w:sz w:val="24"/>
          <w:highlight w:val="none"/>
        </w:rPr>
      </w:pPr>
      <w:r>
        <w:rPr>
          <w:rFonts w:hint="eastAsia" w:ascii="宋体" w:hAnsi="宋体" w:cs="宋体"/>
          <w:color w:val="auto"/>
          <w:sz w:val="24"/>
          <w:highlight w:val="none"/>
        </w:rPr>
        <w:t>9.2</w:t>
      </w:r>
      <w:r>
        <w:rPr>
          <w:rFonts w:hint="eastAsia" w:ascii="宋体" w:hAnsi="宋体"/>
          <w:color w:val="auto"/>
          <w:sz w:val="24"/>
          <w:highlight w:val="none"/>
        </w:rPr>
        <w:t>为保证公平竞争，根据相关法律法规规定，</w:t>
      </w:r>
      <w:r>
        <w:rPr>
          <w:rFonts w:hint="eastAsia" w:ascii="宋体" w:hAnsi="宋体"/>
          <w:color w:val="auto"/>
          <w:sz w:val="24"/>
          <w:highlight w:val="none"/>
          <w:lang w:eastAsia="zh-CN"/>
        </w:rPr>
        <w:t>供应商</w:t>
      </w:r>
      <w:r>
        <w:rPr>
          <w:rFonts w:hint="eastAsia" w:ascii="宋体" w:hAnsi="宋体"/>
          <w:color w:val="auto"/>
          <w:sz w:val="24"/>
          <w:highlight w:val="none"/>
        </w:rPr>
        <w:t>应合理报价。</w:t>
      </w:r>
      <w:r>
        <w:rPr>
          <w:rFonts w:hint="eastAsia" w:ascii="宋体" w:hAnsi="宋体"/>
          <w:b/>
          <w:bCs/>
          <w:color w:val="auto"/>
          <w:sz w:val="24"/>
          <w:highlight w:val="none"/>
        </w:rPr>
        <w:t>评标委员会认为</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的报价明显低于其他通过符合性审查</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的报价，有可能影响产品质量或者不能诚信履约的，应当要求其在合理的时间内提供书面说明，必要时提交相关证明材料；</w:t>
      </w:r>
      <w:r>
        <w:rPr>
          <w:rFonts w:hint="eastAsia" w:ascii="宋体" w:hAnsi="宋体"/>
          <w:b/>
          <w:bCs/>
          <w:color w:val="auto"/>
          <w:sz w:val="24"/>
          <w:highlight w:val="none"/>
          <w:lang w:eastAsia="zh-CN"/>
        </w:rPr>
        <w:t>供应商</w:t>
      </w:r>
      <w:r>
        <w:rPr>
          <w:rFonts w:hint="eastAsia" w:ascii="宋体" w:hAnsi="宋体"/>
          <w:b/>
          <w:bCs/>
          <w:color w:val="auto"/>
          <w:sz w:val="24"/>
          <w:highlight w:val="none"/>
        </w:rPr>
        <w:t>不能证明其报价合理性的，将被作为无效投标处理。</w:t>
      </w:r>
    </w:p>
    <w:p w14:paraId="4823B73F">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10.投标保证金和招标服务费</w:t>
      </w:r>
    </w:p>
    <w:p w14:paraId="23C21B03">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规定的金额、时间、形式缴纳投标保证金，并作为其投标的一部分。</w:t>
      </w:r>
    </w:p>
    <w:p w14:paraId="36950AD0">
      <w:pPr>
        <w:pStyle w:val="28"/>
        <w:spacing w:line="360" w:lineRule="auto"/>
        <w:jc w:val="left"/>
        <w:outlineLvl w:val="3"/>
        <w:rPr>
          <w:rFonts w:ascii="宋体" w:hAnsi="宋体"/>
          <w:bCs/>
          <w:color w:val="auto"/>
          <w:sz w:val="24"/>
          <w:highlight w:val="none"/>
        </w:rPr>
      </w:pPr>
      <w:r>
        <w:rPr>
          <w:rFonts w:hint="eastAsia" w:ascii="宋体" w:hAnsi="宋体"/>
          <w:bCs/>
          <w:color w:val="auto"/>
          <w:sz w:val="24"/>
          <w:highlight w:val="none"/>
        </w:rPr>
        <w:t>10.2下列任何情况发生，投标保证金将不予退还：</w:t>
      </w:r>
    </w:p>
    <w:p w14:paraId="068D55C5">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（1）投标有效期内</w:t>
      </w:r>
      <w:r>
        <w:rPr>
          <w:rFonts w:hint="eastAsia" w:ascii="宋体" w:hAnsi="宋体"/>
          <w:bCs/>
          <w:color w:val="auto"/>
          <w:sz w:val="24"/>
          <w:highlight w:val="none"/>
          <w:lang w:eastAsia="zh-CN"/>
        </w:rPr>
        <w:t>供应商</w:t>
      </w:r>
      <w:r>
        <w:rPr>
          <w:rFonts w:hint="eastAsia" w:ascii="宋体" w:hAnsi="宋体"/>
          <w:bCs/>
          <w:color w:val="auto"/>
          <w:sz w:val="24"/>
          <w:highlight w:val="none"/>
        </w:rPr>
        <w:t>撤销投标文件的；</w:t>
      </w:r>
    </w:p>
    <w:p w14:paraId="029C1967">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（2）中标人不按有关规定与采购人签订合同的；</w:t>
      </w:r>
    </w:p>
    <w:p w14:paraId="5E56EDA8">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（3）中标人不按有关规定提交履约保证金的；</w:t>
      </w:r>
    </w:p>
    <w:p w14:paraId="22416CE2">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（4）中标人擅自放弃中标的。</w:t>
      </w:r>
    </w:p>
    <w:p w14:paraId="3E451843">
      <w:pPr>
        <w:pStyle w:val="28"/>
        <w:spacing w:line="360" w:lineRule="auto"/>
        <w:jc w:val="left"/>
        <w:rPr>
          <w:rFonts w:ascii="宋体" w:hAnsi="宋体"/>
          <w:bCs/>
          <w:color w:val="auto"/>
          <w:sz w:val="24"/>
          <w:highlight w:val="none"/>
        </w:rPr>
      </w:pPr>
      <w:r>
        <w:rPr>
          <w:rFonts w:hint="eastAsia" w:ascii="宋体" w:hAnsi="宋体"/>
          <w:bCs/>
          <w:color w:val="auto"/>
          <w:sz w:val="24"/>
          <w:highlight w:val="none"/>
        </w:rPr>
        <w:t>10.3中标人的投标保证金，在与采购人签订书面合同后</w:t>
      </w:r>
      <w:r>
        <w:rPr>
          <w:rFonts w:ascii="宋体" w:hAnsi="宋体"/>
          <w:bCs/>
          <w:color w:val="auto"/>
          <w:sz w:val="24"/>
          <w:highlight w:val="none"/>
        </w:rPr>
        <w:t>5</w:t>
      </w:r>
      <w:r>
        <w:rPr>
          <w:rFonts w:hint="eastAsia" w:ascii="宋体" w:hAnsi="宋体"/>
          <w:bCs/>
          <w:color w:val="auto"/>
          <w:sz w:val="24"/>
          <w:highlight w:val="none"/>
        </w:rPr>
        <w:t>个工作日内无息退还中标人。未中标的</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的投标保证金，将于中标通知书发出之日起</w:t>
      </w:r>
      <w:r>
        <w:rPr>
          <w:rFonts w:ascii="宋体" w:hAnsi="宋体"/>
          <w:bCs/>
          <w:color w:val="auto"/>
          <w:sz w:val="24"/>
          <w:highlight w:val="none"/>
        </w:rPr>
        <w:t>5</w:t>
      </w:r>
      <w:r>
        <w:rPr>
          <w:rFonts w:hint="eastAsia" w:ascii="宋体" w:hAnsi="宋体"/>
          <w:bCs/>
          <w:color w:val="auto"/>
          <w:sz w:val="24"/>
          <w:highlight w:val="none"/>
        </w:rPr>
        <w:t>个工作日内无息退还</w:t>
      </w:r>
      <w:r>
        <w:rPr>
          <w:rFonts w:hint="eastAsia" w:ascii="宋体" w:hAnsi="宋体"/>
          <w:bCs/>
          <w:color w:val="auto"/>
          <w:sz w:val="24"/>
          <w:highlight w:val="none"/>
          <w:lang w:eastAsia="zh-CN"/>
        </w:rPr>
        <w:t>供应商</w:t>
      </w:r>
      <w:r>
        <w:rPr>
          <w:rFonts w:hint="eastAsia" w:ascii="宋体" w:hAnsi="宋体"/>
          <w:bCs/>
          <w:color w:val="auto"/>
          <w:sz w:val="24"/>
          <w:highlight w:val="none"/>
        </w:rPr>
        <w:t>。</w:t>
      </w:r>
    </w:p>
    <w:p w14:paraId="50D9EFDB">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10.4中标人应按照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中的规定在领取中标通知书时交付招标服务费。</w:t>
      </w:r>
    </w:p>
    <w:p w14:paraId="4F15950A">
      <w:pPr>
        <w:pStyle w:val="28"/>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10.5中标人在办理退还投标保证金时，须提供采购合同的扫描件（PDF格式）。</w:t>
      </w:r>
    </w:p>
    <w:p w14:paraId="35503661">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11.投标有效期</w:t>
      </w:r>
    </w:p>
    <w:p w14:paraId="5312574A">
      <w:pPr>
        <w:pStyle w:val="28"/>
        <w:spacing w:line="360" w:lineRule="auto"/>
        <w:jc w:val="left"/>
        <w:rPr>
          <w:rFonts w:hint="eastAsia" w:hAnsi="宋体"/>
          <w:b/>
          <w:bCs/>
          <w:color w:val="auto"/>
          <w:sz w:val="24"/>
          <w:highlight w:val="none"/>
        </w:rPr>
      </w:pPr>
      <w:r>
        <w:rPr>
          <w:rFonts w:hint="eastAsia" w:ascii="宋体" w:hAnsi="宋体"/>
          <w:bCs/>
          <w:color w:val="auto"/>
          <w:sz w:val="24"/>
          <w:highlight w:val="none"/>
        </w:rPr>
        <w:t>11.1</w:t>
      </w:r>
      <w:r>
        <w:rPr>
          <w:rFonts w:hint="eastAsia" w:hAnsi="宋体"/>
          <w:bCs/>
          <w:color w:val="auto"/>
          <w:sz w:val="24"/>
          <w:highlight w:val="none"/>
        </w:rPr>
        <w:t>投标有效期从提交投标文件的截止之日起算，投标文件中承诺的投标有效期应当不少于招标文件</w:t>
      </w:r>
      <w:r>
        <w:rPr>
          <w:rFonts w:hAnsi="宋体"/>
          <w:bCs/>
          <w:color w:val="auto"/>
          <w:sz w:val="24"/>
          <w:highlight w:val="none"/>
        </w:rPr>
        <w:t>“</w:t>
      </w:r>
      <w:r>
        <w:rPr>
          <w:rFonts w:hint="eastAsia" w:hAnsi="宋体"/>
          <w:bCs/>
          <w:color w:val="auto"/>
          <w:sz w:val="24"/>
          <w:highlight w:val="none"/>
          <w:lang w:eastAsia="zh-CN"/>
        </w:rPr>
        <w:t>供应商</w:t>
      </w:r>
      <w:r>
        <w:rPr>
          <w:rFonts w:hint="eastAsia" w:hAnsi="宋体"/>
          <w:bCs/>
          <w:color w:val="auto"/>
          <w:sz w:val="24"/>
          <w:highlight w:val="none"/>
        </w:rPr>
        <w:t>须知前附表</w:t>
      </w:r>
      <w:r>
        <w:rPr>
          <w:rFonts w:hAnsi="宋体"/>
          <w:bCs/>
          <w:color w:val="auto"/>
          <w:sz w:val="24"/>
          <w:highlight w:val="none"/>
        </w:rPr>
        <w:t>”</w:t>
      </w:r>
      <w:r>
        <w:rPr>
          <w:rFonts w:hint="eastAsia" w:hAnsi="宋体"/>
          <w:bCs/>
          <w:color w:val="auto"/>
          <w:sz w:val="24"/>
          <w:highlight w:val="none"/>
        </w:rPr>
        <w:t>中载明的投标有效期，</w:t>
      </w:r>
      <w:r>
        <w:rPr>
          <w:rFonts w:hint="eastAsia" w:hAnsi="宋体"/>
          <w:b/>
          <w:bCs/>
          <w:color w:val="auto"/>
          <w:sz w:val="24"/>
          <w:highlight w:val="none"/>
        </w:rPr>
        <w:t>投标有效期不满足要求的投标将被作为无效投标处理。</w:t>
      </w:r>
    </w:p>
    <w:p w14:paraId="402D194D">
      <w:pPr>
        <w:pStyle w:val="28"/>
        <w:spacing w:line="360" w:lineRule="auto"/>
        <w:rPr>
          <w:rFonts w:hint="eastAsia" w:hAnsi="宋体"/>
          <w:bCs/>
          <w:color w:val="auto"/>
          <w:sz w:val="24"/>
          <w:highlight w:val="none"/>
        </w:rPr>
      </w:pPr>
      <w:r>
        <w:rPr>
          <w:rFonts w:hint="eastAsia" w:ascii="宋体" w:hAnsi="宋体"/>
          <w:bCs/>
          <w:color w:val="auto"/>
          <w:sz w:val="24"/>
          <w:highlight w:val="none"/>
        </w:rPr>
        <w:t>11.2</w:t>
      </w:r>
      <w:r>
        <w:rPr>
          <w:rFonts w:hint="eastAsia" w:hAnsi="宋体"/>
          <w:bCs/>
          <w:color w:val="auto"/>
          <w:sz w:val="24"/>
          <w:highlight w:val="none"/>
        </w:rPr>
        <w:t>采购人可根据实际情况，在原投标有效期截止之前，要求</w:t>
      </w:r>
      <w:r>
        <w:rPr>
          <w:rFonts w:hint="eastAsia" w:hAnsi="宋体"/>
          <w:bCs/>
          <w:color w:val="auto"/>
          <w:sz w:val="24"/>
          <w:highlight w:val="none"/>
          <w:lang w:eastAsia="zh-CN"/>
        </w:rPr>
        <w:t>供应商</w:t>
      </w:r>
      <w:r>
        <w:rPr>
          <w:rFonts w:hint="eastAsia" w:hAnsi="宋体"/>
          <w:bCs/>
          <w:color w:val="auto"/>
          <w:sz w:val="24"/>
          <w:highlight w:val="none"/>
        </w:rPr>
        <w:t>同意延长投标的有效期。接受该要求的</w:t>
      </w:r>
      <w:r>
        <w:rPr>
          <w:rFonts w:hint="eastAsia" w:hAnsi="宋体"/>
          <w:bCs/>
          <w:color w:val="auto"/>
          <w:sz w:val="24"/>
          <w:highlight w:val="none"/>
          <w:lang w:eastAsia="zh-CN"/>
        </w:rPr>
        <w:t>供应商</w:t>
      </w:r>
      <w:r>
        <w:rPr>
          <w:rFonts w:hint="eastAsia" w:hAnsi="宋体"/>
          <w:bCs/>
          <w:color w:val="auto"/>
          <w:sz w:val="24"/>
          <w:highlight w:val="none"/>
        </w:rPr>
        <w:t>将不会被要求和允许修正其投标，且本须知中有关投标保证金的要求将在延长了的有效期内继续有效。</w:t>
      </w:r>
      <w:r>
        <w:rPr>
          <w:rFonts w:hint="eastAsia" w:hAnsi="宋体"/>
          <w:bCs/>
          <w:color w:val="auto"/>
          <w:sz w:val="24"/>
          <w:highlight w:val="none"/>
          <w:lang w:eastAsia="zh-CN"/>
        </w:rPr>
        <w:t>供应商</w:t>
      </w:r>
      <w:r>
        <w:rPr>
          <w:rFonts w:hint="eastAsia" w:hAnsi="宋体"/>
          <w:bCs/>
          <w:color w:val="auto"/>
          <w:sz w:val="24"/>
          <w:highlight w:val="none"/>
        </w:rPr>
        <w:t>也可以拒绝采购人的这种要求，其投标保证金将不会被没收。上述要求和答复都应以书面形式提交。</w:t>
      </w:r>
    </w:p>
    <w:p w14:paraId="6A594F6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12. 投标文件的份数及签署、盖章规定</w:t>
      </w:r>
    </w:p>
    <w:p w14:paraId="76BE8CC7">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的规定提交投标文件，资格证明文件，商务技术文件正本、副本，每份投标文件须清楚地标明</w:t>
      </w:r>
      <w:r>
        <w:rPr>
          <w:rFonts w:ascii="宋体" w:hAnsi="宋体"/>
          <w:bCs/>
          <w:color w:val="auto"/>
          <w:sz w:val="24"/>
          <w:highlight w:val="none"/>
        </w:rPr>
        <w:t>“</w:t>
      </w:r>
      <w:r>
        <w:rPr>
          <w:rFonts w:hint="eastAsia" w:ascii="宋体" w:hAnsi="宋体"/>
          <w:bCs/>
          <w:color w:val="auto"/>
          <w:sz w:val="24"/>
          <w:highlight w:val="none"/>
        </w:rPr>
        <w:t>正本</w:t>
      </w:r>
      <w:r>
        <w:rPr>
          <w:rFonts w:ascii="宋体" w:hAnsi="宋体"/>
          <w:bCs/>
          <w:color w:val="auto"/>
          <w:sz w:val="24"/>
          <w:highlight w:val="none"/>
        </w:rPr>
        <w:t>”</w:t>
      </w:r>
      <w:r>
        <w:rPr>
          <w:rFonts w:hint="eastAsia" w:ascii="宋体" w:hAnsi="宋体"/>
          <w:bCs/>
          <w:color w:val="auto"/>
          <w:sz w:val="24"/>
          <w:highlight w:val="none"/>
        </w:rPr>
        <w:t>或</w:t>
      </w:r>
      <w:r>
        <w:rPr>
          <w:rFonts w:ascii="宋体" w:hAnsi="宋体"/>
          <w:bCs/>
          <w:color w:val="auto"/>
          <w:sz w:val="24"/>
          <w:highlight w:val="none"/>
        </w:rPr>
        <w:t>“</w:t>
      </w:r>
      <w:r>
        <w:rPr>
          <w:rFonts w:hint="eastAsia" w:ascii="宋体" w:hAnsi="宋体"/>
          <w:bCs/>
          <w:color w:val="auto"/>
          <w:sz w:val="24"/>
          <w:highlight w:val="none"/>
        </w:rPr>
        <w:t>副本</w:t>
      </w:r>
      <w:r>
        <w:rPr>
          <w:rFonts w:ascii="宋体" w:hAnsi="宋体"/>
          <w:bCs/>
          <w:color w:val="auto"/>
          <w:sz w:val="24"/>
          <w:highlight w:val="none"/>
        </w:rPr>
        <w:t>”</w:t>
      </w:r>
      <w:r>
        <w:rPr>
          <w:rFonts w:hint="eastAsia" w:ascii="宋体" w:hAnsi="宋体"/>
          <w:bCs/>
          <w:color w:val="auto"/>
          <w:sz w:val="24"/>
          <w:highlight w:val="none"/>
        </w:rPr>
        <w:t>。若正本与副本不符，以正本为准。</w:t>
      </w:r>
    </w:p>
    <w:p w14:paraId="768FC5D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12.2投标文件的正本需打印或用不退色墨水书写，并按要求由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的法定代表人或经其正式授权的代表在投标文件上签字并加盖</w:t>
      </w:r>
      <w:r>
        <w:rPr>
          <w:rFonts w:hint="eastAsia" w:ascii="宋体" w:hAnsi="宋体"/>
          <w:bCs/>
          <w:color w:val="auto"/>
          <w:sz w:val="24"/>
          <w:highlight w:val="none"/>
          <w:lang w:eastAsia="zh-CN"/>
        </w:rPr>
        <w:t>供应商</w:t>
      </w:r>
      <w:r>
        <w:rPr>
          <w:rFonts w:hint="eastAsia" w:ascii="宋体" w:hAnsi="宋体"/>
          <w:bCs/>
          <w:color w:val="auto"/>
          <w:sz w:val="24"/>
          <w:highlight w:val="none"/>
        </w:rPr>
        <w:t>公章。如对投标文件进行了修改，则应由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的法定代表人或经其正式授权的代表在修改的内容上签字。投标文件应当装订成册，编制页码。投标文件的副本可采用正本的复印件。</w:t>
      </w:r>
    </w:p>
    <w:p w14:paraId="34A6DA2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12.3任何行间插字、涂改和增删，必须由</w:t>
      </w:r>
      <w:r>
        <w:rPr>
          <w:rFonts w:hint="eastAsia" w:ascii="宋体" w:hAnsi="宋体"/>
          <w:bCs/>
          <w:color w:val="auto"/>
          <w:sz w:val="24"/>
          <w:highlight w:val="none"/>
          <w:lang w:eastAsia="zh-CN"/>
        </w:rPr>
        <w:t>供应商</w:t>
      </w:r>
      <w:r>
        <w:rPr>
          <w:rFonts w:hint="eastAsia" w:ascii="宋体" w:hAnsi="宋体"/>
          <w:bCs/>
          <w:color w:val="auto"/>
          <w:sz w:val="24"/>
          <w:highlight w:val="none"/>
        </w:rPr>
        <w:t>法定代表人或经其正式授权的代表签字后才有效。</w:t>
      </w:r>
    </w:p>
    <w:p w14:paraId="0071BD21">
      <w:pPr>
        <w:pStyle w:val="28"/>
        <w:spacing w:line="360" w:lineRule="auto"/>
        <w:rPr>
          <w:rFonts w:ascii="宋体" w:hAnsi="宋体"/>
          <w:bCs/>
          <w:color w:val="auto"/>
          <w:sz w:val="24"/>
          <w:highlight w:val="none"/>
        </w:rPr>
      </w:pPr>
      <w:r>
        <w:rPr>
          <w:rFonts w:hint="eastAsia" w:ascii="宋体" w:hAnsi="宋体"/>
          <w:bCs/>
          <w:color w:val="auto"/>
          <w:sz w:val="24"/>
          <w:highlight w:val="none"/>
        </w:rPr>
        <w:t>12.4投标文件因字迹潦草或表达不清所引起的后果由</w:t>
      </w:r>
      <w:r>
        <w:rPr>
          <w:rFonts w:hint="eastAsia" w:ascii="宋体" w:hAnsi="宋体"/>
          <w:bCs/>
          <w:color w:val="auto"/>
          <w:sz w:val="24"/>
          <w:highlight w:val="none"/>
          <w:lang w:eastAsia="zh-CN"/>
        </w:rPr>
        <w:t>供应商</w:t>
      </w:r>
      <w:r>
        <w:rPr>
          <w:rFonts w:hint="eastAsia" w:ascii="宋体" w:hAnsi="宋体"/>
          <w:bCs/>
          <w:color w:val="auto"/>
          <w:sz w:val="24"/>
          <w:highlight w:val="none"/>
        </w:rPr>
        <w:t>负责。</w:t>
      </w:r>
    </w:p>
    <w:p w14:paraId="6CE5F673">
      <w:pPr>
        <w:pStyle w:val="28"/>
        <w:spacing w:line="360" w:lineRule="auto"/>
        <w:jc w:val="center"/>
        <w:outlineLvl w:val="1"/>
        <w:rPr>
          <w:rFonts w:hint="eastAsia" w:ascii="宋体" w:hAnsi="宋体"/>
          <w:b/>
          <w:color w:val="auto"/>
          <w:sz w:val="32"/>
          <w:szCs w:val="32"/>
          <w:highlight w:val="none"/>
        </w:rPr>
      </w:pPr>
      <w:bookmarkStart w:id="26" w:name="_Toc15388"/>
      <w:r>
        <w:rPr>
          <w:rFonts w:hint="eastAsia" w:ascii="宋体" w:hAnsi="宋体"/>
          <w:b/>
          <w:color w:val="auto"/>
          <w:sz w:val="32"/>
          <w:szCs w:val="32"/>
          <w:highlight w:val="none"/>
        </w:rPr>
        <w:t>四、投标文件的递交</w:t>
      </w:r>
      <w:bookmarkEnd w:id="26"/>
    </w:p>
    <w:p w14:paraId="263BDE41">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13.投标文件的密封和标记</w:t>
      </w:r>
    </w:p>
    <w:p w14:paraId="529C563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13.1</w:t>
      </w:r>
      <w:r>
        <w:rPr>
          <w:rFonts w:hint="eastAsia" w:ascii="宋体" w:hAnsi="宋体"/>
          <w:bCs/>
          <w:color w:val="auto"/>
          <w:sz w:val="24"/>
          <w:highlight w:val="none"/>
          <w:lang w:eastAsia="zh-CN"/>
        </w:rPr>
        <w:t>供应商</w:t>
      </w:r>
      <w:r>
        <w:rPr>
          <w:rFonts w:hint="eastAsia" w:ascii="宋体" w:hAnsi="宋体"/>
          <w:bCs/>
          <w:color w:val="auto"/>
          <w:sz w:val="24"/>
          <w:highlight w:val="none"/>
        </w:rPr>
        <w:t>应通过电子响应文件制作工具严格按招标文件要求制作投标文件，在投标截止时间前完成上传经数字证书电子签章并加密的投标文件（加密和解密须用同一把CA数字证书）。</w:t>
      </w:r>
    </w:p>
    <w:p w14:paraId="7D1F2DF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13.2</w:t>
      </w:r>
      <w:r>
        <w:rPr>
          <w:rFonts w:hint="eastAsia" w:ascii="宋体" w:hAnsi="宋体"/>
          <w:bCs/>
          <w:color w:val="auto"/>
          <w:sz w:val="24"/>
          <w:highlight w:val="none"/>
          <w:lang w:eastAsia="zh-CN"/>
        </w:rPr>
        <w:t>供应商</w:t>
      </w:r>
      <w:r>
        <w:rPr>
          <w:rFonts w:hint="eastAsia" w:ascii="宋体" w:hAnsi="宋体"/>
          <w:bCs/>
          <w:color w:val="auto"/>
          <w:sz w:val="24"/>
          <w:highlight w:val="none"/>
        </w:rPr>
        <w:t>在投标截止时间前，可以对其所递交的投标文件进行修改并重新上传，但以投标截止时间前最后一次上传的投标文件为有效投标文件。</w:t>
      </w:r>
    </w:p>
    <w:p w14:paraId="1E734B7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14.投标截止时间</w:t>
      </w:r>
    </w:p>
    <w:p w14:paraId="26914811">
      <w:pPr>
        <w:pStyle w:val="28"/>
        <w:spacing w:line="360" w:lineRule="auto"/>
        <w:rPr>
          <w:rFonts w:ascii="宋体" w:hAnsi="宋体"/>
          <w:bCs/>
          <w:color w:val="auto"/>
          <w:sz w:val="24"/>
          <w:highlight w:val="none"/>
        </w:rPr>
      </w:pPr>
      <w:r>
        <w:rPr>
          <w:rFonts w:hint="eastAsia" w:ascii="宋体" w:hAnsi="宋体"/>
          <w:bCs/>
          <w:color w:val="auto"/>
          <w:sz w:val="24"/>
          <w:highlight w:val="none"/>
        </w:rPr>
        <w:t>14.1投标截止时间以政采云交易平台显示的时间为准，逾期系统将自动关闭，未完成上传的投标文件视为逾期送达，将被拒绝。</w:t>
      </w:r>
    </w:p>
    <w:p w14:paraId="46BAA7B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14.2如有特殊情况，采购组织机构延长截止时间和开标时间，采购组织机构和</w:t>
      </w:r>
      <w:r>
        <w:rPr>
          <w:rFonts w:hint="eastAsia" w:ascii="宋体" w:hAnsi="宋体"/>
          <w:bCs/>
          <w:color w:val="auto"/>
          <w:sz w:val="24"/>
          <w:highlight w:val="none"/>
          <w:lang w:eastAsia="zh-CN"/>
        </w:rPr>
        <w:t>供应商</w:t>
      </w:r>
      <w:r>
        <w:rPr>
          <w:rFonts w:hint="eastAsia" w:ascii="宋体" w:hAnsi="宋体"/>
          <w:bCs/>
          <w:color w:val="auto"/>
          <w:sz w:val="24"/>
          <w:highlight w:val="none"/>
        </w:rPr>
        <w:t>的权利和义务将受到新的截止时间和开标时间的约束。</w:t>
      </w:r>
    </w:p>
    <w:p w14:paraId="02D1B275">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15.投标文件的修改和撒回</w:t>
      </w:r>
    </w:p>
    <w:p w14:paraId="5568211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15.1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应当在投标截止时间前完成电子交易文件的传输递交，投标截止时间前可以补</w:t>
      </w:r>
    </w:p>
    <w:p w14:paraId="52DEC53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充、修改或者撤回电子交易文件。补充或者修改电子交易文件的，应当先行撤回原文件，补充、修改后重新传输递交。</w:t>
      </w:r>
    </w:p>
    <w:p w14:paraId="6444752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15.2投标截止时间前未完成传输的，视为投标文件撤回。投标截止时间后传输递交的投标文件，“政采云”平台将予以拒收。投标截止时间后，</w:t>
      </w:r>
      <w:r>
        <w:rPr>
          <w:rFonts w:hint="eastAsia" w:ascii="宋体" w:hAnsi="宋体"/>
          <w:bCs/>
          <w:color w:val="auto"/>
          <w:sz w:val="24"/>
          <w:highlight w:val="none"/>
          <w:lang w:eastAsia="zh-CN"/>
        </w:rPr>
        <w:t>供应商</w:t>
      </w:r>
      <w:r>
        <w:rPr>
          <w:rFonts w:hint="eastAsia" w:ascii="宋体" w:hAnsi="宋体"/>
          <w:bCs/>
          <w:color w:val="auto"/>
          <w:sz w:val="24"/>
          <w:highlight w:val="none"/>
        </w:rPr>
        <w:t>不得修改（补充）或撤回其投标文件。</w:t>
      </w:r>
    </w:p>
    <w:p w14:paraId="0537D1EC">
      <w:pPr>
        <w:pStyle w:val="28"/>
        <w:spacing w:line="360" w:lineRule="auto"/>
        <w:jc w:val="center"/>
        <w:outlineLvl w:val="1"/>
        <w:rPr>
          <w:rFonts w:hint="eastAsia" w:ascii="宋体" w:hAnsi="宋体"/>
          <w:b/>
          <w:color w:val="auto"/>
          <w:sz w:val="32"/>
          <w:szCs w:val="32"/>
          <w:highlight w:val="none"/>
        </w:rPr>
      </w:pPr>
      <w:bookmarkStart w:id="27" w:name="_Toc8344"/>
      <w:r>
        <w:rPr>
          <w:rFonts w:hint="eastAsia" w:ascii="宋体" w:hAnsi="宋体"/>
          <w:b/>
          <w:color w:val="auto"/>
          <w:sz w:val="32"/>
          <w:szCs w:val="32"/>
          <w:highlight w:val="none"/>
        </w:rPr>
        <w:t>五、开标与评标</w:t>
      </w:r>
      <w:bookmarkEnd w:id="27"/>
    </w:p>
    <w:p w14:paraId="322C49F7">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16.开标</w:t>
      </w:r>
    </w:p>
    <w:p w14:paraId="3872A264">
      <w:pPr>
        <w:pStyle w:val="28"/>
        <w:spacing w:line="360" w:lineRule="auto"/>
        <w:rPr>
          <w:rFonts w:hint="eastAsia" w:hAnsi="宋体"/>
          <w:bCs/>
          <w:color w:val="auto"/>
          <w:sz w:val="24"/>
          <w:highlight w:val="none"/>
        </w:rPr>
      </w:pPr>
      <w:r>
        <w:rPr>
          <w:rFonts w:hint="eastAsia" w:ascii="宋体" w:hAnsi="宋体"/>
          <w:bCs/>
          <w:color w:val="auto"/>
          <w:sz w:val="24"/>
          <w:highlight w:val="none"/>
        </w:rPr>
        <w:t>16.1</w:t>
      </w:r>
      <w:r>
        <w:rPr>
          <w:rFonts w:hint="eastAsia" w:hAnsi="宋体"/>
          <w:bCs/>
          <w:color w:val="auto"/>
          <w:sz w:val="24"/>
          <w:highlight w:val="none"/>
        </w:rPr>
        <w:t>采购人和采购代理机构将按</w:t>
      </w:r>
      <w:r>
        <w:rPr>
          <w:rFonts w:hint="eastAsia" w:hAnsi="宋体"/>
          <w:bCs/>
          <w:color w:val="auto"/>
          <w:sz w:val="24"/>
          <w:highlight w:val="none"/>
          <w:lang w:eastAsia="zh-CN"/>
        </w:rPr>
        <w:t>供应商</w:t>
      </w:r>
      <w:r>
        <w:rPr>
          <w:rFonts w:hint="eastAsia" w:hAnsi="宋体"/>
          <w:bCs/>
          <w:color w:val="auto"/>
          <w:sz w:val="24"/>
          <w:highlight w:val="none"/>
        </w:rPr>
        <w:t>须知前附表中规定的开标时间和地点组织公开开标并邀请所有</w:t>
      </w:r>
      <w:r>
        <w:rPr>
          <w:rFonts w:hint="eastAsia" w:hAnsi="宋体"/>
          <w:bCs/>
          <w:color w:val="auto"/>
          <w:sz w:val="24"/>
          <w:highlight w:val="none"/>
          <w:lang w:eastAsia="zh-CN"/>
        </w:rPr>
        <w:t>供应商</w:t>
      </w:r>
      <w:r>
        <w:rPr>
          <w:rFonts w:hint="eastAsia" w:hAnsi="宋体"/>
          <w:bCs/>
          <w:color w:val="auto"/>
          <w:sz w:val="24"/>
          <w:highlight w:val="none"/>
        </w:rPr>
        <w:t>代表参加。</w:t>
      </w:r>
      <w:r>
        <w:rPr>
          <w:rFonts w:hint="eastAsia" w:hAnsi="宋体"/>
          <w:b/>
          <w:bCs w:val="0"/>
          <w:color w:val="auto"/>
          <w:sz w:val="24"/>
          <w:highlight w:val="none"/>
          <w:lang w:eastAsia="zh-CN"/>
        </w:rPr>
        <w:t>供应商</w:t>
      </w:r>
      <w:r>
        <w:rPr>
          <w:rFonts w:hint="eastAsia" w:hAnsi="宋体"/>
          <w:b/>
          <w:bCs w:val="0"/>
          <w:color w:val="auto"/>
          <w:sz w:val="24"/>
          <w:highlight w:val="none"/>
        </w:rPr>
        <w:t>不足3家的，不得开标。</w:t>
      </w:r>
    </w:p>
    <w:p w14:paraId="7753530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16.2</w:t>
      </w:r>
      <w:r>
        <w:rPr>
          <w:rFonts w:hint="eastAsia" w:ascii="宋体" w:hAnsi="宋体"/>
          <w:bCs/>
          <w:color w:val="auto"/>
          <w:sz w:val="24"/>
          <w:highlight w:val="none"/>
          <w:lang w:eastAsia="zh-CN"/>
        </w:rPr>
        <w:t>供应商</w:t>
      </w:r>
      <w:r>
        <w:rPr>
          <w:rFonts w:hint="eastAsia" w:ascii="宋体" w:hAnsi="宋体"/>
          <w:bCs/>
          <w:color w:val="auto"/>
          <w:sz w:val="24"/>
          <w:highlight w:val="none"/>
        </w:rPr>
        <w:t>按照</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须知前附表中规定的开标时间和地点，在规定时间内上传投标文件。</w:t>
      </w:r>
    </w:p>
    <w:p w14:paraId="222B7B5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16.3本项目实行不见面电子标，</w:t>
      </w:r>
      <w:r>
        <w:rPr>
          <w:rFonts w:hint="eastAsia" w:ascii="宋体" w:hAnsi="宋体"/>
          <w:bCs/>
          <w:color w:val="auto"/>
          <w:sz w:val="24"/>
          <w:highlight w:val="none"/>
          <w:lang w:eastAsia="zh-CN"/>
        </w:rPr>
        <w:t>供应商</w:t>
      </w:r>
      <w:r>
        <w:rPr>
          <w:rFonts w:hint="eastAsia" w:ascii="宋体" w:hAnsi="宋体"/>
          <w:bCs/>
          <w:color w:val="auto"/>
          <w:sz w:val="24"/>
          <w:highlight w:val="none"/>
        </w:rPr>
        <w:t>须使用CA锁加密投标文件文件，以便开标时对其电子响应文件进行解密，由于</w:t>
      </w:r>
      <w:r>
        <w:rPr>
          <w:rFonts w:hint="eastAsia" w:ascii="宋体" w:hAnsi="宋体"/>
          <w:bCs/>
          <w:color w:val="auto"/>
          <w:sz w:val="24"/>
          <w:highlight w:val="none"/>
          <w:lang w:eastAsia="zh-CN"/>
        </w:rPr>
        <w:t>供应商</w:t>
      </w:r>
      <w:r>
        <w:rPr>
          <w:rFonts w:hint="eastAsia" w:ascii="宋体" w:hAnsi="宋体"/>
          <w:bCs/>
          <w:color w:val="auto"/>
          <w:sz w:val="24"/>
          <w:highlight w:val="none"/>
        </w:rPr>
        <w:t>自身原因未能成功导入评标系统的，均视为不响应招标文件，其投标文件将被拒绝评审。未按规定时间在招标文件要求的开评标系统解密成功的电子响应文件无效。</w:t>
      </w:r>
    </w:p>
    <w:p w14:paraId="6062061C">
      <w:pPr>
        <w:pStyle w:val="28"/>
        <w:spacing w:line="360" w:lineRule="auto"/>
        <w:rPr>
          <w:rFonts w:hint="eastAsia" w:hAnsi="宋体"/>
          <w:bCs/>
          <w:color w:val="auto"/>
          <w:sz w:val="24"/>
          <w:highlight w:val="none"/>
        </w:rPr>
      </w:pPr>
      <w:r>
        <w:rPr>
          <w:rFonts w:hint="eastAsia" w:ascii="宋体" w:hAnsi="宋体"/>
          <w:bCs/>
          <w:color w:val="auto"/>
          <w:sz w:val="24"/>
          <w:highlight w:val="none"/>
        </w:rPr>
        <w:t>16.4</w:t>
      </w:r>
      <w:r>
        <w:rPr>
          <w:rFonts w:hint="eastAsia" w:hAnsi="宋体"/>
          <w:bCs/>
          <w:color w:val="auto"/>
          <w:sz w:val="24"/>
          <w:highlight w:val="none"/>
        </w:rPr>
        <w:t>采购代理机构在规定时间内对投标文件进行解密，时长为30分钟。</w:t>
      </w:r>
    </w:p>
    <w:p w14:paraId="6BEA7A36">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16.5采购代理机构将对开标过程进行记录，并存档备查。</w:t>
      </w:r>
    </w:p>
    <w:p w14:paraId="6C383F7D">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17.评标委员会</w:t>
      </w:r>
    </w:p>
    <w:p w14:paraId="327A7E4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17.1按照《中华人民共和国政府采购法》、《中华人民共和国政府采购实施条例》及本项目采购人本级和上级财政部门的有关规定依法组建的评标委员会负责评标工作。</w:t>
      </w:r>
    </w:p>
    <w:p w14:paraId="48E5955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17.2评标委员会负责具体评标事务，成员人数为</w:t>
      </w:r>
      <w:r>
        <w:rPr>
          <w:rFonts w:hint="eastAsia" w:ascii="宋体" w:hAnsi="宋体"/>
          <w:bCs/>
          <w:color w:val="auto"/>
          <w:sz w:val="24"/>
          <w:highlight w:val="none"/>
          <w:lang w:val="en-US" w:eastAsia="zh-CN"/>
        </w:rPr>
        <w:t>7</w:t>
      </w:r>
      <w:r>
        <w:rPr>
          <w:rFonts w:hint="eastAsia" w:ascii="宋体" w:hAnsi="宋体"/>
          <w:bCs/>
          <w:color w:val="auto"/>
          <w:sz w:val="24"/>
          <w:highlight w:val="none"/>
        </w:rPr>
        <w:t>人，评审专家不得少于成员总数的三分之二。</w:t>
      </w:r>
    </w:p>
    <w:p w14:paraId="431C710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17.3评标委员会成员应依照政府采购法及其他各项有关政府采购评审管理办法的规定，履行评审专家的各项职责。</w:t>
      </w:r>
    </w:p>
    <w:p w14:paraId="386CD6AB">
      <w:pPr>
        <w:pStyle w:val="28"/>
        <w:spacing w:line="360" w:lineRule="auto"/>
        <w:rPr>
          <w:rFonts w:ascii="宋体" w:hAnsi="宋体"/>
          <w:bCs/>
          <w:color w:val="auto"/>
          <w:sz w:val="24"/>
          <w:highlight w:val="none"/>
        </w:rPr>
      </w:pPr>
      <w:r>
        <w:rPr>
          <w:rFonts w:hint="eastAsia" w:ascii="宋体" w:hAnsi="宋体"/>
          <w:bCs/>
          <w:color w:val="auto"/>
          <w:sz w:val="24"/>
          <w:highlight w:val="none"/>
        </w:rPr>
        <w:t>17.4评标委员会成员因缺席、回避、擅离职守或者因健康等原因不能继续履行评审专家职责的，采购人或者采购代理机构有权向相关监督管理部门通报。</w:t>
      </w:r>
    </w:p>
    <w:p w14:paraId="78DBFC08">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 xml:space="preserve">18. </w:t>
      </w:r>
      <w:r>
        <w:rPr>
          <w:rFonts w:hint="eastAsia" w:ascii="宋体" w:hAnsi="宋体"/>
          <w:b/>
          <w:bCs/>
          <w:color w:val="auto"/>
          <w:sz w:val="24"/>
          <w:highlight w:val="none"/>
          <w:lang w:eastAsia="zh-CN"/>
        </w:rPr>
        <w:t>供应商</w:t>
      </w:r>
      <w:r>
        <w:rPr>
          <w:rFonts w:hint="eastAsia" w:ascii="宋体" w:hAnsi="宋体"/>
          <w:b/>
          <w:bCs/>
          <w:color w:val="auto"/>
          <w:sz w:val="24"/>
          <w:highlight w:val="none"/>
        </w:rPr>
        <w:t>资格审查和投标文件符合性审查</w:t>
      </w:r>
    </w:p>
    <w:p w14:paraId="298B96E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18.1</w:t>
      </w:r>
      <w:r>
        <w:rPr>
          <w:rFonts w:hint="eastAsia" w:ascii="宋体" w:hAnsi="宋体"/>
          <w:bCs/>
          <w:color w:val="auto"/>
          <w:sz w:val="24"/>
          <w:highlight w:val="none"/>
          <w:lang w:eastAsia="zh-CN"/>
        </w:rPr>
        <w:t>供应商</w:t>
      </w:r>
      <w:r>
        <w:rPr>
          <w:rFonts w:hint="eastAsia" w:ascii="宋体" w:hAnsi="宋体"/>
          <w:bCs/>
          <w:color w:val="auto"/>
          <w:sz w:val="24"/>
          <w:highlight w:val="none"/>
        </w:rPr>
        <w:t>资格审查指依据法律、法规和招标文件的规定，对投标文件中的资格、资信证明等进行审查，以确定</w:t>
      </w:r>
      <w:r>
        <w:rPr>
          <w:rFonts w:hint="eastAsia" w:ascii="宋体" w:hAnsi="宋体"/>
          <w:bCs/>
          <w:color w:val="auto"/>
          <w:sz w:val="24"/>
          <w:highlight w:val="none"/>
          <w:lang w:eastAsia="zh-CN"/>
        </w:rPr>
        <w:t>供应商</w:t>
      </w:r>
      <w:r>
        <w:rPr>
          <w:rFonts w:hint="eastAsia" w:ascii="宋体" w:hAnsi="宋体"/>
          <w:bCs/>
          <w:color w:val="auto"/>
          <w:sz w:val="24"/>
          <w:highlight w:val="none"/>
        </w:rPr>
        <w:t>是否具备投标资格；投标文件符合性审查指依据招标文件的规定，从投标文件的有效性、完整性和对招标文件的响应程度进行审查，以确定是否对招标文件的实质性要求作出响应。</w:t>
      </w:r>
    </w:p>
    <w:p w14:paraId="4E742CF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18.2</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未通过资格审查的不得进入投标文件符合性审查；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未通过符合性审查的，不得进入投标文件的综合比较与评价。</w:t>
      </w:r>
    </w:p>
    <w:p w14:paraId="00D808F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18.4本项目使用综合评分法，提供相同品牌相同规格类型产品且通过资格审查、符合性审查的不同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计算，评审后得分最高的同品牌同规格类型</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获得中标人推荐资格；评审得分相同的，由采购人或者采购人委托评标委员会按照招标文件中评标办法规定的方式确定一个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不作为中标候选人。</w:t>
      </w:r>
    </w:p>
    <w:p w14:paraId="0B9231A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18.5如一个分包内包含多种产品的，采购人或采购代理机构将在</w:t>
      </w:r>
      <w:r>
        <w:rPr>
          <w:rFonts w:hint="eastAsia" w:ascii="宋体" w:hAnsi="宋体"/>
          <w:bCs/>
          <w:color w:val="auto"/>
          <w:sz w:val="24"/>
          <w:highlight w:val="none"/>
          <w:u w:val="single"/>
          <w:lang w:eastAsia="zh-CN"/>
        </w:rPr>
        <w:t>供应商</w:t>
      </w:r>
      <w:r>
        <w:rPr>
          <w:rFonts w:hint="eastAsia" w:ascii="宋体" w:hAnsi="宋体"/>
          <w:bCs/>
          <w:color w:val="auto"/>
          <w:sz w:val="24"/>
          <w:highlight w:val="none"/>
          <w:u w:val="single"/>
        </w:rPr>
        <w:t>须知前附表</w:t>
      </w:r>
      <w:r>
        <w:rPr>
          <w:rFonts w:hint="eastAsia" w:ascii="宋体" w:hAnsi="宋体"/>
          <w:bCs/>
          <w:color w:val="auto"/>
          <w:sz w:val="24"/>
          <w:highlight w:val="none"/>
        </w:rPr>
        <w:t>中载明核心产品，多家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提供的所有核心产品品牌均相同的，按第25.2条规定处理。</w:t>
      </w:r>
    </w:p>
    <w:p w14:paraId="4F25171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如被列入财政部与国家主管部门颁发的节能产品目录或环境标志产品目录，应提供相关证明，在评标时予以优先采购，具体优先采购办法见第五章评标方法和标准。如采购人所采购产品为政府强制采购的节能产品，</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所投产品的品牌及型号必须为清单中有效期内产品并提供证明文件，否则其投标将作为</w:t>
      </w:r>
      <w:r>
        <w:rPr>
          <w:rFonts w:hint="eastAsia" w:ascii="宋体" w:hAnsi="宋体"/>
          <w:b/>
          <w:bCs/>
          <w:color w:val="auto"/>
          <w:sz w:val="24"/>
          <w:highlight w:val="none"/>
        </w:rPr>
        <w:t>无效投标</w:t>
      </w:r>
      <w:r>
        <w:rPr>
          <w:rFonts w:hint="eastAsia" w:ascii="宋体" w:hAnsi="宋体"/>
          <w:bCs/>
          <w:color w:val="auto"/>
          <w:sz w:val="24"/>
          <w:highlight w:val="none"/>
        </w:rPr>
        <w:t>被拒绝。</w:t>
      </w:r>
    </w:p>
    <w:p w14:paraId="3B2B147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18.6</w:t>
      </w:r>
      <w:r>
        <w:rPr>
          <w:rFonts w:hint="eastAsia" w:hAnsi="Arial"/>
          <w:color w:val="auto"/>
          <w:sz w:val="24"/>
          <w:highlight w:val="none"/>
          <w:lang w:eastAsia="zh-CN"/>
        </w:rPr>
        <w:t>供应商</w:t>
      </w:r>
      <w:r>
        <w:rPr>
          <w:rFonts w:hint="eastAsia" w:hAnsi="Arial"/>
          <w:color w:val="auto"/>
          <w:sz w:val="24"/>
          <w:highlight w:val="none"/>
        </w:rPr>
        <w:t>不良信用记录以采购人或采购代理机构查询结果为准。</w:t>
      </w:r>
    </w:p>
    <w:p w14:paraId="033A491C">
      <w:pPr>
        <w:pStyle w:val="28"/>
        <w:spacing w:line="360" w:lineRule="auto"/>
        <w:outlineLvl w:val="3"/>
        <w:rPr>
          <w:rFonts w:hint="eastAsia" w:ascii="宋体" w:hAnsi="宋体"/>
          <w:b/>
          <w:bCs/>
          <w:color w:val="auto"/>
          <w:sz w:val="24"/>
          <w:highlight w:val="none"/>
        </w:rPr>
      </w:pPr>
      <w:r>
        <w:rPr>
          <w:rFonts w:hint="eastAsia" w:ascii="宋体" w:hAnsi="宋体"/>
          <w:bCs/>
          <w:color w:val="auto"/>
          <w:sz w:val="24"/>
          <w:highlight w:val="none"/>
        </w:rPr>
        <w:t>18.7资格审查和符合性审查标准详见</w:t>
      </w:r>
      <w:r>
        <w:rPr>
          <w:rFonts w:hint="eastAsia" w:ascii="宋体" w:hAnsi="宋体"/>
          <w:b/>
          <w:bCs/>
          <w:color w:val="auto"/>
          <w:sz w:val="24"/>
          <w:highlight w:val="none"/>
        </w:rPr>
        <w:t>第五章评标方法和标准。</w:t>
      </w:r>
    </w:p>
    <w:p w14:paraId="312F169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19.</w:t>
      </w:r>
      <w:r>
        <w:rPr>
          <w:rFonts w:hint="eastAsia" w:ascii="仿宋" w:eastAsia="仿宋" w:cs="仿宋"/>
          <w:b/>
          <w:bCs/>
          <w:color w:val="auto"/>
          <w:kern w:val="0"/>
          <w:sz w:val="24"/>
          <w:highlight w:val="none"/>
        </w:rPr>
        <w:t xml:space="preserve"> </w:t>
      </w:r>
      <w:r>
        <w:rPr>
          <w:rFonts w:hint="eastAsia" w:ascii="宋体" w:hAnsi="宋体"/>
          <w:b/>
          <w:bCs/>
          <w:color w:val="auto"/>
          <w:sz w:val="24"/>
          <w:highlight w:val="none"/>
        </w:rPr>
        <w:t>投标文件的澄清和修正</w:t>
      </w:r>
    </w:p>
    <w:p w14:paraId="107D24E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19.1对于投标文件中含义不明确、同类问题表述不一致或者有明显文字和计算错误的内容，评标委员会应当以书面形式要求</w:t>
      </w:r>
      <w:r>
        <w:rPr>
          <w:rFonts w:hint="eastAsia" w:ascii="宋体" w:hAnsi="宋体"/>
          <w:bCs/>
          <w:color w:val="auto"/>
          <w:sz w:val="24"/>
          <w:highlight w:val="none"/>
          <w:lang w:eastAsia="zh-CN"/>
        </w:rPr>
        <w:t>供应商</w:t>
      </w:r>
      <w:r>
        <w:rPr>
          <w:rFonts w:hint="eastAsia" w:ascii="宋体" w:hAnsi="宋体"/>
          <w:bCs/>
          <w:color w:val="auto"/>
          <w:sz w:val="24"/>
          <w:highlight w:val="none"/>
        </w:rPr>
        <w:t>作出必要的澄清、说明或者补正。</w:t>
      </w:r>
    </w:p>
    <w:p w14:paraId="4B83DE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19.2</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的澄清、说明或者补正应当采用书面形式，并加盖公章。</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的澄清、说明或者补正不得超出投标文件的范围或者改变投标文件的实质性内容。澄清文件将作为投标文件内容的一部分。</w:t>
      </w:r>
    </w:p>
    <w:p w14:paraId="07864387">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19.3投标文件报价出现前后不一致的，将按照下列规定修正：</w:t>
      </w:r>
    </w:p>
    <w:p w14:paraId="3D1FC4E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（一）投标文件中报价一览表（报价表）内容与投标文件中相应内容不一致的，以报价一览表（报价表）为准；</w:t>
      </w:r>
    </w:p>
    <w:p w14:paraId="57B08FC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（二）大写金额和小写金额不一致的，以大写金额为准；</w:t>
      </w:r>
    </w:p>
    <w:p w14:paraId="31A56A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（三）单价金额小数点或者百分比有明显错位的，以报价一览表的总价为准，并修改单价；</w:t>
      </w:r>
    </w:p>
    <w:p w14:paraId="6ED2F87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（四）总价金额与按单价汇总金额不一致的，以单价金额计算结果为准。</w:t>
      </w:r>
    </w:p>
    <w:p w14:paraId="190ABBEE">
      <w:pPr>
        <w:pStyle w:val="28"/>
        <w:spacing w:line="360" w:lineRule="auto"/>
        <w:rPr>
          <w:rFonts w:ascii="宋体" w:hAnsi="宋体"/>
          <w:bCs/>
          <w:color w:val="auto"/>
          <w:sz w:val="24"/>
          <w:highlight w:val="none"/>
        </w:rPr>
      </w:pPr>
      <w:r>
        <w:rPr>
          <w:rFonts w:ascii="宋体" w:hAnsi="宋体"/>
          <w:bCs/>
          <w:color w:val="auto"/>
          <w:sz w:val="24"/>
          <w:highlight w:val="none"/>
        </w:rPr>
        <w:tab/>
      </w:r>
      <w:r>
        <w:rPr>
          <w:rFonts w:hint="eastAsia" w:ascii="宋体" w:hAnsi="宋体"/>
          <w:bCs/>
          <w:color w:val="auto"/>
          <w:sz w:val="24"/>
          <w:highlight w:val="none"/>
        </w:rPr>
        <w:t>同时出现两种以上不一致的，按照前款规定的顺序修正。修正后的报价按照第</w:t>
      </w:r>
      <w:r>
        <w:rPr>
          <w:rFonts w:ascii="宋体" w:hAnsi="宋体"/>
          <w:bCs/>
          <w:color w:val="auto"/>
          <w:sz w:val="24"/>
          <w:highlight w:val="none"/>
        </w:rPr>
        <w:t xml:space="preserve"> </w:t>
      </w:r>
      <w:r>
        <w:rPr>
          <w:rFonts w:hint="eastAsia" w:ascii="宋体" w:hAnsi="宋体"/>
          <w:bCs/>
          <w:color w:val="auto"/>
          <w:sz w:val="24"/>
          <w:highlight w:val="none"/>
        </w:rPr>
        <w:t>19</w:t>
      </w:r>
      <w:r>
        <w:rPr>
          <w:rFonts w:ascii="宋体" w:hAnsi="宋体"/>
          <w:bCs/>
          <w:color w:val="auto"/>
          <w:sz w:val="24"/>
          <w:highlight w:val="none"/>
        </w:rPr>
        <w:t xml:space="preserve">.2 </w:t>
      </w:r>
      <w:r>
        <w:rPr>
          <w:rFonts w:hint="eastAsia" w:ascii="宋体" w:hAnsi="宋体"/>
          <w:bCs/>
          <w:color w:val="auto"/>
          <w:sz w:val="24"/>
          <w:highlight w:val="none"/>
        </w:rPr>
        <w:t>条的规定经</w:t>
      </w:r>
      <w:r>
        <w:rPr>
          <w:rFonts w:hint="eastAsia" w:ascii="宋体" w:hAnsi="宋体"/>
          <w:bCs/>
          <w:color w:val="auto"/>
          <w:sz w:val="24"/>
          <w:highlight w:val="none"/>
          <w:lang w:eastAsia="zh-CN"/>
        </w:rPr>
        <w:t>供应商</w:t>
      </w:r>
      <w:r>
        <w:rPr>
          <w:rFonts w:hint="eastAsia" w:ascii="宋体" w:hAnsi="宋体"/>
          <w:bCs/>
          <w:color w:val="auto"/>
          <w:sz w:val="24"/>
          <w:highlight w:val="none"/>
        </w:rPr>
        <w:t>确认后产生约束力，</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不确认的，将被视为</w:t>
      </w:r>
      <w:r>
        <w:rPr>
          <w:rFonts w:hint="eastAsia" w:ascii="宋体" w:hAnsi="宋体"/>
          <w:b/>
          <w:bCs/>
          <w:color w:val="auto"/>
          <w:sz w:val="24"/>
          <w:highlight w:val="none"/>
        </w:rPr>
        <w:t>无效投标</w:t>
      </w:r>
      <w:r>
        <w:rPr>
          <w:rFonts w:hint="eastAsia" w:ascii="宋体" w:hAnsi="宋体"/>
          <w:bCs/>
          <w:color w:val="auto"/>
          <w:sz w:val="24"/>
          <w:highlight w:val="none"/>
        </w:rPr>
        <w:t>被拒绝。对不同文字文本投标文件的解释发生异议的，以中文文本为准。</w:t>
      </w:r>
    </w:p>
    <w:p w14:paraId="42FE0C09">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20. 投标偏离与非实质性响应</w:t>
      </w:r>
    </w:p>
    <w:p w14:paraId="0BC0433C">
      <w:pPr>
        <w:pStyle w:val="28"/>
        <w:spacing w:line="360" w:lineRule="auto"/>
        <w:rPr>
          <w:rFonts w:ascii="宋体" w:hAnsi="宋体"/>
          <w:bCs/>
          <w:color w:val="auto"/>
          <w:sz w:val="24"/>
          <w:highlight w:val="none"/>
        </w:rPr>
      </w:pPr>
      <w:r>
        <w:rPr>
          <w:rFonts w:hint="eastAsia" w:ascii="宋体" w:hAnsi="宋体"/>
          <w:bCs/>
          <w:color w:val="auto"/>
          <w:sz w:val="24"/>
          <w:highlight w:val="none"/>
        </w:rPr>
        <w:t>20.1对于投标文件中不构成实质性偏差的不正规、不一致或不规则，评标委员会可以接受，但这种接受不能损坏或影响任何</w:t>
      </w:r>
      <w:r>
        <w:rPr>
          <w:rFonts w:hint="eastAsia" w:ascii="宋体" w:hAnsi="宋体"/>
          <w:bCs/>
          <w:color w:val="auto"/>
          <w:sz w:val="24"/>
          <w:highlight w:val="none"/>
          <w:lang w:eastAsia="zh-CN"/>
        </w:rPr>
        <w:t>供应商</w:t>
      </w:r>
      <w:r>
        <w:rPr>
          <w:rFonts w:hint="eastAsia" w:ascii="宋体" w:hAnsi="宋体"/>
          <w:bCs/>
          <w:color w:val="auto"/>
          <w:sz w:val="24"/>
          <w:highlight w:val="none"/>
        </w:rPr>
        <w:t>的相对排序。</w:t>
      </w:r>
    </w:p>
    <w:p w14:paraId="4C13775C">
      <w:pPr>
        <w:pStyle w:val="28"/>
        <w:spacing w:line="360" w:lineRule="auto"/>
        <w:rPr>
          <w:rFonts w:ascii="宋体" w:hAnsi="宋体"/>
          <w:bCs/>
          <w:color w:val="auto"/>
          <w:sz w:val="24"/>
          <w:highlight w:val="none"/>
        </w:rPr>
      </w:pPr>
      <w:r>
        <w:rPr>
          <w:rFonts w:hint="eastAsia" w:ascii="宋体" w:hAnsi="宋体"/>
          <w:bCs/>
          <w:color w:val="auto"/>
          <w:sz w:val="24"/>
          <w:highlight w:val="none"/>
        </w:rPr>
        <w:t>20.2在详细评标之前，根据本须知的规定，评标委员会要审查每份投标文件是否实质上响应招标文件的要求。实质上响应的投标应该是与招标文件要求的全部实质性条款、条件和规格相符，没有重大偏离的投标。</w:t>
      </w:r>
    </w:p>
    <w:p w14:paraId="7146E99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20.3实质上没有响应招标文件要求的投标将被拒绝。</w:t>
      </w:r>
      <w:r>
        <w:rPr>
          <w:rFonts w:hint="eastAsia" w:ascii="宋体" w:hAnsi="宋体"/>
          <w:bCs/>
          <w:color w:val="auto"/>
          <w:sz w:val="24"/>
          <w:highlight w:val="none"/>
          <w:lang w:eastAsia="zh-CN"/>
        </w:rPr>
        <w:t>供应商</w:t>
      </w:r>
      <w:r>
        <w:rPr>
          <w:rFonts w:hint="eastAsia" w:ascii="宋体" w:hAnsi="宋体"/>
          <w:bCs/>
          <w:color w:val="auto"/>
          <w:sz w:val="24"/>
          <w:highlight w:val="none"/>
        </w:rPr>
        <w:t>不得通过修正或撤销不符合要求的偏离或保留从而使其投标成为实质上响应的投标。</w:t>
      </w:r>
    </w:p>
    <w:p w14:paraId="4D8595F3">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21.投标无效</w:t>
      </w:r>
    </w:p>
    <w:p w14:paraId="204BA1E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21.1</w:t>
      </w:r>
      <w:r>
        <w:rPr>
          <w:rFonts w:hint="eastAsia" w:ascii="宋体" w:hAnsi="宋体"/>
          <w:bCs/>
          <w:color w:val="auto"/>
          <w:sz w:val="24"/>
          <w:highlight w:val="none"/>
          <w:lang w:eastAsia="zh-CN"/>
        </w:rPr>
        <w:t>供应商</w:t>
      </w:r>
      <w:r>
        <w:rPr>
          <w:rFonts w:hint="eastAsia" w:ascii="宋体" w:hAnsi="宋体"/>
          <w:bCs/>
          <w:color w:val="auto"/>
          <w:sz w:val="24"/>
          <w:highlight w:val="none"/>
        </w:rPr>
        <w:t>存在下列情况之一的，投标无效：</w:t>
      </w:r>
    </w:p>
    <w:p w14:paraId="564619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（1）未按照招标文件的规定提交投标保证金的；</w:t>
      </w:r>
    </w:p>
    <w:p w14:paraId="3A5752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（2）投标文件未按招标文件要求签署、盖章的；</w:t>
      </w:r>
    </w:p>
    <w:p w14:paraId="0D49140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（3）不具备招标文件中规定的资格要求的；</w:t>
      </w:r>
    </w:p>
    <w:p w14:paraId="015F06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（4）报价出现超过招标文件中最高限价规定的；</w:t>
      </w:r>
    </w:p>
    <w:p w14:paraId="3572A8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（5）投标文件含有采购人不能接受的附加条件的；</w:t>
      </w:r>
    </w:p>
    <w:p w14:paraId="18234D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（6）法律、法规和招标文件规定的其他无效情形。</w:t>
      </w:r>
    </w:p>
    <w:p w14:paraId="0A679CCD">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21.2有下列情形之一的，视为</w:t>
      </w:r>
      <w:r>
        <w:rPr>
          <w:rFonts w:hint="eastAsia" w:ascii="宋体" w:hAnsi="宋体"/>
          <w:bCs/>
          <w:color w:val="auto"/>
          <w:sz w:val="24"/>
          <w:highlight w:val="none"/>
          <w:lang w:eastAsia="zh-CN"/>
        </w:rPr>
        <w:t>供应商</w:t>
      </w:r>
      <w:r>
        <w:rPr>
          <w:rFonts w:hint="eastAsia" w:ascii="宋体" w:hAnsi="宋体"/>
          <w:bCs/>
          <w:color w:val="auto"/>
          <w:sz w:val="24"/>
          <w:highlight w:val="none"/>
        </w:rPr>
        <w:t>串通投标，其投标无效：</w:t>
      </w:r>
    </w:p>
    <w:p w14:paraId="6253AF0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的投标文件由同一单位或者个人编制；</w:t>
      </w:r>
    </w:p>
    <w:p w14:paraId="2D44CC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（2）不同</w:t>
      </w:r>
      <w:r>
        <w:rPr>
          <w:rFonts w:hint="eastAsia" w:ascii="宋体" w:hAnsi="宋体"/>
          <w:bCs/>
          <w:color w:val="auto"/>
          <w:sz w:val="24"/>
          <w:highlight w:val="none"/>
          <w:lang w:eastAsia="zh-CN"/>
        </w:rPr>
        <w:t>供应商</w:t>
      </w:r>
      <w:r>
        <w:rPr>
          <w:rFonts w:hint="eastAsia" w:ascii="宋体" w:hAnsi="宋体"/>
          <w:bCs/>
          <w:color w:val="auto"/>
          <w:sz w:val="24"/>
          <w:highlight w:val="none"/>
        </w:rPr>
        <w:t>委托同一单位或者个人办理投标事宜；</w:t>
      </w:r>
    </w:p>
    <w:p w14:paraId="00C0FD7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的投标文件载明的项目管理成员或者联系人员为同一人；</w:t>
      </w:r>
    </w:p>
    <w:p w14:paraId="64E14F35">
      <w:pPr>
        <w:pStyle w:val="28"/>
        <w:spacing w:line="360" w:lineRule="auto"/>
        <w:rPr>
          <w:rFonts w:ascii="宋体" w:hAnsi="宋体"/>
          <w:bCs/>
          <w:color w:val="auto"/>
          <w:sz w:val="24"/>
          <w:highlight w:val="none"/>
        </w:rPr>
      </w:pPr>
      <w:r>
        <w:rPr>
          <w:rFonts w:hint="eastAsia" w:ascii="宋体" w:hAnsi="宋体"/>
          <w:bCs/>
          <w:color w:val="auto"/>
          <w:sz w:val="24"/>
          <w:highlight w:val="none"/>
        </w:rPr>
        <w:t>（4）不同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的投标文件异常一致或者投标报价呈规律性差异；</w:t>
      </w:r>
    </w:p>
    <w:p w14:paraId="4628F1D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(5)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的投标文件相互混装；</w:t>
      </w:r>
    </w:p>
    <w:p w14:paraId="50A07F8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(6)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的投标保证金从同一单位或者个人的账户转出。</w:t>
      </w:r>
    </w:p>
    <w:p w14:paraId="62389D16">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21.3其他投标无效情形：</w:t>
      </w:r>
    </w:p>
    <w:p w14:paraId="32193F7F">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）不符合招标文件关于进口产品规定的；</w:t>
      </w:r>
    </w:p>
    <w:p w14:paraId="257B1B3D">
      <w:pPr>
        <w:pStyle w:val="28"/>
        <w:spacing w:line="360" w:lineRule="auto"/>
        <w:rPr>
          <w:rFonts w:ascii="宋体" w:hAnsi="宋体"/>
          <w:bCs/>
          <w:color w:val="auto"/>
          <w:sz w:val="24"/>
          <w:highlight w:val="none"/>
        </w:rPr>
      </w:pPr>
      <w:r>
        <w:rPr>
          <w:rFonts w:hint="eastAsia" w:ascii="宋体" w:hAnsi="宋体"/>
          <w:bCs/>
          <w:color w:val="auto"/>
          <w:sz w:val="24"/>
          <w:highlight w:val="none"/>
        </w:rPr>
        <w:t>（2）任何选择性报价（或多个方案）的投标；</w:t>
      </w:r>
    </w:p>
    <w:p w14:paraId="41E2756D">
      <w:pPr>
        <w:pStyle w:val="28"/>
        <w:spacing w:line="360" w:lineRule="auto"/>
        <w:rPr>
          <w:rFonts w:ascii="宋体" w:hAnsi="宋体"/>
          <w:bCs/>
          <w:color w:val="auto"/>
          <w:sz w:val="24"/>
          <w:highlight w:val="none"/>
        </w:rPr>
      </w:pPr>
      <w:r>
        <w:rPr>
          <w:rFonts w:hint="eastAsia" w:ascii="宋体" w:hAnsi="宋体"/>
          <w:bCs/>
          <w:color w:val="auto"/>
          <w:sz w:val="24"/>
          <w:highlight w:val="none"/>
        </w:rPr>
        <w:t>（3）任何包含价格调整要求的投标；</w:t>
      </w:r>
    </w:p>
    <w:p w14:paraId="6592CDDC">
      <w:pPr>
        <w:pStyle w:val="28"/>
        <w:spacing w:line="360" w:lineRule="auto"/>
        <w:rPr>
          <w:rFonts w:ascii="宋体" w:hAnsi="宋体"/>
          <w:bCs/>
          <w:color w:val="auto"/>
          <w:sz w:val="24"/>
          <w:highlight w:val="none"/>
        </w:rPr>
      </w:pPr>
      <w:r>
        <w:rPr>
          <w:rFonts w:hint="eastAsia" w:ascii="宋体" w:hAnsi="宋体"/>
          <w:bCs/>
          <w:color w:val="auto"/>
          <w:sz w:val="24"/>
          <w:highlight w:val="none"/>
        </w:rPr>
        <w:t>（4）投标有效期不满足要求的投标；</w:t>
      </w:r>
    </w:p>
    <w:p w14:paraId="647F5BC1">
      <w:pPr>
        <w:pStyle w:val="28"/>
        <w:spacing w:line="360" w:lineRule="auto"/>
        <w:rPr>
          <w:rFonts w:ascii="宋体" w:hAnsi="宋体"/>
          <w:bCs/>
          <w:color w:val="auto"/>
          <w:sz w:val="24"/>
          <w:highlight w:val="none"/>
        </w:rPr>
      </w:pPr>
      <w:r>
        <w:rPr>
          <w:rFonts w:hint="eastAsia" w:ascii="宋体" w:hAnsi="宋体"/>
          <w:bCs/>
          <w:color w:val="auto"/>
          <w:sz w:val="24"/>
          <w:highlight w:val="none"/>
        </w:rPr>
        <w:t>（5）评标委员会认为</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的报价明显低于其他通过符合性审查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的报价，有可能影响产品质量或者不能诚信履约的，</w:t>
      </w:r>
      <w:r>
        <w:rPr>
          <w:rFonts w:hint="eastAsia" w:ascii="宋体" w:hAnsi="宋体"/>
          <w:bCs/>
          <w:color w:val="auto"/>
          <w:sz w:val="24"/>
          <w:highlight w:val="none"/>
          <w:lang w:eastAsia="zh-CN"/>
        </w:rPr>
        <w:t>供应商</w:t>
      </w:r>
      <w:r>
        <w:rPr>
          <w:rFonts w:hint="eastAsia" w:ascii="宋体" w:hAnsi="宋体"/>
          <w:bCs/>
          <w:color w:val="auto"/>
          <w:sz w:val="24"/>
          <w:highlight w:val="none"/>
        </w:rPr>
        <w:t>不能证明其报价合理性的；</w:t>
      </w:r>
    </w:p>
    <w:p w14:paraId="72DB54C0">
      <w:pPr>
        <w:pStyle w:val="28"/>
        <w:spacing w:line="360" w:lineRule="auto"/>
        <w:rPr>
          <w:rFonts w:ascii="宋体" w:hAnsi="宋体"/>
          <w:bCs/>
          <w:color w:val="auto"/>
          <w:sz w:val="24"/>
          <w:highlight w:val="none"/>
        </w:rPr>
      </w:pPr>
      <w:r>
        <w:rPr>
          <w:rFonts w:hint="eastAsia" w:ascii="宋体" w:hAnsi="宋体"/>
          <w:bCs/>
          <w:color w:val="auto"/>
          <w:sz w:val="24"/>
          <w:highlight w:val="none"/>
        </w:rPr>
        <w:t>（6）投标文件报价出现前后不一致，</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不确认修正后的报价的；</w:t>
      </w:r>
    </w:p>
    <w:p w14:paraId="2AB24450">
      <w:pPr>
        <w:pStyle w:val="28"/>
        <w:spacing w:line="360" w:lineRule="auto"/>
        <w:rPr>
          <w:rFonts w:ascii="宋体" w:hAnsi="宋体"/>
          <w:bCs/>
          <w:color w:val="auto"/>
          <w:sz w:val="24"/>
          <w:highlight w:val="none"/>
        </w:rPr>
      </w:pPr>
      <w:r>
        <w:rPr>
          <w:rFonts w:hint="eastAsia" w:ascii="宋体" w:hAnsi="宋体"/>
          <w:bCs/>
          <w:color w:val="auto"/>
          <w:sz w:val="24"/>
          <w:highlight w:val="none"/>
        </w:rPr>
        <w:t>（7）未按照招标文件要求提交</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声明函</w:t>
      </w:r>
      <w:r>
        <w:rPr>
          <w:rFonts w:ascii="宋体" w:hAnsi="宋体"/>
          <w:bCs/>
          <w:color w:val="auto"/>
          <w:sz w:val="24"/>
          <w:highlight w:val="none"/>
        </w:rPr>
        <w:t>”</w:t>
      </w:r>
      <w:r>
        <w:rPr>
          <w:rFonts w:hint="eastAsia" w:ascii="宋体" w:hAnsi="宋体"/>
          <w:bCs/>
          <w:color w:val="auto"/>
          <w:sz w:val="24"/>
          <w:highlight w:val="none"/>
        </w:rPr>
        <w:t>的；</w:t>
      </w:r>
    </w:p>
    <w:p w14:paraId="1DE141EB">
      <w:pPr>
        <w:pStyle w:val="28"/>
        <w:spacing w:line="360" w:lineRule="auto"/>
        <w:rPr>
          <w:rFonts w:ascii="宋体" w:hAnsi="宋体"/>
          <w:bCs/>
          <w:color w:val="auto"/>
          <w:sz w:val="24"/>
          <w:highlight w:val="none"/>
        </w:rPr>
      </w:pPr>
      <w:r>
        <w:rPr>
          <w:rFonts w:hint="eastAsia" w:ascii="宋体" w:hAnsi="宋体"/>
          <w:bCs/>
          <w:color w:val="auto"/>
          <w:sz w:val="24"/>
          <w:highlight w:val="none"/>
        </w:rPr>
        <w:t>（8）服务期限（或交货期）不满足招标文件要求的；</w:t>
      </w:r>
    </w:p>
    <w:p w14:paraId="568FE88A">
      <w:pPr>
        <w:pStyle w:val="28"/>
        <w:spacing w:line="360" w:lineRule="auto"/>
        <w:rPr>
          <w:rFonts w:ascii="宋体" w:hAnsi="宋体"/>
          <w:bCs/>
          <w:color w:val="auto"/>
          <w:sz w:val="24"/>
          <w:highlight w:val="none"/>
        </w:rPr>
      </w:pPr>
      <w:r>
        <w:rPr>
          <w:rFonts w:hint="eastAsia" w:ascii="宋体" w:hAnsi="宋体"/>
          <w:bCs/>
          <w:color w:val="auto"/>
          <w:sz w:val="24"/>
          <w:highlight w:val="none"/>
        </w:rPr>
        <w:t>（9）未按照招标文件要求单独递交报价一览表原件的。</w:t>
      </w:r>
    </w:p>
    <w:p w14:paraId="468A7656">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22. 投标文件的综合比较与评价</w:t>
      </w:r>
    </w:p>
    <w:p w14:paraId="6B3CA49E">
      <w:pPr>
        <w:pStyle w:val="28"/>
        <w:spacing w:line="360" w:lineRule="auto"/>
        <w:rPr>
          <w:rFonts w:ascii="宋体" w:hAnsi="宋体"/>
          <w:bCs/>
          <w:color w:val="auto"/>
          <w:sz w:val="24"/>
          <w:highlight w:val="none"/>
        </w:rPr>
      </w:pPr>
      <w:r>
        <w:rPr>
          <w:rFonts w:hint="eastAsia" w:ascii="宋体" w:hAnsi="宋体"/>
          <w:bCs/>
          <w:color w:val="auto"/>
          <w:sz w:val="24"/>
          <w:highlight w:val="none"/>
        </w:rPr>
        <w:t>22.1根据项目实际情况本项目的评标方法为综合评分法，评审标准详见第五章。</w:t>
      </w:r>
    </w:p>
    <w:p w14:paraId="65254C1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22.2评标委员会将按照招标文件中规定的评标方法和评审标准，对符合性审查合格的投标文件进行商务和技术评估，综合比较与评价。评标时，评标委员会各成员应当独立对每个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的投标文件进行评价，并汇总每个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的得分。</w:t>
      </w:r>
    </w:p>
    <w:p w14:paraId="2B1F39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23. 废标情况</w:t>
      </w:r>
    </w:p>
    <w:p w14:paraId="7D43D1DA">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23.1在招标采购中，出现下列情形之一的，应予废标：</w:t>
      </w:r>
    </w:p>
    <w:p w14:paraId="5BEC9F7E">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）符合专业条件的</w:t>
      </w:r>
      <w:r>
        <w:rPr>
          <w:rFonts w:hint="eastAsia" w:ascii="宋体" w:hAnsi="宋体"/>
          <w:bCs/>
          <w:color w:val="auto"/>
          <w:sz w:val="24"/>
          <w:highlight w:val="none"/>
          <w:lang w:eastAsia="zh-CN"/>
        </w:rPr>
        <w:t>供应商</w:t>
      </w:r>
      <w:r>
        <w:rPr>
          <w:rFonts w:hint="eastAsia" w:ascii="宋体" w:hAnsi="宋体"/>
          <w:bCs/>
          <w:color w:val="auto"/>
          <w:sz w:val="24"/>
          <w:highlight w:val="none"/>
        </w:rPr>
        <w:t>或者对招标文件作实质响应的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CF5B5AB">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）出现影响采购公正的违法、违规行为的。</w:t>
      </w:r>
    </w:p>
    <w:p w14:paraId="71C99196">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的报价均超过了采购预算，采购人不能支付的。</w:t>
      </w:r>
    </w:p>
    <w:p w14:paraId="02A524A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w:t>
      </w:r>
      <w:r>
        <w:rPr>
          <w:rFonts w:hint="eastAsia" w:ascii="宋体" w:hAnsi="宋体"/>
          <w:bCs/>
          <w:color w:val="auto"/>
          <w:sz w:val="24"/>
          <w:highlight w:val="none"/>
        </w:rPr>
        <w:t>）因重大变故，采购任务取消的。</w:t>
      </w:r>
    </w:p>
    <w:p w14:paraId="457A48CD">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24. 评标过程及保密原则</w:t>
      </w:r>
    </w:p>
    <w:p w14:paraId="62DCEAEB">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24.1评标将在严格保密的情况下进行。</w:t>
      </w:r>
    </w:p>
    <w:p w14:paraId="23333C86">
      <w:pPr>
        <w:pStyle w:val="28"/>
        <w:spacing w:line="360" w:lineRule="auto"/>
        <w:rPr>
          <w:rFonts w:ascii="宋体" w:hAnsi="宋体"/>
          <w:bCs/>
          <w:color w:val="auto"/>
          <w:sz w:val="24"/>
          <w:highlight w:val="none"/>
        </w:rPr>
      </w:pPr>
      <w:r>
        <w:rPr>
          <w:rFonts w:hint="eastAsia" w:ascii="宋体" w:hAnsi="宋体"/>
          <w:bCs/>
          <w:color w:val="auto"/>
          <w:sz w:val="24"/>
          <w:highlight w:val="none"/>
        </w:rPr>
        <w:t>24.2有关人员对评标情况以及在评标过程中获悉的国家秘密、商业秘密负有保密责任。</w:t>
      </w:r>
    </w:p>
    <w:p w14:paraId="201F098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24.3在评标期间，</w:t>
      </w:r>
      <w:r>
        <w:rPr>
          <w:rFonts w:hint="eastAsia" w:ascii="宋体" w:hAnsi="宋体"/>
          <w:bCs/>
          <w:color w:val="auto"/>
          <w:sz w:val="24"/>
          <w:highlight w:val="none"/>
          <w:lang w:eastAsia="zh-CN"/>
        </w:rPr>
        <w:t>供应商</w:t>
      </w:r>
      <w:r>
        <w:rPr>
          <w:rFonts w:hint="eastAsia" w:ascii="宋体" w:hAnsi="宋体"/>
          <w:bCs/>
          <w:color w:val="auto"/>
          <w:sz w:val="24"/>
          <w:highlight w:val="none"/>
        </w:rPr>
        <w:t>试图影响采购人、采购代理机构和评标委员会的任何活动，将导致其</w:t>
      </w:r>
      <w:r>
        <w:rPr>
          <w:rFonts w:hint="eastAsia" w:ascii="宋体" w:hAnsi="宋体"/>
          <w:b/>
          <w:bCs/>
          <w:color w:val="auto"/>
          <w:sz w:val="24"/>
          <w:highlight w:val="none"/>
        </w:rPr>
        <w:t>投标被拒绝</w:t>
      </w:r>
      <w:r>
        <w:rPr>
          <w:rFonts w:hint="eastAsia" w:ascii="宋体" w:hAnsi="宋体"/>
          <w:bCs/>
          <w:color w:val="auto"/>
          <w:sz w:val="24"/>
          <w:highlight w:val="none"/>
        </w:rPr>
        <w:t>，并承担相应的法律责任。</w:t>
      </w:r>
    </w:p>
    <w:p w14:paraId="3FD94F69">
      <w:pPr>
        <w:pStyle w:val="28"/>
        <w:spacing w:line="360" w:lineRule="auto"/>
        <w:jc w:val="center"/>
        <w:outlineLvl w:val="1"/>
        <w:rPr>
          <w:rFonts w:ascii="宋体" w:hAnsi="宋体"/>
          <w:b/>
          <w:color w:val="auto"/>
          <w:sz w:val="32"/>
          <w:szCs w:val="32"/>
          <w:highlight w:val="none"/>
        </w:rPr>
      </w:pPr>
      <w:bookmarkStart w:id="28" w:name="_Toc25515"/>
      <w:r>
        <w:rPr>
          <w:rFonts w:hint="eastAsia" w:ascii="宋体" w:hAnsi="宋体"/>
          <w:b/>
          <w:color w:val="auto"/>
          <w:sz w:val="32"/>
          <w:szCs w:val="32"/>
          <w:highlight w:val="none"/>
        </w:rPr>
        <w:t>六、确定中标</w:t>
      </w:r>
      <w:bookmarkEnd w:id="28"/>
    </w:p>
    <w:p w14:paraId="0B3A00D0">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25.中标候选人的确定原则及标准</w:t>
      </w:r>
    </w:p>
    <w:p w14:paraId="138FDF6B">
      <w:pPr>
        <w:pStyle w:val="28"/>
        <w:spacing w:line="360" w:lineRule="auto"/>
        <w:rPr>
          <w:rFonts w:ascii="宋体" w:hAnsi="宋体"/>
          <w:bCs/>
          <w:color w:val="auto"/>
          <w:sz w:val="24"/>
          <w:highlight w:val="none"/>
        </w:rPr>
      </w:pPr>
      <w:r>
        <w:rPr>
          <w:rFonts w:hint="eastAsia" w:ascii="宋体" w:hAnsi="宋体"/>
          <w:bCs/>
          <w:color w:val="auto"/>
          <w:sz w:val="24"/>
          <w:highlight w:val="none"/>
        </w:rPr>
        <w:t>25.1评标委员会将根据招标文件的评标方法和评审标准，推荐中标候选人及评标排序，确定满足招标文件全部实质性要求，且按照评审因素的量化指标评审得分最高的</w:t>
      </w:r>
      <w:r>
        <w:rPr>
          <w:rFonts w:hint="eastAsia" w:ascii="宋体" w:hAnsi="宋体"/>
          <w:bCs/>
          <w:color w:val="auto"/>
          <w:sz w:val="24"/>
          <w:highlight w:val="none"/>
          <w:lang w:eastAsia="zh-CN"/>
        </w:rPr>
        <w:t>供应商</w:t>
      </w:r>
      <w:r>
        <w:rPr>
          <w:rFonts w:hint="eastAsia" w:ascii="宋体" w:hAnsi="宋体"/>
          <w:bCs/>
          <w:color w:val="auto"/>
          <w:sz w:val="24"/>
          <w:highlight w:val="none"/>
        </w:rPr>
        <w:t>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按投标报价由低到高顺序排列。如报价相同则技术部分得分最高优先，投标报价相同且技术部分得分也相同的，由评标委员会现场采取随机抽取方式确定。</w:t>
      </w:r>
    </w:p>
    <w:p w14:paraId="25A168E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25.2单一产品采购项目，提供相同品牌产品且通过资格审查、符合性审查的不同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参加同一合同项下投标的，按一家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w:t>
      </w:r>
      <w:r>
        <w:rPr>
          <w:rFonts w:ascii="宋体" w:hAnsi="宋体"/>
          <w:bCs/>
          <w:color w:val="auto"/>
          <w:sz w:val="24"/>
          <w:highlight w:val="none"/>
        </w:rPr>
        <w:t xml:space="preserve"> </w:t>
      </w:r>
      <w:r>
        <w:rPr>
          <w:rFonts w:hint="eastAsia" w:ascii="宋体" w:hAnsi="宋体"/>
          <w:bCs/>
          <w:color w:val="auto"/>
          <w:sz w:val="24"/>
          <w:highlight w:val="none"/>
        </w:rPr>
        <w:t>或者采购人委托评标委员会按照招标文件规定的方式确定一个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获得中标人推荐资格，招标文件未规定的采取随机抽取方式确定，其他同品牌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不得作为中标候选人。非单一产品采购项目，采购需求中应载明核心产品，多家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提供的产品中有一种核心产品品牌相同，即视为提供相同品牌产品，按照第一款规定执行。如按前两款规定计算</w:t>
      </w:r>
      <w:r>
        <w:rPr>
          <w:rFonts w:hint="eastAsia" w:ascii="宋体" w:hAnsi="宋体"/>
          <w:bCs/>
          <w:color w:val="auto"/>
          <w:sz w:val="24"/>
          <w:highlight w:val="none"/>
          <w:lang w:eastAsia="zh-CN"/>
        </w:rPr>
        <w:t>供应商</w:t>
      </w:r>
      <w:r>
        <w:rPr>
          <w:rFonts w:hint="eastAsia" w:ascii="宋体" w:hAnsi="宋体"/>
          <w:bCs/>
          <w:color w:val="auto"/>
          <w:sz w:val="24"/>
          <w:highlight w:val="none"/>
        </w:rPr>
        <w:t>数量后不足三家的，属于对招标文件作实质响应的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1AEF7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26. 确定中标人</w:t>
      </w:r>
    </w:p>
    <w:p w14:paraId="69CD0690">
      <w:pPr>
        <w:pStyle w:val="28"/>
        <w:spacing w:line="360" w:lineRule="auto"/>
        <w:rPr>
          <w:rFonts w:ascii="宋体" w:hAnsi="宋体"/>
          <w:bCs/>
          <w:color w:val="auto"/>
          <w:sz w:val="24"/>
          <w:highlight w:val="none"/>
        </w:rPr>
      </w:pPr>
      <w:r>
        <w:rPr>
          <w:rFonts w:hint="eastAsia" w:ascii="宋体" w:hAnsi="宋体"/>
          <w:bCs/>
          <w:color w:val="auto"/>
          <w:sz w:val="24"/>
          <w:highlight w:val="none"/>
        </w:rPr>
        <w:t>26.1采购人将在评标报告确定的中标候选人名单中按顺序确定中标人。</w:t>
      </w:r>
    </w:p>
    <w:p w14:paraId="53DFBE3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26.2最低投标价不是中标唯一条件。</w:t>
      </w:r>
    </w:p>
    <w:p w14:paraId="418659C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27.保留权利</w:t>
      </w:r>
    </w:p>
    <w:p w14:paraId="2D2680F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27.1因不可抗力或中标人自身原因不能履约等情形，采购人保留与其他中标候选人签订合同的权利。</w:t>
      </w:r>
    </w:p>
    <w:p w14:paraId="71319BB8">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28.中标通知书</w:t>
      </w:r>
    </w:p>
    <w:p w14:paraId="6C274D18">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28.1在投标有效期内，中标人确定后，采购代理机构将在财政部门指定的政府采购信息发布媒体上公告中标结果，同时采购代理机构以书面形式向中标人发出中标通知书。</w:t>
      </w:r>
    </w:p>
    <w:p w14:paraId="471B1C5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28.2</w:t>
      </w:r>
      <w:r>
        <w:rPr>
          <w:rFonts w:hint="eastAsia" w:ascii="宋体" w:hAnsi="宋体"/>
          <w:bCs/>
          <w:color w:val="auto"/>
          <w:sz w:val="24"/>
          <w:highlight w:val="none"/>
          <w:lang w:eastAsia="zh-CN"/>
        </w:rPr>
        <w:t>供应商</w:t>
      </w:r>
      <w:r>
        <w:rPr>
          <w:rFonts w:hint="eastAsia" w:ascii="宋体" w:hAnsi="宋体"/>
          <w:bCs/>
          <w:color w:val="auto"/>
          <w:sz w:val="24"/>
          <w:highlight w:val="none"/>
        </w:rPr>
        <w:t>可通过相关发布媒体查询中标结果。</w:t>
      </w:r>
    </w:p>
    <w:p w14:paraId="003B0EC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28.3中标通知书是合同的组成部分。</w:t>
      </w:r>
    </w:p>
    <w:p w14:paraId="4C1B960B">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29.签订合同</w:t>
      </w:r>
    </w:p>
    <w:p w14:paraId="3FA99228">
      <w:pPr>
        <w:pStyle w:val="28"/>
        <w:spacing w:line="360" w:lineRule="auto"/>
        <w:rPr>
          <w:rFonts w:ascii="宋体" w:hAnsi="宋体"/>
          <w:bCs/>
          <w:color w:val="auto"/>
          <w:sz w:val="24"/>
          <w:highlight w:val="none"/>
        </w:rPr>
      </w:pPr>
      <w:r>
        <w:rPr>
          <w:rFonts w:hint="eastAsia" w:ascii="宋体" w:hAnsi="宋体"/>
          <w:bCs/>
          <w:color w:val="auto"/>
          <w:sz w:val="24"/>
          <w:highlight w:val="none"/>
        </w:rPr>
        <w:t>29.1中标人应当自中标通知书发出之日起</w:t>
      </w:r>
      <w:r>
        <w:rPr>
          <w:rFonts w:ascii="宋体" w:hAnsi="宋体"/>
          <w:bCs/>
          <w:color w:val="auto"/>
          <w:sz w:val="24"/>
          <w:highlight w:val="none"/>
        </w:rPr>
        <w:t>30</w:t>
      </w:r>
      <w:r>
        <w:rPr>
          <w:rFonts w:hint="eastAsia" w:ascii="宋体" w:hAnsi="宋体"/>
          <w:bCs/>
          <w:color w:val="auto"/>
          <w:sz w:val="24"/>
          <w:highlight w:val="none"/>
        </w:rPr>
        <w:t>日内，按照招标文件和投标文件的规定，与采购人签订书面合同。所签订的合同不得对招标文件确定的事项和投标文件作实质性修改。</w:t>
      </w:r>
    </w:p>
    <w:p w14:paraId="7A31298B">
      <w:pPr>
        <w:pStyle w:val="28"/>
        <w:spacing w:line="360" w:lineRule="auto"/>
        <w:rPr>
          <w:rFonts w:ascii="宋体" w:hAnsi="宋体"/>
          <w:bCs/>
          <w:color w:val="auto"/>
          <w:sz w:val="24"/>
          <w:highlight w:val="none"/>
        </w:rPr>
      </w:pPr>
      <w:r>
        <w:rPr>
          <w:rFonts w:hint="eastAsia" w:ascii="宋体" w:hAnsi="宋体"/>
          <w:bCs/>
          <w:color w:val="auto"/>
          <w:sz w:val="24"/>
          <w:highlight w:val="none"/>
        </w:rPr>
        <w:t>29.2招标文件及其补充文件、中标人的投标文件及其澄清文件等，均为签订合同的依据。</w:t>
      </w:r>
    </w:p>
    <w:p w14:paraId="45598EBB">
      <w:pPr>
        <w:pStyle w:val="28"/>
        <w:spacing w:line="360" w:lineRule="auto"/>
        <w:rPr>
          <w:rFonts w:ascii="宋体" w:hAnsi="宋体"/>
          <w:bCs/>
          <w:color w:val="auto"/>
          <w:sz w:val="24"/>
          <w:highlight w:val="none"/>
        </w:rPr>
      </w:pPr>
      <w:r>
        <w:rPr>
          <w:rFonts w:hint="eastAsia" w:ascii="宋体" w:hAnsi="宋体"/>
          <w:bCs/>
          <w:color w:val="auto"/>
          <w:sz w:val="24"/>
          <w:highlight w:val="none"/>
        </w:rPr>
        <w:t>29.3中标人拒绝与采购人签订合同的，采购人可以按照评标报告推荐的中标候选人名单排序，确定下一候选人为中标人，也可以重新开展政府采购活动。</w:t>
      </w:r>
    </w:p>
    <w:p w14:paraId="781E076F">
      <w:pPr>
        <w:pStyle w:val="28"/>
        <w:spacing w:line="360" w:lineRule="auto"/>
        <w:rPr>
          <w:rFonts w:ascii="宋体" w:hAnsi="宋体"/>
          <w:bCs/>
          <w:color w:val="auto"/>
          <w:sz w:val="24"/>
          <w:highlight w:val="none"/>
        </w:rPr>
      </w:pPr>
      <w:r>
        <w:rPr>
          <w:rFonts w:hint="eastAsia" w:ascii="宋体" w:hAnsi="宋体"/>
          <w:bCs/>
          <w:color w:val="auto"/>
          <w:sz w:val="24"/>
          <w:highlight w:val="none"/>
        </w:rPr>
        <w:t>29.4政府采购合同履行中，采购人可以与中标人签订补充合同，但补充合同必须符合政府采购法相关法律法规有关规定。</w:t>
      </w:r>
    </w:p>
    <w:p w14:paraId="39DC08C4">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30.履约保证金</w:t>
      </w:r>
    </w:p>
    <w:p w14:paraId="0CBEE6A8">
      <w:pPr>
        <w:pStyle w:val="28"/>
        <w:spacing w:line="360" w:lineRule="auto"/>
        <w:rPr>
          <w:rFonts w:ascii="宋体" w:hAnsi="宋体"/>
          <w:bCs/>
          <w:color w:val="auto"/>
          <w:highlight w:val="none"/>
        </w:rPr>
      </w:pPr>
      <w:r>
        <w:rPr>
          <w:rFonts w:hint="eastAsia" w:ascii="宋体" w:hAnsi="宋体"/>
          <w:bCs/>
          <w:color w:val="auto"/>
          <w:sz w:val="24"/>
          <w:highlight w:val="none"/>
        </w:rPr>
        <w:t>30.1中标人应当按照招标文件</w:t>
      </w:r>
      <w:r>
        <w:rPr>
          <w:rFonts w:ascii="宋体" w:hAnsi="宋体"/>
          <w:bCs/>
          <w:color w:val="auto"/>
          <w:sz w:val="24"/>
          <w:highlight w:val="none"/>
        </w:rPr>
        <w:t>“</w:t>
      </w:r>
      <w:r>
        <w:rPr>
          <w:rFonts w:hint="eastAsia" w:ascii="宋体" w:hAnsi="宋体"/>
          <w:bCs/>
          <w:color w:val="auto"/>
          <w:sz w:val="24"/>
          <w:highlight w:val="none"/>
        </w:rPr>
        <w:t>第二章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中的规定金额和时间，向采购人提交履约保证金。</w:t>
      </w:r>
    </w:p>
    <w:p w14:paraId="42CE91B5">
      <w:pPr>
        <w:pStyle w:val="28"/>
        <w:spacing w:line="360" w:lineRule="auto"/>
        <w:rPr>
          <w:rFonts w:ascii="宋体" w:hAnsi="宋体"/>
          <w:bCs/>
          <w:color w:val="auto"/>
          <w:sz w:val="24"/>
          <w:highlight w:val="none"/>
        </w:rPr>
      </w:pPr>
      <w:r>
        <w:rPr>
          <w:rFonts w:hint="eastAsia" w:ascii="宋体" w:hAnsi="宋体"/>
          <w:bCs/>
          <w:color w:val="auto"/>
          <w:sz w:val="24"/>
          <w:highlight w:val="none"/>
        </w:rPr>
        <w:t>30.2如果中标人没有按照招标文件规定提交履约保证金，采购人有权取消该中标决定，并没收其投标保证金。在此情况下，采购人可另选下一个中标候选人，或重新招标。</w:t>
      </w:r>
    </w:p>
    <w:p w14:paraId="1F1DA7FC">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31.</w:t>
      </w:r>
      <w:r>
        <w:rPr>
          <w:rFonts w:hint="eastAsia" w:ascii="宋体" w:hAnsi="宋体"/>
          <w:b/>
          <w:bCs/>
          <w:color w:val="auto"/>
          <w:sz w:val="24"/>
          <w:highlight w:val="none"/>
          <w:lang w:eastAsia="zh-CN"/>
        </w:rPr>
        <w:t>供应商</w:t>
      </w:r>
      <w:r>
        <w:rPr>
          <w:rFonts w:hint="eastAsia" w:ascii="宋体" w:hAnsi="宋体"/>
          <w:b/>
          <w:bCs/>
          <w:color w:val="auto"/>
          <w:sz w:val="24"/>
          <w:highlight w:val="none"/>
        </w:rPr>
        <w:t>质疑</w:t>
      </w:r>
    </w:p>
    <w:p w14:paraId="404BB24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31.1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应当在法定质疑期内一次性提出针对同一采购程序环节的质疑。</w:t>
      </w:r>
    </w:p>
    <w:p w14:paraId="6EE4C85A">
      <w:pPr>
        <w:pStyle w:val="28"/>
        <w:spacing w:line="360" w:lineRule="auto"/>
        <w:rPr>
          <w:rFonts w:ascii="宋体" w:hAnsi="宋体"/>
          <w:bCs/>
          <w:color w:val="auto"/>
          <w:sz w:val="24"/>
          <w:highlight w:val="none"/>
        </w:rPr>
        <w:sectPr>
          <w:footerReference r:id="rId5" w:type="default"/>
          <w:pgSz w:w="11910" w:h="16840"/>
          <w:pgMar w:top="1134" w:right="1134" w:bottom="1140" w:left="1457" w:header="851" w:footer="953" w:gutter="0"/>
          <w:pgNumType w:fmt="decimal"/>
          <w:cols w:space="720" w:num="1"/>
          <w:docGrid w:linePitch="286" w:charSpace="0"/>
        </w:sectPr>
      </w:pPr>
    </w:p>
    <w:p w14:paraId="132427B8">
      <w:pPr>
        <w:numPr>
          <w:ilvl w:val="0"/>
          <w:numId w:val="0"/>
        </w:numPr>
        <w:ind w:left="0" w:leftChars="0" w:firstLine="0" w:firstLineChars="0"/>
        <w:jc w:val="center"/>
        <w:outlineLvl w:val="0"/>
        <w:rPr>
          <w:rFonts w:hint="eastAsia" w:ascii="宋体"/>
          <w:b/>
          <w:color w:val="auto"/>
          <w:sz w:val="32"/>
          <w:szCs w:val="32"/>
          <w:highlight w:val="none"/>
          <w:lang w:val="en-US" w:eastAsia="zh-CN"/>
        </w:rPr>
      </w:pPr>
      <w:bookmarkStart w:id="29" w:name="_Toc24142"/>
      <w:r>
        <w:rPr>
          <w:rFonts w:hint="eastAsia" w:ascii="东文宋体" w:hAnsi="东文宋体" w:eastAsia="东文宋体" w:cs="东文宋体"/>
          <w:b/>
          <w:color w:val="auto"/>
          <w:kern w:val="2"/>
          <w:sz w:val="32"/>
          <w:szCs w:val="32"/>
          <w:highlight w:val="none"/>
          <w:lang w:val="en-US" w:eastAsia="zh-CN" w:bidi="ar-SA"/>
        </w:rPr>
        <w:t>☆</w:t>
      </w:r>
      <w:r>
        <w:rPr>
          <w:rFonts w:hint="eastAsia" w:ascii="宋体" w:hAnsiTheme="minorHAnsi" w:eastAsiaTheme="minorEastAsia" w:cstheme="minorBidi"/>
          <w:b/>
          <w:color w:val="auto"/>
          <w:kern w:val="2"/>
          <w:sz w:val="32"/>
          <w:szCs w:val="32"/>
          <w:highlight w:val="none"/>
          <w:lang w:val="en-US" w:eastAsia="zh-CN" w:bidi="ar-SA"/>
        </w:rPr>
        <w:t>第</w:t>
      </w:r>
      <w:r>
        <w:rPr>
          <w:rFonts w:hint="eastAsia" w:ascii="宋体" w:cstheme="minorBidi"/>
          <w:b/>
          <w:color w:val="auto"/>
          <w:kern w:val="2"/>
          <w:sz w:val="32"/>
          <w:szCs w:val="32"/>
          <w:highlight w:val="none"/>
          <w:lang w:val="en-US" w:eastAsia="zh-CN" w:bidi="ar-SA"/>
        </w:rPr>
        <w:t>四</w:t>
      </w:r>
      <w:r>
        <w:rPr>
          <w:rFonts w:hint="eastAsia" w:ascii="宋体" w:hAnsiTheme="minorHAnsi" w:eastAsiaTheme="minorEastAsia" w:cstheme="minorBidi"/>
          <w:b/>
          <w:color w:val="auto"/>
          <w:kern w:val="2"/>
          <w:sz w:val="32"/>
          <w:szCs w:val="32"/>
          <w:highlight w:val="none"/>
          <w:lang w:val="en-US" w:eastAsia="zh-CN" w:bidi="ar-SA"/>
        </w:rPr>
        <w:t>章</w:t>
      </w:r>
      <w:r>
        <w:rPr>
          <w:rFonts w:hint="eastAsia" w:ascii="宋体"/>
          <w:b/>
          <w:color w:val="auto"/>
          <w:sz w:val="32"/>
          <w:szCs w:val="32"/>
          <w:highlight w:val="none"/>
        </w:rPr>
        <w:t xml:space="preserve"> 采购需求</w:t>
      </w:r>
      <w:bookmarkEnd w:id="29"/>
      <w:r>
        <w:rPr>
          <w:rFonts w:hint="eastAsia" w:ascii="宋体"/>
          <w:b/>
          <w:color w:val="auto"/>
          <w:sz w:val="32"/>
          <w:szCs w:val="32"/>
          <w:highlight w:val="none"/>
          <w:lang w:val="en-US" w:eastAsia="zh-CN"/>
        </w:rPr>
        <w:t>及服务要求</w:t>
      </w:r>
    </w:p>
    <w:p w14:paraId="766A926F">
      <w:pPr>
        <w:pStyle w:val="5"/>
        <w:numPr>
          <w:ilvl w:val="0"/>
          <w:numId w:val="0"/>
        </w:numPr>
        <w:ind w:leftChars="0"/>
        <w:rPr>
          <w:rFonts w:hint="default"/>
          <w:color w:val="auto"/>
          <w:highlight w:val="none"/>
          <w:lang w:val="en-US" w:eastAsia="zh-CN"/>
        </w:rPr>
      </w:pPr>
    </w:p>
    <w:p w14:paraId="0F9F0082">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一、</w:t>
      </w:r>
      <w:r>
        <w:rPr>
          <w:rFonts w:hint="eastAsia" w:ascii="宋体" w:hAnsi="宋体"/>
          <w:b/>
          <w:bCs w:val="0"/>
          <w:color w:val="auto"/>
          <w:sz w:val="24"/>
          <w:szCs w:val="24"/>
          <w:highlight w:val="none"/>
        </w:rPr>
        <w:t>采购标的名称及数量（</w:t>
      </w:r>
      <w:r>
        <w:rPr>
          <w:rFonts w:hint="eastAsia" w:ascii="宋体" w:hAnsi="宋体"/>
          <w:b/>
          <w:bCs w:val="0"/>
          <w:color w:val="auto"/>
          <w:sz w:val="24"/>
          <w:szCs w:val="24"/>
          <w:highlight w:val="none"/>
          <w:lang w:eastAsia="zh-CN"/>
        </w:rPr>
        <w:t>品目较多时可另附表格</w:t>
      </w:r>
      <w:r>
        <w:rPr>
          <w:rFonts w:hint="eastAsia" w:ascii="宋体" w:hAnsi="宋体"/>
          <w:b/>
          <w:bCs w:val="0"/>
          <w:color w:val="auto"/>
          <w:sz w:val="24"/>
          <w:szCs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082"/>
        <w:gridCol w:w="795"/>
        <w:gridCol w:w="1338"/>
        <w:gridCol w:w="843"/>
      </w:tblGrid>
      <w:tr w14:paraId="3BA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72" w:type="dxa"/>
            <w:noWrap w:val="0"/>
            <w:vAlign w:val="center"/>
          </w:tcPr>
          <w:p w14:paraId="165EF8C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5082" w:type="dxa"/>
            <w:noWrap w:val="0"/>
            <w:vAlign w:val="center"/>
          </w:tcPr>
          <w:p w14:paraId="5D6F5F8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名称</w:t>
            </w:r>
          </w:p>
        </w:tc>
        <w:tc>
          <w:tcPr>
            <w:tcW w:w="795" w:type="dxa"/>
            <w:noWrap w:val="0"/>
            <w:vAlign w:val="center"/>
          </w:tcPr>
          <w:p w14:paraId="251E92FE">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数量</w:t>
            </w:r>
          </w:p>
        </w:tc>
        <w:tc>
          <w:tcPr>
            <w:tcW w:w="1338" w:type="dxa"/>
            <w:noWrap w:val="0"/>
            <w:vAlign w:val="center"/>
          </w:tcPr>
          <w:p w14:paraId="1D5354FD">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进口/国产</w:t>
            </w:r>
          </w:p>
        </w:tc>
        <w:tc>
          <w:tcPr>
            <w:tcW w:w="843" w:type="dxa"/>
            <w:noWrap w:val="0"/>
            <w:vAlign w:val="center"/>
          </w:tcPr>
          <w:p w14:paraId="077BDDF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5D4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63B1CD70">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29F5EC7">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rPr>
              <w:t>米、面、油、调料、蔬菜、水果、牛羊肉、猪肉、鱼、蛋、禽类等</w:t>
            </w:r>
            <w:r>
              <w:rPr>
                <w:rFonts w:hint="eastAsia" w:ascii="宋体" w:hAnsi="宋体"/>
                <w:bCs/>
                <w:color w:val="auto"/>
                <w:sz w:val="24"/>
                <w:highlight w:val="none"/>
                <w:lang w:val="en-US" w:eastAsia="zh-CN"/>
              </w:rPr>
              <w:t>主副食品</w:t>
            </w:r>
          </w:p>
        </w:tc>
        <w:tc>
          <w:tcPr>
            <w:tcW w:w="795" w:type="dxa"/>
            <w:noWrap w:val="0"/>
            <w:vAlign w:val="center"/>
          </w:tcPr>
          <w:p w14:paraId="37B2C8D8">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w:t>
            </w:r>
          </w:p>
        </w:tc>
        <w:tc>
          <w:tcPr>
            <w:tcW w:w="1338" w:type="dxa"/>
            <w:noWrap w:val="0"/>
            <w:vAlign w:val="center"/>
          </w:tcPr>
          <w:p w14:paraId="368CA89F">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国产</w:t>
            </w:r>
          </w:p>
        </w:tc>
        <w:tc>
          <w:tcPr>
            <w:tcW w:w="843" w:type="dxa"/>
            <w:noWrap w:val="0"/>
            <w:vAlign w:val="center"/>
          </w:tcPr>
          <w:p w14:paraId="36CCE0AF">
            <w:pPr>
              <w:pStyle w:val="28"/>
              <w:spacing w:line="360" w:lineRule="auto"/>
              <w:jc w:val="center"/>
              <w:rPr>
                <w:rFonts w:hint="eastAsia" w:ascii="宋体" w:hAnsi="宋体"/>
                <w:bCs/>
                <w:color w:val="auto"/>
                <w:sz w:val="24"/>
                <w:highlight w:val="none"/>
              </w:rPr>
            </w:pPr>
          </w:p>
        </w:tc>
      </w:tr>
      <w:tr w14:paraId="19C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4B07F8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58E3C123">
            <w:pPr>
              <w:pStyle w:val="28"/>
              <w:spacing w:line="360" w:lineRule="auto"/>
              <w:jc w:val="center"/>
              <w:rPr>
                <w:rFonts w:hint="eastAsia" w:ascii="宋体" w:hAnsi="宋体"/>
                <w:bCs/>
                <w:color w:val="auto"/>
                <w:sz w:val="24"/>
                <w:highlight w:val="none"/>
              </w:rPr>
            </w:pPr>
          </w:p>
        </w:tc>
        <w:tc>
          <w:tcPr>
            <w:tcW w:w="795" w:type="dxa"/>
            <w:noWrap w:val="0"/>
            <w:vAlign w:val="center"/>
          </w:tcPr>
          <w:p w14:paraId="12481C6D">
            <w:pPr>
              <w:pStyle w:val="28"/>
              <w:spacing w:line="360" w:lineRule="auto"/>
              <w:jc w:val="center"/>
              <w:rPr>
                <w:rFonts w:hint="eastAsia" w:ascii="宋体" w:hAnsi="宋体"/>
                <w:bCs/>
                <w:color w:val="auto"/>
                <w:sz w:val="24"/>
                <w:highlight w:val="none"/>
              </w:rPr>
            </w:pPr>
          </w:p>
        </w:tc>
        <w:tc>
          <w:tcPr>
            <w:tcW w:w="1338" w:type="dxa"/>
            <w:noWrap w:val="0"/>
            <w:vAlign w:val="center"/>
          </w:tcPr>
          <w:p w14:paraId="3471F49B">
            <w:pPr>
              <w:pStyle w:val="28"/>
              <w:spacing w:line="360" w:lineRule="auto"/>
              <w:jc w:val="center"/>
              <w:rPr>
                <w:rFonts w:hint="eastAsia" w:ascii="宋体" w:hAnsi="宋体"/>
                <w:bCs/>
                <w:color w:val="auto"/>
                <w:sz w:val="24"/>
                <w:highlight w:val="none"/>
              </w:rPr>
            </w:pPr>
          </w:p>
        </w:tc>
        <w:tc>
          <w:tcPr>
            <w:tcW w:w="843" w:type="dxa"/>
            <w:noWrap w:val="0"/>
            <w:vAlign w:val="center"/>
          </w:tcPr>
          <w:p w14:paraId="31B9FE79">
            <w:pPr>
              <w:pStyle w:val="28"/>
              <w:spacing w:line="360" w:lineRule="auto"/>
              <w:jc w:val="center"/>
              <w:rPr>
                <w:rFonts w:hint="eastAsia" w:ascii="宋体" w:hAnsi="宋体"/>
                <w:bCs/>
                <w:color w:val="auto"/>
                <w:sz w:val="24"/>
                <w:highlight w:val="none"/>
              </w:rPr>
            </w:pPr>
          </w:p>
        </w:tc>
      </w:tr>
      <w:tr w14:paraId="6E9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1465FC91">
            <w:pPr>
              <w:pStyle w:val="28"/>
              <w:spacing w:line="360" w:lineRule="auto"/>
              <w:jc w:val="center"/>
              <w:rPr>
                <w:rFonts w:hint="default" w:ascii="宋体" w:hAnsi="宋体" w:eastAsia="宋体"/>
                <w:bCs/>
                <w:color w:val="auto"/>
                <w:sz w:val="24"/>
                <w:highlight w:val="none"/>
                <w:lang w:val="en-US" w:eastAsia="zh-CN"/>
              </w:rPr>
            </w:pPr>
            <w:r>
              <w:rPr>
                <w:rFonts w:hint="default" w:ascii="宋体" w:hAnsi="宋体" w:eastAsia="宋体"/>
                <w:bCs/>
                <w:color w:val="auto"/>
                <w:sz w:val="24"/>
                <w:highlight w:val="none"/>
                <w:lang w:val="en-US" w:eastAsia="zh-CN"/>
              </w:rPr>
              <w:t>……</w:t>
            </w:r>
          </w:p>
        </w:tc>
        <w:tc>
          <w:tcPr>
            <w:tcW w:w="5082" w:type="dxa"/>
            <w:noWrap w:val="0"/>
            <w:vAlign w:val="center"/>
          </w:tcPr>
          <w:p w14:paraId="5E92C2D7">
            <w:pPr>
              <w:pStyle w:val="28"/>
              <w:spacing w:line="360" w:lineRule="auto"/>
              <w:jc w:val="center"/>
              <w:rPr>
                <w:rFonts w:hint="eastAsia" w:ascii="宋体" w:hAnsi="宋体"/>
                <w:bCs/>
                <w:color w:val="auto"/>
                <w:sz w:val="24"/>
                <w:highlight w:val="none"/>
              </w:rPr>
            </w:pPr>
          </w:p>
        </w:tc>
        <w:tc>
          <w:tcPr>
            <w:tcW w:w="795" w:type="dxa"/>
            <w:noWrap w:val="0"/>
            <w:vAlign w:val="center"/>
          </w:tcPr>
          <w:p w14:paraId="4A626278">
            <w:pPr>
              <w:pStyle w:val="28"/>
              <w:spacing w:line="360" w:lineRule="auto"/>
              <w:jc w:val="center"/>
              <w:rPr>
                <w:rFonts w:hint="eastAsia" w:ascii="宋体" w:hAnsi="宋体"/>
                <w:bCs/>
                <w:color w:val="auto"/>
                <w:sz w:val="24"/>
                <w:highlight w:val="none"/>
              </w:rPr>
            </w:pPr>
          </w:p>
        </w:tc>
        <w:tc>
          <w:tcPr>
            <w:tcW w:w="1338" w:type="dxa"/>
            <w:noWrap w:val="0"/>
            <w:vAlign w:val="center"/>
          </w:tcPr>
          <w:p w14:paraId="50A871F9">
            <w:pPr>
              <w:pStyle w:val="28"/>
              <w:spacing w:line="360" w:lineRule="auto"/>
              <w:jc w:val="center"/>
              <w:rPr>
                <w:rFonts w:hint="eastAsia" w:ascii="宋体" w:hAnsi="宋体"/>
                <w:bCs/>
                <w:color w:val="auto"/>
                <w:sz w:val="24"/>
                <w:highlight w:val="none"/>
              </w:rPr>
            </w:pPr>
          </w:p>
        </w:tc>
        <w:tc>
          <w:tcPr>
            <w:tcW w:w="843" w:type="dxa"/>
            <w:noWrap w:val="0"/>
            <w:vAlign w:val="center"/>
          </w:tcPr>
          <w:p w14:paraId="7C2C39FC">
            <w:pPr>
              <w:pStyle w:val="28"/>
              <w:spacing w:line="360" w:lineRule="auto"/>
              <w:jc w:val="center"/>
              <w:rPr>
                <w:rFonts w:hint="eastAsia" w:ascii="宋体" w:hAnsi="宋体"/>
                <w:bCs/>
                <w:color w:val="auto"/>
                <w:sz w:val="24"/>
                <w:highlight w:val="none"/>
              </w:rPr>
            </w:pPr>
          </w:p>
        </w:tc>
      </w:tr>
      <w:tr w14:paraId="40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30" w:type="dxa"/>
            <w:gridSpan w:val="5"/>
            <w:noWrap w:val="0"/>
            <w:vAlign w:val="center"/>
          </w:tcPr>
          <w:p w14:paraId="38D8ED7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配套标的需要的设备、备件、耗材等</w:t>
            </w:r>
          </w:p>
        </w:tc>
      </w:tr>
      <w:tr w14:paraId="7DB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3AA3F99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FCA1E4B">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无</w:t>
            </w:r>
          </w:p>
        </w:tc>
        <w:tc>
          <w:tcPr>
            <w:tcW w:w="795" w:type="dxa"/>
            <w:noWrap w:val="0"/>
            <w:vAlign w:val="center"/>
          </w:tcPr>
          <w:p w14:paraId="0631BDC7">
            <w:pPr>
              <w:pStyle w:val="28"/>
              <w:spacing w:line="360" w:lineRule="auto"/>
              <w:jc w:val="center"/>
              <w:rPr>
                <w:rFonts w:hint="eastAsia" w:ascii="宋体" w:hAnsi="宋体"/>
                <w:bCs/>
                <w:color w:val="auto"/>
                <w:sz w:val="24"/>
                <w:highlight w:val="none"/>
              </w:rPr>
            </w:pPr>
          </w:p>
        </w:tc>
        <w:tc>
          <w:tcPr>
            <w:tcW w:w="1338" w:type="dxa"/>
            <w:noWrap w:val="0"/>
            <w:vAlign w:val="center"/>
          </w:tcPr>
          <w:p w14:paraId="0BF60498">
            <w:pPr>
              <w:pStyle w:val="28"/>
              <w:spacing w:line="360" w:lineRule="auto"/>
              <w:jc w:val="center"/>
              <w:rPr>
                <w:rFonts w:hint="eastAsia" w:ascii="宋体" w:hAnsi="宋体"/>
                <w:bCs/>
                <w:color w:val="auto"/>
                <w:sz w:val="24"/>
                <w:highlight w:val="none"/>
              </w:rPr>
            </w:pPr>
          </w:p>
        </w:tc>
        <w:tc>
          <w:tcPr>
            <w:tcW w:w="843" w:type="dxa"/>
            <w:noWrap w:val="0"/>
            <w:vAlign w:val="center"/>
          </w:tcPr>
          <w:p w14:paraId="575C0746">
            <w:pPr>
              <w:pStyle w:val="28"/>
              <w:spacing w:line="360" w:lineRule="auto"/>
              <w:jc w:val="center"/>
              <w:rPr>
                <w:rFonts w:hint="eastAsia" w:ascii="宋体" w:hAnsi="宋体"/>
                <w:bCs/>
                <w:color w:val="auto"/>
                <w:sz w:val="24"/>
                <w:highlight w:val="none"/>
              </w:rPr>
            </w:pPr>
          </w:p>
        </w:tc>
      </w:tr>
      <w:tr w14:paraId="1BB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959F37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07FEB625">
            <w:pPr>
              <w:pStyle w:val="28"/>
              <w:spacing w:line="360" w:lineRule="auto"/>
              <w:jc w:val="center"/>
              <w:rPr>
                <w:rFonts w:hint="eastAsia" w:ascii="宋体" w:hAnsi="宋体"/>
                <w:bCs/>
                <w:color w:val="auto"/>
                <w:sz w:val="24"/>
                <w:highlight w:val="none"/>
              </w:rPr>
            </w:pPr>
          </w:p>
        </w:tc>
        <w:tc>
          <w:tcPr>
            <w:tcW w:w="795" w:type="dxa"/>
            <w:noWrap w:val="0"/>
            <w:vAlign w:val="center"/>
          </w:tcPr>
          <w:p w14:paraId="7CF3CB2B">
            <w:pPr>
              <w:pStyle w:val="28"/>
              <w:spacing w:line="360" w:lineRule="auto"/>
              <w:jc w:val="center"/>
              <w:rPr>
                <w:rFonts w:hint="eastAsia" w:ascii="宋体" w:hAnsi="宋体"/>
                <w:bCs/>
                <w:color w:val="auto"/>
                <w:sz w:val="24"/>
                <w:highlight w:val="none"/>
              </w:rPr>
            </w:pPr>
          </w:p>
        </w:tc>
        <w:tc>
          <w:tcPr>
            <w:tcW w:w="1338" w:type="dxa"/>
            <w:noWrap w:val="0"/>
            <w:vAlign w:val="center"/>
          </w:tcPr>
          <w:p w14:paraId="73E4BA7A">
            <w:pPr>
              <w:pStyle w:val="28"/>
              <w:spacing w:line="360" w:lineRule="auto"/>
              <w:jc w:val="center"/>
              <w:rPr>
                <w:rFonts w:hint="eastAsia" w:ascii="宋体" w:hAnsi="宋体"/>
                <w:bCs/>
                <w:color w:val="auto"/>
                <w:sz w:val="24"/>
                <w:highlight w:val="none"/>
              </w:rPr>
            </w:pPr>
          </w:p>
        </w:tc>
        <w:tc>
          <w:tcPr>
            <w:tcW w:w="843" w:type="dxa"/>
            <w:noWrap w:val="0"/>
            <w:vAlign w:val="center"/>
          </w:tcPr>
          <w:p w14:paraId="7BE6B300">
            <w:pPr>
              <w:pStyle w:val="28"/>
              <w:spacing w:line="360" w:lineRule="auto"/>
              <w:jc w:val="center"/>
              <w:rPr>
                <w:rFonts w:hint="eastAsia" w:ascii="宋体" w:hAnsi="宋体"/>
                <w:bCs/>
                <w:color w:val="auto"/>
                <w:sz w:val="24"/>
                <w:highlight w:val="none"/>
              </w:rPr>
            </w:pPr>
          </w:p>
        </w:tc>
      </w:tr>
      <w:tr w14:paraId="1D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7F395CF">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w:t>
            </w:r>
          </w:p>
        </w:tc>
        <w:tc>
          <w:tcPr>
            <w:tcW w:w="5082" w:type="dxa"/>
            <w:noWrap w:val="0"/>
            <w:vAlign w:val="center"/>
          </w:tcPr>
          <w:p w14:paraId="48065F00">
            <w:pPr>
              <w:pStyle w:val="28"/>
              <w:spacing w:line="360" w:lineRule="auto"/>
              <w:jc w:val="center"/>
              <w:rPr>
                <w:rFonts w:hint="eastAsia" w:ascii="宋体" w:hAnsi="宋体"/>
                <w:bCs/>
                <w:color w:val="auto"/>
                <w:sz w:val="24"/>
                <w:highlight w:val="none"/>
              </w:rPr>
            </w:pPr>
          </w:p>
        </w:tc>
        <w:tc>
          <w:tcPr>
            <w:tcW w:w="795" w:type="dxa"/>
            <w:noWrap w:val="0"/>
            <w:vAlign w:val="center"/>
          </w:tcPr>
          <w:p w14:paraId="052C0293">
            <w:pPr>
              <w:pStyle w:val="28"/>
              <w:spacing w:line="360" w:lineRule="auto"/>
              <w:jc w:val="center"/>
              <w:rPr>
                <w:rFonts w:hint="eastAsia" w:ascii="宋体" w:hAnsi="宋体"/>
                <w:bCs/>
                <w:color w:val="auto"/>
                <w:sz w:val="24"/>
                <w:highlight w:val="none"/>
              </w:rPr>
            </w:pPr>
          </w:p>
        </w:tc>
        <w:tc>
          <w:tcPr>
            <w:tcW w:w="1338" w:type="dxa"/>
            <w:noWrap w:val="0"/>
            <w:vAlign w:val="center"/>
          </w:tcPr>
          <w:p w14:paraId="4036BC57">
            <w:pPr>
              <w:pStyle w:val="28"/>
              <w:spacing w:line="360" w:lineRule="auto"/>
              <w:jc w:val="center"/>
              <w:rPr>
                <w:rFonts w:hint="eastAsia" w:ascii="宋体" w:hAnsi="宋体"/>
                <w:bCs/>
                <w:color w:val="auto"/>
                <w:sz w:val="24"/>
                <w:highlight w:val="none"/>
              </w:rPr>
            </w:pPr>
          </w:p>
        </w:tc>
        <w:tc>
          <w:tcPr>
            <w:tcW w:w="843" w:type="dxa"/>
            <w:noWrap w:val="0"/>
            <w:vAlign w:val="center"/>
          </w:tcPr>
          <w:p w14:paraId="3F948BC9">
            <w:pPr>
              <w:pStyle w:val="28"/>
              <w:spacing w:line="360" w:lineRule="auto"/>
              <w:jc w:val="center"/>
              <w:rPr>
                <w:rFonts w:hint="eastAsia" w:ascii="宋体" w:hAnsi="宋体"/>
                <w:bCs/>
                <w:color w:val="auto"/>
                <w:sz w:val="24"/>
                <w:highlight w:val="none"/>
              </w:rPr>
            </w:pPr>
          </w:p>
        </w:tc>
      </w:tr>
    </w:tbl>
    <w:p w14:paraId="12D9A761">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二、</w:t>
      </w:r>
      <w:r>
        <w:rPr>
          <w:rFonts w:hint="eastAsia" w:ascii="宋体" w:hAnsi="宋体"/>
          <w:b/>
          <w:bCs w:val="0"/>
          <w:color w:val="auto"/>
          <w:sz w:val="24"/>
          <w:szCs w:val="24"/>
          <w:highlight w:val="none"/>
        </w:rPr>
        <w:t>采购标的需满足的技术指标或</w:t>
      </w:r>
      <w:r>
        <w:rPr>
          <w:rFonts w:hint="eastAsia" w:ascii="宋体" w:hAnsi="宋体"/>
          <w:b/>
          <w:bCs w:val="0"/>
          <w:color w:val="auto"/>
          <w:sz w:val="24"/>
          <w:szCs w:val="24"/>
          <w:highlight w:val="none"/>
          <w:lang w:eastAsia="zh-CN"/>
        </w:rPr>
        <w:t>者</w:t>
      </w:r>
      <w:r>
        <w:rPr>
          <w:rFonts w:hint="eastAsia" w:ascii="宋体" w:hAnsi="宋体"/>
          <w:b/>
          <w:bCs w:val="0"/>
          <w:color w:val="auto"/>
          <w:sz w:val="24"/>
          <w:szCs w:val="24"/>
          <w:highlight w:val="none"/>
        </w:rPr>
        <w:t>服务</w:t>
      </w:r>
      <w:r>
        <w:rPr>
          <w:rFonts w:hint="eastAsia" w:ascii="宋体" w:hAnsi="宋体"/>
          <w:b/>
          <w:bCs w:val="0"/>
          <w:color w:val="auto"/>
          <w:sz w:val="24"/>
          <w:szCs w:val="24"/>
          <w:highlight w:val="none"/>
          <w:lang w:eastAsia="zh-CN"/>
        </w:rPr>
        <w:t>标准</w:t>
      </w:r>
      <w:r>
        <w:rPr>
          <w:rFonts w:hint="eastAsia" w:ascii="宋体" w:hAnsi="宋体"/>
          <w:b/>
          <w:bCs w:val="0"/>
          <w:color w:val="auto"/>
          <w:sz w:val="24"/>
          <w:szCs w:val="24"/>
          <w:highlight w:val="none"/>
        </w:rPr>
        <w:t>内容</w:t>
      </w:r>
    </w:p>
    <w:p w14:paraId="41EECD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1.乙方保证提供的货物均符合国家规定的质量、卫生、安全标准。乙方所供货物质量保证周期要求不低于1年，质量保证期从每一批次货物验收合格后开始计算，至每一批次货物消耗完毕截止。</w:t>
      </w:r>
    </w:p>
    <w:p w14:paraId="0F092389">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2.乙方不得向甲方提供以下食品（包括但不限于）：</w:t>
      </w:r>
    </w:p>
    <w:p w14:paraId="713BFEC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1）腐败变质、油脂酸败、霉变、生虫、污秽不洁、混有异物或者其他感官性状异常，可能对人体健康有害的；</w:t>
      </w:r>
    </w:p>
    <w:p w14:paraId="4ECFD11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2）含有毒、有害物质或者被有毒、有害物质污染，可能对人体健康有害的；</w:t>
      </w:r>
    </w:p>
    <w:p w14:paraId="5FD2320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3）含有致病性寄生虫、微生物的，或者微生物毒素含量超过国家限定标准的；</w:t>
      </w:r>
    </w:p>
    <w:p w14:paraId="3C5754CA">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4）含有昆虫或其它异物的；</w:t>
      </w:r>
    </w:p>
    <w:p w14:paraId="051614BC">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5）容器包装污秽不洁，严重破损或运输工具不洁造成污染的；</w:t>
      </w:r>
    </w:p>
    <w:p w14:paraId="6079CE6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6）掺假、掺杂、伪造，影响营养、卫生的；</w:t>
      </w:r>
    </w:p>
    <w:p w14:paraId="4806A263">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7）用非食品原料加工的，加入非食品用化学物质的或者将非食品当作食品的；</w:t>
      </w:r>
    </w:p>
    <w:p w14:paraId="3319F77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8）交货时质保期少于半年以上的；</w:t>
      </w:r>
    </w:p>
    <w:p w14:paraId="019A4A4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9）为防病等特殊需要，国务院卫生行政部门或者省、自治区、直辖市人民政府专门规定禁止出售的；</w:t>
      </w:r>
    </w:p>
    <w:p w14:paraId="79A34772">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10）含有未经国务院卫生行政部门批准使用的添加剂的或者农药残留超过国家规定容许量的；</w:t>
      </w:r>
    </w:p>
    <w:p w14:paraId="05BCA386">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11）擅自加入药物的食品及食品原料；</w:t>
      </w:r>
    </w:p>
    <w:p w14:paraId="1F04AF5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12）未经卫生部批准的新资源食品；</w:t>
      </w:r>
    </w:p>
    <w:p w14:paraId="73B8CF9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13）未经检验或检验不合格出厂的食品及食品原辅材料；</w:t>
      </w:r>
    </w:p>
    <w:p w14:paraId="0FA1555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14）未按规定索证的食品及食品原辅材料；</w:t>
      </w:r>
    </w:p>
    <w:p w14:paraId="759960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15）无卫生许可证者生产的食品及食品原辅材料（初级农产品除外）；</w:t>
      </w:r>
    </w:p>
    <w:p w14:paraId="71F6BAB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16）不符合国家卫生标准或者卫生管理办法的进口食品及食品原辅材料；</w:t>
      </w:r>
    </w:p>
    <w:p w14:paraId="15095FCB">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17）其他不符合食品卫生标准和要求的食品及食品原辅材料。</w:t>
      </w:r>
    </w:p>
    <w:p w14:paraId="7CE458A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18）乙方所供蔬菜农产品质量安全市场准入检测合格证提供CMA标识的品质、农残、重金属检测报告。</w:t>
      </w:r>
    </w:p>
    <w:p w14:paraId="116ADAD8">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19）进口冷链食品。</w:t>
      </w:r>
    </w:p>
    <w:p w14:paraId="6317DE3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20）如发生疫情，疫情期间，供货不得违反疫情防控相关政策规定</w:t>
      </w:r>
    </w:p>
    <w:p w14:paraId="0B368B6E">
      <w:pPr>
        <w:pStyle w:val="28"/>
        <w:spacing w:line="360" w:lineRule="auto"/>
        <w:rPr>
          <w:rFonts w:hint="eastAsia" w:ascii="宋体" w:hAnsi="宋体"/>
          <w:b/>
          <w:bCs w:val="0"/>
          <w:color w:val="auto"/>
          <w:sz w:val="24"/>
          <w:szCs w:val="24"/>
          <w:highlight w:val="none"/>
          <w:lang w:eastAsia="zh-CN"/>
        </w:rPr>
      </w:pPr>
      <w:r>
        <w:rPr>
          <w:rFonts w:hint="eastAsia" w:ascii="宋体" w:hAnsi="宋体"/>
          <w:b/>
          <w:bCs w:val="0"/>
          <w:color w:val="auto"/>
          <w:sz w:val="24"/>
          <w:szCs w:val="24"/>
          <w:highlight w:val="none"/>
          <w:lang w:val="en-US" w:eastAsia="zh-CN"/>
        </w:rPr>
        <w:t>三、</w:t>
      </w:r>
      <w:r>
        <w:rPr>
          <w:rFonts w:hint="eastAsia" w:ascii="宋体" w:hAnsi="宋体"/>
          <w:b/>
          <w:bCs w:val="0"/>
          <w:color w:val="auto"/>
          <w:sz w:val="24"/>
          <w:szCs w:val="24"/>
          <w:highlight w:val="none"/>
        </w:rPr>
        <w:t>采购标的需满足的</w:t>
      </w:r>
      <w:r>
        <w:rPr>
          <w:rFonts w:hint="eastAsia" w:ascii="宋体" w:hAnsi="宋体"/>
          <w:b/>
          <w:bCs w:val="0"/>
          <w:color w:val="auto"/>
          <w:sz w:val="24"/>
          <w:szCs w:val="24"/>
          <w:highlight w:val="none"/>
          <w:lang w:eastAsia="zh-CN"/>
        </w:rPr>
        <w:t>服务要求</w:t>
      </w:r>
    </w:p>
    <w:p w14:paraId="13E24CA6">
      <w:pPr>
        <w:pStyle w:val="28"/>
        <w:spacing w:line="360" w:lineRule="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（一）</w:t>
      </w:r>
      <w:r>
        <w:rPr>
          <w:rFonts w:hint="eastAsia" w:ascii="宋体" w:hAnsi="宋体"/>
          <w:b/>
          <w:bCs w:val="0"/>
          <w:color w:val="auto"/>
          <w:sz w:val="24"/>
          <w:highlight w:val="none"/>
        </w:rPr>
        <w:t>包装和运输要求</w:t>
      </w:r>
    </w:p>
    <w:p w14:paraId="780E2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Cs/>
          <w:color w:val="auto"/>
          <w:kern w:val="2"/>
          <w:sz w:val="24"/>
          <w:szCs w:val="24"/>
          <w:highlight w:val="none"/>
          <w:lang w:val="en-US" w:eastAsia="zh-CN" w:bidi="ar-SA"/>
        </w:rPr>
      </w:pPr>
      <w:r>
        <w:rPr>
          <w:rFonts w:hint="default" w:ascii="宋体" w:hAnsi="宋体" w:eastAsia="宋体" w:cs="Times New Roman"/>
          <w:bCs/>
          <w:color w:val="auto"/>
          <w:kern w:val="2"/>
          <w:sz w:val="24"/>
          <w:szCs w:val="24"/>
          <w:highlight w:val="none"/>
          <w:lang w:val="en-US" w:eastAsia="zh-CN" w:bidi="ar-SA"/>
        </w:rPr>
        <w:t>1.包装和运输要求</w:t>
      </w:r>
    </w:p>
    <w:p w14:paraId="45C22715">
      <w:pPr>
        <w:pStyle w:val="5"/>
        <w:keepNext w:val="0"/>
        <w:keepLines w:val="0"/>
        <w:pageBreakBefore w:val="0"/>
        <w:widowControl w:val="0"/>
        <w:kinsoku/>
        <w:wordWrap/>
        <w:overflowPunct/>
        <w:topLinePunct w:val="0"/>
        <w:bidi w:val="0"/>
        <w:spacing w:line="360" w:lineRule="auto"/>
        <w:jc w:val="left"/>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包装</w:t>
      </w:r>
    </w:p>
    <w:p w14:paraId="72120C7D">
      <w:pPr>
        <w:pStyle w:val="5"/>
        <w:keepNext w:val="0"/>
        <w:keepLines w:val="0"/>
        <w:pageBreakBefore w:val="0"/>
        <w:widowControl w:val="0"/>
        <w:kinsoku/>
        <w:wordWrap/>
        <w:overflowPunct/>
        <w:topLinePunct w:val="0"/>
        <w:bidi w:val="0"/>
        <w:spacing w:line="360" w:lineRule="auto"/>
        <w:jc w:val="left"/>
        <w:textAlignment w:val="auto"/>
        <w:rPr>
          <w:rFonts w:hint="eastAsia" w:ascii="宋体" w:hAnsi="宋体" w:cs="宋体"/>
          <w:color w:val="auto"/>
          <w:sz w:val="24"/>
          <w:szCs w:val="24"/>
          <w:highlight w:val="none"/>
          <w:u w:val="none"/>
        </w:rPr>
      </w:pPr>
      <w:r>
        <w:rPr>
          <w:rFonts w:hint="eastAsia" w:cs="宋体"/>
          <w:color w:val="auto"/>
          <w:sz w:val="24"/>
          <w:szCs w:val="24"/>
          <w:highlight w:val="none"/>
          <w:u w:val="none"/>
          <w:lang w:val="en-US" w:eastAsia="zh-CN"/>
        </w:rPr>
        <w:t>1.</w:t>
      </w:r>
      <w:r>
        <w:rPr>
          <w:rFonts w:hint="eastAsia" w:ascii="宋体" w:hAnsi="宋体" w:cs="宋体"/>
          <w:color w:val="auto"/>
          <w:sz w:val="24"/>
          <w:szCs w:val="24"/>
          <w:highlight w:val="none"/>
          <w:u w:val="none"/>
        </w:rPr>
        <w:t>合格率：乙方提供的货物合格率应达100%</w:t>
      </w:r>
      <w:r>
        <w:rPr>
          <w:rFonts w:hint="eastAsia" w:ascii="宋体" w:hAnsi="宋体" w:cs="宋体"/>
          <w:color w:val="auto"/>
          <w:sz w:val="24"/>
          <w:szCs w:val="24"/>
          <w:highlight w:val="none"/>
          <w:u w:val="none"/>
          <w:lang w:eastAsia="zh-CN"/>
        </w:rPr>
        <w:t>，</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对</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供应链进行明确，所有</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来源必须清晰，尽量使用知名品牌。</w:t>
      </w:r>
    </w:p>
    <w:p w14:paraId="2C0C65FE">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所供肉类应保持较好的外观和质量等级，符合国家食品部门的有关标准，保证无异味、无霉烂变质，肉类保证来源于新疆地区正规肉屠宰场，供货时须提交屠宰场的验收单及当批次有效的动物检疫合格证复印件，新鲜肉确保每日新鲜，为当天新疆地区正规屠宰场宰杀的新鲜肉；冷冻肉要求肉体冻实而坚硬，无化冻现象，肉质紧密而有弹性，色泽均匀，不粘手，交货时干净、新鲜、无异味，供货时的保质期不少于</w:t>
      </w:r>
      <w:r>
        <w:rPr>
          <w:rFonts w:hint="eastAsia" w:ascii="宋体" w:hAnsi="宋体" w:eastAsia="宋体" w:cs="宋体"/>
          <w:color w:val="auto"/>
          <w:sz w:val="24"/>
          <w:szCs w:val="24"/>
          <w:highlight w:val="none"/>
          <w:u w:val="none"/>
          <w:lang w:val="en-US" w:eastAsia="zh-CN"/>
        </w:rPr>
        <w:t>半年</w:t>
      </w:r>
      <w:r>
        <w:rPr>
          <w:rFonts w:hint="eastAsia" w:ascii="宋体" w:hAnsi="宋体" w:eastAsia="宋体" w:cs="宋体"/>
          <w:color w:val="auto"/>
          <w:sz w:val="24"/>
          <w:szCs w:val="24"/>
          <w:highlight w:val="none"/>
          <w:u w:val="none"/>
        </w:rPr>
        <w:t>。以上肉类每半年提供动物检疫合格证备查。</w:t>
      </w:r>
    </w:p>
    <w:p w14:paraId="2193AF33">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家禽类</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表皮光滑</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新鲜质嫩，</w:t>
      </w:r>
      <w:r>
        <w:rPr>
          <w:rFonts w:hint="eastAsia" w:ascii="宋体" w:hAnsi="宋体" w:eastAsia="宋体" w:cs="宋体"/>
          <w:color w:val="auto"/>
          <w:sz w:val="24"/>
          <w:szCs w:val="24"/>
          <w:highlight w:val="none"/>
          <w:u w:val="none"/>
        </w:rPr>
        <w:t>需去净毛和内脏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眼球饱满或平坦，皮肤有光泽，因品种不同而呈黄、浅黄、淡红、灰白等色，肌肉切面有光泽，外表微湿润，不粘手，具有</w:t>
      </w:r>
      <w:r>
        <w:rPr>
          <w:rFonts w:hint="eastAsia" w:ascii="宋体" w:hAnsi="宋体" w:cs="宋体"/>
          <w:color w:val="auto"/>
          <w:sz w:val="24"/>
          <w:szCs w:val="24"/>
          <w:highlight w:val="none"/>
          <w:u w:val="none"/>
          <w:lang w:val="en-US" w:eastAsia="zh-CN"/>
        </w:rPr>
        <w:t>禽</w:t>
      </w:r>
      <w:r>
        <w:rPr>
          <w:rFonts w:hint="eastAsia" w:ascii="宋体" w:hAnsi="宋体" w:eastAsia="宋体" w:cs="宋体"/>
          <w:color w:val="auto"/>
          <w:sz w:val="24"/>
          <w:szCs w:val="24"/>
          <w:highlight w:val="none"/>
          <w:u w:val="none"/>
        </w:rPr>
        <w:t>肉的正常气味，每只不低于1 公斤</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须提供农产品质量检测报告。</w:t>
      </w:r>
    </w:p>
    <w:p w14:paraId="07E094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蛋类应</w:t>
      </w:r>
      <w:r>
        <w:rPr>
          <w:rFonts w:hint="eastAsia" w:ascii="宋体" w:hAnsi="宋体" w:eastAsia="宋体" w:cs="宋体"/>
          <w:color w:val="auto"/>
          <w:sz w:val="24"/>
          <w:szCs w:val="24"/>
          <w:highlight w:val="none"/>
          <w:u w:val="none"/>
        </w:rPr>
        <w:t>新鲜</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无变质、无异味</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无破损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标有来源地标签。</w:t>
      </w:r>
    </w:p>
    <w:p w14:paraId="6B0C35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熟食包括烧鸡、烧鸭、烧鹅等。熟食的保质期较短，保鲜要求高，供应的熟食需保证产品的品质。</w:t>
      </w:r>
    </w:p>
    <w:p w14:paraId="15C5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水产类（鲤鱼、鲫鱼、</w:t>
      </w:r>
      <w:r>
        <w:rPr>
          <w:rFonts w:hint="eastAsia" w:ascii="宋体" w:hAnsi="宋体" w:cs="宋体"/>
          <w:color w:val="auto"/>
          <w:sz w:val="24"/>
          <w:szCs w:val="24"/>
          <w:highlight w:val="none"/>
          <w:u w:val="none"/>
          <w:lang w:val="en-US" w:eastAsia="zh-CN"/>
        </w:rPr>
        <w:t>草鱼、螃蟹、虾</w:t>
      </w:r>
      <w:r>
        <w:rPr>
          <w:rFonts w:hint="eastAsia" w:ascii="宋体" w:hAnsi="宋体" w:eastAsia="宋体" w:cs="宋体"/>
          <w:color w:val="auto"/>
          <w:sz w:val="24"/>
          <w:szCs w:val="24"/>
          <w:highlight w:val="none"/>
          <w:u w:val="none"/>
        </w:rPr>
        <w:t>等）</w:t>
      </w:r>
      <w:r>
        <w:rPr>
          <w:rFonts w:hint="eastAsia" w:ascii="宋体" w:hAnsi="宋体" w:cs="宋体"/>
          <w:color w:val="auto"/>
          <w:sz w:val="24"/>
          <w:szCs w:val="24"/>
          <w:highlight w:val="none"/>
          <w:u w:val="none"/>
          <w:lang w:val="en-US" w:eastAsia="zh-CN"/>
        </w:rPr>
        <w:t>应新鲜有活力，</w:t>
      </w:r>
      <w:r>
        <w:rPr>
          <w:rFonts w:hint="eastAsia" w:ascii="宋体" w:hAnsi="宋体" w:eastAsia="宋体" w:cs="宋体"/>
          <w:color w:val="auto"/>
          <w:sz w:val="24"/>
          <w:szCs w:val="24"/>
          <w:highlight w:val="none"/>
          <w:u w:val="none"/>
        </w:rPr>
        <w:t>饱满结实、肉</w:t>
      </w:r>
      <w:r>
        <w:rPr>
          <w:rFonts w:hint="eastAsia" w:ascii="宋体" w:hAnsi="宋体" w:cs="宋体"/>
          <w:color w:val="auto"/>
          <w:sz w:val="24"/>
          <w:szCs w:val="24"/>
          <w:highlight w:val="none"/>
          <w:u w:val="none"/>
          <w:lang w:val="en-US" w:eastAsia="zh-CN"/>
        </w:rPr>
        <w:t>紧致</w:t>
      </w:r>
      <w:r>
        <w:rPr>
          <w:rFonts w:hint="eastAsia" w:ascii="宋体" w:hAnsi="宋体" w:eastAsia="宋体" w:cs="宋体"/>
          <w:color w:val="auto"/>
          <w:sz w:val="24"/>
          <w:szCs w:val="24"/>
          <w:highlight w:val="none"/>
          <w:u w:val="none"/>
        </w:rPr>
        <w:t>有弹性、无离骨脱刺现象、肛门凹陷、腹无胀气、肛门无异物流出</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无腐烂异味</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无离骨脱刺现象</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无伤痕破体现象。鲜</w:t>
      </w:r>
      <w:r>
        <w:rPr>
          <w:rFonts w:hint="eastAsia" w:ascii="宋体" w:hAnsi="宋体" w:cs="宋体"/>
          <w:color w:val="auto"/>
          <w:sz w:val="24"/>
          <w:szCs w:val="24"/>
          <w:highlight w:val="none"/>
          <w:u w:val="none"/>
          <w:lang w:val="en-US" w:eastAsia="zh-CN"/>
        </w:rPr>
        <w:t>鱼类</w:t>
      </w:r>
      <w:r>
        <w:rPr>
          <w:rFonts w:hint="eastAsia" w:ascii="宋体" w:hAnsi="宋体" w:eastAsia="宋体" w:cs="宋体"/>
          <w:color w:val="auto"/>
          <w:sz w:val="24"/>
          <w:szCs w:val="24"/>
          <w:highlight w:val="none"/>
          <w:u w:val="none"/>
        </w:rPr>
        <w:t>鳞片完整、有光泽无脱落、腮口紧闭、眼球光亮透明、鱼腮腺红、鳍尾完整</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来源可靠放心，无毒、无害、无污染</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鱼种熟悉，无毒无害，不熟悉、不了解的海鱼不购。冷冻</w:t>
      </w:r>
      <w:r>
        <w:rPr>
          <w:rFonts w:hint="eastAsia" w:ascii="宋体" w:hAnsi="宋体" w:cs="宋体"/>
          <w:color w:val="auto"/>
          <w:sz w:val="24"/>
          <w:szCs w:val="24"/>
          <w:highlight w:val="none"/>
          <w:u w:val="none"/>
          <w:lang w:val="en-US" w:eastAsia="zh-CN"/>
        </w:rPr>
        <w:t>水产</w:t>
      </w:r>
      <w:r>
        <w:rPr>
          <w:rFonts w:hint="eastAsia" w:ascii="宋体" w:hAnsi="宋体" w:eastAsia="宋体" w:cs="宋体"/>
          <w:color w:val="auto"/>
          <w:sz w:val="24"/>
          <w:szCs w:val="24"/>
          <w:highlight w:val="none"/>
          <w:u w:val="none"/>
        </w:rPr>
        <w:t>类要求眼睛清亮，角膜透明，</w:t>
      </w:r>
      <w:r>
        <w:rPr>
          <w:rFonts w:hint="eastAsia" w:ascii="宋体" w:hAnsi="宋体" w:cs="宋体"/>
          <w:color w:val="auto"/>
          <w:sz w:val="24"/>
          <w:szCs w:val="24"/>
          <w:highlight w:val="none"/>
          <w:u w:val="none"/>
          <w:lang w:val="en-US" w:eastAsia="zh-CN"/>
        </w:rPr>
        <w:t>表皮</w:t>
      </w:r>
      <w:r>
        <w:rPr>
          <w:rFonts w:hint="eastAsia" w:ascii="宋体" w:hAnsi="宋体" w:eastAsia="宋体" w:cs="宋体"/>
          <w:color w:val="auto"/>
          <w:sz w:val="24"/>
          <w:szCs w:val="24"/>
          <w:highlight w:val="none"/>
          <w:u w:val="none"/>
        </w:rPr>
        <w:t>天然色泽明显</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尽量采购货源地为疆内或地区内的冷冻水产</w:t>
      </w:r>
      <w:r>
        <w:rPr>
          <w:rFonts w:hint="eastAsia" w:ascii="宋体" w:hAnsi="宋体" w:eastAsia="宋体" w:cs="宋体"/>
          <w:color w:val="auto"/>
          <w:sz w:val="24"/>
          <w:szCs w:val="24"/>
          <w:highlight w:val="none"/>
          <w:u w:val="none"/>
        </w:rPr>
        <w:t>。鱼类需杀净、去鳞。</w:t>
      </w:r>
    </w:p>
    <w:p w14:paraId="37ED04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蔬菜、果品等</w:t>
      </w:r>
      <w:r>
        <w:rPr>
          <w:rFonts w:hint="eastAsia" w:ascii="宋体" w:hAnsi="宋体" w:eastAsia="宋体" w:cs="宋体"/>
          <w:color w:val="auto"/>
          <w:sz w:val="24"/>
          <w:szCs w:val="24"/>
          <w:highlight w:val="none"/>
          <w:u w:val="none"/>
          <w:lang w:val="en-US" w:eastAsia="zh-CN"/>
        </w:rPr>
        <w:t>必须</w:t>
      </w:r>
      <w:r>
        <w:rPr>
          <w:rFonts w:hint="eastAsia" w:ascii="宋体" w:hAnsi="宋体" w:eastAsia="宋体" w:cs="宋体"/>
          <w:color w:val="auto"/>
          <w:sz w:val="24"/>
          <w:szCs w:val="24"/>
          <w:highlight w:val="none"/>
          <w:u w:val="none"/>
        </w:rPr>
        <w:t>为新鲜、保质期内，且符合卫生标准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不得</w:t>
      </w:r>
      <w:r>
        <w:rPr>
          <w:rFonts w:hint="eastAsia" w:ascii="宋体" w:hAnsi="宋体" w:eastAsia="宋体" w:cs="宋体"/>
          <w:color w:val="auto"/>
          <w:sz w:val="24"/>
          <w:szCs w:val="24"/>
          <w:highlight w:val="none"/>
          <w:u w:val="none"/>
        </w:rPr>
        <w:t>存在腐烂变质、过期等质量问题</w:t>
      </w:r>
      <w:r>
        <w:rPr>
          <w:rFonts w:hint="eastAsia" w:ascii="宋体" w:hAnsi="宋体" w:eastAsia="宋体" w:cs="宋体"/>
          <w:color w:val="auto"/>
          <w:sz w:val="24"/>
          <w:szCs w:val="24"/>
          <w:highlight w:val="none"/>
          <w:u w:val="none"/>
          <w:lang w:eastAsia="zh-CN"/>
        </w:rPr>
        <w:t>。</w:t>
      </w:r>
    </w:p>
    <w:p w14:paraId="151B58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olor w:val="auto"/>
          <w:sz w:val="28"/>
          <w:highlight w:val="none"/>
          <w:u w:val="none"/>
        </w:rPr>
      </w:pPr>
      <w:r>
        <w:rPr>
          <w:rFonts w:hint="eastAsia" w:ascii="宋体" w:hAnsi="宋体" w:cs="宋体"/>
          <w:color w:val="auto"/>
          <w:sz w:val="24"/>
          <w:szCs w:val="24"/>
          <w:highlight w:val="none"/>
          <w:u w:val="none"/>
          <w:lang w:val="en-US" w:eastAsia="zh-CN"/>
        </w:rPr>
        <w:t>7).1</w:t>
      </w:r>
      <w:r>
        <w:rPr>
          <w:rFonts w:hint="eastAsia" w:ascii="宋体" w:hAnsi="宋体" w:eastAsia="宋体" w:cs="宋体"/>
          <w:color w:val="auto"/>
          <w:sz w:val="24"/>
          <w:szCs w:val="24"/>
          <w:highlight w:val="none"/>
          <w:u w:val="none"/>
        </w:rPr>
        <w:t>叶菜类：</w:t>
      </w:r>
    </w:p>
    <w:p w14:paraId="42DF3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①茎叶鲜嫩肥厚，有生气，行态完整，捆扎包装整齐，茎部丰硕。无冻伤、晒伤、挤压，脆性大。</w:t>
      </w:r>
    </w:p>
    <w:p w14:paraId="42B63A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②叶面光滑，杂质少，枝叶有弹性，断口部水分充盈，含水量达到65%-90%</w:t>
      </w:r>
    </w:p>
    <w:p w14:paraId="7966AE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③无虫蛀，表皮无斑点，无腐烂变质，无异味，出成率高。</w:t>
      </w:r>
    </w:p>
    <w:p w14:paraId="1AB408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④农药残留物不超标（仪器检测）。</w:t>
      </w:r>
    </w:p>
    <w:p w14:paraId="6B996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根茎类：</w:t>
      </w:r>
    </w:p>
    <w:p w14:paraId="38BA72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①原料肥嫩丰满，光滑圆实，形态整齐，出成率高。</w:t>
      </w:r>
    </w:p>
    <w:p w14:paraId="6781D1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②皮不干缩，无发霉，无泥沙。</w:t>
      </w:r>
    </w:p>
    <w:p w14:paraId="725F77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③无破裂腐烂，无虫鼠咬伤、霉斑。</w:t>
      </w:r>
    </w:p>
    <w:p w14:paraId="14CF70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瓜果类：</w:t>
      </w:r>
    </w:p>
    <w:p w14:paraId="7D391F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①果皮完整、色泽鲜亮、果实饱满、蒂部不干枯，成熟适度。</w:t>
      </w:r>
    </w:p>
    <w:p w14:paraId="07A45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②果实坚实，水分足，皮不干缩、形态完整。</w:t>
      </w:r>
    </w:p>
    <w:p w14:paraId="2D800C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③表皮无斑点、腐烂，无虫咬、破伤及霉点。</w:t>
      </w:r>
    </w:p>
    <w:p w14:paraId="34677E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④有瓜果的自然香味，无异味。</w:t>
      </w:r>
    </w:p>
    <w:p w14:paraId="4A1D90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干菌类:</w:t>
      </w:r>
    </w:p>
    <w:p w14:paraId="224ABF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①干爽体轻、色泽纯正自然。</w:t>
      </w:r>
    </w:p>
    <w:p w14:paraId="2D98EB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②无杂质，无虫蛀。</w:t>
      </w:r>
    </w:p>
    <w:p w14:paraId="18A529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③无掺杂，无</w:t>
      </w:r>
      <w:r>
        <w:rPr>
          <w:rFonts w:hint="eastAsia" w:ascii="宋体" w:hAnsi="宋体" w:cs="宋体"/>
          <w:color w:val="auto"/>
          <w:sz w:val="24"/>
          <w:szCs w:val="24"/>
          <w:highlight w:val="none"/>
          <w:u w:val="none"/>
          <w:lang w:val="en-US" w:eastAsia="zh-CN"/>
        </w:rPr>
        <w:t>掺</w:t>
      </w:r>
      <w:r>
        <w:rPr>
          <w:rFonts w:hint="eastAsia" w:ascii="宋体" w:hAnsi="宋体" w:eastAsia="宋体" w:cs="宋体"/>
          <w:color w:val="auto"/>
          <w:sz w:val="24"/>
          <w:szCs w:val="24"/>
          <w:highlight w:val="none"/>
          <w:u w:val="none"/>
        </w:rPr>
        <w:t>假现象</w:t>
      </w:r>
      <w:r>
        <w:rPr>
          <w:rFonts w:hint="eastAsia" w:ascii="宋体" w:hAnsi="宋体" w:cs="宋体"/>
          <w:color w:val="auto"/>
          <w:sz w:val="24"/>
          <w:szCs w:val="24"/>
          <w:highlight w:val="none"/>
          <w:u w:val="none"/>
          <w:lang w:eastAsia="zh-CN"/>
        </w:rPr>
        <w:t>。</w:t>
      </w:r>
    </w:p>
    <w:p w14:paraId="23C1FFB7">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eastAsia="宋体" w:cs="宋体"/>
          <w:color w:val="auto"/>
          <w:sz w:val="24"/>
          <w:szCs w:val="24"/>
          <w:highlight w:val="none"/>
          <w:u w:val="none"/>
          <w:lang w:val="en-US" w:eastAsia="zh-CN"/>
        </w:rPr>
        <w:t>其余成品类主副食品需包装完好</w:t>
      </w:r>
      <w:r>
        <w:rPr>
          <w:rFonts w:hint="eastAsia" w:cs="宋体"/>
          <w:color w:val="auto"/>
          <w:sz w:val="24"/>
          <w:szCs w:val="24"/>
          <w:highlight w:val="none"/>
          <w:u w:val="none"/>
          <w:lang w:val="en-US" w:eastAsia="zh-CN"/>
        </w:rPr>
        <w:t>，</w:t>
      </w:r>
      <w:r>
        <w:rPr>
          <w:rFonts w:hint="eastAsia" w:cs="宋体"/>
          <w:color w:val="auto"/>
          <w:sz w:val="24"/>
          <w:szCs w:val="24"/>
          <w:highlight w:val="none"/>
          <w:u w:val="none"/>
        </w:rPr>
        <w:t>包装</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清洁、干燥、牢固、透气，无污染、异味、霉变现象</w:t>
      </w:r>
      <w:r>
        <w:rPr>
          <w:rFonts w:hint="eastAsia" w:cs="宋体"/>
          <w:color w:val="auto"/>
          <w:sz w:val="24"/>
          <w:szCs w:val="24"/>
          <w:highlight w:val="none"/>
          <w:u w:val="none"/>
          <w:lang w:eastAsia="zh-CN"/>
        </w:rPr>
        <w:t>，</w:t>
      </w:r>
      <w:r>
        <w:rPr>
          <w:rFonts w:hint="eastAsia" w:cs="宋体"/>
          <w:color w:val="auto"/>
          <w:sz w:val="24"/>
          <w:szCs w:val="24"/>
          <w:highlight w:val="none"/>
          <w:u w:val="none"/>
        </w:rPr>
        <w:t>包装上必须使用原产地标识，应注明制造商名称和厂址、食品名称和重量、生产日期和保质期以及规格和QS认证等</w:t>
      </w:r>
      <w:r>
        <w:rPr>
          <w:rFonts w:hint="eastAsia"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保质期不少于半年。</w:t>
      </w:r>
    </w:p>
    <w:p w14:paraId="294753FF">
      <w:pPr>
        <w:pStyle w:val="28"/>
        <w:keepNext w:val="0"/>
        <w:keepLines w:val="0"/>
        <w:pageBreakBefore w:val="0"/>
        <w:widowControl w:val="0"/>
        <w:numPr>
          <w:ilvl w:val="0"/>
          <w:numId w:val="6"/>
        </w:numPr>
        <w:kinsoku/>
        <w:wordWrap/>
        <w:overflowPunct/>
        <w:topLinePunct w:val="0"/>
        <w:bidi w:val="0"/>
        <w:spacing w:line="360" w:lineRule="auto"/>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运输</w:t>
      </w:r>
    </w:p>
    <w:p w14:paraId="0113578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1</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交货时间：具体以甲方需求为</w:t>
      </w:r>
      <w:r>
        <w:rPr>
          <w:rFonts w:hint="eastAsia" w:ascii="宋体" w:hAnsi="宋体" w:eastAsia="宋体" w:cs="Times New Roman"/>
          <w:bCs/>
          <w:color w:val="auto"/>
          <w:sz w:val="24"/>
          <w:highlight w:val="none"/>
          <w:lang w:val="en-US" w:eastAsia="zh-CN"/>
        </w:rPr>
        <w:t>准</w:t>
      </w:r>
      <w:r>
        <w:rPr>
          <w:rFonts w:hint="eastAsia" w:ascii="宋体" w:hAnsi="宋体" w:eastAsia="宋体" w:cs="Times New Roman"/>
          <w:bCs/>
          <w:color w:val="auto"/>
          <w:sz w:val="24"/>
          <w:highlight w:val="none"/>
          <w:lang w:eastAsia="zh-CN"/>
        </w:rPr>
        <w:t>（</w:t>
      </w:r>
      <w:r>
        <w:rPr>
          <w:rFonts w:hint="default" w:ascii="宋体" w:hAnsi="宋体" w:eastAsia="宋体" w:cs="Times New Roman"/>
          <w:bCs/>
          <w:color w:val="auto"/>
          <w:sz w:val="24"/>
          <w:highlight w:val="none"/>
          <w:lang w:val="en-US" w:eastAsia="zh-CN"/>
        </w:rPr>
        <w:t>原则上在</w:t>
      </w:r>
      <w:r>
        <w:rPr>
          <w:rFonts w:hint="eastAsia" w:ascii="宋体" w:hAnsi="宋体" w:eastAsia="宋体" w:cs="Times New Roman"/>
          <w:bCs/>
          <w:color w:val="auto"/>
          <w:sz w:val="24"/>
          <w:highlight w:val="none"/>
          <w:lang w:val="en-US" w:eastAsia="zh-CN"/>
        </w:rPr>
        <w:t>每单</w:t>
      </w:r>
      <w:r>
        <w:rPr>
          <w:rFonts w:hint="default" w:ascii="宋体" w:hAnsi="宋体" w:eastAsia="宋体" w:cs="Times New Roman"/>
          <w:bCs/>
          <w:color w:val="auto"/>
          <w:sz w:val="24"/>
          <w:highlight w:val="none"/>
          <w:lang w:val="en-US" w:eastAsia="zh-CN"/>
        </w:rPr>
        <w:t>下单后24小时以内交付</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如超过规定时间甲方有权在当月货款结算中予以扣除</w:t>
      </w:r>
      <w:r>
        <w:rPr>
          <w:rFonts w:hint="eastAsia" w:ascii="宋体" w:hAnsi="宋体" w:eastAsia="宋体" w:cs="Times New Roman"/>
          <w:bCs/>
          <w:color w:val="auto"/>
          <w:sz w:val="24"/>
          <w:highlight w:val="none"/>
        </w:rPr>
        <w:t>。</w:t>
      </w:r>
    </w:p>
    <w:p w14:paraId="1354895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临时订货：甲方因</w:t>
      </w:r>
      <w:r>
        <w:rPr>
          <w:rFonts w:hint="eastAsia" w:ascii="宋体" w:hAnsi="宋体" w:eastAsia="宋体" w:cs="Times New Roman"/>
          <w:bCs/>
          <w:color w:val="auto"/>
          <w:sz w:val="24"/>
          <w:highlight w:val="none"/>
          <w:lang w:eastAsia="zh-CN"/>
        </w:rPr>
        <w:t>确有</w:t>
      </w:r>
      <w:r>
        <w:rPr>
          <w:rFonts w:hint="eastAsia" w:ascii="宋体" w:hAnsi="宋体" w:eastAsia="宋体" w:cs="Times New Roman"/>
          <w:bCs/>
          <w:color w:val="auto"/>
          <w:sz w:val="24"/>
          <w:highlight w:val="none"/>
        </w:rPr>
        <w:t>临时需要，有权在批次订货时间以外临时向乙方订货，订货方式可以是书面方式也可以是口头方式。临时订货的交货时间</w:t>
      </w:r>
      <w:r>
        <w:rPr>
          <w:rFonts w:hint="eastAsia" w:ascii="宋体" w:hAnsi="宋体" w:eastAsia="宋体" w:cs="Times New Roman"/>
          <w:bCs/>
          <w:color w:val="auto"/>
          <w:sz w:val="24"/>
          <w:highlight w:val="none"/>
          <w:lang w:val="en-US" w:eastAsia="zh-CN"/>
        </w:rPr>
        <w:t>具体以甲方需求（原则上招标人提出需求后最晚2个小时内送达）为准，如超过规定时间甲方有权在当月货款结算中予以扣除</w:t>
      </w:r>
      <w:r>
        <w:rPr>
          <w:rFonts w:hint="eastAsia" w:ascii="宋体" w:hAnsi="宋体" w:eastAsia="宋体" w:cs="Times New Roman"/>
          <w:bCs/>
          <w:color w:val="auto"/>
          <w:sz w:val="24"/>
          <w:highlight w:val="none"/>
        </w:rPr>
        <w:t>。</w:t>
      </w:r>
    </w:p>
    <w:p w14:paraId="52FD2E6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3</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配送频次：为裕民边境管理大队大队部、哈拉布拉边境派出所、哈拉克姆边境派出所、新地边境派出所1日一送，察汗托海边境派出所、吉也克边境派出所、哈拉克米尔边境派出所、阿勒腾也木勒边境派出所3日一送，本项目涉及裕民县7个点位、兵团1个点位（其中片区内最远的察汗托海派出所距离裕民县30余公里，道路多为乡村道路，限速70km/h）</w:t>
      </w:r>
      <w:r>
        <w:rPr>
          <w:rFonts w:hint="eastAsia" w:ascii="宋体" w:hAnsi="宋体" w:cs="Times New Roman"/>
          <w:bCs/>
          <w:color w:val="auto"/>
          <w:sz w:val="24"/>
          <w:highlight w:val="none"/>
          <w:lang w:val="en-US" w:eastAsia="zh-CN"/>
        </w:rPr>
        <w:t>。</w:t>
      </w:r>
    </w:p>
    <w:p w14:paraId="185FDA3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2.1乙方须按照“按时、按质、按量”的配送宗旨实施供货。</w:t>
      </w:r>
    </w:p>
    <w:p w14:paraId="6088A76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2.2按时：乙方严格按照甲方的时间要求和规定配送。</w:t>
      </w:r>
    </w:p>
    <w:p w14:paraId="42C0260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2.3按质：乙方保证提供质量合格的优质产品并登记记录每个送货批次。</w:t>
      </w:r>
    </w:p>
    <w:p w14:paraId="031592A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2.4按量：乙方按照甲方的配送明细、数量、配送地址认真执行配送工作。</w:t>
      </w:r>
    </w:p>
    <w:p w14:paraId="17C7E49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2.5运送过程必须做好防污染工作，确保清洁卫生。</w:t>
      </w:r>
      <w:r>
        <w:rPr>
          <w:rFonts w:hint="eastAsia" w:ascii="宋体" w:hAnsi="宋体" w:eastAsia="宋体" w:cs="Times New Roman"/>
          <w:bCs/>
          <w:color w:val="auto"/>
          <w:sz w:val="24"/>
          <w:highlight w:val="none"/>
          <w:lang w:val="en-US" w:eastAsia="zh-CN"/>
        </w:rPr>
        <w:t>乙方为本项目配备人员、车辆情况须符合甲方要求。甲方有权不定期（含合同签订前）对乙方配备人员、车辆进行核查，乙方应无条件配合并提供完整劳务合同、社保证明、车辆行驶证等相关材料，如发现相关证明材料弄虚作假或合同签订后未使用响应文件承诺配备的人员、车辆，甲方有权取消中标人中标资格或合同签订，同时上报相关监管单位。如乙方对本项目不同标段兼投兼中，不同标段配备人员、车辆在符合相应标段要求的基础上不得重复配备。</w:t>
      </w:r>
    </w:p>
    <w:p w14:paraId="2E5E990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2.6</w:t>
      </w:r>
      <w:r>
        <w:rPr>
          <w:rFonts w:hint="eastAsia" w:ascii="宋体" w:hAnsi="宋体"/>
          <w:bCs/>
          <w:color w:val="auto"/>
          <w:sz w:val="24"/>
          <w:highlight w:val="none"/>
        </w:rPr>
        <w:t>车辆选择</w:t>
      </w:r>
      <w:r>
        <w:rPr>
          <w:rFonts w:hint="eastAsia" w:ascii="宋体" w:hAnsi="宋体"/>
          <w:bCs/>
          <w:color w:val="auto"/>
          <w:sz w:val="24"/>
          <w:highlight w:val="none"/>
          <w:lang w:eastAsia="zh-CN"/>
        </w:rPr>
        <w:t>：</w:t>
      </w:r>
      <w:r>
        <w:rPr>
          <w:rFonts w:hint="eastAsia" w:ascii="宋体" w:hAnsi="宋体"/>
          <w:bCs/>
          <w:color w:val="auto"/>
          <w:sz w:val="24"/>
          <w:highlight w:val="none"/>
        </w:rPr>
        <w:t>根据食品的类型、特性、运输季节、距离以及产品报纸贮藏的要求选择不同的运输工具。</w:t>
      </w:r>
    </w:p>
    <w:p w14:paraId="41C1D6E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2.7</w:t>
      </w:r>
      <w:r>
        <w:rPr>
          <w:rFonts w:hint="eastAsia" w:ascii="宋体" w:hAnsi="宋体"/>
          <w:bCs/>
          <w:color w:val="auto"/>
          <w:sz w:val="24"/>
          <w:highlight w:val="none"/>
        </w:rPr>
        <w:t>环境卫生要求</w:t>
      </w:r>
      <w:r>
        <w:rPr>
          <w:rFonts w:hint="eastAsia" w:ascii="宋体" w:hAnsi="宋体"/>
          <w:bCs/>
          <w:color w:val="auto"/>
          <w:sz w:val="24"/>
          <w:highlight w:val="none"/>
          <w:lang w:eastAsia="zh-CN"/>
        </w:rPr>
        <w:t>：</w:t>
      </w:r>
      <w:r>
        <w:rPr>
          <w:rFonts w:hint="eastAsia" w:ascii="宋体" w:hAnsi="宋体"/>
          <w:bCs/>
          <w:color w:val="auto"/>
          <w:sz w:val="24"/>
          <w:highlight w:val="none"/>
        </w:rPr>
        <w:t>确保车厢尾箱清洁、干燥，不得有与食品有影响的其他气味。</w:t>
      </w:r>
    </w:p>
    <w:p w14:paraId="69290C3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2.8</w:t>
      </w:r>
      <w:r>
        <w:rPr>
          <w:rFonts w:hint="eastAsia" w:ascii="宋体" w:hAnsi="宋体"/>
          <w:bCs/>
          <w:color w:val="auto"/>
          <w:sz w:val="24"/>
          <w:highlight w:val="none"/>
        </w:rPr>
        <w:t>装车要求</w:t>
      </w:r>
      <w:r>
        <w:rPr>
          <w:rFonts w:hint="eastAsia" w:ascii="宋体" w:hAnsi="宋体"/>
          <w:bCs/>
          <w:color w:val="auto"/>
          <w:sz w:val="24"/>
          <w:highlight w:val="none"/>
          <w:lang w:eastAsia="zh-CN"/>
        </w:rPr>
        <w:t>：</w:t>
      </w:r>
      <w:r>
        <w:rPr>
          <w:rFonts w:hint="eastAsia" w:ascii="宋体" w:hAnsi="宋体"/>
          <w:bCs/>
          <w:color w:val="auto"/>
          <w:sz w:val="24"/>
          <w:highlight w:val="none"/>
        </w:rPr>
        <w:t>不得与有异味、化学品、放射性、有毒有害等货物混装。</w:t>
      </w:r>
    </w:p>
    <w:p w14:paraId="3F7B513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2.9</w:t>
      </w:r>
      <w:r>
        <w:rPr>
          <w:rFonts w:hint="eastAsia" w:ascii="宋体" w:hAnsi="宋体"/>
          <w:bCs/>
          <w:color w:val="auto"/>
          <w:sz w:val="24"/>
          <w:highlight w:val="none"/>
        </w:rPr>
        <w:t>堆放耍求</w:t>
      </w:r>
      <w:r>
        <w:rPr>
          <w:rFonts w:hint="eastAsia" w:ascii="宋体" w:hAnsi="宋体"/>
          <w:bCs/>
          <w:color w:val="auto"/>
          <w:sz w:val="24"/>
          <w:highlight w:val="none"/>
          <w:lang w:eastAsia="zh-CN"/>
        </w:rPr>
        <w:t>：</w:t>
      </w:r>
      <w:r>
        <w:rPr>
          <w:rFonts w:hint="eastAsia" w:ascii="宋体" w:hAnsi="宋体"/>
          <w:bCs/>
          <w:color w:val="auto"/>
          <w:sz w:val="24"/>
          <w:highlight w:val="none"/>
        </w:rPr>
        <w:t>堆放整齐，堆码层数不得超过要求层数，不得挤压货物。</w:t>
      </w:r>
    </w:p>
    <w:p w14:paraId="18E1A47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2.10</w:t>
      </w:r>
      <w:r>
        <w:rPr>
          <w:rFonts w:hint="eastAsia" w:ascii="宋体" w:hAnsi="宋体"/>
          <w:bCs/>
          <w:color w:val="auto"/>
          <w:sz w:val="24"/>
          <w:highlight w:val="none"/>
        </w:rPr>
        <w:t>装卸要求</w:t>
      </w:r>
      <w:r>
        <w:rPr>
          <w:rFonts w:hint="eastAsia" w:ascii="宋体" w:hAnsi="宋体"/>
          <w:bCs/>
          <w:color w:val="auto"/>
          <w:sz w:val="24"/>
          <w:highlight w:val="none"/>
          <w:lang w:eastAsia="zh-CN"/>
        </w:rPr>
        <w:t>：</w:t>
      </w:r>
      <w:r>
        <w:rPr>
          <w:rFonts w:hint="eastAsia" w:ascii="宋体" w:hAnsi="宋体"/>
          <w:bCs/>
          <w:color w:val="auto"/>
          <w:sz w:val="24"/>
          <w:highlight w:val="none"/>
        </w:rPr>
        <w:t>装卸时轻拿轻放、防止挤压和剧烈震动</w:t>
      </w:r>
      <w:r>
        <w:rPr>
          <w:rFonts w:hint="eastAsia" w:ascii="宋体" w:hAnsi="宋体"/>
          <w:bCs/>
          <w:color w:val="auto"/>
          <w:sz w:val="24"/>
          <w:highlight w:val="none"/>
          <w:lang w:eastAsia="zh-CN"/>
        </w:rPr>
        <w:t>、</w:t>
      </w:r>
      <w:r>
        <w:rPr>
          <w:rFonts w:hint="eastAsia" w:ascii="宋体" w:hAnsi="宋体"/>
          <w:bCs/>
          <w:color w:val="auto"/>
          <w:sz w:val="24"/>
          <w:highlight w:val="none"/>
        </w:rPr>
        <w:t>避免野蛮操作。</w:t>
      </w:r>
    </w:p>
    <w:p w14:paraId="7365AA6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3、存储期间应保证货物食用安全和质量无虞。</w:t>
      </w:r>
    </w:p>
    <w:p w14:paraId="2F281EB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3.1食品与非食品不能混放，食品仓库内不得存放有毒有害物品，不得存放个人物品和杂物。</w:t>
      </w:r>
    </w:p>
    <w:p w14:paraId="4A68AD5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3.2仓库内要定期清扫，保持仓库、货架清洁卫生，经常开窗或用机械通风设备通风，保持干燥。</w:t>
      </w:r>
    </w:p>
    <w:p w14:paraId="5229B2E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3.3做好货物数量、质量合格证明或检疫证明的检查验收工作。腐烂变质、发霉生虫、有毒有害、掺杂掺假、质量不新鲜的食品，无卫生许可证的生产经营者提供的食品、未索证的食品不得验收入库。</w:t>
      </w:r>
    </w:p>
    <w:p w14:paraId="6178A8C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3.4乙方为本项目配备库房情况须符合甲方要求。甲方有权不定期（含合同签订前）对乙方配备库房进行实地检查，乙方应无条件配合并提供房产证、租赁合同、完整视频监控记录，如发现相关证明材料弄虚作假或合同签订后未启用响应文件承诺配备的库房，甲方有权取消中标人中标资格或合同签订，同时上报相关监管单位。如乙方对本项目不同标段兼投兼中，不同标段配备库房在符合相应标段要求的基础上不得重复配备。</w:t>
      </w:r>
    </w:p>
    <w:p w14:paraId="772D8EB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4、乙方货物从储藏到配送过程中可能接触到的</w:t>
      </w:r>
      <w:r>
        <w:rPr>
          <w:rFonts w:hint="eastAsia" w:ascii="宋体" w:hAnsi="宋体"/>
          <w:bCs/>
          <w:color w:val="auto"/>
          <w:sz w:val="24"/>
          <w:highlight w:val="none"/>
        </w:rPr>
        <w:t>人员</w:t>
      </w:r>
      <w:r>
        <w:rPr>
          <w:rFonts w:hint="eastAsia" w:ascii="宋体" w:hAnsi="宋体"/>
          <w:bCs/>
          <w:color w:val="auto"/>
          <w:sz w:val="24"/>
          <w:highlight w:val="none"/>
          <w:lang w:val="en-US" w:eastAsia="zh-CN"/>
        </w:rPr>
        <w:t>须持</w:t>
      </w:r>
      <w:r>
        <w:rPr>
          <w:rFonts w:hint="eastAsia" w:ascii="宋体" w:hAnsi="宋体"/>
          <w:bCs/>
          <w:color w:val="auto"/>
          <w:sz w:val="24"/>
          <w:highlight w:val="none"/>
        </w:rPr>
        <w:t>合格《健康证》</w:t>
      </w:r>
      <w:r>
        <w:rPr>
          <w:rFonts w:hint="eastAsia" w:ascii="宋体" w:hAnsi="宋体"/>
          <w:bCs/>
          <w:color w:val="auto"/>
          <w:sz w:val="24"/>
          <w:highlight w:val="none"/>
          <w:lang w:val="en-US" w:eastAsia="zh-CN"/>
        </w:rPr>
        <w:t>上岗，</w:t>
      </w:r>
      <w:r>
        <w:rPr>
          <w:rFonts w:hint="eastAsia" w:ascii="宋体" w:hAnsi="宋体"/>
          <w:bCs/>
          <w:color w:val="auto"/>
          <w:sz w:val="24"/>
          <w:highlight w:val="none"/>
        </w:rPr>
        <w:t>工作期间如</w:t>
      </w:r>
      <w:r>
        <w:rPr>
          <w:rFonts w:hint="eastAsia" w:ascii="宋体" w:hAnsi="宋体"/>
          <w:bCs/>
          <w:color w:val="auto"/>
          <w:sz w:val="24"/>
          <w:highlight w:val="none"/>
          <w:lang w:val="en-US" w:eastAsia="zh-CN"/>
        </w:rPr>
        <w:t>被</w:t>
      </w:r>
      <w:r>
        <w:rPr>
          <w:rFonts w:hint="eastAsia" w:ascii="宋体" w:hAnsi="宋体"/>
          <w:bCs/>
          <w:color w:val="auto"/>
          <w:sz w:val="24"/>
          <w:highlight w:val="none"/>
        </w:rPr>
        <w:t>发现患有有碍食品卫生安全的疾病</w:t>
      </w:r>
      <w:r>
        <w:rPr>
          <w:rFonts w:hint="eastAsia" w:ascii="宋体" w:hAnsi="宋体"/>
          <w:bCs/>
          <w:color w:val="auto"/>
          <w:sz w:val="24"/>
          <w:highlight w:val="none"/>
          <w:lang w:val="en-US" w:eastAsia="zh-CN"/>
        </w:rPr>
        <w:t>不得上岗，乙方须建立人员健康档案备查。乙方与雇佣人员签订合同前须了解员工背景，不跟甲方相关人员产生劳动关系、不雇佣品德不端、有劣迹人员。</w:t>
      </w:r>
    </w:p>
    <w:p w14:paraId="54259302">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（二）售后服务标准要求</w:t>
      </w:r>
    </w:p>
    <w:p w14:paraId="58E6FE4E">
      <w:pPr>
        <w:pStyle w:val="28"/>
        <w:keepNext w:val="0"/>
        <w:keepLines w:val="0"/>
        <w:pageBreakBefore w:val="0"/>
        <w:widowControl w:val="0"/>
        <w:kinsoku/>
        <w:wordWrap/>
        <w:overflowPunct/>
        <w:topLinePunct w:val="0"/>
        <w:bidi w:val="0"/>
        <w:spacing w:line="360" w:lineRule="auto"/>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需要有明确的售后服务方案、培训方案、售后服务机构、人员等。</w:t>
      </w:r>
    </w:p>
    <w:p w14:paraId="711CE5C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1）乙方未能在甲方指定的时间内送货到位，甲方有权拒收并由乙方赔偿甲方因此而带来的损失；</w:t>
      </w:r>
    </w:p>
    <w:p w14:paraId="43F8259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2）乙方未按甲方的下单要求送货或送错货，造成甲方开餐困难的，乙方应支付500元以上2000元以下的违约金（具体标准视违规情况而定，所有违约金于当月货款中扣除）。如果产生损失的，乙方应赔偿全部损失。</w:t>
      </w:r>
    </w:p>
    <w:p w14:paraId="2EF4711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向甲方提供不符合合同要求货物累计3次以上，造成甲方经济、声誉损失及责任事故的，甲方有权终止合同，拒绝支付乙方的全部货款，并要求乙方支付货款总额10%的违约金；如果给甲方及第三方造成损失的，乙方需赔偿全部损失。</w:t>
      </w:r>
    </w:p>
    <w:p w14:paraId="231F260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4）有证据证明乙方向甲方采购或验收及相关人员行贿行为的（包括但不限于提供现金、礼品、娱乐消费等不正当利益），甲方有权拒付乙方所有货款，并可追究乙方的法律责任。</w:t>
      </w:r>
    </w:p>
    <w:p w14:paraId="3E4BA24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供给甲方的货物出现短斤少两、以次充好（指交付货物质量低于合同约定标准或行业标准），或伪造采购单据、供货虚假凭证（指伪造、变造、修改相关单据凭证）情形的，一经发现，甲方可立即终止本合同，并有权要求乙方支付货款总额的10%的违约金。</w:t>
      </w:r>
    </w:p>
    <w:p w14:paraId="79D7D9E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未按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4811E0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7）乙方透露甲方的采购、经营等信息，给甲方造成经济损失的，甲方有权拒绝支付乙方全部货款，作为乙方对甲方的赔偿。</w:t>
      </w:r>
    </w:p>
    <w:p w14:paraId="42040C65">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8）合同有效期内，非经甲方同意，乙方不得以任何理由擅自停止供货。乙方如擅自停止供货，甲方将视情节轻重予以解约处理，乙方不得异议。</w:t>
      </w:r>
    </w:p>
    <w:p w14:paraId="71F7730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9）本合同有效期内，乙方如遇特殊情况欲解约停止供货，必须提前一个月书面提出，并经甲方同意，同时保证正常供货至接续供应商招标成功。</w:t>
      </w:r>
    </w:p>
    <w:p w14:paraId="59D964A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如违反合同约定，乙方需向甲方支付货款总金额10%的违约金；如给甲方造成损失的，乙方应当承担全部损失的赔偿责任，损失包括直接损失以及间接损失，即包括但不限于医疗费、误工费、残疾赔偿金、交通费、住宿费、诉讼费、邮寄送达费、律师费等。</w:t>
      </w:r>
    </w:p>
    <w:p w14:paraId="700D7483">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（三）保险要求</w:t>
      </w:r>
    </w:p>
    <w:p w14:paraId="547B44D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1临时订货：甲方因确有临时需要，有权在批次订货时间以外临时向乙方订货，订货方式可以是书面方式也可以是口头方式。临时订货的交货时间为甲方提出需求后2个小时内送达。</w:t>
      </w:r>
    </w:p>
    <w:p w14:paraId="43F25C3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按甲方确定的时间将订单内所有食材等送到甲方指定的地点并配送完毕，乙方提供《送货清单》一式两份，伙食单位执一份、乙方执一份，每次送货提供，包括货物名称、品牌、规格型号、供货数量、供货重量、市场均价、下浮率、供货价格等，需和发票内容一致。因《送货清单》送达不及时、明细不准确造成甲方无法验收实物或监督价格的，甲方有权拒收当次配送食品和《送货清单》，乙方应在2小时内补齐手续并重新配送，如仍未达到清单标准或给甲方造成开餐延误或其他不利影响的，甲方有权按照乙方违约处理。甲方伙食单位民警和社会化保障人员、乙方三方验收，甲乙双方现场验收并签字，作结算凭证。</w:t>
      </w:r>
    </w:p>
    <w:p w14:paraId="0B39450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3.如乙方漏单必须按甲方规定的时间及时补单，乙方迟延补足或拒绝补足的，甲方有权按照乙方违约处理。</w:t>
      </w:r>
    </w:p>
    <w:p w14:paraId="5763A8E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4.乙方不得将项目业务转让给第三方，随时配合甲方相关检查及需协助之事宜。</w:t>
      </w:r>
    </w:p>
    <w:p w14:paraId="251396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5.乙方对甲方食用乙方所有提供货品而导致甲方食物中毒的情形负全部责任，并承担所有后果。</w:t>
      </w:r>
    </w:p>
    <w:p w14:paraId="1878E3C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5.1乙方因恶劣天候、道路条件差、交通事故等突发情况无法按时完成配送服务，须第一时间告知甲方并提供情况说明和真实图片、视频等相关佐证材料，同时立即组织应急车辆装运货物，完成甲方当日配送需求。</w:t>
      </w:r>
    </w:p>
    <w:p w14:paraId="4269A3B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5.2乙方因冬季道路封路及其他不可抗力因素可能影响配送时效造成无法按时配送时，须提前关注天气预报提前配送或在道路通行后第一时间进行配送；冬季道路封路、疫情交通管制及其他不可抗力因素未解除造成配送间隔超过3天或者甲方库存货物无法保障5天正常伙食供应，甲方可选择就近商户采购。</w:t>
      </w:r>
    </w:p>
    <w:p w14:paraId="1D0B629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5.3疫情期间（如发生疫情时）</w:t>
      </w:r>
    </w:p>
    <w:p w14:paraId="53A84B7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1）乙方因交通管制无法按时完成配送时，须第一时间告知甲方，同时尽快协调运输许可、完成供货消杀，按照甲方需求时间做到保质保量按时按需配送。</w:t>
      </w:r>
    </w:p>
    <w:p w14:paraId="2AB270F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2）乙方配送人员和车辆、所供货物包装须及时消杀，人员还须做好测温、防护、按时核酸检测，做到无接触配送货物。</w:t>
      </w:r>
    </w:p>
    <w:p w14:paraId="5952C9F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3）乙方配送车辆、所供货物包装消杀记录和配送人员测温、核酸记录须详实记录、存档备查。</w:t>
      </w:r>
    </w:p>
    <w:p w14:paraId="630F591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4）乙方配送人员出现发热、咳嗽等身体不适和核酸检测超期，配送车辆、所供货物包装存在消杀不彻底不及时，不得为甲方进行配送服务。</w:t>
      </w:r>
    </w:p>
    <w:p w14:paraId="389A6B5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经查看配送车辆消杀记录、配送人员测温记录和核酸检测记录、库房视频监控等发现以上可能造成染疫的情形，甲方有权解除合同并扣除全额履约保证金。</w:t>
      </w:r>
    </w:p>
    <w:p w14:paraId="4105F7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5.4所有货物价格包括但不限于乙方完成本项目采购内容和采购范围并达到验收合格所需要的所有货物费、税费、成本、利润、分割、包装、运输、装卸、各类劳保、保险、管理费、利润等一切费用。价格经双方确认后，无论市场价格怎样变化，当次的配送价格将不予调整。</w:t>
      </w:r>
    </w:p>
    <w:p w14:paraId="77253B3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1）乙方须保证按合同所列的“采购、供货要求”向甲方供货。甲方在合同执行过程中的任何验收、接收、确认行为，均不免除乙方对货物及服务的质量、卫生、食品安全应承担的责任。</w:t>
      </w:r>
    </w:p>
    <w:p w14:paraId="5E31EFA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2）乙方及乙方人员在向甲方送货途中所发生的任何交通意外、责任事故等均与甲方无关，乙方自行承担送货至甲方过程中所发生的所有责任事故。</w:t>
      </w:r>
    </w:p>
    <w:p w14:paraId="0BE3A7A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3）乙方在送货至甲方时，须无条件遵守甲方的所有规章制度、管理规范等，无条件接受甲方的管理。</w:t>
      </w:r>
    </w:p>
    <w:p w14:paraId="0931B23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4）乙方须主动向甲方提供食品及原材料采购索证等资料；乙方须留存合同期内采购索证、供货清单、发票等所有基础票据二年以上，遇上级部门审查要第一时间提供，不得伪造、编造、涂改、篡改票据信息。</w:t>
      </w:r>
    </w:p>
    <w:p w14:paraId="3E5B985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5）乙方有义务协助甲方处理未使用的食品及原材料，在不影响第二次销售的前提下，乙方须无条件接受甲方退货。但包装损坏、过期等不能再出售的食品及原材料，且非乙方供货过失的，乙方有权拒绝退货。</w:t>
      </w:r>
    </w:p>
    <w:p w14:paraId="261272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6）乙方不得以任何形式干扰和妨碍配送工作，不得向甲方任何采购、验收人员送礼、送物，不得造假采购单据、提供虚假购物凭证等。</w:t>
      </w:r>
    </w:p>
    <w:p w14:paraId="380B4E8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7）乙方不得以甲方名义，对外赊欠货物或借贷，凡乙方金钱上一切行为，概与甲方无关。乙方应缴各项税款，应自行缴纳，如有逃税、漏税之事宜，应自行负责。</w:t>
      </w:r>
    </w:p>
    <w:p w14:paraId="7EF8305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8）履约保证金：根据招标文件要求，乙方需在合同签订前向甲方缴纳合同总金额的3%作为履约保证金，合同期满无任何违约情形后无息退还。如未按期缴纳足额履约保证金视为自动放弃中标资格。</w:t>
      </w:r>
    </w:p>
    <w:p w14:paraId="5AF69C3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7679EC7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36F5F84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4CC7C5F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11）.1 经考察询价，乙方当日货物中产品存在高于当期本区市场同种食品市场价、当期本区同种食品价格不统一的任意一种情况，单日所供所有货物不予结算，并扣除履约保证金1万元。</w:t>
      </w:r>
    </w:p>
    <w:p w14:paraId="2450B5D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11）.2 乙方如出现3次8）.1 以上情形的，甲方有权解除合同并扣除全额履约保证金。</w:t>
      </w:r>
    </w:p>
    <w:p w14:paraId="165376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12）如甲方提出虚假购货套取现金，乙方不得以任何形式满足其要求，一经发现将直接解除双方合同。</w:t>
      </w:r>
    </w:p>
    <w:p w14:paraId="28018D93">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（五）安装调试</w:t>
      </w:r>
    </w:p>
    <w:p w14:paraId="774DE5DF">
      <w:pPr>
        <w:pStyle w:val="28"/>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无</w:t>
      </w: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                </w:t>
      </w:r>
    </w:p>
    <w:p w14:paraId="701000E1">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（六）培训</w:t>
      </w:r>
    </w:p>
    <w:p w14:paraId="0F5556F3">
      <w:pPr>
        <w:pStyle w:val="28"/>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乙方在合同签订后，须组织相关配送人员及时开展业务培训，明确配送标准、服务质量等，全年应累计开展不少于2次业务培训，确保为甲方提供更优、更快、更便捷的服务。                                            </w:t>
      </w:r>
    </w:p>
    <w:p w14:paraId="7F3DEDDC">
      <w:pPr>
        <w:pStyle w:val="2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本项目质量保证期要求不低于 1 年，包括合同期满前最后一次供货交付可能产生的食品安全问题处理。质量保证期从货物供货、安装、调试正常且验收合格后开始计算</w:t>
      </w:r>
    </w:p>
    <w:p w14:paraId="53C5B09D">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（七）服务响应时间要求</w:t>
      </w:r>
    </w:p>
    <w:p w14:paraId="62860924">
      <w:pPr>
        <w:pStyle w:val="2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每次供货交付后，如出现供货质量问题，应在1小时内进行核实并明确答复，4小时内解决问题。  </w:t>
      </w:r>
    </w:p>
    <w:p w14:paraId="1C781E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bCs/>
          <w:color w:val="auto"/>
          <w:sz w:val="44"/>
          <w:szCs w:val="44"/>
          <w:highlight w:val="none"/>
        </w:rPr>
      </w:pPr>
      <w:r>
        <w:rPr>
          <w:rFonts w:hint="eastAsia" w:ascii="宋体" w:hAnsi="宋体" w:eastAsia="宋体" w:cs="宋体"/>
          <w:b/>
          <w:bCs/>
          <w:color w:val="auto"/>
          <w:sz w:val="24"/>
          <w:szCs w:val="24"/>
          <w:highlight w:val="none"/>
          <w:lang w:val="en-US" w:eastAsia="zh-CN"/>
        </w:rPr>
        <w:t>四、履约验收标准</w:t>
      </w:r>
    </w:p>
    <w:p w14:paraId="3FD336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1.所有货物按实际标注重量为主，最终交易重量以双方确认为准。</w:t>
      </w:r>
    </w:p>
    <w:p w14:paraId="12A52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2.乙方所送货物应保证斤、两的准确性；若出现缺斤短两现象，甲方有权取消与乙方的合作，甲方并按所缺公斤数的十倍扣除当天所送货物的总数量。</w:t>
      </w:r>
    </w:p>
    <w:p w14:paraId="75E80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1）乙方必须遵守国家《食品安全法》等法律和行政法规的规定，供应的商品必须来源于政府许可的正规厂家，在符合国家食品卫生标准和质量标准上，也应当符合合同或订单约定的质量标准。</w:t>
      </w:r>
    </w:p>
    <w:p w14:paraId="198D70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2）严禁配送假冒、变质、过期的商品，否则退货。</w:t>
      </w:r>
    </w:p>
    <w:p w14:paraId="6F1D1A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3）若因乙方所提供的产品在保质期内，出现的爆袋、漏气、漏油、变质等非人为问题，甲方有权拒收，乙方无条件包退、换货，退换货过程中所产生的全部费用由乙方承担。</w:t>
      </w:r>
    </w:p>
    <w:p w14:paraId="0CB8BD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4）若乙方供应的商品出现过期、涨袋、变质、损坏、假冒、不合格等问题，甲方有权自行扣除该商品（对账结算时予以扣除），要求乙方在规定时间配送合格商品，并视情节支付500－1000元的违约金。</w:t>
      </w:r>
    </w:p>
    <w:p w14:paraId="45360D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5）因不可抗力原因（如上级部门要求停止外出、停止购物）导滞商品滞销，在双方协商的基础上，乙方在一定期限内退、换货，否则，甲方有权终止供货协议。</w:t>
      </w:r>
    </w:p>
    <w:p w14:paraId="46D53D08">
      <w:pPr>
        <w:pStyle w:val="8"/>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ABA35FA">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rPr>
      </w:pPr>
      <w:r>
        <w:rPr>
          <w:rFonts w:hint="eastAsia"/>
          <w:color w:val="auto"/>
          <w:highlight w:val="none"/>
        </w:rPr>
        <w:t>第五章  评审内容</w:t>
      </w:r>
    </w:p>
    <w:p w14:paraId="07E1A5CC">
      <w:pPr>
        <w:jc w:val="both"/>
        <w:rPr>
          <w:rFonts w:hint="eastAsia"/>
          <w:color w:val="auto"/>
          <w:highlight w:val="none"/>
        </w:rPr>
      </w:pPr>
    </w:p>
    <w:p w14:paraId="3161892C">
      <w:pPr>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初步评审-资格性审查表</w:t>
      </w:r>
    </w:p>
    <w:tbl>
      <w:tblPr>
        <w:tblStyle w:val="22"/>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00"/>
        <w:gridCol w:w="7089"/>
      </w:tblGrid>
      <w:tr w14:paraId="624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top"/>
          </w:tcPr>
          <w:p w14:paraId="5072B886">
            <w:pPr>
              <w:pStyle w:val="35"/>
              <w:spacing w:before="202" w:line="221" w:lineRule="auto"/>
              <w:ind w:left="126"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序号</w:t>
            </w:r>
          </w:p>
        </w:tc>
        <w:tc>
          <w:tcPr>
            <w:tcW w:w="2100" w:type="dxa"/>
            <w:vAlign w:val="top"/>
          </w:tcPr>
          <w:p w14:paraId="06F64AB7">
            <w:pPr>
              <w:pStyle w:val="35"/>
              <w:spacing w:before="202" w:line="219" w:lineRule="auto"/>
              <w:ind w:left="511"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评审内容</w:t>
            </w:r>
          </w:p>
        </w:tc>
        <w:tc>
          <w:tcPr>
            <w:tcW w:w="7089" w:type="dxa"/>
            <w:vAlign w:val="top"/>
          </w:tcPr>
          <w:p w14:paraId="4ADD9446">
            <w:pPr>
              <w:pStyle w:val="35"/>
              <w:spacing w:before="202" w:line="219" w:lineRule="auto"/>
              <w:ind w:left="2606" w:leftChars="0"/>
              <w:rPr>
                <w:rFonts w:hint="eastAsia" w:ascii="宋体" w:hAnsi="宋体" w:eastAsia="宋体" w:cs="宋体"/>
                <w:b/>
                <w:bCs/>
                <w:color w:val="auto"/>
                <w:sz w:val="24"/>
                <w:szCs w:val="24"/>
                <w:highlight w:val="none"/>
                <w:vertAlign w:val="baseline"/>
              </w:rPr>
            </w:pPr>
            <w:r>
              <w:rPr>
                <w:b/>
                <w:bCs/>
                <w:color w:val="auto"/>
                <w:spacing w:val="-6"/>
                <w:sz w:val="24"/>
                <w:szCs w:val="24"/>
                <w:highlight w:val="none"/>
              </w:rPr>
              <w:t>评审合格标准</w:t>
            </w:r>
          </w:p>
        </w:tc>
      </w:tr>
      <w:tr w14:paraId="72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2315C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1</w:t>
            </w:r>
          </w:p>
        </w:tc>
        <w:tc>
          <w:tcPr>
            <w:tcW w:w="2100" w:type="dxa"/>
            <w:vAlign w:val="center"/>
          </w:tcPr>
          <w:p w14:paraId="07A3EF8B">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特定资质</w:t>
            </w:r>
          </w:p>
        </w:tc>
        <w:tc>
          <w:tcPr>
            <w:tcW w:w="7089" w:type="dxa"/>
            <w:vAlign w:val="top"/>
          </w:tcPr>
          <w:p w14:paraId="03B9CF3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提供有效期内的《食品经营许可证》</w:t>
            </w:r>
          </w:p>
        </w:tc>
      </w:tr>
      <w:tr w14:paraId="689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6A664D4">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2</w:t>
            </w:r>
          </w:p>
        </w:tc>
        <w:tc>
          <w:tcPr>
            <w:tcW w:w="2100" w:type="dxa"/>
            <w:vAlign w:val="center"/>
          </w:tcPr>
          <w:p w14:paraId="25E473B3">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营业执照等证明</w:t>
            </w:r>
          </w:p>
        </w:tc>
        <w:tc>
          <w:tcPr>
            <w:tcW w:w="7089" w:type="dxa"/>
            <w:vAlign w:val="top"/>
          </w:tcPr>
          <w:p w14:paraId="770316E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提供有效注册的“营业执照”</w:t>
            </w:r>
          </w:p>
        </w:tc>
      </w:tr>
      <w:tr w14:paraId="114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6A20F12">
            <w:pPr>
              <w:spacing w:line="240" w:lineRule="auto"/>
              <w:ind w:left="0"/>
              <w:jc w:val="center"/>
              <w:rPr>
                <w:rFonts w:ascii="Arial"/>
                <w:color w:val="auto"/>
                <w:sz w:val="24"/>
                <w:szCs w:val="24"/>
                <w:highlight w:val="none"/>
              </w:rPr>
            </w:pPr>
          </w:p>
          <w:p w14:paraId="2B24AA93">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3</w:t>
            </w:r>
          </w:p>
        </w:tc>
        <w:tc>
          <w:tcPr>
            <w:tcW w:w="2100" w:type="dxa"/>
            <w:vAlign w:val="center"/>
          </w:tcPr>
          <w:p w14:paraId="1A2A07E1">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法定代表人证明</w:t>
            </w:r>
            <w:r>
              <w:rPr>
                <w:color w:val="auto"/>
                <w:spacing w:val="-3"/>
                <w:sz w:val="24"/>
                <w:szCs w:val="24"/>
                <w:highlight w:val="none"/>
              </w:rPr>
              <w:t>书及法定代表人授权书</w:t>
            </w:r>
          </w:p>
        </w:tc>
        <w:tc>
          <w:tcPr>
            <w:tcW w:w="7089" w:type="dxa"/>
            <w:vAlign w:val="top"/>
          </w:tcPr>
          <w:p w14:paraId="08460B6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法定代表人证明书及法定代表人授权书：</w:t>
            </w:r>
          </w:p>
          <w:p w14:paraId="3C5177E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（1）按招标文件规定的格式填写、签字或盖章；</w:t>
            </w:r>
          </w:p>
          <w:p w14:paraId="0A6AEB3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（2）附完整的法定代表人身份证复印件、被授权人身份证复印</w:t>
            </w:r>
            <w:r>
              <w:rPr>
                <w:color w:val="auto"/>
                <w:spacing w:val="-5"/>
                <w:sz w:val="24"/>
                <w:szCs w:val="24"/>
                <w:highlight w:val="none"/>
              </w:rPr>
              <w:t>件，均加盖公章；</w:t>
            </w:r>
          </w:p>
        </w:tc>
      </w:tr>
      <w:tr w14:paraId="773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476CF7">
            <w:pPr>
              <w:spacing w:line="240" w:lineRule="auto"/>
              <w:ind w:left="0"/>
              <w:jc w:val="center"/>
              <w:rPr>
                <w:rFonts w:ascii="Arial"/>
                <w:color w:val="auto"/>
                <w:sz w:val="24"/>
                <w:szCs w:val="24"/>
                <w:highlight w:val="none"/>
              </w:rPr>
            </w:pPr>
          </w:p>
          <w:p w14:paraId="6931020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4</w:t>
            </w:r>
          </w:p>
        </w:tc>
        <w:tc>
          <w:tcPr>
            <w:tcW w:w="2100" w:type="dxa"/>
            <w:vAlign w:val="center"/>
          </w:tcPr>
          <w:p w14:paraId="5FD592D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具有良好的商业</w:t>
            </w:r>
            <w:r>
              <w:rPr>
                <w:color w:val="auto"/>
                <w:spacing w:val="-2"/>
                <w:sz w:val="24"/>
                <w:szCs w:val="24"/>
                <w:highlight w:val="none"/>
              </w:rPr>
              <w:t>信誉和健全的财</w:t>
            </w:r>
            <w:r>
              <w:rPr>
                <w:color w:val="auto"/>
                <w:spacing w:val="-3"/>
                <w:sz w:val="24"/>
                <w:szCs w:val="24"/>
                <w:highlight w:val="none"/>
              </w:rPr>
              <w:t>务会计制度</w:t>
            </w:r>
          </w:p>
        </w:tc>
        <w:tc>
          <w:tcPr>
            <w:tcW w:w="7089" w:type="dxa"/>
            <w:vAlign w:val="top"/>
          </w:tcPr>
          <w:p w14:paraId="6303F60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提供会计师事务所出具的</w:t>
            </w:r>
            <w:r>
              <w:rPr>
                <w:color w:val="auto"/>
                <w:spacing w:val="-50"/>
                <w:sz w:val="24"/>
                <w:szCs w:val="24"/>
                <w:highlight w:val="none"/>
              </w:rPr>
              <w:t xml:space="preserve"> </w:t>
            </w:r>
            <w:r>
              <w:rPr>
                <w:color w:val="auto"/>
                <w:spacing w:val="-4"/>
                <w:sz w:val="24"/>
                <w:szCs w:val="24"/>
                <w:highlight w:val="none"/>
              </w:rPr>
              <w:t>202</w:t>
            </w:r>
            <w:r>
              <w:rPr>
                <w:rFonts w:hint="eastAsia"/>
                <w:color w:val="auto"/>
                <w:spacing w:val="-4"/>
                <w:sz w:val="24"/>
                <w:szCs w:val="24"/>
                <w:highlight w:val="none"/>
                <w:lang w:val="en-US" w:eastAsia="zh-CN"/>
              </w:rPr>
              <w:t>5</w:t>
            </w:r>
            <w:r>
              <w:rPr>
                <w:color w:val="auto"/>
                <w:spacing w:val="-50"/>
                <w:sz w:val="24"/>
                <w:szCs w:val="24"/>
                <w:highlight w:val="none"/>
              </w:rPr>
              <w:t xml:space="preserve"> </w:t>
            </w:r>
            <w:r>
              <w:rPr>
                <w:color w:val="auto"/>
                <w:spacing w:val="-4"/>
                <w:sz w:val="24"/>
                <w:szCs w:val="24"/>
                <w:highlight w:val="none"/>
              </w:rPr>
              <w:t>年度经会计师事务</w:t>
            </w:r>
            <w:r>
              <w:rPr>
                <w:color w:val="auto"/>
                <w:spacing w:val="-3"/>
                <w:sz w:val="24"/>
                <w:szCs w:val="24"/>
                <w:highlight w:val="none"/>
              </w:rPr>
              <w:t>所出具的财务审计报告复印件或银行在开标日前六个月内开具</w:t>
            </w:r>
            <w:r>
              <w:rPr>
                <w:color w:val="auto"/>
                <w:spacing w:val="-5"/>
                <w:sz w:val="24"/>
                <w:szCs w:val="24"/>
                <w:highlight w:val="none"/>
              </w:rPr>
              <w:t>的资信证明或健全的财务会计制度（加盖公章</w:t>
            </w:r>
            <w:r>
              <w:rPr>
                <w:color w:val="auto"/>
                <w:spacing w:val="-63"/>
                <w:sz w:val="24"/>
                <w:szCs w:val="24"/>
                <w:highlight w:val="none"/>
              </w:rPr>
              <w:t>）；</w:t>
            </w:r>
          </w:p>
        </w:tc>
      </w:tr>
      <w:tr w14:paraId="398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5086425">
            <w:pPr>
              <w:spacing w:line="240" w:lineRule="auto"/>
              <w:ind w:left="0"/>
              <w:jc w:val="center"/>
              <w:rPr>
                <w:rFonts w:ascii="Arial"/>
                <w:color w:val="auto"/>
                <w:sz w:val="24"/>
                <w:szCs w:val="24"/>
                <w:highlight w:val="none"/>
              </w:rPr>
            </w:pPr>
          </w:p>
          <w:p w14:paraId="1E6FD871">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5</w:t>
            </w:r>
          </w:p>
        </w:tc>
        <w:tc>
          <w:tcPr>
            <w:tcW w:w="2100" w:type="dxa"/>
            <w:vAlign w:val="center"/>
          </w:tcPr>
          <w:p w14:paraId="7C2AFB1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具有履行合同所</w:t>
            </w:r>
            <w:r>
              <w:rPr>
                <w:color w:val="auto"/>
                <w:spacing w:val="-2"/>
                <w:sz w:val="24"/>
                <w:szCs w:val="24"/>
                <w:highlight w:val="none"/>
              </w:rPr>
              <w:t>必需的设备和专业技术能力</w:t>
            </w:r>
          </w:p>
        </w:tc>
        <w:tc>
          <w:tcPr>
            <w:tcW w:w="7089" w:type="dxa"/>
            <w:vAlign w:val="top"/>
          </w:tcPr>
          <w:p w14:paraId="3A357DF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提供可充分满足履行合同所需设备和专业技术</w:t>
            </w:r>
            <w:r>
              <w:rPr>
                <w:color w:val="auto"/>
                <w:spacing w:val="-5"/>
                <w:sz w:val="24"/>
                <w:szCs w:val="24"/>
                <w:highlight w:val="none"/>
              </w:rPr>
              <w:t>能力的承诺（格</w:t>
            </w:r>
            <w:r>
              <w:rPr>
                <w:color w:val="auto"/>
                <w:spacing w:val="-8"/>
                <w:sz w:val="24"/>
                <w:szCs w:val="24"/>
                <w:highlight w:val="none"/>
              </w:rPr>
              <w:t>式自拟</w:t>
            </w:r>
            <w:r>
              <w:rPr>
                <w:color w:val="auto"/>
                <w:spacing w:val="-62"/>
                <w:w w:val="96"/>
                <w:sz w:val="24"/>
                <w:szCs w:val="24"/>
                <w:highlight w:val="none"/>
              </w:rPr>
              <w:t>）；</w:t>
            </w:r>
          </w:p>
        </w:tc>
      </w:tr>
      <w:tr w14:paraId="4FEF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BC0F697">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6</w:t>
            </w:r>
          </w:p>
        </w:tc>
        <w:tc>
          <w:tcPr>
            <w:tcW w:w="2100" w:type="dxa"/>
            <w:vAlign w:val="center"/>
          </w:tcPr>
          <w:p w14:paraId="497742E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有依法缴纳税收和社会保障资金</w:t>
            </w:r>
            <w:r>
              <w:rPr>
                <w:color w:val="auto"/>
                <w:spacing w:val="-6"/>
                <w:sz w:val="24"/>
                <w:szCs w:val="24"/>
                <w:highlight w:val="none"/>
              </w:rPr>
              <w:t>的良好记录</w:t>
            </w:r>
          </w:p>
        </w:tc>
        <w:tc>
          <w:tcPr>
            <w:tcW w:w="7089" w:type="dxa"/>
            <w:vAlign w:val="top"/>
          </w:tcPr>
          <w:p w14:paraId="42F7AB3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8"/>
                <w:sz w:val="24"/>
                <w:szCs w:val="24"/>
                <w:highlight w:val="none"/>
              </w:rPr>
              <w:t>（1）提供开标前六个月（不含开标日当月）任意一个月依法缴</w:t>
            </w:r>
            <w:r>
              <w:rPr>
                <w:color w:val="auto"/>
                <w:spacing w:val="-3"/>
                <w:sz w:val="24"/>
                <w:szCs w:val="24"/>
                <w:highlight w:val="none"/>
              </w:rPr>
              <w:t>纳税收证明，证明材料可以是缴费的银行单据等复印件或纳税</w:t>
            </w:r>
            <w:r>
              <w:rPr>
                <w:color w:val="auto"/>
                <w:spacing w:val="-5"/>
                <w:sz w:val="24"/>
                <w:szCs w:val="24"/>
                <w:highlight w:val="none"/>
              </w:rPr>
              <w:t>机构出具的无欠税证明或免缴纳证明；</w:t>
            </w:r>
          </w:p>
          <w:p w14:paraId="2ED900AA">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（2）提供开标前六个月（不含开标日当月）任意一个月依法缴</w:t>
            </w:r>
            <w:r>
              <w:rPr>
                <w:color w:val="auto"/>
                <w:spacing w:val="-3"/>
                <w:sz w:val="24"/>
                <w:szCs w:val="24"/>
                <w:highlight w:val="none"/>
              </w:rPr>
              <w:t>纳社保证明，证明材料可以是缴费的银行单据等复印件或社保</w:t>
            </w:r>
            <w:r>
              <w:rPr>
                <w:color w:val="auto"/>
                <w:spacing w:val="-4"/>
                <w:sz w:val="24"/>
                <w:szCs w:val="24"/>
                <w:highlight w:val="none"/>
              </w:rPr>
              <w:t>机构开具免缴纳证明。</w:t>
            </w:r>
          </w:p>
        </w:tc>
      </w:tr>
      <w:tr w14:paraId="4D5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0EC734A">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7</w:t>
            </w:r>
          </w:p>
        </w:tc>
        <w:tc>
          <w:tcPr>
            <w:tcW w:w="2100" w:type="dxa"/>
            <w:vAlign w:val="center"/>
          </w:tcPr>
          <w:p w14:paraId="19049F89">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供应商声明函</w:t>
            </w:r>
          </w:p>
        </w:tc>
        <w:tc>
          <w:tcPr>
            <w:tcW w:w="7089" w:type="dxa"/>
            <w:vAlign w:val="top"/>
          </w:tcPr>
          <w:p w14:paraId="3E0189C7">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1"/>
                <w:sz w:val="24"/>
                <w:szCs w:val="24"/>
                <w:highlight w:val="none"/>
              </w:rPr>
              <w:t>（1）提供参加政府采购活动前三年内，在经营活动</w:t>
            </w:r>
            <w:r>
              <w:rPr>
                <w:color w:val="auto"/>
                <w:sz w:val="24"/>
                <w:szCs w:val="24"/>
                <w:highlight w:val="none"/>
              </w:rPr>
              <w:t>中没有重</w:t>
            </w:r>
            <w:r>
              <w:rPr>
                <w:color w:val="auto"/>
                <w:spacing w:val="-2"/>
                <w:sz w:val="24"/>
                <w:szCs w:val="24"/>
                <w:highlight w:val="none"/>
              </w:rPr>
              <w:t>大违法记录的书面声明；</w:t>
            </w:r>
          </w:p>
          <w:p w14:paraId="0419FEA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（2）单位负责人为同一人或者存在直接控股、管理</w:t>
            </w:r>
            <w:r>
              <w:rPr>
                <w:color w:val="auto"/>
                <w:sz w:val="24"/>
                <w:szCs w:val="24"/>
                <w:highlight w:val="none"/>
              </w:rPr>
              <w:t>关系的不</w:t>
            </w:r>
            <w:r>
              <w:rPr>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color w:val="auto"/>
                <w:spacing w:val="-4"/>
                <w:sz w:val="24"/>
                <w:szCs w:val="24"/>
                <w:highlight w:val="none"/>
              </w:rPr>
              <w:t>项目的</w:t>
            </w:r>
            <w:r>
              <w:rPr>
                <w:color w:val="auto"/>
                <w:spacing w:val="-1"/>
                <w:sz w:val="24"/>
                <w:szCs w:val="24"/>
                <w:highlight w:val="none"/>
              </w:rPr>
              <w:t>其他采购活动的书面声明。</w:t>
            </w:r>
          </w:p>
        </w:tc>
      </w:tr>
      <w:tr w14:paraId="7D2C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5E575E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8</w:t>
            </w:r>
          </w:p>
        </w:tc>
        <w:tc>
          <w:tcPr>
            <w:tcW w:w="2100" w:type="dxa"/>
            <w:vAlign w:val="center"/>
          </w:tcPr>
          <w:p w14:paraId="54A7630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信用信息</w:t>
            </w:r>
            <w:r>
              <w:rPr>
                <w:color w:val="auto"/>
                <w:spacing w:val="-7"/>
                <w:sz w:val="24"/>
                <w:szCs w:val="24"/>
                <w:highlight w:val="none"/>
              </w:rPr>
              <w:t>查询</w:t>
            </w:r>
          </w:p>
        </w:tc>
        <w:tc>
          <w:tcPr>
            <w:tcW w:w="7089" w:type="dxa"/>
            <w:vAlign w:val="top"/>
          </w:tcPr>
          <w:p w14:paraId="66978E0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供应商不得为“信用中国”网站（</w:t>
            </w:r>
            <w:r>
              <w:rPr>
                <w:color w:val="auto"/>
                <w:sz w:val="24"/>
                <w:szCs w:val="24"/>
                <w:highlight w:val="none"/>
              </w:rPr>
              <w:fldChar w:fldCharType="begin"/>
            </w:r>
            <w:r>
              <w:rPr>
                <w:color w:val="auto"/>
                <w:sz w:val="24"/>
                <w:szCs w:val="24"/>
                <w:highlight w:val="none"/>
              </w:rPr>
              <w:instrText xml:space="preserve"> HYPERLINK "https://www.creditchina.gov.cn" </w:instrText>
            </w:r>
            <w:r>
              <w:rPr>
                <w:color w:val="auto"/>
                <w:sz w:val="24"/>
                <w:szCs w:val="24"/>
                <w:highlight w:val="none"/>
              </w:rPr>
              <w:fldChar w:fldCharType="separate"/>
            </w:r>
            <w:r>
              <w:rPr>
                <w:color w:val="auto"/>
                <w:spacing w:val="-1"/>
                <w:sz w:val="24"/>
                <w:szCs w:val="24"/>
                <w:highlight w:val="none"/>
              </w:rPr>
              <w:t>www.creditchina.gov.cn</w:t>
            </w:r>
            <w:r>
              <w:rPr>
                <w:color w:val="auto"/>
                <w:spacing w:val="-1"/>
                <w:sz w:val="24"/>
                <w:szCs w:val="24"/>
                <w:highlight w:val="none"/>
              </w:rPr>
              <w:fldChar w:fldCharType="end"/>
            </w:r>
            <w:r>
              <w:rPr>
                <w:color w:val="auto"/>
                <w:spacing w:val="-1"/>
                <w:sz w:val="24"/>
                <w:szCs w:val="24"/>
                <w:highlight w:val="none"/>
              </w:rPr>
              <w:t>）</w:t>
            </w:r>
            <w:r>
              <w:rPr>
                <w:color w:val="auto"/>
                <w:spacing w:val="6"/>
                <w:sz w:val="24"/>
                <w:szCs w:val="24"/>
                <w:highlight w:val="none"/>
              </w:rPr>
              <w:t>中列入失信被执行人和重大税收违法案件当事人名单的供应</w:t>
            </w:r>
            <w:r>
              <w:rPr>
                <w:color w:val="auto"/>
                <w:spacing w:val="-6"/>
                <w:sz w:val="24"/>
                <w:szCs w:val="24"/>
                <w:highlight w:val="none"/>
              </w:rPr>
              <w:t>商，不得为“中国政府采购网”（</w:t>
            </w:r>
            <w:r>
              <w:rPr>
                <w:color w:val="auto"/>
                <w:sz w:val="24"/>
                <w:szCs w:val="24"/>
                <w:highlight w:val="none"/>
              </w:rPr>
              <w:fldChar w:fldCharType="begin"/>
            </w:r>
            <w:r>
              <w:rPr>
                <w:color w:val="auto"/>
                <w:sz w:val="24"/>
                <w:szCs w:val="24"/>
                <w:highlight w:val="none"/>
              </w:rPr>
              <w:instrText xml:space="preserve"> HYPERLINK "https://www.ccgp.gov.cn" </w:instrText>
            </w:r>
            <w:r>
              <w:rPr>
                <w:color w:val="auto"/>
                <w:sz w:val="24"/>
                <w:szCs w:val="24"/>
                <w:highlight w:val="none"/>
              </w:rPr>
              <w:fldChar w:fldCharType="separate"/>
            </w:r>
            <w:r>
              <w:rPr>
                <w:color w:val="auto"/>
                <w:spacing w:val="-6"/>
                <w:sz w:val="24"/>
                <w:szCs w:val="24"/>
                <w:highlight w:val="none"/>
              </w:rPr>
              <w:t>www.ccgp.gov.cn</w:t>
            </w:r>
            <w:r>
              <w:rPr>
                <w:color w:val="auto"/>
                <w:spacing w:val="-6"/>
                <w:sz w:val="24"/>
                <w:szCs w:val="24"/>
                <w:highlight w:val="none"/>
              </w:rPr>
              <w:fldChar w:fldCharType="end"/>
            </w:r>
            <w:r>
              <w:rPr>
                <w:color w:val="auto"/>
                <w:spacing w:val="-6"/>
                <w:sz w:val="24"/>
                <w:szCs w:val="24"/>
                <w:highlight w:val="none"/>
              </w:rPr>
              <w:t>）政府采购</w:t>
            </w:r>
            <w:r>
              <w:rPr>
                <w:color w:val="auto"/>
                <w:spacing w:val="6"/>
                <w:sz w:val="24"/>
                <w:szCs w:val="24"/>
                <w:highlight w:val="none"/>
              </w:rPr>
              <w:t>严重违法失信行为记录名单中被财政部门禁止参加政府采购</w:t>
            </w:r>
            <w:r>
              <w:rPr>
                <w:color w:val="auto"/>
                <w:spacing w:val="-2"/>
                <w:sz w:val="24"/>
                <w:szCs w:val="24"/>
                <w:highlight w:val="none"/>
              </w:rPr>
              <w:t>活动的供应商。</w:t>
            </w:r>
          </w:p>
        </w:tc>
      </w:tr>
      <w:tr w14:paraId="3EF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AE27FD">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9</w:t>
            </w:r>
          </w:p>
        </w:tc>
        <w:tc>
          <w:tcPr>
            <w:tcW w:w="2100" w:type="dxa"/>
            <w:vAlign w:val="center"/>
          </w:tcPr>
          <w:p w14:paraId="7828982E">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采购政策</w:t>
            </w:r>
          </w:p>
        </w:tc>
        <w:tc>
          <w:tcPr>
            <w:tcW w:w="7089" w:type="dxa"/>
            <w:vAlign w:val="top"/>
          </w:tcPr>
          <w:p w14:paraId="3F68D2F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3"/>
                <w:sz w:val="24"/>
                <w:szCs w:val="24"/>
                <w:highlight w:val="none"/>
              </w:rPr>
              <w:t>本项目面向中小微企业，请根据要求单独上传《中小企</w:t>
            </w:r>
            <w:r>
              <w:rPr>
                <w:color w:val="auto"/>
                <w:spacing w:val="-4"/>
                <w:sz w:val="24"/>
                <w:szCs w:val="24"/>
                <w:highlight w:val="none"/>
              </w:rPr>
              <w:t>业声明</w:t>
            </w:r>
            <w:r>
              <w:rPr>
                <w:color w:val="auto"/>
                <w:spacing w:val="-10"/>
                <w:sz w:val="24"/>
                <w:szCs w:val="24"/>
                <w:highlight w:val="none"/>
              </w:rPr>
              <w:t>函》。格式以采购文件要求为准。</w:t>
            </w:r>
          </w:p>
        </w:tc>
      </w:tr>
    </w:tbl>
    <w:p w14:paraId="6E5F8ADB">
      <w:pPr>
        <w:pStyle w:val="8"/>
        <w:spacing w:before="117" w:line="240" w:lineRule="auto"/>
        <w:ind w:left="151" w:right="431" w:firstLine="473"/>
        <w:jc w:val="both"/>
        <w:rPr>
          <w:color w:val="auto"/>
          <w:highlight w:val="none"/>
        </w:rPr>
      </w:pPr>
      <w:r>
        <w:rPr>
          <w:color w:val="auto"/>
          <w:spacing w:val="-4"/>
          <w:highlight w:val="none"/>
        </w:rPr>
        <w:t>注：以上审查项目中，如果资格评审中有一项不满足审查标准</w:t>
      </w:r>
      <w:r>
        <w:rPr>
          <w:color w:val="auto"/>
          <w:spacing w:val="-5"/>
          <w:highlight w:val="none"/>
        </w:rPr>
        <w:t>的，评审小组将认</w:t>
      </w:r>
      <w:r>
        <w:rPr>
          <w:color w:val="auto"/>
          <w:spacing w:val="-4"/>
          <w:highlight w:val="none"/>
        </w:rPr>
        <w:t>定该供应商不通过资格审查，不得进入下一阶段评审。并且不允许供应</w:t>
      </w:r>
      <w:r>
        <w:rPr>
          <w:color w:val="auto"/>
          <w:spacing w:val="-5"/>
          <w:highlight w:val="none"/>
        </w:rPr>
        <w:t>商通过修改或</w:t>
      </w:r>
      <w:r>
        <w:rPr>
          <w:color w:val="auto"/>
          <w:spacing w:val="-4"/>
          <w:highlight w:val="none"/>
        </w:rPr>
        <w:t>撤销其不符合要求的差异或保留，使之成为具有响应性的投标。</w:t>
      </w:r>
    </w:p>
    <w:p w14:paraId="4EA9CE3A">
      <w:pPr>
        <w:pStyle w:val="8"/>
        <w:spacing w:before="315" w:line="212" w:lineRule="auto"/>
        <w:ind w:left="325"/>
        <w:outlineLvl w:val="1"/>
        <w:rPr>
          <w:color w:val="auto"/>
          <w:highlight w:val="none"/>
        </w:rPr>
      </w:pPr>
      <w:r>
        <w:rPr>
          <w:b/>
          <w:bCs/>
          <w:color w:val="auto"/>
          <w:spacing w:val="-3"/>
          <w:highlight w:val="none"/>
        </w:rPr>
        <w:t>二、投标文件符合性审查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256"/>
      </w:tblGrid>
      <w:tr w14:paraId="6FB3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75EFC006">
            <w:pPr>
              <w:pStyle w:val="35"/>
              <w:spacing w:before="202" w:line="221" w:lineRule="auto"/>
              <w:ind w:left="179" w:leftChars="0"/>
              <w:rPr>
                <w:rFonts w:hint="eastAsia" w:ascii="宋体" w:hAnsi="宋体" w:eastAsia="宋体" w:cs="宋体"/>
                <w:b/>
                <w:bCs/>
                <w:color w:val="auto"/>
                <w:sz w:val="28"/>
                <w:szCs w:val="28"/>
                <w:highlight w:val="none"/>
                <w:vertAlign w:val="baseline"/>
              </w:rPr>
            </w:pPr>
            <w:r>
              <w:rPr>
                <w:b/>
                <w:bCs/>
                <w:color w:val="auto"/>
                <w:spacing w:val="-7"/>
                <w:highlight w:val="none"/>
              </w:rPr>
              <w:t>序号</w:t>
            </w:r>
          </w:p>
        </w:tc>
        <w:tc>
          <w:tcPr>
            <w:tcW w:w="8256" w:type="dxa"/>
            <w:vAlign w:val="top"/>
          </w:tcPr>
          <w:p w14:paraId="1F38F622">
            <w:pPr>
              <w:pStyle w:val="35"/>
              <w:spacing w:before="202" w:line="219" w:lineRule="auto"/>
              <w:ind w:left="3805" w:leftChars="0"/>
              <w:rPr>
                <w:rFonts w:hint="eastAsia" w:ascii="宋体" w:hAnsi="宋体" w:eastAsia="宋体" w:cs="宋体"/>
                <w:b/>
                <w:bCs/>
                <w:color w:val="auto"/>
                <w:sz w:val="28"/>
                <w:szCs w:val="28"/>
                <w:highlight w:val="none"/>
                <w:vertAlign w:val="baseline"/>
              </w:rPr>
            </w:pPr>
            <w:r>
              <w:rPr>
                <w:b/>
                <w:bCs/>
                <w:color w:val="auto"/>
                <w:spacing w:val="-7"/>
                <w:highlight w:val="none"/>
              </w:rPr>
              <w:t>评审内容</w:t>
            </w:r>
          </w:p>
        </w:tc>
      </w:tr>
      <w:tr w14:paraId="79F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217260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1</w:t>
            </w:r>
          </w:p>
        </w:tc>
        <w:tc>
          <w:tcPr>
            <w:tcW w:w="8256" w:type="dxa"/>
            <w:vAlign w:val="top"/>
          </w:tcPr>
          <w:p w14:paraId="2536A61A">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是否按招标文件的规定提交投标保证金；</w:t>
            </w:r>
          </w:p>
        </w:tc>
      </w:tr>
      <w:tr w14:paraId="203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7F2751F">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2</w:t>
            </w:r>
          </w:p>
        </w:tc>
        <w:tc>
          <w:tcPr>
            <w:tcW w:w="8256" w:type="dxa"/>
            <w:vAlign w:val="top"/>
          </w:tcPr>
          <w:p w14:paraId="35FBDC38">
            <w:pPr>
              <w:pStyle w:val="35"/>
              <w:spacing w:before="15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是否按照招标文件的规定和要求在指定位置签字、盖章；</w:t>
            </w:r>
          </w:p>
        </w:tc>
      </w:tr>
      <w:tr w14:paraId="084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488E6F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3</w:t>
            </w:r>
          </w:p>
        </w:tc>
        <w:tc>
          <w:tcPr>
            <w:tcW w:w="8256" w:type="dxa"/>
            <w:vAlign w:val="top"/>
          </w:tcPr>
          <w:p w14:paraId="0C3500DC">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是否按规定的格式填写，没有内容不全或关键字迹模糊、无法辨认的；</w:t>
            </w:r>
          </w:p>
        </w:tc>
      </w:tr>
      <w:tr w14:paraId="71F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AB56943">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4</w:t>
            </w:r>
          </w:p>
        </w:tc>
        <w:tc>
          <w:tcPr>
            <w:tcW w:w="8256" w:type="dxa"/>
            <w:vAlign w:val="top"/>
          </w:tcPr>
          <w:p w14:paraId="221D6D77">
            <w:pPr>
              <w:pStyle w:val="35"/>
              <w:spacing w:before="117"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是否满足招标文件规定的交货及完成期限；</w:t>
            </w:r>
          </w:p>
        </w:tc>
      </w:tr>
      <w:tr w14:paraId="528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7D6EC3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5</w:t>
            </w:r>
          </w:p>
        </w:tc>
        <w:tc>
          <w:tcPr>
            <w:tcW w:w="8256" w:type="dxa"/>
            <w:vAlign w:val="top"/>
          </w:tcPr>
          <w:p w14:paraId="366981E1">
            <w:pPr>
              <w:pStyle w:val="35"/>
              <w:spacing w:before="117" w:line="218"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投标报价未超过招标文件中规定的最高限价；</w:t>
            </w:r>
          </w:p>
        </w:tc>
      </w:tr>
      <w:tr w14:paraId="798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0B2EC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6</w:t>
            </w:r>
          </w:p>
        </w:tc>
        <w:tc>
          <w:tcPr>
            <w:tcW w:w="8256" w:type="dxa"/>
            <w:vAlign w:val="top"/>
          </w:tcPr>
          <w:p w14:paraId="49010FAA">
            <w:pPr>
              <w:pStyle w:val="35"/>
              <w:spacing w:before="159"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投标有效期和质保期是否满足招标文件要求；</w:t>
            </w:r>
          </w:p>
        </w:tc>
      </w:tr>
      <w:tr w14:paraId="595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5F0625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7</w:t>
            </w:r>
          </w:p>
        </w:tc>
        <w:tc>
          <w:tcPr>
            <w:tcW w:w="8256" w:type="dxa"/>
            <w:vAlign w:val="top"/>
          </w:tcPr>
          <w:p w14:paraId="067B08AD">
            <w:pPr>
              <w:pStyle w:val="35"/>
              <w:spacing w:before="160"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是否符合法规和招标文件中规定的其他实质性要求；</w:t>
            </w:r>
          </w:p>
        </w:tc>
      </w:tr>
      <w:tr w14:paraId="7F3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8BB76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8</w:t>
            </w:r>
          </w:p>
        </w:tc>
        <w:tc>
          <w:tcPr>
            <w:tcW w:w="8256" w:type="dxa"/>
            <w:vAlign w:val="top"/>
          </w:tcPr>
          <w:p w14:paraId="128003F1">
            <w:pPr>
              <w:pStyle w:val="35"/>
              <w:spacing w:before="160"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投标文件未含有招标人不能接受的附加条件；</w:t>
            </w:r>
          </w:p>
        </w:tc>
      </w:tr>
      <w:tr w14:paraId="4A5C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4918F6B">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9</w:t>
            </w:r>
          </w:p>
        </w:tc>
        <w:tc>
          <w:tcPr>
            <w:tcW w:w="8256" w:type="dxa"/>
            <w:vAlign w:val="top"/>
          </w:tcPr>
          <w:p w14:paraId="438DB09D">
            <w:pPr>
              <w:pStyle w:val="35"/>
              <w:spacing w:before="118" w:line="219" w:lineRule="auto"/>
              <w:ind w:left="112" w:leftChars="0"/>
              <w:rPr>
                <w:rFonts w:hint="eastAsia" w:ascii="宋体" w:hAnsi="宋体" w:eastAsia="宋体" w:cs="宋体"/>
                <w:b/>
                <w:bCs/>
                <w:color w:val="auto"/>
                <w:sz w:val="28"/>
                <w:szCs w:val="28"/>
                <w:highlight w:val="none"/>
                <w:vertAlign w:val="baseline"/>
              </w:rPr>
            </w:pPr>
            <w:r>
              <w:rPr>
                <w:color w:val="auto"/>
                <w:highlight w:val="none"/>
              </w:rPr>
              <w:t>供应商名称或组织结构与获取招标文件时是否一致且未</w:t>
            </w:r>
            <w:r>
              <w:rPr>
                <w:color w:val="auto"/>
                <w:spacing w:val="-1"/>
                <w:highlight w:val="none"/>
              </w:rPr>
              <w:t>一致时提供有效证明的；</w:t>
            </w:r>
          </w:p>
        </w:tc>
      </w:tr>
      <w:tr w14:paraId="75DC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E331EE1">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spacing w:val="-14"/>
                <w:highlight w:val="none"/>
              </w:rPr>
              <w:t>10</w:t>
            </w:r>
          </w:p>
        </w:tc>
        <w:tc>
          <w:tcPr>
            <w:tcW w:w="8256" w:type="dxa"/>
            <w:vAlign w:val="top"/>
          </w:tcPr>
          <w:p w14:paraId="04963EFF">
            <w:pPr>
              <w:pStyle w:val="35"/>
              <w:spacing w:before="119"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不属于法律、法规和招标文件中规定的其他无效投标情形。</w:t>
            </w:r>
          </w:p>
        </w:tc>
      </w:tr>
    </w:tbl>
    <w:p w14:paraId="53F3DA29">
      <w:pPr>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宋体" w:hAnsi="宋体" w:eastAsia="宋体" w:cs="宋体"/>
          <w:b/>
          <w:bCs/>
          <w:color w:val="auto"/>
          <w:sz w:val="28"/>
          <w:szCs w:val="28"/>
          <w:highlight w:val="none"/>
        </w:rPr>
      </w:pPr>
    </w:p>
    <w:p w14:paraId="7BDDC0E3">
      <w:pPr>
        <w:pStyle w:val="8"/>
        <w:spacing w:before="115" w:line="360" w:lineRule="auto"/>
        <w:ind w:left="324" w:right="513"/>
        <w:jc w:val="both"/>
        <w:rPr>
          <w:color w:val="auto"/>
          <w:highlight w:val="none"/>
        </w:rPr>
      </w:pPr>
      <w:r>
        <w:rPr>
          <w:color w:val="auto"/>
          <w:spacing w:val="-2"/>
          <w:highlight w:val="none"/>
        </w:rPr>
        <w:t>备注：以上审查项目中，如果符合性评审中有一项不满足审查标准的，评审小组将认定该供应商不通过符合性审查，不得进入下一阶段评审。并且不允许供应商通过修改</w:t>
      </w:r>
      <w:r>
        <w:rPr>
          <w:color w:val="auto"/>
          <w:spacing w:val="-4"/>
          <w:highlight w:val="none"/>
        </w:rPr>
        <w:t>或撤销其不符合要求的差异或保留，使之成为具有响</w:t>
      </w:r>
      <w:r>
        <w:rPr>
          <w:color w:val="auto"/>
          <w:spacing w:val="-5"/>
          <w:highlight w:val="none"/>
        </w:rPr>
        <w:t>应性的投标。</w:t>
      </w:r>
    </w:p>
    <w:p w14:paraId="21A5812E">
      <w:pPr>
        <w:pStyle w:val="28"/>
        <w:spacing w:line="360" w:lineRule="auto"/>
        <w:rPr>
          <w:rFonts w:hint="eastAsia" w:ascii="宋体" w:hAnsi="宋体" w:cs="仿宋"/>
          <w:color w:val="auto"/>
          <w:spacing w:val="-2"/>
          <w:sz w:val="24"/>
          <w:highlight w:val="none"/>
        </w:rPr>
      </w:pPr>
    </w:p>
    <w:p w14:paraId="151B17FA">
      <w:pPr>
        <w:pStyle w:val="28"/>
        <w:spacing w:line="360" w:lineRule="auto"/>
        <w:rPr>
          <w:rFonts w:hint="eastAsia" w:ascii="宋体" w:hAnsi="宋体" w:cs="仿宋"/>
          <w:color w:val="auto"/>
          <w:spacing w:val="-2"/>
          <w:sz w:val="24"/>
          <w:highlight w:val="none"/>
        </w:rPr>
      </w:pPr>
    </w:p>
    <w:p w14:paraId="16A943D3">
      <w:pPr>
        <w:pStyle w:val="28"/>
        <w:spacing w:line="360" w:lineRule="auto"/>
        <w:outlineLvl w:val="1"/>
        <w:rPr>
          <w:rFonts w:ascii="宋体" w:hAnsi="宋体"/>
          <w:b/>
          <w:color w:val="auto"/>
          <w:sz w:val="24"/>
          <w:highlight w:val="none"/>
        </w:rPr>
      </w:pPr>
      <w:bookmarkStart w:id="30" w:name="_Toc1637"/>
      <w:r>
        <w:rPr>
          <w:rFonts w:hint="eastAsia" w:ascii="宋体" w:hAnsi="宋体"/>
          <w:b/>
          <w:color w:val="auto"/>
          <w:sz w:val="24"/>
          <w:highlight w:val="none"/>
        </w:rPr>
        <w:t>三、评分标准</w:t>
      </w:r>
      <w:bookmarkEnd w:id="30"/>
    </w:p>
    <w:p w14:paraId="38D00883">
      <w:pPr>
        <w:spacing w:line="360" w:lineRule="auto"/>
        <w:jc w:val="center"/>
        <w:rPr>
          <w:rFonts w:hint="eastAsia" w:ascii="宋体" w:hAnsi="宋体"/>
          <w:b/>
          <w:color w:val="auto"/>
          <w:spacing w:val="-2"/>
          <w:sz w:val="24"/>
          <w:highlight w:val="none"/>
        </w:rPr>
      </w:pPr>
      <w:r>
        <w:rPr>
          <w:rFonts w:hint="eastAsia" w:ascii="宋体" w:hAnsi="宋体"/>
          <w:b/>
          <w:color w:val="auto"/>
          <w:spacing w:val="-2"/>
          <w:sz w:val="30"/>
          <w:szCs w:val="30"/>
          <w:highlight w:val="none"/>
        </w:rPr>
        <w:t>报价部分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10</w:t>
      </w:r>
      <w:r>
        <w:rPr>
          <w:rFonts w:hint="eastAsia" w:ascii="宋体" w:hAnsi="宋体"/>
          <w:b/>
          <w:color w:val="auto"/>
          <w:spacing w:val="-2"/>
          <w:sz w:val="24"/>
          <w:highlight w:val="none"/>
        </w:rPr>
        <w:t>%）</w:t>
      </w:r>
    </w:p>
    <w:tbl>
      <w:tblPr>
        <w:tblStyle w:val="2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40"/>
        <w:gridCol w:w="759"/>
        <w:gridCol w:w="6946"/>
      </w:tblGrid>
      <w:tr w14:paraId="5F87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1B0067D">
            <w:pPr>
              <w:spacing w:line="360" w:lineRule="auto"/>
              <w:jc w:val="center"/>
              <w:rPr>
                <w:rFonts w:ascii="宋体" w:hAnsi="宋体"/>
                <w:b/>
                <w:color w:val="auto"/>
                <w:highlight w:val="none"/>
              </w:rPr>
            </w:pPr>
            <w:r>
              <w:rPr>
                <w:rFonts w:hint="eastAsia" w:ascii="宋体" w:hAnsi="宋体"/>
                <w:b/>
                <w:color w:val="auto"/>
                <w:spacing w:val="-2"/>
                <w:sz w:val="24"/>
                <w:highlight w:val="none"/>
              </w:rPr>
              <w:t>序号</w:t>
            </w:r>
          </w:p>
        </w:tc>
        <w:tc>
          <w:tcPr>
            <w:tcW w:w="1140" w:type="dxa"/>
            <w:noWrap w:val="0"/>
            <w:vAlign w:val="center"/>
          </w:tcPr>
          <w:p w14:paraId="6056A6A6">
            <w:pPr>
              <w:spacing w:line="360" w:lineRule="auto"/>
              <w:jc w:val="center"/>
              <w:rPr>
                <w:rFonts w:ascii="宋体" w:hAnsi="宋体"/>
                <w:b/>
                <w:color w:val="auto"/>
                <w:highlight w:val="none"/>
              </w:rPr>
            </w:pPr>
            <w:r>
              <w:rPr>
                <w:rFonts w:hint="eastAsia" w:ascii="宋体" w:hAnsi="宋体"/>
                <w:b/>
                <w:color w:val="auto"/>
                <w:highlight w:val="none"/>
              </w:rPr>
              <w:t>评审项目</w:t>
            </w:r>
          </w:p>
        </w:tc>
        <w:tc>
          <w:tcPr>
            <w:tcW w:w="759" w:type="dxa"/>
            <w:noWrap w:val="0"/>
            <w:vAlign w:val="center"/>
          </w:tcPr>
          <w:p w14:paraId="4DA84ECD">
            <w:pPr>
              <w:spacing w:line="360" w:lineRule="auto"/>
              <w:jc w:val="center"/>
              <w:rPr>
                <w:rFonts w:ascii="宋体" w:hAnsi="宋体"/>
                <w:b/>
                <w:color w:val="auto"/>
                <w:highlight w:val="none"/>
              </w:rPr>
            </w:pPr>
            <w:r>
              <w:rPr>
                <w:rFonts w:hint="eastAsia" w:ascii="宋体" w:hAnsi="宋体"/>
                <w:b/>
                <w:color w:val="auto"/>
                <w:highlight w:val="none"/>
              </w:rPr>
              <w:t>分值</w:t>
            </w:r>
          </w:p>
        </w:tc>
        <w:tc>
          <w:tcPr>
            <w:tcW w:w="6946" w:type="dxa"/>
            <w:noWrap w:val="0"/>
            <w:vAlign w:val="center"/>
          </w:tcPr>
          <w:p w14:paraId="36EC6472">
            <w:pPr>
              <w:spacing w:line="360" w:lineRule="auto"/>
              <w:jc w:val="center"/>
              <w:rPr>
                <w:rFonts w:hint="eastAsia" w:ascii="宋体" w:hAnsi="宋体"/>
                <w:b/>
                <w:color w:val="auto"/>
                <w:spacing w:val="-2"/>
                <w:sz w:val="24"/>
                <w:highlight w:val="none"/>
              </w:rPr>
            </w:pPr>
            <w:r>
              <w:rPr>
                <w:rFonts w:hint="eastAsia" w:ascii="宋体" w:hAnsi="宋体"/>
                <w:b/>
                <w:color w:val="auto"/>
                <w:spacing w:val="-2"/>
                <w:sz w:val="24"/>
                <w:highlight w:val="none"/>
              </w:rPr>
              <w:t>评分标准</w:t>
            </w:r>
          </w:p>
        </w:tc>
      </w:tr>
      <w:tr w14:paraId="2D6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6610E1BD">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140" w:type="dxa"/>
            <w:noWrap w:val="0"/>
            <w:vAlign w:val="center"/>
          </w:tcPr>
          <w:p w14:paraId="6AB94526">
            <w:pPr>
              <w:spacing w:line="360" w:lineRule="auto"/>
              <w:jc w:val="center"/>
              <w:rPr>
                <w:rFonts w:hint="eastAsia" w:ascii="宋体" w:hAnsi="宋体"/>
                <w:color w:val="auto"/>
                <w:sz w:val="24"/>
                <w:highlight w:val="none"/>
              </w:rPr>
            </w:pPr>
            <w:r>
              <w:rPr>
                <w:rFonts w:hint="eastAsia" w:ascii="宋体" w:hAnsi="宋体"/>
                <w:color w:val="auto"/>
                <w:sz w:val="24"/>
                <w:highlight w:val="none"/>
              </w:rPr>
              <w:t>经济分</w:t>
            </w:r>
          </w:p>
        </w:tc>
        <w:tc>
          <w:tcPr>
            <w:tcW w:w="759" w:type="dxa"/>
            <w:noWrap w:val="0"/>
            <w:vAlign w:val="center"/>
          </w:tcPr>
          <w:p w14:paraId="0B01FD8B">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分</w:t>
            </w:r>
          </w:p>
        </w:tc>
        <w:tc>
          <w:tcPr>
            <w:tcW w:w="6946" w:type="dxa"/>
            <w:noWrap w:val="0"/>
            <w:vAlign w:val="center"/>
          </w:tcPr>
          <w:p w14:paraId="62625531">
            <w:pPr>
              <w:spacing w:line="440" w:lineRule="exact"/>
              <w:rPr>
                <w:rFonts w:hint="eastAsia" w:ascii="宋体" w:hAnsi="宋体"/>
                <w:color w:val="auto"/>
                <w:sz w:val="24"/>
                <w:highlight w:val="none"/>
              </w:rPr>
            </w:pPr>
            <w:r>
              <w:rPr>
                <w:rFonts w:hint="eastAsia" w:ascii="宋体" w:hAnsi="宋体" w:cs="宋体"/>
                <w:color w:val="auto"/>
                <w:kern w:val="0"/>
                <w:sz w:val="24"/>
                <w:highlight w:val="none"/>
              </w:rPr>
              <w:t>基准价为合理低价，</w:t>
            </w:r>
            <w:r>
              <w:rPr>
                <w:rFonts w:ascii="宋体" w:hAnsi="宋体" w:cs="宋体"/>
                <w:color w:val="auto"/>
                <w:kern w:val="0"/>
                <w:sz w:val="24"/>
                <w:highlight w:val="none"/>
              </w:rPr>
              <w:t>即满足招标文件要求且投标</w:t>
            </w:r>
            <w:r>
              <w:rPr>
                <w:rFonts w:hint="eastAsia" w:ascii="宋体" w:hAnsi="宋体" w:cs="宋体"/>
                <w:color w:val="auto"/>
                <w:kern w:val="0"/>
                <w:sz w:val="24"/>
                <w:highlight w:val="none"/>
                <w:lang w:val="en-US" w:eastAsia="zh-CN"/>
              </w:rPr>
              <w:t>下浮率最高的</w:t>
            </w:r>
            <w:r>
              <w:rPr>
                <w:rFonts w:ascii="宋体" w:hAnsi="宋体" w:cs="宋体"/>
                <w:color w:val="auto"/>
                <w:kern w:val="0"/>
                <w:sz w:val="24"/>
                <w:highlight w:val="none"/>
              </w:rPr>
              <w:t>为评标基准价，其价格分为满分。其他</w:t>
            </w:r>
            <w:r>
              <w:rPr>
                <w:rFonts w:hint="eastAsia" w:ascii="宋体" w:hAnsi="宋体" w:cs="宋体"/>
                <w:color w:val="auto"/>
                <w:kern w:val="0"/>
                <w:sz w:val="24"/>
                <w:highlight w:val="none"/>
                <w:lang w:eastAsia="zh-CN"/>
              </w:rPr>
              <w:t>供应商</w:t>
            </w:r>
            <w:r>
              <w:rPr>
                <w:rFonts w:ascii="宋体" w:hAnsi="宋体" w:cs="宋体"/>
                <w:color w:val="auto"/>
                <w:kern w:val="0"/>
                <w:sz w:val="24"/>
                <w:highlight w:val="none"/>
              </w:rPr>
              <w:t>的价格分统一按照下列公式计算：</w:t>
            </w:r>
            <w:r>
              <w:rPr>
                <w:rFonts w:ascii="宋体" w:hAnsi="宋体" w:cs="宋体"/>
                <w:b/>
                <w:bCs/>
                <w:color w:val="auto"/>
                <w:kern w:val="0"/>
                <w:sz w:val="24"/>
                <w:highlight w:val="none"/>
              </w:rPr>
              <w:t>投标报价得分=(</w:t>
            </w:r>
            <w:r>
              <w:rPr>
                <w:rFonts w:hint="eastAsia" w:ascii="宋体" w:hAnsi="宋体" w:cs="宋体"/>
                <w:b/>
                <w:bCs/>
                <w:color w:val="auto"/>
                <w:kern w:val="0"/>
                <w:sz w:val="24"/>
                <w:highlight w:val="none"/>
                <w:lang w:val="en-US" w:eastAsia="zh-CN"/>
              </w:rPr>
              <w:t>1-最高下浮率）/</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投标</w:t>
            </w:r>
            <w:r>
              <w:rPr>
                <w:rFonts w:hint="eastAsia" w:ascii="宋体" w:hAnsi="宋体" w:cs="宋体"/>
                <w:b/>
                <w:bCs/>
                <w:color w:val="auto"/>
                <w:kern w:val="0"/>
                <w:sz w:val="24"/>
                <w:highlight w:val="none"/>
                <w:lang w:val="en-US" w:eastAsia="zh-CN"/>
              </w:rPr>
              <w:t>下浮率</w:t>
            </w:r>
            <w:r>
              <w:rPr>
                <w:rFonts w:ascii="宋体" w:hAnsi="宋体" w:cs="宋体"/>
                <w:b/>
                <w:bCs/>
                <w:color w:val="auto"/>
                <w:kern w:val="0"/>
                <w:sz w:val="24"/>
                <w:highlight w:val="none"/>
              </w:rPr>
              <w:t>)×价格</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值×100</w:t>
            </w:r>
            <w:r>
              <w:rPr>
                <w:rFonts w:hint="eastAsia" w:ascii="宋体" w:hAnsi="宋体" w:cs="宋体"/>
                <w:b/>
                <w:bCs/>
                <w:color w:val="auto"/>
                <w:kern w:val="0"/>
                <w:sz w:val="24"/>
                <w:highlight w:val="none"/>
              </w:rPr>
              <w:t>%</w:t>
            </w:r>
            <w:r>
              <w:rPr>
                <w:rFonts w:ascii="宋体" w:hAnsi="宋体" w:cs="宋体"/>
                <w:color w:val="auto"/>
                <w:kern w:val="0"/>
                <w:sz w:val="24"/>
                <w:highlight w:val="none"/>
              </w:rPr>
              <w:t xml:space="preserve"> </w:t>
            </w:r>
          </w:p>
        </w:tc>
      </w:tr>
    </w:tbl>
    <w:p w14:paraId="2F23538F">
      <w:pPr>
        <w:rPr>
          <w:rFonts w:hint="eastAsia"/>
          <w:color w:val="auto"/>
          <w:highlight w:val="none"/>
          <w:lang w:val="en-US" w:eastAsia="zh-CN"/>
        </w:rPr>
      </w:pPr>
      <w:r>
        <w:rPr>
          <w:rFonts w:hint="eastAsia"/>
          <w:color w:val="auto"/>
          <w:highlight w:val="none"/>
          <w:lang w:val="en-US" w:eastAsia="zh-CN"/>
        </w:rPr>
        <w:br w:type="page"/>
      </w:r>
    </w:p>
    <w:p w14:paraId="3556E557">
      <w:pPr>
        <w:rPr>
          <w:rFonts w:hint="eastAsia"/>
          <w:color w:val="auto"/>
          <w:highlight w:val="none"/>
          <w:lang w:val="en-US" w:eastAsia="zh-CN"/>
        </w:rPr>
      </w:pPr>
    </w:p>
    <w:p w14:paraId="192586CD">
      <w:pPr>
        <w:spacing w:line="360" w:lineRule="auto"/>
        <w:jc w:val="center"/>
        <w:outlineLvl w:val="0"/>
        <w:rPr>
          <w:rFonts w:hint="eastAsia" w:ascii="宋体" w:hAnsi="宋体"/>
          <w:b/>
          <w:color w:val="auto"/>
          <w:spacing w:val="-2"/>
          <w:sz w:val="24"/>
          <w:highlight w:val="none"/>
        </w:rPr>
      </w:pPr>
      <w:bookmarkStart w:id="31" w:name="_Toc4110"/>
      <w:r>
        <w:rPr>
          <w:rFonts w:hint="eastAsia" w:ascii="宋体" w:hAnsi="宋体"/>
          <w:b/>
          <w:color w:val="auto"/>
          <w:spacing w:val="-2"/>
          <w:sz w:val="30"/>
          <w:szCs w:val="30"/>
          <w:highlight w:val="none"/>
        </w:rPr>
        <w:t>商务技术部分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90</w:t>
      </w:r>
      <w:r>
        <w:rPr>
          <w:rFonts w:hint="eastAsia" w:ascii="宋体" w:hAnsi="宋体"/>
          <w:b/>
          <w:color w:val="auto"/>
          <w:spacing w:val="-2"/>
          <w:sz w:val="24"/>
          <w:highlight w:val="none"/>
        </w:rPr>
        <w:t>%）</w:t>
      </w:r>
      <w:bookmarkEnd w:id="31"/>
    </w:p>
    <w:tbl>
      <w:tblPr>
        <w:tblStyle w:val="2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03"/>
        <w:gridCol w:w="780"/>
        <w:gridCol w:w="6795"/>
      </w:tblGrid>
      <w:tr w14:paraId="4C0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noWrap w:val="0"/>
            <w:vAlign w:val="center"/>
          </w:tcPr>
          <w:p w14:paraId="4649ED4D">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spacing w:val="-2"/>
                <w:sz w:val="24"/>
                <w:highlight w:val="none"/>
              </w:rPr>
              <w:t>序号</w:t>
            </w:r>
          </w:p>
        </w:tc>
        <w:tc>
          <w:tcPr>
            <w:tcW w:w="1403" w:type="dxa"/>
            <w:noWrap w:val="0"/>
            <w:vAlign w:val="center"/>
          </w:tcPr>
          <w:p w14:paraId="17F2CC25">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评审项目</w:t>
            </w:r>
          </w:p>
        </w:tc>
        <w:tc>
          <w:tcPr>
            <w:tcW w:w="780" w:type="dxa"/>
            <w:noWrap w:val="0"/>
            <w:vAlign w:val="center"/>
          </w:tcPr>
          <w:p w14:paraId="61D480DC">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分值</w:t>
            </w:r>
          </w:p>
        </w:tc>
        <w:tc>
          <w:tcPr>
            <w:tcW w:w="6795" w:type="dxa"/>
            <w:noWrap w:val="0"/>
            <w:vAlign w:val="center"/>
          </w:tcPr>
          <w:p w14:paraId="6C2D55A9">
            <w:pPr>
              <w:spacing w:line="360" w:lineRule="auto"/>
              <w:jc w:val="center"/>
              <w:rPr>
                <w:rFonts w:hint="eastAsia" w:ascii="宋体" w:hAnsi="宋体" w:eastAsia="宋体" w:cs="Times New Roman"/>
                <w:color w:val="auto"/>
                <w:spacing w:val="-2"/>
                <w:sz w:val="24"/>
                <w:highlight w:val="none"/>
              </w:rPr>
            </w:pPr>
            <w:r>
              <w:rPr>
                <w:rFonts w:hint="eastAsia" w:ascii="宋体" w:hAnsi="宋体" w:eastAsia="宋体" w:cs="Times New Roman"/>
                <w:b/>
                <w:color w:val="auto"/>
                <w:spacing w:val="-2"/>
                <w:sz w:val="24"/>
                <w:highlight w:val="none"/>
              </w:rPr>
              <w:t>评分标准</w:t>
            </w:r>
          </w:p>
        </w:tc>
      </w:tr>
      <w:tr w14:paraId="401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22A9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1403" w:type="dxa"/>
            <w:noWrap w:val="0"/>
            <w:vAlign w:val="center"/>
          </w:tcPr>
          <w:p w14:paraId="5CFD07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4"/>
                <w:szCs w:val="24"/>
                <w:highlight w:val="none"/>
                <w:lang w:val="en-US" w:eastAsia="zh-CN" w:bidi="ar-SA"/>
              </w:rPr>
              <w:t>同类项目经验</w:t>
            </w:r>
          </w:p>
        </w:tc>
        <w:tc>
          <w:tcPr>
            <w:tcW w:w="780" w:type="dxa"/>
            <w:noWrap w:val="0"/>
            <w:vAlign w:val="center"/>
          </w:tcPr>
          <w:p w14:paraId="034FFB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12分</w:t>
            </w:r>
          </w:p>
        </w:tc>
        <w:tc>
          <w:tcPr>
            <w:tcW w:w="6795" w:type="dxa"/>
            <w:noWrap w:val="0"/>
            <w:vAlign w:val="center"/>
          </w:tcPr>
          <w:p w14:paraId="6A7AF682">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应当提供</w:t>
            </w:r>
            <w:r>
              <w:rPr>
                <w:rFonts w:hint="eastAsia" w:ascii="宋体" w:hAnsi="宋体" w:eastAsia="宋体" w:cs="宋体"/>
                <w:sz w:val="24"/>
                <w:szCs w:val="24"/>
                <w:highlight w:val="none"/>
              </w:rPr>
              <w:t>自2023年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rPr>
              <w:t>至今</w:t>
            </w:r>
            <w:r>
              <w:rPr>
                <w:rFonts w:hint="eastAsia" w:ascii="宋体" w:hAnsi="宋体" w:eastAsia="宋体" w:cs="宋体"/>
                <w:sz w:val="24"/>
                <w:szCs w:val="24"/>
                <w:highlight w:val="none"/>
                <w:lang w:eastAsia="zh-CN"/>
              </w:rPr>
              <w:t>（投标截止日期）</w:t>
            </w:r>
            <w:r>
              <w:rPr>
                <w:rFonts w:hint="eastAsia" w:ascii="宋体" w:hAnsi="宋体" w:eastAsia="宋体" w:cs="宋体"/>
                <w:sz w:val="24"/>
                <w:szCs w:val="24"/>
                <w:highlight w:val="none"/>
              </w:rPr>
              <w:t>的类似项目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，每提供具有符合评审要求的1个有效业绩的得2分，</w:t>
            </w:r>
            <w:r>
              <w:rPr>
                <w:rFonts w:hint="eastAsia" w:ascii="宋体" w:hAnsi="宋体" w:eastAsia="宋体" w:cs="宋体"/>
                <w:sz w:val="24"/>
                <w:szCs w:val="24"/>
                <w:highlight w:val="none"/>
                <w:lang w:val="en-US" w:eastAsia="zh-CN"/>
              </w:rPr>
              <w:t>此项最高得12分。</w:t>
            </w:r>
          </w:p>
          <w:p w14:paraId="3DF87BDF">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业绩要求：</w:t>
            </w:r>
            <w:r>
              <w:rPr>
                <w:rFonts w:hint="eastAsia" w:ascii="宋体" w:hAnsi="宋体" w:eastAsia="宋体" w:cs="宋体"/>
                <w:sz w:val="24"/>
                <w:szCs w:val="24"/>
                <w:highlight w:val="none"/>
                <w:lang w:val="en-US" w:eastAsia="zh-CN"/>
              </w:rPr>
              <w:t>1.结合本项目采购需求实际，</w:t>
            </w:r>
            <w:r>
              <w:rPr>
                <w:rFonts w:hint="eastAsia" w:ascii="宋体" w:hAnsi="宋体" w:eastAsia="宋体" w:cs="宋体"/>
                <w:sz w:val="24"/>
                <w:szCs w:val="24"/>
                <w:highlight w:val="none"/>
              </w:rPr>
              <w:t>合同内明确约定的</w:t>
            </w:r>
            <w:r>
              <w:rPr>
                <w:rFonts w:hint="eastAsia" w:ascii="宋体" w:hAnsi="宋体" w:eastAsia="宋体" w:cs="宋体"/>
                <w:sz w:val="24"/>
                <w:szCs w:val="24"/>
                <w:highlight w:val="none"/>
                <w:lang w:val="en-US" w:eastAsia="zh-CN"/>
              </w:rPr>
              <w:t>配送</w:t>
            </w:r>
            <w:bookmarkStart w:id="36" w:name="_GoBack"/>
            <w:bookmarkEnd w:id="36"/>
            <w:r>
              <w:rPr>
                <w:rFonts w:hint="eastAsia" w:ascii="宋体" w:hAnsi="宋体" w:eastAsia="宋体" w:cs="宋体"/>
                <w:sz w:val="24"/>
                <w:szCs w:val="24"/>
                <w:highlight w:val="none"/>
              </w:rPr>
              <w:t>周期</w:t>
            </w:r>
            <w:r>
              <w:rPr>
                <w:rFonts w:hint="eastAsia" w:ascii="宋体" w:hAnsi="宋体" w:eastAsia="宋体" w:cs="宋体"/>
                <w:sz w:val="24"/>
                <w:szCs w:val="24"/>
                <w:highlight w:val="none"/>
                <w:lang w:eastAsia="zh-CN"/>
              </w:rPr>
              <w:t>应当</w:t>
            </w:r>
            <w:r>
              <w:rPr>
                <w:rFonts w:hint="eastAsia" w:ascii="宋体" w:hAnsi="宋体" w:eastAsia="宋体" w:cs="宋体"/>
                <w:sz w:val="24"/>
                <w:szCs w:val="24"/>
                <w:highlight w:val="none"/>
              </w:rPr>
              <w:t>不少于</w:t>
            </w:r>
            <w:r>
              <w:rPr>
                <w:rFonts w:hint="eastAsia" w:ascii="宋体" w:hAnsi="宋体" w:eastAsia="宋体" w:cs="宋体"/>
                <w:sz w:val="24"/>
                <w:szCs w:val="24"/>
                <w:highlight w:val="none"/>
                <w:lang w:val="en-US" w:eastAsia="zh-CN"/>
              </w:rPr>
              <w:t>12个月。</w:t>
            </w:r>
          </w:p>
          <w:p w14:paraId="04AEA1EA">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z w:val="24"/>
                <w:szCs w:val="24"/>
                <w:highlight w:val="none"/>
              </w:rPr>
              <w:t>若为政府采购或公开招投标业绩：须提供中标（成交）通知书、加盖供应商公章的完整合同原件扫描件、与合同金额相符的有效发票及付款凭证（银行回单），并提供中国政府采购网</w:t>
            </w:r>
            <w:r>
              <w:rPr>
                <w:rFonts w:hint="eastAsia" w:ascii="宋体" w:hAnsi="宋体" w:eastAsia="宋体" w:cs="宋体"/>
                <w:sz w:val="24"/>
                <w:szCs w:val="24"/>
                <w:highlight w:val="none"/>
                <w:lang w:val="en-US" w:eastAsia="zh-CN"/>
              </w:rPr>
              <w:t>或新疆政府采购网等全国一体化政府采购信息平台</w:t>
            </w:r>
            <w:r>
              <w:rPr>
                <w:rFonts w:hint="eastAsia" w:ascii="宋体" w:hAnsi="宋体" w:eastAsia="宋体" w:cs="宋体"/>
                <w:sz w:val="24"/>
                <w:szCs w:val="24"/>
                <w:highlight w:val="none"/>
              </w:rPr>
              <w:t>公告查询链接及截图备查，保证业绩真实、周期完整、可核验真伪。</w:t>
            </w:r>
          </w:p>
          <w:p w14:paraId="1EF5BCD7">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若为非政府采购、非公开招投标业绩（含企业、社会组织、直接采购项目等）：须提供加盖供应商公章的完整合同原件扫描件、与合同金额相符的有效发票及付款凭证（银行回单），保证业绩真实、周期完成、可核验真伪。</w:t>
            </w:r>
          </w:p>
          <w:p w14:paraId="743B9720">
            <w:pPr>
              <w:keepLines w:val="0"/>
              <w:pageBreakBefore w:val="0"/>
              <w:numPr>
                <w:ilvl w:val="0"/>
                <w:numId w:val="0"/>
              </w:numPr>
              <w:overflowPunct/>
              <w:topLinePunct w:val="0"/>
              <w:bidi w:val="0"/>
              <w:ind w:left="0" w:leftChars="0" w:firstLine="0" w:firstLineChars="0"/>
              <w:outlineLvl w:val="9"/>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所有业绩材料时间、金额、甲乙双方主体信息须逻辑一致，严禁挂靠、伪造、变造业绩，一经查实按照伪造虚假材料谋取中标处理，取消投标资格并上报监管部门严肃处理。</w:t>
            </w:r>
          </w:p>
          <w:p w14:paraId="3AAEF21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业绩认定以合同签订时间为准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未按要求提供完整证明材料的</w:t>
            </w:r>
            <w:r>
              <w:rPr>
                <w:rFonts w:hint="eastAsia" w:ascii="宋体" w:hAnsi="宋体" w:eastAsia="宋体" w:cs="宋体"/>
                <w:sz w:val="24"/>
                <w:szCs w:val="24"/>
                <w:highlight w:val="none"/>
                <w:lang w:eastAsia="zh-CN"/>
              </w:rPr>
              <w:t>以及</w:t>
            </w:r>
            <w:r>
              <w:rPr>
                <w:rFonts w:hint="eastAsia" w:ascii="宋体" w:hAnsi="宋体" w:eastAsia="宋体" w:cs="宋体"/>
                <w:sz w:val="24"/>
                <w:szCs w:val="24"/>
                <w:highlight w:val="none"/>
              </w:rPr>
              <w:t>提供的证明材料未显示日期及项目名称、无法定代表人或授权代表签字（签章）的，</w:t>
            </w:r>
            <w:r>
              <w:rPr>
                <w:rFonts w:hint="eastAsia" w:ascii="宋体" w:hAnsi="宋体" w:eastAsia="宋体" w:cs="宋体"/>
                <w:sz w:val="24"/>
                <w:szCs w:val="24"/>
                <w:highlight w:val="none"/>
                <w:lang w:eastAsia="zh-CN"/>
              </w:rPr>
              <w:t>均</w:t>
            </w:r>
            <w:r>
              <w:rPr>
                <w:rFonts w:hint="eastAsia" w:ascii="宋体" w:hAnsi="宋体" w:eastAsia="宋体" w:cs="宋体"/>
                <w:sz w:val="24"/>
                <w:szCs w:val="24"/>
                <w:highlight w:val="none"/>
              </w:rPr>
              <w:t>视为无效业绩，不得分。</w:t>
            </w:r>
          </w:p>
        </w:tc>
      </w:tr>
      <w:tr w14:paraId="1B6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AFEA0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03" w:type="dxa"/>
            <w:noWrap w:val="0"/>
            <w:vAlign w:val="center"/>
          </w:tcPr>
          <w:p w14:paraId="30F447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配送人员</w:t>
            </w:r>
          </w:p>
        </w:tc>
        <w:tc>
          <w:tcPr>
            <w:tcW w:w="780" w:type="dxa"/>
            <w:noWrap w:val="0"/>
            <w:vAlign w:val="center"/>
          </w:tcPr>
          <w:p w14:paraId="08037F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6分</w:t>
            </w:r>
          </w:p>
        </w:tc>
        <w:tc>
          <w:tcPr>
            <w:tcW w:w="6795" w:type="dxa"/>
            <w:noWrap w:val="0"/>
            <w:vAlign w:val="center"/>
          </w:tcPr>
          <w:p w14:paraId="4694880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66477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Times New Roman"/>
                <w:color w:val="auto"/>
                <w:sz w:val="24"/>
                <w:highlight w:val="none"/>
                <w:lang w:val="en-US"/>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r>
      <w:tr w14:paraId="7B15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B2AD4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403" w:type="dxa"/>
            <w:noWrap w:val="0"/>
            <w:vAlign w:val="center"/>
          </w:tcPr>
          <w:p w14:paraId="0B7C7C5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临时订货</w:t>
            </w:r>
          </w:p>
        </w:tc>
        <w:tc>
          <w:tcPr>
            <w:tcW w:w="780" w:type="dxa"/>
            <w:noWrap w:val="0"/>
            <w:vAlign w:val="center"/>
          </w:tcPr>
          <w:p w14:paraId="02CAA68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4F6C4FD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35A00A1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r>
      <w:tr w14:paraId="0B71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7A8BB2C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403" w:type="dxa"/>
            <w:noWrap w:val="0"/>
            <w:vAlign w:val="center"/>
          </w:tcPr>
          <w:p w14:paraId="0CF4BB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w:t>
            </w:r>
          </w:p>
          <w:p w14:paraId="464A004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保证</w:t>
            </w:r>
          </w:p>
        </w:tc>
        <w:tc>
          <w:tcPr>
            <w:tcW w:w="780" w:type="dxa"/>
            <w:noWrap w:val="0"/>
            <w:vAlign w:val="center"/>
          </w:tcPr>
          <w:p w14:paraId="114EFF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31769B9B">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裕民县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18E012F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4E53F27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4A1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4D51C29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r>
      <w:tr w14:paraId="005D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54D98D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403" w:type="dxa"/>
            <w:noWrap w:val="0"/>
            <w:vAlign w:val="center"/>
          </w:tcPr>
          <w:p w14:paraId="4CCED2B8">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食品安全责任险</w:t>
            </w:r>
          </w:p>
        </w:tc>
        <w:tc>
          <w:tcPr>
            <w:tcW w:w="780" w:type="dxa"/>
            <w:noWrap w:val="0"/>
            <w:vAlign w:val="center"/>
          </w:tcPr>
          <w:p w14:paraId="11F439E3">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2C6FA510">
            <w:pPr>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供应商提供有效的食品安全责任险投保凭证，且保险金额达到400万元及以上的，得3分；保险金额在200万元（含）至400万元（不含）之间的，得1.5分；未提供投保凭证或保险金额不足200万元的，不得分。</w:t>
            </w:r>
          </w:p>
        </w:tc>
      </w:tr>
      <w:tr w14:paraId="05A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14896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403" w:type="dxa"/>
            <w:noWrap w:val="0"/>
            <w:vAlign w:val="center"/>
          </w:tcPr>
          <w:p w14:paraId="6A05F6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配送方案</w:t>
            </w:r>
          </w:p>
        </w:tc>
        <w:tc>
          <w:tcPr>
            <w:tcW w:w="780" w:type="dxa"/>
            <w:noWrap w:val="0"/>
            <w:vAlign w:val="center"/>
          </w:tcPr>
          <w:p w14:paraId="6102B8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14分</w:t>
            </w:r>
          </w:p>
        </w:tc>
        <w:tc>
          <w:tcPr>
            <w:tcW w:w="6795" w:type="dxa"/>
            <w:noWrap w:val="0"/>
            <w:vAlign w:val="center"/>
          </w:tcPr>
          <w:p w14:paraId="273F325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裕民县7个点位、兵团1个点位（其中片区内最远的察汗托海派出所距离裕民县30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E46F7C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3724BA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仿宋"/>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r>
      <w:tr w14:paraId="110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CCA92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403" w:type="dxa"/>
            <w:noWrap w:val="0"/>
            <w:vAlign w:val="center"/>
          </w:tcPr>
          <w:p w14:paraId="6A05504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质量保证</w:t>
            </w:r>
          </w:p>
        </w:tc>
        <w:tc>
          <w:tcPr>
            <w:tcW w:w="780" w:type="dxa"/>
            <w:noWrap w:val="0"/>
            <w:vAlign w:val="center"/>
          </w:tcPr>
          <w:p w14:paraId="58ABF8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FA6616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96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r>
      <w:tr w14:paraId="535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1B5F9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403" w:type="dxa"/>
            <w:noWrap w:val="0"/>
            <w:vAlign w:val="center"/>
          </w:tcPr>
          <w:p w14:paraId="2BB485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tc>
        <w:tc>
          <w:tcPr>
            <w:tcW w:w="780" w:type="dxa"/>
            <w:noWrap w:val="0"/>
            <w:vAlign w:val="center"/>
          </w:tcPr>
          <w:p w14:paraId="3FA86D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841983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5BAA75B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B3539B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r>
      <w:tr w14:paraId="724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C5F2B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403" w:type="dxa"/>
            <w:noWrap w:val="0"/>
            <w:vAlign w:val="center"/>
          </w:tcPr>
          <w:p w14:paraId="51924A4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应急处置</w:t>
            </w:r>
          </w:p>
        </w:tc>
        <w:tc>
          <w:tcPr>
            <w:tcW w:w="780" w:type="dxa"/>
            <w:noWrap w:val="0"/>
            <w:vAlign w:val="center"/>
          </w:tcPr>
          <w:p w14:paraId="33C7ED3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890E2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r>
    </w:tbl>
    <w:p w14:paraId="709A3D82">
      <w:pPr>
        <w:tabs>
          <w:tab w:val="left" w:pos="3850"/>
        </w:tabs>
        <w:spacing w:line="360" w:lineRule="auto"/>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计算综合评分时，如有小数，应保留两位小数。  </w:t>
      </w:r>
    </w:p>
    <w:p w14:paraId="70F54D65">
      <w:pPr>
        <w:pStyle w:val="5"/>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2、采购人具有实地查看、核查各项证明真伪的权利，以上提供材料须真实有效，如发现任何一项弄虚作假，将取消中标资格，并报相关部门处罚。</w:t>
      </w:r>
    </w:p>
    <w:p w14:paraId="2767F423">
      <w:pPr>
        <w:rPr>
          <w:rFonts w:hint="eastAsia"/>
          <w:color w:val="auto"/>
          <w:highlight w:val="none"/>
        </w:rPr>
      </w:pPr>
      <w:r>
        <w:rPr>
          <w:rFonts w:hint="eastAsia" w:ascii="宋体"/>
          <w:b/>
          <w:color w:val="auto"/>
          <w:sz w:val="32"/>
          <w:szCs w:val="32"/>
          <w:highlight w:val="none"/>
        </w:rPr>
        <w:br w:type="page"/>
      </w:r>
    </w:p>
    <w:p w14:paraId="2FB4D6E8">
      <w:pPr>
        <w:pStyle w:val="2"/>
        <w:spacing w:before="0" w:after="0" w:line="240" w:lineRule="auto"/>
        <w:ind w:firstLine="3213" w:firstLineChars="1000"/>
        <w:jc w:val="both"/>
        <w:rPr>
          <w:rFonts w:hint="eastAsia" w:ascii="宋体"/>
          <w:color w:val="auto"/>
          <w:sz w:val="32"/>
          <w:szCs w:val="32"/>
          <w:highlight w:val="none"/>
        </w:rPr>
      </w:pPr>
      <w:bookmarkStart w:id="32" w:name="_Toc14508"/>
      <w:r>
        <w:rPr>
          <w:rFonts w:hint="eastAsia" w:ascii="宋体"/>
          <w:color w:val="auto"/>
          <w:sz w:val="32"/>
          <w:szCs w:val="32"/>
          <w:highlight w:val="none"/>
        </w:rPr>
        <w:t>第六章 合同条款</w:t>
      </w:r>
      <w:bookmarkEnd w:id="32"/>
      <w:bookmarkStart w:id="33" w:name="_Toc497666658"/>
      <w:bookmarkStart w:id="34" w:name="_Toc380404622"/>
    </w:p>
    <w:bookmarkEnd w:id="33"/>
    <w:bookmarkEnd w:id="34"/>
    <w:p w14:paraId="2B132643">
      <w:pPr>
        <w:pStyle w:val="2"/>
        <w:spacing w:before="0" w:after="0" w:line="240" w:lineRule="auto"/>
        <w:jc w:val="center"/>
        <w:rPr>
          <w:rFonts w:hint="eastAsia" w:ascii="宋体" w:hAnsi="宋体"/>
          <w:b w:val="0"/>
          <w:color w:val="auto"/>
          <w:sz w:val="24"/>
          <w:szCs w:val="24"/>
          <w:highlight w:val="none"/>
        </w:rPr>
      </w:pPr>
      <w:bookmarkStart w:id="35" w:name="_Toc501639727"/>
      <w:r>
        <w:rPr>
          <w:rFonts w:hint="eastAsia" w:ascii="宋体" w:hAnsi="宋体"/>
          <w:b w:val="0"/>
          <w:color w:val="auto"/>
          <w:sz w:val="24"/>
          <w:szCs w:val="24"/>
          <w:highlight w:val="none"/>
        </w:rPr>
        <w:t>（备注：此合同为模板，具体以甲、乙双方签订</w:t>
      </w:r>
      <w:r>
        <w:rPr>
          <w:rFonts w:hint="eastAsia" w:ascii="宋体" w:hAnsi="宋体"/>
          <w:b w:val="0"/>
          <w:color w:val="auto"/>
          <w:sz w:val="24"/>
          <w:szCs w:val="24"/>
          <w:highlight w:val="none"/>
          <w:lang w:val="en-US" w:eastAsia="zh-CN"/>
        </w:rPr>
        <w:t>的采购</w:t>
      </w:r>
      <w:r>
        <w:rPr>
          <w:rFonts w:hint="eastAsia" w:ascii="宋体" w:hAnsi="宋体"/>
          <w:b w:val="0"/>
          <w:color w:val="auto"/>
          <w:sz w:val="24"/>
          <w:szCs w:val="24"/>
          <w:highlight w:val="none"/>
        </w:rPr>
        <w:t>合同为准。）</w:t>
      </w:r>
    </w:p>
    <w:p w14:paraId="67EFB9D0">
      <w:pPr>
        <w:bidi w:val="0"/>
        <w:rPr>
          <w:rFonts w:hint="eastAsia"/>
          <w:color w:val="auto"/>
          <w:highlight w:val="none"/>
        </w:rPr>
      </w:pPr>
    </w:p>
    <w:p w14:paraId="3D3FBA3E">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甲方：</w:t>
      </w:r>
    </w:p>
    <w:p w14:paraId="6C67C713">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AF235B">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乙方：</w:t>
      </w:r>
    </w:p>
    <w:p w14:paraId="4E21A165">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80180F">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 xml:space="preserve">联系人：              </w:t>
      </w:r>
    </w:p>
    <w:p w14:paraId="07452396">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电话：</w:t>
      </w:r>
    </w:p>
    <w:p w14:paraId="0E42FD80">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本合同签订地点：</w:t>
      </w:r>
    </w:p>
    <w:bookmarkEnd w:id="35"/>
    <w:p w14:paraId="23F2A4AF">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根据《中华人民共和国民法典》、《食品安全法》等法律法规的相关条款，经甲乙双方友好协商，就</w:t>
      </w:r>
      <w:r>
        <w:rPr>
          <w:rFonts w:hint="eastAsia" w:hAnsi="宋体" w:cs="宋体"/>
          <w:color w:val="auto"/>
          <w:kern w:val="2"/>
          <w:sz w:val="24"/>
          <w:szCs w:val="24"/>
          <w:highlight w:val="none"/>
          <w:lang w:val="en-US" w:eastAsia="zh-CN" w:bidi="ar"/>
        </w:rPr>
        <w:t>塔城边境管理支队各单位</w:t>
      </w:r>
      <w:r>
        <w:rPr>
          <w:rFonts w:hint="eastAsia" w:ascii="宋体" w:hAnsi="宋体" w:eastAsia="宋体" w:cs="宋体"/>
          <w:color w:val="auto"/>
          <w:kern w:val="2"/>
          <w:sz w:val="24"/>
          <w:szCs w:val="24"/>
          <w:highlight w:val="none"/>
          <w:lang w:val="en-US" w:eastAsia="zh-CN" w:bidi="ar"/>
        </w:rPr>
        <w:t>定点供应服务项目甲方采购乙方生产或经营的主副食品一事签订本合同，具体条款如下：</w:t>
      </w:r>
    </w:p>
    <w:p w14:paraId="42AF7077">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：采购内容及合同签署</w:t>
      </w:r>
    </w:p>
    <w:p w14:paraId="16E7BA49">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1.采购内容：</w:t>
      </w:r>
      <w:r>
        <w:rPr>
          <w:rFonts w:hint="eastAsia" w:ascii="宋体" w:hAnsi="宋体" w:eastAsia="宋体" w:cs="宋体"/>
          <w:color w:val="auto"/>
          <w:spacing w:val="-1"/>
          <w:kern w:val="2"/>
          <w:sz w:val="24"/>
          <w:szCs w:val="24"/>
          <w:highlight w:val="none"/>
          <w:lang w:val="en-US" w:eastAsia="zh-CN" w:bidi="ar"/>
        </w:rPr>
        <w:t>裕民大队及其所属基层单位的主副食品配送：包括但不限于米、面、油、调料、蔬菜、水果、牛羊肉、猪肉、鱼、蛋、禽类等主副食品。</w:t>
      </w:r>
      <w:r>
        <w:rPr>
          <w:rFonts w:hint="eastAsia" w:ascii="宋体" w:hAnsi="宋体" w:eastAsia="宋体" w:cs="宋体"/>
          <w:color w:val="auto"/>
          <w:kern w:val="2"/>
          <w:sz w:val="24"/>
          <w:szCs w:val="24"/>
          <w:highlight w:val="none"/>
          <w:lang w:val="en-US" w:eastAsia="zh-CN" w:bidi="ar"/>
        </w:rPr>
        <w:t>（以下内容中用“货物”表示）。</w:t>
      </w:r>
    </w:p>
    <w:p w14:paraId="6AB9875D">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2.合同签署：</w:t>
      </w:r>
      <w:r>
        <w:rPr>
          <w:rFonts w:hint="eastAsia" w:hAnsi="宋体" w:cs="宋体"/>
          <w:color w:val="auto"/>
          <w:kern w:val="2"/>
          <w:sz w:val="24"/>
          <w:szCs w:val="24"/>
          <w:highlight w:val="none"/>
          <w:lang w:val="en-US" w:eastAsia="zh-CN" w:bidi="ar"/>
        </w:rPr>
        <w:t>自合同签订之日起一年。</w:t>
      </w:r>
    </w:p>
    <w:p w14:paraId="01505B79">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：采购、供货要求</w:t>
      </w:r>
    </w:p>
    <w:p w14:paraId="0A201C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1.乙方保证提供的货物均符合国家规定的质量、卫生、安全标准。乙方所供货物质量保证周期要求不低于1年，质量保证期从每一批次货物验收合格后开始计算，至每一批次货物消耗完毕截止。</w:t>
      </w:r>
    </w:p>
    <w:p w14:paraId="45C82A2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2.乙方不得向甲方提供以下食品（包括但不限于）：</w:t>
      </w:r>
    </w:p>
    <w:p w14:paraId="12A82A4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1）腐败变质、油脂酸败、霉变、生虫、污秽不洁、混有异物或者其他感官性状异常，可能对人体健康有害的；</w:t>
      </w:r>
    </w:p>
    <w:p w14:paraId="5480BA3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2）含有毒、有害物质或者被有毒、有害物质污染，可能对人体健康有害的；</w:t>
      </w:r>
    </w:p>
    <w:p w14:paraId="177C955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3）含有致病性寄生虫、微生物的，或者微生物毒素含量超过国家限定标准的；</w:t>
      </w:r>
    </w:p>
    <w:p w14:paraId="49A506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4）含有昆虫或其它异物的；</w:t>
      </w:r>
    </w:p>
    <w:p w14:paraId="6D3B657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5）容器包装污秽不洁，严重破损或运输工具不洁造成污染的；</w:t>
      </w:r>
    </w:p>
    <w:p w14:paraId="32F29B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6）掺假、掺杂、伪造，影响营养、卫生的；</w:t>
      </w:r>
    </w:p>
    <w:p w14:paraId="1C1435E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7）用非食品原料加工的，加入非食品用化学物质的或者将非食品当作食品的；</w:t>
      </w:r>
    </w:p>
    <w:p w14:paraId="01D0D79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8）交货时质保期少于半年以上的；</w:t>
      </w:r>
    </w:p>
    <w:p w14:paraId="2CA695F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9）为防病等特殊需要，国务院卫生行政部门或者省、自治区、直辖市人民政府专门规定禁止出售的；</w:t>
      </w:r>
    </w:p>
    <w:p w14:paraId="581A1DF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10）含有未经国务院卫生行政部门批准使用的添加剂的或者农药残留超过国家规定容许量的；</w:t>
      </w:r>
    </w:p>
    <w:p w14:paraId="2467073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11）擅自加入药物的食品及食品原料；</w:t>
      </w:r>
    </w:p>
    <w:p w14:paraId="3EFDD2C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12）未经卫生部批准的新资源食品；</w:t>
      </w:r>
    </w:p>
    <w:p w14:paraId="73D67B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13）未经检验或检验不合格出厂的食品及食品原辅材料；</w:t>
      </w:r>
    </w:p>
    <w:p w14:paraId="795710A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14）未按规定索证的食品及食品原辅材料；</w:t>
      </w:r>
    </w:p>
    <w:p w14:paraId="2B7DE13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15）无卫生许可证者生产的食品及食品原辅材料（初级农产品除外）；</w:t>
      </w:r>
    </w:p>
    <w:p w14:paraId="1E6238A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16）不符合国家卫生标准或者卫生管理办法的进口食品及食品原辅材料；</w:t>
      </w:r>
    </w:p>
    <w:p w14:paraId="75B366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17）其他不符合食品卫生标准和要求的食品及食品原辅材料。</w:t>
      </w:r>
    </w:p>
    <w:p w14:paraId="6EF48CC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18）乙方所供蔬菜农产品质量安全市场准入检测合格证提供CMA标识的品质、农残、重金属检测报告。</w:t>
      </w:r>
    </w:p>
    <w:p w14:paraId="45AA731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19）进口冷链食品。</w:t>
      </w:r>
    </w:p>
    <w:p w14:paraId="35E5AE9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20）如发生疫情，疫情期间，供货不得违反疫情防控相关政策规定。</w:t>
      </w:r>
    </w:p>
    <w:p w14:paraId="5B8447E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第三条：交货及索证</w:t>
      </w:r>
    </w:p>
    <w:p w14:paraId="1B9435F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1.交货时间：具体以甲方需求为主。</w:t>
      </w:r>
    </w:p>
    <w:p w14:paraId="1C86915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临时订货：甲方因临时需要，有权在批次订货时间以外临时向乙方订货，订货方式可以是书面方式也可以是口头方式。临时订货的交货时间为接到甲方通知后的2小时内。</w:t>
      </w:r>
    </w:p>
    <w:p w14:paraId="2383D18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2.根据食品安全相关法律，乙方须提供自己的《工商营业执照》复印件交甲方存底备案，以上证件须经过年审并在有效期内。</w:t>
      </w:r>
    </w:p>
    <w:p w14:paraId="18D8934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3.乙方须提供所供货物的生产商索证资料，包括但不限于生产商《营业执照》、货物《质量检测报告》等索证资料，且保证上述资料均在有效期内，货物《质量检测报告》至少一年一检。</w:t>
      </w:r>
    </w:p>
    <w:p w14:paraId="684F00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按甲方确定的时间将订单内所有肉、鱼、蛋、禽类等送到甲方指定的地点并配送完毕，乙方提供《送货清单》一式三份，甲乙双方现场验收并签名，作结算凭证。5.所有货品按实际标注重量为主，最终交易重量以双方确认为准。</w:t>
      </w:r>
    </w:p>
    <w:p w14:paraId="092C215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6.如乙方漏单必须按甲方规定的时间及时补单。</w:t>
      </w:r>
    </w:p>
    <w:p w14:paraId="0DEA8BE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7.乙方所送货物应保证斤、两的准确性；若出现缺斤短两现象，甲方有权取消与乙方的合作，甲方并按所缺公斤数的十倍扣除当天所送货物的总数量。</w:t>
      </w:r>
    </w:p>
    <w:p w14:paraId="25ECE9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第四条：供货价格及货款付款方式</w:t>
      </w:r>
    </w:p>
    <w:p w14:paraId="5023467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55D4674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7F5BE1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2.所有货物价格包括但不限于乙方所有税费、成本、利润、运输、装卸、各类劳保、保险等一切费用。价格经双方确认后，无论市场价格怎样变化，当次的配送价格将不予调整。</w:t>
      </w:r>
    </w:p>
    <w:p w14:paraId="72E62D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第五条：权利和义务</w:t>
      </w:r>
    </w:p>
    <w:p w14:paraId="479DA88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1.甲方：</w:t>
      </w:r>
    </w:p>
    <w:p w14:paraId="246CC83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1）甲方有权了解乙方的经营场所、规模、操作模式等信息；有权随时到乙方的生产场地实地考察、参观，检查乙方的生产、储存、运输等场所及设备是否符合卫生条件等。</w:t>
      </w:r>
    </w:p>
    <w:p w14:paraId="5E09453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2）甲方在向乙方下单时，须明确告之甲方所需货物的品名、规格、数量及要求等信息，以便乙方更好地准备货物；</w:t>
      </w:r>
    </w:p>
    <w:p w14:paraId="69BF3B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3）甲方有权就乙方违反本合同条款要求乙方支付违约金。</w:t>
      </w:r>
    </w:p>
    <w:p w14:paraId="1E2407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4）对于超出甲方订单范围的货物，甲方有权拒绝接受，由此产生的费用由乙方自行承担。</w:t>
      </w:r>
    </w:p>
    <w:p w14:paraId="0F6194F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2.乙方：</w:t>
      </w:r>
    </w:p>
    <w:p w14:paraId="78C006D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1）乙方须保证按本合同第二条所列的“采购、供货要求”向甲方供货。甲方在本合同执行过程中的任何验收、接收、确认行为，均不免除乙方对货物及服务的质量、卫生、食品安全应承担的责任。</w:t>
      </w:r>
    </w:p>
    <w:p w14:paraId="19349D8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2）乙方及乙方人员在向甲方送货途中所发生的任何交通意外、责任事故等均与甲方无关，乙方自行承担送货至甲方过程中所发生的所有责任事故。</w:t>
      </w:r>
    </w:p>
    <w:p w14:paraId="26CE0FE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3）乙方在送货至甲方时，须无条件遵守甲方的所有规章制度、管理规范等，无条件接受甲方的管理。</w:t>
      </w:r>
    </w:p>
    <w:p w14:paraId="799F1D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4）乙方须主动向甲方提供食品及原材料采购索证等资料；</w:t>
      </w:r>
    </w:p>
    <w:p w14:paraId="430B420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5）乙方有义务协助甲方处理未使用的食品及原材料，在不影响第二次销售的前提下，乙方须无条件接受甲方退货。但包装损坏、过期等不能再出售的食品及原材，且非乙方供货过失的，乙方有权拒绝退货。</w:t>
      </w:r>
    </w:p>
    <w:p w14:paraId="255D1DE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6）乙方不得向甲方任何采购、验收人员送礼、送物，不得造假采购单据、提供虚假购物凭证等。</w:t>
      </w:r>
    </w:p>
    <w:p w14:paraId="4D59A180">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7）乙方不得以甲方名义，对外赊欠货物或借贷，凡乙方金钱上一切行为，概与甲方无关。乙方应缴各项税款，应自行缴纳，如有逃税、漏税之事宜，应自行负责。</w:t>
      </w:r>
    </w:p>
    <w:p w14:paraId="076F741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8）甲方将不定期组织相关人员从各县市农贸相关市场对乙方所供货物价格、品质提供等内容进行抽查、考察和询价，如出现价格高于批发价或以次充好情况，甲方有权要求乙方承担以下违约责任</w:t>
      </w:r>
      <w:r>
        <w:rPr>
          <w:rFonts w:hint="eastAsia" w:hAnsi="宋体" w:cs="宋体"/>
          <w:color w:val="auto"/>
          <w:kern w:val="2"/>
          <w:sz w:val="24"/>
          <w:szCs w:val="24"/>
          <w:highlight w:val="none"/>
          <w:lang w:val="en-US" w:eastAsia="zh-CN" w:bidi="ar"/>
        </w:rPr>
        <w:t>：</w:t>
      </w:r>
    </w:p>
    <w:p w14:paraId="4DC5DFC7">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8）.1 经考察询价，当日货物中产品存在高于市场价格的，单日所供所有货物不予结算，并扣除履约保证金1万元。</w:t>
      </w:r>
    </w:p>
    <w:p w14:paraId="162EC5F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 乙方如出现3次8）.1 以上情形的，甲方有权解除合同并扣除全额履约保证金。</w:t>
      </w:r>
    </w:p>
    <w:p w14:paraId="26F1A3F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第六条；验收标准及退货依据</w:t>
      </w:r>
    </w:p>
    <w:p w14:paraId="288AC5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1.合格率：乙方提供的货物合格率应达100%。</w:t>
      </w:r>
    </w:p>
    <w:p w14:paraId="75B1781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2.甲方按照以下标准作为验收标准以及退货依据：</w:t>
      </w:r>
    </w:p>
    <w:p w14:paraId="66144AD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1）乙方必须遵守国家《食品安全法》等法律和行政法规的规定，供应的商品必须来源于政府许可的正规厂家，在符合国家食品卫生标准和质量标准上，也应当符合本合同或订单约定的质量标准。</w:t>
      </w:r>
    </w:p>
    <w:p w14:paraId="3AE3BC8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2）严禁配送假冒、变质、过期的商品(商品日期不超过保质期的1/4），否则退货。</w:t>
      </w:r>
    </w:p>
    <w:p w14:paraId="5C1E020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3）货品每次配送必须提交相关商品生产、代理、批发、进口、专项经营等许可或证明文件以及相关质量检验证明。有专利、注册商标标示的，还应提供国家颁发的有关证明。</w:t>
      </w:r>
    </w:p>
    <w:p w14:paraId="557DAA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4）若因乙方所提供的产品在保质期内，出现的爆袋、漏气、漏油、变质等非人为问题，乙方无条件包退、换货。</w:t>
      </w:r>
    </w:p>
    <w:p w14:paraId="34618D0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5）若乙方供应的商品出现过期、涨袋、变质、损坏、假冒、不合格等问题，甲方有权自行扣除该商品（对账结算时予以扣除），要求乙方在规定时间配送合格商品，并视情节支付500－1000元的违约金。</w:t>
      </w:r>
    </w:p>
    <w:p w14:paraId="626A31F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6）因不可抗力原因（如上级部门要求停止外出、停止购物）导滞商品滞销，在双方协商的基础上，乙方在一定期限内退、换货，否则，甲方有权终止供货协议。</w:t>
      </w:r>
    </w:p>
    <w:p w14:paraId="25D2FA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7）运送过程必须做好防污染工作，确保清洁卫生。</w:t>
      </w:r>
    </w:p>
    <w:p w14:paraId="292D77C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第七条：保密约定</w:t>
      </w:r>
    </w:p>
    <w:p w14:paraId="174E8B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1.乙方不得向第三方透露甲方向乙方采购的任何物品的类别、品质、价位等信息；</w:t>
      </w:r>
    </w:p>
    <w:p w14:paraId="6A22B4B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2.乙方向甲方所提供商品的类别、价位等供货信息，甲方不得向外透露；</w:t>
      </w:r>
    </w:p>
    <w:p w14:paraId="446C776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第八条：违约责任</w:t>
      </w:r>
    </w:p>
    <w:p w14:paraId="7514B6B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1）乙方未能在甲方指定的时间内送货到位，甲方有权拒收并由乙方赔偿甲方因此而带来的损失；</w:t>
      </w:r>
    </w:p>
    <w:p w14:paraId="6DD1771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未按甲方的下单要求送货或送错货，造成甲方开餐困难的，乙方每次应支付500元以上2000元以下的违约金（具体标准视违规情况而定，所有违约金于当月货款中扣除）。如果产生损失的，乙方应赔偿全部损失。</w:t>
      </w:r>
    </w:p>
    <w:p w14:paraId="73AB9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向甲方提供本合同第二条所指的货物，造成甲方经济、声誉损失及责任事故的，甲方有权终止合同，拒绝支付乙方的全部货款，并要求乙方支付货款总额20%的违约金；如果给甲方及第三方造成损失的，乙方需赔偿全部损失。</w:t>
      </w:r>
    </w:p>
    <w:p w14:paraId="78E5D0A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4）有证据证明乙方向甲方采购或验收及相关人员行贿行为的，甲方有权拒付乙方所有货款，并可追究乙方的法律责任。</w:t>
      </w:r>
    </w:p>
    <w:p w14:paraId="32B6728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5）乙方供给甲方的货物出现短斤少两、以次充好，或造假采购单据、供货凭证情形的，一经发现，甲方可立即终止本合同，并有权要求乙方支付货款总额的20%的违约金。</w:t>
      </w:r>
    </w:p>
    <w:p w14:paraId="7AC9CAC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未按本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126D3C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7）乙方透露甲方的采购、经营等信息，给甲方造成经济损失的，甲方有权拒绝支付乙方全部货款，作为乙方对甲方的赔偿。</w:t>
      </w:r>
    </w:p>
    <w:p w14:paraId="2C0BE1D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8）本合同有效期内，非经甲方同意，乙方不得以任何理由擅自停止供货。乙方如擅自停止供货，甲方将视情节轻重予以解约处理，乙方不得异议。</w:t>
      </w:r>
    </w:p>
    <w:p w14:paraId="6A3804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9）本合同有效期内，乙方如遇特殊情况欲解约停止供货，必须提前一个月书面提出，并经甲方同意。</w:t>
      </w:r>
    </w:p>
    <w:p w14:paraId="304E64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如违反本合同约定，乙方需向甲方支付货款总金额20%的违约金；如给甲方造成损失的，乙方应当承担全部损失的赔偿责任，损失包括直接损失以及间接损失，即包括但不限于医疗费、误工费、残疾赔偿金、交通费、住宿费、诉讼费、邮寄送达费、律师费等。</w:t>
      </w:r>
    </w:p>
    <w:p w14:paraId="0D52E40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乙方供应甲方食品原材料价格严格按照所报下浮率执行，甲方定期采取市场询价方式对供应食品原材料单价进行检查，乙方下浮前供应价超出甲方询价价格10%，视为未按合同约定价格执行，退赔超出货款，扣除质保金5000元，累计超出3次，甲方有权扣除全部质保金并终止合同。</w:t>
      </w:r>
    </w:p>
    <w:p w14:paraId="2D7BB0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第九条：责任免除</w:t>
      </w:r>
    </w:p>
    <w:p w14:paraId="0C543D5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乙方因受自然灾害等不可抗力的因素而造成乙方违约，可以免除乙方责任，但乙方有义务协助甲方解决供货及开餐问题。</w:t>
      </w:r>
    </w:p>
    <w:p w14:paraId="378C09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第十条：合同生效及终止</w:t>
      </w:r>
    </w:p>
    <w:p w14:paraId="3F698C4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 本合同经双方代表签字后，于签订的日期起开始生效，如双方签字日期不一致时，以最后签字方的签字日期为合同的生效日期。</w:t>
      </w:r>
    </w:p>
    <w:p w14:paraId="7559557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 本合同未自行终止或协议终止的，合同一直有效；发生终止的，以最后的供货日期为终止日期。本合同终止后，保密条款、争议解决和双方未了的债权债务不受合同期满的影响，甲方有权提出索赔。</w:t>
      </w:r>
    </w:p>
    <w:p w14:paraId="6F1B551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第十一条：争议解决</w:t>
      </w:r>
    </w:p>
    <w:p w14:paraId="0287146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本合同经甲乙双方协商签订，发生争议时，亦应通过友好协商解决。如协商不能解决时，可将争议提交甲方所在地有管辖权的法院诉讼解决。</w:t>
      </w:r>
    </w:p>
    <w:p w14:paraId="0404E5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第十二条：通知</w:t>
      </w:r>
    </w:p>
    <w:p w14:paraId="1F3AC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5182E64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1BC1DCA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3、上述发出通知、回复的费用由发出一方承担。</w:t>
      </w:r>
    </w:p>
    <w:p w14:paraId="0E09FF5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第十三条：合同的确认</w:t>
      </w:r>
    </w:p>
    <w:p w14:paraId="6A2F7D7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14:paraId="760F97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2.本合同一式四份，甲乙双方各执两份，具同等法律效力，双方代表签字后生效。</w:t>
      </w:r>
    </w:p>
    <w:p w14:paraId="424115CE">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1"/>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1"/>
        <w:gridCol w:w="4678"/>
      </w:tblGrid>
      <w:tr w14:paraId="57C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top"/>
          </w:tcPr>
          <w:p w14:paraId="3CE5C0C1">
            <w:pPr>
              <w:keepNext w:val="0"/>
              <w:keepLines w:val="0"/>
              <w:widowControl w:val="0"/>
              <w:suppressLineNumbers w:val="0"/>
              <w:adjustRightInd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甲方（盖章）：</w:t>
            </w:r>
            <w:r>
              <w:rPr>
                <w:rFonts w:hint="eastAsia" w:ascii="宋体" w:hAnsi="宋体" w:eastAsia="宋体" w:cs="宋体"/>
                <w:color w:val="auto"/>
                <w:kern w:val="2"/>
                <w:sz w:val="24"/>
                <w:szCs w:val="24"/>
                <w:highlight w:val="none"/>
                <w:lang w:val="en-US" w:eastAsia="zh-CN" w:bidi="ar"/>
              </w:rPr>
              <w:t xml:space="preserve"> </w:t>
            </w:r>
          </w:p>
        </w:tc>
        <w:tc>
          <w:tcPr>
            <w:tcW w:w="4678" w:type="dxa"/>
            <w:tcBorders>
              <w:top w:val="nil"/>
              <w:left w:val="nil"/>
              <w:bottom w:val="nil"/>
              <w:right w:val="nil"/>
            </w:tcBorders>
            <w:noWrap w:val="0"/>
            <w:vAlign w:val="top"/>
          </w:tcPr>
          <w:p w14:paraId="62CF12DB">
            <w:pPr>
              <w:keepNext w:val="0"/>
              <w:keepLines w:val="0"/>
              <w:widowControl w:val="0"/>
              <w:suppressLineNumbers w:val="0"/>
              <w:spacing w:before="0" w:beforeAutospacing="0" w:after="0" w:afterAutospacing="0"/>
              <w:ind w:left="1365" w:right="0" w:hanging="1560" w:hangingChars="65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乙方（盖章）：</w:t>
            </w:r>
          </w:p>
        </w:tc>
      </w:tr>
      <w:tr w14:paraId="7CC9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680B6A6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p>
        </w:tc>
        <w:tc>
          <w:tcPr>
            <w:tcW w:w="4678" w:type="dxa"/>
            <w:tcBorders>
              <w:top w:val="nil"/>
              <w:left w:val="nil"/>
              <w:bottom w:val="nil"/>
              <w:right w:val="nil"/>
            </w:tcBorders>
            <w:noWrap w:val="0"/>
            <w:vAlign w:val="center"/>
          </w:tcPr>
          <w:p w14:paraId="04068E5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法定代表人：</w:t>
            </w:r>
          </w:p>
        </w:tc>
      </w:tr>
      <w:tr w14:paraId="100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739F42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甲方代表（签字）：</w:t>
            </w:r>
          </w:p>
        </w:tc>
        <w:tc>
          <w:tcPr>
            <w:tcW w:w="4678" w:type="dxa"/>
            <w:tcBorders>
              <w:top w:val="nil"/>
              <w:left w:val="nil"/>
              <w:bottom w:val="nil"/>
              <w:right w:val="nil"/>
            </w:tcBorders>
            <w:noWrap w:val="0"/>
            <w:vAlign w:val="center"/>
          </w:tcPr>
          <w:p w14:paraId="07843DF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乙方代表（签字）：</w:t>
            </w:r>
          </w:p>
        </w:tc>
      </w:tr>
      <w:tr w14:paraId="0D2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925164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c>
          <w:tcPr>
            <w:tcW w:w="4678" w:type="dxa"/>
            <w:tcBorders>
              <w:top w:val="nil"/>
              <w:left w:val="nil"/>
              <w:bottom w:val="nil"/>
              <w:right w:val="nil"/>
            </w:tcBorders>
            <w:noWrap w:val="0"/>
            <w:vAlign w:val="center"/>
          </w:tcPr>
          <w:p w14:paraId="050B1E5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r>
      <w:tr w14:paraId="2D32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103140F8">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电话：</w:t>
            </w:r>
          </w:p>
        </w:tc>
        <w:tc>
          <w:tcPr>
            <w:tcW w:w="4678" w:type="dxa"/>
            <w:tcBorders>
              <w:top w:val="nil"/>
              <w:left w:val="nil"/>
              <w:bottom w:val="nil"/>
              <w:right w:val="nil"/>
            </w:tcBorders>
            <w:noWrap w:val="0"/>
            <w:vAlign w:val="center"/>
          </w:tcPr>
          <w:p w14:paraId="5B0B259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r>
              <w:rPr>
                <w:rFonts w:hint="default" w:ascii="Calibri" w:hAnsi="Calibri" w:eastAsia="宋体" w:cs="Times New Roman"/>
                <w:color w:val="auto"/>
                <w:kern w:val="2"/>
                <w:sz w:val="24"/>
                <w:szCs w:val="24"/>
                <w:highlight w:val="none"/>
                <w:lang w:val="en-US" w:eastAsia="zh-CN" w:bidi="ar"/>
              </w:rPr>
              <w:t xml:space="preserve"> </w:t>
            </w:r>
          </w:p>
        </w:tc>
      </w:tr>
      <w:tr w14:paraId="2712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672F67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c>
          <w:tcPr>
            <w:tcW w:w="4678" w:type="dxa"/>
            <w:tcBorders>
              <w:top w:val="nil"/>
              <w:left w:val="nil"/>
              <w:bottom w:val="nil"/>
              <w:right w:val="nil"/>
            </w:tcBorders>
            <w:noWrap w:val="0"/>
            <w:vAlign w:val="center"/>
          </w:tcPr>
          <w:p w14:paraId="3796903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r>
      <w:tr w14:paraId="681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44E9DDE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p>
        </w:tc>
        <w:tc>
          <w:tcPr>
            <w:tcW w:w="4678" w:type="dxa"/>
            <w:tcBorders>
              <w:top w:val="nil"/>
              <w:left w:val="nil"/>
              <w:bottom w:val="nil"/>
              <w:right w:val="nil"/>
            </w:tcBorders>
            <w:noWrap w:val="0"/>
            <w:vAlign w:val="center"/>
          </w:tcPr>
          <w:p w14:paraId="6786637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r>
              <w:rPr>
                <w:rFonts w:hint="default" w:ascii="Calibri" w:hAnsi="Calibri" w:eastAsia="宋体" w:cs="Times New Roman"/>
                <w:color w:val="auto"/>
                <w:kern w:val="2"/>
                <w:sz w:val="24"/>
                <w:szCs w:val="24"/>
                <w:highlight w:val="none"/>
                <w:shd w:val="clear" w:color="auto" w:fill="FFFFFF"/>
                <w:lang w:val="en-US" w:eastAsia="zh-CN" w:bidi="ar"/>
              </w:rPr>
              <w:t xml:space="preserve"> </w:t>
            </w:r>
          </w:p>
        </w:tc>
      </w:tr>
      <w:tr w14:paraId="1538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4452AD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c>
          <w:tcPr>
            <w:tcW w:w="4678" w:type="dxa"/>
            <w:tcBorders>
              <w:top w:val="nil"/>
              <w:left w:val="nil"/>
              <w:bottom w:val="nil"/>
              <w:right w:val="nil"/>
            </w:tcBorders>
            <w:noWrap w:val="0"/>
            <w:vAlign w:val="center"/>
          </w:tcPr>
          <w:p w14:paraId="1DC8D50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r>
    </w:tbl>
    <w:p w14:paraId="675BF429">
      <w:pPr>
        <w:pStyle w:val="2"/>
        <w:tabs>
          <w:tab w:val="center" w:pos="6350"/>
        </w:tabs>
        <w:spacing w:before="0" w:after="0" w:line="240" w:lineRule="auto"/>
        <w:jc w:val="center"/>
        <w:rPr>
          <w:rFonts w:hint="eastAsia" w:ascii="宋体"/>
          <w:color w:val="auto"/>
          <w:sz w:val="32"/>
          <w:szCs w:val="32"/>
          <w:highlight w:val="none"/>
        </w:rPr>
      </w:pPr>
      <w:r>
        <w:rPr>
          <w:rFonts w:hint="eastAsia" w:ascii="宋体"/>
          <w:color w:val="auto"/>
          <w:sz w:val="32"/>
          <w:szCs w:val="32"/>
          <w:highlight w:val="none"/>
        </w:rPr>
        <w:br w:type="page"/>
      </w:r>
      <w:r>
        <w:rPr>
          <w:rFonts w:hint="eastAsia" w:ascii="宋体"/>
          <w:color w:val="auto"/>
          <w:sz w:val="32"/>
          <w:szCs w:val="32"/>
          <w:highlight w:val="none"/>
        </w:rPr>
        <w:t>第七章  投标文件格式</w:t>
      </w:r>
    </w:p>
    <w:p w14:paraId="2A44B944">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资格证明文件</w:t>
      </w:r>
      <w:r>
        <w:rPr>
          <w:rFonts w:hint="eastAsia" w:ascii="黑体" w:hAnsi="黑体" w:eastAsia="黑体" w:cs="黑体"/>
          <w:bCs/>
          <w:color w:val="auto"/>
          <w:sz w:val="36"/>
          <w:szCs w:val="36"/>
          <w:highlight w:val="none"/>
        </w:rPr>
        <w:t>审查索引表</w:t>
      </w:r>
    </w:p>
    <w:tbl>
      <w:tblPr>
        <w:tblStyle w:val="21"/>
        <w:tblW w:w="9527" w:type="dxa"/>
        <w:jc w:val="center"/>
        <w:tblLayout w:type="autofit"/>
        <w:tblCellMar>
          <w:top w:w="0" w:type="dxa"/>
          <w:left w:w="108" w:type="dxa"/>
          <w:bottom w:w="0" w:type="dxa"/>
          <w:right w:w="108" w:type="dxa"/>
        </w:tblCellMar>
      </w:tblPr>
      <w:tblGrid>
        <w:gridCol w:w="516"/>
        <w:gridCol w:w="7603"/>
        <w:gridCol w:w="1408"/>
      </w:tblGrid>
      <w:tr w14:paraId="4C3A60EE">
        <w:tblPrEx>
          <w:tblCellMar>
            <w:top w:w="0" w:type="dxa"/>
            <w:left w:w="108" w:type="dxa"/>
            <w:bottom w:w="0" w:type="dxa"/>
            <w:right w:w="108" w:type="dxa"/>
          </w:tblCellMar>
        </w:tblPrEx>
        <w:trPr>
          <w:trHeight w:val="312" w:hRule="atLeast"/>
          <w:tblHeader/>
          <w:jc w:val="center"/>
        </w:trPr>
        <w:tc>
          <w:tcPr>
            <w:tcW w:w="0" w:type="auto"/>
            <w:vMerge w:val="restart"/>
            <w:tcBorders>
              <w:top w:val="single" w:color="auto" w:sz="4" w:space="0"/>
              <w:left w:val="single" w:color="auto" w:sz="4" w:space="0"/>
              <w:right w:val="single" w:color="auto" w:sz="4" w:space="0"/>
            </w:tcBorders>
            <w:vAlign w:val="center"/>
          </w:tcPr>
          <w:p w14:paraId="2CF4964E">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603" w:type="dxa"/>
            <w:vMerge w:val="restart"/>
            <w:tcBorders>
              <w:top w:val="single" w:color="auto" w:sz="4" w:space="0"/>
              <w:left w:val="nil"/>
              <w:right w:val="single" w:color="auto" w:sz="4" w:space="0"/>
            </w:tcBorders>
            <w:vAlign w:val="center"/>
          </w:tcPr>
          <w:p w14:paraId="52B0F03B">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eastAsia="宋体"/>
                <w:b/>
                <w:bCs/>
                <w:color w:val="auto"/>
                <w:sz w:val="24"/>
                <w:highlight w:val="none"/>
                <w:lang w:val="en-US" w:eastAsia="zh-CN"/>
              </w:rPr>
              <w:t>资格性</w:t>
            </w:r>
            <w:r>
              <w:rPr>
                <w:rFonts w:hint="eastAsia" w:ascii="宋体" w:eastAsia="宋体"/>
                <w:b/>
                <w:bCs/>
                <w:color w:val="auto"/>
                <w:sz w:val="24"/>
                <w:highlight w:val="none"/>
              </w:rPr>
              <w:t>审查</w:t>
            </w:r>
            <w:r>
              <w:rPr>
                <w:rFonts w:hint="eastAsia" w:ascii="宋体" w:hAnsi="宋体" w:eastAsia="宋体" w:cs="宋体"/>
                <w:b/>
                <w:bCs/>
                <w:color w:val="auto"/>
                <w:sz w:val="24"/>
                <w:highlight w:val="none"/>
              </w:rPr>
              <w:t>项目</w:t>
            </w:r>
          </w:p>
        </w:tc>
        <w:tc>
          <w:tcPr>
            <w:tcW w:w="1408" w:type="dxa"/>
            <w:vMerge w:val="restart"/>
            <w:tcBorders>
              <w:top w:val="single" w:color="auto" w:sz="4" w:space="0"/>
              <w:left w:val="nil"/>
              <w:right w:val="single" w:color="auto" w:sz="4" w:space="0"/>
            </w:tcBorders>
            <w:vAlign w:val="center"/>
          </w:tcPr>
          <w:p w14:paraId="62D7358F">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页码</w:t>
            </w:r>
          </w:p>
        </w:tc>
      </w:tr>
      <w:tr w14:paraId="397AF837">
        <w:tblPrEx>
          <w:tblCellMar>
            <w:top w:w="0" w:type="dxa"/>
            <w:left w:w="108" w:type="dxa"/>
            <w:bottom w:w="0" w:type="dxa"/>
            <w:right w:w="108" w:type="dxa"/>
          </w:tblCellMar>
        </w:tblPrEx>
        <w:trPr>
          <w:trHeight w:val="312" w:hRule="atLeast"/>
          <w:tblHeader/>
          <w:jc w:val="center"/>
        </w:trPr>
        <w:tc>
          <w:tcPr>
            <w:tcW w:w="0" w:type="auto"/>
            <w:vMerge w:val="continue"/>
            <w:tcBorders>
              <w:left w:val="single" w:color="auto" w:sz="4" w:space="0"/>
              <w:bottom w:val="single" w:color="auto" w:sz="4" w:space="0"/>
              <w:right w:val="single" w:color="auto" w:sz="4" w:space="0"/>
            </w:tcBorders>
            <w:vAlign w:val="center"/>
          </w:tcPr>
          <w:p w14:paraId="2FB1E87A">
            <w:pPr>
              <w:snapToGrid w:val="0"/>
              <w:ind w:left="0" w:leftChars="0" w:right="0" w:rightChars="0" w:firstLine="0" w:firstLineChars="0"/>
              <w:jc w:val="center"/>
              <w:rPr>
                <w:rFonts w:ascii="宋体" w:hAnsi="宋体" w:eastAsia="宋体" w:cs="宋体"/>
                <w:b/>
                <w:bCs/>
                <w:color w:val="auto"/>
                <w:sz w:val="24"/>
                <w:highlight w:val="none"/>
              </w:rPr>
            </w:pPr>
          </w:p>
        </w:tc>
        <w:tc>
          <w:tcPr>
            <w:tcW w:w="7603" w:type="dxa"/>
            <w:vMerge w:val="continue"/>
            <w:tcBorders>
              <w:left w:val="nil"/>
              <w:bottom w:val="single" w:color="auto" w:sz="4" w:space="0"/>
              <w:right w:val="single" w:color="auto" w:sz="4" w:space="0"/>
            </w:tcBorders>
            <w:vAlign w:val="center"/>
          </w:tcPr>
          <w:p w14:paraId="40FEB14C">
            <w:pPr>
              <w:snapToGrid w:val="0"/>
              <w:ind w:left="0" w:leftChars="0" w:right="0" w:rightChars="0" w:firstLine="0" w:firstLineChars="0"/>
              <w:jc w:val="center"/>
              <w:rPr>
                <w:rFonts w:ascii="宋体" w:hAnsi="宋体" w:eastAsia="宋体" w:cs="宋体"/>
                <w:b/>
                <w:bCs/>
                <w:color w:val="auto"/>
                <w:sz w:val="24"/>
                <w:highlight w:val="none"/>
              </w:rPr>
            </w:pPr>
          </w:p>
        </w:tc>
        <w:tc>
          <w:tcPr>
            <w:tcW w:w="1408" w:type="dxa"/>
            <w:vMerge w:val="continue"/>
            <w:tcBorders>
              <w:left w:val="nil"/>
              <w:bottom w:val="single" w:color="auto" w:sz="4" w:space="0"/>
              <w:right w:val="single" w:color="auto" w:sz="4" w:space="0"/>
            </w:tcBorders>
            <w:vAlign w:val="center"/>
          </w:tcPr>
          <w:p w14:paraId="79627A23">
            <w:pPr>
              <w:snapToGrid w:val="0"/>
              <w:ind w:left="0" w:leftChars="0" w:right="0" w:rightChars="0" w:firstLine="0" w:firstLineChars="0"/>
              <w:jc w:val="center"/>
              <w:rPr>
                <w:rFonts w:ascii="宋体" w:hAnsi="宋体" w:eastAsia="宋体" w:cs="宋体"/>
                <w:b/>
                <w:bCs/>
                <w:color w:val="auto"/>
                <w:sz w:val="24"/>
                <w:highlight w:val="none"/>
              </w:rPr>
            </w:pPr>
          </w:p>
        </w:tc>
      </w:tr>
      <w:tr w14:paraId="2F00A9B2">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3D359F9A">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1</w:t>
            </w:r>
          </w:p>
        </w:tc>
        <w:tc>
          <w:tcPr>
            <w:tcW w:w="7603" w:type="dxa"/>
            <w:tcBorders>
              <w:top w:val="nil"/>
              <w:left w:val="nil"/>
              <w:bottom w:val="single" w:color="auto" w:sz="4" w:space="0"/>
              <w:right w:val="single" w:color="auto" w:sz="4" w:space="0"/>
            </w:tcBorders>
            <w:vAlign w:val="center"/>
          </w:tcPr>
          <w:p w14:paraId="5A5907B0">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特定资质</w:t>
            </w:r>
          </w:p>
          <w:p w14:paraId="10D6356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提供有效期内的《食品经营许可证》</w:t>
            </w:r>
          </w:p>
        </w:tc>
        <w:tc>
          <w:tcPr>
            <w:tcW w:w="1408" w:type="dxa"/>
            <w:tcBorders>
              <w:top w:val="nil"/>
              <w:left w:val="nil"/>
              <w:bottom w:val="single" w:color="auto" w:sz="4" w:space="0"/>
              <w:right w:val="single" w:color="auto" w:sz="4" w:space="0"/>
            </w:tcBorders>
            <w:vAlign w:val="center"/>
          </w:tcPr>
          <w:p w14:paraId="33CD5218">
            <w:pPr>
              <w:snapToGrid w:val="0"/>
              <w:ind w:left="0" w:leftChars="0" w:right="0" w:rightChars="0" w:firstLine="0" w:firstLineChars="0"/>
              <w:jc w:val="left"/>
              <w:rPr>
                <w:rFonts w:ascii="宋体" w:eastAsia="宋体"/>
                <w:bCs/>
                <w:color w:val="auto"/>
                <w:sz w:val="24"/>
                <w:highlight w:val="none"/>
              </w:rPr>
            </w:pPr>
          </w:p>
        </w:tc>
      </w:tr>
      <w:tr w14:paraId="0098B114">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02633CDB">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2</w:t>
            </w:r>
          </w:p>
        </w:tc>
        <w:tc>
          <w:tcPr>
            <w:tcW w:w="7603" w:type="dxa"/>
            <w:tcBorders>
              <w:top w:val="nil"/>
              <w:left w:val="nil"/>
              <w:bottom w:val="single" w:color="auto" w:sz="4" w:space="0"/>
              <w:right w:val="single" w:color="auto" w:sz="4" w:space="0"/>
            </w:tcBorders>
            <w:vAlign w:val="center"/>
          </w:tcPr>
          <w:p w14:paraId="1D80B3D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营业执照等证明</w:t>
            </w:r>
          </w:p>
          <w:p w14:paraId="6FD32543">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提供有效注册的“营业执照”</w:t>
            </w:r>
          </w:p>
        </w:tc>
        <w:tc>
          <w:tcPr>
            <w:tcW w:w="1408" w:type="dxa"/>
            <w:tcBorders>
              <w:top w:val="nil"/>
              <w:left w:val="nil"/>
              <w:bottom w:val="single" w:color="auto" w:sz="4" w:space="0"/>
              <w:right w:val="single" w:color="auto" w:sz="4" w:space="0"/>
            </w:tcBorders>
            <w:vAlign w:val="center"/>
          </w:tcPr>
          <w:p w14:paraId="4F1F442B">
            <w:pPr>
              <w:snapToGrid w:val="0"/>
              <w:ind w:left="0" w:leftChars="0" w:right="0" w:rightChars="0" w:firstLine="0" w:firstLineChars="0"/>
              <w:jc w:val="left"/>
              <w:rPr>
                <w:rFonts w:ascii="宋体" w:eastAsia="宋体"/>
                <w:bCs/>
                <w:color w:val="auto"/>
                <w:sz w:val="24"/>
                <w:highlight w:val="none"/>
              </w:rPr>
            </w:pPr>
          </w:p>
        </w:tc>
      </w:tr>
      <w:tr w14:paraId="16C2E933">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16C17F65">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3</w:t>
            </w:r>
          </w:p>
        </w:tc>
        <w:tc>
          <w:tcPr>
            <w:tcW w:w="7603" w:type="dxa"/>
            <w:tcBorders>
              <w:top w:val="nil"/>
              <w:left w:val="nil"/>
              <w:bottom w:val="single" w:color="auto" w:sz="4" w:space="0"/>
              <w:right w:val="single" w:color="auto" w:sz="4" w:space="0"/>
            </w:tcBorders>
            <w:vAlign w:val="center"/>
          </w:tcPr>
          <w:p w14:paraId="6761006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法定代表人证明</w:t>
            </w:r>
            <w:r>
              <w:rPr>
                <w:rFonts w:ascii="宋体" w:eastAsia="宋体"/>
                <w:color w:val="auto"/>
                <w:spacing w:val="-3"/>
                <w:sz w:val="24"/>
                <w:szCs w:val="24"/>
                <w:highlight w:val="none"/>
              </w:rPr>
              <w:t>书及法定代表人授权书</w:t>
            </w:r>
          </w:p>
          <w:p w14:paraId="3860723F">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法定代表人证明书及法定代表人授权书：</w:t>
            </w:r>
          </w:p>
          <w:p w14:paraId="4F2CA92E">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（1）按招标文件规定的格式填写、签字或盖章；</w:t>
            </w:r>
          </w:p>
          <w:p w14:paraId="737F945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（2）附完整的法定代表人身份证复印件、被授权人身份证复印</w:t>
            </w:r>
            <w:r>
              <w:rPr>
                <w:rFonts w:ascii="宋体" w:eastAsia="宋体"/>
                <w:color w:val="auto"/>
                <w:spacing w:val="-5"/>
                <w:sz w:val="24"/>
                <w:szCs w:val="24"/>
                <w:highlight w:val="none"/>
              </w:rPr>
              <w:t>件，均加盖公章；</w:t>
            </w:r>
          </w:p>
        </w:tc>
        <w:tc>
          <w:tcPr>
            <w:tcW w:w="1408" w:type="dxa"/>
            <w:tcBorders>
              <w:top w:val="nil"/>
              <w:left w:val="nil"/>
              <w:bottom w:val="single" w:color="auto" w:sz="4" w:space="0"/>
              <w:right w:val="single" w:color="auto" w:sz="4" w:space="0"/>
            </w:tcBorders>
            <w:vAlign w:val="center"/>
          </w:tcPr>
          <w:p w14:paraId="3363B7AD">
            <w:pPr>
              <w:snapToGrid w:val="0"/>
              <w:ind w:left="0" w:leftChars="0" w:right="0" w:rightChars="0" w:firstLine="0" w:firstLineChars="0"/>
              <w:jc w:val="left"/>
              <w:rPr>
                <w:rFonts w:ascii="宋体" w:eastAsia="宋体"/>
                <w:bCs/>
                <w:color w:val="auto"/>
                <w:sz w:val="24"/>
                <w:highlight w:val="none"/>
              </w:rPr>
            </w:pPr>
          </w:p>
        </w:tc>
      </w:tr>
      <w:tr w14:paraId="675B88A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2834DF5F">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4</w:t>
            </w:r>
          </w:p>
        </w:tc>
        <w:tc>
          <w:tcPr>
            <w:tcW w:w="7603" w:type="dxa"/>
            <w:tcBorders>
              <w:top w:val="nil"/>
              <w:left w:val="nil"/>
              <w:bottom w:val="single" w:color="auto" w:sz="4" w:space="0"/>
              <w:right w:val="single" w:color="auto" w:sz="4" w:space="0"/>
            </w:tcBorders>
            <w:vAlign w:val="center"/>
          </w:tcPr>
          <w:p w14:paraId="59E97533">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具有良好的商业</w:t>
            </w:r>
            <w:r>
              <w:rPr>
                <w:rFonts w:ascii="宋体" w:eastAsia="宋体"/>
                <w:color w:val="auto"/>
                <w:spacing w:val="-2"/>
                <w:sz w:val="24"/>
                <w:szCs w:val="24"/>
                <w:highlight w:val="none"/>
              </w:rPr>
              <w:t>信誉和健全的财</w:t>
            </w:r>
            <w:r>
              <w:rPr>
                <w:rFonts w:ascii="宋体" w:eastAsia="宋体"/>
                <w:color w:val="auto"/>
                <w:spacing w:val="-3"/>
                <w:sz w:val="24"/>
                <w:szCs w:val="24"/>
                <w:highlight w:val="none"/>
              </w:rPr>
              <w:t>务会计制度</w:t>
            </w:r>
          </w:p>
          <w:p w14:paraId="399DC4F6">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提供会计师事务所出具的</w:t>
            </w:r>
            <w:r>
              <w:rPr>
                <w:rFonts w:ascii="宋体" w:eastAsia="宋体"/>
                <w:color w:val="auto"/>
                <w:spacing w:val="-47"/>
                <w:sz w:val="24"/>
                <w:szCs w:val="24"/>
                <w:highlight w:val="none"/>
              </w:rPr>
              <w:t xml:space="preserve"> </w:t>
            </w:r>
            <w:r>
              <w:rPr>
                <w:rFonts w:ascii="宋体" w:eastAsia="宋体"/>
                <w:color w:val="auto"/>
                <w:spacing w:val="-4"/>
                <w:sz w:val="24"/>
                <w:szCs w:val="24"/>
                <w:highlight w:val="none"/>
              </w:rPr>
              <w:t>202</w:t>
            </w:r>
            <w:r>
              <w:rPr>
                <w:rFonts w:hint="eastAsia" w:ascii="宋体" w:eastAsia="宋体"/>
                <w:color w:val="auto"/>
                <w:spacing w:val="-4"/>
                <w:sz w:val="24"/>
                <w:szCs w:val="24"/>
                <w:highlight w:val="none"/>
                <w:lang w:val="en-US" w:eastAsia="zh-CN"/>
              </w:rPr>
              <w:t>5</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年度经会计师事务</w:t>
            </w:r>
            <w:r>
              <w:rPr>
                <w:rFonts w:ascii="宋体" w:eastAsia="宋体"/>
                <w:color w:val="auto"/>
                <w:spacing w:val="-3"/>
                <w:sz w:val="24"/>
                <w:szCs w:val="24"/>
                <w:highlight w:val="none"/>
              </w:rPr>
              <w:t>所出具的财务审计报告复印件或银行在开标日前六个月内开具</w:t>
            </w:r>
            <w:r>
              <w:rPr>
                <w:rFonts w:ascii="宋体" w:eastAsia="宋体"/>
                <w:color w:val="auto"/>
                <w:spacing w:val="-5"/>
                <w:sz w:val="24"/>
                <w:szCs w:val="24"/>
                <w:highlight w:val="none"/>
              </w:rPr>
              <w:t>的资信证明或健全的财务会计制度（加盖公章</w:t>
            </w:r>
            <w:r>
              <w:rPr>
                <w:rFonts w:ascii="宋体" w:eastAsia="宋体"/>
                <w:color w:val="auto"/>
                <w:spacing w:val="-63"/>
                <w:sz w:val="24"/>
                <w:szCs w:val="24"/>
                <w:highlight w:val="none"/>
              </w:rPr>
              <w:t>）；</w:t>
            </w:r>
          </w:p>
        </w:tc>
        <w:tc>
          <w:tcPr>
            <w:tcW w:w="1408" w:type="dxa"/>
            <w:tcBorders>
              <w:top w:val="nil"/>
              <w:left w:val="nil"/>
              <w:bottom w:val="single" w:color="auto" w:sz="4" w:space="0"/>
              <w:right w:val="single" w:color="auto" w:sz="4" w:space="0"/>
            </w:tcBorders>
            <w:vAlign w:val="center"/>
          </w:tcPr>
          <w:p w14:paraId="52B14324">
            <w:pPr>
              <w:snapToGrid w:val="0"/>
              <w:ind w:left="0" w:leftChars="0" w:right="0" w:rightChars="0" w:firstLine="0" w:firstLineChars="0"/>
              <w:jc w:val="left"/>
              <w:rPr>
                <w:rFonts w:ascii="宋体" w:eastAsia="宋体"/>
                <w:bCs/>
                <w:color w:val="auto"/>
                <w:sz w:val="24"/>
                <w:highlight w:val="none"/>
              </w:rPr>
            </w:pPr>
          </w:p>
        </w:tc>
      </w:tr>
      <w:tr w14:paraId="6C497A59">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481794">
            <w:pPr>
              <w:snapToGrid w:val="0"/>
              <w:ind w:left="0" w:leftChars="0" w:right="0" w:rightChars="0" w:firstLine="0" w:firstLineChars="0"/>
              <w:jc w:val="center"/>
              <w:rPr>
                <w:rFonts w:hint="eastAsia" w:ascii="宋体" w:hAnsi="宋体" w:eastAsia="宋体"/>
                <w:bCs/>
                <w:color w:val="auto"/>
                <w:sz w:val="24"/>
                <w:highlight w:val="none"/>
                <w:lang w:eastAsia="zh-CN"/>
              </w:rPr>
            </w:pPr>
            <w:r>
              <w:rPr>
                <w:rFonts w:hint="eastAsia" w:ascii="宋体" w:hAnsi="宋体" w:eastAsia="宋体"/>
                <w:bCs/>
                <w:color w:val="auto"/>
                <w:sz w:val="24"/>
                <w:highlight w:val="none"/>
                <w:lang w:val="en-US" w:eastAsia="zh-CN"/>
              </w:rPr>
              <w:t>5</w:t>
            </w:r>
          </w:p>
        </w:tc>
        <w:tc>
          <w:tcPr>
            <w:tcW w:w="7603" w:type="dxa"/>
            <w:tcBorders>
              <w:top w:val="single" w:color="auto" w:sz="4" w:space="0"/>
              <w:left w:val="nil"/>
              <w:bottom w:val="single" w:color="auto" w:sz="4" w:space="0"/>
              <w:right w:val="single" w:color="auto" w:sz="4" w:space="0"/>
            </w:tcBorders>
            <w:vAlign w:val="center"/>
          </w:tcPr>
          <w:p w14:paraId="352D5145">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具有履行合同所</w:t>
            </w:r>
            <w:r>
              <w:rPr>
                <w:rFonts w:ascii="宋体" w:eastAsia="宋体"/>
                <w:color w:val="auto"/>
                <w:spacing w:val="-2"/>
                <w:sz w:val="24"/>
                <w:szCs w:val="24"/>
                <w:highlight w:val="none"/>
              </w:rPr>
              <w:t>必需的设备和专业技术能力</w:t>
            </w:r>
          </w:p>
          <w:p w14:paraId="0D374504">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提供可充分满足履行合同所需设备和专业技术</w:t>
            </w:r>
            <w:r>
              <w:rPr>
                <w:rFonts w:ascii="宋体" w:eastAsia="宋体"/>
                <w:color w:val="auto"/>
                <w:spacing w:val="-5"/>
                <w:sz w:val="24"/>
                <w:szCs w:val="24"/>
                <w:highlight w:val="none"/>
              </w:rPr>
              <w:t>能力的承诺（格</w:t>
            </w:r>
            <w:r>
              <w:rPr>
                <w:rFonts w:ascii="宋体" w:eastAsia="宋体"/>
                <w:color w:val="auto"/>
                <w:spacing w:val="-8"/>
                <w:sz w:val="24"/>
                <w:szCs w:val="24"/>
                <w:highlight w:val="none"/>
              </w:rPr>
              <w:t>式自拟</w:t>
            </w:r>
            <w:r>
              <w:rPr>
                <w:rFonts w:ascii="宋体" w:eastAsia="宋体"/>
                <w:color w:val="auto"/>
                <w:spacing w:val="-62"/>
                <w:w w:val="96"/>
                <w:sz w:val="24"/>
                <w:szCs w:val="24"/>
                <w:highlight w:val="none"/>
              </w:rPr>
              <w:t>）；</w:t>
            </w:r>
          </w:p>
        </w:tc>
        <w:tc>
          <w:tcPr>
            <w:tcW w:w="1408" w:type="dxa"/>
            <w:tcBorders>
              <w:top w:val="single" w:color="auto" w:sz="4" w:space="0"/>
              <w:left w:val="nil"/>
              <w:bottom w:val="single" w:color="auto" w:sz="4" w:space="0"/>
              <w:right w:val="single" w:color="auto" w:sz="4" w:space="0"/>
            </w:tcBorders>
            <w:vAlign w:val="center"/>
          </w:tcPr>
          <w:p w14:paraId="30F6B6C8">
            <w:pPr>
              <w:snapToGrid w:val="0"/>
              <w:ind w:left="0" w:leftChars="0" w:right="0" w:rightChars="0" w:firstLine="0" w:firstLineChars="0"/>
              <w:jc w:val="left"/>
              <w:rPr>
                <w:rFonts w:ascii="宋体" w:eastAsia="宋体"/>
                <w:bCs/>
                <w:color w:val="auto"/>
                <w:sz w:val="24"/>
                <w:highlight w:val="none"/>
              </w:rPr>
            </w:pPr>
          </w:p>
        </w:tc>
      </w:tr>
      <w:tr w14:paraId="5F7C8A77">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13347F">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6</w:t>
            </w:r>
          </w:p>
        </w:tc>
        <w:tc>
          <w:tcPr>
            <w:tcW w:w="7603" w:type="dxa"/>
            <w:tcBorders>
              <w:top w:val="single" w:color="auto" w:sz="4" w:space="0"/>
              <w:left w:val="nil"/>
              <w:bottom w:val="single" w:color="auto" w:sz="4" w:space="0"/>
              <w:right w:val="single" w:color="auto" w:sz="4" w:space="0"/>
            </w:tcBorders>
            <w:vAlign w:val="center"/>
          </w:tcPr>
          <w:p w14:paraId="4A1127E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有依法缴纳税收和社会保障资金</w:t>
            </w:r>
            <w:r>
              <w:rPr>
                <w:rFonts w:ascii="宋体" w:eastAsia="宋体"/>
                <w:color w:val="auto"/>
                <w:spacing w:val="-6"/>
                <w:sz w:val="24"/>
                <w:szCs w:val="24"/>
                <w:highlight w:val="none"/>
              </w:rPr>
              <w:t>的良好记录</w:t>
            </w:r>
          </w:p>
          <w:p w14:paraId="3AF6FA0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8"/>
                <w:sz w:val="24"/>
                <w:szCs w:val="24"/>
                <w:highlight w:val="none"/>
              </w:rPr>
              <w:t>（1）提供开标前六个月（不含开标日当月）任意一个月依法缴</w:t>
            </w:r>
            <w:r>
              <w:rPr>
                <w:rFonts w:ascii="宋体" w:eastAsia="宋体"/>
                <w:color w:val="auto"/>
                <w:spacing w:val="-3"/>
                <w:sz w:val="24"/>
                <w:szCs w:val="24"/>
                <w:highlight w:val="none"/>
              </w:rPr>
              <w:t>纳税收证明，证明材料可以是缴费的银行单据等复印件或纳税</w:t>
            </w:r>
            <w:r>
              <w:rPr>
                <w:rFonts w:ascii="宋体" w:eastAsia="宋体"/>
                <w:color w:val="auto"/>
                <w:spacing w:val="-5"/>
                <w:sz w:val="24"/>
                <w:szCs w:val="24"/>
                <w:highlight w:val="none"/>
              </w:rPr>
              <w:t>机构出具的无欠税证明或免缴纳证明；</w:t>
            </w:r>
          </w:p>
          <w:p w14:paraId="0E428F0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（2）提供开标前六个月（不含开标日当月）任意一个月依法缴</w:t>
            </w:r>
            <w:r>
              <w:rPr>
                <w:rFonts w:ascii="宋体" w:eastAsia="宋体"/>
                <w:color w:val="auto"/>
                <w:spacing w:val="-3"/>
                <w:sz w:val="24"/>
                <w:szCs w:val="24"/>
                <w:highlight w:val="none"/>
              </w:rPr>
              <w:t>纳社保证明，证明材料可以是缴费的银行单据等复印件或社保</w:t>
            </w:r>
            <w:r>
              <w:rPr>
                <w:rFonts w:ascii="宋体" w:eastAsia="宋体"/>
                <w:color w:val="auto"/>
                <w:spacing w:val="-4"/>
                <w:sz w:val="24"/>
                <w:szCs w:val="24"/>
                <w:highlight w:val="none"/>
              </w:rPr>
              <w:t>机构开具免缴纳证明。</w:t>
            </w:r>
          </w:p>
        </w:tc>
        <w:tc>
          <w:tcPr>
            <w:tcW w:w="1408" w:type="dxa"/>
            <w:tcBorders>
              <w:top w:val="single" w:color="auto" w:sz="4" w:space="0"/>
              <w:left w:val="nil"/>
              <w:bottom w:val="single" w:color="auto" w:sz="4" w:space="0"/>
              <w:right w:val="single" w:color="auto" w:sz="4" w:space="0"/>
            </w:tcBorders>
            <w:vAlign w:val="center"/>
          </w:tcPr>
          <w:p w14:paraId="6EC2D95F">
            <w:pPr>
              <w:snapToGrid w:val="0"/>
              <w:ind w:left="0" w:leftChars="0" w:right="0" w:rightChars="0" w:firstLine="0" w:firstLineChars="0"/>
              <w:jc w:val="left"/>
              <w:rPr>
                <w:rFonts w:ascii="宋体" w:eastAsia="宋体"/>
                <w:bCs/>
                <w:color w:val="auto"/>
                <w:sz w:val="24"/>
                <w:highlight w:val="none"/>
              </w:rPr>
            </w:pPr>
          </w:p>
        </w:tc>
      </w:tr>
      <w:tr w14:paraId="409B980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CA7B1E">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7</w:t>
            </w:r>
          </w:p>
        </w:tc>
        <w:tc>
          <w:tcPr>
            <w:tcW w:w="7603" w:type="dxa"/>
            <w:tcBorders>
              <w:top w:val="single" w:color="auto" w:sz="4" w:space="0"/>
              <w:left w:val="single" w:color="auto" w:sz="4" w:space="0"/>
              <w:bottom w:val="single" w:color="auto" w:sz="4" w:space="0"/>
              <w:right w:val="single" w:color="auto" w:sz="4" w:space="0"/>
            </w:tcBorders>
            <w:vAlign w:val="center"/>
          </w:tcPr>
          <w:p w14:paraId="513CA7C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供应商声明函</w:t>
            </w:r>
          </w:p>
          <w:p w14:paraId="521543B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1"/>
                <w:sz w:val="24"/>
                <w:szCs w:val="24"/>
                <w:highlight w:val="none"/>
              </w:rPr>
              <w:t>（1）提供参加政府采购活动前三年内，在经营活动</w:t>
            </w:r>
            <w:r>
              <w:rPr>
                <w:rFonts w:ascii="宋体" w:eastAsia="宋体"/>
                <w:color w:val="auto"/>
                <w:sz w:val="24"/>
                <w:szCs w:val="24"/>
                <w:highlight w:val="none"/>
              </w:rPr>
              <w:t>中没有重</w:t>
            </w:r>
            <w:r>
              <w:rPr>
                <w:rFonts w:ascii="宋体" w:eastAsia="宋体"/>
                <w:color w:val="auto"/>
                <w:spacing w:val="-2"/>
                <w:sz w:val="24"/>
                <w:szCs w:val="24"/>
                <w:highlight w:val="none"/>
              </w:rPr>
              <w:t>大违法记录的书面声明；</w:t>
            </w:r>
          </w:p>
          <w:p w14:paraId="5853373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（2）单位负责人为同一人或者存在直接控股、管理</w:t>
            </w:r>
            <w:r>
              <w:rPr>
                <w:rFonts w:ascii="宋体" w:eastAsia="宋体"/>
                <w:color w:val="auto"/>
                <w:sz w:val="24"/>
                <w:szCs w:val="24"/>
                <w:highlight w:val="none"/>
              </w:rPr>
              <w:t>关系的不</w:t>
            </w:r>
            <w:r>
              <w:rPr>
                <w:rFonts w:ascii="宋体" w:eastAsia="宋体"/>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rFonts w:ascii="宋体" w:eastAsia="宋体"/>
                <w:color w:val="auto"/>
                <w:spacing w:val="-4"/>
                <w:sz w:val="24"/>
                <w:szCs w:val="24"/>
                <w:highlight w:val="none"/>
              </w:rPr>
              <w:t>项目的</w:t>
            </w:r>
            <w:r>
              <w:rPr>
                <w:rFonts w:ascii="宋体" w:eastAsia="宋体"/>
                <w:color w:val="auto"/>
                <w:spacing w:val="-1"/>
                <w:sz w:val="24"/>
                <w:szCs w:val="24"/>
                <w:highlight w:val="none"/>
              </w:rPr>
              <w:t>其他采购活动的书面声明。</w:t>
            </w:r>
          </w:p>
        </w:tc>
        <w:tc>
          <w:tcPr>
            <w:tcW w:w="1408" w:type="dxa"/>
            <w:tcBorders>
              <w:top w:val="single" w:color="auto" w:sz="4" w:space="0"/>
              <w:left w:val="single" w:color="auto" w:sz="4" w:space="0"/>
              <w:bottom w:val="single" w:color="auto" w:sz="4" w:space="0"/>
              <w:right w:val="single" w:color="auto" w:sz="4" w:space="0"/>
            </w:tcBorders>
            <w:vAlign w:val="center"/>
          </w:tcPr>
          <w:p w14:paraId="5E5E4524">
            <w:pPr>
              <w:snapToGrid w:val="0"/>
              <w:ind w:left="0" w:leftChars="0" w:right="0" w:rightChars="0" w:firstLine="0" w:firstLineChars="0"/>
              <w:jc w:val="left"/>
              <w:rPr>
                <w:rFonts w:ascii="宋体" w:eastAsia="宋体"/>
                <w:bCs/>
                <w:color w:val="auto"/>
                <w:sz w:val="24"/>
                <w:highlight w:val="none"/>
              </w:rPr>
            </w:pPr>
          </w:p>
        </w:tc>
      </w:tr>
      <w:tr w14:paraId="7522A42E">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326603">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8</w:t>
            </w:r>
          </w:p>
        </w:tc>
        <w:tc>
          <w:tcPr>
            <w:tcW w:w="7603" w:type="dxa"/>
            <w:tcBorders>
              <w:top w:val="single" w:color="auto" w:sz="4" w:space="0"/>
              <w:left w:val="single" w:color="auto" w:sz="4" w:space="0"/>
              <w:bottom w:val="single" w:color="auto" w:sz="4" w:space="0"/>
              <w:right w:val="single" w:color="auto" w:sz="4" w:space="0"/>
            </w:tcBorders>
            <w:vAlign w:val="center"/>
          </w:tcPr>
          <w:p w14:paraId="49215876">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信用信息</w:t>
            </w:r>
            <w:r>
              <w:rPr>
                <w:rFonts w:ascii="宋体" w:eastAsia="宋体"/>
                <w:color w:val="auto"/>
                <w:spacing w:val="-7"/>
                <w:sz w:val="24"/>
                <w:szCs w:val="24"/>
                <w:highlight w:val="none"/>
              </w:rPr>
              <w:t>查询</w:t>
            </w:r>
          </w:p>
          <w:p w14:paraId="6069D758">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供应商不得为“信用中国”网站（</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"https://www.creditchina.gov.cn" </w:instrText>
            </w:r>
            <w:r>
              <w:rPr>
                <w:rFonts w:ascii="宋体" w:eastAsia="宋体"/>
                <w:color w:val="auto"/>
                <w:sz w:val="24"/>
                <w:szCs w:val="24"/>
                <w:highlight w:val="none"/>
              </w:rPr>
              <w:fldChar w:fldCharType="separate"/>
            </w:r>
            <w:r>
              <w:rPr>
                <w:rFonts w:ascii="宋体" w:eastAsia="宋体"/>
                <w:color w:val="auto"/>
                <w:spacing w:val="-1"/>
                <w:sz w:val="24"/>
                <w:szCs w:val="24"/>
                <w:highlight w:val="none"/>
              </w:rPr>
              <w:t>www.creditchina.gov.cn</w:t>
            </w:r>
            <w:r>
              <w:rPr>
                <w:rFonts w:ascii="宋体" w:eastAsia="宋体"/>
                <w:color w:val="auto"/>
                <w:spacing w:val="-1"/>
                <w:sz w:val="24"/>
                <w:szCs w:val="24"/>
                <w:highlight w:val="none"/>
              </w:rPr>
              <w:fldChar w:fldCharType="end"/>
            </w:r>
            <w:r>
              <w:rPr>
                <w:rFonts w:ascii="宋体" w:eastAsia="宋体"/>
                <w:color w:val="auto"/>
                <w:spacing w:val="-1"/>
                <w:sz w:val="24"/>
                <w:szCs w:val="24"/>
                <w:highlight w:val="none"/>
              </w:rPr>
              <w:t>）</w:t>
            </w:r>
            <w:r>
              <w:rPr>
                <w:rFonts w:ascii="宋体" w:eastAsia="宋体"/>
                <w:color w:val="auto"/>
                <w:spacing w:val="6"/>
                <w:sz w:val="24"/>
                <w:szCs w:val="24"/>
                <w:highlight w:val="none"/>
              </w:rPr>
              <w:t>中列入失信被执行人和重大税收违法案件当事人名单的供应</w:t>
            </w:r>
            <w:r>
              <w:rPr>
                <w:rFonts w:ascii="宋体" w:eastAsia="宋体"/>
                <w:color w:val="auto"/>
                <w:spacing w:val="-6"/>
                <w:sz w:val="24"/>
                <w:szCs w:val="24"/>
                <w:highlight w:val="none"/>
              </w:rPr>
              <w:t>商，不得为“中国政府采购网”（</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"https://www.ccgp.gov.cn" </w:instrText>
            </w:r>
            <w:r>
              <w:rPr>
                <w:rFonts w:ascii="宋体" w:eastAsia="宋体"/>
                <w:color w:val="auto"/>
                <w:sz w:val="24"/>
                <w:szCs w:val="24"/>
                <w:highlight w:val="none"/>
              </w:rPr>
              <w:fldChar w:fldCharType="separate"/>
            </w:r>
            <w:r>
              <w:rPr>
                <w:rFonts w:ascii="宋体" w:eastAsia="宋体"/>
                <w:color w:val="auto"/>
                <w:spacing w:val="-6"/>
                <w:sz w:val="24"/>
                <w:szCs w:val="24"/>
                <w:highlight w:val="none"/>
              </w:rPr>
              <w:t>www.ccgp.gov.cn</w:t>
            </w:r>
            <w:r>
              <w:rPr>
                <w:rFonts w:ascii="宋体" w:eastAsia="宋体"/>
                <w:color w:val="auto"/>
                <w:spacing w:val="-6"/>
                <w:sz w:val="24"/>
                <w:szCs w:val="24"/>
                <w:highlight w:val="none"/>
              </w:rPr>
              <w:fldChar w:fldCharType="end"/>
            </w:r>
            <w:r>
              <w:rPr>
                <w:rFonts w:ascii="宋体" w:eastAsia="宋体"/>
                <w:color w:val="auto"/>
                <w:spacing w:val="-6"/>
                <w:sz w:val="24"/>
                <w:szCs w:val="24"/>
                <w:highlight w:val="none"/>
              </w:rPr>
              <w:t>）政府采购</w:t>
            </w:r>
            <w:r>
              <w:rPr>
                <w:rFonts w:ascii="宋体" w:eastAsia="宋体"/>
                <w:color w:val="auto"/>
                <w:spacing w:val="6"/>
                <w:sz w:val="24"/>
                <w:szCs w:val="24"/>
                <w:highlight w:val="none"/>
              </w:rPr>
              <w:t>严重违法失信行为记录名单中被财政部门禁止参加政府采购</w:t>
            </w:r>
            <w:r>
              <w:rPr>
                <w:rFonts w:ascii="宋体" w:eastAsia="宋体"/>
                <w:color w:val="auto"/>
                <w:spacing w:val="-2"/>
                <w:sz w:val="24"/>
                <w:szCs w:val="24"/>
                <w:highlight w:val="none"/>
              </w:rPr>
              <w:t>活动的供应商。</w:t>
            </w:r>
          </w:p>
        </w:tc>
        <w:tc>
          <w:tcPr>
            <w:tcW w:w="1408" w:type="dxa"/>
            <w:tcBorders>
              <w:top w:val="single" w:color="auto" w:sz="4" w:space="0"/>
              <w:left w:val="single" w:color="auto" w:sz="4" w:space="0"/>
              <w:bottom w:val="single" w:color="auto" w:sz="4" w:space="0"/>
              <w:right w:val="single" w:color="auto" w:sz="4" w:space="0"/>
            </w:tcBorders>
            <w:vAlign w:val="center"/>
          </w:tcPr>
          <w:p w14:paraId="7C3A3160">
            <w:pPr>
              <w:snapToGrid w:val="0"/>
              <w:ind w:left="0" w:leftChars="0" w:right="0" w:rightChars="0" w:firstLine="0" w:firstLineChars="0"/>
              <w:jc w:val="left"/>
              <w:rPr>
                <w:rFonts w:ascii="宋体" w:eastAsia="宋体"/>
                <w:bCs/>
                <w:color w:val="auto"/>
                <w:sz w:val="24"/>
                <w:highlight w:val="none"/>
              </w:rPr>
            </w:pPr>
          </w:p>
        </w:tc>
      </w:tr>
      <w:tr w14:paraId="1D28C6AD">
        <w:tblPrEx>
          <w:tblCellMar>
            <w:top w:w="0" w:type="dxa"/>
            <w:left w:w="108" w:type="dxa"/>
            <w:bottom w:w="0" w:type="dxa"/>
            <w:right w:w="108" w:type="dxa"/>
          </w:tblCellMar>
        </w:tblPrEx>
        <w:trPr>
          <w:trHeight w:val="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F3DE064">
            <w:pPr>
              <w:snapToGrid w:val="0"/>
              <w:ind w:left="0" w:leftChars="0" w:right="0" w:rightChars="0" w:firstLine="0" w:firstLineChars="0"/>
              <w:jc w:val="center"/>
              <w:rPr>
                <w:rFonts w:hint="default" w:ascii="宋体" w:eastAsia="宋体"/>
                <w:bCs/>
                <w:color w:val="auto"/>
                <w:sz w:val="24"/>
                <w:highlight w:val="none"/>
                <w:lang w:val="en-US" w:eastAsia="zh-CN"/>
              </w:rPr>
            </w:pPr>
            <w:r>
              <w:rPr>
                <w:rFonts w:hint="eastAsia" w:ascii="宋体" w:eastAsia="宋体"/>
                <w:bCs/>
                <w:color w:val="auto"/>
                <w:sz w:val="24"/>
                <w:highlight w:val="none"/>
                <w:lang w:val="en-US" w:eastAsia="zh-CN"/>
              </w:rPr>
              <w:t>9</w:t>
            </w:r>
          </w:p>
        </w:tc>
        <w:tc>
          <w:tcPr>
            <w:tcW w:w="7603" w:type="dxa"/>
            <w:tcBorders>
              <w:top w:val="single" w:color="auto" w:sz="4" w:space="0"/>
              <w:left w:val="single" w:color="auto" w:sz="4" w:space="0"/>
              <w:bottom w:val="single" w:color="auto" w:sz="4" w:space="0"/>
              <w:right w:val="single" w:color="auto" w:sz="4" w:space="0"/>
            </w:tcBorders>
            <w:vAlign w:val="center"/>
          </w:tcPr>
          <w:p w14:paraId="2529888E">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采购政策</w:t>
            </w:r>
          </w:p>
          <w:p w14:paraId="1972F23A">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ascii="宋体" w:eastAsia="宋体"/>
                <w:color w:val="auto"/>
                <w:spacing w:val="-3"/>
                <w:sz w:val="24"/>
                <w:szCs w:val="24"/>
                <w:highlight w:val="none"/>
              </w:rPr>
              <w:t>本项目面向中小微企业，请根据要求单独上传《中小企</w:t>
            </w:r>
            <w:r>
              <w:rPr>
                <w:rFonts w:ascii="宋体" w:eastAsia="宋体"/>
                <w:color w:val="auto"/>
                <w:spacing w:val="-4"/>
                <w:sz w:val="24"/>
                <w:szCs w:val="24"/>
                <w:highlight w:val="none"/>
              </w:rPr>
              <w:t>业声明</w:t>
            </w:r>
            <w:r>
              <w:rPr>
                <w:rFonts w:ascii="宋体" w:eastAsia="宋体"/>
                <w:color w:val="auto"/>
                <w:spacing w:val="-10"/>
                <w:sz w:val="24"/>
                <w:szCs w:val="24"/>
                <w:highlight w:val="none"/>
              </w:rPr>
              <w:t>函》。格式以采购文件要求为准。</w:t>
            </w:r>
          </w:p>
        </w:tc>
        <w:tc>
          <w:tcPr>
            <w:tcW w:w="1408" w:type="dxa"/>
            <w:tcBorders>
              <w:top w:val="single" w:color="auto" w:sz="4" w:space="0"/>
              <w:left w:val="single" w:color="auto" w:sz="4" w:space="0"/>
              <w:bottom w:val="single" w:color="auto" w:sz="4" w:space="0"/>
              <w:right w:val="single" w:color="auto" w:sz="4" w:space="0"/>
            </w:tcBorders>
            <w:vAlign w:val="center"/>
          </w:tcPr>
          <w:p w14:paraId="60FA291A">
            <w:pPr>
              <w:snapToGrid w:val="0"/>
              <w:ind w:left="0" w:leftChars="0" w:right="0" w:rightChars="0" w:firstLine="0" w:firstLineChars="0"/>
              <w:jc w:val="left"/>
              <w:rPr>
                <w:rFonts w:ascii="宋体" w:eastAsia="宋体"/>
                <w:bCs/>
                <w:color w:val="auto"/>
                <w:sz w:val="24"/>
                <w:highlight w:val="none"/>
              </w:rPr>
            </w:pPr>
          </w:p>
        </w:tc>
      </w:tr>
    </w:tbl>
    <w:p w14:paraId="23AE1A59">
      <w:pPr>
        <w:rPr>
          <w:rFonts w:hint="eastAsia"/>
          <w:color w:val="auto"/>
          <w:highlight w:val="none"/>
        </w:rPr>
        <w:sectPr>
          <w:headerReference r:id="rId6" w:type="default"/>
          <w:footerReference r:id="rId7" w:type="default"/>
          <w:pgSz w:w="11906" w:h="16839"/>
          <w:pgMar w:top="1440" w:right="1080" w:bottom="1440" w:left="1080" w:header="822" w:footer="992" w:gutter="0"/>
          <w:pgNumType w:fmt="decimal"/>
          <w:cols w:space="720" w:num="1"/>
        </w:sectPr>
      </w:pPr>
      <w:r>
        <w:rPr>
          <w:rFonts w:hint="eastAsia"/>
          <w:color w:val="auto"/>
          <w:highlight w:val="none"/>
        </w:rPr>
        <w:br w:type="page"/>
      </w:r>
    </w:p>
    <w:p w14:paraId="264D484D">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评分</w:t>
      </w:r>
      <w:r>
        <w:rPr>
          <w:rFonts w:hint="eastAsia" w:ascii="黑体" w:hAnsi="黑体" w:eastAsia="黑体" w:cs="黑体"/>
          <w:bCs/>
          <w:color w:val="auto"/>
          <w:sz w:val="36"/>
          <w:szCs w:val="36"/>
          <w:highlight w:val="none"/>
        </w:rPr>
        <w:t>索引表</w:t>
      </w:r>
    </w:p>
    <w:tbl>
      <w:tblPr>
        <w:tblStyle w:val="21"/>
        <w:tblW w:w="5204" w:type="pct"/>
        <w:jc w:val="center"/>
        <w:tblLayout w:type="fixed"/>
        <w:tblCellMar>
          <w:top w:w="0" w:type="dxa"/>
          <w:left w:w="108" w:type="dxa"/>
          <w:bottom w:w="0" w:type="dxa"/>
          <w:right w:w="108" w:type="dxa"/>
        </w:tblCellMar>
      </w:tblPr>
      <w:tblGrid>
        <w:gridCol w:w="691"/>
        <w:gridCol w:w="8586"/>
        <w:gridCol w:w="1091"/>
      </w:tblGrid>
      <w:tr w14:paraId="44906130">
        <w:tblPrEx>
          <w:tblCellMar>
            <w:top w:w="0" w:type="dxa"/>
            <w:left w:w="108" w:type="dxa"/>
            <w:bottom w:w="0" w:type="dxa"/>
            <w:right w:w="108" w:type="dxa"/>
          </w:tblCellMar>
        </w:tblPrEx>
        <w:trPr>
          <w:trHeight w:val="567" w:hRule="atLeast"/>
          <w:jc w:val="center"/>
        </w:trPr>
        <w:tc>
          <w:tcPr>
            <w:tcW w:w="333" w:type="pct"/>
            <w:vMerge w:val="restart"/>
            <w:tcBorders>
              <w:top w:val="single" w:color="auto" w:sz="4" w:space="0"/>
              <w:left w:val="single" w:color="auto" w:sz="4" w:space="0"/>
              <w:right w:val="single" w:color="auto" w:sz="4" w:space="0"/>
            </w:tcBorders>
            <w:vAlign w:val="center"/>
          </w:tcPr>
          <w:p w14:paraId="7DBFBCB8">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4140" w:type="pct"/>
            <w:vMerge w:val="restart"/>
            <w:tcBorders>
              <w:top w:val="single" w:color="auto" w:sz="4" w:space="0"/>
              <w:left w:val="nil"/>
              <w:right w:val="single" w:color="auto" w:sz="4" w:space="0"/>
            </w:tcBorders>
            <w:vAlign w:val="center"/>
          </w:tcPr>
          <w:p w14:paraId="6F140F23">
            <w:pPr>
              <w:jc w:val="center"/>
              <w:rPr>
                <w:rFonts w:ascii="宋体" w:hAnsi="宋体" w:cs="宋体"/>
                <w:bCs/>
                <w:color w:val="auto"/>
                <w:sz w:val="24"/>
                <w:highlight w:val="none"/>
              </w:rPr>
            </w:pPr>
            <w:r>
              <w:rPr>
                <w:rFonts w:hint="eastAsia"/>
                <w:bCs/>
                <w:color w:val="auto"/>
                <w:sz w:val="24"/>
                <w:highlight w:val="none"/>
                <w:lang w:val="en-US" w:eastAsia="zh-CN"/>
              </w:rPr>
              <w:t>评分标准</w:t>
            </w:r>
          </w:p>
        </w:tc>
        <w:tc>
          <w:tcPr>
            <w:tcW w:w="526" w:type="pct"/>
            <w:vMerge w:val="restart"/>
            <w:tcBorders>
              <w:top w:val="single" w:color="auto" w:sz="4" w:space="0"/>
              <w:left w:val="nil"/>
              <w:right w:val="single" w:color="auto" w:sz="4" w:space="0"/>
            </w:tcBorders>
            <w:vAlign w:val="center"/>
          </w:tcPr>
          <w:p w14:paraId="47CEE611">
            <w:pPr>
              <w:jc w:val="center"/>
              <w:rPr>
                <w:rFonts w:ascii="宋体" w:hAnsi="宋体" w:cs="宋体"/>
                <w:bCs/>
                <w:color w:val="auto"/>
                <w:sz w:val="24"/>
                <w:highlight w:val="none"/>
              </w:rPr>
            </w:pPr>
            <w:r>
              <w:rPr>
                <w:rFonts w:hint="eastAsia" w:ascii="宋体" w:hAnsi="宋体" w:cs="宋体"/>
                <w:bCs/>
                <w:color w:val="auto"/>
                <w:sz w:val="24"/>
                <w:highlight w:val="none"/>
              </w:rPr>
              <w:t>页码</w:t>
            </w:r>
          </w:p>
        </w:tc>
      </w:tr>
      <w:tr w14:paraId="4BF6E8CF">
        <w:tblPrEx>
          <w:tblCellMar>
            <w:top w:w="0" w:type="dxa"/>
            <w:left w:w="108" w:type="dxa"/>
            <w:bottom w:w="0" w:type="dxa"/>
            <w:right w:w="108" w:type="dxa"/>
          </w:tblCellMar>
        </w:tblPrEx>
        <w:trPr>
          <w:trHeight w:val="312" w:hRule="atLeast"/>
          <w:jc w:val="center"/>
        </w:trPr>
        <w:tc>
          <w:tcPr>
            <w:tcW w:w="333" w:type="pct"/>
            <w:vMerge w:val="continue"/>
            <w:tcBorders>
              <w:left w:val="single" w:color="auto" w:sz="4" w:space="0"/>
              <w:bottom w:val="single" w:color="auto" w:sz="4" w:space="0"/>
              <w:right w:val="single" w:color="auto" w:sz="4" w:space="0"/>
            </w:tcBorders>
            <w:vAlign w:val="center"/>
          </w:tcPr>
          <w:p w14:paraId="4860B429">
            <w:pPr>
              <w:jc w:val="center"/>
              <w:rPr>
                <w:rFonts w:ascii="宋体" w:hAnsi="宋体" w:cs="宋体"/>
                <w:bCs/>
                <w:color w:val="auto"/>
                <w:sz w:val="24"/>
                <w:highlight w:val="none"/>
              </w:rPr>
            </w:pPr>
          </w:p>
        </w:tc>
        <w:tc>
          <w:tcPr>
            <w:tcW w:w="4140" w:type="pct"/>
            <w:vMerge w:val="continue"/>
            <w:tcBorders>
              <w:left w:val="nil"/>
              <w:bottom w:val="single" w:color="auto" w:sz="4" w:space="0"/>
              <w:right w:val="single" w:color="auto" w:sz="4" w:space="0"/>
            </w:tcBorders>
            <w:vAlign w:val="center"/>
          </w:tcPr>
          <w:p w14:paraId="22B83E54">
            <w:pPr>
              <w:jc w:val="center"/>
              <w:rPr>
                <w:rFonts w:ascii="宋体" w:hAnsi="宋体" w:cs="宋体"/>
                <w:bCs/>
                <w:color w:val="auto"/>
                <w:sz w:val="24"/>
                <w:highlight w:val="none"/>
              </w:rPr>
            </w:pPr>
          </w:p>
        </w:tc>
        <w:tc>
          <w:tcPr>
            <w:tcW w:w="526" w:type="pct"/>
            <w:vMerge w:val="continue"/>
            <w:tcBorders>
              <w:left w:val="nil"/>
              <w:bottom w:val="single" w:color="auto" w:sz="4" w:space="0"/>
              <w:right w:val="single" w:color="auto" w:sz="4" w:space="0"/>
            </w:tcBorders>
            <w:vAlign w:val="center"/>
          </w:tcPr>
          <w:p w14:paraId="5F038D34">
            <w:pPr>
              <w:jc w:val="center"/>
              <w:rPr>
                <w:rFonts w:ascii="宋体" w:hAnsi="宋体" w:cs="宋体"/>
                <w:bCs/>
                <w:color w:val="auto"/>
                <w:sz w:val="24"/>
                <w:highlight w:val="none"/>
              </w:rPr>
            </w:pPr>
          </w:p>
        </w:tc>
      </w:tr>
      <w:tr w14:paraId="48DDD9BD">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6B97597">
            <w:pPr>
              <w:jc w:val="both"/>
              <w:rPr>
                <w:rFonts w:ascii="宋体" w:hAnsi="宋体"/>
                <w:bCs/>
                <w:color w:val="auto"/>
                <w:sz w:val="24"/>
                <w:highlight w:val="none"/>
              </w:rPr>
            </w:pPr>
            <w:r>
              <w:rPr>
                <w:rFonts w:ascii="宋体" w:hAnsi="宋体"/>
                <w:bCs/>
                <w:color w:val="auto"/>
                <w:sz w:val="24"/>
                <w:highlight w:val="none"/>
              </w:rPr>
              <w:t>1</w:t>
            </w:r>
          </w:p>
        </w:tc>
        <w:tc>
          <w:tcPr>
            <w:tcW w:w="8586" w:type="dxa"/>
            <w:tcBorders>
              <w:top w:val="nil"/>
              <w:left w:val="nil"/>
              <w:bottom w:val="single" w:color="auto" w:sz="4" w:space="0"/>
              <w:right w:val="single" w:color="auto" w:sz="4" w:space="0"/>
            </w:tcBorders>
            <w:vAlign w:val="center"/>
          </w:tcPr>
          <w:p w14:paraId="5B9377E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同类项目经验</w:t>
            </w:r>
          </w:p>
          <w:p w14:paraId="59BBEC7E">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应当提供</w:t>
            </w:r>
            <w:r>
              <w:rPr>
                <w:rFonts w:hint="eastAsia" w:ascii="宋体" w:hAnsi="宋体" w:eastAsia="宋体" w:cs="宋体"/>
                <w:sz w:val="24"/>
                <w:szCs w:val="24"/>
                <w:highlight w:val="none"/>
              </w:rPr>
              <w:t>自2023年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rPr>
              <w:t>至今</w:t>
            </w:r>
            <w:r>
              <w:rPr>
                <w:rFonts w:hint="eastAsia" w:ascii="宋体" w:hAnsi="宋体" w:eastAsia="宋体" w:cs="宋体"/>
                <w:sz w:val="24"/>
                <w:szCs w:val="24"/>
                <w:highlight w:val="none"/>
                <w:lang w:eastAsia="zh-CN"/>
              </w:rPr>
              <w:t>（投标截止日期）</w:t>
            </w:r>
            <w:r>
              <w:rPr>
                <w:rFonts w:hint="eastAsia" w:ascii="宋体" w:hAnsi="宋体" w:eastAsia="宋体" w:cs="宋体"/>
                <w:sz w:val="24"/>
                <w:szCs w:val="24"/>
                <w:highlight w:val="none"/>
              </w:rPr>
              <w:t>的类似项目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，每提供具有符合评审要求的1个有效业绩的得2分，</w:t>
            </w:r>
            <w:r>
              <w:rPr>
                <w:rFonts w:hint="eastAsia" w:ascii="宋体" w:hAnsi="宋体" w:eastAsia="宋体" w:cs="宋体"/>
                <w:sz w:val="24"/>
                <w:szCs w:val="24"/>
                <w:highlight w:val="none"/>
                <w:lang w:val="en-US" w:eastAsia="zh-CN"/>
              </w:rPr>
              <w:t>此项最高得12分。</w:t>
            </w:r>
          </w:p>
          <w:p w14:paraId="7FC32301">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业绩要求：</w:t>
            </w:r>
            <w:r>
              <w:rPr>
                <w:rFonts w:hint="eastAsia" w:ascii="宋体" w:hAnsi="宋体" w:eastAsia="宋体" w:cs="宋体"/>
                <w:sz w:val="24"/>
                <w:szCs w:val="24"/>
                <w:highlight w:val="none"/>
                <w:lang w:val="en-US" w:eastAsia="zh-CN"/>
              </w:rPr>
              <w:t>1.结合本项目采购需求实际，</w:t>
            </w:r>
            <w:r>
              <w:rPr>
                <w:rFonts w:hint="eastAsia" w:ascii="宋体" w:hAnsi="宋体" w:eastAsia="宋体" w:cs="宋体"/>
                <w:sz w:val="24"/>
                <w:szCs w:val="24"/>
                <w:highlight w:val="none"/>
              </w:rPr>
              <w:t>合同内明确约定的</w:t>
            </w:r>
            <w:r>
              <w:rPr>
                <w:rFonts w:hint="eastAsia" w:ascii="宋体" w:hAnsi="宋体" w:eastAsia="宋体" w:cs="宋体"/>
                <w:sz w:val="24"/>
                <w:szCs w:val="24"/>
                <w:highlight w:val="none"/>
                <w:lang w:val="en-US" w:eastAsia="zh-CN"/>
              </w:rPr>
              <w:t>配送</w:t>
            </w:r>
            <w:r>
              <w:rPr>
                <w:rFonts w:hint="eastAsia" w:ascii="宋体" w:hAnsi="宋体" w:eastAsia="宋体" w:cs="宋体"/>
                <w:sz w:val="24"/>
                <w:szCs w:val="24"/>
                <w:highlight w:val="none"/>
              </w:rPr>
              <w:t>周期</w:t>
            </w:r>
            <w:r>
              <w:rPr>
                <w:rFonts w:hint="eastAsia" w:ascii="宋体" w:hAnsi="宋体" w:eastAsia="宋体" w:cs="宋体"/>
                <w:sz w:val="24"/>
                <w:szCs w:val="24"/>
                <w:highlight w:val="none"/>
                <w:lang w:eastAsia="zh-CN"/>
              </w:rPr>
              <w:t>应当</w:t>
            </w:r>
            <w:r>
              <w:rPr>
                <w:rFonts w:hint="eastAsia" w:ascii="宋体" w:hAnsi="宋体" w:eastAsia="宋体" w:cs="宋体"/>
                <w:sz w:val="24"/>
                <w:szCs w:val="24"/>
                <w:highlight w:val="none"/>
              </w:rPr>
              <w:t>不少于</w:t>
            </w:r>
            <w:r>
              <w:rPr>
                <w:rFonts w:hint="eastAsia" w:ascii="宋体" w:hAnsi="宋体" w:eastAsia="宋体" w:cs="宋体"/>
                <w:sz w:val="24"/>
                <w:szCs w:val="24"/>
                <w:highlight w:val="none"/>
                <w:lang w:val="en-US" w:eastAsia="zh-CN"/>
              </w:rPr>
              <w:t>12个月。</w:t>
            </w:r>
          </w:p>
          <w:p w14:paraId="2E70DF27">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z w:val="24"/>
                <w:szCs w:val="24"/>
                <w:highlight w:val="none"/>
              </w:rPr>
              <w:t>若为政府采购或公开招投标业绩：须提供中标（成交）通知书、加盖供应商公章的完整合同原件扫描件、与合同金额相符的有效发票及付款凭证（银行回单），并提供中国政府采购网</w:t>
            </w:r>
            <w:r>
              <w:rPr>
                <w:rFonts w:hint="eastAsia" w:ascii="宋体" w:hAnsi="宋体" w:eastAsia="宋体" w:cs="宋体"/>
                <w:sz w:val="24"/>
                <w:szCs w:val="24"/>
                <w:highlight w:val="none"/>
                <w:lang w:val="en-US" w:eastAsia="zh-CN"/>
              </w:rPr>
              <w:t>或新疆政府采购网等全国一体化政府采购信息平台</w:t>
            </w:r>
            <w:r>
              <w:rPr>
                <w:rFonts w:hint="eastAsia" w:ascii="宋体" w:hAnsi="宋体" w:eastAsia="宋体" w:cs="宋体"/>
                <w:sz w:val="24"/>
                <w:szCs w:val="24"/>
                <w:highlight w:val="none"/>
              </w:rPr>
              <w:t>公告查询链接及截图备查，保证业绩真实、周期完整、可核验真伪。</w:t>
            </w:r>
          </w:p>
          <w:p w14:paraId="66686EE2">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若为非政府采购、非公开招投标业绩（含企业、社会组织、直接采购项目等）：须提供加盖供应商公章的完整合同原件扫描件、与合同金额相符的有效发票及付款凭证（银行回单），保证业绩真实、周期完成、可核验真伪。</w:t>
            </w:r>
          </w:p>
          <w:p w14:paraId="7F12AED9">
            <w:pPr>
              <w:keepLines w:val="0"/>
              <w:pageBreakBefore w:val="0"/>
              <w:numPr>
                <w:ilvl w:val="0"/>
                <w:numId w:val="0"/>
              </w:numPr>
              <w:overflowPunct/>
              <w:topLinePunct w:val="0"/>
              <w:bidi w:val="0"/>
              <w:ind w:left="0" w:leftChars="0" w:firstLine="0" w:firstLineChars="0"/>
              <w:outlineLvl w:val="9"/>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所有业绩材料时间、金额、甲乙双方主体信息须逻辑一致，严禁挂靠、伪造、变造业绩，一经查实按照伪造虚假材料谋取中标处理，取消投标资格并上报监管部门严肃处理。</w:t>
            </w:r>
          </w:p>
          <w:p w14:paraId="60A8C4F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业绩认定以合同签订时间为准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未按要求提供完整证明材料的</w:t>
            </w:r>
            <w:r>
              <w:rPr>
                <w:rFonts w:hint="eastAsia" w:ascii="宋体" w:hAnsi="宋体" w:eastAsia="宋体" w:cs="宋体"/>
                <w:sz w:val="24"/>
                <w:szCs w:val="24"/>
                <w:highlight w:val="none"/>
                <w:lang w:eastAsia="zh-CN"/>
              </w:rPr>
              <w:t>以及</w:t>
            </w:r>
            <w:r>
              <w:rPr>
                <w:rFonts w:hint="eastAsia" w:ascii="宋体" w:hAnsi="宋体" w:eastAsia="宋体" w:cs="宋体"/>
                <w:sz w:val="24"/>
                <w:szCs w:val="24"/>
                <w:highlight w:val="none"/>
              </w:rPr>
              <w:t>提供的证明材料未显示日期及项目名称、无法定代表人或授权代表签字（签章）的，</w:t>
            </w:r>
            <w:r>
              <w:rPr>
                <w:rFonts w:hint="eastAsia" w:ascii="宋体" w:hAnsi="宋体" w:eastAsia="宋体" w:cs="宋体"/>
                <w:sz w:val="24"/>
                <w:szCs w:val="24"/>
                <w:highlight w:val="none"/>
                <w:lang w:eastAsia="zh-CN"/>
              </w:rPr>
              <w:t>均</w:t>
            </w:r>
            <w:r>
              <w:rPr>
                <w:rFonts w:hint="eastAsia" w:ascii="宋体" w:hAnsi="宋体" w:eastAsia="宋体" w:cs="宋体"/>
                <w:sz w:val="24"/>
                <w:szCs w:val="24"/>
                <w:highlight w:val="none"/>
              </w:rPr>
              <w:t>视为无效业绩，不得分。</w:t>
            </w:r>
          </w:p>
        </w:tc>
        <w:tc>
          <w:tcPr>
            <w:tcW w:w="526" w:type="pct"/>
            <w:tcBorders>
              <w:top w:val="nil"/>
              <w:left w:val="nil"/>
              <w:bottom w:val="single" w:color="auto" w:sz="4" w:space="0"/>
              <w:right w:val="single" w:color="auto" w:sz="4" w:space="0"/>
            </w:tcBorders>
            <w:vAlign w:val="center"/>
          </w:tcPr>
          <w:p w14:paraId="04ED36A8">
            <w:pPr>
              <w:jc w:val="both"/>
              <w:rPr>
                <w:bCs/>
                <w:color w:val="auto"/>
                <w:sz w:val="24"/>
                <w:highlight w:val="none"/>
              </w:rPr>
            </w:pPr>
          </w:p>
        </w:tc>
      </w:tr>
      <w:tr w14:paraId="537E390C">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7B4D4F7">
            <w:pPr>
              <w:jc w:val="both"/>
              <w:rPr>
                <w:rFonts w:ascii="宋体" w:hAnsi="宋体"/>
                <w:bCs/>
                <w:color w:val="auto"/>
                <w:sz w:val="24"/>
                <w:highlight w:val="none"/>
              </w:rPr>
            </w:pPr>
            <w:r>
              <w:rPr>
                <w:rFonts w:ascii="宋体" w:hAnsi="宋体"/>
                <w:bCs/>
                <w:color w:val="auto"/>
                <w:sz w:val="24"/>
                <w:highlight w:val="none"/>
              </w:rPr>
              <w:t>2</w:t>
            </w:r>
          </w:p>
        </w:tc>
        <w:tc>
          <w:tcPr>
            <w:tcW w:w="8586" w:type="dxa"/>
            <w:tcBorders>
              <w:top w:val="nil"/>
              <w:left w:val="nil"/>
              <w:bottom w:val="single" w:color="auto" w:sz="4" w:space="0"/>
              <w:right w:val="single" w:color="auto" w:sz="4" w:space="0"/>
            </w:tcBorders>
            <w:vAlign w:val="center"/>
          </w:tcPr>
          <w:p w14:paraId="0C053C6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配送人员</w:t>
            </w:r>
          </w:p>
          <w:p w14:paraId="57B6C0A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13A3289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c>
          <w:tcPr>
            <w:tcW w:w="526" w:type="pct"/>
            <w:tcBorders>
              <w:top w:val="nil"/>
              <w:left w:val="nil"/>
              <w:bottom w:val="single" w:color="auto" w:sz="4" w:space="0"/>
              <w:right w:val="single" w:color="auto" w:sz="4" w:space="0"/>
            </w:tcBorders>
            <w:vAlign w:val="center"/>
          </w:tcPr>
          <w:p w14:paraId="360A8020">
            <w:pPr>
              <w:jc w:val="both"/>
              <w:rPr>
                <w:bCs/>
                <w:color w:val="auto"/>
                <w:sz w:val="24"/>
                <w:highlight w:val="none"/>
              </w:rPr>
            </w:pPr>
          </w:p>
        </w:tc>
      </w:tr>
      <w:tr w14:paraId="2D3E2751">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06B3BB7">
            <w:pPr>
              <w:jc w:val="both"/>
              <w:rPr>
                <w:rFonts w:ascii="宋体" w:hAnsi="宋体"/>
                <w:bCs/>
                <w:color w:val="auto"/>
                <w:sz w:val="24"/>
                <w:highlight w:val="none"/>
              </w:rPr>
            </w:pPr>
            <w:r>
              <w:rPr>
                <w:rFonts w:ascii="宋体" w:hAnsi="宋体"/>
                <w:bCs/>
                <w:color w:val="auto"/>
                <w:sz w:val="24"/>
                <w:highlight w:val="none"/>
              </w:rPr>
              <w:t>3</w:t>
            </w:r>
          </w:p>
        </w:tc>
        <w:tc>
          <w:tcPr>
            <w:tcW w:w="8586" w:type="dxa"/>
            <w:tcBorders>
              <w:top w:val="nil"/>
              <w:left w:val="nil"/>
              <w:bottom w:val="single" w:color="auto" w:sz="4" w:space="0"/>
              <w:right w:val="single" w:color="auto" w:sz="4" w:space="0"/>
            </w:tcBorders>
            <w:vAlign w:val="center"/>
          </w:tcPr>
          <w:p w14:paraId="36E45F8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临时订货</w:t>
            </w:r>
          </w:p>
          <w:p w14:paraId="26A4076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7494117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c>
          <w:tcPr>
            <w:tcW w:w="526" w:type="pct"/>
            <w:tcBorders>
              <w:top w:val="nil"/>
              <w:left w:val="nil"/>
              <w:bottom w:val="single" w:color="auto" w:sz="4" w:space="0"/>
              <w:right w:val="single" w:color="auto" w:sz="4" w:space="0"/>
            </w:tcBorders>
            <w:vAlign w:val="center"/>
          </w:tcPr>
          <w:p w14:paraId="419AE656">
            <w:pPr>
              <w:jc w:val="both"/>
              <w:rPr>
                <w:bCs/>
                <w:color w:val="auto"/>
                <w:sz w:val="24"/>
                <w:highlight w:val="none"/>
              </w:rPr>
            </w:pPr>
          </w:p>
        </w:tc>
      </w:tr>
      <w:tr w14:paraId="178C9434">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864BDB2">
            <w:pPr>
              <w:jc w:val="both"/>
              <w:rPr>
                <w:rFonts w:ascii="宋体" w:hAnsi="宋体"/>
                <w:bCs/>
                <w:color w:val="auto"/>
                <w:sz w:val="24"/>
                <w:highlight w:val="none"/>
              </w:rPr>
            </w:pPr>
            <w:r>
              <w:rPr>
                <w:rFonts w:ascii="宋体" w:hAnsi="宋体"/>
                <w:bCs/>
                <w:color w:val="auto"/>
                <w:sz w:val="24"/>
                <w:highlight w:val="none"/>
              </w:rPr>
              <w:t>4</w:t>
            </w:r>
          </w:p>
        </w:tc>
        <w:tc>
          <w:tcPr>
            <w:tcW w:w="8586" w:type="dxa"/>
            <w:tcBorders>
              <w:top w:val="nil"/>
              <w:left w:val="nil"/>
              <w:bottom w:val="single" w:color="auto" w:sz="4" w:space="0"/>
              <w:right w:val="single" w:color="auto" w:sz="4" w:space="0"/>
            </w:tcBorders>
            <w:vAlign w:val="center"/>
          </w:tcPr>
          <w:p w14:paraId="43EFEC7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仓储条件及货源保证</w:t>
            </w:r>
          </w:p>
          <w:p w14:paraId="1006194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裕民县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267001C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56B03A5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31A1585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3C1DF7E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c>
          <w:tcPr>
            <w:tcW w:w="526" w:type="pct"/>
            <w:tcBorders>
              <w:top w:val="nil"/>
              <w:left w:val="nil"/>
              <w:bottom w:val="single" w:color="auto" w:sz="4" w:space="0"/>
              <w:right w:val="single" w:color="auto" w:sz="4" w:space="0"/>
            </w:tcBorders>
            <w:vAlign w:val="center"/>
          </w:tcPr>
          <w:p w14:paraId="7F04E474">
            <w:pPr>
              <w:jc w:val="both"/>
              <w:rPr>
                <w:bCs/>
                <w:color w:val="auto"/>
                <w:sz w:val="24"/>
                <w:highlight w:val="none"/>
              </w:rPr>
            </w:pPr>
          </w:p>
        </w:tc>
      </w:tr>
      <w:tr w14:paraId="6F608551">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8A60E32">
            <w:pPr>
              <w:jc w:val="both"/>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8586" w:type="dxa"/>
            <w:tcBorders>
              <w:top w:val="single" w:color="auto" w:sz="4" w:space="0"/>
              <w:left w:val="nil"/>
              <w:bottom w:val="single" w:color="auto" w:sz="4" w:space="0"/>
              <w:right w:val="single" w:color="auto" w:sz="4" w:space="0"/>
            </w:tcBorders>
            <w:vAlign w:val="center"/>
          </w:tcPr>
          <w:p w14:paraId="122A0A90">
            <w:pPr>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p w14:paraId="00BFB64E">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供应商提供有效的食品安全责任险投保凭证，且保险金额达到400万元及以上的，得3分；保险金额在200万元（含）至400万元（不含）之间的，得1.5分；未提供投保凭证或保险金额不足200万元的，不得分。</w:t>
            </w:r>
          </w:p>
        </w:tc>
        <w:tc>
          <w:tcPr>
            <w:tcW w:w="526" w:type="pct"/>
            <w:tcBorders>
              <w:top w:val="single" w:color="auto" w:sz="4" w:space="0"/>
              <w:left w:val="nil"/>
              <w:bottom w:val="single" w:color="auto" w:sz="4" w:space="0"/>
              <w:right w:val="single" w:color="auto" w:sz="4" w:space="0"/>
            </w:tcBorders>
            <w:vAlign w:val="center"/>
          </w:tcPr>
          <w:p w14:paraId="6183A67F">
            <w:pPr>
              <w:jc w:val="both"/>
              <w:rPr>
                <w:bCs/>
                <w:color w:val="auto"/>
                <w:sz w:val="24"/>
                <w:highlight w:val="none"/>
              </w:rPr>
            </w:pPr>
          </w:p>
        </w:tc>
      </w:tr>
      <w:tr w14:paraId="0A2185C2">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EEA61F9">
            <w:pPr>
              <w:jc w:val="both"/>
              <w:rPr>
                <w:rFonts w:hint="eastAsia" w:eastAsia="宋体"/>
                <w:bCs/>
                <w:color w:val="auto"/>
                <w:sz w:val="24"/>
                <w:highlight w:val="none"/>
                <w:lang w:val="en-US" w:eastAsia="zh-CN"/>
              </w:rPr>
            </w:pPr>
            <w:r>
              <w:rPr>
                <w:rFonts w:hint="eastAsia"/>
                <w:bCs/>
                <w:color w:val="auto"/>
                <w:sz w:val="24"/>
                <w:highlight w:val="none"/>
                <w:lang w:val="en-US" w:eastAsia="zh-CN"/>
              </w:rPr>
              <w:t>6</w:t>
            </w:r>
          </w:p>
        </w:tc>
        <w:tc>
          <w:tcPr>
            <w:tcW w:w="8586" w:type="dxa"/>
            <w:tcBorders>
              <w:top w:val="single" w:color="auto" w:sz="4" w:space="0"/>
              <w:left w:val="nil"/>
              <w:bottom w:val="single" w:color="auto" w:sz="4" w:space="0"/>
              <w:right w:val="single" w:color="auto" w:sz="4" w:space="0"/>
            </w:tcBorders>
            <w:vAlign w:val="center"/>
          </w:tcPr>
          <w:p w14:paraId="3C7D52C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配送方案</w:t>
            </w:r>
          </w:p>
          <w:p w14:paraId="242EAE2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裕民县7个点位、兵团1个点位（其中片区内最远的察汗托海派出所距离裕民县30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C4A7FD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58C2052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c>
          <w:tcPr>
            <w:tcW w:w="526" w:type="pct"/>
            <w:tcBorders>
              <w:top w:val="single" w:color="auto" w:sz="4" w:space="0"/>
              <w:left w:val="nil"/>
              <w:bottom w:val="single" w:color="auto" w:sz="4" w:space="0"/>
              <w:right w:val="single" w:color="auto" w:sz="4" w:space="0"/>
            </w:tcBorders>
            <w:vAlign w:val="center"/>
          </w:tcPr>
          <w:p w14:paraId="13E6920F">
            <w:pPr>
              <w:jc w:val="both"/>
              <w:rPr>
                <w:bCs/>
                <w:color w:val="auto"/>
                <w:sz w:val="24"/>
                <w:highlight w:val="none"/>
              </w:rPr>
            </w:pPr>
          </w:p>
        </w:tc>
      </w:tr>
      <w:tr w14:paraId="1EB0EB97">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A55E057">
            <w:pPr>
              <w:jc w:val="both"/>
              <w:rPr>
                <w:rFonts w:hint="eastAsia" w:eastAsia="宋体"/>
                <w:bCs/>
                <w:color w:val="auto"/>
                <w:sz w:val="24"/>
                <w:highlight w:val="none"/>
                <w:lang w:val="en-US" w:eastAsia="zh-CN"/>
              </w:rPr>
            </w:pPr>
            <w:r>
              <w:rPr>
                <w:rFonts w:hint="eastAsia"/>
                <w:bCs/>
                <w:color w:val="auto"/>
                <w:sz w:val="24"/>
                <w:highlight w:val="none"/>
                <w:lang w:val="en-US" w:eastAsia="zh-CN"/>
              </w:rPr>
              <w:t>7</w:t>
            </w:r>
          </w:p>
        </w:tc>
        <w:tc>
          <w:tcPr>
            <w:tcW w:w="8586" w:type="dxa"/>
            <w:tcBorders>
              <w:top w:val="single" w:color="auto" w:sz="4" w:space="0"/>
              <w:left w:val="single" w:color="auto" w:sz="4" w:space="0"/>
              <w:bottom w:val="single" w:color="auto" w:sz="4" w:space="0"/>
              <w:right w:val="single" w:color="auto" w:sz="4" w:space="0"/>
            </w:tcBorders>
            <w:vAlign w:val="center"/>
          </w:tcPr>
          <w:p w14:paraId="0C4E814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质量保证</w:t>
            </w:r>
          </w:p>
          <w:p w14:paraId="252E362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250C0D2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74673DFA">
            <w:pPr>
              <w:jc w:val="both"/>
              <w:rPr>
                <w:bCs/>
                <w:color w:val="auto"/>
                <w:sz w:val="24"/>
                <w:highlight w:val="none"/>
              </w:rPr>
            </w:pPr>
          </w:p>
        </w:tc>
      </w:tr>
      <w:tr w14:paraId="22CEDEA6">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5AA3ECF">
            <w:pPr>
              <w:jc w:val="both"/>
              <w:rPr>
                <w:rFonts w:hint="eastAsia" w:eastAsia="宋体"/>
                <w:bCs/>
                <w:color w:val="auto"/>
                <w:sz w:val="24"/>
                <w:highlight w:val="none"/>
                <w:lang w:val="en-US" w:eastAsia="zh-CN"/>
              </w:rPr>
            </w:pPr>
            <w:r>
              <w:rPr>
                <w:rFonts w:hint="eastAsia"/>
                <w:bCs/>
                <w:color w:val="auto"/>
                <w:sz w:val="24"/>
                <w:highlight w:val="none"/>
                <w:lang w:val="en-US" w:eastAsia="zh-CN"/>
              </w:rPr>
              <w:t>8</w:t>
            </w:r>
          </w:p>
        </w:tc>
        <w:tc>
          <w:tcPr>
            <w:tcW w:w="8586" w:type="dxa"/>
            <w:tcBorders>
              <w:top w:val="single" w:color="auto" w:sz="4" w:space="0"/>
              <w:left w:val="single" w:color="auto" w:sz="4" w:space="0"/>
              <w:bottom w:val="single" w:color="auto" w:sz="4" w:space="0"/>
              <w:right w:val="single" w:color="auto" w:sz="4" w:space="0"/>
            </w:tcBorders>
            <w:vAlign w:val="center"/>
          </w:tcPr>
          <w:p w14:paraId="605D7D1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p w14:paraId="74585F0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4E582E8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0B02EF7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414A54ED">
            <w:pPr>
              <w:jc w:val="both"/>
              <w:rPr>
                <w:bCs/>
                <w:color w:val="auto"/>
                <w:sz w:val="24"/>
                <w:highlight w:val="none"/>
              </w:rPr>
            </w:pPr>
          </w:p>
        </w:tc>
      </w:tr>
      <w:tr w14:paraId="2C1B6F00">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AD09553">
            <w:pPr>
              <w:jc w:val="both"/>
              <w:rPr>
                <w:rFonts w:hint="default"/>
                <w:bCs/>
                <w:color w:val="auto"/>
                <w:sz w:val="24"/>
                <w:highlight w:val="none"/>
                <w:lang w:val="en-US" w:eastAsia="zh-CN"/>
              </w:rPr>
            </w:pPr>
            <w:r>
              <w:rPr>
                <w:rFonts w:hint="eastAsia"/>
                <w:bCs/>
                <w:color w:val="auto"/>
                <w:sz w:val="24"/>
                <w:highlight w:val="none"/>
                <w:lang w:val="en-US" w:eastAsia="zh-CN"/>
              </w:rPr>
              <w:t>9</w:t>
            </w:r>
          </w:p>
        </w:tc>
        <w:tc>
          <w:tcPr>
            <w:tcW w:w="8586" w:type="dxa"/>
            <w:tcBorders>
              <w:top w:val="single" w:color="auto" w:sz="4" w:space="0"/>
              <w:left w:val="single" w:color="auto" w:sz="4" w:space="0"/>
              <w:bottom w:val="single" w:color="auto" w:sz="4" w:space="0"/>
              <w:right w:val="single" w:color="auto" w:sz="4" w:space="0"/>
            </w:tcBorders>
            <w:vAlign w:val="center"/>
          </w:tcPr>
          <w:p w14:paraId="2576DB2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应急处置</w:t>
            </w:r>
          </w:p>
          <w:p w14:paraId="24F3691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c>
          <w:tcPr>
            <w:tcW w:w="526" w:type="pct"/>
            <w:tcBorders>
              <w:top w:val="single" w:color="auto" w:sz="4" w:space="0"/>
              <w:left w:val="single" w:color="auto" w:sz="4" w:space="0"/>
              <w:bottom w:val="single" w:color="auto" w:sz="4" w:space="0"/>
              <w:right w:val="single" w:color="auto" w:sz="4" w:space="0"/>
            </w:tcBorders>
            <w:vAlign w:val="center"/>
          </w:tcPr>
          <w:p w14:paraId="604C1D3D">
            <w:pPr>
              <w:jc w:val="both"/>
              <w:rPr>
                <w:bCs/>
                <w:color w:val="auto"/>
                <w:sz w:val="24"/>
                <w:highlight w:val="none"/>
              </w:rPr>
            </w:pPr>
          </w:p>
        </w:tc>
      </w:tr>
    </w:tbl>
    <w:p w14:paraId="11804A37">
      <w:pPr>
        <w:rPr>
          <w:rFonts w:hint="eastAsia"/>
          <w:color w:val="auto"/>
          <w:highlight w:val="none"/>
        </w:rPr>
      </w:pPr>
      <w:r>
        <w:rPr>
          <w:rFonts w:hint="eastAsia"/>
          <w:color w:val="auto"/>
          <w:highlight w:val="none"/>
        </w:rPr>
        <w:br w:type="page"/>
      </w:r>
    </w:p>
    <w:p w14:paraId="0F0BC53A">
      <w:pPr>
        <w:pStyle w:val="8"/>
        <w:spacing w:before="130" w:line="219" w:lineRule="auto"/>
        <w:ind w:left="25"/>
        <w:rPr>
          <w:color w:val="auto"/>
          <w:sz w:val="30"/>
          <w:szCs w:val="30"/>
          <w:highlight w:val="none"/>
        </w:rPr>
      </w:pPr>
      <w:r>
        <w:rPr>
          <w:b/>
          <w:bCs/>
          <w:color w:val="auto"/>
          <w:spacing w:val="-12"/>
          <w:sz w:val="30"/>
          <w:szCs w:val="30"/>
          <w:highlight w:val="none"/>
        </w:rPr>
        <w:t>附件一：</w:t>
      </w:r>
    </w:p>
    <w:p w14:paraId="1AD0EF7F">
      <w:pPr>
        <w:pStyle w:val="8"/>
        <w:spacing w:before="268" w:line="220" w:lineRule="auto"/>
        <w:ind w:left="3963"/>
        <w:rPr>
          <w:color w:val="auto"/>
          <w:sz w:val="30"/>
          <w:szCs w:val="30"/>
          <w:highlight w:val="none"/>
        </w:rPr>
      </w:pPr>
      <w:r>
        <w:rPr>
          <w:b/>
          <w:bCs/>
          <w:color w:val="auto"/>
          <w:spacing w:val="-8"/>
          <w:sz w:val="30"/>
          <w:szCs w:val="30"/>
          <w:highlight w:val="none"/>
        </w:rPr>
        <w:t>投标函</w:t>
      </w:r>
    </w:p>
    <w:p w14:paraId="410353CD">
      <w:pPr>
        <w:pStyle w:val="8"/>
        <w:spacing w:before="251" w:line="219" w:lineRule="auto"/>
        <w:rPr>
          <w:color w:val="auto"/>
          <w:highlight w:val="none"/>
        </w:rPr>
      </w:pPr>
      <w:r>
        <w:rPr>
          <w:rFonts w:hint="eastAsia"/>
          <w:color w:val="auto"/>
          <w:spacing w:val="-1"/>
          <w:highlight w:val="none"/>
          <w:u w:val="single" w:color="auto"/>
        </w:rPr>
        <w:t>新疆驿松工程项目管理有限公司</w:t>
      </w:r>
      <w:r>
        <w:rPr>
          <w:color w:val="auto"/>
          <w:spacing w:val="-1"/>
          <w:highlight w:val="none"/>
          <w:u w:val="single" w:color="auto"/>
        </w:rPr>
        <w:t>：</w:t>
      </w:r>
    </w:p>
    <w:p w14:paraId="61ED47A8">
      <w:pPr>
        <w:pStyle w:val="8"/>
        <w:spacing w:before="153" w:line="339" w:lineRule="auto"/>
        <w:ind w:left="1" w:right="74" w:firstLine="480"/>
        <w:rPr>
          <w:color w:val="auto"/>
          <w:highlight w:val="none"/>
        </w:rPr>
      </w:pPr>
      <w:r>
        <w:rPr>
          <w:color w:val="auto"/>
          <w:spacing w:val="-6"/>
          <w:highlight w:val="none"/>
        </w:rPr>
        <w:t xml:space="preserve">我方收到贵方 </w:t>
      </w:r>
      <w:r>
        <w:rPr>
          <w:color w:val="auto"/>
          <w:spacing w:val="-6"/>
          <w:highlight w:val="none"/>
          <w:u w:val="single" w:color="auto"/>
        </w:rPr>
        <w:t xml:space="preserve">       </w:t>
      </w:r>
      <w:r>
        <w:rPr>
          <w:color w:val="auto"/>
          <w:spacing w:val="-6"/>
          <w:highlight w:val="none"/>
        </w:rPr>
        <w:t>（标项名称、项目编号）的招标文</w:t>
      </w:r>
      <w:r>
        <w:rPr>
          <w:color w:val="auto"/>
          <w:spacing w:val="-7"/>
          <w:highlight w:val="none"/>
        </w:rPr>
        <w:t>件，经仔细阅读和研究，</w:t>
      </w:r>
      <w:r>
        <w:rPr>
          <w:color w:val="auto"/>
          <w:spacing w:val="-2"/>
          <w:highlight w:val="none"/>
        </w:rPr>
        <w:t>我方决定参加投标。</w:t>
      </w:r>
    </w:p>
    <w:p w14:paraId="3FEA2C81">
      <w:pPr>
        <w:pStyle w:val="8"/>
        <w:spacing w:before="2" w:line="337" w:lineRule="auto"/>
        <w:ind w:left="1" w:right="136" w:firstLine="492"/>
        <w:rPr>
          <w:color w:val="auto"/>
          <w:highlight w:val="none"/>
        </w:rPr>
      </w:pPr>
      <w:r>
        <w:rPr>
          <w:color w:val="auto"/>
          <w:spacing w:val="1"/>
          <w:highlight w:val="none"/>
        </w:rPr>
        <w:t>l、我方愿意按照招标文件的一切要求，提供以上服务，同时负责维护、售后服</w:t>
      </w:r>
      <w:r>
        <w:rPr>
          <w:color w:val="auto"/>
          <w:spacing w:val="-7"/>
          <w:highlight w:val="none"/>
        </w:rPr>
        <w:t>务等，总价格及明细见《报价表》。</w:t>
      </w:r>
    </w:p>
    <w:p w14:paraId="4ED3B978">
      <w:pPr>
        <w:pStyle w:val="8"/>
        <w:spacing w:before="2" w:line="338" w:lineRule="auto"/>
        <w:ind w:left="1" w:right="74" w:firstLine="480"/>
        <w:rPr>
          <w:color w:val="auto"/>
          <w:highlight w:val="none"/>
        </w:rPr>
      </w:pPr>
      <w:r>
        <w:rPr>
          <w:color w:val="auto"/>
          <w:spacing w:val="-4"/>
          <w:highlight w:val="none"/>
        </w:rPr>
        <w:t>2、如果我方的投标文件被接受，我方将严格履行招标文件中规定的每一项要求，</w:t>
      </w:r>
      <w:r>
        <w:rPr>
          <w:color w:val="auto"/>
          <w:spacing w:val="-1"/>
          <w:highlight w:val="none"/>
        </w:rPr>
        <w:t>按期、按质、按量履行服务义务。</w:t>
      </w:r>
    </w:p>
    <w:p w14:paraId="47354447">
      <w:pPr>
        <w:pStyle w:val="8"/>
        <w:spacing w:before="1" w:line="338" w:lineRule="auto"/>
        <w:ind w:right="135" w:firstLine="484"/>
        <w:rPr>
          <w:color w:val="auto"/>
          <w:highlight w:val="none"/>
        </w:rPr>
      </w:pPr>
      <w:r>
        <w:rPr>
          <w:color w:val="auto"/>
          <w:spacing w:val="-5"/>
          <w:highlight w:val="none"/>
        </w:rPr>
        <w:t>3、供应商已详细审查全部招标文件，包括所</w:t>
      </w:r>
      <w:r>
        <w:rPr>
          <w:color w:val="auto"/>
          <w:spacing w:val="-6"/>
          <w:highlight w:val="none"/>
        </w:rPr>
        <w:t>有补充通知（如果有的话）。我们完</w:t>
      </w:r>
      <w:r>
        <w:rPr>
          <w:color w:val="auto"/>
          <w:spacing w:val="-1"/>
          <w:highlight w:val="none"/>
        </w:rPr>
        <w:t>全理解并同意放弃对这方面有不明、误解和质疑的权力。</w:t>
      </w:r>
    </w:p>
    <w:p w14:paraId="5AC731C4">
      <w:pPr>
        <w:pStyle w:val="8"/>
        <w:tabs>
          <w:tab w:val="left" w:pos="1430"/>
        </w:tabs>
        <w:spacing w:before="2" w:line="337" w:lineRule="auto"/>
        <w:ind w:left="590" w:right="316" w:firstLine="8"/>
        <w:rPr>
          <w:color w:val="auto"/>
          <w:highlight w:val="none"/>
        </w:rPr>
      </w:pPr>
      <w:r>
        <w:rPr>
          <w:color w:val="auto"/>
          <w:highlight w:val="none"/>
        </w:rPr>
        <w:t>4、我方同意按招标文件中的规定，本投标文件的有效</w:t>
      </w:r>
      <w:r>
        <w:rPr>
          <w:color w:val="auto"/>
          <w:spacing w:val="-1"/>
          <w:highlight w:val="none"/>
        </w:rPr>
        <w:t>期为自投标截止之日起</w:t>
      </w:r>
      <w:r>
        <w:rPr>
          <w:color w:val="auto"/>
          <w:highlight w:val="none"/>
          <w:u w:val="single" w:color="auto"/>
        </w:rPr>
        <w:tab/>
      </w:r>
      <w:r>
        <w:rPr>
          <w:color w:val="auto"/>
          <w:spacing w:val="-110"/>
          <w:highlight w:val="none"/>
        </w:rPr>
        <w:t xml:space="preserve"> </w:t>
      </w:r>
      <w:r>
        <w:rPr>
          <w:color w:val="auto"/>
          <w:highlight w:val="none"/>
        </w:rPr>
        <w:t>个日历日，遵守本投标文件中的承诺且在此</w:t>
      </w:r>
      <w:r>
        <w:rPr>
          <w:color w:val="auto"/>
          <w:spacing w:val="-1"/>
          <w:highlight w:val="none"/>
        </w:rPr>
        <w:t>期满之前均具有约束力。</w:t>
      </w:r>
    </w:p>
    <w:p w14:paraId="0830EE07">
      <w:pPr>
        <w:pStyle w:val="8"/>
        <w:spacing w:before="1" w:line="219" w:lineRule="auto"/>
        <w:ind w:left="604"/>
        <w:outlineLvl w:val="1"/>
        <w:rPr>
          <w:color w:val="auto"/>
          <w:highlight w:val="none"/>
        </w:rPr>
      </w:pPr>
      <w:r>
        <w:rPr>
          <w:color w:val="auto"/>
          <w:spacing w:val="-1"/>
          <w:highlight w:val="none"/>
        </w:rPr>
        <w:t>5、我方将按招标文件的规定履行合同责任和义务。</w:t>
      </w:r>
    </w:p>
    <w:p w14:paraId="35060A4A">
      <w:pPr>
        <w:pStyle w:val="8"/>
        <w:spacing w:before="156" w:line="338" w:lineRule="auto"/>
        <w:ind w:left="2" w:right="135" w:firstLine="599"/>
        <w:rPr>
          <w:color w:val="auto"/>
          <w:highlight w:val="none"/>
        </w:rPr>
      </w:pPr>
      <w:r>
        <w:rPr>
          <w:color w:val="auto"/>
          <w:spacing w:val="-2"/>
          <w:highlight w:val="none"/>
        </w:rPr>
        <w:t>6、在规定的开标时间后，如果在投标有效期内撤回投标，同意投标保证</w:t>
      </w:r>
      <w:r>
        <w:rPr>
          <w:color w:val="auto"/>
          <w:spacing w:val="-3"/>
          <w:highlight w:val="none"/>
        </w:rPr>
        <w:t>金将被贵方没收。</w:t>
      </w:r>
    </w:p>
    <w:p w14:paraId="09E24C44">
      <w:pPr>
        <w:pStyle w:val="8"/>
        <w:spacing w:before="2" w:line="338" w:lineRule="auto"/>
        <w:ind w:left="2" w:right="135" w:firstLine="602"/>
        <w:rPr>
          <w:color w:val="auto"/>
          <w:highlight w:val="none"/>
        </w:rPr>
      </w:pPr>
      <w:r>
        <w:rPr>
          <w:color w:val="auto"/>
          <w:spacing w:val="-2"/>
          <w:highlight w:val="none"/>
        </w:rPr>
        <w:t>7、供应商同意提供按照贵方可能要求的与其投标有关的一切数</w:t>
      </w:r>
      <w:r>
        <w:rPr>
          <w:color w:val="auto"/>
          <w:spacing w:val="-3"/>
          <w:highlight w:val="none"/>
        </w:rPr>
        <w:t>据或资料，完全</w:t>
      </w:r>
      <w:r>
        <w:rPr>
          <w:color w:val="auto"/>
          <w:spacing w:val="-1"/>
          <w:highlight w:val="none"/>
        </w:rPr>
        <w:t>理解贵方不一定接受最低报价的投标或收到的任何投标的约定。</w:t>
      </w:r>
    </w:p>
    <w:p w14:paraId="2F1F5811">
      <w:pPr>
        <w:pStyle w:val="8"/>
        <w:spacing w:before="2" w:line="338" w:lineRule="auto"/>
        <w:ind w:right="135" w:firstLine="600"/>
        <w:rPr>
          <w:color w:val="auto"/>
          <w:highlight w:val="none"/>
        </w:rPr>
      </w:pPr>
      <w:r>
        <w:rPr>
          <w:color w:val="auto"/>
          <w:spacing w:val="-2"/>
          <w:highlight w:val="none"/>
        </w:rPr>
        <w:t>8、我方在投标文件和投标中所作的承诺在开标后保持有效，不作任何更改</w:t>
      </w:r>
      <w:r>
        <w:rPr>
          <w:color w:val="auto"/>
          <w:spacing w:val="-3"/>
          <w:highlight w:val="none"/>
        </w:rPr>
        <w:t>和变</w:t>
      </w:r>
      <w:r>
        <w:rPr>
          <w:color w:val="auto"/>
          <w:spacing w:val="-6"/>
          <w:highlight w:val="none"/>
        </w:rPr>
        <w:t>动。</w:t>
      </w:r>
    </w:p>
    <w:p w14:paraId="17B58BFF">
      <w:pPr>
        <w:pStyle w:val="8"/>
        <w:spacing w:line="219" w:lineRule="auto"/>
        <w:ind w:left="600"/>
        <w:rPr>
          <w:color w:val="auto"/>
          <w:highlight w:val="none"/>
        </w:rPr>
      </w:pPr>
      <w:r>
        <w:rPr>
          <w:color w:val="auto"/>
          <w:spacing w:val="-1"/>
          <w:highlight w:val="none"/>
        </w:rPr>
        <w:t>9、我方愿意按招标文件的规定交纳</w:t>
      </w:r>
      <w:r>
        <w:rPr>
          <w:color w:val="auto"/>
          <w:spacing w:val="-1"/>
          <w:highlight w:val="none"/>
          <w:u w:val="single" w:color="auto"/>
        </w:rPr>
        <w:t xml:space="preserve">         </w:t>
      </w:r>
      <w:r>
        <w:rPr>
          <w:color w:val="auto"/>
          <w:spacing w:val="-99"/>
          <w:highlight w:val="none"/>
        </w:rPr>
        <w:t xml:space="preserve"> </w:t>
      </w:r>
      <w:r>
        <w:rPr>
          <w:color w:val="auto"/>
          <w:spacing w:val="-1"/>
          <w:highlight w:val="none"/>
        </w:rPr>
        <w:t>元的投标保证金。</w:t>
      </w:r>
    </w:p>
    <w:p w14:paraId="75D46630">
      <w:pPr>
        <w:pStyle w:val="8"/>
        <w:spacing w:before="154" w:line="219" w:lineRule="auto"/>
        <w:ind w:left="617"/>
        <w:outlineLvl w:val="1"/>
        <w:rPr>
          <w:color w:val="auto"/>
          <w:highlight w:val="none"/>
        </w:rPr>
      </w:pPr>
      <w:r>
        <w:rPr>
          <w:color w:val="auto"/>
          <w:spacing w:val="-1"/>
          <w:highlight w:val="none"/>
        </w:rPr>
        <w:t>10、我方承诺投标文件中的证明材料真实、合法、</w:t>
      </w:r>
      <w:r>
        <w:rPr>
          <w:color w:val="auto"/>
          <w:spacing w:val="-2"/>
          <w:highlight w:val="none"/>
        </w:rPr>
        <w:t>有效。</w:t>
      </w:r>
    </w:p>
    <w:p w14:paraId="1EC740FB">
      <w:pPr>
        <w:pStyle w:val="8"/>
        <w:spacing w:before="154" w:line="339" w:lineRule="auto"/>
        <w:ind w:right="55" w:firstLine="616"/>
        <w:jc w:val="both"/>
        <w:rPr>
          <w:color w:val="auto"/>
          <w:highlight w:val="none"/>
        </w:rPr>
      </w:pPr>
      <w:r>
        <w:rPr>
          <w:color w:val="auto"/>
          <w:spacing w:val="1"/>
          <w:highlight w:val="none"/>
        </w:rPr>
        <w:t>11、若我方获得中标，我方保证按有关规定向贵方支付服务费。我方</w:t>
      </w:r>
      <w:r>
        <w:rPr>
          <w:color w:val="auto"/>
          <w:highlight w:val="none"/>
        </w:rPr>
        <w:t>承诺接受</w:t>
      </w:r>
      <w:r>
        <w:rPr>
          <w:color w:val="auto"/>
          <w:spacing w:val="-6"/>
          <w:highlight w:val="none"/>
        </w:rPr>
        <w:t>招标文件及澄清修改部分（如有）的全部条款（包括投标文件递交截止时间、</w:t>
      </w:r>
      <w:r>
        <w:rPr>
          <w:color w:val="auto"/>
          <w:spacing w:val="-7"/>
          <w:highlight w:val="none"/>
        </w:rPr>
        <w:t>保证金、</w:t>
      </w:r>
      <w:r>
        <w:rPr>
          <w:color w:val="auto"/>
          <w:spacing w:val="-2"/>
          <w:highlight w:val="none"/>
        </w:rPr>
        <w:t>资格评审条件、中标标准以及采购需求等其他所有条款）且无任何异议，现向贵公司提出承诺报价。</w:t>
      </w:r>
    </w:p>
    <w:p w14:paraId="618B0F59">
      <w:pPr>
        <w:pStyle w:val="8"/>
        <w:spacing w:line="218" w:lineRule="auto"/>
        <w:ind w:left="480"/>
        <w:rPr>
          <w:color w:val="auto"/>
          <w:highlight w:val="none"/>
        </w:rPr>
      </w:pPr>
      <w:r>
        <w:rPr>
          <w:color w:val="auto"/>
          <w:spacing w:val="-1"/>
          <w:highlight w:val="none"/>
        </w:rPr>
        <w:t>所有有关标书的函电，请按下列地址联系：</w:t>
      </w:r>
    </w:p>
    <w:p w14:paraId="10602479">
      <w:pPr>
        <w:pStyle w:val="8"/>
        <w:spacing w:before="155" w:line="229" w:lineRule="auto"/>
        <w:rPr>
          <w:color w:val="auto"/>
          <w:highlight w:val="none"/>
        </w:rPr>
      </w:pPr>
      <w:r>
        <w:rPr>
          <w:color w:val="auto"/>
          <w:spacing w:val="-17"/>
          <w:highlight w:val="none"/>
        </w:rPr>
        <w:t>地</w:t>
      </w:r>
      <w:r>
        <w:rPr>
          <w:color w:val="auto"/>
          <w:spacing w:val="1"/>
          <w:highlight w:val="none"/>
        </w:rPr>
        <w:t xml:space="preserve">      </w:t>
      </w:r>
      <w:r>
        <w:rPr>
          <w:color w:val="auto"/>
          <w:spacing w:val="-17"/>
          <w:highlight w:val="none"/>
        </w:rPr>
        <w:t>址</w:t>
      </w:r>
      <w:r>
        <w:rPr>
          <w:color w:val="auto"/>
          <w:spacing w:val="-86"/>
          <w:highlight w:val="none"/>
        </w:rPr>
        <w:t xml:space="preserve"> </w:t>
      </w:r>
      <w:r>
        <w:rPr>
          <w:color w:val="auto"/>
          <w:spacing w:val="-17"/>
          <w:highlight w:val="none"/>
        </w:rPr>
        <w:t>：</w:t>
      </w:r>
      <w:r>
        <w:rPr>
          <w:color w:val="auto"/>
          <w:highlight w:val="none"/>
          <w:u w:val="single" w:color="auto"/>
        </w:rPr>
        <w:t xml:space="preserve">                 </w:t>
      </w:r>
    </w:p>
    <w:p w14:paraId="3C66AB46">
      <w:pPr>
        <w:pStyle w:val="8"/>
        <w:spacing w:before="143" w:line="221" w:lineRule="auto"/>
        <w:ind w:left="28"/>
        <w:rPr>
          <w:color w:val="auto"/>
          <w:highlight w:val="none"/>
        </w:rPr>
      </w:pPr>
      <w:r>
        <w:rPr>
          <w:color w:val="auto"/>
          <w:spacing w:val="-26"/>
          <w:highlight w:val="none"/>
        </w:rPr>
        <w:t>电</w:t>
      </w:r>
      <w:r>
        <w:rPr>
          <w:color w:val="auto"/>
          <w:spacing w:val="1"/>
          <w:highlight w:val="none"/>
        </w:rPr>
        <w:t xml:space="preserve">      </w:t>
      </w:r>
      <w:r>
        <w:rPr>
          <w:color w:val="auto"/>
          <w:spacing w:val="-26"/>
          <w:highlight w:val="none"/>
        </w:rPr>
        <w:t>话</w:t>
      </w:r>
      <w:r>
        <w:rPr>
          <w:color w:val="auto"/>
          <w:spacing w:val="-87"/>
          <w:highlight w:val="none"/>
        </w:rPr>
        <w:t xml:space="preserve"> </w:t>
      </w:r>
      <w:r>
        <w:rPr>
          <w:color w:val="auto"/>
          <w:spacing w:val="-26"/>
          <w:highlight w:val="none"/>
        </w:rPr>
        <w:t>：</w:t>
      </w:r>
      <w:r>
        <w:rPr>
          <w:color w:val="auto"/>
          <w:highlight w:val="none"/>
          <w:u w:val="single" w:color="auto"/>
        </w:rPr>
        <w:t xml:space="preserve">                  </w:t>
      </w:r>
    </w:p>
    <w:p w14:paraId="6CC08BA2">
      <w:pPr>
        <w:pStyle w:val="8"/>
        <w:spacing w:before="153" w:line="219" w:lineRule="auto"/>
        <w:rPr>
          <w:color w:val="auto"/>
          <w:highlight w:val="none"/>
        </w:rPr>
      </w:pPr>
      <w:r>
        <w:rPr>
          <w:color w:val="auto"/>
          <w:spacing w:val="-1"/>
          <w:highlight w:val="none"/>
        </w:rPr>
        <w:t xml:space="preserve">供应商名称（盖章） </w:t>
      </w:r>
      <w:r>
        <w:rPr>
          <w:color w:val="auto"/>
          <w:highlight w:val="none"/>
          <w:u w:val="single" w:color="auto"/>
        </w:rPr>
        <w:t xml:space="preserve">                   </w:t>
      </w:r>
    </w:p>
    <w:p w14:paraId="605FE3FA">
      <w:pPr>
        <w:pStyle w:val="8"/>
        <w:spacing w:before="156" w:line="335" w:lineRule="auto"/>
        <w:ind w:left="40" w:right="4515" w:hanging="41"/>
        <w:rPr>
          <w:color w:val="auto"/>
          <w:spacing w:val="-1"/>
          <w:highlight w:val="none"/>
          <w:u w:val="single" w:color="auto"/>
        </w:rPr>
      </w:pPr>
      <w:r>
        <w:rPr>
          <w:color w:val="auto"/>
          <w:spacing w:val="-1"/>
          <w:highlight w:val="none"/>
        </w:rPr>
        <w:t>供应商授权代表（签字）</w:t>
      </w:r>
      <w:r>
        <w:rPr>
          <w:color w:val="auto"/>
          <w:spacing w:val="-1"/>
          <w:highlight w:val="none"/>
          <w:u w:val="single" w:color="auto"/>
        </w:rPr>
        <w:t xml:space="preserve">               </w:t>
      </w:r>
    </w:p>
    <w:p w14:paraId="11C3D134">
      <w:pPr>
        <w:pStyle w:val="8"/>
        <w:spacing w:before="156" w:line="335" w:lineRule="auto"/>
        <w:ind w:left="40" w:right="4515" w:hanging="41"/>
        <w:rPr>
          <w:color w:val="auto"/>
          <w:highlight w:val="none"/>
        </w:rPr>
      </w:pPr>
      <w:r>
        <w:rPr>
          <w:color w:val="auto"/>
          <w:spacing w:val="-32"/>
          <w:highlight w:val="none"/>
        </w:rPr>
        <w:t>日</w:t>
      </w:r>
      <w:r>
        <w:rPr>
          <w:color w:val="auto"/>
          <w:spacing w:val="6"/>
          <w:highlight w:val="none"/>
        </w:rPr>
        <w:t xml:space="preserve">  </w:t>
      </w:r>
      <w:r>
        <w:rPr>
          <w:color w:val="auto"/>
          <w:spacing w:val="-32"/>
          <w:highlight w:val="none"/>
        </w:rPr>
        <w:t>期</w:t>
      </w:r>
      <w:r>
        <w:rPr>
          <w:color w:val="auto"/>
          <w:highlight w:val="none"/>
        </w:rPr>
        <w:t xml:space="preserve">   </w:t>
      </w:r>
      <w:r>
        <w:rPr>
          <w:color w:val="auto"/>
          <w:highlight w:val="none"/>
          <w:u w:val="single" w:color="auto"/>
        </w:rPr>
        <w:t xml:space="preserve">                            </w:t>
      </w:r>
    </w:p>
    <w:p w14:paraId="028A4221">
      <w:pPr>
        <w:spacing w:line="335" w:lineRule="auto"/>
        <w:rPr>
          <w:color w:val="auto"/>
          <w:highlight w:val="none"/>
        </w:rPr>
        <w:sectPr>
          <w:pgSz w:w="11906" w:h="16839"/>
          <w:pgMar w:top="1440" w:right="1080" w:bottom="1440" w:left="1080" w:header="822" w:footer="992" w:gutter="0"/>
          <w:pgNumType w:fmt="decimal"/>
          <w:cols w:space="720" w:num="1"/>
        </w:sectPr>
      </w:pPr>
    </w:p>
    <w:p w14:paraId="3423BC63">
      <w:pPr>
        <w:pStyle w:val="8"/>
        <w:spacing w:before="130" w:line="219" w:lineRule="auto"/>
        <w:ind w:left="314"/>
        <w:rPr>
          <w:color w:val="auto"/>
          <w:sz w:val="30"/>
          <w:szCs w:val="30"/>
          <w:highlight w:val="none"/>
        </w:rPr>
      </w:pPr>
      <w:r>
        <w:rPr>
          <w:b/>
          <w:bCs/>
          <w:color w:val="auto"/>
          <w:spacing w:val="-12"/>
          <w:sz w:val="30"/>
          <w:szCs w:val="30"/>
          <w:highlight w:val="none"/>
        </w:rPr>
        <w:t>附件二：</w:t>
      </w:r>
    </w:p>
    <w:p w14:paraId="3220A852">
      <w:pPr>
        <w:pStyle w:val="8"/>
        <w:spacing w:before="268" w:line="218" w:lineRule="auto"/>
        <w:ind w:left="3946"/>
        <w:rPr>
          <w:color w:val="auto"/>
          <w:sz w:val="30"/>
          <w:szCs w:val="30"/>
          <w:highlight w:val="none"/>
        </w:rPr>
      </w:pPr>
      <w:r>
        <w:rPr>
          <w:b/>
          <w:bCs/>
          <w:color w:val="auto"/>
          <w:spacing w:val="-5"/>
          <w:sz w:val="30"/>
          <w:szCs w:val="30"/>
          <w:highlight w:val="none"/>
        </w:rPr>
        <w:t>报价一览表</w:t>
      </w:r>
    </w:p>
    <w:p w14:paraId="56AD29E2">
      <w:pPr>
        <w:pStyle w:val="8"/>
        <w:spacing w:before="183" w:line="220" w:lineRule="auto"/>
        <w:ind w:left="290"/>
        <w:rPr>
          <w:color w:val="auto"/>
          <w:highlight w:val="none"/>
        </w:rPr>
      </w:pPr>
      <w:r>
        <w:rPr>
          <w:color w:val="auto"/>
          <w:spacing w:val="-3"/>
          <w:highlight w:val="none"/>
        </w:rPr>
        <w:t>标项名称：</w:t>
      </w:r>
    </w:p>
    <w:p w14:paraId="6A033DA9">
      <w:pPr>
        <w:pStyle w:val="8"/>
        <w:spacing w:before="181" w:line="219" w:lineRule="auto"/>
        <w:ind w:left="293"/>
        <w:rPr>
          <w:color w:val="auto"/>
          <w:highlight w:val="none"/>
        </w:rPr>
      </w:pPr>
      <w:r>
        <w:rPr>
          <w:color w:val="auto"/>
          <w:highlight w:val="none"/>
        </w:rPr>
        <w:t xml:space="preserve">项目编号：                                         </w:t>
      </w:r>
      <w:r>
        <w:rPr>
          <w:color w:val="auto"/>
          <w:spacing w:val="-1"/>
          <w:highlight w:val="none"/>
        </w:rPr>
        <w:t xml:space="preserve">       </w:t>
      </w:r>
      <w:r>
        <w:rPr>
          <w:rFonts w:hint="eastAsia"/>
          <w:color w:val="auto"/>
          <w:spacing w:val="-1"/>
          <w:highlight w:val="none"/>
          <w:lang w:val="en-US" w:eastAsia="zh-CN"/>
        </w:rPr>
        <w:t>单位</w:t>
      </w:r>
      <w:r>
        <w:rPr>
          <w:color w:val="auto"/>
          <w:spacing w:val="-1"/>
          <w:highlight w:val="none"/>
        </w:rPr>
        <w:t>：%</w:t>
      </w:r>
    </w:p>
    <w:p w14:paraId="74A05CDB">
      <w:pPr>
        <w:spacing w:line="70" w:lineRule="exact"/>
        <w:rPr>
          <w:color w:val="auto"/>
          <w:highlight w:val="none"/>
        </w:rPr>
      </w:pPr>
    </w:p>
    <w:tbl>
      <w:tblPr>
        <w:tblStyle w:val="36"/>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4"/>
        <w:gridCol w:w="2818"/>
        <w:gridCol w:w="1288"/>
      </w:tblGrid>
      <w:tr w14:paraId="1813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5474" w:type="dxa"/>
            <w:vAlign w:val="top"/>
          </w:tcPr>
          <w:p w14:paraId="46EA9D38">
            <w:pPr>
              <w:spacing w:line="285" w:lineRule="auto"/>
              <w:jc w:val="center"/>
              <w:rPr>
                <w:rFonts w:ascii="Arial"/>
                <w:color w:val="auto"/>
                <w:sz w:val="21"/>
                <w:highlight w:val="none"/>
              </w:rPr>
            </w:pPr>
          </w:p>
          <w:p w14:paraId="17364187">
            <w:pPr>
              <w:pStyle w:val="35"/>
              <w:spacing w:before="78" w:line="220" w:lineRule="auto"/>
              <w:jc w:val="center"/>
              <w:rPr>
                <w:color w:val="auto"/>
                <w:highlight w:val="none"/>
              </w:rPr>
            </w:pPr>
            <w:r>
              <w:rPr>
                <w:color w:val="auto"/>
                <w:spacing w:val="-4"/>
                <w:highlight w:val="none"/>
              </w:rPr>
              <w:t>项目名称</w:t>
            </w:r>
          </w:p>
        </w:tc>
        <w:tc>
          <w:tcPr>
            <w:tcW w:w="2818" w:type="dxa"/>
            <w:vAlign w:val="top"/>
          </w:tcPr>
          <w:p w14:paraId="016EAE18">
            <w:pPr>
              <w:spacing w:line="285" w:lineRule="auto"/>
              <w:jc w:val="center"/>
              <w:rPr>
                <w:rFonts w:ascii="Arial"/>
                <w:color w:val="auto"/>
                <w:sz w:val="21"/>
                <w:highlight w:val="none"/>
              </w:rPr>
            </w:pPr>
          </w:p>
          <w:p w14:paraId="6C4F737A">
            <w:pPr>
              <w:pStyle w:val="35"/>
              <w:spacing w:before="78" w:line="218" w:lineRule="auto"/>
              <w:jc w:val="center"/>
              <w:rPr>
                <w:color w:val="auto"/>
                <w:highlight w:val="none"/>
              </w:rPr>
            </w:pPr>
            <w:r>
              <w:rPr>
                <w:color w:val="auto"/>
                <w:spacing w:val="-1"/>
                <w:highlight w:val="none"/>
              </w:rPr>
              <w:t>投标总价（</w:t>
            </w:r>
            <w:r>
              <w:rPr>
                <w:rFonts w:hint="eastAsia"/>
                <w:color w:val="auto"/>
                <w:spacing w:val="-1"/>
                <w:highlight w:val="none"/>
                <w:lang w:val="en-US" w:eastAsia="zh-CN"/>
              </w:rPr>
              <w:t>下浮率</w:t>
            </w:r>
            <w:r>
              <w:rPr>
                <w:color w:val="auto"/>
                <w:spacing w:val="-1"/>
                <w:highlight w:val="none"/>
              </w:rPr>
              <w:t>）</w:t>
            </w:r>
          </w:p>
        </w:tc>
        <w:tc>
          <w:tcPr>
            <w:tcW w:w="1288" w:type="dxa"/>
            <w:vAlign w:val="top"/>
          </w:tcPr>
          <w:p w14:paraId="03B5315E">
            <w:pPr>
              <w:spacing w:line="285" w:lineRule="auto"/>
              <w:rPr>
                <w:rFonts w:ascii="Arial"/>
                <w:color w:val="auto"/>
                <w:sz w:val="21"/>
                <w:highlight w:val="none"/>
              </w:rPr>
            </w:pPr>
          </w:p>
          <w:p w14:paraId="5DC3AB35">
            <w:pPr>
              <w:pStyle w:val="35"/>
              <w:spacing w:before="78" w:line="221" w:lineRule="auto"/>
              <w:ind w:left="467"/>
              <w:rPr>
                <w:color w:val="auto"/>
                <w:highlight w:val="none"/>
              </w:rPr>
            </w:pPr>
            <w:r>
              <w:rPr>
                <w:color w:val="auto"/>
                <w:spacing w:val="-7"/>
                <w:highlight w:val="none"/>
              </w:rPr>
              <w:t>备注</w:t>
            </w:r>
          </w:p>
        </w:tc>
      </w:tr>
      <w:tr w14:paraId="2DBD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5474" w:type="dxa"/>
            <w:vAlign w:val="top"/>
          </w:tcPr>
          <w:p w14:paraId="793F5225">
            <w:pPr>
              <w:jc w:val="center"/>
              <w:rPr>
                <w:rFonts w:ascii="Arial"/>
                <w:color w:val="auto"/>
                <w:sz w:val="21"/>
                <w:highlight w:val="none"/>
              </w:rPr>
            </w:pPr>
          </w:p>
        </w:tc>
        <w:tc>
          <w:tcPr>
            <w:tcW w:w="2818" w:type="dxa"/>
            <w:vAlign w:val="top"/>
          </w:tcPr>
          <w:p w14:paraId="0DF1CE59">
            <w:pPr>
              <w:jc w:val="center"/>
              <w:rPr>
                <w:rFonts w:ascii="Arial"/>
                <w:color w:val="auto"/>
                <w:sz w:val="21"/>
                <w:highlight w:val="none"/>
              </w:rPr>
            </w:pPr>
          </w:p>
        </w:tc>
        <w:tc>
          <w:tcPr>
            <w:tcW w:w="1288" w:type="dxa"/>
            <w:vAlign w:val="top"/>
          </w:tcPr>
          <w:p w14:paraId="1465A638">
            <w:pPr>
              <w:rPr>
                <w:rFonts w:ascii="Arial"/>
                <w:color w:val="auto"/>
                <w:sz w:val="21"/>
                <w:highlight w:val="none"/>
              </w:rPr>
            </w:pPr>
          </w:p>
        </w:tc>
      </w:tr>
      <w:tr w14:paraId="0373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5474" w:type="dxa"/>
            <w:vAlign w:val="top"/>
          </w:tcPr>
          <w:p w14:paraId="79BA172B">
            <w:pPr>
              <w:pStyle w:val="35"/>
              <w:spacing w:before="269" w:line="219" w:lineRule="auto"/>
              <w:jc w:val="center"/>
              <w:rPr>
                <w:color w:val="auto"/>
                <w:highlight w:val="none"/>
              </w:rPr>
            </w:pPr>
            <w:r>
              <w:rPr>
                <w:color w:val="auto"/>
                <w:spacing w:val="-3"/>
                <w:highlight w:val="none"/>
              </w:rPr>
              <w:t>交货及完成期</w:t>
            </w:r>
          </w:p>
        </w:tc>
        <w:tc>
          <w:tcPr>
            <w:tcW w:w="2818" w:type="dxa"/>
            <w:vAlign w:val="top"/>
          </w:tcPr>
          <w:p w14:paraId="1C26F547">
            <w:pPr>
              <w:jc w:val="center"/>
              <w:rPr>
                <w:rFonts w:ascii="Arial"/>
                <w:color w:val="auto"/>
                <w:sz w:val="21"/>
                <w:highlight w:val="none"/>
              </w:rPr>
            </w:pPr>
          </w:p>
        </w:tc>
        <w:tc>
          <w:tcPr>
            <w:tcW w:w="1288" w:type="dxa"/>
            <w:vAlign w:val="top"/>
          </w:tcPr>
          <w:p w14:paraId="3759F047">
            <w:pPr>
              <w:rPr>
                <w:rFonts w:ascii="Arial"/>
                <w:color w:val="auto"/>
                <w:sz w:val="21"/>
                <w:highlight w:val="none"/>
              </w:rPr>
            </w:pPr>
          </w:p>
        </w:tc>
      </w:tr>
    </w:tbl>
    <w:p w14:paraId="5214A776">
      <w:pPr>
        <w:spacing w:line="251" w:lineRule="auto"/>
        <w:rPr>
          <w:rFonts w:ascii="Arial"/>
          <w:color w:val="auto"/>
          <w:sz w:val="21"/>
          <w:highlight w:val="none"/>
        </w:rPr>
      </w:pPr>
    </w:p>
    <w:p w14:paraId="625248BA">
      <w:pPr>
        <w:spacing w:line="251" w:lineRule="auto"/>
        <w:rPr>
          <w:rFonts w:ascii="Arial"/>
          <w:color w:val="auto"/>
          <w:sz w:val="21"/>
          <w:highlight w:val="none"/>
        </w:rPr>
      </w:pPr>
    </w:p>
    <w:p w14:paraId="10299B53">
      <w:pPr>
        <w:pStyle w:val="8"/>
        <w:spacing w:before="78" w:line="219" w:lineRule="auto"/>
        <w:ind w:left="289"/>
        <w:rPr>
          <w:color w:val="auto"/>
          <w:highlight w:val="none"/>
        </w:rPr>
      </w:pPr>
      <w:r>
        <w:rPr>
          <w:color w:val="auto"/>
          <w:spacing w:val="3"/>
          <w:highlight w:val="none"/>
        </w:rPr>
        <w:t>供应商</w:t>
      </w:r>
      <w:r>
        <w:rPr>
          <w:color w:val="auto"/>
          <w:spacing w:val="-59"/>
          <w:w w:val="92"/>
          <w:highlight w:val="none"/>
        </w:rPr>
        <w:t>：（</w:t>
      </w:r>
      <w:r>
        <w:rPr>
          <w:color w:val="auto"/>
          <w:spacing w:val="3"/>
          <w:highlight w:val="none"/>
        </w:rPr>
        <w:t>单位盖章）</w:t>
      </w:r>
    </w:p>
    <w:p w14:paraId="6B4A7D69">
      <w:pPr>
        <w:pStyle w:val="8"/>
        <w:spacing w:before="183" w:line="219" w:lineRule="auto"/>
        <w:ind w:left="290"/>
        <w:outlineLvl w:val="2"/>
        <w:rPr>
          <w:color w:val="auto"/>
          <w:highlight w:val="none"/>
        </w:rPr>
      </w:pPr>
      <w:r>
        <w:rPr>
          <w:color w:val="auto"/>
          <w:spacing w:val="1"/>
          <w:highlight w:val="none"/>
        </w:rPr>
        <w:t>法定代表人或授权委托人</w:t>
      </w:r>
      <w:r>
        <w:rPr>
          <w:color w:val="auto"/>
          <w:spacing w:val="-60"/>
          <w:w w:val="94"/>
          <w:highlight w:val="none"/>
        </w:rPr>
        <w:t>：（</w:t>
      </w:r>
      <w:r>
        <w:rPr>
          <w:rFonts w:hint="eastAsia"/>
          <w:color w:val="auto"/>
          <w:spacing w:val="-60"/>
          <w:w w:val="94"/>
          <w:highlight w:val="none"/>
          <w:lang w:eastAsia="zh-CN"/>
        </w:rPr>
        <w:t>（</w:t>
      </w:r>
      <w:r>
        <w:rPr>
          <w:color w:val="auto"/>
          <w:spacing w:val="1"/>
          <w:highlight w:val="none"/>
        </w:rPr>
        <w:t>签字或盖章）</w:t>
      </w:r>
    </w:p>
    <w:p w14:paraId="5CB7D6C1">
      <w:pPr>
        <w:pStyle w:val="8"/>
        <w:tabs>
          <w:tab w:val="left" w:pos="6097"/>
        </w:tabs>
        <w:spacing w:before="185" w:line="219" w:lineRule="auto"/>
        <w:ind w:left="5964"/>
        <w:rPr>
          <w:color w:val="auto"/>
          <w:highlight w:val="none"/>
        </w:rPr>
      </w:pPr>
      <w:r>
        <w:rPr>
          <w:color w:val="auto"/>
          <w:highlight w:val="none"/>
          <w:u w:val="single" w:color="auto"/>
        </w:rPr>
        <w:tab/>
      </w:r>
      <w:r>
        <w:rPr>
          <w:color w:val="auto"/>
          <w:spacing w:val="-4"/>
          <w:highlight w:val="none"/>
          <w:u w:val="single" w:color="auto"/>
        </w:rPr>
        <w:t>202</w:t>
      </w:r>
      <w:r>
        <w:rPr>
          <w:rFonts w:hint="eastAsia"/>
          <w:color w:val="auto"/>
          <w:spacing w:val="-4"/>
          <w:highlight w:val="none"/>
          <w:u w:val="single" w:color="auto"/>
          <w:lang w:val="en-US" w:eastAsia="zh-CN"/>
        </w:rPr>
        <w:t>6</w:t>
      </w:r>
      <w:r>
        <w:rPr>
          <w:color w:val="auto"/>
          <w:spacing w:val="-45"/>
          <w:highlight w:val="none"/>
          <w:u w:val="single" w:color="auto"/>
        </w:rPr>
        <w:t xml:space="preserve"> </w:t>
      </w:r>
      <w:r>
        <w:rPr>
          <w:color w:val="auto"/>
          <w:spacing w:val="-4"/>
          <w:highlight w:val="none"/>
        </w:rPr>
        <w:t>年</w:t>
      </w:r>
      <w:r>
        <w:rPr>
          <w:color w:val="auto"/>
          <w:spacing w:val="-4"/>
          <w:highlight w:val="none"/>
          <w:u w:val="single" w:color="auto"/>
        </w:rPr>
        <w:t xml:space="preserve">    </w:t>
      </w:r>
      <w:r>
        <w:rPr>
          <w:color w:val="auto"/>
          <w:spacing w:val="-104"/>
          <w:highlight w:val="none"/>
        </w:rPr>
        <w:t xml:space="preserve"> </w:t>
      </w:r>
      <w:r>
        <w:rPr>
          <w:color w:val="auto"/>
          <w:spacing w:val="-4"/>
          <w:highlight w:val="none"/>
        </w:rPr>
        <w:t>月</w:t>
      </w:r>
      <w:r>
        <w:rPr>
          <w:color w:val="auto"/>
          <w:spacing w:val="39"/>
          <w:highlight w:val="none"/>
          <w:u w:val="single" w:color="auto"/>
        </w:rPr>
        <w:t xml:space="preserve">   </w:t>
      </w:r>
      <w:r>
        <w:rPr>
          <w:color w:val="auto"/>
          <w:spacing w:val="-66"/>
          <w:highlight w:val="none"/>
        </w:rPr>
        <w:t xml:space="preserve"> </w:t>
      </w:r>
      <w:r>
        <w:rPr>
          <w:color w:val="auto"/>
          <w:spacing w:val="-4"/>
          <w:highlight w:val="none"/>
        </w:rPr>
        <w:t>日</w:t>
      </w:r>
    </w:p>
    <w:p w14:paraId="7C011339">
      <w:pPr>
        <w:spacing w:line="219" w:lineRule="auto"/>
        <w:rPr>
          <w:color w:val="auto"/>
          <w:highlight w:val="none"/>
        </w:rPr>
        <w:sectPr>
          <w:footerReference r:id="rId8" w:type="default"/>
          <w:pgSz w:w="11906" w:h="16839"/>
          <w:pgMar w:top="1117" w:right="1160" w:bottom="1156" w:left="1160" w:header="822" w:footer="992" w:gutter="0"/>
          <w:pgNumType w:fmt="decimal"/>
          <w:cols w:space="720" w:num="1"/>
        </w:sectPr>
      </w:pPr>
    </w:p>
    <w:p w14:paraId="2C6459C9">
      <w:pPr>
        <w:pStyle w:val="8"/>
        <w:spacing w:before="130" w:line="219" w:lineRule="auto"/>
        <w:ind w:left="25"/>
        <w:rPr>
          <w:color w:val="auto"/>
          <w:sz w:val="30"/>
          <w:szCs w:val="30"/>
          <w:highlight w:val="none"/>
        </w:rPr>
      </w:pPr>
      <w:r>
        <w:rPr>
          <w:b/>
          <w:bCs/>
          <w:color w:val="auto"/>
          <w:spacing w:val="-12"/>
          <w:sz w:val="30"/>
          <w:szCs w:val="30"/>
          <w:highlight w:val="none"/>
        </w:rPr>
        <w:t>附件三：</w:t>
      </w:r>
    </w:p>
    <w:p w14:paraId="2C3C58E2">
      <w:pPr>
        <w:pStyle w:val="8"/>
        <w:spacing w:before="268" w:line="219" w:lineRule="auto"/>
        <w:ind w:left="2907"/>
        <w:rPr>
          <w:color w:val="auto"/>
          <w:sz w:val="30"/>
          <w:szCs w:val="30"/>
          <w:highlight w:val="none"/>
        </w:rPr>
      </w:pPr>
      <w:r>
        <w:rPr>
          <w:b/>
          <w:bCs/>
          <w:color w:val="auto"/>
          <w:spacing w:val="-4"/>
          <w:sz w:val="30"/>
          <w:szCs w:val="30"/>
          <w:highlight w:val="none"/>
        </w:rPr>
        <w:t>法定代表人身份证明书</w:t>
      </w:r>
    </w:p>
    <w:p w14:paraId="510AD902">
      <w:pPr>
        <w:spacing w:line="302" w:lineRule="auto"/>
        <w:rPr>
          <w:rFonts w:ascii="Arial"/>
          <w:color w:val="auto"/>
          <w:sz w:val="21"/>
          <w:highlight w:val="none"/>
        </w:rPr>
      </w:pPr>
    </w:p>
    <w:p w14:paraId="6ABDA70F">
      <w:pPr>
        <w:spacing w:line="303" w:lineRule="auto"/>
        <w:rPr>
          <w:rFonts w:ascii="Arial"/>
          <w:color w:val="auto"/>
          <w:sz w:val="21"/>
          <w:highlight w:val="none"/>
        </w:rPr>
      </w:pPr>
    </w:p>
    <w:p w14:paraId="6830B72F">
      <w:pPr>
        <w:pStyle w:val="8"/>
        <w:spacing w:before="78" w:line="220" w:lineRule="auto"/>
        <w:ind w:left="1"/>
        <w:rPr>
          <w:color w:val="auto"/>
          <w:highlight w:val="none"/>
        </w:rPr>
      </w:pPr>
      <w:r>
        <w:rPr>
          <w:color w:val="auto"/>
          <w:spacing w:val="-2"/>
          <w:highlight w:val="none"/>
        </w:rPr>
        <w:t>单位名称：</w:t>
      </w:r>
      <w:r>
        <w:rPr>
          <w:color w:val="auto"/>
          <w:spacing w:val="-2"/>
          <w:highlight w:val="none"/>
          <w:u w:val="single" w:color="auto"/>
        </w:rPr>
        <w:t xml:space="preserve">                                 </w:t>
      </w:r>
      <w:r>
        <w:rPr>
          <w:color w:val="auto"/>
          <w:spacing w:val="-3"/>
          <w:highlight w:val="none"/>
          <w:u w:val="single" w:color="auto"/>
        </w:rPr>
        <w:t xml:space="preserve">                   </w:t>
      </w:r>
    </w:p>
    <w:p w14:paraId="4174D9DE">
      <w:pPr>
        <w:pStyle w:val="8"/>
        <w:spacing w:before="182" w:line="219" w:lineRule="auto"/>
        <w:ind w:left="3"/>
        <w:rPr>
          <w:color w:val="auto"/>
          <w:highlight w:val="none"/>
        </w:rPr>
      </w:pPr>
      <w:r>
        <w:rPr>
          <w:color w:val="auto"/>
          <w:spacing w:val="-2"/>
          <w:highlight w:val="none"/>
        </w:rPr>
        <w:t>企业类型：</w:t>
      </w:r>
      <w:r>
        <w:rPr>
          <w:color w:val="auto"/>
          <w:spacing w:val="-2"/>
          <w:highlight w:val="none"/>
          <w:u w:val="single" w:color="auto"/>
        </w:rPr>
        <w:t xml:space="preserve">                               </w:t>
      </w:r>
      <w:r>
        <w:rPr>
          <w:color w:val="auto"/>
          <w:spacing w:val="-3"/>
          <w:highlight w:val="none"/>
          <w:u w:val="single" w:color="auto"/>
        </w:rPr>
        <w:t xml:space="preserve">                     </w:t>
      </w:r>
    </w:p>
    <w:p w14:paraId="5E05834C">
      <w:pPr>
        <w:pStyle w:val="8"/>
        <w:spacing w:before="182" w:line="229" w:lineRule="auto"/>
        <w:rPr>
          <w:color w:val="auto"/>
          <w:highlight w:val="none"/>
        </w:rPr>
      </w:pPr>
      <w:r>
        <w:rPr>
          <w:color w:val="auto"/>
          <w:spacing w:val="-17"/>
          <w:highlight w:val="none"/>
        </w:rPr>
        <w:t>地</w:t>
      </w:r>
      <w:r>
        <w:rPr>
          <w:color w:val="auto"/>
          <w:spacing w:val="2"/>
          <w:highlight w:val="none"/>
        </w:rPr>
        <w:t xml:space="preserve">    </w:t>
      </w:r>
      <w:r>
        <w:rPr>
          <w:color w:val="auto"/>
          <w:spacing w:val="-17"/>
          <w:highlight w:val="none"/>
        </w:rPr>
        <w:t>址</w:t>
      </w:r>
      <w:r>
        <w:rPr>
          <w:color w:val="auto"/>
          <w:spacing w:val="-88"/>
          <w:highlight w:val="none"/>
        </w:rPr>
        <w:t xml:space="preserve"> </w:t>
      </w:r>
      <w:r>
        <w:rPr>
          <w:color w:val="auto"/>
          <w:spacing w:val="-17"/>
          <w:highlight w:val="none"/>
        </w:rPr>
        <w:t>：</w:t>
      </w:r>
      <w:r>
        <w:rPr>
          <w:color w:val="auto"/>
          <w:highlight w:val="none"/>
          <w:u w:val="single" w:color="auto"/>
        </w:rPr>
        <w:t xml:space="preserve">                                                   </w:t>
      </w:r>
    </w:p>
    <w:p w14:paraId="452FE0FB">
      <w:pPr>
        <w:pStyle w:val="8"/>
        <w:spacing w:before="170" w:line="220" w:lineRule="auto"/>
        <w:ind w:left="7"/>
        <w:rPr>
          <w:color w:val="auto"/>
          <w:highlight w:val="none"/>
        </w:rPr>
      </w:pPr>
      <w:r>
        <w:rPr>
          <w:color w:val="auto"/>
          <w:spacing w:val="-2"/>
          <w:highlight w:val="none"/>
        </w:rPr>
        <w:t>营业期限：</w:t>
      </w:r>
      <w:r>
        <w:rPr>
          <w:color w:val="auto"/>
          <w:spacing w:val="-2"/>
          <w:highlight w:val="none"/>
          <w:u w:val="single" w:color="auto"/>
        </w:rPr>
        <w:t xml:space="preserve">                            </w:t>
      </w:r>
      <w:r>
        <w:rPr>
          <w:color w:val="auto"/>
          <w:spacing w:val="-3"/>
          <w:highlight w:val="none"/>
          <w:u w:val="single" w:color="auto"/>
        </w:rPr>
        <w:t xml:space="preserve">                        </w:t>
      </w:r>
    </w:p>
    <w:p w14:paraId="6292483C">
      <w:pPr>
        <w:pStyle w:val="8"/>
        <w:spacing w:before="182" w:line="221" w:lineRule="auto"/>
        <w:ind w:left="1"/>
        <w:rPr>
          <w:color w:val="auto"/>
          <w:highlight w:val="none"/>
        </w:rPr>
      </w:pPr>
      <w:r>
        <w:rPr>
          <w:color w:val="auto"/>
          <w:spacing w:val="-2"/>
          <w:highlight w:val="none"/>
        </w:rPr>
        <w:t>成立时间：</w:t>
      </w:r>
      <w:r>
        <w:rPr>
          <w:color w:val="auto"/>
          <w:spacing w:val="-2"/>
          <w:highlight w:val="none"/>
          <w:u w:val="single" w:color="auto"/>
        </w:rPr>
        <w:t xml:space="preserve">                                 </w:t>
      </w:r>
      <w:r>
        <w:rPr>
          <w:color w:val="auto"/>
          <w:spacing w:val="-3"/>
          <w:highlight w:val="none"/>
          <w:u w:val="single" w:color="auto"/>
        </w:rPr>
        <w:t xml:space="preserve">                   </w:t>
      </w:r>
    </w:p>
    <w:p w14:paraId="596029EB">
      <w:pPr>
        <w:spacing w:line="283" w:lineRule="auto"/>
        <w:rPr>
          <w:rFonts w:ascii="Arial"/>
          <w:color w:val="auto"/>
          <w:sz w:val="21"/>
          <w:highlight w:val="none"/>
        </w:rPr>
      </w:pPr>
    </w:p>
    <w:p w14:paraId="2CD6A510">
      <w:pPr>
        <w:spacing w:line="284" w:lineRule="auto"/>
        <w:rPr>
          <w:rFonts w:ascii="Arial"/>
          <w:color w:val="auto"/>
          <w:sz w:val="21"/>
          <w:highlight w:val="none"/>
        </w:rPr>
      </w:pPr>
    </w:p>
    <w:p w14:paraId="34550B06">
      <w:pPr>
        <w:pStyle w:val="8"/>
        <w:spacing w:before="79" w:line="219" w:lineRule="auto"/>
        <w:rPr>
          <w:color w:val="auto"/>
          <w:highlight w:val="none"/>
        </w:rPr>
      </w:pPr>
      <w:r>
        <w:rPr>
          <w:color w:val="auto"/>
          <w:spacing w:val="-1"/>
          <w:highlight w:val="none"/>
        </w:rPr>
        <w:t>姓名：</w:t>
      </w:r>
      <w:r>
        <w:rPr>
          <w:color w:val="auto"/>
          <w:spacing w:val="-1"/>
          <w:highlight w:val="none"/>
          <w:u w:val="single" w:color="auto"/>
        </w:rPr>
        <w:t xml:space="preserve">          </w:t>
      </w:r>
      <w:r>
        <w:rPr>
          <w:color w:val="auto"/>
          <w:spacing w:val="-1"/>
          <w:highlight w:val="none"/>
        </w:rPr>
        <w:t xml:space="preserve">   性别</w:t>
      </w:r>
      <w:r>
        <w:rPr>
          <w:color w:val="auto"/>
          <w:spacing w:val="-2"/>
          <w:highlight w:val="none"/>
        </w:rPr>
        <w:t>：</w:t>
      </w:r>
      <w:r>
        <w:rPr>
          <w:color w:val="auto"/>
          <w:highlight w:val="none"/>
          <w:u w:val="single" w:color="auto"/>
        </w:rPr>
        <w:t xml:space="preserve">          </w:t>
      </w:r>
      <w:r>
        <w:rPr>
          <w:color w:val="auto"/>
          <w:spacing w:val="3"/>
          <w:highlight w:val="none"/>
        </w:rPr>
        <w:t xml:space="preserve">   </w:t>
      </w:r>
      <w:r>
        <w:rPr>
          <w:color w:val="auto"/>
          <w:spacing w:val="-2"/>
          <w:highlight w:val="none"/>
        </w:rPr>
        <w:t>年龄：</w:t>
      </w:r>
      <w:r>
        <w:rPr>
          <w:color w:val="auto"/>
          <w:highlight w:val="none"/>
          <w:u w:val="single" w:color="auto"/>
        </w:rPr>
        <w:t xml:space="preserve">          </w:t>
      </w:r>
      <w:r>
        <w:rPr>
          <w:color w:val="auto"/>
          <w:spacing w:val="6"/>
          <w:highlight w:val="none"/>
        </w:rPr>
        <w:t xml:space="preserve">  </w:t>
      </w:r>
      <w:r>
        <w:rPr>
          <w:color w:val="auto"/>
          <w:spacing w:val="-2"/>
          <w:highlight w:val="none"/>
        </w:rPr>
        <w:t>职务：</w:t>
      </w:r>
      <w:r>
        <w:rPr>
          <w:color w:val="auto"/>
          <w:highlight w:val="none"/>
          <w:u w:val="single" w:color="auto"/>
        </w:rPr>
        <w:t xml:space="preserve">          </w:t>
      </w:r>
    </w:p>
    <w:p w14:paraId="1BDCF639">
      <w:pPr>
        <w:pStyle w:val="8"/>
        <w:spacing w:before="183" w:line="219" w:lineRule="auto"/>
        <w:ind w:left="4"/>
        <w:rPr>
          <w:color w:val="auto"/>
          <w:highlight w:val="none"/>
        </w:rPr>
      </w:pPr>
      <w:r>
        <w:rPr>
          <w:color w:val="auto"/>
          <w:spacing w:val="-1"/>
          <w:highlight w:val="none"/>
        </w:rPr>
        <w:t xml:space="preserve">系 </w:t>
      </w:r>
      <w:r>
        <w:rPr>
          <w:color w:val="auto"/>
          <w:spacing w:val="-1"/>
          <w:highlight w:val="none"/>
          <w:u w:val="single" w:color="auto"/>
        </w:rPr>
        <w:t xml:space="preserve">         （投标单位名称）               </w:t>
      </w:r>
      <w:r>
        <w:rPr>
          <w:color w:val="auto"/>
          <w:spacing w:val="-91"/>
          <w:highlight w:val="none"/>
        </w:rPr>
        <w:t xml:space="preserve"> </w:t>
      </w:r>
      <w:r>
        <w:rPr>
          <w:color w:val="auto"/>
          <w:spacing w:val="-1"/>
          <w:highlight w:val="none"/>
        </w:rPr>
        <w:t>的法定</w:t>
      </w:r>
      <w:r>
        <w:rPr>
          <w:color w:val="auto"/>
          <w:spacing w:val="-2"/>
          <w:highlight w:val="none"/>
        </w:rPr>
        <w:t>代表人。</w:t>
      </w:r>
    </w:p>
    <w:p w14:paraId="79098C72">
      <w:pPr>
        <w:spacing w:line="284" w:lineRule="auto"/>
        <w:rPr>
          <w:rFonts w:ascii="Arial"/>
          <w:color w:val="auto"/>
          <w:sz w:val="21"/>
          <w:highlight w:val="none"/>
        </w:rPr>
      </w:pPr>
    </w:p>
    <w:p w14:paraId="15582824">
      <w:pPr>
        <w:spacing w:line="285" w:lineRule="auto"/>
        <w:rPr>
          <w:rFonts w:ascii="Arial"/>
          <w:color w:val="auto"/>
          <w:sz w:val="21"/>
          <w:highlight w:val="none"/>
        </w:rPr>
      </w:pPr>
    </w:p>
    <w:p w14:paraId="3B148E0D">
      <w:pPr>
        <w:pStyle w:val="8"/>
        <w:spacing w:before="79" w:line="219" w:lineRule="auto"/>
        <w:rPr>
          <w:color w:val="auto"/>
          <w:highlight w:val="none"/>
        </w:rPr>
      </w:pPr>
      <w:r>
        <w:rPr>
          <w:color w:val="auto"/>
          <w:spacing w:val="-2"/>
          <w:highlight w:val="none"/>
        </w:rPr>
        <w:t>特此证明。</w:t>
      </w:r>
    </w:p>
    <w:p w14:paraId="11C7386B">
      <w:pPr>
        <w:spacing w:line="284" w:lineRule="auto"/>
        <w:rPr>
          <w:rFonts w:ascii="Arial"/>
          <w:color w:val="auto"/>
          <w:sz w:val="21"/>
          <w:highlight w:val="none"/>
        </w:rPr>
      </w:pPr>
    </w:p>
    <w:p w14:paraId="64FC5C96">
      <w:pPr>
        <w:spacing w:line="284" w:lineRule="auto"/>
        <w:rPr>
          <w:rFonts w:ascii="Arial"/>
          <w:color w:val="auto"/>
          <w:sz w:val="21"/>
          <w:highlight w:val="none"/>
        </w:rPr>
      </w:pPr>
    </w:p>
    <w:p w14:paraId="0D575844">
      <w:pPr>
        <w:pStyle w:val="8"/>
        <w:spacing w:before="79" w:line="219" w:lineRule="auto"/>
        <w:ind w:left="5280"/>
        <w:rPr>
          <w:color w:val="auto"/>
          <w:highlight w:val="none"/>
        </w:rPr>
      </w:pPr>
      <w:r>
        <w:rPr>
          <w:color w:val="auto"/>
          <w:spacing w:val="-2"/>
          <w:highlight w:val="none"/>
        </w:rPr>
        <w:t>供应商名称（盖章</w:t>
      </w:r>
      <w:r>
        <w:rPr>
          <w:color w:val="auto"/>
          <w:spacing w:val="-63"/>
          <w:w w:val="99"/>
          <w:highlight w:val="none"/>
        </w:rPr>
        <w:t>）：</w:t>
      </w:r>
    </w:p>
    <w:p w14:paraId="387ED547">
      <w:pPr>
        <w:pStyle w:val="8"/>
        <w:spacing w:before="184" w:line="219" w:lineRule="auto"/>
        <w:ind w:left="5290"/>
        <w:rPr>
          <w:color w:val="auto"/>
          <w:highlight w:val="none"/>
        </w:rPr>
      </w:pPr>
      <w:r>
        <w:rPr>
          <w:color w:val="auto"/>
          <w:spacing w:val="-20"/>
          <w:highlight w:val="none"/>
        </w:rPr>
        <w:t>日</w:t>
      </w:r>
      <w:r>
        <w:rPr>
          <w:color w:val="auto"/>
          <w:spacing w:val="6"/>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E8882CD">
      <w:pPr>
        <w:pStyle w:val="8"/>
        <w:spacing w:before="182" w:line="219" w:lineRule="auto"/>
        <w:ind w:left="2"/>
        <w:rPr>
          <w:color w:val="auto"/>
          <w:highlight w:val="none"/>
        </w:rPr>
      </w:pPr>
      <w:r>
        <w:rPr>
          <w:b/>
          <w:bCs/>
          <w:color w:val="auto"/>
          <w:spacing w:val="-3"/>
          <w:highlight w:val="none"/>
        </w:rPr>
        <w:t>备注：后附法定代表人身份证正反面复印件。</w:t>
      </w:r>
    </w:p>
    <w:p w14:paraId="74F8798F">
      <w:pPr>
        <w:spacing w:line="219" w:lineRule="auto"/>
        <w:rPr>
          <w:color w:val="auto"/>
          <w:highlight w:val="none"/>
        </w:rPr>
        <w:sectPr>
          <w:headerReference r:id="rId9" w:type="default"/>
          <w:footerReference r:id="rId10" w:type="default"/>
          <w:pgSz w:w="11906" w:h="16839"/>
          <w:pgMar w:top="1117" w:right="1510" w:bottom="1157" w:left="1449" w:header="822" w:footer="992" w:gutter="0"/>
          <w:pgNumType w:fmt="decimal"/>
          <w:cols w:space="720" w:num="1"/>
        </w:sectPr>
      </w:pPr>
    </w:p>
    <w:p w14:paraId="58C3F470">
      <w:pPr>
        <w:pStyle w:val="8"/>
        <w:spacing w:before="130" w:line="219" w:lineRule="auto"/>
        <w:ind w:left="144"/>
        <w:rPr>
          <w:color w:val="auto"/>
          <w:sz w:val="30"/>
          <w:szCs w:val="30"/>
          <w:highlight w:val="none"/>
        </w:rPr>
      </w:pPr>
      <w:r>
        <w:rPr>
          <w:b/>
          <w:bCs/>
          <w:color w:val="auto"/>
          <w:spacing w:val="-7"/>
          <w:sz w:val="30"/>
          <w:szCs w:val="30"/>
          <w:highlight w:val="none"/>
        </w:rPr>
        <w:t>附件四：</w:t>
      </w:r>
      <w:r>
        <w:rPr>
          <w:color w:val="auto"/>
          <w:spacing w:val="1"/>
          <w:sz w:val="30"/>
          <w:szCs w:val="30"/>
          <w:highlight w:val="none"/>
        </w:rPr>
        <w:t xml:space="preserve">                 </w:t>
      </w:r>
      <w:r>
        <w:rPr>
          <w:b/>
          <w:bCs/>
          <w:color w:val="auto"/>
          <w:spacing w:val="-7"/>
          <w:sz w:val="30"/>
          <w:szCs w:val="30"/>
          <w:highlight w:val="none"/>
        </w:rPr>
        <w:t>投标保证金证明</w:t>
      </w:r>
    </w:p>
    <w:p w14:paraId="1C1A9125">
      <w:pPr>
        <w:spacing w:line="251" w:lineRule="auto"/>
        <w:rPr>
          <w:rFonts w:ascii="Arial"/>
          <w:color w:val="auto"/>
          <w:sz w:val="21"/>
          <w:highlight w:val="none"/>
        </w:rPr>
      </w:pPr>
    </w:p>
    <w:p w14:paraId="5653A55A">
      <w:pPr>
        <w:spacing w:line="251" w:lineRule="auto"/>
        <w:rPr>
          <w:rFonts w:ascii="Arial"/>
          <w:color w:val="auto"/>
          <w:sz w:val="21"/>
          <w:highlight w:val="none"/>
        </w:rPr>
      </w:pPr>
    </w:p>
    <w:p w14:paraId="36760855">
      <w:pPr>
        <w:spacing w:line="251" w:lineRule="auto"/>
        <w:rPr>
          <w:rFonts w:ascii="Arial"/>
          <w:color w:val="auto"/>
          <w:sz w:val="21"/>
          <w:highlight w:val="none"/>
        </w:rPr>
      </w:pPr>
    </w:p>
    <w:p w14:paraId="280B20B2">
      <w:pPr>
        <w:spacing w:line="251" w:lineRule="auto"/>
        <w:rPr>
          <w:rFonts w:ascii="Arial"/>
          <w:color w:val="auto"/>
          <w:sz w:val="21"/>
          <w:highlight w:val="none"/>
        </w:rPr>
      </w:pPr>
    </w:p>
    <w:p w14:paraId="0DDA71EC">
      <w:pPr>
        <w:spacing w:line="251" w:lineRule="auto"/>
        <w:rPr>
          <w:rFonts w:ascii="Arial"/>
          <w:color w:val="auto"/>
          <w:sz w:val="21"/>
          <w:highlight w:val="none"/>
        </w:rPr>
      </w:pPr>
    </w:p>
    <w:p w14:paraId="6DBDD908">
      <w:pPr>
        <w:spacing w:line="251" w:lineRule="auto"/>
        <w:rPr>
          <w:rFonts w:ascii="Arial"/>
          <w:color w:val="auto"/>
          <w:sz w:val="21"/>
          <w:highlight w:val="none"/>
        </w:rPr>
      </w:pPr>
    </w:p>
    <w:p w14:paraId="3F6D0725">
      <w:pPr>
        <w:spacing w:line="252" w:lineRule="auto"/>
        <w:rPr>
          <w:rFonts w:ascii="Arial"/>
          <w:color w:val="auto"/>
          <w:sz w:val="21"/>
          <w:highlight w:val="none"/>
        </w:rPr>
      </w:pPr>
    </w:p>
    <w:p w14:paraId="5514F5BC">
      <w:pPr>
        <w:spacing w:line="252" w:lineRule="auto"/>
        <w:rPr>
          <w:rFonts w:ascii="Arial"/>
          <w:color w:val="auto"/>
          <w:sz w:val="21"/>
          <w:highlight w:val="none"/>
        </w:rPr>
      </w:pPr>
    </w:p>
    <w:p w14:paraId="5109B767">
      <w:pPr>
        <w:spacing w:line="252" w:lineRule="auto"/>
        <w:rPr>
          <w:rFonts w:ascii="Arial"/>
          <w:color w:val="auto"/>
          <w:sz w:val="21"/>
          <w:highlight w:val="none"/>
        </w:rPr>
      </w:pPr>
    </w:p>
    <w:p w14:paraId="148C69C7">
      <w:pPr>
        <w:spacing w:line="252" w:lineRule="auto"/>
        <w:rPr>
          <w:rFonts w:ascii="Arial"/>
          <w:color w:val="auto"/>
          <w:sz w:val="21"/>
          <w:highlight w:val="none"/>
        </w:rPr>
      </w:pPr>
    </w:p>
    <w:p w14:paraId="2E8F3529">
      <w:pPr>
        <w:spacing w:line="252" w:lineRule="auto"/>
        <w:rPr>
          <w:rFonts w:ascii="Arial"/>
          <w:color w:val="auto"/>
          <w:sz w:val="21"/>
          <w:highlight w:val="none"/>
        </w:rPr>
      </w:pPr>
    </w:p>
    <w:p w14:paraId="1E78FC3A">
      <w:pPr>
        <w:spacing w:line="252" w:lineRule="auto"/>
        <w:rPr>
          <w:rFonts w:ascii="Arial"/>
          <w:color w:val="auto"/>
          <w:sz w:val="21"/>
          <w:highlight w:val="none"/>
        </w:rPr>
      </w:pPr>
    </w:p>
    <w:p w14:paraId="605489A7">
      <w:pPr>
        <w:spacing w:line="252" w:lineRule="auto"/>
        <w:rPr>
          <w:rFonts w:ascii="Arial"/>
          <w:color w:val="auto"/>
          <w:sz w:val="21"/>
          <w:highlight w:val="none"/>
        </w:rPr>
      </w:pPr>
    </w:p>
    <w:p w14:paraId="3E931A41">
      <w:pPr>
        <w:pStyle w:val="8"/>
        <w:spacing w:before="97" w:line="219" w:lineRule="auto"/>
        <w:ind w:left="144"/>
        <w:rPr>
          <w:color w:val="auto"/>
          <w:sz w:val="30"/>
          <w:szCs w:val="30"/>
          <w:highlight w:val="none"/>
        </w:rPr>
      </w:pPr>
      <w:r>
        <w:rPr>
          <w:b/>
          <w:bCs/>
          <w:color w:val="auto"/>
          <w:spacing w:val="-12"/>
          <w:sz w:val="30"/>
          <w:szCs w:val="30"/>
          <w:highlight w:val="none"/>
        </w:rPr>
        <w:t>附件五：</w:t>
      </w:r>
    </w:p>
    <w:p w14:paraId="6C1C5053">
      <w:pPr>
        <w:pStyle w:val="8"/>
        <w:spacing w:before="268" w:line="218" w:lineRule="auto"/>
        <w:ind w:left="2126"/>
        <w:rPr>
          <w:color w:val="auto"/>
          <w:sz w:val="30"/>
          <w:szCs w:val="30"/>
          <w:highlight w:val="none"/>
        </w:rPr>
      </w:pPr>
      <w:r>
        <w:rPr>
          <w:b/>
          <w:bCs/>
          <w:color w:val="auto"/>
          <w:spacing w:val="-4"/>
          <w:sz w:val="30"/>
          <w:szCs w:val="30"/>
          <w:highlight w:val="none"/>
        </w:rPr>
        <w:t>投标报价明细表（本项目可不提供）</w:t>
      </w:r>
    </w:p>
    <w:p w14:paraId="16C738DD">
      <w:pPr>
        <w:pStyle w:val="8"/>
        <w:spacing w:before="221" w:line="219" w:lineRule="auto"/>
        <w:ind w:left="120"/>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57168029">
      <w:pPr>
        <w:spacing w:line="69" w:lineRule="exact"/>
        <w:rPr>
          <w:color w:val="auto"/>
          <w:highlight w:val="none"/>
        </w:rPr>
      </w:pPr>
    </w:p>
    <w:tbl>
      <w:tblPr>
        <w:tblStyle w:val="36"/>
        <w:tblW w:w="9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566"/>
        <w:gridCol w:w="1464"/>
        <w:gridCol w:w="811"/>
        <w:gridCol w:w="1004"/>
        <w:gridCol w:w="1041"/>
        <w:gridCol w:w="817"/>
        <w:gridCol w:w="855"/>
        <w:gridCol w:w="952"/>
      </w:tblGrid>
      <w:tr w14:paraId="7ECE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9" w:type="dxa"/>
            <w:vAlign w:val="top"/>
          </w:tcPr>
          <w:p w14:paraId="7C8BA6AF">
            <w:pPr>
              <w:spacing w:line="273" w:lineRule="auto"/>
              <w:rPr>
                <w:rFonts w:ascii="Arial"/>
                <w:color w:val="auto"/>
                <w:sz w:val="21"/>
                <w:highlight w:val="none"/>
              </w:rPr>
            </w:pPr>
          </w:p>
          <w:p w14:paraId="7DC6D900">
            <w:pPr>
              <w:pStyle w:val="35"/>
              <w:spacing w:before="78" w:line="221" w:lineRule="auto"/>
              <w:ind w:left="130"/>
              <w:rPr>
                <w:color w:val="auto"/>
                <w:highlight w:val="none"/>
              </w:rPr>
            </w:pPr>
            <w:r>
              <w:rPr>
                <w:color w:val="auto"/>
                <w:spacing w:val="-5"/>
                <w:highlight w:val="none"/>
              </w:rPr>
              <w:t>序号</w:t>
            </w:r>
          </w:p>
        </w:tc>
        <w:tc>
          <w:tcPr>
            <w:tcW w:w="1566" w:type="dxa"/>
            <w:vAlign w:val="top"/>
          </w:tcPr>
          <w:p w14:paraId="7D7A3251">
            <w:pPr>
              <w:spacing w:line="274" w:lineRule="auto"/>
              <w:rPr>
                <w:rFonts w:ascii="Arial"/>
                <w:color w:val="auto"/>
                <w:sz w:val="21"/>
                <w:highlight w:val="none"/>
              </w:rPr>
            </w:pPr>
          </w:p>
          <w:p w14:paraId="37605D53">
            <w:pPr>
              <w:pStyle w:val="35"/>
              <w:spacing w:before="78" w:line="221" w:lineRule="auto"/>
              <w:ind w:left="552"/>
              <w:rPr>
                <w:color w:val="auto"/>
                <w:highlight w:val="none"/>
              </w:rPr>
            </w:pPr>
            <w:r>
              <w:rPr>
                <w:color w:val="auto"/>
                <w:spacing w:val="-7"/>
                <w:highlight w:val="none"/>
              </w:rPr>
              <w:t>名称</w:t>
            </w:r>
          </w:p>
        </w:tc>
        <w:tc>
          <w:tcPr>
            <w:tcW w:w="1464" w:type="dxa"/>
            <w:vAlign w:val="top"/>
          </w:tcPr>
          <w:p w14:paraId="3F2B91BA">
            <w:pPr>
              <w:spacing w:line="274" w:lineRule="auto"/>
              <w:rPr>
                <w:rFonts w:ascii="Arial"/>
                <w:color w:val="auto"/>
                <w:sz w:val="21"/>
                <w:highlight w:val="none"/>
              </w:rPr>
            </w:pPr>
          </w:p>
          <w:p w14:paraId="33363774">
            <w:pPr>
              <w:pStyle w:val="35"/>
              <w:spacing w:before="78" w:line="219" w:lineRule="auto"/>
              <w:ind w:left="144"/>
              <w:rPr>
                <w:color w:val="auto"/>
                <w:highlight w:val="none"/>
              </w:rPr>
            </w:pPr>
            <w:r>
              <w:rPr>
                <w:color w:val="auto"/>
                <w:spacing w:val="-4"/>
                <w:highlight w:val="none"/>
              </w:rPr>
              <w:t>型号和规格</w:t>
            </w:r>
          </w:p>
        </w:tc>
        <w:tc>
          <w:tcPr>
            <w:tcW w:w="811" w:type="dxa"/>
            <w:vAlign w:val="top"/>
          </w:tcPr>
          <w:p w14:paraId="526C013B">
            <w:pPr>
              <w:spacing w:line="274" w:lineRule="auto"/>
              <w:rPr>
                <w:rFonts w:ascii="Arial"/>
                <w:color w:val="auto"/>
                <w:sz w:val="21"/>
                <w:highlight w:val="none"/>
              </w:rPr>
            </w:pPr>
          </w:p>
          <w:p w14:paraId="1CFB38D8">
            <w:pPr>
              <w:pStyle w:val="35"/>
              <w:spacing w:before="78" w:line="219" w:lineRule="auto"/>
              <w:ind w:left="173"/>
              <w:rPr>
                <w:color w:val="auto"/>
                <w:highlight w:val="none"/>
              </w:rPr>
            </w:pPr>
            <w:r>
              <w:rPr>
                <w:color w:val="auto"/>
                <w:spacing w:val="-6"/>
                <w:highlight w:val="none"/>
              </w:rPr>
              <w:t>数量</w:t>
            </w:r>
          </w:p>
        </w:tc>
        <w:tc>
          <w:tcPr>
            <w:tcW w:w="1004" w:type="dxa"/>
            <w:vAlign w:val="top"/>
          </w:tcPr>
          <w:p w14:paraId="165DD7DD">
            <w:pPr>
              <w:spacing w:line="274" w:lineRule="auto"/>
              <w:rPr>
                <w:rFonts w:ascii="Arial"/>
                <w:color w:val="auto"/>
                <w:sz w:val="21"/>
                <w:highlight w:val="none"/>
              </w:rPr>
            </w:pPr>
          </w:p>
          <w:p w14:paraId="6F8BA21D">
            <w:pPr>
              <w:pStyle w:val="35"/>
              <w:spacing w:before="78" w:line="219" w:lineRule="auto"/>
              <w:ind w:left="269"/>
              <w:rPr>
                <w:color w:val="auto"/>
                <w:highlight w:val="none"/>
              </w:rPr>
            </w:pPr>
            <w:r>
              <w:rPr>
                <w:color w:val="auto"/>
                <w:spacing w:val="-5"/>
                <w:highlight w:val="none"/>
              </w:rPr>
              <w:t>产地</w:t>
            </w:r>
          </w:p>
        </w:tc>
        <w:tc>
          <w:tcPr>
            <w:tcW w:w="1041" w:type="dxa"/>
            <w:vAlign w:val="top"/>
          </w:tcPr>
          <w:p w14:paraId="6C90566C">
            <w:pPr>
              <w:pStyle w:val="35"/>
              <w:spacing w:before="121" w:line="313" w:lineRule="auto"/>
              <w:ind w:left="290" w:right="157" w:hanging="121"/>
              <w:rPr>
                <w:color w:val="auto"/>
                <w:highlight w:val="none"/>
              </w:rPr>
            </w:pPr>
            <w:r>
              <w:rPr>
                <w:color w:val="auto"/>
                <w:spacing w:val="-4"/>
                <w:highlight w:val="none"/>
              </w:rPr>
              <w:t>制造商</w:t>
            </w:r>
            <w:r>
              <w:rPr>
                <w:color w:val="auto"/>
                <w:spacing w:val="-7"/>
                <w:highlight w:val="none"/>
              </w:rPr>
              <w:t>名称</w:t>
            </w:r>
          </w:p>
        </w:tc>
        <w:tc>
          <w:tcPr>
            <w:tcW w:w="817" w:type="dxa"/>
            <w:vAlign w:val="top"/>
          </w:tcPr>
          <w:p w14:paraId="78361A7A">
            <w:pPr>
              <w:spacing w:line="273" w:lineRule="auto"/>
              <w:rPr>
                <w:rFonts w:ascii="Arial"/>
                <w:color w:val="auto"/>
                <w:sz w:val="21"/>
                <w:highlight w:val="none"/>
              </w:rPr>
            </w:pPr>
          </w:p>
          <w:p w14:paraId="33937F55">
            <w:pPr>
              <w:pStyle w:val="35"/>
              <w:spacing w:before="78" w:line="218" w:lineRule="auto"/>
              <w:ind w:left="177"/>
              <w:rPr>
                <w:color w:val="auto"/>
                <w:highlight w:val="none"/>
              </w:rPr>
            </w:pPr>
            <w:r>
              <w:rPr>
                <w:color w:val="auto"/>
                <w:spacing w:val="-6"/>
                <w:highlight w:val="none"/>
              </w:rPr>
              <w:t>单价</w:t>
            </w:r>
          </w:p>
        </w:tc>
        <w:tc>
          <w:tcPr>
            <w:tcW w:w="855" w:type="dxa"/>
            <w:vAlign w:val="top"/>
          </w:tcPr>
          <w:p w14:paraId="4F708746">
            <w:pPr>
              <w:spacing w:line="273" w:lineRule="auto"/>
              <w:rPr>
                <w:rFonts w:ascii="Arial"/>
                <w:color w:val="auto"/>
                <w:sz w:val="21"/>
                <w:highlight w:val="none"/>
              </w:rPr>
            </w:pPr>
          </w:p>
          <w:p w14:paraId="49B605A7">
            <w:pPr>
              <w:pStyle w:val="35"/>
              <w:spacing w:before="78" w:line="218" w:lineRule="auto"/>
              <w:ind w:left="203"/>
              <w:rPr>
                <w:color w:val="auto"/>
                <w:highlight w:val="none"/>
              </w:rPr>
            </w:pPr>
            <w:r>
              <w:rPr>
                <w:color w:val="auto"/>
                <w:spacing w:val="-8"/>
                <w:highlight w:val="none"/>
              </w:rPr>
              <w:t>总价</w:t>
            </w:r>
          </w:p>
        </w:tc>
        <w:tc>
          <w:tcPr>
            <w:tcW w:w="952" w:type="dxa"/>
            <w:vAlign w:val="top"/>
          </w:tcPr>
          <w:p w14:paraId="16CE9942">
            <w:pPr>
              <w:spacing w:line="273" w:lineRule="auto"/>
              <w:rPr>
                <w:rFonts w:ascii="Arial"/>
                <w:color w:val="auto"/>
                <w:sz w:val="21"/>
                <w:highlight w:val="none"/>
              </w:rPr>
            </w:pPr>
          </w:p>
          <w:p w14:paraId="156B3BC5">
            <w:pPr>
              <w:pStyle w:val="35"/>
              <w:spacing w:before="78" w:line="221" w:lineRule="auto"/>
              <w:ind w:left="246"/>
              <w:rPr>
                <w:color w:val="auto"/>
                <w:highlight w:val="none"/>
              </w:rPr>
            </w:pPr>
            <w:r>
              <w:rPr>
                <w:color w:val="auto"/>
                <w:spacing w:val="-7"/>
                <w:highlight w:val="none"/>
              </w:rPr>
              <w:t>备注</w:t>
            </w:r>
          </w:p>
        </w:tc>
      </w:tr>
      <w:tr w14:paraId="1EB5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1C3311D">
            <w:pPr>
              <w:pStyle w:val="35"/>
              <w:spacing w:before="116" w:line="241" w:lineRule="auto"/>
              <w:ind w:left="328"/>
              <w:rPr>
                <w:color w:val="auto"/>
                <w:highlight w:val="none"/>
              </w:rPr>
            </w:pPr>
            <w:r>
              <w:rPr>
                <w:color w:val="auto"/>
                <w:highlight w:val="none"/>
              </w:rPr>
              <w:t>1</w:t>
            </w:r>
          </w:p>
        </w:tc>
        <w:tc>
          <w:tcPr>
            <w:tcW w:w="1566" w:type="dxa"/>
            <w:vAlign w:val="top"/>
          </w:tcPr>
          <w:p w14:paraId="2EA4532D">
            <w:pPr>
              <w:rPr>
                <w:rFonts w:ascii="Arial"/>
                <w:color w:val="auto"/>
                <w:sz w:val="21"/>
                <w:highlight w:val="none"/>
              </w:rPr>
            </w:pPr>
          </w:p>
        </w:tc>
        <w:tc>
          <w:tcPr>
            <w:tcW w:w="1464" w:type="dxa"/>
            <w:vAlign w:val="top"/>
          </w:tcPr>
          <w:p w14:paraId="3C1683C2">
            <w:pPr>
              <w:rPr>
                <w:rFonts w:ascii="Arial"/>
                <w:color w:val="auto"/>
                <w:sz w:val="21"/>
                <w:highlight w:val="none"/>
              </w:rPr>
            </w:pPr>
          </w:p>
        </w:tc>
        <w:tc>
          <w:tcPr>
            <w:tcW w:w="811" w:type="dxa"/>
            <w:vAlign w:val="top"/>
          </w:tcPr>
          <w:p w14:paraId="4881F0F5">
            <w:pPr>
              <w:rPr>
                <w:rFonts w:ascii="Arial"/>
                <w:color w:val="auto"/>
                <w:sz w:val="21"/>
                <w:highlight w:val="none"/>
              </w:rPr>
            </w:pPr>
          </w:p>
        </w:tc>
        <w:tc>
          <w:tcPr>
            <w:tcW w:w="1004" w:type="dxa"/>
            <w:vAlign w:val="top"/>
          </w:tcPr>
          <w:p w14:paraId="6E265535">
            <w:pPr>
              <w:rPr>
                <w:rFonts w:ascii="Arial"/>
                <w:color w:val="auto"/>
                <w:sz w:val="21"/>
                <w:highlight w:val="none"/>
              </w:rPr>
            </w:pPr>
          </w:p>
        </w:tc>
        <w:tc>
          <w:tcPr>
            <w:tcW w:w="1041" w:type="dxa"/>
            <w:vAlign w:val="top"/>
          </w:tcPr>
          <w:p w14:paraId="45EAFEF9">
            <w:pPr>
              <w:rPr>
                <w:rFonts w:ascii="Arial"/>
                <w:color w:val="auto"/>
                <w:sz w:val="21"/>
                <w:highlight w:val="none"/>
              </w:rPr>
            </w:pPr>
          </w:p>
        </w:tc>
        <w:tc>
          <w:tcPr>
            <w:tcW w:w="817" w:type="dxa"/>
            <w:vAlign w:val="top"/>
          </w:tcPr>
          <w:p w14:paraId="0A800FBB">
            <w:pPr>
              <w:rPr>
                <w:rFonts w:ascii="Arial"/>
                <w:color w:val="auto"/>
                <w:sz w:val="21"/>
                <w:highlight w:val="none"/>
              </w:rPr>
            </w:pPr>
          </w:p>
        </w:tc>
        <w:tc>
          <w:tcPr>
            <w:tcW w:w="855" w:type="dxa"/>
            <w:vAlign w:val="top"/>
          </w:tcPr>
          <w:p w14:paraId="3E601B4D">
            <w:pPr>
              <w:rPr>
                <w:rFonts w:ascii="Arial"/>
                <w:color w:val="auto"/>
                <w:sz w:val="21"/>
                <w:highlight w:val="none"/>
              </w:rPr>
            </w:pPr>
          </w:p>
        </w:tc>
        <w:tc>
          <w:tcPr>
            <w:tcW w:w="952" w:type="dxa"/>
            <w:vAlign w:val="top"/>
          </w:tcPr>
          <w:p w14:paraId="16ED131E">
            <w:pPr>
              <w:rPr>
                <w:rFonts w:ascii="Arial"/>
                <w:color w:val="auto"/>
                <w:sz w:val="21"/>
                <w:highlight w:val="none"/>
              </w:rPr>
            </w:pPr>
          </w:p>
        </w:tc>
      </w:tr>
      <w:tr w14:paraId="2479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4F7EB53">
            <w:pPr>
              <w:pStyle w:val="35"/>
              <w:spacing w:before="116" w:line="241" w:lineRule="auto"/>
              <w:ind w:left="313"/>
              <w:rPr>
                <w:color w:val="auto"/>
                <w:highlight w:val="none"/>
              </w:rPr>
            </w:pPr>
            <w:r>
              <w:rPr>
                <w:color w:val="auto"/>
                <w:highlight w:val="none"/>
              </w:rPr>
              <w:t>2</w:t>
            </w:r>
          </w:p>
        </w:tc>
        <w:tc>
          <w:tcPr>
            <w:tcW w:w="1566" w:type="dxa"/>
            <w:vAlign w:val="top"/>
          </w:tcPr>
          <w:p w14:paraId="2A55BAE1">
            <w:pPr>
              <w:rPr>
                <w:rFonts w:ascii="Arial"/>
                <w:color w:val="auto"/>
                <w:sz w:val="21"/>
                <w:highlight w:val="none"/>
              </w:rPr>
            </w:pPr>
          </w:p>
        </w:tc>
        <w:tc>
          <w:tcPr>
            <w:tcW w:w="1464" w:type="dxa"/>
            <w:vAlign w:val="top"/>
          </w:tcPr>
          <w:p w14:paraId="4909A6F8">
            <w:pPr>
              <w:rPr>
                <w:rFonts w:ascii="Arial"/>
                <w:color w:val="auto"/>
                <w:sz w:val="21"/>
                <w:highlight w:val="none"/>
              </w:rPr>
            </w:pPr>
          </w:p>
        </w:tc>
        <w:tc>
          <w:tcPr>
            <w:tcW w:w="811" w:type="dxa"/>
            <w:vAlign w:val="top"/>
          </w:tcPr>
          <w:p w14:paraId="554CBFB8">
            <w:pPr>
              <w:rPr>
                <w:rFonts w:ascii="Arial"/>
                <w:color w:val="auto"/>
                <w:sz w:val="21"/>
                <w:highlight w:val="none"/>
              </w:rPr>
            </w:pPr>
          </w:p>
        </w:tc>
        <w:tc>
          <w:tcPr>
            <w:tcW w:w="1004" w:type="dxa"/>
            <w:vAlign w:val="top"/>
          </w:tcPr>
          <w:p w14:paraId="1D2B7402">
            <w:pPr>
              <w:rPr>
                <w:rFonts w:ascii="Arial"/>
                <w:color w:val="auto"/>
                <w:sz w:val="21"/>
                <w:highlight w:val="none"/>
              </w:rPr>
            </w:pPr>
          </w:p>
        </w:tc>
        <w:tc>
          <w:tcPr>
            <w:tcW w:w="1041" w:type="dxa"/>
            <w:vAlign w:val="top"/>
          </w:tcPr>
          <w:p w14:paraId="217CDE24">
            <w:pPr>
              <w:rPr>
                <w:rFonts w:ascii="Arial"/>
                <w:color w:val="auto"/>
                <w:sz w:val="21"/>
                <w:highlight w:val="none"/>
              </w:rPr>
            </w:pPr>
          </w:p>
        </w:tc>
        <w:tc>
          <w:tcPr>
            <w:tcW w:w="817" w:type="dxa"/>
            <w:vAlign w:val="top"/>
          </w:tcPr>
          <w:p w14:paraId="39E1B25D">
            <w:pPr>
              <w:rPr>
                <w:rFonts w:ascii="Arial"/>
                <w:color w:val="auto"/>
                <w:sz w:val="21"/>
                <w:highlight w:val="none"/>
              </w:rPr>
            </w:pPr>
          </w:p>
        </w:tc>
        <w:tc>
          <w:tcPr>
            <w:tcW w:w="855" w:type="dxa"/>
            <w:vAlign w:val="top"/>
          </w:tcPr>
          <w:p w14:paraId="4FD1C2DB">
            <w:pPr>
              <w:rPr>
                <w:rFonts w:ascii="Arial"/>
                <w:color w:val="auto"/>
                <w:sz w:val="21"/>
                <w:highlight w:val="none"/>
              </w:rPr>
            </w:pPr>
          </w:p>
        </w:tc>
        <w:tc>
          <w:tcPr>
            <w:tcW w:w="952" w:type="dxa"/>
            <w:vAlign w:val="top"/>
          </w:tcPr>
          <w:p w14:paraId="3E8899DA">
            <w:pPr>
              <w:rPr>
                <w:rFonts w:ascii="Arial"/>
                <w:color w:val="auto"/>
                <w:sz w:val="21"/>
                <w:highlight w:val="none"/>
              </w:rPr>
            </w:pPr>
          </w:p>
        </w:tc>
      </w:tr>
      <w:tr w14:paraId="751B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7FCA1EB">
            <w:pPr>
              <w:pStyle w:val="35"/>
              <w:spacing w:before="117"/>
              <w:ind w:left="315"/>
              <w:rPr>
                <w:color w:val="auto"/>
                <w:highlight w:val="none"/>
              </w:rPr>
            </w:pPr>
            <w:r>
              <w:rPr>
                <w:color w:val="auto"/>
                <w:highlight w:val="none"/>
              </w:rPr>
              <w:t>3</w:t>
            </w:r>
          </w:p>
        </w:tc>
        <w:tc>
          <w:tcPr>
            <w:tcW w:w="1566" w:type="dxa"/>
            <w:vAlign w:val="top"/>
          </w:tcPr>
          <w:p w14:paraId="6D38F982">
            <w:pPr>
              <w:rPr>
                <w:rFonts w:ascii="Arial"/>
                <w:color w:val="auto"/>
                <w:sz w:val="21"/>
                <w:highlight w:val="none"/>
              </w:rPr>
            </w:pPr>
          </w:p>
        </w:tc>
        <w:tc>
          <w:tcPr>
            <w:tcW w:w="1464" w:type="dxa"/>
            <w:vAlign w:val="top"/>
          </w:tcPr>
          <w:p w14:paraId="1C828880">
            <w:pPr>
              <w:rPr>
                <w:rFonts w:ascii="Arial"/>
                <w:color w:val="auto"/>
                <w:sz w:val="21"/>
                <w:highlight w:val="none"/>
              </w:rPr>
            </w:pPr>
          </w:p>
        </w:tc>
        <w:tc>
          <w:tcPr>
            <w:tcW w:w="811" w:type="dxa"/>
            <w:vAlign w:val="top"/>
          </w:tcPr>
          <w:p w14:paraId="7028C1F3">
            <w:pPr>
              <w:rPr>
                <w:rFonts w:ascii="Arial"/>
                <w:color w:val="auto"/>
                <w:sz w:val="21"/>
                <w:highlight w:val="none"/>
              </w:rPr>
            </w:pPr>
          </w:p>
        </w:tc>
        <w:tc>
          <w:tcPr>
            <w:tcW w:w="1004" w:type="dxa"/>
            <w:vAlign w:val="top"/>
          </w:tcPr>
          <w:p w14:paraId="2BD034AC">
            <w:pPr>
              <w:rPr>
                <w:rFonts w:ascii="Arial"/>
                <w:color w:val="auto"/>
                <w:sz w:val="21"/>
                <w:highlight w:val="none"/>
              </w:rPr>
            </w:pPr>
          </w:p>
        </w:tc>
        <w:tc>
          <w:tcPr>
            <w:tcW w:w="1041" w:type="dxa"/>
            <w:vAlign w:val="top"/>
          </w:tcPr>
          <w:p w14:paraId="4FA95B29">
            <w:pPr>
              <w:rPr>
                <w:rFonts w:ascii="Arial"/>
                <w:color w:val="auto"/>
                <w:sz w:val="21"/>
                <w:highlight w:val="none"/>
              </w:rPr>
            </w:pPr>
          </w:p>
        </w:tc>
        <w:tc>
          <w:tcPr>
            <w:tcW w:w="817" w:type="dxa"/>
            <w:vAlign w:val="top"/>
          </w:tcPr>
          <w:p w14:paraId="112BE323">
            <w:pPr>
              <w:rPr>
                <w:rFonts w:ascii="Arial"/>
                <w:color w:val="auto"/>
                <w:sz w:val="21"/>
                <w:highlight w:val="none"/>
              </w:rPr>
            </w:pPr>
          </w:p>
        </w:tc>
        <w:tc>
          <w:tcPr>
            <w:tcW w:w="855" w:type="dxa"/>
            <w:vAlign w:val="top"/>
          </w:tcPr>
          <w:p w14:paraId="7028AE38">
            <w:pPr>
              <w:rPr>
                <w:rFonts w:ascii="Arial"/>
                <w:color w:val="auto"/>
                <w:sz w:val="21"/>
                <w:highlight w:val="none"/>
              </w:rPr>
            </w:pPr>
          </w:p>
        </w:tc>
        <w:tc>
          <w:tcPr>
            <w:tcW w:w="952" w:type="dxa"/>
            <w:vAlign w:val="top"/>
          </w:tcPr>
          <w:p w14:paraId="6831D524">
            <w:pPr>
              <w:rPr>
                <w:rFonts w:ascii="Arial"/>
                <w:color w:val="auto"/>
                <w:sz w:val="21"/>
                <w:highlight w:val="none"/>
              </w:rPr>
            </w:pPr>
          </w:p>
        </w:tc>
      </w:tr>
      <w:tr w14:paraId="08F8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3DB9F2B">
            <w:pPr>
              <w:pStyle w:val="35"/>
              <w:spacing w:before="118" w:line="241" w:lineRule="auto"/>
              <w:ind w:left="310"/>
              <w:rPr>
                <w:color w:val="auto"/>
                <w:highlight w:val="none"/>
              </w:rPr>
            </w:pPr>
            <w:r>
              <w:rPr>
                <w:color w:val="auto"/>
                <w:highlight w:val="none"/>
              </w:rPr>
              <w:t>4</w:t>
            </w:r>
          </w:p>
        </w:tc>
        <w:tc>
          <w:tcPr>
            <w:tcW w:w="1566" w:type="dxa"/>
            <w:vAlign w:val="top"/>
          </w:tcPr>
          <w:p w14:paraId="22FD28CF">
            <w:pPr>
              <w:rPr>
                <w:rFonts w:ascii="Arial"/>
                <w:color w:val="auto"/>
                <w:sz w:val="21"/>
                <w:highlight w:val="none"/>
              </w:rPr>
            </w:pPr>
          </w:p>
        </w:tc>
        <w:tc>
          <w:tcPr>
            <w:tcW w:w="1464" w:type="dxa"/>
            <w:vAlign w:val="top"/>
          </w:tcPr>
          <w:p w14:paraId="6E104DA3">
            <w:pPr>
              <w:rPr>
                <w:rFonts w:ascii="Arial"/>
                <w:color w:val="auto"/>
                <w:sz w:val="21"/>
                <w:highlight w:val="none"/>
              </w:rPr>
            </w:pPr>
          </w:p>
        </w:tc>
        <w:tc>
          <w:tcPr>
            <w:tcW w:w="811" w:type="dxa"/>
            <w:vAlign w:val="top"/>
          </w:tcPr>
          <w:p w14:paraId="19F8A224">
            <w:pPr>
              <w:rPr>
                <w:rFonts w:ascii="Arial"/>
                <w:color w:val="auto"/>
                <w:sz w:val="21"/>
                <w:highlight w:val="none"/>
              </w:rPr>
            </w:pPr>
          </w:p>
        </w:tc>
        <w:tc>
          <w:tcPr>
            <w:tcW w:w="1004" w:type="dxa"/>
            <w:vAlign w:val="top"/>
          </w:tcPr>
          <w:p w14:paraId="61AB44D5">
            <w:pPr>
              <w:rPr>
                <w:rFonts w:ascii="Arial"/>
                <w:color w:val="auto"/>
                <w:sz w:val="21"/>
                <w:highlight w:val="none"/>
              </w:rPr>
            </w:pPr>
          </w:p>
        </w:tc>
        <w:tc>
          <w:tcPr>
            <w:tcW w:w="1041" w:type="dxa"/>
            <w:vAlign w:val="top"/>
          </w:tcPr>
          <w:p w14:paraId="740D0A8F">
            <w:pPr>
              <w:rPr>
                <w:rFonts w:ascii="Arial"/>
                <w:color w:val="auto"/>
                <w:sz w:val="21"/>
                <w:highlight w:val="none"/>
              </w:rPr>
            </w:pPr>
          </w:p>
        </w:tc>
        <w:tc>
          <w:tcPr>
            <w:tcW w:w="817" w:type="dxa"/>
            <w:vAlign w:val="top"/>
          </w:tcPr>
          <w:p w14:paraId="42505038">
            <w:pPr>
              <w:rPr>
                <w:rFonts w:ascii="Arial"/>
                <w:color w:val="auto"/>
                <w:sz w:val="21"/>
                <w:highlight w:val="none"/>
              </w:rPr>
            </w:pPr>
          </w:p>
        </w:tc>
        <w:tc>
          <w:tcPr>
            <w:tcW w:w="855" w:type="dxa"/>
            <w:vAlign w:val="top"/>
          </w:tcPr>
          <w:p w14:paraId="2724AAF1">
            <w:pPr>
              <w:rPr>
                <w:rFonts w:ascii="Arial"/>
                <w:color w:val="auto"/>
                <w:sz w:val="21"/>
                <w:highlight w:val="none"/>
              </w:rPr>
            </w:pPr>
          </w:p>
        </w:tc>
        <w:tc>
          <w:tcPr>
            <w:tcW w:w="952" w:type="dxa"/>
            <w:vAlign w:val="top"/>
          </w:tcPr>
          <w:p w14:paraId="2F70E944">
            <w:pPr>
              <w:rPr>
                <w:rFonts w:ascii="Arial"/>
                <w:color w:val="auto"/>
                <w:sz w:val="21"/>
                <w:highlight w:val="none"/>
              </w:rPr>
            </w:pPr>
          </w:p>
        </w:tc>
      </w:tr>
      <w:tr w14:paraId="4B4F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D379FE6">
            <w:pPr>
              <w:pStyle w:val="35"/>
              <w:spacing w:before="118"/>
              <w:ind w:left="315"/>
              <w:rPr>
                <w:color w:val="auto"/>
                <w:highlight w:val="none"/>
              </w:rPr>
            </w:pPr>
            <w:r>
              <w:rPr>
                <w:color w:val="auto"/>
                <w:highlight w:val="none"/>
              </w:rPr>
              <w:t>5</w:t>
            </w:r>
          </w:p>
        </w:tc>
        <w:tc>
          <w:tcPr>
            <w:tcW w:w="1566" w:type="dxa"/>
            <w:vAlign w:val="top"/>
          </w:tcPr>
          <w:p w14:paraId="1A733AAB">
            <w:pPr>
              <w:rPr>
                <w:rFonts w:ascii="Arial"/>
                <w:color w:val="auto"/>
                <w:sz w:val="21"/>
                <w:highlight w:val="none"/>
              </w:rPr>
            </w:pPr>
          </w:p>
        </w:tc>
        <w:tc>
          <w:tcPr>
            <w:tcW w:w="1464" w:type="dxa"/>
            <w:vAlign w:val="top"/>
          </w:tcPr>
          <w:p w14:paraId="0E1FF228">
            <w:pPr>
              <w:rPr>
                <w:rFonts w:ascii="Arial"/>
                <w:color w:val="auto"/>
                <w:sz w:val="21"/>
                <w:highlight w:val="none"/>
              </w:rPr>
            </w:pPr>
          </w:p>
        </w:tc>
        <w:tc>
          <w:tcPr>
            <w:tcW w:w="811" w:type="dxa"/>
            <w:vAlign w:val="top"/>
          </w:tcPr>
          <w:p w14:paraId="7D41B2DE">
            <w:pPr>
              <w:rPr>
                <w:rFonts w:ascii="Arial"/>
                <w:color w:val="auto"/>
                <w:sz w:val="21"/>
                <w:highlight w:val="none"/>
              </w:rPr>
            </w:pPr>
          </w:p>
        </w:tc>
        <w:tc>
          <w:tcPr>
            <w:tcW w:w="1004" w:type="dxa"/>
            <w:vAlign w:val="top"/>
          </w:tcPr>
          <w:p w14:paraId="7B8C570D">
            <w:pPr>
              <w:rPr>
                <w:rFonts w:ascii="Arial"/>
                <w:color w:val="auto"/>
                <w:sz w:val="21"/>
                <w:highlight w:val="none"/>
              </w:rPr>
            </w:pPr>
          </w:p>
        </w:tc>
        <w:tc>
          <w:tcPr>
            <w:tcW w:w="1041" w:type="dxa"/>
            <w:vAlign w:val="top"/>
          </w:tcPr>
          <w:p w14:paraId="2764E339">
            <w:pPr>
              <w:rPr>
                <w:rFonts w:ascii="Arial"/>
                <w:color w:val="auto"/>
                <w:sz w:val="21"/>
                <w:highlight w:val="none"/>
              </w:rPr>
            </w:pPr>
          </w:p>
        </w:tc>
        <w:tc>
          <w:tcPr>
            <w:tcW w:w="817" w:type="dxa"/>
            <w:vAlign w:val="top"/>
          </w:tcPr>
          <w:p w14:paraId="1D37DA1E">
            <w:pPr>
              <w:rPr>
                <w:rFonts w:ascii="Arial"/>
                <w:color w:val="auto"/>
                <w:sz w:val="21"/>
                <w:highlight w:val="none"/>
              </w:rPr>
            </w:pPr>
          </w:p>
        </w:tc>
        <w:tc>
          <w:tcPr>
            <w:tcW w:w="855" w:type="dxa"/>
            <w:vAlign w:val="top"/>
          </w:tcPr>
          <w:p w14:paraId="7458D4A6">
            <w:pPr>
              <w:rPr>
                <w:rFonts w:ascii="Arial"/>
                <w:color w:val="auto"/>
                <w:sz w:val="21"/>
                <w:highlight w:val="none"/>
              </w:rPr>
            </w:pPr>
          </w:p>
        </w:tc>
        <w:tc>
          <w:tcPr>
            <w:tcW w:w="952" w:type="dxa"/>
            <w:vAlign w:val="top"/>
          </w:tcPr>
          <w:p w14:paraId="3B4CFF1A">
            <w:pPr>
              <w:rPr>
                <w:rFonts w:ascii="Arial"/>
                <w:color w:val="auto"/>
                <w:sz w:val="21"/>
                <w:highlight w:val="none"/>
              </w:rPr>
            </w:pPr>
          </w:p>
        </w:tc>
      </w:tr>
      <w:tr w14:paraId="68FF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570" w:type="dxa"/>
            <w:gridSpan w:val="4"/>
            <w:vAlign w:val="top"/>
          </w:tcPr>
          <w:p w14:paraId="11EE37BF">
            <w:pPr>
              <w:spacing w:line="274" w:lineRule="auto"/>
              <w:rPr>
                <w:rFonts w:ascii="Arial"/>
                <w:color w:val="auto"/>
                <w:sz w:val="21"/>
                <w:highlight w:val="none"/>
              </w:rPr>
            </w:pPr>
          </w:p>
          <w:p w14:paraId="02FB1D51">
            <w:pPr>
              <w:pStyle w:val="35"/>
              <w:spacing w:before="78" w:line="219" w:lineRule="auto"/>
              <w:ind w:left="1814"/>
              <w:rPr>
                <w:color w:val="auto"/>
                <w:highlight w:val="none"/>
              </w:rPr>
            </w:pPr>
            <w:r>
              <w:rPr>
                <w:color w:val="auto"/>
                <w:spacing w:val="-3"/>
                <w:highlight w:val="none"/>
              </w:rPr>
              <w:t>合计金额</w:t>
            </w:r>
          </w:p>
        </w:tc>
        <w:tc>
          <w:tcPr>
            <w:tcW w:w="3717" w:type="dxa"/>
            <w:gridSpan w:val="4"/>
            <w:vAlign w:val="top"/>
          </w:tcPr>
          <w:p w14:paraId="7A24BA7B">
            <w:pPr>
              <w:pStyle w:val="35"/>
              <w:spacing w:before="121" w:line="221" w:lineRule="auto"/>
              <w:ind w:left="122"/>
              <w:rPr>
                <w:color w:val="auto"/>
                <w:highlight w:val="none"/>
              </w:rPr>
            </w:pPr>
            <w:r>
              <w:rPr>
                <w:color w:val="auto"/>
                <w:spacing w:val="-6"/>
                <w:highlight w:val="none"/>
              </w:rPr>
              <w:t>小写：</w:t>
            </w:r>
          </w:p>
          <w:p w14:paraId="3AD7A0D6">
            <w:pPr>
              <w:pStyle w:val="35"/>
              <w:spacing w:before="180" w:line="220" w:lineRule="auto"/>
              <w:ind w:left="119"/>
              <w:rPr>
                <w:color w:val="auto"/>
                <w:highlight w:val="none"/>
              </w:rPr>
            </w:pPr>
            <w:r>
              <w:rPr>
                <w:color w:val="auto"/>
                <w:spacing w:val="-5"/>
                <w:highlight w:val="none"/>
              </w:rPr>
              <w:t>大写：</w:t>
            </w:r>
          </w:p>
        </w:tc>
        <w:tc>
          <w:tcPr>
            <w:tcW w:w="952" w:type="dxa"/>
            <w:vAlign w:val="top"/>
          </w:tcPr>
          <w:p w14:paraId="3330A63B">
            <w:pPr>
              <w:rPr>
                <w:rFonts w:ascii="Arial"/>
                <w:color w:val="auto"/>
                <w:sz w:val="21"/>
                <w:highlight w:val="none"/>
              </w:rPr>
            </w:pPr>
          </w:p>
        </w:tc>
      </w:tr>
    </w:tbl>
    <w:p w14:paraId="405C7D22">
      <w:pPr>
        <w:spacing w:line="251" w:lineRule="auto"/>
        <w:rPr>
          <w:rFonts w:ascii="Arial"/>
          <w:color w:val="auto"/>
          <w:sz w:val="21"/>
          <w:highlight w:val="none"/>
        </w:rPr>
      </w:pPr>
    </w:p>
    <w:p w14:paraId="533387D2">
      <w:pPr>
        <w:spacing w:line="252" w:lineRule="auto"/>
        <w:rPr>
          <w:rFonts w:ascii="Arial"/>
          <w:color w:val="auto"/>
          <w:sz w:val="21"/>
          <w:highlight w:val="none"/>
        </w:rPr>
      </w:pPr>
    </w:p>
    <w:p w14:paraId="45D3EE93">
      <w:pPr>
        <w:pStyle w:val="8"/>
        <w:spacing w:before="78" w:line="219" w:lineRule="auto"/>
        <w:ind w:left="4440"/>
        <w:rPr>
          <w:color w:val="auto"/>
          <w:highlight w:val="none"/>
        </w:rPr>
      </w:pPr>
      <w:r>
        <w:rPr>
          <w:color w:val="auto"/>
          <w:spacing w:val="-1"/>
          <w:highlight w:val="none"/>
        </w:rPr>
        <w:t>法定代表人或授权委托人（签字</w:t>
      </w:r>
      <w:r>
        <w:rPr>
          <w:color w:val="auto"/>
          <w:spacing w:val="-63"/>
          <w:w w:val="98"/>
          <w:highlight w:val="none"/>
        </w:rPr>
        <w:t>）：</w:t>
      </w:r>
    </w:p>
    <w:p w14:paraId="224674A2">
      <w:pPr>
        <w:pStyle w:val="8"/>
        <w:spacing w:before="182" w:line="219" w:lineRule="auto"/>
        <w:ind w:left="6839"/>
        <w:rPr>
          <w:color w:val="auto"/>
          <w:highlight w:val="none"/>
        </w:rPr>
      </w:pPr>
      <w:r>
        <w:rPr>
          <w:color w:val="auto"/>
          <w:spacing w:val="-2"/>
          <w:highlight w:val="none"/>
        </w:rPr>
        <w:t>供应商盖章：</w:t>
      </w:r>
    </w:p>
    <w:p w14:paraId="50FE1AA4">
      <w:pPr>
        <w:pStyle w:val="8"/>
        <w:spacing w:before="184" w:line="219" w:lineRule="auto"/>
        <w:ind w:left="5956"/>
        <w:rPr>
          <w:color w:val="auto"/>
          <w:highlight w:val="none"/>
        </w:rPr>
      </w:pPr>
      <w:r>
        <w:rPr>
          <w:color w:val="auto"/>
          <w:spacing w:val="-8"/>
          <w:highlight w:val="none"/>
        </w:rPr>
        <w:t>20</w:t>
      </w:r>
      <w:r>
        <w:rPr>
          <w:color w:val="auto"/>
          <w:spacing w:val="40"/>
          <w:highlight w:val="none"/>
          <w:u w:val="single" w:color="auto"/>
        </w:rPr>
        <w:t xml:space="preserve">   </w:t>
      </w:r>
      <w:r>
        <w:rPr>
          <w:color w:val="auto"/>
          <w:spacing w:val="-109"/>
          <w:highlight w:val="none"/>
        </w:rPr>
        <w:t xml:space="preserve"> </w:t>
      </w:r>
      <w:r>
        <w:rPr>
          <w:color w:val="auto"/>
          <w:spacing w:val="-8"/>
          <w:highlight w:val="none"/>
        </w:rPr>
        <w:t>年</w:t>
      </w:r>
      <w:r>
        <w:rPr>
          <w:color w:val="auto"/>
          <w:spacing w:val="60"/>
          <w:highlight w:val="none"/>
          <w:u w:val="single" w:color="auto"/>
        </w:rPr>
        <w:t xml:space="preserve">  </w:t>
      </w:r>
      <w:r>
        <w:rPr>
          <w:color w:val="auto"/>
          <w:spacing w:val="-105"/>
          <w:highlight w:val="none"/>
        </w:rPr>
        <w:t xml:space="preserve"> </w:t>
      </w:r>
      <w:r>
        <w:rPr>
          <w:color w:val="auto"/>
          <w:spacing w:val="-8"/>
          <w:highlight w:val="none"/>
        </w:rPr>
        <w:t>月</w:t>
      </w:r>
      <w:r>
        <w:rPr>
          <w:color w:val="auto"/>
          <w:spacing w:val="40"/>
          <w:highlight w:val="none"/>
          <w:u w:val="single" w:color="auto"/>
        </w:rPr>
        <w:t xml:space="preserve">   </w:t>
      </w:r>
      <w:r>
        <w:rPr>
          <w:color w:val="auto"/>
          <w:spacing w:val="-69"/>
          <w:highlight w:val="none"/>
        </w:rPr>
        <w:t xml:space="preserve"> </w:t>
      </w:r>
      <w:r>
        <w:rPr>
          <w:color w:val="auto"/>
          <w:spacing w:val="-8"/>
          <w:highlight w:val="none"/>
        </w:rPr>
        <w:t>日</w:t>
      </w:r>
    </w:p>
    <w:p w14:paraId="6B887401">
      <w:pPr>
        <w:pStyle w:val="8"/>
        <w:spacing w:before="183" w:line="218" w:lineRule="auto"/>
        <w:ind w:left="119"/>
        <w:rPr>
          <w:color w:val="auto"/>
          <w:highlight w:val="none"/>
        </w:rPr>
      </w:pPr>
      <w:r>
        <w:rPr>
          <w:b/>
          <w:bCs/>
          <w:color w:val="auto"/>
          <w:spacing w:val="-3"/>
          <w:highlight w:val="none"/>
        </w:rPr>
        <w:t>注：上述报价包含一切由供应商承担的费用。</w:t>
      </w:r>
    </w:p>
    <w:p w14:paraId="21C1B927">
      <w:pPr>
        <w:spacing w:line="218" w:lineRule="auto"/>
        <w:rPr>
          <w:color w:val="auto"/>
          <w:highlight w:val="none"/>
        </w:rPr>
        <w:sectPr>
          <w:footerReference r:id="rId11" w:type="default"/>
          <w:pgSz w:w="11906" w:h="16839"/>
          <w:pgMar w:top="1117" w:right="1331" w:bottom="1156" w:left="1330" w:header="822" w:footer="992" w:gutter="0"/>
          <w:pgNumType w:fmt="decimal"/>
          <w:cols w:space="720" w:num="1"/>
        </w:sectPr>
      </w:pPr>
    </w:p>
    <w:p w14:paraId="64DA32A7">
      <w:pPr>
        <w:pStyle w:val="8"/>
        <w:spacing w:before="130" w:line="219" w:lineRule="auto"/>
        <w:ind w:left="147"/>
        <w:rPr>
          <w:color w:val="auto"/>
          <w:sz w:val="30"/>
          <w:szCs w:val="30"/>
          <w:highlight w:val="none"/>
        </w:rPr>
      </w:pPr>
      <w:r>
        <w:rPr>
          <w:b/>
          <w:bCs/>
          <w:color w:val="auto"/>
          <w:spacing w:val="-12"/>
          <w:sz w:val="30"/>
          <w:szCs w:val="30"/>
          <w:highlight w:val="none"/>
        </w:rPr>
        <w:t>附件六：</w:t>
      </w:r>
    </w:p>
    <w:p w14:paraId="08481F86">
      <w:pPr>
        <w:pStyle w:val="8"/>
        <w:spacing w:before="269" w:line="219" w:lineRule="auto"/>
        <w:ind w:left="3485"/>
        <w:rPr>
          <w:color w:val="auto"/>
          <w:sz w:val="30"/>
          <w:szCs w:val="30"/>
          <w:highlight w:val="none"/>
        </w:rPr>
      </w:pPr>
      <w:r>
        <w:rPr>
          <w:b/>
          <w:bCs/>
          <w:color w:val="auto"/>
          <w:spacing w:val="-5"/>
          <w:sz w:val="30"/>
          <w:szCs w:val="30"/>
          <w:highlight w:val="none"/>
        </w:rPr>
        <w:t>商务条款偏离表</w:t>
      </w:r>
    </w:p>
    <w:p w14:paraId="3914BE98">
      <w:pPr>
        <w:spacing w:line="253" w:lineRule="auto"/>
        <w:rPr>
          <w:rFonts w:ascii="Arial"/>
          <w:color w:val="auto"/>
          <w:sz w:val="21"/>
          <w:highlight w:val="none"/>
        </w:rPr>
      </w:pPr>
    </w:p>
    <w:p w14:paraId="52632A5F">
      <w:pPr>
        <w:spacing w:line="253" w:lineRule="auto"/>
        <w:rPr>
          <w:rFonts w:ascii="Arial"/>
          <w:color w:val="auto"/>
          <w:sz w:val="21"/>
          <w:highlight w:val="none"/>
        </w:rPr>
      </w:pPr>
    </w:p>
    <w:p w14:paraId="1D5EE955">
      <w:pPr>
        <w:spacing w:line="254" w:lineRule="auto"/>
        <w:rPr>
          <w:rFonts w:ascii="Arial"/>
          <w:color w:val="auto"/>
          <w:sz w:val="21"/>
          <w:highlight w:val="none"/>
        </w:rPr>
      </w:pPr>
    </w:p>
    <w:p w14:paraId="4AF09FA3">
      <w:pPr>
        <w:pStyle w:val="8"/>
        <w:spacing w:before="78"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07"/>
          <w:highlight w:val="none"/>
        </w:rPr>
        <w:t xml:space="preserve"> </w:t>
      </w:r>
      <w:r>
        <w:rPr>
          <w:color w:val="auto"/>
          <w:spacing w:val="-1"/>
          <w:highlight w:val="none"/>
        </w:rPr>
        <w:t>项目编号/包号：</w:t>
      </w:r>
      <w:r>
        <w:rPr>
          <w:color w:val="auto"/>
          <w:spacing w:val="-1"/>
          <w:highlight w:val="none"/>
          <w:u w:val="single" w:color="auto"/>
        </w:rPr>
        <w:t xml:space="preserve"> </w:t>
      </w:r>
      <w:r>
        <w:rPr>
          <w:color w:val="auto"/>
          <w:spacing w:val="-2"/>
          <w:highlight w:val="none"/>
          <w:u w:val="single" w:color="auto"/>
        </w:rPr>
        <w:t xml:space="preserve">                       </w:t>
      </w:r>
    </w:p>
    <w:p w14:paraId="5DBF3174">
      <w:pPr>
        <w:spacing w:line="69" w:lineRule="exact"/>
        <w:rPr>
          <w:color w:val="auto"/>
          <w:highlight w:val="none"/>
        </w:rPr>
      </w:pPr>
    </w:p>
    <w:tbl>
      <w:tblPr>
        <w:tblStyle w:val="3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090"/>
        <w:gridCol w:w="1739"/>
        <w:gridCol w:w="1769"/>
        <w:gridCol w:w="1903"/>
        <w:gridCol w:w="1040"/>
      </w:tblGrid>
      <w:tr w14:paraId="643B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30" w:type="dxa"/>
            <w:vAlign w:val="top"/>
          </w:tcPr>
          <w:p w14:paraId="0F405102">
            <w:pPr>
              <w:spacing w:line="253" w:lineRule="auto"/>
              <w:rPr>
                <w:rFonts w:ascii="Arial"/>
                <w:color w:val="auto"/>
                <w:sz w:val="21"/>
                <w:highlight w:val="none"/>
              </w:rPr>
            </w:pPr>
          </w:p>
          <w:p w14:paraId="74B5FC8E">
            <w:pPr>
              <w:spacing w:line="254" w:lineRule="auto"/>
              <w:rPr>
                <w:rFonts w:ascii="Arial"/>
                <w:color w:val="auto"/>
                <w:sz w:val="21"/>
                <w:highlight w:val="none"/>
              </w:rPr>
            </w:pPr>
          </w:p>
          <w:p w14:paraId="681A6E49">
            <w:pPr>
              <w:pStyle w:val="35"/>
              <w:spacing w:before="78" w:line="221" w:lineRule="auto"/>
              <w:ind w:left="231"/>
              <w:rPr>
                <w:color w:val="auto"/>
                <w:highlight w:val="none"/>
              </w:rPr>
            </w:pPr>
            <w:r>
              <w:rPr>
                <w:color w:val="auto"/>
                <w:spacing w:val="-5"/>
                <w:highlight w:val="none"/>
              </w:rPr>
              <w:t>序号</w:t>
            </w:r>
          </w:p>
        </w:tc>
        <w:tc>
          <w:tcPr>
            <w:tcW w:w="2090" w:type="dxa"/>
            <w:vAlign w:val="top"/>
          </w:tcPr>
          <w:p w14:paraId="32AFBDD0">
            <w:pPr>
              <w:spacing w:line="274" w:lineRule="auto"/>
              <w:rPr>
                <w:rFonts w:ascii="Arial"/>
                <w:color w:val="auto"/>
                <w:sz w:val="21"/>
                <w:highlight w:val="none"/>
              </w:rPr>
            </w:pPr>
          </w:p>
          <w:p w14:paraId="23BE6042">
            <w:pPr>
              <w:pStyle w:val="35"/>
              <w:spacing w:before="78" w:line="219" w:lineRule="auto"/>
              <w:ind w:left="210"/>
              <w:rPr>
                <w:color w:val="auto"/>
                <w:highlight w:val="none"/>
              </w:rPr>
            </w:pPr>
            <w:r>
              <w:rPr>
                <w:color w:val="auto"/>
                <w:spacing w:val="-2"/>
                <w:highlight w:val="none"/>
              </w:rPr>
              <w:t>招标文件条目号</w:t>
            </w:r>
          </w:p>
          <w:p w14:paraId="7770D2FB">
            <w:pPr>
              <w:pStyle w:val="35"/>
              <w:spacing w:before="183" w:line="221" w:lineRule="auto"/>
              <w:ind w:left="581"/>
              <w:rPr>
                <w:color w:val="auto"/>
                <w:highlight w:val="none"/>
              </w:rPr>
            </w:pPr>
            <w:r>
              <w:rPr>
                <w:color w:val="auto"/>
                <w:spacing w:val="-6"/>
                <w:highlight w:val="none"/>
              </w:rPr>
              <w:t>（页码）</w:t>
            </w:r>
          </w:p>
        </w:tc>
        <w:tc>
          <w:tcPr>
            <w:tcW w:w="1739" w:type="dxa"/>
            <w:vAlign w:val="top"/>
          </w:tcPr>
          <w:p w14:paraId="399D4F1C">
            <w:pPr>
              <w:spacing w:line="274" w:lineRule="auto"/>
              <w:rPr>
                <w:rFonts w:ascii="Arial"/>
                <w:color w:val="auto"/>
                <w:sz w:val="21"/>
                <w:highlight w:val="none"/>
              </w:rPr>
            </w:pPr>
          </w:p>
          <w:p w14:paraId="54D7B7DA">
            <w:pPr>
              <w:pStyle w:val="35"/>
              <w:spacing w:before="78" w:line="362" w:lineRule="auto"/>
              <w:ind w:left="401" w:right="266" w:hanging="123"/>
              <w:rPr>
                <w:color w:val="auto"/>
                <w:highlight w:val="none"/>
              </w:rPr>
            </w:pPr>
            <w:r>
              <w:rPr>
                <w:color w:val="auto"/>
                <w:spacing w:val="-3"/>
                <w:highlight w:val="none"/>
              </w:rPr>
              <w:t>招标文件的</w:t>
            </w:r>
            <w:r>
              <w:rPr>
                <w:color w:val="auto"/>
                <w:spacing w:val="-4"/>
                <w:highlight w:val="none"/>
              </w:rPr>
              <w:t>商务条款</w:t>
            </w:r>
          </w:p>
        </w:tc>
        <w:tc>
          <w:tcPr>
            <w:tcW w:w="1769" w:type="dxa"/>
            <w:vAlign w:val="top"/>
          </w:tcPr>
          <w:p w14:paraId="2BE0F3E7">
            <w:pPr>
              <w:spacing w:line="274" w:lineRule="auto"/>
              <w:rPr>
                <w:rFonts w:ascii="Arial"/>
                <w:color w:val="auto"/>
                <w:sz w:val="21"/>
                <w:highlight w:val="none"/>
              </w:rPr>
            </w:pPr>
          </w:p>
          <w:p w14:paraId="14436BB1">
            <w:pPr>
              <w:pStyle w:val="35"/>
              <w:spacing w:before="78" w:line="362" w:lineRule="auto"/>
              <w:ind w:left="416" w:right="280" w:hanging="121"/>
              <w:rPr>
                <w:color w:val="auto"/>
                <w:highlight w:val="none"/>
              </w:rPr>
            </w:pPr>
            <w:r>
              <w:rPr>
                <w:color w:val="auto"/>
                <w:spacing w:val="-3"/>
                <w:highlight w:val="none"/>
              </w:rPr>
              <w:t>投标文件的</w:t>
            </w:r>
            <w:r>
              <w:rPr>
                <w:color w:val="auto"/>
                <w:spacing w:val="-4"/>
                <w:highlight w:val="none"/>
              </w:rPr>
              <w:t>商务条款</w:t>
            </w:r>
          </w:p>
        </w:tc>
        <w:tc>
          <w:tcPr>
            <w:tcW w:w="1903" w:type="dxa"/>
            <w:vAlign w:val="top"/>
          </w:tcPr>
          <w:p w14:paraId="0926133F">
            <w:pPr>
              <w:pStyle w:val="35"/>
              <w:spacing w:before="119" w:line="329" w:lineRule="auto"/>
              <w:ind w:left="179" w:right="107" w:hanging="60"/>
              <w:jc w:val="both"/>
              <w:rPr>
                <w:color w:val="auto"/>
                <w:highlight w:val="none"/>
              </w:rPr>
            </w:pPr>
            <w:r>
              <w:rPr>
                <w:color w:val="auto"/>
                <w:spacing w:val="-2"/>
                <w:highlight w:val="none"/>
              </w:rPr>
              <w:t>偏离情况（据实填写正偏离/负偏离/无偏离）</w:t>
            </w:r>
          </w:p>
        </w:tc>
        <w:tc>
          <w:tcPr>
            <w:tcW w:w="1040" w:type="dxa"/>
            <w:vAlign w:val="top"/>
          </w:tcPr>
          <w:p w14:paraId="1CA4A402">
            <w:pPr>
              <w:spacing w:line="254" w:lineRule="auto"/>
              <w:rPr>
                <w:rFonts w:ascii="Arial"/>
                <w:color w:val="auto"/>
                <w:sz w:val="21"/>
                <w:highlight w:val="none"/>
              </w:rPr>
            </w:pPr>
          </w:p>
          <w:p w14:paraId="7C24DB91">
            <w:pPr>
              <w:spacing w:line="254" w:lineRule="auto"/>
              <w:rPr>
                <w:rFonts w:ascii="Arial"/>
                <w:color w:val="auto"/>
                <w:sz w:val="21"/>
                <w:highlight w:val="none"/>
              </w:rPr>
            </w:pPr>
          </w:p>
          <w:p w14:paraId="2153A568">
            <w:pPr>
              <w:pStyle w:val="35"/>
              <w:spacing w:before="78" w:line="219" w:lineRule="auto"/>
              <w:ind w:left="290"/>
              <w:rPr>
                <w:color w:val="auto"/>
                <w:highlight w:val="none"/>
              </w:rPr>
            </w:pPr>
            <w:r>
              <w:rPr>
                <w:color w:val="auto"/>
                <w:spacing w:val="-7"/>
                <w:highlight w:val="none"/>
              </w:rPr>
              <w:t>说明</w:t>
            </w:r>
          </w:p>
        </w:tc>
      </w:tr>
      <w:tr w14:paraId="1C15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136F9054">
            <w:pPr>
              <w:rPr>
                <w:rFonts w:ascii="Arial"/>
                <w:color w:val="auto"/>
                <w:sz w:val="21"/>
                <w:highlight w:val="none"/>
              </w:rPr>
            </w:pPr>
          </w:p>
        </w:tc>
        <w:tc>
          <w:tcPr>
            <w:tcW w:w="2090" w:type="dxa"/>
            <w:vAlign w:val="top"/>
          </w:tcPr>
          <w:p w14:paraId="36B44276">
            <w:pPr>
              <w:rPr>
                <w:rFonts w:ascii="Arial"/>
                <w:color w:val="auto"/>
                <w:sz w:val="21"/>
                <w:highlight w:val="none"/>
              </w:rPr>
            </w:pPr>
          </w:p>
        </w:tc>
        <w:tc>
          <w:tcPr>
            <w:tcW w:w="1739" w:type="dxa"/>
            <w:vAlign w:val="top"/>
          </w:tcPr>
          <w:p w14:paraId="10DF5293">
            <w:pPr>
              <w:rPr>
                <w:rFonts w:ascii="Arial"/>
                <w:color w:val="auto"/>
                <w:sz w:val="21"/>
                <w:highlight w:val="none"/>
              </w:rPr>
            </w:pPr>
          </w:p>
        </w:tc>
        <w:tc>
          <w:tcPr>
            <w:tcW w:w="1769" w:type="dxa"/>
            <w:vAlign w:val="top"/>
          </w:tcPr>
          <w:p w14:paraId="7FB2B191">
            <w:pPr>
              <w:rPr>
                <w:rFonts w:ascii="Arial"/>
                <w:color w:val="auto"/>
                <w:sz w:val="21"/>
                <w:highlight w:val="none"/>
              </w:rPr>
            </w:pPr>
          </w:p>
        </w:tc>
        <w:tc>
          <w:tcPr>
            <w:tcW w:w="1903" w:type="dxa"/>
            <w:vAlign w:val="top"/>
          </w:tcPr>
          <w:p w14:paraId="4D80EE7A">
            <w:pPr>
              <w:rPr>
                <w:rFonts w:ascii="Arial"/>
                <w:color w:val="auto"/>
                <w:sz w:val="21"/>
                <w:highlight w:val="none"/>
              </w:rPr>
            </w:pPr>
          </w:p>
        </w:tc>
        <w:tc>
          <w:tcPr>
            <w:tcW w:w="1040" w:type="dxa"/>
            <w:vAlign w:val="top"/>
          </w:tcPr>
          <w:p w14:paraId="12B348CB">
            <w:pPr>
              <w:rPr>
                <w:rFonts w:ascii="Arial"/>
                <w:color w:val="auto"/>
                <w:sz w:val="21"/>
                <w:highlight w:val="none"/>
              </w:rPr>
            </w:pPr>
          </w:p>
        </w:tc>
      </w:tr>
      <w:tr w14:paraId="2264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314726FF">
            <w:pPr>
              <w:rPr>
                <w:rFonts w:ascii="Arial"/>
                <w:color w:val="auto"/>
                <w:sz w:val="21"/>
                <w:highlight w:val="none"/>
              </w:rPr>
            </w:pPr>
          </w:p>
        </w:tc>
        <w:tc>
          <w:tcPr>
            <w:tcW w:w="2090" w:type="dxa"/>
            <w:vAlign w:val="top"/>
          </w:tcPr>
          <w:p w14:paraId="39D8662E">
            <w:pPr>
              <w:rPr>
                <w:rFonts w:ascii="Arial"/>
                <w:color w:val="auto"/>
                <w:sz w:val="21"/>
                <w:highlight w:val="none"/>
              </w:rPr>
            </w:pPr>
          </w:p>
        </w:tc>
        <w:tc>
          <w:tcPr>
            <w:tcW w:w="1739" w:type="dxa"/>
            <w:vAlign w:val="top"/>
          </w:tcPr>
          <w:p w14:paraId="6711E5A0">
            <w:pPr>
              <w:rPr>
                <w:rFonts w:ascii="Arial"/>
                <w:color w:val="auto"/>
                <w:sz w:val="21"/>
                <w:highlight w:val="none"/>
              </w:rPr>
            </w:pPr>
          </w:p>
        </w:tc>
        <w:tc>
          <w:tcPr>
            <w:tcW w:w="1769" w:type="dxa"/>
            <w:vAlign w:val="top"/>
          </w:tcPr>
          <w:p w14:paraId="0AC07856">
            <w:pPr>
              <w:rPr>
                <w:rFonts w:ascii="Arial"/>
                <w:color w:val="auto"/>
                <w:sz w:val="21"/>
                <w:highlight w:val="none"/>
              </w:rPr>
            </w:pPr>
          </w:p>
        </w:tc>
        <w:tc>
          <w:tcPr>
            <w:tcW w:w="1903" w:type="dxa"/>
            <w:vAlign w:val="top"/>
          </w:tcPr>
          <w:p w14:paraId="14060722">
            <w:pPr>
              <w:rPr>
                <w:rFonts w:ascii="Arial"/>
                <w:color w:val="auto"/>
                <w:sz w:val="21"/>
                <w:highlight w:val="none"/>
              </w:rPr>
            </w:pPr>
          </w:p>
        </w:tc>
        <w:tc>
          <w:tcPr>
            <w:tcW w:w="1040" w:type="dxa"/>
            <w:vAlign w:val="top"/>
          </w:tcPr>
          <w:p w14:paraId="76E8E55A">
            <w:pPr>
              <w:rPr>
                <w:rFonts w:ascii="Arial"/>
                <w:color w:val="auto"/>
                <w:sz w:val="21"/>
                <w:highlight w:val="none"/>
              </w:rPr>
            </w:pPr>
          </w:p>
        </w:tc>
      </w:tr>
      <w:tr w14:paraId="331E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7999402F">
            <w:pPr>
              <w:rPr>
                <w:rFonts w:ascii="Arial"/>
                <w:color w:val="auto"/>
                <w:sz w:val="21"/>
                <w:highlight w:val="none"/>
              </w:rPr>
            </w:pPr>
          </w:p>
        </w:tc>
        <w:tc>
          <w:tcPr>
            <w:tcW w:w="2090" w:type="dxa"/>
            <w:vAlign w:val="top"/>
          </w:tcPr>
          <w:p w14:paraId="6FBB8900">
            <w:pPr>
              <w:rPr>
                <w:rFonts w:ascii="Arial"/>
                <w:color w:val="auto"/>
                <w:sz w:val="21"/>
                <w:highlight w:val="none"/>
              </w:rPr>
            </w:pPr>
          </w:p>
        </w:tc>
        <w:tc>
          <w:tcPr>
            <w:tcW w:w="1739" w:type="dxa"/>
            <w:vAlign w:val="top"/>
          </w:tcPr>
          <w:p w14:paraId="591EF66D">
            <w:pPr>
              <w:rPr>
                <w:rFonts w:ascii="Arial"/>
                <w:color w:val="auto"/>
                <w:sz w:val="21"/>
                <w:highlight w:val="none"/>
              </w:rPr>
            </w:pPr>
          </w:p>
        </w:tc>
        <w:tc>
          <w:tcPr>
            <w:tcW w:w="1769" w:type="dxa"/>
            <w:vAlign w:val="top"/>
          </w:tcPr>
          <w:p w14:paraId="460CE645">
            <w:pPr>
              <w:rPr>
                <w:rFonts w:ascii="Arial"/>
                <w:color w:val="auto"/>
                <w:sz w:val="21"/>
                <w:highlight w:val="none"/>
              </w:rPr>
            </w:pPr>
          </w:p>
        </w:tc>
        <w:tc>
          <w:tcPr>
            <w:tcW w:w="1903" w:type="dxa"/>
            <w:vAlign w:val="top"/>
          </w:tcPr>
          <w:p w14:paraId="43D725A8">
            <w:pPr>
              <w:rPr>
                <w:rFonts w:ascii="Arial"/>
                <w:color w:val="auto"/>
                <w:sz w:val="21"/>
                <w:highlight w:val="none"/>
              </w:rPr>
            </w:pPr>
          </w:p>
        </w:tc>
        <w:tc>
          <w:tcPr>
            <w:tcW w:w="1040" w:type="dxa"/>
            <w:vAlign w:val="top"/>
          </w:tcPr>
          <w:p w14:paraId="2B6639C4">
            <w:pPr>
              <w:rPr>
                <w:rFonts w:ascii="Arial"/>
                <w:color w:val="auto"/>
                <w:sz w:val="21"/>
                <w:highlight w:val="none"/>
              </w:rPr>
            </w:pPr>
          </w:p>
        </w:tc>
      </w:tr>
      <w:tr w14:paraId="552A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078CFAE2">
            <w:pPr>
              <w:rPr>
                <w:rFonts w:ascii="Arial"/>
                <w:color w:val="auto"/>
                <w:sz w:val="21"/>
                <w:highlight w:val="none"/>
              </w:rPr>
            </w:pPr>
          </w:p>
        </w:tc>
        <w:tc>
          <w:tcPr>
            <w:tcW w:w="2090" w:type="dxa"/>
            <w:vAlign w:val="top"/>
          </w:tcPr>
          <w:p w14:paraId="4A5B05A2">
            <w:pPr>
              <w:rPr>
                <w:rFonts w:ascii="Arial"/>
                <w:color w:val="auto"/>
                <w:sz w:val="21"/>
                <w:highlight w:val="none"/>
              </w:rPr>
            </w:pPr>
          </w:p>
        </w:tc>
        <w:tc>
          <w:tcPr>
            <w:tcW w:w="1739" w:type="dxa"/>
            <w:vAlign w:val="top"/>
          </w:tcPr>
          <w:p w14:paraId="719C05FE">
            <w:pPr>
              <w:rPr>
                <w:rFonts w:ascii="Arial"/>
                <w:color w:val="auto"/>
                <w:sz w:val="21"/>
                <w:highlight w:val="none"/>
              </w:rPr>
            </w:pPr>
          </w:p>
        </w:tc>
        <w:tc>
          <w:tcPr>
            <w:tcW w:w="1769" w:type="dxa"/>
            <w:vAlign w:val="top"/>
          </w:tcPr>
          <w:p w14:paraId="5F6EC525">
            <w:pPr>
              <w:rPr>
                <w:rFonts w:ascii="Arial"/>
                <w:color w:val="auto"/>
                <w:sz w:val="21"/>
                <w:highlight w:val="none"/>
              </w:rPr>
            </w:pPr>
          </w:p>
        </w:tc>
        <w:tc>
          <w:tcPr>
            <w:tcW w:w="1903" w:type="dxa"/>
            <w:vAlign w:val="top"/>
          </w:tcPr>
          <w:p w14:paraId="24ACE875">
            <w:pPr>
              <w:rPr>
                <w:rFonts w:ascii="Arial"/>
                <w:color w:val="auto"/>
                <w:sz w:val="21"/>
                <w:highlight w:val="none"/>
              </w:rPr>
            </w:pPr>
          </w:p>
        </w:tc>
        <w:tc>
          <w:tcPr>
            <w:tcW w:w="1040" w:type="dxa"/>
            <w:vAlign w:val="top"/>
          </w:tcPr>
          <w:p w14:paraId="6A4F6D56">
            <w:pPr>
              <w:rPr>
                <w:rFonts w:ascii="Arial"/>
                <w:color w:val="auto"/>
                <w:sz w:val="21"/>
                <w:highlight w:val="none"/>
              </w:rPr>
            </w:pPr>
          </w:p>
        </w:tc>
      </w:tr>
      <w:tr w14:paraId="3BFF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6DA73BFC">
            <w:pPr>
              <w:rPr>
                <w:rFonts w:ascii="Arial"/>
                <w:color w:val="auto"/>
                <w:sz w:val="21"/>
                <w:highlight w:val="none"/>
              </w:rPr>
            </w:pPr>
          </w:p>
        </w:tc>
        <w:tc>
          <w:tcPr>
            <w:tcW w:w="2090" w:type="dxa"/>
            <w:vAlign w:val="top"/>
          </w:tcPr>
          <w:p w14:paraId="0926904B">
            <w:pPr>
              <w:rPr>
                <w:rFonts w:ascii="Arial"/>
                <w:color w:val="auto"/>
                <w:sz w:val="21"/>
                <w:highlight w:val="none"/>
              </w:rPr>
            </w:pPr>
          </w:p>
        </w:tc>
        <w:tc>
          <w:tcPr>
            <w:tcW w:w="1739" w:type="dxa"/>
            <w:vAlign w:val="top"/>
          </w:tcPr>
          <w:p w14:paraId="1C63C882">
            <w:pPr>
              <w:rPr>
                <w:rFonts w:ascii="Arial"/>
                <w:color w:val="auto"/>
                <w:sz w:val="21"/>
                <w:highlight w:val="none"/>
              </w:rPr>
            </w:pPr>
          </w:p>
        </w:tc>
        <w:tc>
          <w:tcPr>
            <w:tcW w:w="1769" w:type="dxa"/>
            <w:vAlign w:val="top"/>
          </w:tcPr>
          <w:p w14:paraId="4A99C195">
            <w:pPr>
              <w:rPr>
                <w:rFonts w:ascii="Arial"/>
                <w:color w:val="auto"/>
                <w:sz w:val="21"/>
                <w:highlight w:val="none"/>
              </w:rPr>
            </w:pPr>
          </w:p>
        </w:tc>
        <w:tc>
          <w:tcPr>
            <w:tcW w:w="1903" w:type="dxa"/>
            <w:vAlign w:val="top"/>
          </w:tcPr>
          <w:p w14:paraId="306D15D2">
            <w:pPr>
              <w:rPr>
                <w:rFonts w:ascii="Arial"/>
                <w:color w:val="auto"/>
                <w:sz w:val="21"/>
                <w:highlight w:val="none"/>
              </w:rPr>
            </w:pPr>
          </w:p>
        </w:tc>
        <w:tc>
          <w:tcPr>
            <w:tcW w:w="1040" w:type="dxa"/>
            <w:vAlign w:val="top"/>
          </w:tcPr>
          <w:p w14:paraId="6F57F41E">
            <w:pPr>
              <w:rPr>
                <w:rFonts w:ascii="Arial"/>
                <w:color w:val="auto"/>
                <w:sz w:val="21"/>
                <w:highlight w:val="none"/>
              </w:rPr>
            </w:pPr>
          </w:p>
        </w:tc>
      </w:tr>
      <w:tr w14:paraId="55B1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2913A8D7">
            <w:pPr>
              <w:rPr>
                <w:rFonts w:ascii="Arial"/>
                <w:color w:val="auto"/>
                <w:sz w:val="21"/>
                <w:highlight w:val="none"/>
              </w:rPr>
            </w:pPr>
          </w:p>
        </w:tc>
        <w:tc>
          <w:tcPr>
            <w:tcW w:w="2090" w:type="dxa"/>
            <w:vAlign w:val="top"/>
          </w:tcPr>
          <w:p w14:paraId="368C2CBB">
            <w:pPr>
              <w:rPr>
                <w:rFonts w:ascii="Arial"/>
                <w:color w:val="auto"/>
                <w:sz w:val="21"/>
                <w:highlight w:val="none"/>
              </w:rPr>
            </w:pPr>
          </w:p>
        </w:tc>
        <w:tc>
          <w:tcPr>
            <w:tcW w:w="1739" w:type="dxa"/>
            <w:vAlign w:val="top"/>
          </w:tcPr>
          <w:p w14:paraId="3A78FEF3">
            <w:pPr>
              <w:rPr>
                <w:rFonts w:ascii="Arial"/>
                <w:color w:val="auto"/>
                <w:sz w:val="21"/>
                <w:highlight w:val="none"/>
              </w:rPr>
            </w:pPr>
          </w:p>
        </w:tc>
        <w:tc>
          <w:tcPr>
            <w:tcW w:w="1769" w:type="dxa"/>
            <w:vAlign w:val="top"/>
          </w:tcPr>
          <w:p w14:paraId="5EE2E5D8">
            <w:pPr>
              <w:rPr>
                <w:rFonts w:ascii="Arial"/>
                <w:color w:val="auto"/>
                <w:sz w:val="21"/>
                <w:highlight w:val="none"/>
              </w:rPr>
            </w:pPr>
          </w:p>
        </w:tc>
        <w:tc>
          <w:tcPr>
            <w:tcW w:w="1903" w:type="dxa"/>
            <w:vAlign w:val="top"/>
          </w:tcPr>
          <w:p w14:paraId="10FF6B14">
            <w:pPr>
              <w:rPr>
                <w:rFonts w:ascii="Arial"/>
                <w:color w:val="auto"/>
                <w:sz w:val="21"/>
                <w:highlight w:val="none"/>
              </w:rPr>
            </w:pPr>
          </w:p>
        </w:tc>
        <w:tc>
          <w:tcPr>
            <w:tcW w:w="1040" w:type="dxa"/>
            <w:vAlign w:val="top"/>
          </w:tcPr>
          <w:p w14:paraId="19C6E09A">
            <w:pPr>
              <w:rPr>
                <w:rFonts w:ascii="Arial"/>
                <w:color w:val="auto"/>
                <w:sz w:val="21"/>
                <w:highlight w:val="none"/>
              </w:rPr>
            </w:pPr>
          </w:p>
        </w:tc>
      </w:tr>
      <w:tr w14:paraId="11D8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0" w:type="dxa"/>
            <w:vAlign w:val="top"/>
          </w:tcPr>
          <w:p w14:paraId="4D0327DA">
            <w:pPr>
              <w:rPr>
                <w:rFonts w:ascii="Arial"/>
                <w:color w:val="auto"/>
                <w:sz w:val="21"/>
                <w:highlight w:val="none"/>
              </w:rPr>
            </w:pPr>
          </w:p>
        </w:tc>
        <w:tc>
          <w:tcPr>
            <w:tcW w:w="2090" w:type="dxa"/>
            <w:vAlign w:val="top"/>
          </w:tcPr>
          <w:p w14:paraId="42E03686">
            <w:pPr>
              <w:rPr>
                <w:rFonts w:ascii="Arial"/>
                <w:color w:val="auto"/>
                <w:sz w:val="21"/>
                <w:highlight w:val="none"/>
              </w:rPr>
            </w:pPr>
          </w:p>
        </w:tc>
        <w:tc>
          <w:tcPr>
            <w:tcW w:w="1739" w:type="dxa"/>
            <w:vAlign w:val="top"/>
          </w:tcPr>
          <w:p w14:paraId="0169A916">
            <w:pPr>
              <w:rPr>
                <w:rFonts w:ascii="Arial"/>
                <w:color w:val="auto"/>
                <w:sz w:val="21"/>
                <w:highlight w:val="none"/>
              </w:rPr>
            </w:pPr>
          </w:p>
        </w:tc>
        <w:tc>
          <w:tcPr>
            <w:tcW w:w="1769" w:type="dxa"/>
            <w:vAlign w:val="top"/>
          </w:tcPr>
          <w:p w14:paraId="06865A4A">
            <w:pPr>
              <w:rPr>
                <w:rFonts w:ascii="Arial"/>
                <w:color w:val="auto"/>
                <w:sz w:val="21"/>
                <w:highlight w:val="none"/>
              </w:rPr>
            </w:pPr>
          </w:p>
        </w:tc>
        <w:tc>
          <w:tcPr>
            <w:tcW w:w="1903" w:type="dxa"/>
            <w:vAlign w:val="top"/>
          </w:tcPr>
          <w:p w14:paraId="431C8660">
            <w:pPr>
              <w:rPr>
                <w:rFonts w:ascii="Arial"/>
                <w:color w:val="auto"/>
                <w:sz w:val="21"/>
                <w:highlight w:val="none"/>
              </w:rPr>
            </w:pPr>
          </w:p>
        </w:tc>
        <w:tc>
          <w:tcPr>
            <w:tcW w:w="1040" w:type="dxa"/>
            <w:vAlign w:val="top"/>
          </w:tcPr>
          <w:p w14:paraId="736BD6D6">
            <w:pPr>
              <w:rPr>
                <w:rFonts w:ascii="Arial"/>
                <w:color w:val="auto"/>
                <w:sz w:val="21"/>
                <w:highlight w:val="none"/>
              </w:rPr>
            </w:pPr>
          </w:p>
        </w:tc>
      </w:tr>
    </w:tbl>
    <w:p w14:paraId="1AD81AD1">
      <w:pPr>
        <w:spacing w:line="347" w:lineRule="auto"/>
        <w:rPr>
          <w:rFonts w:ascii="Arial"/>
          <w:color w:val="auto"/>
          <w:sz w:val="21"/>
          <w:highlight w:val="none"/>
        </w:rPr>
      </w:pPr>
    </w:p>
    <w:p w14:paraId="0C8A0BD7">
      <w:pPr>
        <w:pStyle w:val="8"/>
        <w:spacing w:before="78" w:line="360" w:lineRule="auto"/>
        <w:ind w:left="110" w:right="603" w:firstLine="11"/>
        <w:rPr>
          <w:color w:val="auto"/>
          <w:highlight w:val="none"/>
        </w:rPr>
      </w:pPr>
      <w:r>
        <w:rPr>
          <w:color w:val="auto"/>
          <w:highlight w:val="none"/>
        </w:rPr>
        <w:t>注：1、本偏离表是评审最重要的直观材料和主要依据，供</w:t>
      </w:r>
      <w:r>
        <w:rPr>
          <w:color w:val="auto"/>
          <w:spacing w:val="-1"/>
          <w:highlight w:val="none"/>
        </w:rPr>
        <w:t>应商应当予以填写，表中</w:t>
      </w:r>
      <w:r>
        <w:rPr>
          <w:color w:val="auto"/>
          <w:spacing w:val="-9"/>
          <w:highlight w:val="none"/>
        </w:rPr>
        <w:t>“偏离情况</w:t>
      </w:r>
      <w:r>
        <w:rPr>
          <w:color w:val="auto"/>
          <w:spacing w:val="-83"/>
          <w:highlight w:val="none"/>
        </w:rPr>
        <w:t xml:space="preserve"> </w:t>
      </w:r>
      <w:r>
        <w:rPr>
          <w:color w:val="auto"/>
          <w:spacing w:val="-9"/>
          <w:highlight w:val="none"/>
        </w:rPr>
        <w:t>”一栏应填以“正偏离</w:t>
      </w:r>
      <w:r>
        <w:rPr>
          <w:color w:val="auto"/>
          <w:spacing w:val="-88"/>
          <w:highlight w:val="none"/>
        </w:rPr>
        <w:t xml:space="preserve"> </w:t>
      </w:r>
      <w:r>
        <w:rPr>
          <w:color w:val="auto"/>
          <w:spacing w:val="-9"/>
          <w:highlight w:val="none"/>
        </w:rPr>
        <w:t>”或“负偏离</w:t>
      </w:r>
      <w:r>
        <w:rPr>
          <w:color w:val="auto"/>
          <w:spacing w:val="-88"/>
          <w:highlight w:val="none"/>
        </w:rPr>
        <w:t xml:space="preserve"> </w:t>
      </w:r>
      <w:r>
        <w:rPr>
          <w:color w:val="auto"/>
          <w:spacing w:val="-9"/>
          <w:highlight w:val="none"/>
        </w:rPr>
        <w:t>”“无偏离</w:t>
      </w:r>
      <w:r>
        <w:rPr>
          <w:color w:val="auto"/>
          <w:spacing w:val="-88"/>
          <w:highlight w:val="none"/>
        </w:rPr>
        <w:t xml:space="preserve"> </w:t>
      </w:r>
      <w:r>
        <w:rPr>
          <w:color w:val="auto"/>
          <w:spacing w:val="-9"/>
          <w:highlight w:val="none"/>
        </w:rPr>
        <w:t>”。</w:t>
      </w:r>
    </w:p>
    <w:p w14:paraId="34430DA9">
      <w:pPr>
        <w:pStyle w:val="8"/>
        <w:spacing w:line="218" w:lineRule="auto"/>
        <w:ind w:left="125"/>
        <w:outlineLvl w:val="1"/>
        <w:rPr>
          <w:color w:val="auto"/>
          <w:highlight w:val="none"/>
        </w:rPr>
      </w:pPr>
      <w:r>
        <w:rPr>
          <w:color w:val="auto"/>
          <w:spacing w:val="-1"/>
          <w:highlight w:val="none"/>
        </w:rPr>
        <w:t>2、供应商对于偏离情况请如实列出，否则根据情况承担相应后果。</w:t>
      </w:r>
    </w:p>
    <w:p w14:paraId="671B2074">
      <w:pPr>
        <w:spacing w:line="285" w:lineRule="auto"/>
        <w:rPr>
          <w:rFonts w:ascii="Arial"/>
          <w:color w:val="auto"/>
          <w:sz w:val="21"/>
          <w:highlight w:val="none"/>
        </w:rPr>
      </w:pPr>
    </w:p>
    <w:p w14:paraId="456A4F62">
      <w:pPr>
        <w:spacing w:line="285" w:lineRule="auto"/>
        <w:rPr>
          <w:rFonts w:ascii="Arial"/>
          <w:color w:val="auto"/>
          <w:sz w:val="21"/>
          <w:highlight w:val="none"/>
        </w:rPr>
      </w:pPr>
    </w:p>
    <w:p w14:paraId="788B39DB">
      <w:pPr>
        <w:pStyle w:val="8"/>
        <w:spacing w:before="78" w:line="360" w:lineRule="auto"/>
        <w:ind w:left="122" w:right="4923"/>
        <w:rPr>
          <w:color w:val="auto"/>
          <w:highlight w:val="none"/>
          <w:u w:val="single" w:color="auto"/>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26C3823B">
      <w:pPr>
        <w:pStyle w:val="8"/>
        <w:spacing w:before="78" w:line="360" w:lineRule="auto"/>
        <w:ind w:left="122" w:right="4923"/>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2E912DDB">
      <w:pPr>
        <w:pStyle w:val="8"/>
        <w:spacing w:line="220" w:lineRule="auto"/>
        <w:ind w:left="163"/>
        <w:outlineLvl w:val="2"/>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57C615EB">
      <w:pPr>
        <w:spacing w:line="220" w:lineRule="auto"/>
        <w:rPr>
          <w:color w:val="auto"/>
          <w:highlight w:val="none"/>
        </w:rPr>
        <w:sectPr>
          <w:footerReference r:id="rId12" w:type="default"/>
          <w:pgSz w:w="11906" w:h="16839"/>
          <w:pgMar w:top="1117" w:right="1102" w:bottom="1157" w:left="1327" w:header="822" w:footer="992" w:gutter="0"/>
          <w:pgNumType w:fmt="decimal"/>
          <w:cols w:space="720" w:num="1"/>
        </w:sectPr>
      </w:pPr>
    </w:p>
    <w:p w14:paraId="71A5DD38">
      <w:pPr>
        <w:pStyle w:val="8"/>
        <w:spacing w:before="130" w:line="219" w:lineRule="auto"/>
        <w:ind w:left="147"/>
        <w:rPr>
          <w:color w:val="auto"/>
          <w:sz w:val="30"/>
          <w:szCs w:val="30"/>
          <w:highlight w:val="none"/>
        </w:rPr>
      </w:pPr>
      <w:r>
        <w:rPr>
          <w:b/>
          <w:bCs/>
          <w:color w:val="auto"/>
          <w:spacing w:val="-15"/>
          <w:sz w:val="30"/>
          <w:szCs w:val="30"/>
          <w:highlight w:val="none"/>
        </w:rPr>
        <w:t>附件七</w:t>
      </w:r>
    </w:p>
    <w:p w14:paraId="3788D951">
      <w:pPr>
        <w:pStyle w:val="8"/>
        <w:spacing w:before="268" w:line="219" w:lineRule="auto"/>
        <w:ind w:left="3478"/>
        <w:rPr>
          <w:color w:val="auto"/>
          <w:sz w:val="30"/>
          <w:szCs w:val="30"/>
          <w:highlight w:val="none"/>
        </w:rPr>
      </w:pPr>
      <w:r>
        <w:rPr>
          <w:b/>
          <w:bCs/>
          <w:color w:val="auto"/>
          <w:spacing w:val="-4"/>
          <w:sz w:val="30"/>
          <w:szCs w:val="30"/>
          <w:highlight w:val="none"/>
        </w:rPr>
        <w:t>采购需求偏离表</w:t>
      </w:r>
    </w:p>
    <w:p w14:paraId="5343D064">
      <w:pPr>
        <w:pStyle w:val="8"/>
        <w:spacing w:before="219"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0546A12A">
      <w:pPr>
        <w:spacing w:line="69" w:lineRule="exact"/>
        <w:rPr>
          <w:color w:val="auto"/>
          <w:highlight w:val="none"/>
        </w:rPr>
      </w:pPr>
    </w:p>
    <w:tbl>
      <w:tblPr>
        <w:tblStyle w:val="36"/>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739"/>
        <w:gridCol w:w="1331"/>
        <w:gridCol w:w="1463"/>
        <w:gridCol w:w="1115"/>
        <w:gridCol w:w="1080"/>
        <w:gridCol w:w="1044"/>
        <w:gridCol w:w="977"/>
      </w:tblGrid>
      <w:tr w14:paraId="6C67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1" w:type="dxa"/>
            <w:vMerge w:val="restart"/>
            <w:tcBorders>
              <w:bottom w:val="nil"/>
            </w:tcBorders>
            <w:vAlign w:val="top"/>
          </w:tcPr>
          <w:p w14:paraId="69942312">
            <w:pPr>
              <w:spacing w:line="245" w:lineRule="auto"/>
              <w:rPr>
                <w:rFonts w:ascii="Arial"/>
                <w:color w:val="auto"/>
                <w:sz w:val="21"/>
                <w:highlight w:val="none"/>
              </w:rPr>
            </w:pPr>
          </w:p>
          <w:p w14:paraId="374AB1CE">
            <w:pPr>
              <w:spacing w:line="245" w:lineRule="auto"/>
              <w:rPr>
                <w:rFonts w:ascii="Arial"/>
                <w:color w:val="auto"/>
                <w:sz w:val="21"/>
                <w:highlight w:val="none"/>
              </w:rPr>
            </w:pPr>
          </w:p>
          <w:p w14:paraId="09E19D5D">
            <w:pPr>
              <w:spacing w:line="246" w:lineRule="auto"/>
              <w:rPr>
                <w:rFonts w:ascii="Arial"/>
                <w:color w:val="auto"/>
                <w:sz w:val="21"/>
                <w:highlight w:val="none"/>
              </w:rPr>
            </w:pPr>
          </w:p>
          <w:p w14:paraId="475E32FA">
            <w:pPr>
              <w:pStyle w:val="35"/>
              <w:spacing w:before="78" w:line="221" w:lineRule="auto"/>
              <w:ind w:left="161"/>
              <w:rPr>
                <w:color w:val="auto"/>
                <w:highlight w:val="none"/>
              </w:rPr>
            </w:pPr>
            <w:r>
              <w:rPr>
                <w:color w:val="auto"/>
                <w:spacing w:val="-5"/>
                <w:highlight w:val="none"/>
              </w:rPr>
              <w:t>序号</w:t>
            </w:r>
          </w:p>
        </w:tc>
        <w:tc>
          <w:tcPr>
            <w:tcW w:w="1739" w:type="dxa"/>
            <w:vMerge w:val="restart"/>
            <w:tcBorders>
              <w:bottom w:val="nil"/>
            </w:tcBorders>
            <w:vAlign w:val="top"/>
          </w:tcPr>
          <w:p w14:paraId="5A3C639B">
            <w:pPr>
              <w:spacing w:line="251" w:lineRule="auto"/>
              <w:rPr>
                <w:rFonts w:ascii="Arial"/>
                <w:color w:val="auto"/>
                <w:sz w:val="21"/>
                <w:highlight w:val="none"/>
              </w:rPr>
            </w:pPr>
          </w:p>
          <w:p w14:paraId="49A4C4B4">
            <w:pPr>
              <w:spacing w:line="251" w:lineRule="auto"/>
              <w:rPr>
                <w:rFonts w:ascii="Arial"/>
                <w:color w:val="auto"/>
                <w:sz w:val="21"/>
                <w:highlight w:val="none"/>
              </w:rPr>
            </w:pPr>
          </w:p>
          <w:p w14:paraId="6BFBB9C0">
            <w:pPr>
              <w:pStyle w:val="35"/>
              <w:spacing w:before="78" w:line="363" w:lineRule="auto"/>
              <w:ind w:left="159" w:right="149" w:hanging="4"/>
              <w:rPr>
                <w:color w:val="auto"/>
                <w:highlight w:val="none"/>
              </w:rPr>
            </w:pPr>
            <w:r>
              <w:rPr>
                <w:color w:val="auto"/>
                <w:spacing w:val="-2"/>
                <w:highlight w:val="none"/>
              </w:rPr>
              <w:t>招标文件条目</w:t>
            </w:r>
            <w:r>
              <w:rPr>
                <w:color w:val="auto"/>
                <w:spacing w:val="-3"/>
                <w:highlight w:val="none"/>
              </w:rPr>
              <w:t>号（或页码）</w:t>
            </w:r>
          </w:p>
        </w:tc>
        <w:tc>
          <w:tcPr>
            <w:tcW w:w="1331" w:type="dxa"/>
            <w:vMerge w:val="restart"/>
            <w:tcBorders>
              <w:bottom w:val="nil"/>
            </w:tcBorders>
            <w:vAlign w:val="top"/>
          </w:tcPr>
          <w:p w14:paraId="3832A07A">
            <w:pPr>
              <w:spacing w:line="251" w:lineRule="auto"/>
              <w:rPr>
                <w:rFonts w:ascii="Arial"/>
                <w:color w:val="auto"/>
                <w:sz w:val="21"/>
                <w:highlight w:val="none"/>
              </w:rPr>
            </w:pPr>
          </w:p>
          <w:p w14:paraId="18B9EB70">
            <w:pPr>
              <w:spacing w:line="251" w:lineRule="auto"/>
              <w:rPr>
                <w:rFonts w:ascii="Arial"/>
                <w:color w:val="auto"/>
                <w:sz w:val="21"/>
                <w:highlight w:val="none"/>
              </w:rPr>
            </w:pPr>
          </w:p>
          <w:p w14:paraId="2512B4D8">
            <w:pPr>
              <w:pStyle w:val="35"/>
              <w:spacing w:before="78" w:line="363" w:lineRule="auto"/>
              <w:ind w:left="432" w:right="184" w:hanging="240"/>
              <w:rPr>
                <w:color w:val="auto"/>
                <w:highlight w:val="none"/>
              </w:rPr>
            </w:pPr>
            <w:r>
              <w:rPr>
                <w:color w:val="auto"/>
                <w:spacing w:val="-3"/>
                <w:highlight w:val="none"/>
              </w:rPr>
              <w:t>招标文件</w:t>
            </w:r>
            <w:r>
              <w:rPr>
                <w:color w:val="auto"/>
                <w:spacing w:val="-6"/>
                <w:highlight w:val="none"/>
              </w:rPr>
              <w:t>要求</w:t>
            </w:r>
          </w:p>
        </w:tc>
        <w:tc>
          <w:tcPr>
            <w:tcW w:w="1463" w:type="dxa"/>
            <w:vMerge w:val="restart"/>
            <w:tcBorders>
              <w:bottom w:val="nil"/>
            </w:tcBorders>
            <w:vAlign w:val="top"/>
          </w:tcPr>
          <w:p w14:paraId="028E1A9F">
            <w:pPr>
              <w:spacing w:line="245" w:lineRule="auto"/>
              <w:rPr>
                <w:rFonts w:ascii="Arial"/>
                <w:color w:val="auto"/>
                <w:sz w:val="21"/>
                <w:highlight w:val="none"/>
              </w:rPr>
            </w:pPr>
          </w:p>
          <w:p w14:paraId="020A1103">
            <w:pPr>
              <w:spacing w:line="246" w:lineRule="auto"/>
              <w:rPr>
                <w:rFonts w:ascii="Arial"/>
                <w:color w:val="auto"/>
                <w:sz w:val="21"/>
                <w:highlight w:val="none"/>
              </w:rPr>
            </w:pPr>
          </w:p>
          <w:p w14:paraId="5890EE6F">
            <w:pPr>
              <w:spacing w:line="246" w:lineRule="auto"/>
              <w:rPr>
                <w:rFonts w:ascii="Arial"/>
                <w:color w:val="auto"/>
                <w:sz w:val="21"/>
                <w:highlight w:val="none"/>
              </w:rPr>
            </w:pPr>
          </w:p>
          <w:p w14:paraId="3D7E66AF">
            <w:pPr>
              <w:pStyle w:val="35"/>
              <w:spacing w:before="78" w:line="219" w:lineRule="auto"/>
              <w:ind w:left="271"/>
              <w:rPr>
                <w:color w:val="auto"/>
                <w:highlight w:val="none"/>
              </w:rPr>
            </w:pPr>
            <w:r>
              <w:rPr>
                <w:color w:val="auto"/>
                <w:spacing w:val="-6"/>
                <w:highlight w:val="none"/>
              </w:rPr>
              <w:t>响应内容</w:t>
            </w:r>
          </w:p>
        </w:tc>
        <w:tc>
          <w:tcPr>
            <w:tcW w:w="3239" w:type="dxa"/>
            <w:gridSpan w:val="3"/>
            <w:vAlign w:val="top"/>
          </w:tcPr>
          <w:p w14:paraId="61E52515">
            <w:pPr>
              <w:pStyle w:val="35"/>
              <w:spacing w:before="121" w:line="219" w:lineRule="auto"/>
              <w:ind w:left="668"/>
              <w:rPr>
                <w:color w:val="auto"/>
                <w:highlight w:val="none"/>
              </w:rPr>
            </w:pPr>
            <w:r>
              <w:rPr>
                <w:color w:val="auto"/>
                <w:spacing w:val="-1"/>
                <w:highlight w:val="none"/>
              </w:rPr>
              <w:t>偏离情况（据实填写）</w:t>
            </w:r>
          </w:p>
        </w:tc>
        <w:tc>
          <w:tcPr>
            <w:tcW w:w="977" w:type="dxa"/>
            <w:vMerge w:val="restart"/>
            <w:tcBorders>
              <w:bottom w:val="nil"/>
            </w:tcBorders>
            <w:vAlign w:val="top"/>
          </w:tcPr>
          <w:p w14:paraId="12421CF0">
            <w:pPr>
              <w:spacing w:line="245" w:lineRule="auto"/>
              <w:rPr>
                <w:rFonts w:ascii="Arial"/>
                <w:color w:val="auto"/>
                <w:sz w:val="21"/>
                <w:highlight w:val="none"/>
              </w:rPr>
            </w:pPr>
          </w:p>
          <w:p w14:paraId="065C3BF0">
            <w:pPr>
              <w:spacing w:line="246" w:lineRule="auto"/>
              <w:rPr>
                <w:rFonts w:ascii="Arial"/>
                <w:color w:val="auto"/>
                <w:sz w:val="21"/>
                <w:highlight w:val="none"/>
              </w:rPr>
            </w:pPr>
          </w:p>
          <w:p w14:paraId="4DD52FD3">
            <w:pPr>
              <w:spacing w:line="246" w:lineRule="auto"/>
              <w:rPr>
                <w:rFonts w:ascii="Arial"/>
                <w:color w:val="auto"/>
                <w:sz w:val="21"/>
                <w:highlight w:val="none"/>
              </w:rPr>
            </w:pPr>
          </w:p>
          <w:p w14:paraId="56310FEB">
            <w:pPr>
              <w:pStyle w:val="35"/>
              <w:spacing w:before="78" w:line="219" w:lineRule="auto"/>
              <w:ind w:left="360"/>
              <w:rPr>
                <w:color w:val="auto"/>
                <w:highlight w:val="none"/>
              </w:rPr>
            </w:pPr>
            <w:r>
              <w:rPr>
                <w:color w:val="auto"/>
                <w:spacing w:val="-7"/>
                <w:highlight w:val="none"/>
              </w:rPr>
              <w:t>说明</w:t>
            </w:r>
          </w:p>
        </w:tc>
      </w:tr>
      <w:tr w14:paraId="653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791" w:type="dxa"/>
            <w:vMerge w:val="continue"/>
            <w:tcBorders>
              <w:top w:val="nil"/>
            </w:tcBorders>
            <w:vAlign w:val="top"/>
          </w:tcPr>
          <w:p w14:paraId="75B2B9DF">
            <w:pPr>
              <w:rPr>
                <w:rFonts w:ascii="Arial"/>
                <w:color w:val="auto"/>
                <w:sz w:val="21"/>
                <w:highlight w:val="none"/>
              </w:rPr>
            </w:pPr>
          </w:p>
        </w:tc>
        <w:tc>
          <w:tcPr>
            <w:tcW w:w="1739" w:type="dxa"/>
            <w:vMerge w:val="continue"/>
            <w:tcBorders>
              <w:top w:val="nil"/>
            </w:tcBorders>
            <w:vAlign w:val="top"/>
          </w:tcPr>
          <w:p w14:paraId="309DE390">
            <w:pPr>
              <w:rPr>
                <w:rFonts w:ascii="Arial"/>
                <w:color w:val="auto"/>
                <w:sz w:val="21"/>
                <w:highlight w:val="none"/>
              </w:rPr>
            </w:pPr>
          </w:p>
        </w:tc>
        <w:tc>
          <w:tcPr>
            <w:tcW w:w="1331" w:type="dxa"/>
            <w:vMerge w:val="continue"/>
            <w:tcBorders>
              <w:top w:val="nil"/>
            </w:tcBorders>
            <w:vAlign w:val="top"/>
          </w:tcPr>
          <w:p w14:paraId="3C06C727">
            <w:pPr>
              <w:rPr>
                <w:rFonts w:ascii="Arial"/>
                <w:color w:val="auto"/>
                <w:sz w:val="21"/>
                <w:highlight w:val="none"/>
              </w:rPr>
            </w:pPr>
          </w:p>
        </w:tc>
        <w:tc>
          <w:tcPr>
            <w:tcW w:w="1463" w:type="dxa"/>
            <w:vMerge w:val="continue"/>
            <w:tcBorders>
              <w:top w:val="nil"/>
            </w:tcBorders>
            <w:vAlign w:val="top"/>
          </w:tcPr>
          <w:p w14:paraId="304C9FF6">
            <w:pPr>
              <w:rPr>
                <w:rFonts w:ascii="Arial"/>
                <w:color w:val="auto"/>
                <w:sz w:val="21"/>
                <w:highlight w:val="none"/>
              </w:rPr>
            </w:pPr>
          </w:p>
        </w:tc>
        <w:tc>
          <w:tcPr>
            <w:tcW w:w="1115" w:type="dxa"/>
            <w:vAlign w:val="top"/>
          </w:tcPr>
          <w:p w14:paraId="6377859F">
            <w:pPr>
              <w:spacing w:line="246" w:lineRule="auto"/>
              <w:rPr>
                <w:rFonts w:ascii="Arial"/>
                <w:color w:val="auto"/>
                <w:sz w:val="21"/>
                <w:highlight w:val="none"/>
              </w:rPr>
            </w:pPr>
          </w:p>
          <w:p w14:paraId="2480894A">
            <w:pPr>
              <w:spacing w:line="247" w:lineRule="auto"/>
              <w:rPr>
                <w:rFonts w:ascii="Arial"/>
                <w:color w:val="auto"/>
                <w:sz w:val="21"/>
                <w:highlight w:val="none"/>
              </w:rPr>
            </w:pPr>
          </w:p>
          <w:p w14:paraId="203ECF69">
            <w:pPr>
              <w:pStyle w:val="35"/>
              <w:spacing w:before="78" w:line="219" w:lineRule="auto"/>
              <w:ind w:left="209"/>
              <w:rPr>
                <w:color w:val="auto"/>
                <w:highlight w:val="none"/>
              </w:rPr>
            </w:pPr>
            <w:r>
              <w:rPr>
                <w:color w:val="auto"/>
                <w:spacing w:val="-5"/>
                <w:highlight w:val="none"/>
              </w:rPr>
              <w:t>正偏离</w:t>
            </w:r>
          </w:p>
        </w:tc>
        <w:tc>
          <w:tcPr>
            <w:tcW w:w="1080" w:type="dxa"/>
            <w:vAlign w:val="top"/>
          </w:tcPr>
          <w:p w14:paraId="760516FB">
            <w:pPr>
              <w:spacing w:line="246" w:lineRule="auto"/>
              <w:rPr>
                <w:rFonts w:ascii="Arial"/>
                <w:color w:val="auto"/>
                <w:sz w:val="21"/>
                <w:highlight w:val="none"/>
              </w:rPr>
            </w:pPr>
          </w:p>
          <w:p w14:paraId="228E4906">
            <w:pPr>
              <w:spacing w:line="247" w:lineRule="auto"/>
              <w:rPr>
                <w:rFonts w:ascii="Arial"/>
                <w:color w:val="auto"/>
                <w:sz w:val="21"/>
                <w:highlight w:val="none"/>
              </w:rPr>
            </w:pPr>
          </w:p>
          <w:p w14:paraId="275B1665">
            <w:pPr>
              <w:pStyle w:val="35"/>
              <w:spacing w:before="78" w:line="219" w:lineRule="auto"/>
              <w:ind w:left="191"/>
              <w:rPr>
                <w:color w:val="auto"/>
                <w:highlight w:val="none"/>
              </w:rPr>
            </w:pPr>
            <w:r>
              <w:rPr>
                <w:color w:val="auto"/>
                <w:spacing w:val="-4"/>
                <w:highlight w:val="none"/>
              </w:rPr>
              <w:t>无偏离</w:t>
            </w:r>
          </w:p>
        </w:tc>
        <w:tc>
          <w:tcPr>
            <w:tcW w:w="1044" w:type="dxa"/>
            <w:vAlign w:val="top"/>
          </w:tcPr>
          <w:p w14:paraId="50ABF5D2">
            <w:pPr>
              <w:spacing w:line="246" w:lineRule="auto"/>
              <w:rPr>
                <w:rFonts w:ascii="Arial"/>
                <w:color w:val="auto"/>
                <w:sz w:val="21"/>
                <w:highlight w:val="none"/>
              </w:rPr>
            </w:pPr>
          </w:p>
          <w:p w14:paraId="7DC32F43">
            <w:pPr>
              <w:spacing w:line="247" w:lineRule="auto"/>
              <w:rPr>
                <w:rFonts w:ascii="Arial"/>
                <w:color w:val="auto"/>
                <w:sz w:val="21"/>
                <w:highlight w:val="none"/>
              </w:rPr>
            </w:pPr>
          </w:p>
          <w:p w14:paraId="312502ED">
            <w:pPr>
              <w:pStyle w:val="35"/>
              <w:spacing w:before="78" w:line="219" w:lineRule="auto"/>
              <w:ind w:left="179"/>
              <w:rPr>
                <w:color w:val="auto"/>
                <w:highlight w:val="none"/>
              </w:rPr>
            </w:pPr>
            <w:r>
              <w:rPr>
                <w:color w:val="auto"/>
                <w:spacing w:val="-7"/>
                <w:highlight w:val="none"/>
              </w:rPr>
              <w:t>负偏离</w:t>
            </w:r>
          </w:p>
        </w:tc>
        <w:tc>
          <w:tcPr>
            <w:tcW w:w="977" w:type="dxa"/>
            <w:vMerge w:val="continue"/>
            <w:tcBorders>
              <w:top w:val="nil"/>
            </w:tcBorders>
            <w:vAlign w:val="top"/>
          </w:tcPr>
          <w:p w14:paraId="74569D27">
            <w:pPr>
              <w:rPr>
                <w:rFonts w:ascii="Arial"/>
                <w:color w:val="auto"/>
                <w:sz w:val="21"/>
                <w:highlight w:val="none"/>
              </w:rPr>
            </w:pPr>
          </w:p>
        </w:tc>
      </w:tr>
      <w:tr w14:paraId="08D1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91" w:type="dxa"/>
            <w:vAlign w:val="top"/>
          </w:tcPr>
          <w:p w14:paraId="406BB48C">
            <w:pPr>
              <w:rPr>
                <w:rFonts w:ascii="Arial"/>
                <w:color w:val="auto"/>
                <w:sz w:val="21"/>
                <w:highlight w:val="none"/>
              </w:rPr>
            </w:pPr>
          </w:p>
        </w:tc>
        <w:tc>
          <w:tcPr>
            <w:tcW w:w="1739" w:type="dxa"/>
            <w:vAlign w:val="top"/>
          </w:tcPr>
          <w:p w14:paraId="56049DFC">
            <w:pPr>
              <w:rPr>
                <w:rFonts w:ascii="Arial"/>
                <w:color w:val="auto"/>
                <w:sz w:val="21"/>
                <w:highlight w:val="none"/>
              </w:rPr>
            </w:pPr>
          </w:p>
        </w:tc>
        <w:tc>
          <w:tcPr>
            <w:tcW w:w="1331" w:type="dxa"/>
            <w:vAlign w:val="top"/>
          </w:tcPr>
          <w:p w14:paraId="0E47248E">
            <w:pPr>
              <w:rPr>
                <w:rFonts w:ascii="Arial"/>
                <w:color w:val="auto"/>
                <w:sz w:val="21"/>
                <w:highlight w:val="none"/>
              </w:rPr>
            </w:pPr>
          </w:p>
        </w:tc>
        <w:tc>
          <w:tcPr>
            <w:tcW w:w="1463" w:type="dxa"/>
            <w:vAlign w:val="top"/>
          </w:tcPr>
          <w:p w14:paraId="74380C55">
            <w:pPr>
              <w:rPr>
                <w:rFonts w:ascii="Arial"/>
                <w:color w:val="auto"/>
                <w:sz w:val="21"/>
                <w:highlight w:val="none"/>
              </w:rPr>
            </w:pPr>
          </w:p>
        </w:tc>
        <w:tc>
          <w:tcPr>
            <w:tcW w:w="1115" w:type="dxa"/>
            <w:vAlign w:val="top"/>
          </w:tcPr>
          <w:p w14:paraId="7CDF61A9">
            <w:pPr>
              <w:rPr>
                <w:rFonts w:ascii="Arial"/>
                <w:color w:val="auto"/>
                <w:sz w:val="21"/>
                <w:highlight w:val="none"/>
              </w:rPr>
            </w:pPr>
          </w:p>
        </w:tc>
        <w:tc>
          <w:tcPr>
            <w:tcW w:w="1080" w:type="dxa"/>
            <w:vAlign w:val="top"/>
          </w:tcPr>
          <w:p w14:paraId="5F8AB4CB">
            <w:pPr>
              <w:rPr>
                <w:rFonts w:ascii="Arial"/>
                <w:color w:val="auto"/>
                <w:sz w:val="21"/>
                <w:highlight w:val="none"/>
              </w:rPr>
            </w:pPr>
          </w:p>
        </w:tc>
        <w:tc>
          <w:tcPr>
            <w:tcW w:w="1044" w:type="dxa"/>
            <w:vAlign w:val="top"/>
          </w:tcPr>
          <w:p w14:paraId="0E468C09">
            <w:pPr>
              <w:rPr>
                <w:rFonts w:ascii="Arial"/>
                <w:color w:val="auto"/>
                <w:sz w:val="21"/>
                <w:highlight w:val="none"/>
              </w:rPr>
            </w:pPr>
          </w:p>
        </w:tc>
        <w:tc>
          <w:tcPr>
            <w:tcW w:w="977" w:type="dxa"/>
            <w:vAlign w:val="top"/>
          </w:tcPr>
          <w:p w14:paraId="0304B91D">
            <w:pPr>
              <w:rPr>
                <w:rFonts w:ascii="Arial"/>
                <w:color w:val="auto"/>
                <w:sz w:val="21"/>
                <w:highlight w:val="none"/>
              </w:rPr>
            </w:pPr>
          </w:p>
        </w:tc>
      </w:tr>
      <w:tr w14:paraId="7E99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007FB0D8">
            <w:pPr>
              <w:rPr>
                <w:rFonts w:ascii="Arial"/>
                <w:color w:val="auto"/>
                <w:sz w:val="21"/>
                <w:highlight w:val="none"/>
              </w:rPr>
            </w:pPr>
          </w:p>
        </w:tc>
        <w:tc>
          <w:tcPr>
            <w:tcW w:w="1739" w:type="dxa"/>
            <w:vAlign w:val="top"/>
          </w:tcPr>
          <w:p w14:paraId="6AAAEBFD">
            <w:pPr>
              <w:rPr>
                <w:rFonts w:ascii="Arial"/>
                <w:color w:val="auto"/>
                <w:sz w:val="21"/>
                <w:highlight w:val="none"/>
              </w:rPr>
            </w:pPr>
          </w:p>
        </w:tc>
        <w:tc>
          <w:tcPr>
            <w:tcW w:w="1331" w:type="dxa"/>
            <w:vAlign w:val="top"/>
          </w:tcPr>
          <w:p w14:paraId="77C58777">
            <w:pPr>
              <w:rPr>
                <w:rFonts w:ascii="Arial"/>
                <w:color w:val="auto"/>
                <w:sz w:val="21"/>
                <w:highlight w:val="none"/>
              </w:rPr>
            </w:pPr>
          </w:p>
        </w:tc>
        <w:tc>
          <w:tcPr>
            <w:tcW w:w="1463" w:type="dxa"/>
            <w:vAlign w:val="top"/>
          </w:tcPr>
          <w:p w14:paraId="776FC841">
            <w:pPr>
              <w:rPr>
                <w:rFonts w:ascii="Arial"/>
                <w:color w:val="auto"/>
                <w:sz w:val="21"/>
                <w:highlight w:val="none"/>
              </w:rPr>
            </w:pPr>
          </w:p>
        </w:tc>
        <w:tc>
          <w:tcPr>
            <w:tcW w:w="1115" w:type="dxa"/>
            <w:vAlign w:val="top"/>
          </w:tcPr>
          <w:p w14:paraId="295E94D6">
            <w:pPr>
              <w:rPr>
                <w:rFonts w:ascii="Arial"/>
                <w:color w:val="auto"/>
                <w:sz w:val="21"/>
                <w:highlight w:val="none"/>
              </w:rPr>
            </w:pPr>
          </w:p>
        </w:tc>
        <w:tc>
          <w:tcPr>
            <w:tcW w:w="1080" w:type="dxa"/>
            <w:vAlign w:val="top"/>
          </w:tcPr>
          <w:p w14:paraId="6FB2A428">
            <w:pPr>
              <w:rPr>
                <w:rFonts w:ascii="Arial"/>
                <w:color w:val="auto"/>
                <w:sz w:val="21"/>
                <w:highlight w:val="none"/>
              </w:rPr>
            </w:pPr>
          </w:p>
        </w:tc>
        <w:tc>
          <w:tcPr>
            <w:tcW w:w="1044" w:type="dxa"/>
            <w:vAlign w:val="top"/>
          </w:tcPr>
          <w:p w14:paraId="5C0B9BDF">
            <w:pPr>
              <w:rPr>
                <w:rFonts w:ascii="Arial"/>
                <w:color w:val="auto"/>
                <w:sz w:val="21"/>
                <w:highlight w:val="none"/>
              </w:rPr>
            </w:pPr>
          </w:p>
        </w:tc>
        <w:tc>
          <w:tcPr>
            <w:tcW w:w="977" w:type="dxa"/>
            <w:vAlign w:val="top"/>
          </w:tcPr>
          <w:p w14:paraId="3448F070">
            <w:pPr>
              <w:rPr>
                <w:rFonts w:ascii="Arial"/>
                <w:color w:val="auto"/>
                <w:sz w:val="21"/>
                <w:highlight w:val="none"/>
              </w:rPr>
            </w:pPr>
          </w:p>
        </w:tc>
      </w:tr>
      <w:tr w14:paraId="0F14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12EE3B4C">
            <w:pPr>
              <w:rPr>
                <w:rFonts w:ascii="Arial"/>
                <w:color w:val="auto"/>
                <w:sz w:val="21"/>
                <w:highlight w:val="none"/>
              </w:rPr>
            </w:pPr>
          </w:p>
        </w:tc>
        <w:tc>
          <w:tcPr>
            <w:tcW w:w="1739" w:type="dxa"/>
            <w:vAlign w:val="top"/>
          </w:tcPr>
          <w:p w14:paraId="1E7EB4AE">
            <w:pPr>
              <w:rPr>
                <w:rFonts w:ascii="Arial"/>
                <w:color w:val="auto"/>
                <w:sz w:val="21"/>
                <w:highlight w:val="none"/>
              </w:rPr>
            </w:pPr>
          </w:p>
        </w:tc>
        <w:tc>
          <w:tcPr>
            <w:tcW w:w="1331" w:type="dxa"/>
            <w:vAlign w:val="top"/>
          </w:tcPr>
          <w:p w14:paraId="0B72D623">
            <w:pPr>
              <w:rPr>
                <w:rFonts w:ascii="Arial"/>
                <w:color w:val="auto"/>
                <w:sz w:val="21"/>
                <w:highlight w:val="none"/>
              </w:rPr>
            </w:pPr>
          </w:p>
        </w:tc>
        <w:tc>
          <w:tcPr>
            <w:tcW w:w="1463" w:type="dxa"/>
            <w:vAlign w:val="top"/>
          </w:tcPr>
          <w:p w14:paraId="099674DA">
            <w:pPr>
              <w:rPr>
                <w:rFonts w:ascii="Arial"/>
                <w:color w:val="auto"/>
                <w:sz w:val="21"/>
                <w:highlight w:val="none"/>
              </w:rPr>
            </w:pPr>
          </w:p>
        </w:tc>
        <w:tc>
          <w:tcPr>
            <w:tcW w:w="1115" w:type="dxa"/>
            <w:vAlign w:val="top"/>
          </w:tcPr>
          <w:p w14:paraId="57F1E9A3">
            <w:pPr>
              <w:rPr>
                <w:rFonts w:ascii="Arial"/>
                <w:color w:val="auto"/>
                <w:sz w:val="21"/>
                <w:highlight w:val="none"/>
              </w:rPr>
            </w:pPr>
          </w:p>
        </w:tc>
        <w:tc>
          <w:tcPr>
            <w:tcW w:w="1080" w:type="dxa"/>
            <w:vAlign w:val="top"/>
          </w:tcPr>
          <w:p w14:paraId="3FF69C68">
            <w:pPr>
              <w:rPr>
                <w:rFonts w:ascii="Arial"/>
                <w:color w:val="auto"/>
                <w:sz w:val="21"/>
                <w:highlight w:val="none"/>
              </w:rPr>
            </w:pPr>
          </w:p>
        </w:tc>
        <w:tc>
          <w:tcPr>
            <w:tcW w:w="1044" w:type="dxa"/>
            <w:vAlign w:val="top"/>
          </w:tcPr>
          <w:p w14:paraId="5AD85FAE">
            <w:pPr>
              <w:rPr>
                <w:rFonts w:ascii="Arial"/>
                <w:color w:val="auto"/>
                <w:sz w:val="21"/>
                <w:highlight w:val="none"/>
              </w:rPr>
            </w:pPr>
          </w:p>
        </w:tc>
        <w:tc>
          <w:tcPr>
            <w:tcW w:w="977" w:type="dxa"/>
            <w:vAlign w:val="top"/>
          </w:tcPr>
          <w:p w14:paraId="6A10E142">
            <w:pPr>
              <w:rPr>
                <w:rFonts w:ascii="Arial"/>
                <w:color w:val="auto"/>
                <w:sz w:val="21"/>
                <w:highlight w:val="none"/>
              </w:rPr>
            </w:pPr>
          </w:p>
        </w:tc>
      </w:tr>
      <w:tr w14:paraId="5501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91" w:type="dxa"/>
            <w:vAlign w:val="top"/>
          </w:tcPr>
          <w:p w14:paraId="07705EDF">
            <w:pPr>
              <w:rPr>
                <w:rFonts w:ascii="Arial"/>
                <w:color w:val="auto"/>
                <w:sz w:val="21"/>
                <w:highlight w:val="none"/>
              </w:rPr>
            </w:pPr>
          </w:p>
        </w:tc>
        <w:tc>
          <w:tcPr>
            <w:tcW w:w="1739" w:type="dxa"/>
            <w:vAlign w:val="top"/>
          </w:tcPr>
          <w:p w14:paraId="5CF50FC8">
            <w:pPr>
              <w:rPr>
                <w:rFonts w:ascii="Arial"/>
                <w:color w:val="auto"/>
                <w:sz w:val="21"/>
                <w:highlight w:val="none"/>
              </w:rPr>
            </w:pPr>
          </w:p>
        </w:tc>
        <w:tc>
          <w:tcPr>
            <w:tcW w:w="1331" w:type="dxa"/>
            <w:vAlign w:val="top"/>
          </w:tcPr>
          <w:p w14:paraId="40072641">
            <w:pPr>
              <w:rPr>
                <w:rFonts w:ascii="Arial"/>
                <w:color w:val="auto"/>
                <w:sz w:val="21"/>
                <w:highlight w:val="none"/>
              </w:rPr>
            </w:pPr>
          </w:p>
        </w:tc>
        <w:tc>
          <w:tcPr>
            <w:tcW w:w="1463" w:type="dxa"/>
            <w:vAlign w:val="top"/>
          </w:tcPr>
          <w:p w14:paraId="0091D5EF">
            <w:pPr>
              <w:rPr>
                <w:rFonts w:ascii="Arial"/>
                <w:color w:val="auto"/>
                <w:sz w:val="21"/>
                <w:highlight w:val="none"/>
              </w:rPr>
            </w:pPr>
          </w:p>
        </w:tc>
        <w:tc>
          <w:tcPr>
            <w:tcW w:w="1115" w:type="dxa"/>
            <w:vAlign w:val="top"/>
          </w:tcPr>
          <w:p w14:paraId="48FC1EA6">
            <w:pPr>
              <w:rPr>
                <w:rFonts w:ascii="Arial"/>
                <w:color w:val="auto"/>
                <w:sz w:val="21"/>
                <w:highlight w:val="none"/>
              </w:rPr>
            </w:pPr>
          </w:p>
        </w:tc>
        <w:tc>
          <w:tcPr>
            <w:tcW w:w="1080" w:type="dxa"/>
            <w:vAlign w:val="top"/>
          </w:tcPr>
          <w:p w14:paraId="5F73674E">
            <w:pPr>
              <w:rPr>
                <w:rFonts w:ascii="Arial"/>
                <w:color w:val="auto"/>
                <w:sz w:val="21"/>
                <w:highlight w:val="none"/>
              </w:rPr>
            </w:pPr>
          </w:p>
        </w:tc>
        <w:tc>
          <w:tcPr>
            <w:tcW w:w="1044" w:type="dxa"/>
            <w:vAlign w:val="top"/>
          </w:tcPr>
          <w:p w14:paraId="68EA90D0">
            <w:pPr>
              <w:rPr>
                <w:rFonts w:ascii="Arial"/>
                <w:color w:val="auto"/>
                <w:sz w:val="21"/>
                <w:highlight w:val="none"/>
              </w:rPr>
            </w:pPr>
          </w:p>
        </w:tc>
        <w:tc>
          <w:tcPr>
            <w:tcW w:w="977" w:type="dxa"/>
            <w:vAlign w:val="top"/>
          </w:tcPr>
          <w:p w14:paraId="2E848502">
            <w:pPr>
              <w:rPr>
                <w:rFonts w:ascii="Arial"/>
                <w:color w:val="auto"/>
                <w:sz w:val="21"/>
                <w:highlight w:val="none"/>
              </w:rPr>
            </w:pPr>
          </w:p>
        </w:tc>
      </w:tr>
      <w:tr w14:paraId="18E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91" w:type="dxa"/>
            <w:vAlign w:val="top"/>
          </w:tcPr>
          <w:p w14:paraId="06A98120">
            <w:pPr>
              <w:rPr>
                <w:rFonts w:ascii="Arial"/>
                <w:color w:val="auto"/>
                <w:sz w:val="21"/>
                <w:highlight w:val="none"/>
              </w:rPr>
            </w:pPr>
          </w:p>
        </w:tc>
        <w:tc>
          <w:tcPr>
            <w:tcW w:w="1739" w:type="dxa"/>
            <w:vAlign w:val="top"/>
          </w:tcPr>
          <w:p w14:paraId="0BC2B238">
            <w:pPr>
              <w:rPr>
                <w:rFonts w:ascii="Arial"/>
                <w:color w:val="auto"/>
                <w:sz w:val="21"/>
                <w:highlight w:val="none"/>
              </w:rPr>
            </w:pPr>
          </w:p>
        </w:tc>
        <w:tc>
          <w:tcPr>
            <w:tcW w:w="1331" w:type="dxa"/>
            <w:vAlign w:val="top"/>
          </w:tcPr>
          <w:p w14:paraId="0E6A3F2D">
            <w:pPr>
              <w:rPr>
                <w:rFonts w:ascii="Arial"/>
                <w:color w:val="auto"/>
                <w:sz w:val="21"/>
                <w:highlight w:val="none"/>
              </w:rPr>
            </w:pPr>
          </w:p>
        </w:tc>
        <w:tc>
          <w:tcPr>
            <w:tcW w:w="1463" w:type="dxa"/>
            <w:vAlign w:val="top"/>
          </w:tcPr>
          <w:p w14:paraId="7A16CF8B">
            <w:pPr>
              <w:rPr>
                <w:rFonts w:ascii="Arial"/>
                <w:color w:val="auto"/>
                <w:sz w:val="21"/>
                <w:highlight w:val="none"/>
              </w:rPr>
            </w:pPr>
          </w:p>
        </w:tc>
        <w:tc>
          <w:tcPr>
            <w:tcW w:w="1115" w:type="dxa"/>
            <w:vAlign w:val="top"/>
          </w:tcPr>
          <w:p w14:paraId="51FAC4A1">
            <w:pPr>
              <w:rPr>
                <w:rFonts w:ascii="Arial"/>
                <w:color w:val="auto"/>
                <w:sz w:val="21"/>
                <w:highlight w:val="none"/>
              </w:rPr>
            </w:pPr>
          </w:p>
        </w:tc>
        <w:tc>
          <w:tcPr>
            <w:tcW w:w="1080" w:type="dxa"/>
            <w:vAlign w:val="top"/>
          </w:tcPr>
          <w:p w14:paraId="08A18167">
            <w:pPr>
              <w:rPr>
                <w:rFonts w:ascii="Arial"/>
                <w:color w:val="auto"/>
                <w:sz w:val="21"/>
                <w:highlight w:val="none"/>
              </w:rPr>
            </w:pPr>
          </w:p>
        </w:tc>
        <w:tc>
          <w:tcPr>
            <w:tcW w:w="1044" w:type="dxa"/>
            <w:vAlign w:val="top"/>
          </w:tcPr>
          <w:p w14:paraId="40B2E535">
            <w:pPr>
              <w:rPr>
                <w:rFonts w:ascii="Arial"/>
                <w:color w:val="auto"/>
                <w:sz w:val="21"/>
                <w:highlight w:val="none"/>
              </w:rPr>
            </w:pPr>
          </w:p>
        </w:tc>
        <w:tc>
          <w:tcPr>
            <w:tcW w:w="977" w:type="dxa"/>
            <w:vAlign w:val="top"/>
          </w:tcPr>
          <w:p w14:paraId="2F7F2684">
            <w:pPr>
              <w:rPr>
                <w:rFonts w:ascii="Arial"/>
                <w:color w:val="auto"/>
                <w:sz w:val="21"/>
                <w:highlight w:val="none"/>
              </w:rPr>
            </w:pPr>
          </w:p>
        </w:tc>
      </w:tr>
    </w:tbl>
    <w:p w14:paraId="5FF89BF9">
      <w:pPr>
        <w:pStyle w:val="8"/>
        <w:spacing w:before="114" w:line="360" w:lineRule="auto"/>
        <w:ind w:left="121" w:right="610"/>
        <w:jc w:val="both"/>
        <w:rPr>
          <w:color w:val="auto"/>
          <w:highlight w:val="none"/>
        </w:rPr>
      </w:pPr>
      <w:r>
        <w:rPr>
          <w:color w:val="auto"/>
          <w:spacing w:val="1"/>
          <w:highlight w:val="none"/>
        </w:rPr>
        <w:t>注：1、本偏离表是评审供应商技术方案最重要的直观材料和主要依据，供应商须针</w:t>
      </w:r>
      <w:r>
        <w:rPr>
          <w:color w:val="auto"/>
          <w:spacing w:val="-3"/>
          <w:highlight w:val="none"/>
        </w:rPr>
        <w:t>对本招标文件采购需求中的要求是否满足填写偏离表，表中“偏离情况</w:t>
      </w:r>
      <w:r>
        <w:rPr>
          <w:color w:val="auto"/>
          <w:spacing w:val="-79"/>
          <w:highlight w:val="none"/>
        </w:rPr>
        <w:t xml:space="preserve"> </w:t>
      </w:r>
      <w:r>
        <w:rPr>
          <w:color w:val="auto"/>
          <w:spacing w:val="-3"/>
          <w:highlight w:val="none"/>
        </w:rPr>
        <w:t>”一栏应据实</w:t>
      </w:r>
      <w:r>
        <w:rPr>
          <w:color w:val="auto"/>
          <w:spacing w:val="-11"/>
          <w:highlight w:val="none"/>
        </w:rPr>
        <w:t>填写“正偏离</w:t>
      </w:r>
      <w:r>
        <w:rPr>
          <w:color w:val="auto"/>
          <w:spacing w:val="-81"/>
          <w:highlight w:val="none"/>
        </w:rPr>
        <w:t xml:space="preserve"> </w:t>
      </w:r>
      <w:r>
        <w:rPr>
          <w:color w:val="auto"/>
          <w:spacing w:val="-11"/>
          <w:highlight w:val="none"/>
        </w:rPr>
        <w:t>”、“负偏离</w:t>
      </w:r>
      <w:r>
        <w:rPr>
          <w:color w:val="auto"/>
          <w:spacing w:val="-85"/>
          <w:highlight w:val="none"/>
        </w:rPr>
        <w:t xml:space="preserve"> </w:t>
      </w:r>
      <w:r>
        <w:rPr>
          <w:color w:val="auto"/>
          <w:spacing w:val="-11"/>
          <w:highlight w:val="none"/>
        </w:rPr>
        <w:t>”或“无偏离</w:t>
      </w:r>
      <w:r>
        <w:rPr>
          <w:color w:val="auto"/>
          <w:spacing w:val="-86"/>
          <w:highlight w:val="none"/>
        </w:rPr>
        <w:t xml:space="preserve"> </w:t>
      </w:r>
      <w:r>
        <w:rPr>
          <w:color w:val="auto"/>
          <w:spacing w:val="-11"/>
          <w:highlight w:val="none"/>
        </w:rPr>
        <w:t>”。供应商应注意在本表中的所报货物和服务</w:t>
      </w:r>
      <w:r>
        <w:rPr>
          <w:color w:val="auto"/>
          <w:spacing w:val="-2"/>
          <w:highlight w:val="none"/>
        </w:rPr>
        <w:t>的技术应答与招标文件采购需求部分序号、采购需求部分要求做到逐条响应，否则由</w:t>
      </w:r>
      <w:r>
        <w:rPr>
          <w:color w:val="auto"/>
          <w:spacing w:val="-1"/>
          <w:highlight w:val="none"/>
        </w:rPr>
        <w:t>此造成评审小组无法认定的情形由供应商自行承担后果。</w:t>
      </w:r>
    </w:p>
    <w:p w14:paraId="1F576BE9">
      <w:pPr>
        <w:pStyle w:val="8"/>
        <w:spacing w:line="218" w:lineRule="auto"/>
        <w:ind w:left="605"/>
        <w:outlineLvl w:val="1"/>
        <w:rPr>
          <w:color w:val="auto"/>
          <w:highlight w:val="none"/>
        </w:rPr>
      </w:pPr>
      <w:r>
        <w:rPr>
          <w:color w:val="auto"/>
          <w:spacing w:val="-1"/>
          <w:highlight w:val="none"/>
        </w:rPr>
        <w:t>2、供应商对于偏离情况请如实列出，否则根据情况承担相应后果。</w:t>
      </w:r>
    </w:p>
    <w:p w14:paraId="494392A4">
      <w:pPr>
        <w:spacing w:line="326" w:lineRule="auto"/>
        <w:rPr>
          <w:rFonts w:ascii="Arial"/>
          <w:color w:val="auto"/>
          <w:sz w:val="21"/>
          <w:highlight w:val="none"/>
        </w:rPr>
      </w:pPr>
    </w:p>
    <w:p w14:paraId="7999DB5F">
      <w:pPr>
        <w:spacing w:line="327" w:lineRule="auto"/>
        <w:rPr>
          <w:rFonts w:ascii="Arial"/>
          <w:color w:val="auto"/>
          <w:sz w:val="21"/>
          <w:highlight w:val="none"/>
        </w:rPr>
      </w:pPr>
    </w:p>
    <w:p w14:paraId="7BC4BEE6">
      <w:pPr>
        <w:pStyle w:val="8"/>
        <w:spacing w:before="78" w:line="219" w:lineRule="auto"/>
        <w:ind w:left="602"/>
        <w:rPr>
          <w:color w:val="auto"/>
          <w:highlight w:val="none"/>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3EAF6D3F">
      <w:pPr>
        <w:pStyle w:val="8"/>
        <w:spacing w:before="184" w:line="219" w:lineRule="auto"/>
        <w:ind w:left="602"/>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03D4A60B">
      <w:pPr>
        <w:pStyle w:val="8"/>
        <w:spacing w:before="184" w:line="220" w:lineRule="auto"/>
        <w:ind w:left="643"/>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0701167D">
      <w:pPr>
        <w:spacing w:line="220" w:lineRule="auto"/>
        <w:rPr>
          <w:color w:val="auto"/>
          <w:highlight w:val="none"/>
        </w:rPr>
        <w:sectPr>
          <w:footerReference r:id="rId13" w:type="default"/>
          <w:pgSz w:w="11906" w:h="16839"/>
          <w:pgMar w:top="1117" w:right="1033" w:bottom="1157" w:left="1327" w:header="822" w:footer="992" w:gutter="0"/>
          <w:pgNumType w:fmt="decimal"/>
          <w:cols w:space="720" w:num="1"/>
        </w:sectPr>
      </w:pPr>
    </w:p>
    <w:p w14:paraId="4CECAB71">
      <w:pPr>
        <w:pStyle w:val="8"/>
        <w:spacing w:before="130" w:line="219" w:lineRule="auto"/>
        <w:ind w:left="402"/>
        <w:rPr>
          <w:color w:val="auto"/>
          <w:sz w:val="30"/>
          <w:szCs w:val="30"/>
          <w:highlight w:val="none"/>
        </w:rPr>
      </w:pPr>
      <w:r>
        <w:rPr>
          <w:b/>
          <w:bCs/>
          <w:color w:val="auto"/>
          <w:spacing w:val="-12"/>
          <w:sz w:val="30"/>
          <w:szCs w:val="30"/>
          <w:highlight w:val="none"/>
        </w:rPr>
        <w:t>附件八：</w:t>
      </w:r>
    </w:p>
    <w:p w14:paraId="247A82AE">
      <w:pPr>
        <w:pStyle w:val="8"/>
        <w:spacing w:before="268" w:line="219" w:lineRule="auto"/>
        <w:ind w:left="3585"/>
        <w:outlineLvl w:val="0"/>
        <w:rPr>
          <w:color w:val="auto"/>
          <w:sz w:val="30"/>
          <w:szCs w:val="30"/>
          <w:highlight w:val="none"/>
        </w:rPr>
      </w:pPr>
      <w:r>
        <w:rPr>
          <w:b/>
          <w:bCs/>
          <w:color w:val="auto"/>
          <w:spacing w:val="-4"/>
          <w:sz w:val="30"/>
          <w:szCs w:val="30"/>
          <w:highlight w:val="none"/>
        </w:rPr>
        <w:t>供应商基本情况表</w:t>
      </w:r>
    </w:p>
    <w:p w14:paraId="041024CE">
      <w:pPr>
        <w:spacing w:line="105" w:lineRule="exact"/>
        <w:rPr>
          <w:color w:val="auto"/>
          <w:highlight w:val="none"/>
        </w:rPr>
      </w:pPr>
    </w:p>
    <w:tbl>
      <w:tblPr>
        <w:tblStyle w:val="36"/>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1174"/>
        <w:gridCol w:w="1246"/>
        <w:gridCol w:w="1369"/>
        <w:gridCol w:w="1457"/>
        <w:gridCol w:w="417"/>
        <w:gridCol w:w="608"/>
        <w:gridCol w:w="1804"/>
      </w:tblGrid>
      <w:tr w14:paraId="06DB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81" w:type="dxa"/>
            <w:tcBorders>
              <w:top w:val="single" w:color="000000" w:sz="2" w:space="0"/>
              <w:left w:val="single" w:color="000000" w:sz="2" w:space="0"/>
            </w:tcBorders>
            <w:vAlign w:val="top"/>
          </w:tcPr>
          <w:p w14:paraId="7FDBA427">
            <w:pPr>
              <w:pStyle w:val="35"/>
              <w:spacing w:before="149" w:line="219" w:lineRule="auto"/>
              <w:ind w:left="247"/>
              <w:rPr>
                <w:color w:val="auto"/>
                <w:highlight w:val="none"/>
              </w:rPr>
            </w:pPr>
            <w:r>
              <w:rPr>
                <w:color w:val="auto"/>
                <w:spacing w:val="-2"/>
                <w:highlight w:val="none"/>
              </w:rPr>
              <w:t>供应商名称</w:t>
            </w:r>
          </w:p>
        </w:tc>
        <w:tc>
          <w:tcPr>
            <w:tcW w:w="8075" w:type="dxa"/>
            <w:gridSpan w:val="7"/>
            <w:tcBorders>
              <w:top w:val="single" w:color="000000" w:sz="2" w:space="0"/>
              <w:right w:val="single" w:color="000000" w:sz="2" w:space="0"/>
            </w:tcBorders>
            <w:vAlign w:val="top"/>
          </w:tcPr>
          <w:p w14:paraId="2A7030C8">
            <w:pPr>
              <w:rPr>
                <w:rFonts w:ascii="Arial"/>
                <w:color w:val="auto"/>
                <w:sz w:val="21"/>
                <w:highlight w:val="none"/>
              </w:rPr>
            </w:pPr>
          </w:p>
        </w:tc>
      </w:tr>
      <w:tr w14:paraId="0D5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2DED5BF6">
            <w:pPr>
              <w:pStyle w:val="35"/>
              <w:spacing w:before="142" w:line="221" w:lineRule="auto"/>
              <w:ind w:left="367"/>
              <w:rPr>
                <w:color w:val="auto"/>
                <w:highlight w:val="none"/>
              </w:rPr>
            </w:pPr>
            <w:r>
              <w:rPr>
                <w:color w:val="auto"/>
                <w:spacing w:val="-3"/>
                <w:highlight w:val="none"/>
              </w:rPr>
              <w:t>注册地址</w:t>
            </w:r>
          </w:p>
        </w:tc>
        <w:tc>
          <w:tcPr>
            <w:tcW w:w="3789" w:type="dxa"/>
            <w:gridSpan w:val="3"/>
            <w:vAlign w:val="top"/>
          </w:tcPr>
          <w:p w14:paraId="2E991F97">
            <w:pPr>
              <w:rPr>
                <w:rFonts w:ascii="Arial"/>
                <w:color w:val="auto"/>
                <w:sz w:val="21"/>
                <w:highlight w:val="none"/>
              </w:rPr>
            </w:pPr>
          </w:p>
        </w:tc>
        <w:tc>
          <w:tcPr>
            <w:tcW w:w="1457" w:type="dxa"/>
            <w:vAlign w:val="top"/>
          </w:tcPr>
          <w:p w14:paraId="2B303CAE">
            <w:pPr>
              <w:pStyle w:val="35"/>
              <w:spacing w:before="143" w:line="219" w:lineRule="auto"/>
              <w:ind w:left="271"/>
              <w:rPr>
                <w:color w:val="auto"/>
                <w:highlight w:val="none"/>
              </w:rPr>
            </w:pPr>
            <w:r>
              <w:rPr>
                <w:color w:val="auto"/>
                <w:spacing w:val="-7"/>
                <w:highlight w:val="none"/>
              </w:rPr>
              <w:t>邮政编码</w:t>
            </w:r>
          </w:p>
        </w:tc>
        <w:tc>
          <w:tcPr>
            <w:tcW w:w="2829" w:type="dxa"/>
            <w:gridSpan w:val="3"/>
            <w:tcBorders>
              <w:right w:val="single" w:color="000000" w:sz="2" w:space="0"/>
            </w:tcBorders>
            <w:vAlign w:val="top"/>
          </w:tcPr>
          <w:p w14:paraId="2FB89699">
            <w:pPr>
              <w:rPr>
                <w:rFonts w:ascii="Arial"/>
                <w:color w:val="auto"/>
                <w:sz w:val="21"/>
                <w:highlight w:val="none"/>
              </w:rPr>
            </w:pPr>
          </w:p>
        </w:tc>
      </w:tr>
      <w:tr w14:paraId="212C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vMerge w:val="restart"/>
            <w:tcBorders>
              <w:left w:val="single" w:color="000000" w:sz="2" w:space="0"/>
              <w:bottom w:val="nil"/>
            </w:tcBorders>
            <w:vAlign w:val="top"/>
          </w:tcPr>
          <w:p w14:paraId="05DB4030">
            <w:pPr>
              <w:spacing w:line="260" w:lineRule="auto"/>
              <w:rPr>
                <w:rFonts w:ascii="Arial"/>
                <w:color w:val="auto"/>
                <w:sz w:val="21"/>
                <w:highlight w:val="none"/>
              </w:rPr>
            </w:pPr>
          </w:p>
          <w:p w14:paraId="31F91738">
            <w:pPr>
              <w:pStyle w:val="35"/>
              <w:spacing w:before="78" w:line="221" w:lineRule="auto"/>
              <w:ind w:left="368"/>
              <w:rPr>
                <w:color w:val="auto"/>
                <w:highlight w:val="none"/>
              </w:rPr>
            </w:pPr>
            <w:r>
              <w:rPr>
                <w:color w:val="auto"/>
                <w:spacing w:val="-3"/>
                <w:highlight w:val="none"/>
              </w:rPr>
              <w:t>联系方式</w:t>
            </w:r>
          </w:p>
        </w:tc>
        <w:tc>
          <w:tcPr>
            <w:tcW w:w="1174" w:type="dxa"/>
            <w:vAlign w:val="top"/>
          </w:tcPr>
          <w:p w14:paraId="56E0862A">
            <w:pPr>
              <w:pStyle w:val="35"/>
              <w:spacing w:before="134" w:line="221" w:lineRule="auto"/>
              <w:ind w:left="230"/>
              <w:rPr>
                <w:color w:val="auto"/>
                <w:highlight w:val="none"/>
              </w:rPr>
            </w:pPr>
            <w:r>
              <w:rPr>
                <w:color w:val="auto"/>
                <w:spacing w:val="-4"/>
                <w:highlight w:val="none"/>
              </w:rPr>
              <w:t>联系人</w:t>
            </w:r>
          </w:p>
        </w:tc>
        <w:tc>
          <w:tcPr>
            <w:tcW w:w="2615" w:type="dxa"/>
            <w:gridSpan w:val="2"/>
            <w:vAlign w:val="top"/>
          </w:tcPr>
          <w:p w14:paraId="74351099">
            <w:pPr>
              <w:rPr>
                <w:rFonts w:ascii="Arial"/>
                <w:color w:val="auto"/>
                <w:sz w:val="21"/>
                <w:highlight w:val="none"/>
              </w:rPr>
            </w:pPr>
          </w:p>
        </w:tc>
        <w:tc>
          <w:tcPr>
            <w:tcW w:w="1457" w:type="dxa"/>
            <w:vAlign w:val="top"/>
          </w:tcPr>
          <w:p w14:paraId="211AD53D">
            <w:pPr>
              <w:pStyle w:val="35"/>
              <w:spacing w:before="134" w:line="221" w:lineRule="auto"/>
              <w:ind w:left="522"/>
              <w:rPr>
                <w:color w:val="auto"/>
                <w:highlight w:val="none"/>
              </w:rPr>
            </w:pPr>
            <w:r>
              <w:rPr>
                <w:color w:val="auto"/>
                <w:spacing w:val="-19"/>
                <w:highlight w:val="none"/>
              </w:rPr>
              <w:t>电话</w:t>
            </w:r>
          </w:p>
        </w:tc>
        <w:tc>
          <w:tcPr>
            <w:tcW w:w="2829" w:type="dxa"/>
            <w:gridSpan w:val="3"/>
            <w:tcBorders>
              <w:right w:val="single" w:color="000000" w:sz="2" w:space="0"/>
            </w:tcBorders>
            <w:vAlign w:val="top"/>
          </w:tcPr>
          <w:p w14:paraId="73F1CB71">
            <w:pPr>
              <w:rPr>
                <w:rFonts w:ascii="Arial"/>
                <w:color w:val="auto"/>
                <w:sz w:val="21"/>
                <w:highlight w:val="none"/>
              </w:rPr>
            </w:pPr>
          </w:p>
        </w:tc>
      </w:tr>
      <w:tr w14:paraId="7DF2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81" w:type="dxa"/>
            <w:vMerge w:val="continue"/>
            <w:tcBorders>
              <w:top w:val="nil"/>
              <w:left w:val="single" w:color="000000" w:sz="2" w:space="0"/>
            </w:tcBorders>
            <w:vAlign w:val="top"/>
          </w:tcPr>
          <w:p w14:paraId="531942C6">
            <w:pPr>
              <w:rPr>
                <w:rFonts w:ascii="Arial"/>
                <w:color w:val="auto"/>
                <w:sz w:val="21"/>
                <w:highlight w:val="none"/>
              </w:rPr>
            </w:pPr>
          </w:p>
        </w:tc>
        <w:tc>
          <w:tcPr>
            <w:tcW w:w="1174" w:type="dxa"/>
            <w:vAlign w:val="top"/>
          </w:tcPr>
          <w:p w14:paraId="6F6FDDFF">
            <w:pPr>
              <w:pStyle w:val="35"/>
              <w:spacing w:before="111" w:line="218" w:lineRule="auto"/>
              <w:ind w:left="347"/>
              <w:rPr>
                <w:color w:val="auto"/>
                <w:highlight w:val="none"/>
              </w:rPr>
            </w:pPr>
            <w:r>
              <w:rPr>
                <w:color w:val="auto"/>
                <w:spacing w:val="-4"/>
                <w:highlight w:val="none"/>
              </w:rPr>
              <w:t>传真</w:t>
            </w:r>
          </w:p>
        </w:tc>
        <w:tc>
          <w:tcPr>
            <w:tcW w:w="2615" w:type="dxa"/>
            <w:gridSpan w:val="2"/>
            <w:vAlign w:val="top"/>
          </w:tcPr>
          <w:p w14:paraId="4901A9B8">
            <w:pPr>
              <w:rPr>
                <w:rFonts w:ascii="Arial"/>
                <w:color w:val="auto"/>
                <w:sz w:val="21"/>
                <w:highlight w:val="none"/>
              </w:rPr>
            </w:pPr>
          </w:p>
        </w:tc>
        <w:tc>
          <w:tcPr>
            <w:tcW w:w="1457" w:type="dxa"/>
            <w:vAlign w:val="top"/>
          </w:tcPr>
          <w:p w14:paraId="70A510C7">
            <w:pPr>
              <w:pStyle w:val="35"/>
              <w:spacing w:before="111" w:line="218" w:lineRule="auto"/>
              <w:ind w:left="512"/>
              <w:rPr>
                <w:color w:val="auto"/>
                <w:highlight w:val="none"/>
              </w:rPr>
            </w:pPr>
            <w:r>
              <w:rPr>
                <w:color w:val="auto"/>
                <w:spacing w:val="-15"/>
                <w:highlight w:val="none"/>
              </w:rPr>
              <w:t>网址</w:t>
            </w:r>
          </w:p>
        </w:tc>
        <w:tc>
          <w:tcPr>
            <w:tcW w:w="2829" w:type="dxa"/>
            <w:gridSpan w:val="3"/>
            <w:tcBorders>
              <w:right w:val="single" w:color="000000" w:sz="2" w:space="0"/>
            </w:tcBorders>
            <w:vAlign w:val="top"/>
          </w:tcPr>
          <w:p w14:paraId="19B24B23">
            <w:pPr>
              <w:rPr>
                <w:rFonts w:ascii="Arial"/>
                <w:color w:val="auto"/>
                <w:sz w:val="21"/>
                <w:highlight w:val="none"/>
              </w:rPr>
            </w:pPr>
          </w:p>
        </w:tc>
      </w:tr>
      <w:tr w14:paraId="3CF5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81" w:type="dxa"/>
            <w:tcBorders>
              <w:left w:val="single" w:color="000000" w:sz="2" w:space="0"/>
            </w:tcBorders>
            <w:vAlign w:val="top"/>
          </w:tcPr>
          <w:p w14:paraId="7E9F1DBF">
            <w:pPr>
              <w:pStyle w:val="35"/>
              <w:spacing w:before="112" w:line="262" w:lineRule="auto"/>
              <w:ind w:left="610" w:right="235" w:hanging="362"/>
              <w:rPr>
                <w:color w:val="auto"/>
                <w:highlight w:val="none"/>
              </w:rPr>
            </w:pPr>
            <w:r>
              <w:rPr>
                <w:color w:val="auto"/>
                <w:spacing w:val="-3"/>
                <w:highlight w:val="none"/>
              </w:rPr>
              <w:t>本公司所属</w:t>
            </w:r>
            <w:r>
              <w:rPr>
                <w:color w:val="auto"/>
                <w:spacing w:val="-7"/>
                <w:highlight w:val="none"/>
              </w:rPr>
              <w:t>行业</w:t>
            </w:r>
          </w:p>
        </w:tc>
        <w:tc>
          <w:tcPr>
            <w:tcW w:w="8075" w:type="dxa"/>
            <w:gridSpan w:val="7"/>
            <w:tcBorders>
              <w:right w:val="single" w:color="000000" w:sz="2" w:space="0"/>
            </w:tcBorders>
            <w:vAlign w:val="top"/>
          </w:tcPr>
          <w:p w14:paraId="79080070">
            <w:pPr>
              <w:rPr>
                <w:rFonts w:ascii="Arial"/>
                <w:color w:val="auto"/>
                <w:sz w:val="21"/>
                <w:highlight w:val="none"/>
              </w:rPr>
            </w:pPr>
          </w:p>
        </w:tc>
      </w:tr>
      <w:tr w14:paraId="720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05D87251">
            <w:pPr>
              <w:pStyle w:val="35"/>
              <w:spacing w:before="145" w:line="219" w:lineRule="auto"/>
              <w:ind w:left="248"/>
              <w:rPr>
                <w:color w:val="auto"/>
                <w:highlight w:val="none"/>
              </w:rPr>
            </w:pPr>
            <w:r>
              <w:rPr>
                <w:color w:val="auto"/>
                <w:spacing w:val="-3"/>
                <w:highlight w:val="none"/>
              </w:rPr>
              <w:t>法定代表人</w:t>
            </w:r>
          </w:p>
        </w:tc>
        <w:tc>
          <w:tcPr>
            <w:tcW w:w="1174" w:type="dxa"/>
            <w:vAlign w:val="top"/>
          </w:tcPr>
          <w:p w14:paraId="6E97A7E1">
            <w:pPr>
              <w:pStyle w:val="35"/>
              <w:spacing w:before="145" w:line="219" w:lineRule="auto"/>
              <w:ind w:left="349"/>
              <w:rPr>
                <w:color w:val="auto"/>
                <w:highlight w:val="none"/>
              </w:rPr>
            </w:pPr>
            <w:r>
              <w:rPr>
                <w:color w:val="auto"/>
                <w:spacing w:val="-5"/>
                <w:highlight w:val="none"/>
              </w:rPr>
              <w:t>姓名</w:t>
            </w:r>
          </w:p>
        </w:tc>
        <w:tc>
          <w:tcPr>
            <w:tcW w:w="1246" w:type="dxa"/>
            <w:vAlign w:val="top"/>
          </w:tcPr>
          <w:p w14:paraId="1A9E0C83">
            <w:pPr>
              <w:rPr>
                <w:rFonts w:ascii="Arial"/>
                <w:color w:val="auto"/>
                <w:sz w:val="21"/>
                <w:highlight w:val="none"/>
              </w:rPr>
            </w:pPr>
          </w:p>
        </w:tc>
        <w:tc>
          <w:tcPr>
            <w:tcW w:w="1369" w:type="dxa"/>
            <w:vAlign w:val="top"/>
          </w:tcPr>
          <w:p w14:paraId="21A645A3">
            <w:pPr>
              <w:pStyle w:val="35"/>
              <w:spacing w:before="145" w:line="219" w:lineRule="auto"/>
              <w:ind w:left="210"/>
              <w:rPr>
                <w:color w:val="auto"/>
                <w:highlight w:val="none"/>
              </w:rPr>
            </w:pPr>
            <w:r>
              <w:rPr>
                <w:color w:val="auto"/>
                <w:spacing w:val="-3"/>
                <w:highlight w:val="none"/>
              </w:rPr>
              <w:t>技术职称</w:t>
            </w:r>
          </w:p>
        </w:tc>
        <w:tc>
          <w:tcPr>
            <w:tcW w:w="1457" w:type="dxa"/>
            <w:vAlign w:val="top"/>
          </w:tcPr>
          <w:p w14:paraId="4F869AE3">
            <w:pPr>
              <w:rPr>
                <w:rFonts w:ascii="Arial"/>
                <w:color w:val="auto"/>
                <w:sz w:val="21"/>
                <w:highlight w:val="none"/>
              </w:rPr>
            </w:pPr>
          </w:p>
        </w:tc>
        <w:tc>
          <w:tcPr>
            <w:tcW w:w="1025" w:type="dxa"/>
            <w:gridSpan w:val="2"/>
            <w:vAlign w:val="top"/>
          </w:tcPr>
          <w:p w14:paraId="74F3FC9B">
            <w:pPr>
              <w:pStyle w:val="35"/>
              <w:spacing w:before="145"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20C3D21F">
            <w:pPr>
              <w:rPr>
                <w:rFonts w:ascii="Arial"/>
                <w:color w:val="auto"/>
                <w:sz w:val="21"/>
                <w:highlight w:val="none"/>
              </w:rPr>
            </w:pPr>
          </w:p>
        </w:tc>
      </w:tr>
      <w:tr w14:paraId="0D2F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11A5728F">
            <w:pPr>
              <w:pStyle w:val="35"/>
              <w:spacing w:before="134" w:line="219" w:lineRule="auto"/>
              <w:ind w:left="251"/>
              <w:rPr>
                <w:color w:val="auto"/>
                <w:highlight w:val="none"/>
              </w:rPr>
            </w:pPr>
            <w:r>
              <w:rPr>
                <w:color w:val="auto"/>
                <w:spacing w:val="-3"/>
                <w:highlight w:val="none"/>
              </w:rPr>
              <w:t>项目负责人</w:t>
            </w:r>
          </w:p>
        </w:tc>
        <w:tc>
          <w:tcPr>
            <w:tcW w:w="1174" w:type="dxa"/>
            <w:vAlign w:val="top"/>
          </w:tcPr>
          <w:p w14:paraId="0B8FDF1B">
            <w:pPr>
              <w:pStyle w:val="35"/>
              <w:spacing w:before="134" w:line="219" w:lineRule="auto"/>
              <w:ind w:left="349"/>
              <w:rPr>
                <w:color w:val="auto"/>
                <w:highlight w:val="none"/>
              </w:rPr>
            </w:pPr>
            <w:r>
              <w:rPr>
                <w:color w:val="auto"/>
                <w:spacing w:val="-5"/>
                <w:highlight w:val="none"/>
              </w:rPr>
              <w:t>姓名</w:t>
            </w:r>
          </w:p>
        </w:tc>
        <w:tc>
          <w:tcPr>
            <w:tcW w:w="1246" w:type="dxa"/>
            <w:vAlign w:val="top"/>
          </w:tcPr>
          <w:p w14:paraId="1E868937">
            <w:pPr>
              <w:rPr>
                <w:rFonts w:ascii="Arial"/>
                <w:color w:val="auto"/>
                <w:sz w:val="21"/>
                <w:highlight w:val="none"/>
              </w:rPr>
            </w:pPr>
          </w:p>
        </w:tc>
        <w:tc>
          <w:tcPr>
            <w:tcW w:w="1369" w:type="dxa"/>
            <w:vAlign w:val="top"/>
          </w:tcPr>
          <w:p w14:paraId="69D33B77">
            <w:pPr>
              <w:pStyle w:val="35"/>
              <w:spacing w:before="134" w:line="219" w:lineRule="auto"/>
              <w:ind w:left="210"/>
              <w:rPr>
                <w:color w:val="auto"/>
                <w:highlight w:val="none"/>
              </w:rPr>
            </w:pPr>
            <w:r>
              <w:rPr>
                <w:color w:val="auto"/>
                <w:spacing w:val="-3"/>
                <w:highlight w:val="none"/>
              </w:rPr>
              <w:t>技术职称</w:t>
            </w:r>
          </w:p>
        </w:tc>
        <w:tc>
          <w:tcPr>
            <w:tcW w:w="1457" w:type="dxa"/>
            <w:vAlign w:val="top"/>
          </w:tcPr>
          <w:p w14:paraId="68E9DD7F">
            <w:pPr>
              <w:rPr>
                <w:rFonts w:ascii="Arial"/>
                <w:color w:val="auto"/>
                <w:sz w:val="21"/>
                <w:highlight w:val="none"/>
              </w:rPr>
            </w:pPr>
          </w:p>
        </w:tc>
        <w:tc>
          <w:tcPr>
            <w:tcW w:w="1025" w:type="dxa"/>
            <w:gridSpan w:val="2"/>
            <w:vAlign w:val="top"/>
          </w:tcPr>
          <w:p w14:paraId="271524C0">
            <w:pPr>
              <w:pStyle w:val="35"/>
              <w:spacing w:before="134"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4C1621E7">
            <w:pPr>
              <w:rPr>
                <w:rFonts w:ascii="Arial"/>
                <w:color w:val="auto"/>
                <w:sz w:val="21"/>
                <w:highlight w:val="none"/>
              </w:rPr>
            </w:pPr>
          </w:p>
        </w:tc>
      </w:tr>
      <w:tr w14:paraId="32ED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098CA262">
            <w:pPr>
              <w:pStyle w:val="35"/>
              <w:spacing w:before="134" w:line="221" w:lineRule="auto"/>
              <w:ind w:left="369"/>
              <w:rPr>
                <w:color w:val="auto"/>
                <w:highlight w:val="none"/>
              </w:rPr>
            </w:pPr>
            <w:r>
              <w:rPr>
                <w:color w:val="auto"/>
                <w:spacing w:val="-3"/>
                <w:highlight w:val="none"/>
              </w:rPr>
              <w:t>成立时间</w:t>
            </w:r>
          </w:p>
        </w:tc>
        <w:tc>
          <w:tcPr>
            <w:tcW w:w="2420" w:type="dxa"/>
            <w:gridSpan w:val="2"/>
            <w:tcBorders>
              <w:bottom w:val="single" w:color="000000" w:sz="2" w:space="0"/>
            </w:tcBorders>
            <w:vAlign w:val="top"/>
          </w:tcPr>
          <w:p w14:paraId="07B04D81">
            <w:pPr>
              <w:rPr>
                <w:rFonts w:ascii="Arial"/>
                <w:color w:val="auto"/>
                <w:sz w:val="21"/>
                <w:highlight w:val="none"/>
              </w:rPr>
            </w:pPr>
          </w:p>
        </w:tc>
        <w:tc>
          <w:tcPr>
            <w:tcW w:w="5655" w:type="dxa"/>
            <w:gridSpan w:val="5"/>
            <w:tcBorders>
              <w:bottom w:val="single" w:color="000000" w:sz="2" w:space="0"/>
              <w:right w:val="single" w:color="000000" w:sz="2" w:space="0"/>
            </w:tcBorders>
            <w:vAlign w:val="top"/>
          </w:tcPr>
          <w:p w14:paraId="061E3210">
            <w:pPr>
              <w:pStyle w:val="35"/>
              <w:spacing w:before="135" w:line="219" w:lineRule="auto"/>
              <w:ind w:left="116"/>
              <w:rPr>
                <w:color w:val="auto"/>
                <w:highlight w:val="none"/>
              </w:rPr>
            </w:pPr>
            <w:r>
              <w:rPr>
                <w:color w:val="auto"/>
                <w:spacing w:val="-2"/>
                <w:highlight w:val="none"/>
              </w:rPr>
              <w:t>从业人员人数：</w:t>
            </w:r>
          </w:p>
        </w:tc>
      </w:tr>
      <w:tr w14:paraId="41A6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681" w:type="dxa"/>
            <w:tcBorders>
              <w:top w:val="single" w:color="000000" w:sz="2" w:space="0"/>
              <w:left w:val="single" w:color="000000" w:sz="2" w:space="0"/>
            </w:tcBorders>
            <w:vAlign w:val="top"/>
          </w:tcPr>
          <w:p w14:paraId="4B50C753">
            <w:pPr>
              <w:pStyle w:val="35"/>
              <w:spacing w:before="149" w:line="280" w:lineRule="auto"/>
              <w:ind w:left="606" w:right="115" w:hanging="473"/>
              <w:rPr>
                <w:color w:val="auto"/>
                <w:highlight w:val="none"/>
              </w:rPr>
            </w:pPr>
            <w:r>
              <w:rPr>
                <w:color w:val="auto"/>
                <w:spacing w:val="-3"/>
                <w:highlight w:val="none"/>
              </w:rPr>
              <w:t>统一社会信用</w:t>
            </w:r>
            <w:r>
              <w:rPr>
                <w:color w:val="auto"/>
                <w:spacing w:val="-5"/>
                <w:highlight w:val="none"/>
              </w:rPr>
              <w:t>代码</w:t>
            </w:r>
          </w:p>
        </w:tc>
        <w:tc>
          <w:tcPr>
            <w:tcW w:w="2420" w:type="dxa"/>
            <w:gridSpan w:val="2"/>
            <w:tcBorders>
              <w:top w:val="single" w:color="000000" w:sz="2" w:space="0"/>
            </w:tcBorders>
            <w:vAlign w:val="top"/>
          </w:tcPr>
          <w:p w14:paraId="4DD911F6">
            <w:pPr>
              <w:rPr>
                <w:rFonts w:ascii="Arial"/>
                <w:color w:val="auto"/>
                <w:sz w:val="21"/>
                <w:highlight w:val="none"/>
              </w:rPr>
            </w:pPr>
          </w:p>
        </w:tc>
        <w:tc>
          <w:tcPr>
            <w:tcW w:w="1369" w:type="dxa"/>
            <w:vMerge w:val="restart"/>
            <w:tcBorders>
              <w:top w:val="single" w:color="000000" w:sz="2" w:space="0"/>
              <w:bottom w:val="nil"/>
            </w:tcBorders>
            <w:vAlign w:val="top"/>
          </w:tcPr>
          <w:p w14:paraId="7ECE50A0">
            <w:pPr>
              <w:rPr>
                <w:rFonts w:ascii="Arial"/>
                <w:color w:val="auto"/>
                <w:sz w:val="21"/>
                <w:highlight w:val="none"/>
              </w:rPr>
            </w:pPr>
          </w:p>
        </w:tc>
        <w:tc>
          <w:tcPr>
            <w:tcW w:w="1874" w:type="dxa"/>
            <w:gridSpan w:val="2"/>
            <w:tcBorders>
              <w:top w:val="single" w:color="000000" w:sz="2" w:space="0"/>
            </w:tcBorders>
            <w:vAlign w:val="top"/>
          </w:tcPr>
          <w:p w14:paraId="7A3FFF5D">
            <w:pPr>
              <w:spacing w:line="276" w:lineRule="auto"/>
              <w:rPr>
                <w:rFonts w:ascii="Arial"/>
                <w:color w:val="auto"/>
                <w:sz w:val="21"/>
                <w:highlight w:val="none"/>
              </w:rPr>
            </w:pPr>
          </w:p>
          <w:p w14:paraId="2F4EACC7">
            <w:pPr>
              <w:pStyle w:val="35"/>
              <w:spacing w:before="78" w:line="219" w:lineRule="auto"/>
              <w:ind w:left="229"/>
              <w:rPr>
                <w:color w:val="auto"/>
                <w:highlight w:val="none"/>
              </w:rPr>
            </w:pPr>
            <w:r>
              <w:rPr>
                <w:color w:val="auto"/>
                <w:spacing w:val="-3"/>
                <w:highlight w:val="none"/>
              </w:rPr>
              <w:t>高级职称人员</w:t>
            </w:r>
          </w:p>
        </w:tc>
        <w:tc>
          <w:tcPr>
            <w:tcW w:w="2412" w:type="dxa"/>
            <w:gridSpan w:val="2"/>
            <w:tcBorders>
              <w:top w:val="single" w:color="000000" w:sz="2" w:space="0"/>
              <w:right w:val="single" w:color="000000" w:sz="2" w:space="0"/>
            </w:tcBorders>
            <w:vAlign w:val="top"/>
          </w:tcPr>
          <w:p w14:paraId="2EAFF564">
            <w:pPr>
              <w:rPr>
                <w:rFonts w:ascii="Arial"/>
                <w:color w:val="auto"/>
                <w:sz w:val="21"/>
                <w:highlight w:val="none"/>
              </w:rPr>
            </w:pPr>
          </w:p>
        </w:tc>
      </w:tr>
      <w:tr w14:paraId="104A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3A70CDBF">
            <w:pPr>
              <w:pStyle w:val="35"/>
              <w:spacing w:before="135" w:line="221" w:lineRule="auto"/>
              <w:ind w:left="367"/>
              <w:rPr>
                <w:color w:val="auto"/>
                <w:highlight w:val="none"/>
              </w:rPr>
            </w:pPr>
            <w:r>
              <w:rPr>
                <w:color w:val="auto"/>
                <w:spacing w:val="-3"/>
                <w:highlight w:val="none"/>
              </w:rPr>
              <w:t>注册资金</w:t>
            </w:r>
          </w:p>
        </w:tc>
        <w:tc>
          <w:tcPr>
            <w:tcW w:w="2420" w:type="dxa"/>
            <w:gridSpan w:val="2"/>
            <w:vAlign w:val="top"/>
          </w:tcPr>
          <w:p w14:paraId="0B980971">
            <w:pPr>
              <w:rPr>
                <w:rFonts w:ascii="Arial"/>
                <w:color w:val="auto"/>
                <w:sz w:val="21"/>
                <w:highlight w:val="none"/>
              </w:rPr>
            </w:pPr>
          </w:p>
        </w:tc>
        <w:tc>
          <w:tcPr>
            <w:tcW w:w="1369" w:type="dxa"/>
            <w:vMerge w:val="continue"/>
            <w:tcBorders>
              <w:top w:val="nil"/>
              <w:bottom w:val="nil"/>
            </w:tcBorders>
            <w:vAlign w:val="top"/>
          </w:tcPr>
          <w:p w14:paraId="46C00F69">
            <w:pPr>
              <w:rPr>
                <w:rFonts w:ascii="Arial"/>
                <w:color w:val="auto"/>
                <w:sz w:val="21"/>
                <w:highlight w:val="none"/>
              </w:rPr>
            </w:pPr>
          </w:p>
        </w:tc>
        <w:tc>
          <w:tcPr>
            <w:tcW w:w="1874" w:type="dxa"/>
            <w:gridSpan w:val="2"/>
            <w:vAlign w:val="top"/>
          </w:tcPr>
          <w:p w14:paraId="7ACEA376">
            <w:pPr>
              <w:pStyle w:val="35"/>
              <w:spacing w:before="135" w:line="220" w:lineRule="auto"/>
              <w:ind w:left="245"/>
              <w:rPr>
                <w:color w:val="auto"/>
                <w:highlight w:val="none"/>
              </w:rPr>
            </w:pPr>
            <w:r>
              <w:rPr>
                <w:color w:val="auto"/>
                <w:spacing w:val="-6"/>
                <w:highlight w:val="none"/>
              </w:rPr>
              <w:t>中级职称人员</w:t>
            </w:r>
          </w:p>
        </w:tc>
        <w:tc>
          <w:tcPr>
            <w:tcW w:w="2412" w:type="dxa"/>
            <w:gridSpan w:val="2"/>
            <w:tcBorders>
              <w:right w:val="single" w:color="000000" w:sz="2" w:space="0"/>
            </w:tcBorders>
            <w:vAlign w:val="top"/>
          </w:tcPr>
          <w:p w14:paraId="3C4A3AB4">
            <w:pPr>
              <w:rPr>
                <w:rFonts w:ascii="Arial"/>
                <w:color w:val="auto"/>
                <w:sz w:val="21"/>
                <w:highlight w:val="none"/>
              </w:rPr>
            </w:pPr>
          </w:p>
        </w:tc>
      </w:tr>
      <w:tr w14:paraId="3C7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6515FBEB">
            <w:pPr>
              <w:pStyle w:val="35"/>
              <w:spacing w:before="146" w:line="220" w:lineRule="auto"/>
              <w:ind w:left="368"/>
              <w:rPr>
                <w:color w:val="auto"/>
                <w:highlight w:val="none"/>
              </w:rPr>
            </w:pPr>
            <w:r>
              <w:rPr>
                <w:color w:val="auto"/>
                <w:spacing w:val="-3"/>
                <w:highlight w:val="none"/>
              </w:rPr>
              <w:t>开户银行</w:t>
            </w:r>
          </w:p>
        </w:tc>
        <w:tc>
          <w:tcPr>
            <w:tcW w:w="2420" w:type="dxa"/>
            <w:gridSpan w:val="2"/>
            <w:vAlign w:val="top"/>
          </w:tcPr>
          <w:p w14:paraId="592F4638">
            <w:pPr>
              <w:rPr>
                <w:rFonts w:ascii="Arial"/>
                <w:color w:val="auto"/>
                <w:sz w:val="21"/>
                <w:highlight w:val="none"/>
              </w:rPr>
            </w:pPr>
          </w:p>
        </w:tc>
        <w:tc>
          <w:tcPr>
            <w:tcW w:w="1369" w:type="dxa"/>
            <w:vMerge w:val="continue"/>
            <w:tcBorders>
              <w:top w:val="nil"/>
              <w:bottom w:val="nil"/>
            </w:tcBorders>
            <w:vAlign w:val="top"/>
          </w:tcPr>
          <w:p w14:paraId="77A8A6BB">
            <w:pPr>
              <w:rPr>
                <w:rFonts w:ascii="Arial"/>
                <w:color w:val="auto"/>
                <w:sz w:val="21"/>
                <w:highlight w:val="none"/>
              </w:rPr>
            </w:pPr>
          </w:p>
        </w:tc>
        <w:tc>
          <w:tcPr>
            <w:tcW w:w="1874" w:type="dxa"/>
            <w:gridSpan w:val="2"/>
            <w:vAlign w:val="top"/>
          </w:tcPr>
          <w:p w14:paraId="0374875C">
            <w:pPr>
              <w:pStyle w:val="35"/>
              <w:spacing w:before="146" w:line="221" w:lineRule="auto"/>
              <w:ind w:left="221"/>
              <w:rPr>
                <w:color w:val="auto"/>
                <w:highlight w:val="none"/>
              </w:rPr>
            </w:pPr>
            <w:r>
              <w:rPr>
                <w:color w:val="auto"/>
                <w:spacing w:val="-2"/>
                <w:highlight w:val="none"/>
              </w:rPr>
              <w:t>初级职称人员</w:t>
            </w:r>
          </w:p>
        </w:tc>
        <w:tc>
          <w:tcPr>
            <w:tcW w:w="2412" w:type="dxa"/>
            <w:gridSpan w:val="2"/>
            <w:tcBorders>
              <w:right w:val="single" w:color="000000" w:sz="2" w:space="0"/>
            </w:tcBorders>
            <w:vAlign w:val="top"/>
          </w:tcPr>
          <w:p w14:paraId="4E1A133A">
            <w:pPr>
              <w:rPr>
                <w:rFonts w:ascii="Arial"/>
                <w:color w:val="auto"/>
                <w:sz w:val="21"/>
                <w:highlight w:val="none"/>
              </w:rPr>
            </w:pPr>
          </w:p>
        </w:tc>
      </w:tr>
      <w:tr w14:paraId="44C9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3C9DC3CA">
            <w:pPr>
              <w:pStyle w:val="35"/>
              <w:spacing w:before="134" w:line="221" w:lineRule="auto"/>
              <w:ind w:left="611"/>
              <w:rPr>
                <w:color w:val="auto"/>
                <w:highlight w:val="none"/>
              </w:rPr>
            </w:pPr>
            <w:r>
              <w:rPr>
                <w:color w:val="auto"/>
                <w:spacing w:val="-7"/>
                <w:highlight w:val="none"/>
              </w:rPr>
              <w:t>账号</w:t>
            </w:r>
          </w:p>
        </w:tc>
        <w:tc>
          <w:tcPr>
            <w:tcW w:w="2420" w:type="dxa"/>
            <w:gridSpan w:val="2"/>
            <w:tcBorders>
              <w:bottom w:val="single" w:color="000000" w:sz="2" w:space="0"/>
            </w:tcBorders>
            <w:vAlign w:val="top"/>
          </w:tcPr>
          <w:p w14:paraId="42B29E4D">
            <w:pPr>
              <w:rPr>
                <w:rFonts w:ascii="Arial"/>
                <w:color w:val="auto"/>
                <w:sz w:val="21"/>
                <w:highlight w:val="none"/>
              </w:rPr>
            </w:pPr>
          </w:p>
        </w:tc>
        <w:tc>
          <w:tcPr>
            <w:tcW w:w="1369" w:type="dxa"/>
            <w:vMerge w:val="continue"/>
            <w:tcBorders>
              <w:top w:val="nil"/>
              <w:bottom w:val="single" w:color="000000" w:sz="2" w:space="0"/>
            </w:tcBorders>
            <w:vAlign w:val="top"/>
          </w:tcPr>
          <w:p w14:paraId="27A1B25B">
            <w:pPr>
              <w:rPr>
                <w:rFonts w:ascii="Arial"/>
                <w:color w:val="auto"/>
                <w:sz w:val="21"/>
                <w:highlight w:val="none"/>
              </w:rPr>
            </w:pPr>
          </w:p>
        </w:tc>
        <w:tc>
          <w:tcPr>
            <w:tcW w:w="1874" w:type="dxa"/>
            <w:gridSpan w:val="2"/>
            <w:tcBorders>
              <w:bottom w:val="single" w:color="000000" w:sz="2" w:space="0"/>
            </w:tcBorders>
            <w:vAlign w:val="top"/>
          </w:tcPr>
          <w:p w14:paraId="263AB112">
            <w:pPr>
              <w:pStyle w:val="35"/>
              <w:spacing w:before="135" w:line="220" w:lineRule="auto"/>
              <w:ind w:left="703"/>
              <w:rPr>
                <w:color w:val="auto"/>
                <w:highlight w:val="none"/>
              </w:rPr>
            </w:pPr>
            <w:r>
              <w:rPr>
                <w:color w:val="auto"/>
                <w:spacing w:val="-6"/>
                <w:highlight w:val="none"/>
              </w:rPr>
              <w:t>其他</w:t>
            </w:r>
          </w:p>
        </w:tc>
        <w:tc>
          <w:tcPr>
            <w:tcW w:w="2412" w:type="dxa"/>
            <w:gridSpan w:val="2"/>
            <w:tcBorders>
              <w:bottom w:val="single" w:color="000000" w:sz="2" w:space="0"/>
              <w:right w:val="single" w:color="000000" w:sz="2" w:space="0"/>
            </w:tcBorders>
            <w:vAlign w:val="top"/>
          </w:tcPr>
          <w:p w14:paraId="747B75C3">
            <w:pPr>
              <w:rPr>
                <w:rFonts w:ascii="Arial"/>
                <w:color w:val="auto"/>
                <w:sz w:val="21"/>
                <w:highlight w:val="none"/>
              </w:rPr>
            </w:pPr>
          </w:p>
        </w:tc>
      </w:tr>
      <w:tr w14:paraId="5277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681" w:type="dxa"/>
            <w:tcBorders>
              <w:top w:val="single" w:color="000000" w:sz="2" w:space="0"/>
              <w:left w:val="single" w:color="000000" w:sz="2" w:space="0"/>
            </w:tcBorders>
            <w:vAlign w:val="top"/>
          </w:tcPr>
          <w:p w14:paraId="08E1DD3C">
            <w:pPr>
              <w:spacing w:line="347" w:lineRule="auto"/>
              <w:rPr>
                <w:rFonts w:ascii="Arial"/>
                <w:color w:val="auto"/>
                <w:sz w:val="21"/>
                <w:highlight w:val="none"/>
              </w:rPr>
            </w:pPr>
          </w:p>
          <w:p w14:paraId="4620CC0C">
            <w:pPr>
              <w:pStyle w:val="35"/>
              <w:spacing w:before="78" w:line="308" w:lineRule="auto"/>
              <w:ind w:left="611" w:right="235" w:hanging="365"/>
              <w:rPr>
                <w:color w:val="auto"/>
                <w:highlight w:val="none"/>
              </w:rPr>
            </w:pPr>
            <w:r>
              <w:rPr>
                <w:color w:val="auto"/>
                <w:spacing w:val="-2"/>
                <w:highlight w:val="none"/>
              </w:rPr>
              <w:t>近三年财务</w:t>
            </w:r>
            <w:r>
              <w:rPr>
                <w:color w:val="auto"/>
                <w:spacing w:val="-8"/>
                <w:highlight w:val="none"/>
              </w:rPr>
              <w:t>简况</w:t>
            </w:r>
          </w:p>
        </w:tc>
        <w:tc>
          <w:tcPr>
            <w:tcW w:w="8075" w:type="dxa"/>
            <w:gridSpan w:val="7"/>
            <w:tcBorders>
              <w:top w:val="single" w:color="000000" w:sz="2" w:space="0"/>
              <w:right w:val="single" w:color="000000" w:sz="2" w:space="0"/>
            </w:tcBorders>
            <w:vAlign w:val="top"/>
          </w:tcPr>
          <w:p w14:paraId="3D8A2FB1">
            <w:pPr>
              <w:pStyle w:val="35"/>
              <w:spacing w:before="22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3</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569C184A">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4</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04F05032">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5</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tc>
      </w:tr>
      <w:tr w14:paraId="6E74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681" w:type="dxa"/>
            <w:tcBorders>
              <w:left w:val="single" w:color="000000" w:sz="2" w:space="0"/>
              <w:bottom w:val="single" w:color="000000" w:sz="2" w:space="0"/>
            </w:tcBorders>
            <w:vAlign w:val="top"/>
          </w:tcPr>
          <w:p w14:paraId="16D6D7EB">
            <w:pPr>
              <w:spacing w:line="305" w:lineRule="auto"/>
              <w:rPr>
                <w:rFonts w:ascii="Arial"/>
                <w:color w:val="auto"/>
                <w:sz w:val="21"/>
                <w:highlight w:val="none"/>
              </w:rPr>
            </w:pPr>
          </w:p>
          <w:p w14:paraId="0E6F7871">
            <w:pPr>
              <w:spacing w:line="305" w:lineRule="auto"/>
              <w:rPr>
                <w:rFonts w:ascii="Arial"/>
                <w:color w:val="auto"/>
                <w:sz w:val="21"/>
                <w:highlight w:val="none"/>
              </w:rPr>
            </w:pPr>
          </w:p>
          <w:p w14:paraId="26B6C068">
            <w:pPr>
              <w:pStyle w:val="35"/>
              <w:spacing w:before="78" w:line="220" w:lineRule="auto"/>
              <w:ind w:left="369"/>
              <w:rPr>
                <w:color w:val="auto"/>
                <w:highlight w:val="none"/>
              </w:rPr>
            </w:pPr>
            <w:r>
              <w:rPr>
                <w:color w:val="auto"/>
                <w:spacing w:val="-3"/>
                <w:highlight w:val="none"/>
              </w:rPr>
              <w:t>经营范围</w:t>
            </w:r>
          </w:p>
        </w:tc>
        <w:tc>
          <w:tcPr>
            <w:tcW w:w="8075" w:type="dxa"/>
            <w:gridSpan w:val="7"/>
            <w:tcBorders>
              <w:bottom w:val="single" w:color="000000" w:sz="2" w:space="0"/>
              <w:right w:val="single" w:color="000000" w:sz="2" w:space="0"/>
            </w:tcBorders>
            <w:vAlign w:val="top"/>
          </w:tcPr>
          <w:p w14:paraId="363AAE15">
            <w:pPr>
              <w:rPr>
                <w:rFonts w:ascii="Arial"/>
                <w:color w:val="auto"/>
                <w:sz w:val="21"/>
                <w:highlight w:val="none"/>
              </w:rPr>
            </w:pPr>
          </w:p>
        </w:tc>
      </w:tr>
      <w:tr w14:paraId="520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681" w:type="dxa"/>
            <w:tcBorders>
              <w:top w:val="single" w:color="000000" w:sz="2" w:space="0"/>
              <w:left w:val="single" w:color="000000" w:sz="2" w:space="0"/>
              <w:bottom w:val="single" w:color="000000" w:sz="2" w:space="0"/>
            </w:tcBorders>
            <w:vAlign w:val="top"/>
          </w:tcPr>
          <w:p w14:paraId="329B08A2">
            <w:pPr>
              <w:spacing w:line="306" w:lineRule="auto"/>
              <w:rPr>
                <w:rFonts w:ascii="Arial"/>
                <w:color w:val="auto"/>
                <w:sz w:val="21"/>
                <w:highlight w:val="none"/>
              </w:rPr>
            </w:pPr>
          </w:p>
          <w:p w14:paraId="5435F698">
            <w:pPr>
              <w:spacing w:line="307" w:lineRule="auto"/>
              <w:rPr>
                <w:rFonts w:ascii="Arial"/>
                <w:color w:val="auto"/>
                <w:sz w:val="21"/>
                <w:highlight w:val="none"/>
              </w:rPr>
            </w:pPr>
          </w:p>
          <w:p w14:paraId="2ECDF155">
            <w:pPr>
              <w:pStyle w:val="35"/>
              <w:spacing w:before="78" w:line="221" w:lineRule="auto"/>
              <w:ind w:left="600"/>
              <w:rPr>
                <w:color w:val="auto"/>
                <w:highlight w:val="none"/>
              </w:rPr>
            </w:pPr>
            <w:r>
              <w:rPr>
                <w:color w:val="auto"/>
                <w:spacing w:val="-7"/>
                <w:highlight w:val="none"/>
              </w:rPr>
              <w:t>备注</w:t>
            </w:r>
          </w:p>
        </w:tc>
        <w:tc>
          <w:tcPr>
            <w:tcW w:w="8075" w:type="dxa"/>
            <w:gridSpan w:val="7"/>
            <w:tcBorders>
              <w:top w:val="single" w:color="000000" w:sz="2" w:space="0"/>
              <w:bottom w:val="single" w:color="000000" w:sz="2" w:space="0"/>
              <w:right w:val="single" w:color="000000" w:sz="2" w:space="0"/>
            </w:tcBorders>
            <w:vAlign w:val="top"/>
          </w:tcPr>
          <w:p w14:paraId="028C901D">
            <w:pPr>
              <w:rPr>
                <w:rFonts w:ascii="Arial"/>
                <w:color w:val="auto"/>
                <w:sz w:val="21"/>
                <w:highlight w:val="none"/>
              </w:rPr>
            </w:pPr>
          </w:p>
        </w:tc>
      </w:tr>
    </w:tbl>
    <w:p w14:paraId="65ADED09">
      <w:pPr>
        <w:rPr>
          <w:rFonts w:ascii="Arial"/>
          <w:color w:val="auto"/>
          <w:sz w:val="21"/>
          <w:highlight w:val="none"/>
        </w:rPr>
      </w:pPr>
    </w:p>
    <w:p w14:paraId="71853C27">
      <w:pPr>
        <w:rPr>
          <w:rFonts w:ascii="Arial" w:hAnsi="Arial" w:eastAsia="Arial" w:cs="Arial"/>
          <w:color w:val="auto"/>
          <w:sz w:val="21"/>
          <w:szCs w:val="21"/>
          <w:highlight w:val="none"/>
        </w:rPr>
        <w:sectPr>
          <w:footerReference r:id="rId14" w:type="default"/>
          <w:pgSz w:w="11906" w:h="16839"/>
          <w:pgMar w:top="1117" w:right="1072" w:bottom="1157" w:left="1072" w:header="822" w:footer="992" w:gutter="0"/>
          <w:pgNumType w:fmt="decimal"/>
          <w:cols w:space="720" w:num="1"/>
        </w:sectPr>
      </w:pPr>
    </w:p>
    <w:p w14:paraId="33181C39">
      <w:pPr>
        <w:pStyle w:val="8"/>
        <w:spacing w:before="130" w:line="219" w:lineRule="auto"/>
        <w:ind w:left="35"/>
        <w:rPr>
          <w:color w:val="auto"/>
          <w:sz w:val="30"/>
          <w:szCs w:val="30"/>
          <w:highlight w:val="none"/>
        </w:rPr>
      </w:pPr>
      <w:r>
        <w:rPr>
          <w:b/>
          <w:bCs/>
          <w:color w:val="auto"/>
          <w:spacing w:val="-12"/>
          <w:sz w:val="30"/>
          <w:szCs w:val="30"/>
          <w:highlight w:val="none"/>
        </w:rPr>
        <w:t>附表九：</w:t>
      </w:r>
    </w:p>
    <w:p w14:paraId="400A6957">
      <w:pPr>
        <w:pStyle w:val="8"/>
        <w:spacing w:before="269" w:line="219" w:lineRule="auto"/>
        <w:ind w:left="3531"/>
        <w:outlineLvl w:val="0"/>
        <w:rPr>
          <w:color w:val="auto"/>
          <w:sz w:val="30"/>
          <w:szCs w:val="30"/>
          <w:highlight w:val="none"/>
        </w:rPr>
      </w:pPr>
      <w:r>
        <w:rPr>
          <w:b/>
          <w:bCs/>
          <w:color w:val="auto"/>
          <w:spacing w:val="-7"/>
          <w:sz w:val="30"/>
          <w:szCs w:val="30"/>
          <w:highlight w:val="none"/>
        </w:rPr>
        <w:t>资格证明文件</w:t>
      </w:r>
    </w:p>
    <w:p w14:paraId="72752CCC">
      <w:pPr>
        <w:pStyle w:val="8"/>
        <w:spacing w:before="217" w:line="219" w:lineRule="auto"/>
        <w:ind w:left="28"/>
        <w:rPr>
          <w:color w:val="auto"/>
          <w:highlight w:val="none"/>
        </w:rPr>
      </w:pPr>
      <w:r>
        <w:rPr>
          <w:b/>
          <w:bCs/>
          <w:color w:val="auto"/>
          <w:spacing w:val="-1"/>
          <w:highlight w:val="none"/>
        </w:rPr>
        <w:t>附件9-1</w:t>
      </w:r>
      <w:r>
        <w:rPr>
          <w:color w:val="auto"/>
          <w:spacing w:val="-47"/>
          <w:highlight w:val="none"/>
        </w:rPr>
        <w:t xml:space="preserve"> </w:t>
      </w:r>
      <w:r>
        <w:rPr>
          <w:b/>
          <w:bCs/>
          <w:color w:val="auto"/>
          <w:spacing w:val="-1"/>
          <w:highlight w:val="none"/>
        </w:rPr>
        <w:t>有效的企业法人营业执照复印件（复印件须加盖供应</w:t>
      </w:r>
      <w:r>
        <w:rPr>
          <w:b/>
          <w:bCs/>
          <w:color w:val="auto"/>
          <w:spacing w:val="-2"/>
          <w:highlight w:val="none"/>
        </w:rPr>
        <w:t>商公章</w:t>
      </w:r>
      <w:r>
        <w:rPr>
          <w:b/>
          <w:bCs/>
          <w:color w:val="auto"/>
          <w:spacing w:val="-62"/>
          <w:w w:val="97"/>
          <w:highlight w:val="none"/>
        </w:rPr>
        <w:t>）；</w:t>
      </w:r>
    </w:p>
    <w:p w14:paraId="4D4A5B4C">
      <w:pPr>
        <w:spacing w:line="269" w:lineRule="auto"/>
        <w:rPr>
          <w:rFonts w:ascii="Arial"/>
          <w:color w:val="auto"/>
          <w:sz w:val="21"/>
          <w:highlight w:val="none"/>
        </w:rPr>
      </w:pPr>
    </w:p>
    <w:p w14:paraId="412C3CB0">
      <w:pPr>
        <w:spacing w:line="269" w:lineRule="auto"/>
        <w:rPr>
          <w:rFonts w:ascii="Arial"/>
          <w:color w:val="auto"/>
          <w:sz w:val="21"/>
          <w:highlight w:val="none"/>
        </w:rPr>
      </w:pPr>
    </w:p>
    <w:p w14:paraId="2C91B116">
      <w:pPr>
        <w:spacing w:line="269" w:lineRule="auto"/>
        <w:rPr>
          <w:rFonts w:ascii="Arial"/>
          <w:color w:val="auto"/>
          <w:sz w:val="21"/>
          <w:highlight w:val="none"/>
        </w:rPr>
      </w:pPr>
    </w:p>
    <w:p w14:paraId="3DE800CA">
      <w:pPr>
        <w:spacing w:line="269" w:lineRule="auto"/>
        <w:rPr>
          <w:rFonts w:ascii="Arial"/>
          <w:color w:val="auto"/>
          <w:sz w:val="21"/>
          <w:highlight w:val="none"/>
        </w:rPr>
      </w:pPr>
    </w:p>
    <w:p w14:paraId="4795A03D">
      <w:pPr>
        <w:spacing w:line="269" w:lineRule="auto"/>
        <w:rPr>
          <w:rFonts w:ascii="Arial"/>
          <w:color w:val="auto"/>
          <w:sz w:val="21"/>
          <w:highlight w:val="none"/>
        </w:rPr>
      </w:pPr>
    </w:p>
    <w:p w14:paraId="156DE940">
      <w:pPr>
        <w:pStyle w:val="8"/>
        <w:spacing w:before="78" w:line="219" w:lineRule="auto"/>
        <w:ind w:left="28"/>
        <w:outlineLvl w:val="0"/>
        <w:rPr>
          <w:color w:val="auto"/>
          <w:highlight w:val="none"/>
        </w:rPr>
      </w:pPr>
      <w:r>
        <w:rPr>
          <w:b/>
          <w:bCs/>
          <w:color w:val="auto"/>
          <w:highlight w:val="none"/>
        </w:rPr>
        <w:t>附件9-2</w:t>
      </w:r>
      <w:r>
        <w:rPr>
          <w:color w:val="auto"/>
          <w:highlight w:val="none"/>
        </w:rPr>
        <w:t xml:space="preserve"> </w:t>
      </w:r>
      <w:r>
        <w:rPr>
          <w:b/>
          <w:bCs/>
          <w:color w:val="auto"/>
          <w:highlight w:val="none"/>
        </w:rPr>
        <w:t>法定代表人授权书格式</w:t>
      </w:r>
    </w:p>
    <w:p w14:paraId="6586BAC2">
      <w:pPr>
        <w:spacing w:line="285" w:lineRule="auto"/>
        <w:rPr>
          <w:rFonts w:ascii="Arial"/>
          <w:color w:val="auto"/>
          <w:sz w:val="21"/>
          <w:highlight w:val="none"/>
        </w:rPr>
      </w:pPr>
    </w:p>
    <w:p w14:paraId="5B2A73D3">
      <w:pPr>
        <w:spacing w:line="285" w:lineRule="auto"/>
        <w:rPr>
          <w:rFonts w:ascii="Arial"/>
          <w:color w:val="auto"/>
          <w:sz w:val="21"/>
          <w:highlight w:val="none"/>
        </w:rPr>
      </w:pPr>
    </w:p>
    <w:p w14:paraId="047D2201">
      <w:pPr>
        <w:pStyle w:val="8"/>
        <w:tabs>
          <w:tab w:val="left" w:pos="135"/>
        </w:tabs>
        <w:spacing w:before="78" w:line="360" w:lineRule="auto"/>
        <w:ind w:right="135" w:firstLine="564"/>
        <w:jc w:val="both"/>
        <w:rPr>
          <w:color w:val="auto"/>
          <w:highlight w:val="none"/>
        </w:rPr>
      </w:pPr>
      <w:r>
        <w:rPr>
          <w:color w:val="auto"/>
          <w:spacing w:val="-3"/>
          <w:highlight w:val="none"/>
        </w:rPr>
        <w:t>本授权书声明：注册于</w:t>
      </w:r>
      <w:r>
        <w:rPr>
          <w:color w:val="auto"/>
          <w:spacing w:val="-3"/>
          <w:highlight w:val="none"/>
          <w:u w:val="single" w:color="auto"/>
        </w:rPr>
        <w:t>（地区的名称）</w:t>
      </w:r>
      <w:r>
        <w:rPr>
          <w:color w:val="auto"/>
          <w:spacing w:val="-3"/>
          <w:highlight w:val="none"/>
        </w:rPr>
        <w:t>的（</w:t>
      </w:r>
      <w:r>
        <w:rPr>
          <w:color w:val="auto"/>
          <w:spacing w:val="-88"/>
          <w:highlight w:val="none"/>
        </w:rPr>
        <w:t xml:space="preserve"> </w:t>
      </w:r>
      <w:r>
        <w:rPr>
          <w:color w:val="auto"/>
          <w:spacing w:val="-103"/>
          <w:highlight w:val="none"/>
          <w:u w:val="single" w:color="auto"/>
        </w:rPr>
        <w:t xml:space="preserve"> </w:t>
      </w:r>
      <w:r>
        <w:rPr>
          <w:color w:val="auto"/>
          <w:spacing w:val="-3"/>
          <w:highlight w:val="none"/>
          <w:u w:val="single" w:color="auto"/>
        </w:rPr>
        <w:t>公司名称</w:t>
      </w:r>
      <w:r>
        <w:rPr>
          <w:color w:val="auto"/>
          <w:spacing w:val="-48"/>
          <w:highlight w:val="none"/>
          <w:u w:val="single" w:color="auto"/>
        </w:rPr>
        <w:t>），</w:t>
      </w:r>
      <w:r>
        <w:rPr>
          <w:color w:val="auto"/>
          <w:spacing w:val="-3"/>
          <w:highlight w:val="none"/>
        </w:rPr>
        <w:t>在下面签字的法人代表</w:t>
      </w:r>
      <w:r>
        <w:rPr>
          <w:color w:val="auto"/>
          <w:highlight w:val="none"/>
          <w:u w:val="single" w:color="auto"/>
        </w:rPr>
        <w:tab/>
      </w:r>
      <w:r>
        <w:rPr>
          <w:color w:val="auto"/>
          <w:spacing w:val="-3"/>
          <w:highlight w:val="none"/>
          <w:u w:val="single" w:color="auto"/>
        </w:rPr>
        <w:t>（姓名、职务、身份证号码</w:t>
      </w:r>
      <w:r>
        <w:rPr>
          <w:color w:val="auto"/>
          <w:spacing w:val="-46"/>
          <w:highlight w:val="none"/>
          <w:u w:val="single" w:color="auto"/>
        </w:rPr>
        <w:t>），</w:t>
      </w:r>
      <w:r>
        <w:rPr>
          <w:color w:val="auto"/>
          <w:spacing w:val="-3"/>
          <w:highlight w:val="none"/>
        </w:rPr>
        <w:t>代表本公司授权在下面签字的</w:t>
      </w:r>
      <w:r>
        <w:rPr>
          <w:color w:val="auto"/>
          <w:spacing w:val="-3"/>
          <w:highlight w:val="none"/>
          <w:u w:val="single" w:color="auto"/>
        </w:rPr>
        <w:t>（被授权人的姓名、职</w:t>
      </w:r>
      <w:r>
        <w:rPr>
          <w:color w:val="auto"/>
          <w:spacing w:val="2"/>
          <w:highlight w:val="none"/>
          <w:u w:val="single" w:color="auto"/>
        </w:rPr>
        <w:t>务、身份证号码）</w:t>
      </w:r>
      <w:r>
        <w:rPr>
          <w:color w:val="auto"/>
          <w:spacing w:val="2"/>
          <w:highlight w:val="none"/>
        </w:rPr>
        <w:t>为本公司的合法代理人，就</w:t>
      </w:r>
      <w:r>
        <w:rPr>
          <w:color w:val="auto"/>
          <w:spacing w:val="2"/>
          <w:highlight w:val="none"/>
          <w:u w:val="single" w:color="auto"/>
        </w:rPr>
        <w:t>（</w:t>
      </w:r>
      <w:r>
        <w:rPr>
          <w:color w:val="auto"/>
          <w:spacing w:val="1"/>
          <w:highlight w:val="none"/>
          <w:u w:val="single" w:color="auto"/>
        </w:rPr>
        <w:t>标项名称/编号）</w:t>
      </w:r>
      <w:r>
        <w:rPr>
          <w:color w:val="auto"/>
          <w:spacing w:val="1"/>
          <w:highlight w:val="none"/>
        </w:rPr>
        <w:t>的投标，以本公司</w:t>
      </w:r>
      <w:r>
        <w:rPr>
          <w:color w:val="auto"/>
          <w:spacing w:val="-1"/>
          <w:highlight w:val="none"/>
        </w:rPr>
        <w:t>的名义处理一切与之有关的事务。</w:t>
      </w:r>
    </w:p>
    <w:p w14:paraId="00F5EBF9">
      <w:pPr>
        <w:pStyle w:val="8"/>
        <w:spacing w:line="218" w:lineRule="auto"/>
        <w:ind w:left="444"/>
        <w:rPr>
          <w:color w:val="auto"/>
          <w:highlight w:val="none"/>
        </w:rPr>
      </w:pPr>
      <w:r>
        <w:rPr>
          <w:color w:val="auto"/>
          <w:spacing w:val="-4"/>
          <w:highlight w:val="none"/>
        </w:rPr>
        <w:t>本授权书于</w:t>
      </w:r>
      <w:r>
        <w:rPr>
          <w:color w:val="auto"/>
          <w:spacing w:val="-33"/>
          <w:highlight w:val="none"/>
        </w:rPr>
        <w:t xml:space="preserve"> </w:t>
      </w:r>
      <w:r>
        <w:rPr>
          <w:color w:val="auto"/>
          <w:spacing w:val="-4"/>
          <w:highlight w:val="none"/>
        </w:rPr>
        <w:t>20</w:t>
      </w:r>
      <w:r>
        <w:rPr>
          <w:color w:val="auto"/>
          <w:spacing w:val="-4"/>
          <w:highlight w:val="none"/>
          <w:u w:val="single" w:color="auto"/>
        </w:rPr>
        <w:t xml:space="preserve">   </w:t>
      </w:r>
      <w:r>
        <w:rPr>
          <w:color w:val="auto"/>
          <w:spacing w:val="-109"/>
          <w:highlight w:val="none"/>
        </w:rPr>
        <w:t xml:space="preserve"> </w:t>
      </w:r>
      <w:r>
        <w:rPr>
          <w:color w:val="auto"/>
          <w:spacing w:val="-4"/>
          <w:highlight w:val="none"/>
        </w:rPr>
        <w:t>年</w:t>
      </w:r>
      <w:r>
        <w:rPr>
          <w:color w:val="auto"/>
          <w:spacing w:val="-4"/>
          <w:highlight w:val="none"/>
          <w:u w:val="single" w:color="auto"/>
        </w:rPr>
        <w:t xml:space="preserve">   </w:t>
      </w:r>
      <w:r>
        <w:rPr>
          <w:color w:val="auto"/>
          <w:spacing w:val="-105"/>
          <w:highlight w:val="none"/>
        </w:rPr>
        <w:t xml:space="preserve"> </w:t>
      </w:r>
      <w:r>
        <w:rPr>
          <w:color w:val="auto"/>
          <w:spacing w:val="-4"/>
          <w:highlight w:val="none"/>
        </w:rPr>
        <w:t>月</w:t>
      </w:r>
      <w:r>
        <w:rPr>
          <w:color w:val="auto"/>
          <w:spacing w:val="-4"/>
          <w:highlight w:val="none"/>
          <w:u w:val="single" w:color="auto"/>
        </w:rPr>
        <w:t xml:space="preserve">   </w:t>
      </w:r>
      <w:r>
        <w:rPr>
          <w:color w:val="auto"/>
          <w:spacing w:val="-69"/>
          <w:highlight w:val="none"/>
        </w:rPr>
        <w:t xml:space="preserve"> </w:t>
      </w:r>
      <w:r>
        <w:rPr>
          <w:color w:val="auto"/>
          <w:spacing w:val="-4"/>
          <w:highlight w:val="none"/>
        </w:rPr>
        <w:t>日签字生效，特此声明。</w:t>
      </w:r>
    </w:p>
    <w:p w14:paraId="75E30E2E">
      <w:pPr>
        <w:spacing w:line="284" w:lineRule="auto"/>
        <w:rPr>
          <w:rFonts w:ascii="Arial"/>
          <w:color w:val="auto"/>
          <w:sz w:val="21"/>
          <w:highlight w:val="none"/>
        </w:rPr>
      </w:pPr>
    </w:p>
    <w:p w14:paraId="03FB9A39">
      <w:pPr>
        <w:spacing w:line="285" w:lineRule="auto"/>
        <w:rPr>
          <w:rFonts w:ascii="Arial"/>
          <w:color w:val="auto"/>
          <w:sz w:val="21"/>
          <w:highlight w:val="none"/>
        </w:rPr>
      </w:pPr>
    </w:p>
    <w:p w14:paraId="293A0A7E">
      <w:pPr>
        <w:pStyle w:val="8"/>
        <w:spacing w:before="79" w:line="219" w:lineRule="auto"/>
        <w:ind w:left="444"/>
        <w:rPr>
          <w:color w:val="auto"/>
          <w:highlight w:val="none"/>
        </w:rPr>
      </w:pPr>
      <w:r>
        <w:rPr>
          <w:color w:val="auto"/>
          <w:spacing w:val="-1"/>
          <w:highlight w:val="none"/>
        </w:rPr>
        <w:t>法定代表人（盖章或签字</w:t>
      </w:r>
      <w:r>
        <w:rPr>
          <w:color w:val="auto"/>
          <w:spacing w:val="-62"/>
          <w:w w:val="97"/>
          <w:highlight w:val="none"/>
        </w:rPr>
        <w:t>）：</w:t>
      </w:r>
    </w:p>
    <w:p w14:paraId="6285CFC6">
      <w:pPr>
        <w:pStyle w:val="8"/>
        <w:spacing w:before="184" w:line="219" w:lineRule="auto"/>
        <w:ind w:left="443"/>
        <w:rPr>
          <w:color w:val="auto"/>
          <w:highlight w:val="none"/>
        </w:rPr>
      </w:pPr>
      <w:r>
        <w:rPr>
          <w:color w:val="auto"/>
          <w:spacing w:val="-2"/>
          <w:highlight w:val="none"/>
        </w:rPr>
        <w:t>被授权人（签字</w:t>
      </w:r>
      <w:r>
        <w:rPr>
          <w:color w:val="auto"/>
          <w:spacing w:val="-63"/>
          <w:w w:val="98"/>
          <w:highlight w:val="none"/>
        </w:rPr>
        <w:t>）：</w:t>
      </w:r>
    </w:p>
    <w:p w14:paraId="0257151D">
      <w:pPr>
        <w:pStyle w:val="8"/>
        <w:spacing w:before="182" w:line="219" w:lineRule="auto"/>
        <w:ind w:left="496"/>
        <w:rPr>
          <w:color w:val="auto"/>
          <w:highlight w:val="none"/>
        </w:rPr>
      </w:pPr>
      <w:r>
        <w:rPr>
          <w:color w:val="auto"/>
          <w:spacing w:val="-12"/>
          <w:highlight w:val="none"/>
        </w:rPr>
        <w:t>公</w:t>
      </w:r>
      <w:r>
        <w:rPr>
          <w:color w:val="auto"/>
          <w:spacing w:val="3"/>
          <w:highlight w:val="none"/>
        </w:rPr>
        <w:t xml:space="preserve">      </w:t>
      </w:r>
      <w:r>
        <w:rPr>
          <w:color w:val="auto"/>
          <w:spacing w:val="-12"/>
          <w:highlight w:val="none"/>
        </w:rPr>
        <w:t>章：</w:t>
      </w:r>
    </w:p>
    <w:p w14:paraId="5E78D367">
      <w:pPr>
        <w:pStyle w:val="8"/>
        <w:spacing w:before="184" w:line="219" w:lineRule="auto"/>
        <w:ind w:left="4455"/>
        <w:rPr>
          <w:color w:val="auto"/>
          <w:highlight w:val="none"/>
        </w:rPr>
      </w:pPr>
      <w:r>
        <w:rPr>
          <w:color w:val="auto"/>
          <w:spacing w:val="-2"/>
          <w:highlight w:val="none"/>
        </w:rPr>
        <w:t>授权日期：20</w:t>
      </w:r>
      <w:r>
        <w:rPr>
          <w:color w:val="auto"/>
          <w:spacing w:val="-2"/>
          <w:highlight w:val="none"/>
          <w:u w:val="single" w:color="auto"/>
        </w:rPr>
        <w:t xml:space="preserve">   </w:t>
      </w:r>
      <w:r>
        <w:rPr>
          <w:color w:val="auto"/>
          <w:spacing w:val="-107"/>
          <w:highlight w:val="none"/>
        </w:rPr>
        <w:t xml:space="preserve"> </w:t>
      </w:r>
      <w:r>
        <w:rPr>
          <w:color w:val="auto"/>
          <w:spacing w:val="-2"/>
          <w:highlight w:val="none"/>
        </w:rPr>
        <w:t>年</w:t>
      </w:r>
      <w:r>
        <w:rPr>
          <w:color w:val="auto"/>
          <w:spacing w:val="-2"/>
          <w:highlight w:val="none"/>
          <w:u w:val="single" w:color="auto"/>
        </w:rPr>
        <w:t xml:space="preserve">   </w:t>
      </w:r>
      <w:r>
        <w:rPr>
          <w:color w:val="auto"/>
          <w:spacing w:val="-105"/>
          <w:highlight w:val="none"/>
        </w:rPr>
        <w:t xml:space="preserve"> </w:t>
      </w:r>
      <w:r>
        <w:rPr>
          <w:color w:val="auto"/>
          <w:spacing w:val="-2"/>
          <w:highlight w:val="none"/>
        </w:rPr>
        <w:t>月</w:t>
      </w:r>
      <w:r>
        <w:rPr>
          <w:color w:val="auto"/>
          <w:spacing w:val="-2"/>
          <w:highlight w:val="none"/>
          <w:u w:val="single" w:color="auto"/>
        </w:rPr>
        <w:t xml:space="preserve">   </w:t>
      </w:r>
      <w:r>
        <w:rPr>
          <w:color w:val="auto"/>
          <w:spacing w:val="-69"/>
          <w:highlight w:val="none"/>
        </w:rPr>
        <w:t xml:space="preserve"> </w:t>
      </w:r>
      <w:r>
        <w:rPr>
          <w:color w:val="auto"/>
          <w:spacing w:val="-2"/>
          <w:highlight w:val="none"/>
        </w:rPr>
        <w:t>日</w:t>
      </w:r>
    </w:p>
    <w:p w14:paraId="513E4AB8">
      <w:pPr>
        <w:spacing w:line="284" w:lineRule="auto"/>
        <w:rPr>
          <w:rFonts w:ascii="Arial"/>
          <w:color w:val="auto"/>
          <w:sz w:val="21"/>
          <w:highlight w:val="none"/>
        </w:rPr>
      </w:pPr>
    </w:p>
    <w:p w14:paraId="3A915602">
      <w:pPr>
        <w:spacing w:line="284" w:lineRule="auto"/>
        <w:rPr>
          <w:rFonts w:ascii="Arial"/>
          <w:color w:val="auto"/>
          <w:sz w:val="21"/>
          <w:highlight w:val="none"/>
        </w:rPr>
      </w:pPr>
    </w:p>
    <w:p w14:paraId="69605964">
      <w:pPr>
        <w:pStyle w:val="8"/>
        <w:spacing w:before="79" w:line="219" w:lineRule="auto"/>
        <w:ind w:left="9"/>
        <w:rPr>
          <w:color w:val="auto"/>
          <w:highlight w:val="none"/>
        </w:rPr>
      </w:pPr>
      <w:r>
        <w:rPr>
          <w:b/>
          <w:bCs/>
          <w:color w:val="auto"/>
          <w:spacing w:val="-2"/>
          <w:highlight w:val="none"/>
        </w:rPr>
        <w:t>注：1、法定代表人本人作为公司代理人参加的，可不提供此项证明文件。</w:t>
      </w:r>
    </w:p>
    <w:p w14:paraId="197899A6">
      <w:pPr>
        <w:pStyle w:val="8"/>
        <w:spacing w:before="184" w:line="219" w:lineRule="auto"/>
        <w:ind w:left="492"/>
        <w:rPr>
          <w:color w:val="auto"/>
          <w:highlight w:val="none"/>
        </w:rPr>
      </w:pPr>
      <w:r>
        <w:rPr>
          <w:b/>
          <w:bCs/>
          <w:color w:val="auto"/>
          <w:spacing w:val="-2"/>
          <w:highlight w:val="none"/>
        </w:rPr>
        <w:t>2、授权书上须附有法定代表人和委托代理人的居民身份证复印件，否则</w:t>
      </w:r>
      <w:r>
        <w:rPr>
          <w:b/>
          <w:bCs/>
          <w:color w:val="auto"/>
          <w:spacing w:val="-3"/>
          <w:highlight w:val="none"/>
        </w:rPr>
        <w:t>无效。</w:t>
      </w:r>
    </w:p>
    <w:p w14:paraId="3C940B62">
      <w:pPr>
        <w:spacing w:line="219" w:lineRule="auto"/>
        <w:rPr>
          <w:color w:val="auto"/>
          <w:highlight w:val="none"/>
        </w:rPr>
        <w:sectPr>
          <w:footerReference r:id="rId15" w:type="default"/>
          <w:pgSz w:w="11906" w:h="16839"/>
          <w:pgMar w:top="1117" w:right="1510" w:bottom="1156" w:left="1440" w:header="822" w:footer="992" w:gutter="0"/>
          <w:pgNumType w:fmt="decimal"/>
          <w:cols w:space="720" w:num="1"/>
        </w:sectPr>
      </w:pPr>
    </w:p>
    <w:p w14:paraId="23E3129C">
      <w:pPr>
        <w:pStyle w:val="8"/>
        <w:spacing w:before="81" w:line="360" w:lineRule="auto"/>
        <w:ind w:left="2" w:right="135" w:firstLine="17"/>
        <w:jc w:val="both"/>
        <w:rPr>
          <w:color w:val="auto"/>
          <w:highlight w:val="none"/>
        </w:rPr>
      </w:pPr>
      <w:r>
        <w:rPr>
          <w:b/>
          <w:bCs/>
          <w:color w:val="auto"/>
          <w:spacing w:val="-5"/>
          <w:highlight w:val="none"/>
        </w:rPr>
        <w:t>附件</w:t>
      </w:r>
      <w:r>
        <w:rPr>
          <w:color w:val="auto"/>
          <w:spacing w:val="-37"/>
          <w:highlight w:val="none"/>
        </w:rPr>
        <w:t xml:space="preserve"> </w:t>
      </w:r>
      <w:r>
        <w:rPr>
          <w:b/>
          <w:bCs/>
          <w:color w:val="auto"/>
          <w:spacing w:val="-5"/>
          <w:highlight w:val="none"/>
        </w:rPr>
        <w:t>9-3</w:t>
      </w:r>
      <w:r>
        <w:rPr>
          <w:color w:val="auto"/>
          <w:spacing w:val="-49"/>
          <w:highlight w:val="none"/>
        </w:rPr>
        <w:t xml:space="preserve"> </w:t>
      </w:r>
      <w:r>
        <w:rPr>
          <w:b/>
          <w:bCs/>
          <w:color w:val="auto"/>
          <w:spacing w:val="-5"/>
          <w:highlight w:val="none"/>
        </w:rPr>
        <w:t>供应商须提供（</w:t>
      </w:r>
      <w:r>
        <w:rPr>
          <w:color w:val="auto"/>
          <w:spacing w:val="-48"/>
          <w:highlight w:val="none"/>
        </w:rPr>
        <w:t xml:space="preserve"> </w:t>
      </w:r>
      <w:r>
        <w:rPr>
          <w:b/>
          <w:bCs/>
          <w:color w:val="auto"/>
          <w:spacing w:val="-5"/>
          <w:highlight w:val="none"/>
        </w:rPr>
        <w:t>202</w:t>
      </w:r>
      <w:r>
        <w:rPr>
          <w:rFonts w:hint="eastAsia"/>
          <w:b/>
          <w:bCs/>
          <w:color w:val="auto"/>
          <w:spacing w:val="-5"/>
          <w:highlight w:val="none"/>
          <w:lang w:val="en-US" w:eastAsia="zh-CN"/>
        </w:rPr>
        <w:t>5</w:t>
      </w:r>
      <w:r>
        <w:rPr>
          <w:b/>
          <w:bCs/>
          <w:color w:val="auto"/>
          <w:spacing w:val="-5"/>
          <w:highlight w:val="none"/>
        </w:rPr>
        <w:t>年度）完整的财务审计报告复印件，并加</w:t>
      </w:r>
      <w:r>
        <w:rPr>
          <w:b/>
          <w:bCs/>
          <w:color w:val="auto"/>
          <w:spacing w:val="-4"/>
          <w:highlight w:val="none"/>
        </w:rPr>
        <w:t>盖供应商公章。如供应商无法提供审计报告，</w:t>
      </w:r>
      <w:r>
        <w:rPr>
          <w:b/>
          <w:bCs/>
          <w:color w:val="auto"/>
          <w:spacing w:val="-5"/>
          <w:highlight w:val="none"/>
        </w:rPr>
        <w:t>则须提供银行出具的资信证明或健全的</w:t>
      </w:r>
      <w:r>
        <w:rPr>
          <w:b/>
          <w:bCs/>
          <w:color w:val="auto"/>
          <w:spacing w:val="-4"/>
          <w:highlight w:val="none"/>
        </w:rPr>
        <w:t>财务会计制度。</w:t>
      </w:r>
    </w:p>
    <w:p w14:paraId="44BFC5A9">
      <w:pPr>
        <w:pStyle w:val="8"/>
        <w:spacing w:before="1" w:line="217" w:lineRule="auto"/>
        <w:ind w:left="4"/>
        <w:rPr>
          <w:color w:val="auto"/>
          <w:highlight w:val="none"/>
        </w:rPr>
      </w:pPr>
      <w:r>
        <w:rPr>
          <w:color w:val="auto"/>
          <w:highlight w:val="none"/>
        </w:rPr>
        <w:t>说明：1）财务审计报告必须是经会计师事务</w:t>
      </w:r>
      <w:r>
        <w:rPr>
          <w:color w:val="auto"/>
          <w:spacing w:val="-1"/>
          <w:highlight w:val="none"/>
        </w:rPr>
        <w:t>所出具的完整的财务审计报告。</w:t>
      </w:r>
    </w:p>
    <w:p w14:paraId="7D637144">
      <w:pPr>
        <w:pStyle w:val="8"/>
        <w:spacing w:before="184" w:line="360" w:lineRule="auto"/>
        <w:ind w:left="3" w:right="136" w:firstLine="720"/>
        <w:rPr>
          <w:color w:val="auto"/>
          <w:highlight w:val="none"/>
        </w:rPr>
      </w:pPr>
      <w:r>
        <w:rPr>
          <w:color w:val="auto"/>
          <w:spacing w:val="1"/>
          <w:highlight w:val="none"/>
        </w:rPr>
        <w:t>2）银行资信证明应能说明该供应商与银行之间业务往来正常，企业信誉良好</w:t>
      </w:r>
      <w:r>
        <w:rPr>
          <w:color w:val="auto"/>
          <w:spacing w:val="-1"/>
          <w:highlight w:val="none"/>
        </w:rPr>
        <w:t>等。银行出具的存款证明不能替代银行资信证明，存款证明无效。</w:t>
      </w:r>
    </w:p>
    <w:p w14:paraId="5887512F">
      <w:pPr>
        <w:pStyle w:val="8"/>
        <w:spacing w:before="1" w:line="330" w:lineRule="auto"/>
        <w:ind w:left="725" w:right="135"/>
        <w:rPr>
          <w:color w:val="auto"/>
          <w:highlight w:val="none"/>
        </w:rPr>
      </w:pPr>
      <w:r>
        <w:rPr>
          <w:color w:val="auto"/>
          <w:spacing w:val="-2"/>
          <w:highlight w:val="none"/>
        </w:rPr>
        <w:t>3）银行资信证明可提供原件（附在投标文件正本中</w:t>
      </w:r>
      <w:r>
        <w:rPr>
          <w:color w:val="auto"/>
          <w:spacing w:val="-62"/>
          <w:w w:val="98"/>
          <w:highlight w:val="none"/>
        </w:rPr>
        <w:t>），</w:t>
      </w:r>
      <w:r>
        <w:rPr>
          <w:color w:val="auto"/>
          <w:spacing w:val="-2"/>
          <w:highlight w:val="none"/>
        </w:rPr>
        <w:t>也可提供银行在开标日</w:t>
      </w:r>
      <w:r>
        <w:rPr>
          <w:color w:val="auto"/>
          <w:spacing w:val="-3"/>
          <w:highlight w:val="none"/>
        </w:rPr>
        <w:t>前</w:t>
      </w:r>
      <w:r>
        <w:rPr>
          <w:color w:val="auto"/>
          <w:spacing w:val="-36"/>
          <w:highlight w:val="none"/>
        </w:rPr>
        <w:t xml:space="preserve"> </w:t>
      </w:r>
      <w:r>
        <w:rPr>
          <w:color w:val="auto"/>
          <w:spacing w:val="-3"/>
          <w:highlight w:val="none"/>
        </w:rPr>
        <w:t>6</w:t>
      </w:r>
      <w:r>
        <w:rPr>
          <w:color w:val="auto"/>
          <w:spacing w:val="-51"/>
          <w:highlight w:val="none"/>
        </w:rPr>
        <w:t xml:space="preserve"> </w:t>
      </w:r>
      <w:r>
        <w:rPr>
          <w:color w:val="auto"/>
          <w:spacing w:val="-3"/>
          <w:highlight w:val="none"/>
        </w:rPr>
        <w:t>个月内开具资信证明的复印件。</w:t>
      </w:r>
    </w:p>
    <w:p w14:paraId="482981E4">
      <w:pPr>
        <w:pStyle w:val="8"/>
        <w:spacing w:line="218" w:lineRule="auto"/>
        <w:ind w:left="720"/>
        <w:rPr>
          <w:color w:val="auto"/>
          <w:highlight w:val="none"/>
        </w:rPr>
      </w:pPr>
      <w:r>
        <w:rPr>
          <w:color w:val="auto"/>
          <w:spacing w:val="-1"/>
          <w:highlight w:val="none"/>
        </w:rPr>
        <w:t>4）提供健全的财务会计制度。</w:t>
      </w:r>
    </w:p>
    <w:p w14:paraId="381A40BA">
      <w:pPr>
        <w:spacing w:line="245" w:lineRule="auto"/>
        <w:rPr>
          <w:rFonts w:ascii="Arial"/>
          <w:color w:val="auto"/>
          <w:sz w:val="21"/>
          <w:highlight w:val="none"/>
        </w:rPr>
      </w:pPr>
    </w:p>
    <w:p w14:paraId="0555A4E2">
      <w:pPr>
        <w:spacing w:line="246" w:lineRule="auto"/>
        <w:rPr>
          <w:rFonts w:ascii="Arial"/>
          <w:color w:val="auto"/>
          <w:sz w:val="21"/>
          <w:highlight w:val="none"/>
        </w:rPr>
      </w:pPr>
    </w:p>
    <w:p w14:paraId="5AC911DB">
      <w:pPr>
        <w:pStyle w:val="8"/>
        <w:spacing w:before="78" w:line="219" w:lineRule="auto"/>
        <w:ind w:left="20"/>
        <w:outlineLvl w:val="0"/>
        <w:rPr>
          <w:color w:val="auto"/>
          <w:highlight w:val="none"/>
        </w:rPr>
      </w:pPr>
      <w:r>
        <w:rPr>
          <w:b/>
          <w:bCs/>
          <w:color w:val="auto"/>
          <w:spacing w:val="-3"/>
          <w:highlight w:val="none"/>
        </w:rPr>
        <w:t>附件</w:t>
      </w:r>
      <w:r>
        <w:rPr>
          <w:color w:val="auto"/>
          <w:spacing w:val="-50"/>
          <w:highlight w:val="none"/>
        </w:rPr>
        <w:t xml:space="preserve"> </w:t>
      </w:r>
      <w:r>
        <w:rPr>
          <w:b/>
          <w:bCs/>
          <w:color w:val="auto"/>
          <w:spacing w:val="-3"/>
          <w:highlight w:val="none"/>
        </w:rPr>
        <w:t>9-4</w:t>
      </w:r>
      <w:r>
        <w:rPr>
          <w:color w:val="auto"/>
          <w:spacing w:val="-44"/>
          <w:highlight w:val="none"/>
        </w:rPr>
        <w:t xml:space="preserve"> </w:t>
      </w:r>
      <w:r>
        <w:rPr>
          <w:b/>
          <w:bCs/>
          <w:color w:val="auto"/>
          <w:spacing w:val="-3"/>
          <w:highlight w:val="none"/>
        </w:rPr>
        <w:t>具备履行合同所必需的设备和专业</w:t>
      </w:r>
      <w:r>
        <w:rPr>
          <w:b/>
          <w:bCs/>
          <w:color w:val="auto"/>
          <w:spacing w:val="-4"/>
          <w:highlight w:val="none"/>
        </w:rPr>
        <w:t>技术能力承诺（格式自拟）</w:t>
      </w:r>
    </w:p>
    <w:p w14:paraId="3D86C0A2">
      <w:pPr>
        <w:spacing w:line="284" w:lineRule="auto"/>
        <w:rPr>
          <w:rFonts w:ascii="Arial"/>
          <w:color w:val="auto"/>
          <w:sz w:val="21"/>
          <w:highlight w:val="none"/>
        </w:rPr>
      </w:pPr>
    </w:p>
    <w:p w14:paraId="694039D9">
      <w:pPr>
        <w:spacing w:line="285" w:lineRule="auto"/>
        <w:rPr>
          <w:rFonts w:ascii="Arial"/>
          <w:color w:val="auto"/>
          <w:sz w:val="21"/>
          <w:highlight w:val="none"/>
        </w:rPr>
      </w:pPr>
    </w:p>
    <w:p w14:paraId="221D903A">
      <w:pPr>
        <w:pStyle w:val="8"/>
        <w:spacing w:before="79" w:line="219" w:lineRule="auto"/>
        <w:ind w:left="20"/>
        <w:outlineLvl w:val="0"/>
        <w:rPr>
          <w:color w:val="auto"/>
          <w:highlight w:val="none"/>
        </w:rPr>
      </w:pPr>
      <w:r>
        <w:rPr>
          <w:b/>
          <w:bCs/>
          <w:color w:val="auto"/>
          <w:spacing w:val="-4"/>
          <w:highlight w:val="none"/>
        </w:rPr>
        <w:t>附件</w:t>
      </w:r>
      <w:r>
        <w:rPr>
          <w:color w:val="auto"/>
          <w:spacing w:val="-45"/>
          <w:highlight w:val="none"/>
        </w:rPr>
        <w:t xml:space="preserve"> </w:t>
      </w:r>
      <w:r>
        <w:rPr>
          <w:b/>
          <w:bCs/>
          <w:color w:val="auto"/>
          <w:spacing w:val="-4"/>
          <w:highlight w:val="none"/>
        </w:rPr>
        <w:t>9-5</w:t>
      </w:r>
      <w:r>
        <w:rPr>
          <w:color w:val="auto"/>
          <w:spacing w:val="-48"/>
          <w:highlight w:val="none"/>
        </w:rPr>
        <w:t xml:space="preserve"> </w:t>
      </w:r>
      <w:r>
        <w:rPr>
          <w:b/>
          <w:bCs/>
          <w:color w:val="auto"/>
          <w:spacing w:val="-4"/>
          <w:highlight w:val="none"/>
        </w:rPr>
        <w:t>有依法缴纳税收和社会保障资金的良好记录</w:t>
      </w:r>
    </w:p>
    <w:p w14:paraId="64CF9EFB">
      <w:pPr>
        <w:pStyle w:val="8"/>
        <w:spacing w:before="183" w:line="360" w:lineRule="auto"/>
        <w:ind w:left="2" w:right="135" w:firstLine="479"/>
        <w:jc w:val="both"/>
        <w:rPr>
          <w:color w:val="auto"/>
          <w:highlight w:val="none"/>
        </w:rPr>
      </w:pPr>
      <w:r>
        <w:rPr>
          <w:color w:val="auto"/>
          <w:spacing w:val="-2"/>
          <w:highlight w:val="none"/>
        </w:rPr>
        <w:t>供应商应提供开标前六个月（不含开标当月）任意一个月的缴纳社会保障资金的有效票据凭证；若供应商逐年交纳社会保障资金的，须提供参加本次政府采购活动上</w:t>
      </w:r>
      <w:r>
        <w:rPr>
          <w:color w:val="auto"/>
          <w:spacing w:val="-4"/>
          <w:highlight w:val="none"/>
        </w:rPr>
        <w:t>年度缴纳社会保障资金的有效票据凭证复印件。（须</w:t>
      </w:r>
      <w:r>
        <w:rPr>
          <w:color w:val="auto"/>
          <w:spacing w:val="-5"/>
          <w:highlight w:val="none"/>
        </w:rPr>
        <w:t>加盖供应商公章）</w:t>
      </w:r>
    </w:p>
    <w:p w14:paraId="5D8EC6B2">
      <w:pPr>
        <w:pStyle w:val="8"/>
        <w:spacing w:line="360" w:lineRule="auto"/>
        <w:ind w:right="135" w:firstLine="481"/>
        <w:rPr>
          <w:color w:val="auto"/>
          <w:highlight w:val="none"/>
        </w:rPr>
      </w:pPr>
      <w:r>
        <w:rPr>
          <w:color w:val="auto"/>
          <w:spacing w:val="-2"/>
          <w:highlight w:val="none"/>
        </w:rPr>
        <w:t>注：依法不需要缴纳社会保障资金的供应商，须提供相应文件证明其依法不需要</w:t>
      </w:r>
      <w:r>
        <w:rPr>
          <w:color w:val="auto"/>
          <w:spacing w:val="-1"/>
          <w:highlight w:val="none"/>
        </w:rPr>
        <w:t>缴纳社会保障资金。不足一年的新公司从成立月份起算。</w:t>
      </w:r>
    </w:p>
    <w:p w14:paraId="3AFA4AD8">
      <w:pPr>
        <w:pStyle w:val="8"/>
        <w:spacing w:before="4" w:line="359" w:lineRule="auto"/>
        <w:ind w:left="1" w:right="135" w:firstLine="480"/>
        <w:jc w:val="both"/>
        <w:rPr>
          <w:color w:val="auto"/>
          <w:highlight w:val="none"/>
        </w:rPr>
      </w:pPr>
      <w:r>
        <w:rPr>
          <w:color w:val="auto"/>
          <w:spacing w:val="-2"/>
          <w:highlight w:val="none"/>
        </w:rPr>
        <w:t>供应商应提供开标前六个月（不含开标当月）任意一个月依法纳税（法人单位必</w:t>
      </w:r>
      <w:r>
        <w:rPr>
          <w:color w:val="auto"/>
          <w:spacing w:val="-8"/>
          <w:highlight w:val="none"/>
        </w:rPr>
        <w:t>须为增值税或企业所得税）证明（银行缴费凭证或税务机关开具的证明</w:t>
      </w:r>
      <w:r>
        <w:rPr>
          <w:color w:val="auto"/>
          <w:spacing w:val="-9"/>
          <w:highlight w:val="none"/>
        </w:rPr>
        <w:t>）复印件。（须</w:t>
      </w:r>
      <w:r>
        <w:rPr>
          <w:color w:val="auto"/>
          <w:spacing w:val="-2"/>
          <w:highlight w:val="none"/>
        </w:rPr>
        <w:t>加盖供应商公章）</w:t>
      </w:r>
    </w:p>
    <w:p w14:paraId="6593383F">
      <w:pPr>
        <w:pStyle w:val="8"/>
        <w:spacing w:before="1" w:line="362" w:lineRule="auto"/>
        <w:ind w:right="135" w:firstLine="480"/>
        <w:rPr>
          <w:color w:val="auto"/>
          <w:highlight w:val="none"/>
        </w:rPr>
      </w:pPr>
      <w:r>
        <w:rPr>
          <w:color w:val="auto"/>
          <w:spacing w:val="-2"/>
          <w:highlight w:val="none"/>
        </w:rPr>
        <w:t>注：依法免税或零报税的供应商，须提供相应文件证明其依法免税证明文件或纳</w:t>
      </w:r>
      <w:r>
        <w:rPr>
          <w:color w:val="auto"/>
          <w:spacing w:val="-1"/>
          <w:highlight w:val="none"/>
        </w:rPr>
        <w:t>税申报表复印件。不足一年的新公司从成立年份起算。</w:t>
      </w:r>
    </w:p>
    <w:p w14:paraId="29AC9539">
      <w:pPr>
        <w:spacing w:line="362" w:lineRule="auto"/>
        <w:rPr>
          <w:color w:val="auto"/>
          <w:highlight w:val="none"/>
        </w:rPr>
        <w:sectPr>
          <w:footerReference r:id="rId16" w:type="default"/>
          <w:pgSz w:w="11906" w:h="16839"/>
          <w:pgMar w:top="1117" w:right="1510" w:bottom="1157" w:left="1447" w:header="822" w:footer="992" w:gutter="0"/>
          <w:pgNumType w:fmt="decimal"/>
          <w:cols w:space="720" w:num="1"/>
        </w:sectPr>
      </w:pPr>
    </w:p>
    <w:p w14:paraId="2AF53FBB">
      <w:pPr>
        <w:pStyle w:val="8"/>
        <w:spacing w:before="4" w:line="219" w:lineRule="auto"/>
        <w:ind w:left="140"/>
        <w:rPr>
          <w:color w:val="auto"/>
          <w:highlight w:val="none"/>
        </w:rPr>
      </w:pPr>
      <w:r>
        <w:rPr>
          <w:b/>
          <w:bCs/>
          <w:color w:val="auto"/>
          <w:spacing w:val="-4"/>
          <w:highlight w:val="none"/>
        </w:rPr>
        <w:t>附件9-6</w:t>
      </w:r>
      <w:r>
        <w:rPr>
          <w:color w:val="auto"/>
          <w:spacing w:val="-4"/>
          <w:highlight w:val="none"/>
        </w:rPr>
        <w:t xml:space="preserve"> </w:t>
      </w:r>
      <w:r>
        <w:rPr>
          <w:b/>
          <w:bCs/>
          <w:color w:val="auto"/>
          <w:spacing w:val="-4"/>
          <w:highlight w:val="none"/>
        </w:rPr>
        <w:t>供应商声明函</w:t>
      </w:r>
    </w:p>
    <w:p w14:paraId="0F9407A7">
      <w:pPr>
        <w:spacing w:line="336" w:lineRule="auto"/>
        <w:rPr>
          <w:rFonts w:ascii="Arial"/>
          <w:color w:val="auto"/>
          <w:sz w:val="21"/>
          <w:highlight w:val="none"/>
        </w:rPr>
      </w:pPr>
    </w:p>
    <w:p w14:paraId="4A0D7E03">
      <w:pPr>
        <w:pStyle w:val="8"/>
        <w:tabs>
          <w:tab w:val="left" w:pos="730"/>
        </w:tabs>
        <w:spacing w:before="78" w:line="219" w:lineRule="auto"/>
        <w:ind w:left="594"/>
        <w:rPr>
          <w:color w:val="auto"/>
          <w:highlight w:val="none"/>
        </w:rPr>
      </w:pPr>
      <w:r>
        <w:rPr>
          <w:color w:val="auto"/>
          <w:highlight w:val="none"/>
          <w:u w:val="single" w:color="auto"/>
        </w:rPr>
        <w:tab/>
      </w:r>
      <w:r>
        <w:rPr>
          <w:b/>
          <w:bCs/>
          <w:color w:val="auto"/>
          <w:spacing w:val="-25"/>
          <w:highlight w:val="none"/>
          <w:u w:val="single" w:color="auto"/>
        </w:rPr>
        <w:t>（采购人名称</w:t>
      </w:r>
      <w:r>
        <w:rPr>
          <w:b/>
          <w:bCs/>
          <w:color w:val="auto"/>
          <w:spacing w:val="-2"/>
          <w:highlight w:val="none"/>
          <w:u w:val="single" w:color="auto"/>
        </w:rPr>
        <w:t>）</w:t>
      </w:r>
      <w:r>
        <w:rPr>
          <w:color w:val="auto"/>
          <w:spacing w:val="3"/>
          <w:highlight w:val="none"/>
          <w:u w:val="single" w:color="auto"/>
        </w:rPr>
        <w:t xml:space="preserve"> </w:t>
      </w:r>
      <w:r>
        <w:rPr>
          <w:color w:val="auto"/>
          <w:spacing w:val="1"/>
          <w:highlight w:val="none"/>
        </w:rPr>
        <w:t xml:space="preserve"> </w:t>
      </w:r>
      <w:r>
        <w:rPr>
          <w:b/>
          <w:bCs/>
          <w:color w:val="auto"/>
          <w:spacing w:val="-2"/>
          <w:highlight w:val="none"/>
        </w:rPr>
        <w:t>：</w:t>
      </w:r>
    </w:p>
    <w:p w14:paraId="6A34C170">
      <w:pPr>
        <w:pStyle w:val="8"/>
        <w:spacing w:before="183" w:line="219" w:lineRule="auto"/>
        <w:ind w:left="603"/>
        <w:rPr>
          <w:color w:val="auto"/>
          <w:highlight w:val="none"/>
        </w:rPr>
      </w:pPr>
      <w:r>
        <w:rPr>
          <w:color w:val="auto"/>
          <w:spacing w:val="-1"/>
          <w:highlight w:val="none"/>
        </w:rPr>
        <w:t>在参加本次项目投标中，我单位承诺：</w:t>
      </w:r>
    </w:p>
    <w:p w14:paraId="7D8E9297">
      <w:pPr>
        <w:pStyle w:val="8"/>
        <w:spacing w:before="183" w:line="360" w:lineRule="auto"/>
        <w:ind w:left="122" w:right="823" w:firstLine="497"/>
        <w:rPr>
          <w:color w:val="auto"/>
          <w:highlight w:val="none"/>
        </w:rPr>
      </w:pPr>
      <w:r>
        <w:rPr>
          <w:color w:val="auto"/>
          <w:spacing w:val="1"/>
          <w:highlight w:val="none"/>
        </w:rPr>
        <w:t>1、我单位参与采购活动前三年内在经营活动中没有因违法经营受到刑</w:t>
      </w:r>
      <w:r>
        <w:rPr>
          <w:color w:val="auto"/>
          <w:highlight w:val="none"/>
        </w:rPr>
        <w:t>事处罚或</w:t>
      </w:r>
      <w:r>
        <w:rPr>
          <w:color w:val="auto"/>
          <w:spacing w:val="-2"/>
          <w:highlight w:val="none"/>
        </w:rPr>
        <w:t>者责令停产停业、吊销许可证或者执照、较大数额罚款等行政处罚（如果因违法经营</w:t>
      </w:r>
      <w:r>
        <w:rPr>
          <w:color w:val="auto"/>
          <w:spacing w:val="-1"/>
          <w:highlight w:val="none"/>
        </w:rPr>
        <w:t>被禁止在一定期限内参加政府采购活动，期限已经届满）</w:t>
      </w:r>
    </w:p>
    <w:p w14:paraId="2A485DF5">
      <w:pPr>
        <w:pStyle w:val="8"/>
        <w:spacing w:line="316" w:lineRule="auto"/>
        <w:ind w:left="123" w:right="915" w:firstLine="450"/>
        <w:rPr>
          <w:color w:val="auto"/>
          <w:highlight w:val="none"/>
        </w:rPr>
      </w:pPr>
      <w:r>
        <w:rPr>
          <w:color w:val="auto"/>
          <w:spacing w:val="-1"/>
          <w:highlight w:val="none"/>
        </w:rPr>
        <w:t>2、与我单位存在“单位负责人为同一人或者存在直接</w:t>
      </w:r>
      <w:r>
        <w:rPr>
          <w:color w:val="auto"/>
          <w:spacing w:val="-2"/>
          <w:highlight w:val="none"/>
        </w:rPr>
        <w:t>控股、管理关系</w:t>
      </w:r>
      <w:r>
        <w:rPr>
          <w:color w:val="auto"/>
          <w:spacing w:val="-88"/>
          <w:highlight w:val="none"/>
        </w:rPr>
        <w:t xml:space="preserve"> </w:t>
      </w:r>
      <w:r>
        <w:rPr>
          <w:color w:val="auto"/>
          <w:spacing w:val="-2"/>
          <w:highlight w:val="none"/>
        </w:rPr>
        <w:t>”的其他法人单位信息如下（如有须填写，如没有须填“/</w:t>
      </w:r>
      <w:r>
        <w:rPr>
          <w:color w:val="auto"/>
          <w:spacing w:val="-84"/>
          <w:highlight w:val="none"/>
        </w:rPr>
        <w:t xml:space="preserve"> </w:t>
      </w:r>
      <w:r>
        <w:rPr>
          <w:color w:val="auto"/>
          <w:spacing w:val="-2"/>
          <w:highlight w:val="none"/>
        </w:rPr>
        <w:t>”</w:t>
      </w:r>
      <w:r>
        <w:rPr>
          <w:color w:val="auto"/>
          <w:spacing w:val="-44"/>
          <w:w w:val="68"/>
          <w:highlight w:val="none"/>
        </w:rPr>
        <w:t>）：</w:t>
      </w:r>
    </w:p>
    <w:tbl>
      <w:tblPr>
        <w:tblStyle w:val="36"/>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5383"/>
        <w:gridCol w:w="3405"/>
      </w:tblGrid>
      <w:tr w14:paraId="2583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0C7531FF">
            <w:pPr>
              <w:pStyle w:val="35"/>
              <w:spacing w:before="120" w:line="221" w:lineRule="auto"/>
              <w:ind w:left="248"/>
              <w:rPr>
                <w:color w:val="auto"/>
                <w:highlight w:val="none"/>
              </w:rPr>
            </w:pPr>
            <w:r>
              <w:rPr>
                <w:color w:val="auto"/>
                <w:spacing w:val="-5"/>
                <w:highlight w:val="none"/>
              </w:rPr>
              <w:t>序号</w:t>
            </w:r>
          </w:p>
        </w:tc>
        <w:tc>
          <w:tcPr>
            <w:tcW w:w="5383" w:type="dxa"/>
            <w:vAlign w:val="top"/>
          </w:tcPr>
          <w:p w14:paraId="1107200F">
            <w:pPr>
              <w:pStyle w:val="35"/>
              <w:spacing w:before="120" w:line="220" w:lineRule="auto"/>
              <w:ind w:left="2220"/>
              <w:rPr>
                <w:color w:val="auto"/>
                <w:highlight w:val="none"/>
              </w:rPr>
            </w:pPr>
            <w:r>
              <w:rPr>
                <w:color w:val="auto"/>
                <w:spacing w:val="-3"/>
                <w:highlight w:val="none"/>
              </w:rPr>
              <w:t>单位名称</w:t>
            </w:r>
          </w:p>
        </w:tc>
        <w:tc>
          <w:tcPr>
            <w:tcW w:w="3405" w:type="dxa"/>
            <w:vAlign w:val="top"/>
          </w:tcPr>
          <w:p w14:paraId="46D1C34C">
            <w:pPr>
              <w:pStyle w:val="35"/>
              <w:spacing w:before="120" w:line="220" w:lineRule="auto"/>
              <w:ind w:left="1227"/>
              <w:rPr>
                <w:color w:val="auto"/>
                <w:highlight w:val="none"/>
              </w:rPr>
            </w:pPr>
            <w:r>
              <w:rPr>
                <w:color w:val="auto"/>
                <w:spacing w:val="-3"/>
                <w:highlight w:val="none"/>
              </w:rPr>
              <w:t>相互关系</w:t>
            </w:r>
          </w:p>
        </w:tc>
      </w:tr>
      <w:tr w14:paraId="311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681BCB59">
            <w:pPr>
              <w:pStyle w:val="35"/>
              <w:spacing w:before="117" w:line="241" w:lineRule="auto"/>
              <w:ind w:left="446"/>
              <w:rPr>
                <w:color w:val="auto"/>
                <w:highlight w:val="none"/>
              </w:rPr>
            </w:pPr>
            <w:r>
              <w:rPr>
                <w:color w:val="auto"/>
                <w:highlight w:val="none"/>
              </w:rPr>
              <w:t>1</w:t>
            </w:r>
          </w:p>
        </w:tc>
        <w:tc>
          <w:tcPr>
            <w:tcW w:w="5383" w:type="dxa"/>
            <w:vAlign w:val="top"/>
          </w:tcPr>
          <w:p w14:paraId="1CB60434">
            <w:pPr>
              <w:rPr>
                <w:rFonts w:ascii="Arial"/>
                <w:color w:val="auto"/>
                <w:sz w:val="21"/>
                <w:highlight w:val="none"/>
              </w:rPr>
            </w:pPr>
          </w:p>
        </w:tc>
        <w:tc>
          <w:tcPr>
            <w:tcW w:w="3405" w:type="dxa"/>
            <w:vAlign w:val="top"/>
          </w:tcPr>
          <w:p w14:paraId="5DA43F0B">
            <w:pPr>
              <w:rPr>
                <w:rFonts w:ascii="Arial"/>
                <w:color w:val="auto"/>
                <w:sz w:val="21"/>
                <w:highlight w:val="none"/>
              </w:rPr>
            </w:pPr>
          </w:p>
        </w:tc>
      </w:tr>
      <w:tr w14:paraId="37C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5DA29C38">
            <w:pPr>
              <w:pStyle w:val="35"/>
              <w:spacing w:before="117" w:line="241" w:lineRule="auto"/>
              <w:ind w:left="432"/>
              <w:rPr>
                <w:color w:val="auto"/>
                <w:highlight w:val="none"/>
              </w:rPr>
            </w:pPr>
            <w:r>
              <w:rPr>
                <w:color w:val="auto"/>
                <w:highlight w:val="none"/>
              </w:rPr>
              <w:t>2</w:t>
            </w:r>
          </w:p>
        </w:tc>
        <w:tc>
          <w:tcPr>
            <w:tcW w:w="5383" w:type="dxa"/>
            <w:vAlign w:val="top"/>
          </w:tcPr>
          <w:p w14:paraId="65E0ECB9">
            <w:pPr>
              <w:rPr>
                <w:rFonts w:ascii="Arial"/>
                <w:color w:val="auto"/>
                <w:sz w:val="21"/>
                <w:highlight w:val="none"/>
              </w:rPr>
            </w:pPr>
          </w:p>
        </w:tc>
        <w:tc>
          <w:tcPr>
            <w:tcW w:w="3405" w:type="dxa"/>
            <w:vAlign w:val="top"/>
          </w:tcPr>
          <w:p w14:paraId="39ACF64E">
            <w:pPr>
              <w:rPr>
                <w:rFonts w:ascii="Arial"/>
                <w:color w:val="auto"/>
                <w:sz w:val="21"/>
                <w:highlight w:val="none"/>
              </w:rPr>
            </w:pPr>
          </w:p>
        </w:tc>
      </w:tr>
      <w:tr w14:paraId="7BFF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5EF75AED">
            <w:pPr>
              <w:pStyle w:val="35"/>
              <w:spacing w:before="295" w:line="99" w:lineRule="exact"/>
              <w:ind w:left="315"/>
              <w:rPr>
                <w:color w:val="auto"/>
                <w:highlight w:val="none"/>
              </w:rPr>
            </w:pPr>
            <w:r>
              <w:rPr>
                <w:color w:val="auto"/>
                <w:position w:val="1"/>
                <w:highlight w:val="none"/>
              </w:rPr>
              <w:t>...</w:t>
            </w:r>
          </w:p>
        </w:tc>
        <w:tc>
          <w:tcPr>
            <w:tcW w:w="5383" w:type="dxa"/>
            <w:vAlign w:val="top"/>
          </w:tcPr>
          <w:p w14:paraId="583153EC">
            <w:pPr>
              <w:rPr>
                <w:rFonts w:ascii="Arial"/>
                <w:color w:val="auto"/>
                <w:sz w:val="21"/>
                <w:highlight w:val="none"/>
              </w:rPr>
            </w:pPr>
          </w:p>
        </w:tc>
        <w:tc>
          <w:tcPr>
            <w:tcW w:w="3405" w:type="dxa"/>
            <w:vAlign w:val="top"/>
          </w:tcPr>
          <w:p w14:paraId="615D862D">
            <w:pPr>
              <w:rPr>
                <w:rFonts w:ascii="Arial"/>
                <w:color w:val="auto"/>
                <w:sz w:val="21"/>
                <w:highlight w:val="none"/>
              </w:rPr>
            </w:pPr>
          </w:p>
        </w:tc>
      </w:tr>
    </w:tbl>
    <w:p w14:paraId="0E051311">
      <w:pPr>
        <w:pStyle w:val="8"/>
        <w:spacing w:before="114" w:line="360" w:lineRule="auto"/>
        <w:ind w:left="122" w:right="823" w:firstLine="364"/>
        <w:rPr>
          <w:color w:val="auto"/>
          <w:highlight w:val="none"/>
        </w:rPr>
      </w:pPr>
      <w:r>
        <w:rPr>
          <w:color w:val="auto"/>
          <w:spacing w:val="-2"/>
          <w:highlight w:val="none"/>
        </w:rPr>
        <w:t>3、我单位不是为采购项目提供整体设计、规范编制或者项目管理、监理</w:t>
      </w:r>
      <w:r>
        <w:rPr>
          <w:color w:val="auto"/>
          <w:spacing w:val="-3"/>
          <w:highlight w:val="none"/>
        </w:rPr>
        <w:t>、检测等</w:t>
      </w:r>
      <w:r>
        <w:rPr>
          <w:color w:val="auto"/>
          <w:spacing w:val="-2"/>
          <w:highlight w:val="none"/>
        </w:rPr>
        <w:t>服务的供应商。</w:t>
      </w:r>
    </w:p>
    <w:p w14:paraId="62713BDF">
      <w:pPr>
        <w:pStyle w:val="8"/>
        <w:spacing w:before="1" w:line="361" w:lineRule="auto"/>
        <w:ind w:left="122" w:right="823" w:firstLine="480"/>
        <w:rPr>
          <w:color w:val="auto"/>
          <w:highlight w:val="none"/>
        </w:rPr>
      </w:pPr>
      <w:r>
        <w:rPr>
          <w:color w:val="auto"/>
          <w:highlight w:val="none"/>
        </w:rPr>
        <w:t>若采购人或采购代理机构在本项目采购过程中发现</w:t>
      </w:r>
      <w:r>
        <w:rPr>
          <w:color w:val="auto"/>
          <w:spacing w:val="-1"/>
          <w:highlight w:val="none"/>
        </w:rPr>
        <w:t>我单位存在违反上述承诺的</w:t>
      </w:r>
      <w:r>
        <w:rPr>
          <w:color w:val="auto"/>
          <w:spacing w:val="-2"/>
          <w:highlight w:val="none"/>
        </w:rPr>
        <w:t>事项，我单位将自动失去本项目的成交资格，并承担因此引起的一切后果及虚假投标</w:t>
      </w:r>
      <w:r>
        <w:rPr>
          <w:color w:val="auto"/>
          <w:spacing w:val="-4"/>
          <w:highlight w:val="none"/>
        </w:rPr>
        <w:t>责任。</w:t>
      </w:r>
    </w:p>
    <w:p w14:paraId="35D3A511">
      <w:pPr>
        <w:spacing w:line="255" w:lineRule="auto"/>
        <w:rPr>
          <w:rFonts w:ascii="Arial"/>
          <w:color w:val="auto"/>
          <w:sz w:val="21"/>
          <w:highlight w:val="none"/>
        </w:rPr>
      </w:pPr>
    </w:p>
    <w:p w14:paraId="7ACFCC9A">
      <w:pPr>
        <w:spacing w:line="255" w:lineRule="auto"/>
        <w:rPr>
          <w:rFonts w:ascii="Arial"/>
          <w:color w:val="auto"/>
          <w:sz w:val="21"/>
          <w:highlight w:val="none"/>
        </w:rPr>
      </w:pPr>
    </w:p>
    <w:p w14:paraId="483B067E">
      <w:pPr>
        <w:spacing w:line="255" w:lineRule="auto"/>
        <w:rPr>
          <w:rFonts w:ascii="Arial"/>
          <w:color w:val="auto"/>
          <w:sz w:val="21"/>
          <w:highlight w:val="none"/>
        </w:rPr>
      </w:pPr>
    </w:p>
    <w:p w14:paraId="78B6152A">
      <w:pPr>
        <w:spacing w:line="255" w:lineRule="auto"/>
        <w:rPr>
          <w:rFonts w:ascii="Arial"/>
          <w:color w:val="auto"/>
          <w:sz w:val="21"/>
          <w:highlight w:val="none"/>
        </w:rPr>
      </w:pPr>
    </w:p>
    <w:p w14:paraId="19B29699">
      <w:pPr>
        <w:spacing w:line="256" w:lineRule="auto"/>
        <w:rPr>
          <w:rFonts w:ascii="Arial"/>
          <w:color w:val="auto"/>
          <w:sz w:val="21"/>
          <w:highlight w:val="none"/>
        </w:rPr>
      </w:pPr>
    </w:p>
    <w:p w14:paraId="6FFB12DA">
      <w:pPr>
        <w:pStyle w:val="8"/>
        <w:spacing w:before="79" w:line="219" w:lineRule="auto"/>
        <w:ind w:left="602"/>
        <w:rPr>
          <w:color w:val="auto"/>
          <w:highlight w:val="none"/>
        </w:rPr>
      </w:pPr>
      <w:r>
        <w:rPr>
          <w:color w:val="auto"/>
          <w:spacing w:val="4"/>
          <w:highlight w:val="none"/>
        </w:rPr>
        <w:t>供应商</w:t>
      </w:r>
      <w:r>
        <w:rPr>
          <w:color w:val="auto"/>
          <w:spacing w:val="-59"/>
          <w:w w:val="92"/>
          <w:highlight w:val="none"/>
        </w:rPr>
        <w:t>：（</w:t>
      </w:r>
      <w:r>
        <w:rPr>
          <w:color w:val="auto"/>
          <w:spacing w:val="4"/>
          <w:highlight w:val="none"/>
        </w:rPr>
        <w:t>公章）</w:t>
      </w:r>
    </w:p>
    <w:p w14:paraId="4C19E702">
      <w:pPr>
        <w:pStyle w:val="8"/>
        <w:spacing w:before="184" w:line="219" w:lineRule="auto"/>
        <w:ind w:left="601"/>
        <w:rPr>
          <w:color w:val="auto"/>
          <w:highlight w:val="none"/>
        </w:rPr>
      </w:pPr>
      <w:r>
        <w:rPr>
          <w:color w:val="auto"/>
          <w:spacing w:val="-1"/>
          <w:highlight w:val="none"/>
        </w:rPr>
        <w:t>授权代表人(签字)：</w:t>
      </w:r>
    </w:p>
    <w:p w14:paraId="1FE852EB">
      <w:pPr>
        <w:pStyle w:val="8"/>
        <w:spacing w:before="183" w:line="219" w:lineRule="auto"/>
        <w:ind w:left="643"/>
        <w:rPr>
          <w:color w:val="auto"/>
          <w:highlight w:val="none"/>
        </w:rPr>
      </w:pPr>
      <w:r>
        <w:rPr>
          <w:color w:val="auto"/>
          <w:spacing w:val="-20"/>
          <w:highlight w:val="none"/>
        </w:rPr>
        <w:t>日</w:t>
      </w:r>
      <w:r>
        <w:rPr>
          <w:color w:val="auto"/>
          <w:spacing w:val="3"/>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A53498F">
      <w:pPr>
        <w:spacing w:line="219" w:lineRule="auto"/>
        <w:rPr>
          <w:color w:val="auto"/>
          <w:highlight w:val="none"/>
        </w:rPr>
        <w:sectPr>
          <w:footerReference r:id="rId17" w:type="default"/>
          <w:pgSz w:w="11906" w:h="16839"/>
          <w:pgMar w:top="1117" w:right="822" w:bottom="1157" w:left="1327" w:header="822" w:footer="992" w:gutter="0"/>
          <w:pgNumType w:fmt="decimal"/>
          <w:cols w:space="720" w:num="1"/>
        </w:sectPr>
      </w:pPr>
    </w:p>
    <w:p w14:paraId="618B6CC3">
      <w:pPr>
        <w:pStyle w:val="8"/>
        <w:spacing w:before="4" w:line="219" w:lineRule="auto"/>
        <w:ind w:left="19"/>
        <w:rPr>
          <w:color w:val="auto"/>
          <w:highlight w:val="none"/>
        </w:rPr>
      </w:pPr>
      <w:r>
        <w:rPr>
          <w:b/>
          <w:bCs/>
          <w:color w:val="auto"/>
          <w:spacing w:val="-4"/>
          <w:highlight w:val="none"/>
        </w:rPr>
        <w:t>附件9-7</w:t>
      </w:r>
      <w:r>
        <w:rPr>
          <w:color w:val="auto"/>
          <w:spacing w:val="-4"/>
          <w:highlight w:val="none"/>
        </w:rPr>
        <w:t xml:space="preserve"> </w:t>
      </w:r>
      <w:r>
        <w:rPr>
          <w:b/>
          <w:bCs/>
          <w:color w:val="auto"/>
          <w:spacing w:val="-4"/>
          <w:highlight w:val="none"/>
        </w:rPr>
        <w:t>信用信息查询</w:t>
      </w:r>
    </w:p>
    <w:p w14:paraId="18A621CE">
      <w:pPr>
        <w:pStyle w:val="8"/>
        <w:spacing w:before="103" w:line="361" w:lineRule="auto"/>
        <w:ind w:firstLine="480"/>
        <w:jc w:val="both"/>
        <w:rPr>
          <w:color w:val="auto"/>
          <w:highlight w:val="none"/>
        </w:rPr>
      </w:pPr>
      <w:r>
        <w:rPr>
          <w:color w:val="auto"/>
          <w:spacing w:val="-2"/>
          <w:highlight w:val="none"/>
        </w:rPr>
        <w:t>供应商未在“信用中国网站（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highlight w:val="none"/>
        </w:rPr>
        <w:t>www.creditchina.gov.cn</w:t>
      </w:r>
      <w:r>
        <w:rPr>
          <w:color w:val="auto"/>
          <w:spacing w:val="-2"/>
          <w:highlight w:val="none"/>
        </w:rPr>
        <w:fldChar w:fldCharType="end"/>
      </w:r>
      <w:r>
        <w:rPr>
          <w:color w:val="auto"/>
          <w:spacing w:val="-2"/>
          <w:highlight w:val="none"/>
        </w:rPr>
        <w:t>）中</w:t>
      </w:r>
      <w:r>
        <w:rPr>
          <w:color w:val="auto"/>
          <w:spacing w:val="-3"/>
          <w:highlight w:val="none"/>
        </w:rPr>
        <w:t>列入失信被执行人和重</w:t>
      </w:r>
      <w:r>
        <w:rPr>
          <w:color w:val="auto"/>
          <w:highlight w:val="none"/>
        </w:rPr>
        <w:t>大税收违法案件当事人名单的供应商，未在为中国政府采购网（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w:t>
      </w:r>
      <w:r>
        <w:rPr>
          <w:color w:val="auto"/>
          <w:spacing w:val="-1"/>
          <w:highlight w:val="none"/>
        </w:rPr>
        <w:t>p.gov.cn</w:t>
      </w:r>
      <w:r>
        <w:rPr>
          <w:color w:val="auto"/>
          <w:spacing w:val="-1"/>
          <w:highlight w:val="none"/>
        </w:rPr>
        <w:fldChar w:fldCharType="end"/>
      </w:r>
      <w:r>
        <w:rPr>
          <w:color w:val="auto"/>
          <w:spacing w:val="-1"/>
          <w:highlight w:val="none"/>
        </w:rPr>
        <w:t>）政</w:t>
      </w:r>
      <w:r>
        <w:rPr>
          <w:color w:val="auto"/>
          <w:spacing w:val="-3"/>
          <w:highlight w:val="none"/>
        </w:rPr>
        <w:t>府采购严重违法失信行为记录名单中被财政部门禁止参加政府采购活动的供应商（以代</w:t>
      </w:r>
      <w:r>
        <w:rPr>
          <w:color w:val="auto"/>
          <w:spacing w:val="-9"/>
          <w:highlight w:val="none"/>
        </w:rPr>
        <w:t>理机构查询结果为准）。</w:t>
      </w:r>
    </w:p>
    <w:p w14:paraId="67737CC3">
      <w:pPr>
        <w:spacing w:line="361" w:lineRule="auto"/>
        <w:rPr>
          <w:color w:val="auto"/>
          <w:highlight w:val="none"/>
        </w:rPr>
        <w:sectPr>
          <w:footerReference r:id="rId18" w:type="default"/>
          <w:pgSz w:w="11906" w:h="16839"/>
          <w:pgMar w:top="1117" w:right="1439" w:bottom="1156" w:left="1448" w:header="822" w:footer="992" w:gutter="0"/>
          <w:pgNumType w:fmt="decimal"/>
          <w:cols w:space="720" w:num="1"/>
        </w:sectPr>
      </w:pPr>
    </w:p>
    <w:p w14:paraId="47BB18A0">
      <w:pPr>
        <w:pStyle w:val="8"/>
        <w:spacing w:before="130" w:line="219" w:lineRule="auto"/>
        <w:ind w:left="275"/>
        <w:rPr>
          <w:color w:val="auto"/>
          <w:sz w:val="30"/>
          <w:szCs w:val="30"/>
          <w:highlight w:val="none"/>
        </w:rPr>
      </w:pPr>
      <w:r>
        <w:rPr>
          <w:b/>
          <w:bCs/>
          <w:color w:val="auto"/>
          <w:spacing w:val="-12"/>
          <w:sz w:val="30"/>
          <w:szCs w:val="30"/>
          <w:highlight w:val="none"/>
        </w:rPr>
        <w:t>附件十：</w:t>
      </w:r>
    </w:p>
    <w:p w14:paraId="4DED5CA8">
      <w:pPr>
        <w:pStyle w:val="8"/>
        <w:spacing w:before="249" w:line="220" w:lineRule="auto"/>
        <w:ind w:left="3606"/>
        <w:rPr>
          <w:color w:val="auto"/>
          <w:sz w:val="30"/>
          <w:szCs w:val="30"/>
          <w:highlight w:val="none"/>
        </w:rPr>
      </w:pPr>
      <w:r>
        <w:rPr>
          <w:b/>
          <w:bCs/>
          <w:color w:val="auto"/>
          <w:spacing w:val="-4"/>
          <w:sz w:val="30"/>
          <w:szCs w:val="30"/>
          <w:highlight w:val="none"/>
        </w:rPr>
        <w:t>业绩案例一览表</w:t>
      </w:r>
    </w:p>
    <w:p w14:paraId="3B23D14F">
      <w:pPr>
        <w:spacing w:before="70"/>
        <w:rPr>
          <w:color w:val="auto"/>
          <w:highlight w:val="none"/>
        </w:rPr>
      </w:pPr>
    </w:p>
    <w:p w14:paraId="34969AB6">
      <w:pPr>
        <w:spacing w:before="69"/>
        <w:rPr>
          <w:color w:val="auto"/>
          <w:highlight w:val="none"/>
        </w:rPr>
      </w:pPr>
    </w:p>
    <w:tbl>
      <w:tblPr>
        <w:tblStyle w:val="36"/>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275"/>
        <w:gridCol w:w="1416"/>
        <w:gridCol w:w="1558"/>
        <w:gridCol w:w="1559"/>
        <w:gridCol w:w="1416"/>
        <w:gridCol w:w="1421"/>
      </w:tblGrid>
      <w:tr w14:paraId="24D1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6" w:type="dxa"/>
            <w:vAlign w:val="top"/>
          </w:tcPr>
          <w:p w14:paraId="63B970B5">
            <w:pPr>
              <w:spacing w:line="272" w:lineRule="auto"/>
              <w:rPr>
                <w:rFonts w:ascii="Arial"/>
                <w:color w:val="auto"/>
                <w:sz w:val="21"/>
                <w:highlight w:val="none"/>
              </w:rPr>
            </w:pPr>
          </w:p>
          <w:p w14:paraId="323FD3F1">
            <w:pPr>
              <w:pStyle w:val="35"/>
              <w:spacing w:before="78" w:line="221" w:lineRule="auto"/>
              <w:ind w:left="193"/>
              <w:rPr>
                <w:color w:val="auto"/>
                <w:highlight w:val="none"/>
              </w:rPr>
            </w:pPr>
            <w:r>
              <w:rPr>
                <w:color w:val="auto"/>
                <w:spacing w:val="-5"/>
                <w:highlight w:val="none"/>
              </w:rPr>
              <w:t>序号</w:t>
            </w:r>
          </w:p>
        </w:tc>
        <w:tc>
          <w:tcPr>
            <w:tcW w:w="1275" w:type="dxa"/>
            <w:vAlign w:val="top"/>
          </w:tcPr>
          <w:p w14:paraId="6B2CD35E">
            <w:pPr>
              <w:spacing w:line="273" w:lineRule="auto"/>
              <w:rPr>
                <w:rFonts w:ascii="Arial"/>
                <w:color w:val="auto"/>
                <w:sz w:val="21"/>
                <w:highlight w:val="none"/>
              </w:rPr>
            </w:pPr>
          </w:p>
          <w:p w14:paraId="29BD5F7F">
            <w:pPr>
              <w:pStyle w:val="35"/>
              <w:spacing w:before="78" w:line="220" w:lineRule="auto"/>
              <w:ind w:left="161"/>
              <w:rPr>
                <w:color w:val="auto"/>
                <w:highlight w:val="none"/>
              </w:rPr>
            </w:pPr>
            <w:r>
              <w:rPr>
                <w:color w:val="auto"/>
                <w:spacing w:val="-3"/>
                <w:highlight w:val="none"/>
              </w:rPr>
              <w:t>业主单位</w:t>
            </w:r>
          </w:p>
        </w:tc>
        <w:tc>
          <w:tcPr>
            <w:tcW w:w="1416" w:type="dxa"/>
            <w:vAlign w:val="top"/>
          </w:tcPr>
          <w:p w14:paraId="1E772D17">
            <w:pPr>
              <w:spacing w:line="273" w:lineRule="auto"/>
              <w:rPr>
                <w:rFonts w:ascii="Arial"/>
                <w:color w:val="auto"/>
                <w:sz w:val="21"/>
                <w:highlight w:val="none"/>
              </w:rPr>
            </w:pPr>
          </w:p>
          <w:p w14:paraId="117F2095">
            <w:pPr>
              <w:pStyle w:val="35"/>
              <w:spacing w:before="78" w:line="220" w:lineRule="auto"/>
              <w:ind w:left="237"/>
              <w:rPr>
                <w:color w:val="auto"/>
                <w:highlight w:val="none"/>
              </w:rPr>
            </w:pPr>
            <w:r>
              <w:rPr>
                <w:color w:val="auto"/>
                <w:spacing w:val="-4"/>
                <w:highlight w:val="none"/>
              </w:rPr>
              <w:t>项目名称</w:t>
            </w:r>
          </w:p>
        </w:tc>
        <w:tc>
          <w:tcPr>
            <w:tcW w:w="1558" w:type="dxa"/>
            <w:vAlign w:val="top"/>
          </w:tcPr>
          <w:p w14:paraId="42F710C6">
            <w:pPr>
              <w:spacing w:line="273" w:lineRule="auto"/>
              <w:rPr>
                <w:rFonts w:ascii="Arial"/>
                <w:color w:val="auto"/>
                <w:sz w:val="21"/>
                <w:highlight w:val="none"/>
              </w:rPr>
            </w:pPr>
          </w:p>
          <w:p w14:paraId="5F329222">
            <w:pPr>
              <w:pStyle w:val="35"/>
              <w:spacing w:before="78" w:line="219" w:lineRule="auto"/>
              <w:ind w:left="260"/>
              <w:rPr>
                <w:color w:val="auto"/>
                <w:highlight w:val="none"/>
              </w:rPr>
            </w:pPr>
            <w:r>
              <w:rPr>
                <w:color w:val="auto"/>
                <w:spacing w:val="-3"/>
                <w:highlight w:val="none"/>
              </w:rPr>
              <w:t>合同金额</w:t>
            </w:r>
          </w:p>
        </w:tc>
        <w:tc>
          <w:tcPr>
            <w:tcW w:w="1559" w:type="dxa"/>
            <w:vAlign w:val="top"/>
          </w:tcPr>
          <w:p w14:paraId="08C92795">
            <w:pPr>
              <w:spacing w:line="273" w:lineRule="auto"/>
              <w:rPr>
                <w:rFonts w:ascii="Arial"/>
                <w:color w:val="auto"/>
                <w:sz w:val="21"/>
                <w:highlight w:val="none"/>
              </w:rPr>
            </w:pPr>
          </w:p>
          <w:p w14:paraId="03CEA17F">
            <w:pPr>
              <w:pStyle w:val="35"/>
              <w:spacing w:before="78" w:line="219" w:lineRule="auto"/>
              <w:ind w:left="308"/>
              <w:rPr>
                <w:color w:val="auto"/>
                <w:highlight w:val="none"/>
              </w:rPr>
            </w:pPr>
            <w:r>
              <w:rPr>
                <w:color w:val="auto"/>
                <w:spacing w:val="-3"/>
                <w:highlight w:val="none"/>
              </w:rPr>
              <w:t>合同内容</w:t>
            </w:r>
          </w:p>
        </w:tc>
        <w:tc>
          <w:tcPr>
            <w:tcW w:w="1416" w:type="dxa"/>
            <w:vAlign w:val="top"/>
          </w:tcPr>
          <w:p w14:paraId="51B48E06">
            <w:pPr>
              <w:spacing w:line="273" w:lineRule="auto"/>
              <w:rPr>
                <w:rFonts w:ascii="Arial"/>
                <w:color w:val="auto"/>
                <w:sz w:val="21"/>
                <w:highlight w:val="none"/>
              </w:rPr>
            </w:pPr>
          </w:p>
          <w:p w14:paraId="01C7B851">
            <w:pPr>
              <w:pStyle w:val="35"/>
              <w:spacing w:before="78" w:line="220" w:lineRule="auto"/>
              <w:ind w:left="236"/>
              <w:rPr>
                <w:color w:val="auto"/>
                <w:highlight w:val="none"/>
              </w:rPr>
            </w:pPr>
            <w:r>
              <w:rPr>
                <w:color w:val="auto"/>
                <w:spacing w:val="-3"/>
                <w:highlight w:val="none"/>
              </w:rPr>
              <w:t>签约日期</w:t>
            </w:r>
          </w:p>
        </w:tc>
        <w:tc>
          <w:tcPr>
            <w:tcW w:w="1421" w:type="dxa"/>
            <w:vAlign w:val="top"/>
          </w:tcPr>
          <w:p w14:paraId="7810DAEE">
            <w:pPr>
              <w:pStyle w:val="35"/>
              <w:spacing w:before="121" w:line="313" w:lineRule="auto"/>
              <w:ind w:left="360" w:right="109" w:hanging="243"/>
              <w:rPr>
                <w:color w:val="auto"/>
                <w:highlight w:val="none"/>
              </w:rPr>
            </w:pPr>
            <w:r>
              <w:rPr>
                <w:color w:val="auto"/>
                <w:spacing w:val="-3"/>
                <w:highlight w:val="none"/>
              </w:rPr>
              <w:t>联系人及联</w:t>
            </w:r>
            <w:r>
              <w:rPr>
                <w:color w:val="auto"/>
                <w:spacing w:val="-5"/>
                <w:highlight w:val="none"/>
              </w:rPr>
              <w:t>系方式</w:t>
            </w:r>
          </w:p>
        </w:tc>
      </w:tr>
      <w:tr w14:paraId="21C2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D6AC20C">
            <w:pPr>
              <w:rPr>
                <w:rFonts w:ascii="Arial"/>
                <w:color w:val="auto"/>
                <w:sz w:val="21"/>
                <w:highlight w:val="none"/>
              </w:rPr>
            </w:pPr>
          </w:p>
        </w:tc>
        <w:tc>
          <w:tcPr>
            <w:tcW w:w="1275" w:type="dxa"/>
            <w:vAlign w:val="top"/>
          </w:tcPr>
          <w:p w14:paraId="0A5CF4E7">
            <w:pPr>
              <w:rPr>
                <w:rFonts w:ascii="Arial"/>
                <w:color w:val="auto"/>
                <w:sz w:val="21"/>
                <w:highlight w:val="none"/>
              </w:rPr>
            </w:pPr>
          </w:p>
        </w:tc>
        <w:tc>
          <w:tcPr>
            <w:tcW w:w="1416" w:type="dxa"/>
            <w:vAlign w:val="top"/>
          </w:tcPr>
          <w:p w14:paraId="4506A636">
            <w:pPr>
              <w:rPr>
                <w:rFonts w:ascii="Arial"/>
                <w:color w:val="auto"/>
                <w:sz w:val="21"/>
                <w:highlight w:val="none"/>
              </w:rPr>
            </w:pPr>
          </w:p>
        </w:tc>
        <w:tc>
          <w:tcPr>
            <w:tcW w:w="1558" w:type="dxa"/>
            <w:vAlign w:val="top"/>
          </w:tcPr>
          <w:p w14:paraId="41F881A8">
            <w:pPr>
              <w:rPr>
                <w:rFonts w:ascii="Arial"/>
                <w:color w:val="auto"/>
                <w:sz w:val="21"/>
                <w:highlight w:val="none"/>
              </w:rPr>
            </w:pPr>
          </w:p>
        </w:tc>
        <w:tc>
          <w:tcPr>
            <w:tcW w:w="1559" w:type="dxa"/>
            <w:vAlign w:val="top"/>
          </w:tcPr>
          <w:p w14:paraId="1E1F49E4">
            <w:pPr>
              <w:rPr>
                <w:rFonts w:ascii="Arial"/>
                <w:color w:val="auto"/>
                <w:sz w:val="21"/>
                <w:highlight w:val="none"/>
              </w:rPr>
            </w:pPr>
          </w:p>
        </w:tc>
        <w:tc>
          <w:tcPr>
            <w:tcW w:w="1416" w:type="dxa"/>
            <w:vAlign w:val="top"/>
          </w:tcPr>
          <w:p w14:paraId="40E85851">
            <w:pPr>
              <w:rPr>
                <w:rFonts w:ascii="Arial"/>
                <w:color w:val="auto"/>
                <w:sz w:val="21"/>
                <w:highlight w:val="none"/>
              </w:rPr>
            </w:pPr>
          </w:p>
        </w:tc>
        <w:tc>
          <w:tcPr>
            <w:tcW w:w="1421" w:type="dxa"/>
            <w:vAlign w:val="top"/>
          </w:tcPr>
          <w:p w14:paraId="2345B83C">
            <w:pPr>
              <w:rPr>
                <w:rFonts w:ascii="Arial"/>
                <w:color w:val="auto"/>
                <w:sz w:val="21"/>
                <w:highlight w:val="none"/>
              </w:rPr>
            </w:pPr>
          </w:p>
        </w:tc>
      </w:tr>
      <w:tr w14:paraId="66CB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10B74EFD">
            <w:pPr>
              <w:rPr>
                <w:rFonts w:ascii="Arial"/>
                <w:color w:val="auto"/>
                <w:sz w:val="21"/>
                <w:highlight w:val="none"/>
              </w:rPr>
            </w:pPr>
          </w:p>
        </w:tc>
        <w:tc>
          <w:tcPr>
            <w:tcW w:w="1275" w:type="dxa"/>
            <w:vAlign w:val="top"/>
          </w:tcPr>
          <w:p w14:paraId="5EF3474D">
            <w:pPr>
              <w:rPr>
                <w:rFonts w:ascii="Arial"/>
                <w:color w:val="auto"/>
                <w:sz w:val="21"/>
                <w:highlight w:val="none"/>
              </w:rPr>
            </w:pPr>
          </w:p>
        </w:tc>
        <w:tc>
          <w:tcPr>
            <w:tcW w:w="1416" w:type="dxa"/>
            <w:vAlign w:val="top"/>
          </w:tcPr>
          <w:p w14:paraId="4B3A81C9">
            <w:pPr>
              <w:rPr>
                <w:rFonts w:ascii="Arial"/>
                <w:color w:val="auto"/>
                <w:sz w:val="21"/>
                <w:highlight w:val="none"/>
              </w:rPr>
            </w:pPr>
          </w:p>
        </w:tc>
        <w:tc>
          <w:tcPr>
            <w:tcW w:w="1558" w:type="dxa"/>
            <w:vAlign w:val="top"/>
          </w:tcPr>
          <w:p w14:paraId="75B4A2D2">
            <w:pPr>
              <w:rPr>
                <w:rFonts w:ascii="Arial"/>
                <w:color w:val="auto"/>
                <w:sz w:val="21"/>
                <w:highlight w:val="none"/>
              </w:rPr>
            </w:pPr>
          </w:p>
        </w:tc>
        <w:tc>
          <w:tcPr>
            <w:tcW w:w="1559" w:type="dxa"/>
            <w:vAlign w:val="top"/>
          </w:tcPr>
          <w:p w14:paraId="7C259535">
            <w:pPr>
              <w:rPr>
                <w:rFonts w:ascii="Arial"/>
                <w:color w:val="auto"/>
                <w:sz w:val="21"/>
                <w:highlight w:val="none"/>
              </w:rPr>
            </w:pPr>
          </w:p>
        </w:tc>
        <w:tc>
          <w:tcPr>
            <w:tcW w:w="1416" w:type="dxa"/>
            <w:vAlign w:val="top"/>
          </w:tcPr>
          <w:p w14:paraId="78D04875">
            <w:pPr>
              <w:rPr>
                <w:rFonts w:ascii="Arial"/>
                <w:color w:val="auto"/>
                <w:sz w:val="21"/>
                <w:highlight w:val="none"/>
              </w:rPr>
            </w:pPr>
          </w:p>
        </w:tc>
        <w:tc>
          <w:tcPr>
            <w:tcW w:w="1421" w:type="dxa"/>
            <w:vAlign w:val="top"/>
          </w:tcPr>
          <w:p w14:paraId="59D528F7">
            <w:pPr>
              <w:rPr>
                <w:rFonts w:ascii="Arial"/>
                <w:color w:val="auto"/>
                <w:sz w:val="21"/>
                <w:highlight w:val="none"/>
              </w:rPr>
            </w:pPr>
          </w:p>
        </w:tc>
      </w:tr>
      <w:tr w14:paraId="4355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CB7D62">
            <w:pPr>
              <w:rPr>
                <w:rFonts w:ascii="Arial"/>
                <w:color w:val="auto"/>
                <w:sz w:val="21"/>
                <w:highlight w:val="none"/>
              </w:rPr>
            </w:pPr>
          </w:p>
        </w:tc>
        <w:tc>
          <w:tcPr>
            <w:tcW w:w="1275" w:type="dxa"/>
            <w:vAlign w:val="top"/>
          </w:tcPr>
          <w:p w14:paraId="2DBEDD56">
            <w:pPr>
              <w:rPr>
                <w:rFonts w:ascii="Arial"/>
                <w:color w:val="auto"/>
                <w:sz w:val="21"/>
                <w:highlight w:val="none"/>
              </w:rPr>
            </w:pPr>
          </w:p>
        </w:tc>
        <w:tc>
          <w:tcPr>
            <w:tcW w:w="1416" w:type="dxa"/>
            <w:vAlign w:val="top"/>
          </w:tcPr>
          <w:p w14:paraId="217D8728">
            <w:pPr>
              <w:rPr>
                <w:rFonts w:ascii="Arial"/>
                <w:color w:val="auto"/>
                <w:sz w:val="21"/>
                <w:highlight w:val="none"/>
              </w:rPr>
            </w:pPr>
          </w:p>
        </w:tc>
        <w:tc>
          <w:tcPr>
            <w:tcW w:w="1558" w:type="dxa"/>
            <w:vAlign w:val="top"/>
          </w:tcPr>
          <w:p w14:paraId="23E0C55E">
            <w:pPr>
              <w:rPr>
                <w:rFonts w:ascii="Arial"/>
                <w:color w:val="auto"/>
                <w:sz w:val="21"/>
                <w:highlight w:val="none"/>
              </w:rPr>
            </w:pPr>
          </w:p>
        </w:tc>
        <w:tc>
          <w:tcPr>
            <w:tcW w:w="1559" w:type="dxa"/>
            <w:vAlign w:val="top"/>
          </w:tcPr>
          <w:p w14:paraId="77006B00">
            <w:pPr>
              <w:rPr>
                <w:rFonts w:ascii="Arial"/>
                <w:color w:val="auto"/>
                <w:sz w:val="21"/>
                <w:highlight w:val="none"/>
              </w:rPr>
            </w:pPr>
          </w:p>
        </w:tc>
        <w:tc>
          <w:tcPr>
            <w:tcW w:w="1416" w:type="dxa"/>
            <w:vAlign w:val="top"/>
          </w:tcPr>
          <w:p w14:paraId="1F63FA98">
            <w:pPr>
              <w:rPr>
                <w:rFonts w:ascii="Arial"/>
                <w:color w:val="auto"/>
                <w:sz w:val="21"/>
                <w:highlight w:val="none"/>
              </w:rPr>
            </w:pPr>
          </w:p>
        </w:tc>
        <w:tc>
          <w:tcPr>
            <w:tcW w:w="1421" w:type="dxa"/>
            <w:vAlign w:val="top"/>
          </w:tcPr>
          <w:p w14:paraId="23125721">
            <w:pPr>
              <w:rPr>
                <w:rFonts w:ascii="Arial"/>
                <w:color w:val="auto"/>
                <w:sz w:val="21"/>
                <w:highlight w:val="none"/>
              </w:rPr>
            </w:pPr>
          </w:p>
        </w:tc>
      </w:tr>
      <w:tr w14:paraId="29DE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597B75F9">
            <w:pPr>
              <w:rPr>
                <w:rFonts w:ascii="Arial"/>
                <w:color w:val="auto"/>
                <w:sz w:val="21"/>
                <w:highlight w:val="none"/>
              </w:rPr>
            </w:pPr>
          </w:p>
        </w:tc>
        <w:tc>
          <w:tcPr>
            <w:tcW w:w="1275" w:type="dxa"/>
            <w:vAlign w:val="top"/>
          </w:tcPr>
          <w:p w14:paraId="4DDDE6C4">
            <w:pPr>
              <w:rPr>
                <w:rFonts w:ascii="Arial"/>
                <w:color w:val="auto"/>
                <w:sz w:val="21"/>
                <w:highlight w:val="none"/>
              </w:rPr>
            </w:pPr>
          </w:p>
        </w:tc>
        <w:tc>
          <w:tcPr>
            <w:tcW w:w="1416" w:type="dxa"/>
            <w:vAlign w:val="top"/>
          </w:tcPr>
          <w:p w14:paraId="704E4B49">
            <w:pPr>
              <w:rPr>
                <w:rFonts w:ascii="Arial"/>
                <w:color w:val="auto"/>
                <w:sz w:val="21"/>
                <w:highlight w:val="none"/>
              </w:rPr>
            </w:pPr>
          </w:p>
        </w:tc>
        <w:tc>
          <w:tcPr>
            <w:tcW w:w="1558" w:type="dxa"/>
            <w:vAlign w:val="top"/>
          </w:tcPr>
          <w:p w14:paraId="46E6AD65">
            <w:pPr>
              <w:rPr>
                <w:rFonts w:ascii="Arial"/>
                <w:color w:val="auto"/>
                <w:sz w:val="21"/>
                <w:highlight w:val="none"/>
              </w:rPr>
            </w:pPr>
          </w:p>
        </w:tc>
        <w:tc>
          <w:tcPr>
            <w:tcW w:w="1559" w:type="dxa"/>
            <w:vAlign w:val="top"/>
          </w:tcPr>
          <w:p w14:paraId="61951F20">
            <w:pPr>
              <w:rPr>
                <w:rFonts w:ascii="Arial"/>
                <w:color w:val="auto"/>
                <w:sz w:val="21"/>
                <w:highlight w:val="none"/>
              </w:rPr>
            </w:pPr>
          </w:p>
        </w:tc>
        <w:tc>
          <w:tcPr>
            <w:tcW w:w="1416" w:type="dxa"/>
            <w:vAlign w:val="top"/>
          </w:tcPr>
          <w:p w14:paraId="1D57686D">
            <w:pPr>
              <w:rPr>
                <w:rFonts w:ascii="Arial"/>
                <w:color w:val="auto"/>
                <w:sz w:val="21"/>
                <w:highlight w:val="none"/>
              </w:rPr>
            </w:pPr>
          </w:p>
        </w:tc>
        <w:tc>
          <w:tcPr>
            <w:tcW w:w="1421" w:type="dxa"/>
            <w:vAlign w:val="top"/>
          </w:tcPr>
          <w:p w14:paraId="2D81BBC3">
            <w:pPr>
              <w:rPr>
                <w:rFonts w:ascii="Arial"/>
                <w:color w:val="auto"/>
                <w:sz w:val="21"/>
                <w:highlight w:val="none"/>
              </w:rPr>
            </w:pPr>
          </w:p>
        </w:tc>
      </w:tr>
      <w:tr w14:paraId="19A8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9943CB2">
            <w:pPr>
              <w:rPr>
                <w:rFonts w:ascii="Arial"/>
                <w:color w:val="auto"/>
                <w:sz w:val="21"/>
                <w:highlight w:val="none"/>
              </w:rPr>
            </w:pPr>
          </w:p>
        </w:tc>
        <w:tc>
          <w:tcPr>
            <w:tcW w:w="1275" w:type="dxa"/>
            <w:vAlign w:val="top"/>
          </w:tcPr>
          <w:p w14:paraId="5908CFAF">
            <w:pPr>
              <w:rPr>
                <w:rFonts w:ascii="Arial"/>
                <w:color w:val="auto"/>
                <w:sz w:val="21"/>
                <w:highlight w:val="none"/>
              </w:rPr>
            </w:pPr>
          </w:p>
        </w:tc>
        <w:tc>
          <w:tcPr>
            <w:tcW w:w="1416" w:type="dxa"/>
            <w:vAlign w:val="top"/>
          </w:tcPr>
          <w:p w14:paraId="727A0690">
            <w:pPr>
              <w:rPr>
                <w:rFonts w:ascii="Arial"/>
                <w:color w:val="auto"/>
                <w:sz w:val="21"/>
                <w:highlight w:val="none"/>
              </w:rPr>
            </w:pPr>
          </w:p>
        </w:tc>
        <w:tc>
          <w:tcPr>
            <w:tcW w:w="1558" w:type="dxa"/>
            <w:vAlign w:val="top"/>
          </w:tcPr>
          <w:p w14:paraId="3FED308C">
            <w:pPr>
              <w:rPr>
                <w:rFonts w:ascii="Arial"/>
                <w:color w:val="auto"/>
                <w:sz w:val="21"/>
                <w:highlight w:val="none"/>
              </w:rPr>
            </w:pPr>
          </w:p>
        </w:tc>
        <w:tc>
          <w:tcPr>
            <w:tcW w:w="1559" w:type="dxa"/>
            <w:vAlign w:val="top"/>
          </w:tcPr>
          <w:p w14:paraId="162FD875">
            <w:pPr>
              <w:rPr>
                <w:rFonts w:ascii="Arial"/>
                <w:color w:val="auto"/>
                <w:sz w:val="21"/>
                <w:highlight w:val="none"/>
              </w:rPr>
            </w:pPr>
          </w:p>
        </w:tc>
        <w:tc>
          <w:tcPr>
            <w:tcW w:w="1416" w:type="dxa"/>
            <w:vAlign w:val="top"/>
          </w:tcPr>
          <w:p w14:paraId="61DCC062">
            <w:pPr>
              <w:rPr>
                <w:rFonts w:ascii="Arial"/>
                <w:color w:val="auto"/>
                <w:sz w:val="21"/>
                <w:highlight w:val="none"/>
              </w:rPr>
            </w:pPr>
          </w:p>
        </w:tc>
        <w:tc>
          <w:tcPr>
            <w:tcW w:w="1421" w:type="dxa"/>
            <w:vAlign w:val="top"/>
          </w:tcPr>
          <w:p w14:paraId="49A103ED">
            <w:pPr>
              <w:rPr>
                <w:rFonts w:ascii="Arial"/>
                <w:color w:val="auto"/>
                <w:sz w:val="21"/>
                <w:highlight w:val="none"/>
              </w:rPr>
            </w:pPr>
          </w:p>
        </w:tc>
      </w:tr>
      <w:tr w14:paraId="160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E08F5FD">
            <w:pPr>
              <w:rPr>
                <w:rFonts w:ascii="Arial"/>
                <w:color w:val="auto"/>
                <w:sz w:val="21"/>
                <w:highlight w:val="none"/>
              </w:rPr>
            </w:pPr>
          </w:p>
        </w:tc>
        <w:tc>
          <w:tcPr>
            <w:tcW w:w="1275" w:type="dxa"/>
            <w:vAlign w:val="top"/>
          </w:tcPr>
          <w:p w14:paraId="6900AD48">
            <w:pPr>
              <w:rPr>
                <w:rFonts w:ascii="Arial"/>
                <w:color w:val="auto"/>
                <w:sz w:val="21"/>
                <w:highlight w:val="none"/>
              </w:rPr>
            </w:pPr>
          </w:p>
        </w:tc>
        <w:tc>
          <w:tcPr>
            <w:tcW w:w="1416" w:type="dxa"/>
            <w:vAlign w:val="top"/>
          </w:tcPr>
          <w:p w14:paraId="46B3394F">
            <w:pPr>
              <w:rPr>
                <w:rFonts w:ascii="Arial"/>
                <w:color w:val="auto"/>
                <w:sz w:val="21"/>
                <w:highlight w:val="none"/>
              </w:rPr>
            </w:pPr>
          </w:p>
        </w:tc>
        <w:tc>
          <w:tcPr>
            <w:tcW w:w="1558" w:type="dxa"/>
            <w:vAlign w:val="top"/>
          </w:tcPr>
          <w:p w14:paraId="0B20B887">
            <w:pPr>
              <w:rPr>
                <w:rFonts w:ascii="Arial"/>
                <w:color w:val="auto"/>
                <w:sz w:val="21"/>
                <w:highlight w:val="none"/>
              </w:rPr>
            </w:pPr>
          </w:p>
        </w:tc>
        <w:tc>
          <w:tcPr>
            <w:tcW w:w="1559" w:type="dxa"/>
            <w:vAlign w:val="top"/>
          </w:tcPr>
          <w:p w14:paraId="0228C487">
            <w:pPr>
              <w:rPr>
                <w:rFonts w:ascii="Arial"/>
                <w:color w:val="auto"/>
                <w:sz w:val="21"/>
                <w:highlight w:val="none"/>
              </w:rPr>
            </w:pPr>
          </w:p>
        </w:tc>
        <w:tc>
          <w:tcPr>
            <w:tcW w:w="1416" w:type="dxa"/>
            <w:vAlign w:val="top"/>
          </w:tcPr>
          <w:p w14:paraId="729DD914">
            <w:pPr>
              <w:rPr>
                <w:rFonts w:ascii="Arial"/>
                <w:color w:val="auto"/>
                <w:sz w:val="21"/>
                <w:highlight w:val="none"/>
              </w:rPr>
            </w:pPr>
          </w:p>
        </w:tc>
        <w:tc>
          <w:tcPr>
            <w:tcW w:w="1421" w:type="dxa"/>
            <w:vAlign w:val="top"/>
          </w:tcPr>
          <w:p w14:paraId="0C18777E">
            <w:pPr>
              <w:rPr>
                <w:rFonts w:ascii="Arial"/>
                <w:color w:val="auto"/>
                <w:sz w:val="21"/>
                <w:highlight w:val="none"/>
              </w:rPr>
            </w:pPr>
          </w:p>
        </w:tc>
      </w:tr>
      <w:tr w14:paraId="5DE1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448F2B5A">
            <w:pPr>
              <w:rPr>
                <w:rFonts w:ascii="Arial"/>
                <w:color w:val="auto"/>
                <w:sz w:val="21"/>
                <w:highlight w:val="none"/>
              </w:rPr>
            </w:pPr>
          </w:p>
        </w:tc>
        <w:tc>
          <w:tcPr>
            <w:tcW w:w="1275" w:type="dxa"/>
            <w:vAlign w:val="top"/>
          </w:tcPr>
          <w:p w14:paraId="4ACCCB72">
            <w:pPr>
              <w:rPr>
                <w:rFonts w:ascii="Arial"/>
                <w:color w:val="auto"/>
                <w:sz w:val="21"/>
                <w:highlight w:val="none"/>
              </w:rPr>
            </w:pPr>
          </w:p>
        </w:tc>
        <w:tc>
          <w:tcPr>
            <w:tcW w:w="1416" w:type="dxa"/>
            <w:vAlign w:val="top"/>
          </w:tcPr>
          <w:p w14:paraId="4E8C03F9">
            <w:pPr>
              <w:rPr>
                <w:rFonts w:ascii="Arial"/>
                <w:color w:val="auto"/>
                <w:sz w:val="21"/>
                <w:highlight w:val="none"/>
              </w:rPr>
            </w:pPr>
          </w:p>
        </w:tc>
        <w:tc>
          <w:tcPr>
            <w:tcW w:w="1558" w:type="dxa"/>
            <w:vAlign w:val="top"/>
          </w:tcPr>
          <w:p w14:paraId="3747F2F2">
            <w:pPr>
              <w:rPr>
                <w:rFonts w:ascii="Arial"/>
                <w:color w:val="auto"/>
                <w:sz w:val="21"/>
                <w:highlight w:val="none"/>
              </w:rPr>
            </w:pPr>
          </w:p>
        </w:tc>
        <w:tc>
          <w:tcPr>
            <w:tcW w:w="1559" w:type="dxa"/>
            <w:vAlign w:val="top"/>
          </w:tcPr>
          <w:p w14:paraId="502CA291">
            <w:pPr>
              <w:rPr>
                <w:rFonts w:ascii="Arial"/>
                <w:color w:val="auto"/>
                <w:sz w:val="21"/>
                <w:highlight w:val="none"/>
              </w:rPr>
            </w:pPr>
          </w:p>
        </w:tc>
        <w:tc>
          <w:tcPr>
            <w:tcW w:w="1416" w:type="dxa"/>
            <w:vAlign w:val="top"/>
          </w:tcPr>
          <w:p w14:paraId="4DF1FA79">
            <w:pPr>
              <w:rPr>
                <w:rFonts w:ascii="Arial"/>
                <w:color w:val="auto"/>
                <w:sz w:val="21"/>
                <w:highlight w:val="none"/>
              </w:rPr>
            </w:pPr>
          </w:p>
        </w:tc>
        <w:tc>
          <w:tcPr>
            <w:tcW w:w="1421" w:type="dxa"/>
            <w:vAlign w:val="top"/>
          </w:tcPr>
          <w:p w14:paraId="20CCDA4D">
            <w:pPr>
              <w:rPr>
                <w:rFonts w:ascii="Arial"/>
                <w:color w:val="auto"/>
                <w:sz w:val="21"/>
                <w:highlight w:val="none"/>
              </w:rPr>
            </w:pPr>
          </w:p>
        </w:tc>
      </w:tr>
      <w:tr w14:paraId="4B01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792B2DF3">
            <w:pPr>
              <w:rPr>
                <w:rFonts w:ascii="Arial"/>
                <w:color w:val="auto"/>
                <w:sz w:val="21"/>
                <w:highlight w:val="none"/>
              </w:rPr>
            </w:pPr>
          </w:p>
        </w:tc>
        <w:tc>
          <w:tcPr>
            <w:tcW w:w="1275" w:type="dxa"/>
            <w:vAlign w:val="top"/>
          </w:tcPr>
          <w:p w14:paraId="3CF8E569">
            <w:pPr>
              <w:rPr>
                <w:rFonts w:ascii="Arial"/>
                <w:color w:val="auto"/>
                <w:sz w:val="21"/>
                <w:highlight w:val="none"/>
              </w:rPr>
            </w:pPr>
          </w:p>
        </w:tc>
        <w:tc>
          <w:tcPr>
            <w:tcW w:w="1416" w:type="dxa"/>
            <w:vAlign w:val="top"/>
          </w:tcPr>
          <w:p w14:paraId="5C444733">
            <w:pPr>
              <w:rPr>
                <w:rFonts w:ascii="Arial"/>
                <w:color w:val="auto"/>
                <w:sz w:val="21"/>
                <w:highlight w:val="none"/>
              </w:rPr>
            </w:pPr>
          </w:p>
        </w:tc>
        <w:tc>
          <w:tcPr>
            <w:tcW w:w="1558" w:type="dxa"/>
            <w:vAlign w:val="top"/>
          </w:tcPr>
          <w:p w14:paraId="23821743">
            <w:pPr>
              <w:rPr>
                <w:rFonts w:ascii="Arial"/>
                <w:color w:val="auto"/>
                <w:sz w:val="21"/>
                <w:highlight w:val="none"/>
              </w:rPr>
            </w:pPr>
          </w:p>
        </w:tc>
        <w:tc>
          <w:tcPr>
            <w:tcW w:w="1559" w:type="dxa"/>
            <w:vAlign w:val="top"/>
          </w:tcPr>
          <w:p w14:paraId="254BE4A5">
            <w:pPr>
              <w:rPr>
                <w:rFonts w:ascii="Arial"/>
                <w:color w:val="auto"/>
                <w:sz w:val="21"/>
                <w:highlight w:val="none"/>
              </w:rPr>
            </w:pPr>
          </w:p>
        </w:tc>
        <w:tc>
          <w:tcPr>
            <w:tcW w:w="1416" w:type="dxa"/>
            <w:vAlign w:val="top"/>
          </w:tcPr>
          <w:p w14:paraId="614F09AA">
            <w:pPr>
              <w:rPr>
                <w:rFonts w:ascii="Arial"/>
                <w:color w:val="auto"/>
                <w:sz w:val="21"/>
                <w:highlight w:val="none"/>
              </w:rPr>
            </w:pPr>
          </w:p>
        </w:tc>
        <w:tc>
          <w:tcPr>
            <w:tcW w:w="1421" w:type="dxa"/>
            <w:vAlign w:val="top"/>
          </w:tcPr>
          <w:p w14:paraId="47D5913D">
            <w:pPr>
              <w:rPr>
                <w:rFonts w:ascii="Arial"/>
                <w:color w:val="auto"/>
                <w:sz w:val="21"/>
                <w:highlight w:val="none"/>
              </w:rPr>
            </w:pPr>
          </w:p>
        </w:tc>
      </w:tr>
      <w:tr w14:paraId="082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48FDB3D">
            <w:pPr>
              <w:rPr>
                <w:rFonts w:ascii="Arial"/>
                <w:color w:val="auto"/>
                <w:sz w:val="21"/>
                <w:highlight w:val="none"/>
              </w:rPr>
            </w:pPr>
          </w:p>
        </w:tc>
        <w:tc>
          <w:tcPr>
            <w:tcW w:w="1275" w:type="dxa"/>
            <w:vAlign w:val="top"/>
          </w:tcPr>
          <w:p w14:paraId="5AF8F656">
            <w:pPr>
              <w:rPr>
                <w:rFonts w:ascii="Arial"/>
                <w:color w:val="auto"/>
                <w:sz w:val="21"/>
                <w:highlight w:val="none"/>
              </w:rPr>
            </w:pPr>
          </w:p>
        </w:tc>
        <w:tc>
          <w:tcPr>
            <w:tcW w:w="1416" w:type="dxa"/>
            <w:vAlign w:val="top"/>
          </w:tcPr>
          <w:p w14:paraId="03BCEEF0">
            <w:pPr>
              <w:rPr>
                <w:rFonts w:ascii="Arial"/>
                <w:color w:val="auto"/>
                <w:sz w:val="21"/>
                <w:highlight w:val="none"/>
              </w:rPr>
            </w:pPr>
          </w:p>
        </w:tc>
        <w:tc>
          <w:tcPr>
            <w:tcW w:w="1558" w:type="dxa"/>
            <w:vAlign w:val="top"/>
          </w:tcPr>
          <w:p w14:paraId="3E1CEF84">
            <w:pPr>
              <w:rPr>
                <w:rFonts w:ascii="Arial"/>
                <w:color w:val="auto"/>
                <w:sz w:val="21"/>
                <w:highlight w:val="none"/>
              </w:rPr>
            </w:pPr>
          </w:p>
        </w:tc>
        <w:tc>
          <w:tcPr>
            <w:tcW w:w="1559" w:type="dxa"/>
            <w:vAlign w:val="top"/>
          </w:tcPr>
          <w:p w14:paraId="70E205A7">
            <w:pPr>
              <w:rPr>
                <w:rFonts w:ascii="Arial"/>
                <w:color w:val="auto"/>
                <w:sz w:val="21"/>
                <w:highlight w:val="none"/>
              </w:rPr>
            </w:pPr>
          </w:p>
        </w:tc>
        <w:tc>
          <w:tcPr>
            <w:tcW w:w="1416" w:type="dxa"/>
            <w:vAlign w:val="top"/>
          </w:tcPr>
          <w:p w14:paraId="5886D0BE">
            <w:pPr>
              <w:rPr>
                <w:rFonts w:ascii="Arial"/>
                <w:color w:val="auto"/>
                <w:sz w:val="21"/>
                <w:highlight w:val="none"/>
              </w:rPr>
            </w:pPr>
          </w:p>
        </w:tc>
        <w:tc>
          <w:tcPr>
            <w:tcW w:w="1421" w:type="dxa"/>
            <w:vAlign w:val="top"/>
          </w:tcPr>
          <w:p w14:paraId="3726CEE7">
            <w:pPr>
              <w:rPr>
                <w:rFonts w:ascii="Arial"/>
                <w:color w:val="auto"/>
                <w:sz w:val="21"/>
                <w:highlight w:val="none"/>
              </w:rPr>
            </w:pPr>
          </w:p>
        </w:tc>
      </w:tr>
      <w:tr w14:paraId="265D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6F41360">
            <w:pPr>
              <w:rPr>
                <w:rFonts w:ascii="Arial"/>
                <w:color w:val="auto"/>
                <w:sz w:val="21"/>
                <w:highlight w:val="none"/>
              </w:rPr>
            </w:pPr>
          </w:p>
        </w:tc>
        <w:tc>
          <w:tcPr>
            <w:tcW w:w="1275" w:type="dxa"/>
            <w:vAlign w:val="top"/>
          </w:tcPr>
          <w:p w14:paraId="480D0FF8">
            <w:pPr>
              <w:rPr>
                <w:rFonts w:ascii="Arial"/>
                <w:color w:val="auto"/>
                <w:sz w:val="21"/>
                <w:highlight w:val="none"/>
              </w:rPr>
            </w:pPr>
          </w:p>
        </w:tc>
        <w:tc>
          <w:tcPr>
            <w:tcW w:w="1416" w:type="dxa"/>
            <w:vAlign w:val="top"/>
          </w:tcPr>
          <w:p w14:paraId="388153E6">
            <w:pPr>
              <w:rPr>
                <w:rFonts w:ascii="Arial"/>
                <w:color w:val="auto"/>
                <w:sz w:val="21"/>
                <w:highlight w:val="none"/>
              </w:rPr>
            </w:pPr>
          </w:p>
        </w:tc>
        <w:tc>
          <w:tcPr>
            <w:tcW w:w="1558" w:type="dxa"/>
            <w:vAlign w:val="top"/>
          </w:tcPr>
          <w:p w14:paraId="2EAF2CFC">
            <w:pPr>
              <w:rPr>
                <w:rFonts w:ascii="Arial"/>
                <w:color w:val="auto"/>
                <w:sz w:val="21"/>
                <w:highlight w:val="none"/>
              </w:rPr>
            </w:pPr>
          </w:p>
        </w:tc>
        <w:tc>
          <w:tcPr>
            <w:tcW w:w="1559" w:type="dxa"/>
            <w:vAlign w:val="top"/>
          </w:tcPr>
          <w:p w14:paraId="6519AEA9">
            <w:pPr>
              <w:rPr>
                <w:rFonts w:ascii="Arial"/>
                <w:color w:val="auto"/>
                <w:sz w:val="21"/>
                <w:highlight w:val="none"/>
              </w:rPr>
            </w:pPr>
          </w:p>
        </w:tc>
        <w:tc>
          <w:tcPr>
            <w:tcW w:w="1416" w:type="dxa"/>
            <w:vAlign w:val="top"/>
          </w:tcPr>
          <w:p w14:paraId="43E1ADA0">
            <w:pPr>
              <w:rPr>
                <w:rFonts w:ascii="Arial"/>
                <w:color w:val="auto"/>
                <w:sz w:val="21"/>
                <w:highlight w:val="none"/>
              </w:rPr>
            </w:pPr>
          </w:p>
        </w:tc>
        <w:tc>
          <w:tcPr>
            <w:tcW w:w="1421" w:type="dxa"/>
            <w:vAlign w:val="top"/>
          </w:tcPr>
          <w:p w14:paraId="31057F5F">
            <w:pPr>
              <w:rPr>
                <w:rFonts w:ascii="Arial"/>
                <w:color w:val="auto"/>
                <w:sz w:val="21"/>
                <w:highlight w:val="none"/>
              </w:rPr>
            </w:pPr>
          </w:p>
        </w:tc>
      </w:tr>
      <w:tr w14:paraId="17D7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A04521">
            <w:pPr>
              <w:rPr>
                <w:rFonts w:ascii="Arial"/>
                <w:color w:val="auto"/>
                <w:sz w:val="21"/>
                <w:highlight w:val="none"/>
              </w:rPr>
            </w:pPr>
          </w:p>
        </w:tc>
        <w:tc>
          <w:tcPr>
            <w:tcW w:w="1275" w:type="dxa"/>
            <w:vAlign w:val="top"/>
          </w:tcPr>
          <w:p w14:paraId="19950E76">
            <w:pPr>
              <w:rPr>
                <w:rFonts w:ascii="Arial"/>
                <w:color w:val="auto"/>
                <w:sz w:val="21"/>
                <w:highlight w:val="none"/>
              </w:rPr>
            </w:pPr>
          </w:p>
        </w:tc>
        <w:tc>
          <w:tcPr>
            <w:tcW w:w="1416" w:type="dxa"/>
            <w:vAlign w:val="top"/>
          </w:tcPr>
          <w:p w14:paraId="75A61F69">
            <w:pPr>
              <w:rPr>
                <w:rFonts w:ascii="Arial"/>
                <w:color w:val="auto"/>
                <w:sz w:val="21"/>
                <w:highlight w:val="none"/>
              </w:rPr>
            </w:pPr>
          </w:p>
        </w:tc>
        <w:tc>
          <w:tcPr>
            <w:tcW w:w="1558" w:type="dxa"/>
            <w:vAlign w:val="top"/>
          </w:tcPr>
          <w:p w14:paraId="1368EC34">
            <w:pPr>
              <w:rPr>
                <w:rFonts w:ascii="Arial"/>
                <w:color w:val="auto"/>
                <w:sz w:val="21"/>
                <w:highlight w:val="none"/>
              </w:rPr>
            </w:pPr>
          </w:p>
        </w:tc>
        <w:tc>
          <w:tcPr>
            <w:tcW w:w="1559" w:type="dxa"/>
            <w:vAlign w:val="top"/>
          </w:tcPr>
          <w:p w14:paraId="29988A58">
            <w:pPr>
              <w:rPr>
                <w:rFonts w:ascii="Arial"/>
                <w:color w:val="auto"/>
                <w:sz w:val="21"/>
                <w:highlight w:val="none"/>
              </w:rPr>
            </w:pPr>
          </w:p>
        </w:tc>
        <w:tc>
          <w:tcPr>
            <w:tcW w:w="1416" w:type="dxa"/>
            <w:vAlign w:val="top"/>
          </w:tcPr>
          <w:p w14:paraId="1DB8B930">
            <w:pPr>
              <w:rPr>
                <w:rFonts w:ascii="Arial"/>
                <w:color w:val="auto"/>
                <w:sz w:val="21"/>
                <w:highlight w:val="none"/>
              </w:rPr>
            </w:pPr>
          </w:p>
        </w:tc>
        <w:tc>
          <w:tcPr>
            <w:tcW w:w="1421" w:type="dxa"/>
            <w:vAlign w:val="top"/>
          </w:tcPr>
          <w:p w14:paraId="7C7AED0B">
            <w:pPr>
              <w:rPr>
                <w:rFonts w:ascii="Arial"/>
                <w:color w:val="auto"/>
                <w:sz w:val="21"/>
                <w:highlight w:val="none"/>
              </w:rPr>
            </w:pPr>
          </w:p>
        </w:tc>
      </w:tr>
      <w:tr w14:paraId="0BA6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33CCF21">
            <w:pPr>
              <w:rPr>
                <w:rFonts w:ascii="Arial"/>
                <w:color w:val="auto"/>
                <w:sz w:val="21"/>
                <w:highlight w:val="none"/>
              </w:rPr>
            </w:pPr>
          </w:p>
        </w:tc>
        <w:tc>
          <w:tcPr>
            <w:tcW w:w="1275" w:type="dxa"/>
            <w:vAlign w:val="top"/>
          </w:tcPr>
          <w:p w14:paraId="13ADD1F4">
            <w:pPr>
              <w:rPr>
                <w:rFonts w:ascii="Arial"/>
                <w:color w:val="auto"/>
                <w:sz w:val="21"/>
                <w:highlight w:val="none"/>
              </w:rPr>
            </w:pPr>
          </w:p>
        </w:tc>
        <w:tc>
          <w:tcPr>
            <w:tcW w:w="1416" w:type="dxa"/>
            <w:vAlign w:val="top"/>
          </w:tcPr>
          <w:p w14:paraId="085769B4">
            <w:pPr>
              <w:rPr>
                <w:rFonts w:ascii="Arial"/>
                <w:color w:val="auto"/>
                <w:sz w:val="21"/>
                <w:highlight w:val="none"/>
              </w:rPr>
            </w:pPr>
          </w:p>
        </w:tc>
        <w:tc>
          <w:tcPr>
            <w:tcW w:w="1558" w:type="dxa"/>
            <w:vAlign w:val="top"/>
          </w:tcPr>
          <w:p w14:paraId="3D253881">
            <w:pPr>
              <w:rPr>
                <w:rFonts w:ascii="Arial"/>
                <w:color w:val="auto"/>
                <w:sz w:val="21"/>
                <w:highlight w:val="none"/>
              </w:rPr>
            </w:pPr>
          </w:p>
        </w:tc>
        <w:tc>
          <w:tcPr>
            <w:tcW w:w="1559" w:type="dxa"/>
            <w:vAlign w:val="top"/>
          </w:tcPr>
          <w:p w14:paraId="01A15D87">
            <w:pPr>
              <w:rPr>
                <w:rFonts w:ascii="Arial"/>
                <w:color w:val="auto"/>
                <w:sz w:val="21"/>
                <w:highlight w:val="none"/>
              </w:rPr>
            </w:pPr>
          </w:p>
        </w:tc>
        <w:tc>
          <w:tcPr>
            <w:tcW w:w="1416" w:type="dxa"/>
            <w:vAlign w:val="top"/>
          </w:tcPr>
          <w:p w14:paraId="473F9C95">
            <w:pPr>
              <w:rPr>
                <w:rFonts w:ascii="Arial"/>
                <w:color w:val="auto"/>
                <w:sz w:val="21"/>
                <w:highlight w:val="none"/>
              </w:rPr>
            </w:pPr>
          </w:p>
        </w:tc>
        <w:tc>
          <w:tcPr>
            <w:tcW w:w="1421" w:type="dxa"/>
            <w:vAlign w:val="top"/>
          </w:tcPr>
          <w:p w14:paraId="39E7AB2E">
            <w:pPr>
              <w:rPr>
                <w:rFonts w:ascii="Arial"/>
                <w:color w:val="auto"/>
                <w:sz w:val="21"/>
                <w:highlight w:val="none"/>
              </w:rPr>
            </w:pPr>
          </w:p>
        </w:tc>
      </w:tr>
      <w:tr w14:paraId="7795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A94AA48">
            <w:pPr>
              <w:rPr>
                <w:rFonts w:ascii="Arial"/>
                <w:color w:val="auto"/>
                <w:sz w:val="21"/>
                <w:highlight w:val="none"/>
              </w:rPr>
            </w:pPr>
          </w:p>
        </w:tc>
        <w:tc>
          <w:tcPr>
            <w:tcW w:w="1275" w:type="dxa"/>
            <w:vAlign w:val="top"/>
          </w:tcPr>
          <w:p w14:paraId="02AD5E34">
            <w:pPr>
              <w:rPr>
                <w:rFonts w:ascii="Arial"/>
                <w:color w:val="auto"/>
                <w:sz w:val="21"/>
                <w:highlight w:val="none"/>
              </w:rPr>
            </w:pPr>
          </w:p>
        </w:tc>
        <w:tc>
          <w:tcPr>
            <w:tcW w:w="1416" w:type="dxa"/>
            <w:vAlign w:val="top"/>
          </w:tcPr>
          <w:p w14:paraId="1FC89781">
            <w:pPr>
              <w:rPr>
                <w:rFonts w:ascii="Arial"/>
                <w:color w:val="auto"/>
                <w:sz w:val="21"/>
                <w:highlight w:val="none"/>
              </w:rPr>
            </w:pPr>
          </w:p>
        </w:tc>
        <w:tc>
          <w:tcPr>
            <w:tcW w:w="1558" w:type="dxa"/>
            <w:vAlign w:val="top"/>
          </w:tcPr>
          <w:p w14:paraId="35736544">
            <w:pPr>
              <w:rPr>
                <w:rFonts w:ascii="Arial"/>
                <w:color w:val="auto"/>
                <w:sz w:val="21"/>
                <w:highlight w:val="none"/>
              </w:rPr>
            </w:pPr>
          </w:p>
        </w:tc>
        <w:tc>
          <w:tcPr>
            <w:tcW w:w="1559" w:type="dxa"/>
            <w:vAlign w:val="top"/>
          </w:tcPr>
          <w:p w14:paraId="30C510B4">
            <w:pPr>
              <w:rPr>
                <w:rFonts w:ascii="Arial"/>
                <w:color w:val="auto"/>
                <w:sz w:val="21"/>
                <w:highlight w:val="none"/>
              </w:rPr>
            </w:pPr>
          </w:p>
        </w:tc>
        <w:tc>
          <w:tcPr>
            <w:tcW w:w="1416" w:type="dxa"/>
            <w:vAlign w:val="top"/>
          </w:tcPr>
          <w:p w14:paraId="712256E9">
            <w:pPr>
              <w:rPr>
                <w:rFonts w:ascii="Arial"/>
                <w:color w:val="auto"/>
                <w:sz w:val="21"/>
                <w:highlight w:val="none"/>
              </w:rPr>
            </w:pPr>
          </w:p>
        </w:tc>
        <w:tc>
          <w:tcPr>
            <w:tcW w:w="1421" w:type="dxa"/>
            <w:vAlign w:val="top"/>
          </w:tcPr>
          <w:p w14:paraId="572C0675">
            <w:pPr>
              <w:rPr>
                <w:rFonts w:ascii="Arial"/>
                <w:color w:val="auto"/>
                <w:sz w:val="21"/>
                <w:highlight w:val="none"/>
              </w:rPr>
            </w:pPr>
          </w:p>
        </w:tc>
      </w:tr>
      <w:tr w14:paraId="01A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vAlign w:val="top"/>
          </w:tcPr>
          <w:p w14:paraId="0E100141">
            <w:pPr>
              <w:rPr>
                <w:rFonts w:ascii="Arial"/>
                <w:color w:val="auto"/>
                <w:sz w:val="21"/>
                <w:highlight w:val="none"/>
              </w:rPr>
            </w:pPr>
          </w:p>
        </w:tc>
        <w:tc>
          <w:tcPr>
            <w:tcW w:w="1275" w:type="dxa"/>
            <w:vAlign w:val="top"/>
          </w:tcPr>
          <w:p w14:paraId="2A23D26F">
            <w:pPr>
              <w:rPr>
                <w:rFonts w:ascii="Arial"/>
                <w:color w:val="auto"/>
                <w:sz w:val="21"/>
                <w:highlight w:val="none"/>
              </w:rPr>
            </w:pPr>
          </w:p>
        </w:tc>
        <w:tc>
          <w:tcPr>
            <w:tcW w:w="1416" w:type="dxa"/>
            <w:vAlign w:val="top"/>
          </w:tcPr>
          <w:p w14:paraId="5500DD5D">
            <w:pPr>
              <w:rPr>
                <w:rFonts w:ascii="Arial"/>
                <w:color w:val="auto"/>
                <w:sz w:val="21"/>
                <w:highlight w:val="none"/>
              </w:rPr>
            </w:pPr>
          </w:p>
        </w:tc>
        <w:tc>
          <w:tcPr>
            <w:tcW w:w="1558" w:type="dxa"/>
            <w:vAlign w:val="top"/>
          </w:tcPr>
          <w:p w14:paraId="48531732">
            <w:pPr>
              <w:rPr>
                <w:rFonts w:ascii="Arial"/>
                <w:color w:val="auto"/>
                <w:sz w:val="21"/>
                <w:highlight w:val="none"/>
              </w:rPr>
            </w:pPr>
          </w:p>
        </w:tc>
        <w:tc>
          <w:tcPr>
            <w:tcW w:w="1559" w:type="dxa"/>
            <w:vAlign w:val="top"/>
          </w:tcPr>
          <w:p w14:paraId="227A1334">
            <w:pPr>
              <w:rPr>
                <w:rFonts w:ascii="Arial"/>
                <w:color w:val="auto"/>
                <w:sz w:val="21"/>
                <w:highlight w:val="none"/>
              </w:rPr>
            </w:pPr>
          </w:p>
        </w:tc>
        <w:tc>
          <w:tcPr>
            <w:tcW w:w="1416" w:type="dxa"/>
            <w:vAlign w:val="top"/>
          </w:tcPr>
          <w:p w14:paraId="152C2E92">
            <w:pPr>
              <w:rPr>
                <w:rFonts w:ascii="Arial"/>
                <w:color w:val="auto"/>
                <w:sz w:val="21"/>
                <w:highlight w:val="none"/>
              </w:rPr>
            </w:pPr>
          </w:p>
        </w:tc>
        <w:tc>
          <w:tcPr>
            <w:tcW w:w="1421" w:type="dxa"/>
            <w:vAlign w:val="top"/>
          </w:tcPr>
          <w:p w14:paraId="2BE457E5">
            <w:pPr>
              <w:rPr>
                <w:rFonts w:ascii="Arial"/>
                <w:color w:val="auto"/>
                <w:sz w:val="21"/>
                <w:highlight w:val="none"/>
              </w:rPr>
            </w:pPr>
          </w:p>
        </w:tc>
      </w:tr>
    </w:tbl>
    <w:p w14:paraId="77A12458">
      <w:pPr>
        <w:pStyle w:val="8"/>
        <w:spacing w:before="114" w:line="219" w:lineRule="auto"/>
        <w:ind w:left="250"/>
        <w:rPr>
          <w:color w:val="auto"/>
          <w:highlight w:val="none"/>
        </w:rPr>
      </w:pPr>
      <w:r>
        <w:rPr>
          <w:color w:val="auto"/>
          <w:spacing w:val="-3"/>
          <w:highlight w:val="none"/>
        </w:rPr>
        <w:t>注：1、业绩的认定标准及有效证明文件要求见招标文件《评审标准</w:t>
      </w:r>
      <w:r>
        <w:rPr>
          <w:color w:val="auto"/>
          <w:spacing w:val="-4"/>
          <w:highlight w:val="none"/>
        </w:rPr>
        <w:t>》。</w:t>
      </w:r>
    </w:p>
    <w:p w14:paraId="041A6DCE">
      <w:pPr>
        <w:pStyle w:val="8"/>
        <w:spacing w:before="183" w:line="361" w:lineRule="auto"/>
        <w:ind w:left="250" w:right="445" w:firstLine="480"/>
        <w:jc w:val="both"/>
        <w:rPr>
          <w:color w:val="auto"/>
          <w:highlight w:val="none"/>
        </w:rPr>
      </w:pPr>
      <w:r>
        <w:rPr>
          <w:color w:val="auto"/>
          <w:spacing w:val="5"/>
          <w:highlight w:val="none"/>
        </w:rPr>
        <w:t>供应商须随本表附有效证明材料，业绩证明材料须提供复印件并加盖供应商公</w:t>
      </w:r>
      <w:r>
        <w:rPr>
          <w:color w:val="auto"/>
          <w:spacing w:val="-2"/>
          <w:highlight w:val="none"/>
        </w:rPr>
        <w:t>章，须内容清晰。供应商须将提供的有效证明材料按本表形式进行编号并按编号顺序</w:t>
      </w:r>
      <w:r>
        <w:rPr>
          <w:color w:val="auto"/>
          <w:spacing w:val="-1"/>
          <w:highlight w:val="none"/>
        </w:rPr>
        <w:t>装订提交。未提供有效证明材料的项目业绩在评标时将不予认可。</w:t>
      </w:r>
    </w:p>
    <w:p w14:paraId="2906D178">
      <w:pPr>
        <w:pStyle w:val="8"/>
        <w:spacing w:before="307" w:line="219" w:lineRule="auto"/>
        <w:ind w:left="730"/>
        <w:rPr>
          <w:color w:val="auto"/>
          <w:highlight w:val="none"/>
        </w:rPr>
      </w:pPr>
      <w:r>
        <w:rPr>
          <w:color w:val="auto"/>
          <w:spacing w:val="-2"/>
          <w:highlight w:val="none"/>
        </w:rPr>
        <w:t>供应商名称（盖章</w:t>
      </w:r>
      <w:r>
        <w:rPr>
          <w:color w:val="auto"/>
          <w:spacing w:val="-63"/>
          <w:w w:val="99"/>
          <w:highlight w:val="none"/>
        </w:rPr>
        <w:t>）：</w:t>
      </w:r>
    </w:p>
    <w:p w14:paraId="47A2A13C">
      <w:pPr>
        <w:pStyle w:val="8"/>
        <w:spacing w:before="184" w:line="219" w:lineRule="auto"/>
        <w:ind w:left="729"/>
        <w:rPr>
          <w:color w:val="auto"/>
          <w:highlight w:val="none"/>
        </w:rPr>
      </w:pPr>
      <w:r>
        <w:rPr>
          <w:color w:val="auto"/>
          <w:spacing w:val="-2"/>
          <w:highlight w:val="none"/>
        </w:rPr>
        <w:t>授权代表人（签字</w:t>
      </w:r>
      <w:r>
        <w:rPr>
          <w:color w:val="auto"/>
          <w:spacing w:val="-65"/>
          <w:highlight w:val="none"/>
        </w:rPr>
        <w:t>）：</w:t>
      </w:r>
    </w:p>
    <w:p w14:paraId="639B29ED">
      <w:pPr>
        <w:pStyle w:val="8"/>
        <w:spacing w:before="183" w:line="219" w:lineRule="auto"/>
        <w:ind w:left="771"/>
        <w:rPr>
          <w:color w:val="auto"/>
          <w:highlight w:val="none"/>
        </w:rPr>
      </w:pPr>
      <w:r>
        <w:rPr>
          <w:color w:val="auto"/>
          <w:spacing w:val="-15"/>
          <w:highlight w:val="none"/>
        </w:rPr>
        <w:t>日</w:t>
      </w:r>
      <w:r>
        <w:rPr>
          <w:color w:val="auto"/>
          <w:spacing w:val="2"/>
          <w:highlight w:val="none"/>
        </w:rPr>
        <w:t xml:space="preserve">      </w:t>
      </w:r>
      <w:r>
        <w:rPr>
          <w:color w:val="auto"/>
          <w:spacing w:val="-15"/>
          <w:highlight w:val="none"/>
        </w:rPr>
        <w:t>期：</w:t>
      </w:r>
      <w:r>
        <w:rPr>
          <w:color w:val="auto"/>
          <w:spacing w:val="3"/>
          <w:highlight w:val="none"/>
        </w:rPr>
        <w:t xml:space="preserve">   </w:t>
      </w:r>
      <w:r>
        <w:rPr>
          <w:color w:val="auto"/>
          <w:spacing w:val="-15"/>
          <w:highlight w:val="none"/>
        </w:rPr>
        <w:t>年</w:t>
      </w:r>
      <w:r>
        <w:rPr>
          <w:color w:val="auto"/>
          <w:spacing w:val="8"/>
          <w:highlight w:val="none"/>
        </w:rPr>
        <w:t xml:space="preserve">  </w:t>
      </w:r>
      <w:r>
        <w:rPr>
          <w:color w:val="auto"/>
          <w:spacing w:val="-15"/>
          <w:highlight w:val="none"/>
        </w:rPr>
        <w:t>月</w:t>
      </w:r>
      <w:r>
        <w:rPr>
          <w:color w:val="auto"/>
          <w:spacing w:val="26"/>
          <w:highlight w:val="none"/>
        </w:rPr>
        <w:t xml:space="preserve">  </w:t>
      </w:r>
      <w:r>
        <w:rPr>
          <w:color w:val="auto"/>
          <w:spacing w:val="-15"/>
          <w:highlight w:val="none"/>
        </w:rPr>
        <w:t>日</w:t>
      </w:r>
    </w:p>
    <w:p w14:paraId="20AA37ED">
      <w:pPr>
        <w:spacing w:line="219" w:lineRule="auto"/>
        <w:rPr>
          <w:color w:val="auto"/>
          <w:highlight w:val="none"/>
        </w:rPr>
        <w:sectPr>
          <w:footerReference r:id="rId19" w:type="default"/>
          <w:pgSz w:w="11906" w:h="16839"/>
          <w:pgMar w:top="1117" w:right="1200" w:bottom="1155" w:left="1199" w:header="822" w:footer="992" w:gutter="0"/>
          <w:pgNumType w:fmt="decimal"/>
          <w:cols w:space="720" w:num="1"/>
        </w:sectPr>
      </w:pPr>
    </w:p>
    <w:p w14:paraId="2342BFD0">
      <w:pPr>
        <w:pStyle w:val="8"/>
        <w:spacing w:before="130" w:line="219" w:lineRule="auto"/>
        <w:ind w:left="541"/>
        <w:rPr>
          <w:color w:val="auto"/>
          <w:sz w:val="30"/>
          <w:szCs w:val="30"/>
          <w:highlight w:val="none"/>
        </w:rPr>
      </w:pPr>
      <w:r>
        <w:rPr>
          <w:b/>
          <w:bCs/>
          <w:color w:val="auto"/>
          <w:spacing w:val="-10"/>
          <w:sz w:val="30"/>
          <w:szCs w:val="30"/>
          <w:highlight w:val="none"/>
        </w:rPr>
        <w:t>附件十一：</w:t>
      </w:r>
    </w:p>
    <w:p w14:paraId="42D99122">
      <w:pPr>
        <w:pStyle w:val="8"/>
        <w:spacing w:before="248" w:line="219" w:lineRule="auto"/>
        <w:ind w:left="3422"/>
        <w:outlineLvl w:val="0"/>
        <w:rPr>
          <w:color w:val="auto"/>
          <w:sz w:val="30"/>
          <w:szCs w:val="30"/>
          <w:highlight w:val="none"/>
        </w:rPr>
      </w:pPr>
      <w:r>
        <w:rPr>
          <w:b/>
          <w:bCs/>
          <w:color w:val="auto"/>
          <w:spacing w:val="-4"/>
          <w:sz w:val="30"/>
          <w:szCs w:val="30"/>
          <w:highlight w:val="none"/>
        </w:rPr>
        <w:t>拟派项目负责人情况表</w:t>
      </w:r>
    </w:p>
    <w:tbl>
      <w:tblPr>
        <w:tblStyle w:val="36"/>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684"/>
        <w:gridCol w:w="1019"/>
        <w:gridCol w:w="1547"/>
        <w:gridCol w:w="1854"/>
        <w:gridCol w:w="2594"/>
      </w:tblGrid>
      <w:tr w14:paraId="68E3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36" w:type="dxa"/>
            <w:vAlign w:val="top"/>
          </w:tcPr>
          <w:p w14:paraId="04EA9B08">
            <w:pPr>
              <w:spacing w:line="373" w:lineRule="auto"/>
              <w:rPr>
                <w:rFonts w:ascii="Arial"/>
                <w:color w:val="auto"/>
                <w:sz w:val="21"/>
                <w:highlight w:val="none"/>
              </w:rPr>
            </w:pPr>
          </w:p>
          <w:p w14:paraId="24DD1946">
            <w:pPr>
              <w:pStyle w:val="35"/>
              <w:spacing w:before="78" w:line="219" w:lineRule="auto"/>
              <w:ind w:left="314"/>
              <w:rPr>
                <w:color w:val="auto"/>
                <w:highlight w:val="none"/>
              </w:rPr>
            </w:pPr>
            <w:r>
              <w:rPr>
                <w:color w:val="auto"/>
                <w:spacing w:val="-5"/>
                <w:highlight w:val="none"/>
              </w:rPr>
              <w:t>姓</w:t>
            </w:r>
            <w:r>
              <w:rPr>
                <w:color w:val="auto"/>
                <w:spacing w:val="6"/>
                <w:highlight w:val="none"/>
              </w:rPr>
              <w:t xml:space="preserve">  </w:t>
            </w:r>
            <w:r>
              <w:rPr>
                <w:color w:val="auto"/>
                <w:spacing w:val="-5"/>
                <w:highlight w:val="none"/>
              </w:rPr>
              <w:t>名</w:t>
            </w:r>
          </w:p>
        </w:tc>
        <w:tc>
          <w:tcPr>
            <w:tcW w:w="1684" w:type="dxa"/>
            <w:vAlign w:val="top"/>
          </w:tcPr>
          <w:p w14:paraId="2AEF47A6">
            <w:pPr>
              <w:rPr>
                <w:rFonts w:ascii="Arial"/>
                <w:color w:val="auto"/>
                <w:sz w:val="21"/>
                <w:highlight w:val="none"/>
              </w:rPr>
            </w:pPr>
          </w:p>
        </w:tc>
        <w:tc>
          <w:tcPr>
            <w:tcW w:w="1019" w:type="dxa"/>
            <w:vAlign w:val="top"/>
          </w:tcPr>
          <w:p w14:paraId="78FB9E98">
            <w:pPr>
              <w:spacing w:line="373" w:lineRule="auto"/>
              <w:rPr>
                <w:rFonts w:ascii="Arial"/>
                <w:color w:val="auto"/>
                <w:sz w:val="21"/>
                <w:highlight w:val="none"/>
              </w:rPr>
            </w:pPr>
          </w:p>
          <w:p w14:paraId="47BDBF8A">
            <w:pPr>
              <w:pStyle w:val="35"/>
              <w:spacing w:before="78" w:line="219" w:lineRule="auto"/>
              <w:ind w:left="276"/>
              <w:rPr>
                <w:color w:val="auto"/>
                <w:highlight w:val="none"/>
              </w:rPr>
            </w:pPr>
            <w:r>
              <w:rPr>
                <w:color w:val="auto"/>
                <w:spacing w:val="-6"/>
                <w:highlight w:val="none"/>
              </w:rPr>
              <w:t>年龄</w:t>
            </w:r>
          </w:p>
        </w:tc>
        <w:tc>
          <w:tcPr>
            <w:tcW w:w="1547" w:type="dxa"/>
            <w:vAlign w:val="top"/>
          </w:tcPr>
          <w:p w14:paraId="3069B1C4">
            <w:pPr>
              <w:rPr>
                <w:rFonts w:ascii="Arial"/>
                <w:color w:val="auto"/>
                <w:sz w:val="21"/>
                <w:highlight w:val="none"/>
              </w:rPr>
            </w:pPr>
          </w:p>
        </w:tc>
        <w:tc>
          <w:tcPr>
            <w:tcW w:w="1854" w:type="dxa"/>
            <w:vAlign w:val="top"/>
          </w:tcPr>
          <w:p w14:paraId="1DC78079">
            <w:pPr>
              <w:spacing w:line="373" w:lineRule="auto"/>
              <w:rPr>
                <w:rFonts w:ascii="Arial"/>
                <w:color w:val="auto"/>
                <w:sz w:val="21"/>
                <w:highlight w:val="none"/>
              </w:rPr>
            </w:pPr>
          </w:p>
          <w:p w14:paraId="56677B96">
            <w:pPr>
              <w:pStyle w:val="35"/>
              <w:spacing w:before="78" w:line="219" w:lineRule="auto"/>
              <w:ind w:left="341"/>
              <w:rPr>
                <w:color w:val="auto"/>
                <w:highlight w:val="none"/>
              </w:rPr>
            </w:pPr>
            <w:r>
              <w:rPr>
                <w:color w:val="auto"/>
                <w:spacing w:val="-4"/>
                <w:highlight w:val="none"/>
              </w:rPr>
              <w:t>身份证号码</w:t>
            </w:r>
          </w:p>
        </w:tc>
        <w:tc>
          <w:tcPr>
            <w:tcW w:w="2594" w:type="dxa"/>
            <w:vAlign w:val="top"/>
          </w:tcPr>
          <w:p w14:paraId="5B779D07">
            <w:pPr>
              <w:rPr>
                <w:rFonts w:ascii="Arial"/>
                <w:color w:val="auto"/>
                <w:sz w:val="21"/>
                <w:highlight w:val="none"/>
              </w:rPr>
            </w:pPr>
          </w:p>
        </w:tc>
      </w:tr>
      <w:tr w14:paraId="5A32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336" w:type="dxa"/>
            <w:vAlign w:val="top"/>
          </w:tcPr>
          <w:p w14:paraId="4B5512B3">
            <w:pPr>
              <w:spacing w:line="311" w:lineRule="auto"/>
              <w:rPr>
                <w:rFonts w:ascii="Arial"/>
                <w:color w:val="auto"/>
                <w:sz w:val="21"/>
                <w:highlight w:val="none"/>
              </w:rPr>
            </w:pPr>
          </w:p>
          <w:p w14:paraId="142F06A4">
            <w:pPr>
              <w:pStyle w:val="35"/>
              <w:spacing w:before="78" w:line="221" w:lineRule="auto"/>
              <w:ind w:left="315"/>
              <w:rPr>
                <w:color w:val="auto"/>
                <w:highlight w:val="none"/>
              </w:rPr>
            </w:pPr>
            <w:r>
              <w:rPr>
                <w:color w:val="auto"/>
                <w:spacing w:val="-6"/>
                <w:highlight w:val="none"/>
              </w:rPr>
              <w:t>职</w:t>
            </w:r>
            <w:r>
              <w:rPr>
                <w:color w:val="auto"/>
                <w:spacing w:val="4"/>
                <w:highlight w:val="none"/>
              </w:rPr>
              <w:t xml:space="preserve">  </w:t>
            </w:r>
            <w:r>
              <w:rPr>
                <w:color w:val="auto"/>
                <w:spacing w:val="-6"/>
                <w:highlight w:val="none"/>
              </w:rPr>
              <w:t>称</w:t>
            </w:r>
          </w:p>
        </w:tc>
        <w:tc>
          <w:tcPr>
            <w:tcW w:w="1684" w:type="dxa"/>
            <w:vAlign w:val="top"/>
          </w:tcPr>
          <w:p w14:paraId="04D3EE82">
            <w:pPr>
              <w:rPr>
                <w:rFonts w:ascii="Arial"/>
                <w:color w:val="auto"/>
                <w:sz w:val="21"/>
                <w:highlight w:val="none"/>
              </w:rPr>
            </w:pPr>
          </w:p>
        </w:tc>
        <w:tc>
          <w:tcPr>
            <w:tcW w:w="1019" w:type="dxa"/>
            <w:vAlign w:val="top"/>
          </w:tcPr>
          <w:p w14:paraId="09A964B8">
            <w:pPr>
              <w:spacing w:line="311" w:lineRule="auto"/>
              <w:rPr>
                <w:rFonts w:ascii="Arial"/>
                <w:color w:val="auto"/>
                <w:sz w:val="21"/>
                <w:highlight w:val="none"/>
              </w:rPr>
            </w:pPr>
          </w:p>
          <w:p w14:paraId="7C6F020B">
            <w:pPr>
              <w:pStyle w:val="35"/>
              <w:spacing w:before="78" w:line="219" w:lineRule="auto"/>
              <w:ind w:left="276"/>
              <w:rPr>
                <w:color w:val="auto"/>
                <w:highlight w:val="none"/>
              </w:rPr>
            </w:pPr>
            <w:r>
              <w:rPr>
                <w:color w:val="auto"/>
                <w:spacing w:val="-6"/>
                <w:highlight w:val="none"/>
              </w:rPr>
              <w:t>职务</w:t>
            </w:r>
          </w:p>
        </w:tc>
        <w:tc>
          <w:tcPr>
            <w:tcW w:w="1547" w:type="dxa"/>
            <w:vAlign w:val="top"/>
          </w:tcPr>
          <w:p w14:paraId="6C870A0C">
            <w:pPr>
              <w:rPr>
                <w:rFonts w:ascii="Arial"/>
                <w:color w:val="auto"/>
                <w:sz w:val="21"/>
                <w:highlight w:val="none"/>
              </w:rPr>
            </w:pPr>
          </w:p>
        </w:tc>
        <w:tc>
          <w:tcPr>
            <w:tcW w:w="1854" w:type="dxa"/>
            <w:vAlign w:val="top"/>
          </w:tcPr>
          <w:p w14:paraId="68B1D925">
            <w:pPr>
              <w:spacing w:line="311" w:lineRule="auto"/>
              <w:rPr>
                <w:rFonts w:ascii="Arial"/>
                <w:color w:val="auto"/>
                <w:sz w:val="21"/>
                <w:highlight w:val="none"/>
              </w:rPr>
            </w:pPr>
          </w:p>
          <w:p w14:paraId="669CD820">
            <w:pPr>
              <w:pStyle w:val="35"/>
              <w:spacing w:before="78" w:line="221" w:lineRule="auto"/>
              <w:ind w:left="455"/>
              <w:rPr>
                <w:color w:val="auto"/>
                <w:highlight w:val="none"/>
              </w:rPr>
            </w:pPr>
            <w:r>
              <w:rPr>
                <w:color w:val="auto"/>
                <w:spacing w:val="-3"/>
                <w:highlight w:val="none"/>
              </w:rPr>
              <w:t>联系电话</w:t>
            </w:r>
          </w:p>
        </w:tc>
        <w:tc>
          <w:tcPr>
            <w:tcW w:w="2594" w:type="dxa"/>
            <w:vAlign w:val="top"/>
          </w:tcPr>
          <w:p w14:paraId="49B17303">
            <w:pPr>
              <w:rPr>
                <w:rFonts w:ascii="Arial"/>
                <w:color w:val="auto"/>
                <w:sz w:val="21"/>
                <w:highlight w:val="none"/>
              </w:rPr>
            </w:pPr>
          </w:p>
        </w:tc>
      </w:tr>
      <w:tr w14:paraId="56F0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336" w:type="dxa"/>
            <w:vAlign w:val="top"/>
          </w:tcPr>
          <w:p w14:paraId="5F54810E">
            <w:pPr>
              <w:spacing w:line="316" w:lineRule="auto"/>
              <w:rPr>
                <w:rFonts w:ascii="Arial"/>
                <w:color w:val="auto"/>
                <w:sz w:val="21"/>
                <w:highlight w:val="none"/>
              </w:rPr>
            </w:pPr>
          </w:p>
          <w:p w14:paraId="0664DA1F">
            <w:pPr>
              <w:pStyle w:val="35"/>
              <w:spacing w:before="78" w:line="342" w:lineRule="auto"/>
              <w:ind w:left="196" w:right="186"/>
              <w:rPr>
                <w:color w:val="auto"/>
                <w:highlight w:val="none"/>
              </w:rPr>
            </w:pPr>
            <w:r>
              <w:rPr>
                <w:color w:val="auto"/>
                <w:spacing w:val="-3"/>
                <w:highlight w:val="none"/>
              </w:rPr>
              <w:t>现所在机</w:t>
            </w:r>
            <w:r>
              <w:rPr>
                <w:color w:val="auto"/>
                <w:spacing w:val="-4"/>
                <w:highlight w:val="none"/>
              </w:rPr>
              <w:t>构或部门</w:t>
            </w:r>
          </w:p>
        </w:tc>
        <w:tc>
          <w:tcPr>
            <w:tcW w:w="4250" w:type="dxa"/>
            <w:gridSpan w:val="3"/>
            <w:vAlign w:val="top"/>
          </w:tcPr>
          <w:p w14:paraId="0F047A41">
            <w:pPr>
              <w:rPr>
                <w:rFonts w:ascii="Arial"/>
                <w:color w:val="auto"/>
                <w:sz w:val="21"/>
                <w:highlight w:val="none"/>
              </w:rPr>
            </w:pPr>
          </w:p>
        </w:tc>
        <w:tc>
          <w:tcPr>
            <w:tcW w:w="1854" w:type="dxa"/>
            <w:vAlign w:val="top"/>
          </w:tcPr>
          <w:p w14:paraId="1541B8D0">
            <w:pPr>
              <w:spacing w:line="268" w:lineRule="auto"/>
              <w:rPr>
                <w:rFonts w:ascii="Arial"/>
                <w:color w:val="auto"/>
                <w:sz w:val="21"/>
                <w:highlight w:val="none"/>
              </w:rPr>
            </w:pPr>
          </w:p>
          <w:p w14:paraId="48A5DB62">
            <w:pPr>
              <w:spacing w:line="268" w:lineRule="auto"/>
              <w:rPr>
                <w:rFonts w:ascii="Arial"/>
                <w:color w:val="auto"/>
                <w:sz w:val="21"/>
                <w:highlight w:val="none"/>
              </w:rPr>
            </w:pPr>
          </w:p>
          <w:p w14:paraId="6BE7B335">
            <w:pPr>
              <w:pStyle w:val="35"/>
              <w:spacing w:before="78" w:line="219" w:lineRule="auto"/>
              <w:ind w:left="214"/>
              <w:rPr>
                <w:color w:val="auto"/>
                <w:highlight w:val="none"/>
              </w:rPr>
            </w:pPr>
            <w:r>
              <w:rPr>
                <w:color w:val="auto"/>
                <w:spacing w:val="-2"/>
                <w:highlight w:val="none"/>
              </w:rPr>
              <w:t>相关工作年限</w:t>
            </w:r>
          </w:p>
        </w:tc>
        <w:tc>
          <w:tcPr>
            <w:tcW w:w="2594" w:type="dxa"/>
            <w:vAlign w:val="top"/>
          </w:tcPr>
          <w:p w14:paraId="56926243">
            <w:pPr>
              <w:rPr>
                <w:rFonts w:ascii="Arial"/>
                <w:color w:val="auto"/>
                <w:sz w:val="21"/>
                <w:highlight w:val="none"/>
              </w:rPr>
            </w:pPr>
          </w:p>
        </w:tc>
      </w:tr>
    </w:tbl>
    <w:p w14:paraId="1947D47F">
      <w:pPr>
        <w:spacing w:line="250" w:lineRule="auto"/>
        <w:rPr>
          <w:rFonts w:ascii="Arial"/>
          <w:color w:val="auto"/>
          <w:sz w:val="21"/>
          <w:highlight w:val="none"/>
        </w:rPr>
      </w:pPr>
    </w:p>
    <w:p w14:paraId="52A23A78">
      <w:pPr>
        <w:spacing w:line="251" w:lineRule="auto"/>
        <w:rPr>
          <w:rFonts w:ascii="Arial"/>
          <w:color w:val="auto"/>
          <w:sz w:val="21"/>
          <w:highlight w:val="none"/>
        </w:rPr>
      </w:pPr>
    </w:p>
    <w:p w14:paraId="1ABBEBDA">
      <w:pPr>
        <w:pStyle w:val="8"/>
        <w:spacing w:before="78" w:line="219" w:lineRule="auto"/>
        <w:ind w:left="936"/>
        <w:rPr>
          <w:color w:val="auto"/>
          <w:highlight w:val="none"/>
        </w:rPr>
      </w:pPr>
      <w:r>
        <w:rPr>
          <w:color w:val="auto"/>
          <w:spacing w:val="-2"/>
          <w:highlight w:val="none"/>
        </w:rPr>
        <w:t>供应商名称（盖章</w:t>
      </w:r>
      <w:r>
        <w:rPr>
          <w:color w:val="auto"/>
          <w:spacing w:val="-63"/>
          <w:w w:val="99"/>
          <w:highlight w:val="none"/>
        </w:rPr>
        <w:t>）：</w:t>
      </w:r>
    </w:p>
    <w:p w14:paraId="7308D19B">
      <w:pPr>
        <w:pStyle w:val="8"/>
        <w:spacing w:before="184" w:line="219" w:lineRule="auto"/>
        <w:ind w:left="935"/>
        <w:rPr>
          <w:color w:val="auto"/>
          <w:highlight w:val="none"/>
        </w:rPr>
      </w:pPr>
      <w:r>
        <w:rPr>
          <w:color w:val="auto"/>
          <w:spacing w:val="-2"/>
          <w:highlight w:val="none"/>
        </w:rPr>
        <w:t>授权代表人（签字</w:t>
      </w:r>
      <w:r>
        <w:rPr>
          <w:color w:val="auto"/>
          <w:spacing w:val="-65"/>
          <w:highlight w:val="none"/>
        </w:rPr>
        <w:t>）：</w:t>
      </w:r>
    </w:p>
    <w:p w14:paraId="3B9E0540">
      <w:pPr>
        <w:pStyle w:val="8"/>
        <w:spacing w:before="183" w:line="219" w:lineRule="auto"/>
        <w:ind w:left="1037"/>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4E4D5D38">
      <w:pPr>
        <w:spacing w:line="219" w:lineRule="auto"/>
        <w:rPr>
          <w:color w:val="auto"/>
          <w:highlight w:val="none"/>
        </w:rPr>
        <w:sectPr>
          <w:footerReference r:id="rId20" w:type="default"/>
          <w:pgSz w:w="11906" w:h="16839"/>
          <w:pgMar w:top="1117" w:right="933" w:bottom="1157" w:left="933" w:header="822" w:footer="992" w:gutter="0"/>
          <w:pgNumType w:fmt="decimal"/>
          <w:cols w:space="720" w:num="1"/>
        </w:sectPr>
      </w:pPr>
    </w:p>
    <w:p w14:paraId="77B32966">
      <w:pPr>
        <w:pStyle w:val="8"/>
        <w:spacing w:before="130" w:line="219" w:lineRule="auto"/>
        <w:ind w:left="147"/>
        <w:rPr>
          <w:color w:val="auto"/>
          <w:sz w:val="30"/>
          <w:szCs w:val="30"/>
          <w:highlight w:val="none"/>
        </w:rPr>
      </w:pPr>
      <w:r>
        <w:rPr>
          <w:b/>
          <w:bCs/>
          <w:color w:val="auto"/>
          <w:spacing w:val="-10"/>
          <w:sz w:val="30"/>
          <w:szCs w:val="30"/>
          <w:highlight w:val="none"/>
        </w:rPr>
        <w:t>附件十二：</w:t>
      </w:r>
    </w:p>
    <w:p w14:paraId="2CFE1DEE">
      <w:pPr>
        <w:pStyle w:val="8"/>
        <w:spacing w:before="248" w:line="219" w:lineRule="auto"/>
        <w:ind w:left="3029"/>
        <w:outlineLvl w:val="0"/>
        <w:rPr>
          <w:color w:val="auto"/>
          <w:sz w:val="30"/>
          <w:szCs w:val="30"/>
          <w:highlight w:val="none"/>
        </w:rPr>
      </w:pPr>
      <w:r>
        <w:rPr>
          <w:b/>
          <w:bCs/>
          <w:color w:val="auto"/>
          <w:spacing w:val="-4"/>
          <w:sz w:val="30"/>
          <w:szCs w:val="30"/>
          <w:highlight w:val="none"/>
        </w:rPr>
        <w:t>本项目主要人员配备表</w:t>
      </w:r>
    </w:p>
    <w:p w14:paraId="65B7D796">
      <w:pPr>
        <w:spacing w:before="9"/>
        <w:rPr>
          <w:color w:val="auto"/>
          <w:highlight w:val="none"/>
        </w:rPr>
      </w:pPr>
    </w:p>
    <w:p w14:paraId="3A56B8ED">
      <w:pPr>
        <w:spacing w:before="8"/>
        <w:rPr>
          <w:color w:val="auto"/>
          <w:highlight w:val="none"/>
        </w:rPr>
      </w:pPr>
    </w:p>
    <w:tbl>
      <w:tblPr>
        <w:tblStyle w:val="36"/>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82"/>
        <w:gridCol w:w="936"/>
        <w:gridCol w:w="1051"/>
        <w:gridCol w:w="1052"/>
        <w:gridCol w:w="1127"/>
        <w:gridCol w:w="1700"/>
        <w:gridCol w:w="1705"/>
      </w:tblGrid>
      <w:tr w14:paraId="21FE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83" w:type="dxa"/>
            <w:textDirection w:val="tbRlV"/>
            <w:vAlign w:val="top"/>
          </w:tcPr>
          <w:p w14:paraId="47C7067F">
            <w:pPr>
              <w:pStyle w:val="35"/>
              <w:spacing w:before="219" w:line="210" w:lineRule="auto"/>
              <w:ind w:left="200"/>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282" w:type="dxa"/>
            <w:vAlign w:val="top"/>
          </w:tcPr>
          <w:p w14:paraId="38EFC405">
            <w:pPr>
              <w:spacing w:line="370" w:lineRule="auto"/>
              <w:rPr>
                <w:rFonts w:ascii="Arial"/>
                <w:color w:val="auto"/>
                <w:sz w:val="21"/>
                <w:highlight w:val="none"/>
              </w:rPr>
            </w:pPr>
          </w:p>
          <w:p w14:paraId="3B3061EB">
            <w:pPr>
              <w:pStyle w:val="35"/>
              <w:spacing w:before="78" w:line="219" w:lineRule="auto"/>
              <w:ind w:left="406"/>
              <w:rPr>
                <w:color w:val="auto"/>
                <w:highlight w:val="none"/>
              </w:rPr>
            </w:pPr>
            <w:r>
              <w:rPr>
                <w:color w:val="auto"/>
                <w:spacing w:val="-5"/>
                <w:highlight w:val="none"/>
              </w:rPr>
              <w:t>姓名</w:t>
            </w:r>
          </w:p>
        </w:tc>
        <w:tc>
          <w:tcPr>
            <w:tcW w:w="936" w:type="dxa"/>
            <w:vAlign w:val="top"/>
          </w:tcPr>
          <w:p w14:paraId="38ECE08C">
            <w:pPr>
              <w:spacing w:line="370" w:lineRule="auto"/>
              <w:rPr>
                <w:rFonts w:ascii="Arial"/>
                <w:color w:val="auto"/>
                <w:sz w:val="21"/>
                <w:highlight w:val="none"/>
              </w:rPr>
            </w:pPr>
          </w:p>
          <w:p w14:paraId="28547B0D">
            <w:pPr>
              <w:pStyle w:val="35"/>
              <w:spacing w:before="78" w:line="220" w:lineRule="auto"/>
              <w:ind w:left="235"/>
              <w:rPr>
                <w:color w:val="auto"/>
                <w:highlight w:val="none"/>
              </w:rPr>
            </w:pPr>
            <w:r>
              <w:rPr>
                <w:color w:val="auto"/>
                <w:spacing w:val="-7"/>
                <w:highlight w:val="none"/>
              </w:rPr>
              <w:t>性别</w:t>
            </w:r>
          </w:p>
        </w:tc>
        <w:tc>
          <w:tcPr>
            <w:tcW w:w="1051" w:type="dxa"/>
            <w:vAlign w:val="top"/>
          </w:tcPr>
          <w:p w14:paraId="283EF8C3">
            <w:pPr>
              <w:spacing w:line="370" w:lineRule="auto"/>
              <w:rPr>
                <w:rFonts w:ascii="Arial"/>
                <w:color w:val="auto"/>
                <w:sz w:val="21"/>
                <w:highlight w:val="none"/>
              </w:rPr>
            </w:pPr>
          </w:p>
          <w:p w14:paraId="25B76923">
            <w:pPr>
              <w:pStyle w:val="35"/>
              <w:spacing w:before="78" w:line="219" w:lineRule="auto"/>
              <w:ind w:left="293"/>
              <w:rPr>
                <w:color w:val="auto"/>
                <w:highlight w:val="none"/>
              </w:rPr>
            </w:pPr>
            <w:r>
              <w:rPr>
                <w:color w:val="auto"/>
                <w:spacing w:val="-6"/>
                <w:highlight w:val="none"/>
              </w:rPr>
              <w:t>年龄</w:t>
            </w:r>
          </w:p>
        </w:tc>
        <w:tc>
          <w:tcPr>
            <w:tcW w:w="1052" w:type="dxa"/>
            <w:vAlign w:val="top"/>
          </w:tcPr>
          <w:p w14:paraId="0A4626E5">
            <w:pPr>
              <w:spacing w:line="370" w:lineRule="auto"/>
              <w:rPr>
                <w:rFonts w:ascii="Arial"/>
                <w:color w:val="auto"/>
                <w:sz w:val="21"/>
                <w:highlight w:val="none"/>
              </w:rPr>
            </w:pPr>
          </w:p>
          <w:p w14:paraId="6E266D18">
            <w:pPr>
              <w:pStyle w:val="35"/>
              <w:spacing w:before="78" w:line="221" w:lineRule="auto"/>
              <w:ind w:left="294"/>
              <w:rPr>
                <w:color w:val="auto"/>
                <w:highlight w:val="none"/>
              </w:rPr>
            </w:pPr>
            <w:r>
              <w:rPr>
                <w:color w:val="auto"/>
                <w:spacing w:val="-6"/>
                <w:highlight w:val="none"/>
              </w:rPr>
              <w:t>职称</w:t>
            </w:r>
          </w:p>
        </w:tc>
        <w:tc>
          <w:tcPr>
            <w:tcW w:w="1127" w:type="dxa"/>
            <w:vAlign w:val="top"/>
          </w:tcPr>
          <w:p w14:paraId="6B355F1A">
            <w:pPr>
              <w:pStyle w:val="35"/>
              <w:spacing w:before="200" w:line="220" w:lineRule="auto"/>
              <w:ind w:left="330"/>
              <w:rPr>
                <w:color w:val="auto"/>
                <w:highlight w:val="none"/>
              </w:rPr>
            </w:pPr>
            <w:r>
              <w:rPr>
                <w:color w:val="auto"/>
                <w:spacing w:val="-5"/>
                <w:highlight w:val="none"/>
              </w:rPr>
              <w:t>所学</w:t>
            </w:r>
          </w:p>
          <w:p w14:paraId="48710477">
            <w:pPr>
              <w:pStyle w:val="35"/>
              <w:spacing w:before="213" w:line="220" w:lineRule="auto"/>
              <w:ind w:left="331"/>
              <w:rPr>
                <w:color w:val="auto"/>
                <w:highlight w:val="none"/>
              </w:rPr>
            </w:pPr>
            <w:r>
              <w:rPr>
                <w:color w:val="auto"/>
                <w:spacing w:val="-6"/>
                <w:highlight w:val="none"/>
              </w:rPr>
              <w:t>专业</w:t>
            </w:r>
          </w:p>
        </w:tc>
        <w:tc>
          <w:tcPr>
            <w:tcW w:w="1700" w:type="dxa"/>
            <w:vAlign w:val="top"/>
          </w:tcPr>
          <w:p w14:paraId="6A247E66">
            <w:pPr>
              <w:pStyle w:val="35"/>
              <w:spacing w:before="200" w:line="307" w:lineRule="auto"/>
              <w:ind w:left="257" w:right="127" w:hanging="120"/>
              <w:rPr>
                <w:color w:val="auto"/>
                <w:highlight w:val="none"/>
              </w:rPr>
            </w:pPr>
            <w:r>
              <w:rPr>
                <w:color w:val="auto"/>
                <w:spacing w:val="-2"/>
                <w:highlight w:val="none"/>
              </w:rPr>
              <w:t>拟在本项目中</w:t>
            </w:r>
            <w:r>
              <w:rPr>
                <w:color w:val="auto"/>
                <w:spacing w:val="-3"/>
                <w:highlight w:val="none"/>
              </w:rPr>
              <w:t>担任的工作</w:t>
            </w:r>
          </w:p>
        </w:tc>
        <w:tc>
          <w:tcPr>
            <w:tcW w:w="1705" w:type="dxa"/>
            <w:vAlign w:val="top"/>
          </w:tcPr>
          <w:p w14:paraId="25098A55">
            <w:pPr>
              <w:pStyle w:val="35"/>
              <w:spacing w:before="200" w:line="220" w:lineRule="auto"/>
              <w:ind w:left="498"/>
              <w:rPr>
                <w:color w:val="auto"/>
                <w:highlight w:val="none"/>
              </w:rPr>
            </w:pPr>
            <w:r>
              <w:rPr>
                <w:color w:val="auto"/>
                <w:spacing w:val="-4"/>
                <w:highlight w:val="none"/>
              </w:rPr>
              <w:t>相关工</w:t>
            </w:r>
          </w:p>
          <w:p w14:paraId="1A423283">
            <w:pPr>
              <w:pStyle w:val="35"/>
              <w:spacing w:before="213" w:line="219" w:lineRule="auto"/>
              <w:ind w:left="499"/>
              <w:rPr>
                <w:color w:val="auto"/>
                <w:highlight w:val="none"/>
              </w:rPr>
            </w:pPr>
            <w:r>
              <w:rPr>
                <w:color w:val="auto"/>
                <w:spacing w:val="-4"/>
                <w:highlight w:val="none"/>
              </w:rPr>
              <w:t>作年限</w:t>
            </w:r>
          </w:p>
        </w:tc>
      </w:tr>
      <w:tr w14:paraId="4C74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76CE99BC">
            <w:pPr>
              <w:rPr>
                <w:rFonts w:ascii="Arial"/>
                <w:color w:val="auto"/>
                <w:sz w:val="21"/>
                <w:highlight w:val="none"/>
              </w:rPr>
            </w:pPr>
          </w:p>
        </w:tc>
        <w:tc>
          <w:tcPr>
            <w:tcW w:w="1282" w:type="dxa"/>
            <w:vAlign w:val="top"/>
          </w:tcPr>
          <w:p w14:paraId="52CE0DF8">
            <w:pPr>
              <w:rPr>
                <w:rFonts w:ascii="Arial"/>
                <w:color w:val="auto"/>
                <w:sz w:val="21"/>
                <w:highlight w:val="none"/>
              </w:rPr>
            </w:pPr>
          </w:p>
        </w:tc>
        <w:tc>
          <w:tcPr>
            <w:tcW w:w="936" w:type="dxa"/>
            <w:vAlign w:val="top"/>
          </w:tcPr>
          <w:p w14:paraId="0EA9382B">
            <w:pPr>
              <w:rPr>
                <w:rFonts w:ascii="Arial"/>
                <w:color w:val="auto"/>
                <w:sz w:val="21"/>
                <w:highlight w:val="none"/>
              </w:rPr>
            </w:pPr>
          </w:p>
        </w:tc>
        <w:tc>
          <w:tcPr>
            <w:tcW w:w="1051" w:type="dxa"/>
            <w:vAlign w:val="top"/>
          </w:tcPr>
          <w:p w14:paraId="5AE84A43">
            <w:pPr>
              <w:rPr>
                <w:rFonts w:ascii="Arial"/>
                <w:color w:val="auto"/>
                <w:sz w:val="21"/>
                <w:highlight w:val="none"/>
              </w:rPr>
            </w:pPr>
          </w:p>
        </w:tc>
        <w:tc>
          <w:tcPr>
            <w:tcW w:w="1052" w:type="dxa"/>
            <w:vAlign w:val="top"/>
          </w:tcPr>
          <w:p w14:paraId="321B5999">
            <w:pPr>
              <w:rPr>
                <w:rFonts w:ascii="Arial"/>
                <w:color w:val="auto"/>
                <w:sz w:val="21"/>
                <w:highlight w:val="none"/>
              </w:rPr>
            </w:pPr>
          </w:p>
        </w:tc>
        <w:tc>
          <w:tcPr>
            <w:tcW w:w="1127" w:type="dxa"/>
            <w:vAlign w:val="top"/>
          </w:tcPr>
          <w:p w14:paraId="20812B3F">
            <w:pPr>
              <w:rPr>
                <w:rFonts w:ascii="Arial"/>
                <w:color w:val="auto"/>
                <w:sz w:val="21"/>
                <w:highlight w:val="none"/>
              </w:rPr>
            </w:pPr>
          </w:p>
        </w:tc>
        <w:tc>
          <w:tcPr>
            <w:tcW w:w="1700" w:type="dxa"/>
            <w:vAlign w:val="top"/>
          </w:tcPr>
          <w:p w14:paraId="679F1848">
            <w:pPr>
              <w:rPr>
                <w:rFonts w:ascii="Arial"/>
                <w:color w:val="auto"/>
                <w:sz w:val="21"/>
                <w:highlight w:val="none"/>
              </w:rPr>
            </w:pPr>
          </w:p>
        </w:tc>
        <w:tc>
          <w:tcPr>
            <w:tcW w:w="1705" w:type="dxa"/>
            <w:vAlign w:val="top"/>
          </w:tcPr>
          <w:p w14:paraId="728A5A5C">
            <w:pPr>
              <w:rPr>
                <w:rFonts w:ascii="Arial"/>
                <w:color w:val="auto"/>
                <w:sz w:val="21"/>
                <w:highlight w:val="none"/>
              </w:rPr>
            </w:pPr>
          </w:p>
        </w:tc>
      </w:tr>
      <w:tr w14:paraId="3A3A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4319EF47">
            <w:pPr>
              <w:rPr>
                <w:rFonts w:ascii="Arial"/>
                <w:color w:val="auto"/>
                <w:sz w:val="21"/>
                <w:highlight w:val="none"/>
              </w:rPr>
            </w:pPr>
          </w:p>
        </w:tc>
        <w:tc>
          <w:tcPr>
            <w:tcW w:w="1282" w:type="dxa"/>
            <w:vAlign w:val="top"/>
          </w:tcPr>
          <w:p w14:paraId="4569BDCE">
            <w:pPr>
              <w:rPr>
                <w:rFonts w:ascii="Arial"/>
                <w:color w:val="auto"/>
                <w:sz w:val="21"/>
                <w:highlight w:val="none"/>
              </w:rPr>
            </w:pPr>
          </w:p>
        </w:tc>
        <w:tc>
          <w:tcPr>
            <w:tcW w:w="936" w:type="dxa"/>
            <w:vAlign w:val="top"/>
          </w:tcPr>
          <w:p w14:paraId="168E95D4">
            <w:pPr>
              <w:rPr>
                <w:rFonts w:ascii="Arial"/>
                <w:color w:val="auto"/>
                <w:sz w:val="21"/>
                <w:highlight w:val="none"/>
              </w:rPr>
            </w:pPr>
          </w:p>
        </w:tc>
        <w:tc>
          <w:tcPr>
            <w:tcW w:w="1051" w:type="dxa"/>
            <w:vAlign w:val="top"/>
          </w:tcPr>
          <w:p w14:paraId="3E0FA08D">
            <w:pPr>
              <w:rPr>
                <w:rFonts w:ascii="Arial"/>
                <w:color w:val="auto"/>
                <w:sz w:val="21"/>
                <w:highlight w:val="none"/>
              </w:rPr>
            </w:pPr>
          </w:p>
        </w:tc>
        <w:tc>
          <w:tcPr>
            <w:tcW w:w="1052" w:type="dxa"/>
            <w:vAlign w:val="top"/>
          </w:tcPr>
          <w:p w14:paraId="0F0DF8B1">
            <w:pPr>
              <w:rPr>
                <w:rFonts w:ascii="Arial"/>
                <w:color w:val="auto"/>
                <w:sz w:val="21"/>
                <w:highlight w:val="none"/>
              </w:rPr>
            </w:pPr>
          </w:p>
        </w:tc>
        <w:tc>
          <w:tcPr>
            <w:tcW w:w="1127" w:type="dxa"/>
            <w:vAlign w:val="top"/>
          </w:tcPr>
          <w:p w14:paraId="6B58804B">
            <w:pPr>
              <w:rPr>
                <w:rFonts w:ascii="Arial"/>
                <w:color w:val="auto"/>
                <w:sz w:val="21"/>
                <w:highlight w:val="none"/>
              </w:rPr>
            </w:pPr>
          </w:p>
        </w:tc>
        <w:tc>
          <w:tcPr>
            <w:tcW w:w="1700" w:type="dxa"/>
            <w:vAlign w:val="top"/>
          </w:tcPr>
          <w:p w14:paraId="00A55A87">
            <w:pPr>
              <w:rPr>
                <w:rFonts w:ascii="Arial"/>
                <w:color w:val="auto"/>
                <w:sz w:val="21"/>
                <w:highlight w:val="none"/>
              </w:rPr>
            </w:pPr>
          </w:p>
        </w:tc>
        <w:tc>
          <w:tcPr>
            <w:tcW w:w="1705" w:type="dxa"/>
            <w:vAlign w:val="top"/>
          </w:tcPr>
          <w:p w14:paraId="5CE82799">
            <w:pPr>
              <w:rPr>
                <w:rFonts w:ascii="Arial"/>
                <w:color w:val="auto"/>
                <w:sz w:val="21"/>
                <w:highlight w:val="none"/>
              </w:rPr>
            </w:pPr>
          </w:p>
        </w:tc>
      </w:tr>
      <w:tr w14:paraId="5D28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1B96AFD5">
            <w:pPr>
              <w:rPr>
                <w:rFonts w:ascii="Arial"/>
                <w:color w:val="auto"/>
                <w:sz w:val="21"/>
                <w:highlight w:val="none"/>
              </w:rPr>
            </w:pPr>
          </w:p>
        </w:tc>
        <w:tc>
          <w:tcPr>
            <w:tcW w:w="1282" w:type="dxa"/>
            <w:vAlign w:val="top"/>
          </w:tcPr>
          <w:p w14:paraId="536F6BD8">
            <w:pPr>
              <w:rPr>
                <w:rFonts w:ascii="Arial"/>
                <w:color w:val="auto"/>
                <w:sz w:val="21"/>
                <w:highlight w:val="none"/>
              </w:rPr>
            </w:pPr>
          </w:p>
        </w:tc>
        <w:tc>
          <w:tcPr>
            <w:tcW w:w="936" w:type="dxa"/>
            <w:vAlign w:val="top"/>
          </w:tcPr>
          <w:p w14:paraId="08BAD341">
            <w:pPr>
              <w:rPr>
                <w:rFonts w:ascii="Arial"/>
                <w:color w:val="auto"/>
                <w:sz w:val="21"/>
                <w:highlight w:val="none"/>
              </w:rPr>
            </w:pPr>
          </w:p>
        </w:tc>
        <w:tc>
          <w:tcPr>
            <w:tcW w:w="1051" w:type="dxa"/>
            <w:vAlign w:val="top"/>
          </w:tcPr>
          <w:p w14:paraId="5F82F318">
            <w:pPr>
              <w:rPr>
                <w:rFonts w:ascii="Arial"/>
                <w:color w:val="auto"/>
                <w:sz w:val="21"/>
                <w:highlight w:val="none"/>
              </w:rPr>
            </w:pPr>
          </w:p>
        </w:tc>
        <w:tc>
          <w:tcPr>
            <w:tcW w:w="1052" w:type="dxa"/>
            <w:vAlign w:val="top"/>
          </w:tcPr>
          <w:p w14:paraId="774DE8FC">
            <w:pPr>
              <w:rPr>
                <w:rFonts w:ascii="Arial"/>
                <w:color w:val="auto"/>
                <w:sz w:val="21"/>
                <w:highlight w:val="none"/>
              </w:rPr>
            </w:pPr>
          </w:p>
        </w:tc>
        <w:tc>
          <w:tcPr>
            <w:tcW w:w="1127" w:type="dxa"/>
            <w:vAlign w:val="top"/>
          </w:tcPr>
          <w:p w14:paraId="77C822DD">
            <w:pPr>
              <w:rPr>
                <w:rFonts w:ascii="Arial"/>
                <w:color w:val="auto"/>
                <w:sz w:val="21"/>
                <w:highlight w:val="none"/>
              </w:rPr>
            </w:pPr>
          </w:p>
        </w:tc>
        <w:tc>
          <w:tcPr>
            <w:tcW w:w="1700" w:type="dxa"/>
            <w:vAlign w:val="top"/>
          </w:tcPr>
          <w:p w14:paraId="471D4782">
            <w:pPr>
              <w:rPr>
                <w:rFonts w:ascii="Arial"/>
                <w:color w:val="auto"/>
                <w:sz w:val="21"/>
                <w:highlight w:val="none"/>
              </w:rPr>
            </w:pPr>
          </w:p>
        </w:tc>
        <w:tc>
          <w:tcPr>
            <w:tcW w:w="1705" w:type="dxa"/>
            <w:vAlign w:val="top"/>
          </w:tcPr>
          <w:p w14:paraId="12514328">
            <w:pPr>
              <w:rPr>
                <w:rFonts w:ascii="Arial"/>
                <w:color w:val="auto"/>
                <w:sz w:val="21"/>
                <w:highlight w:val="none"/>
              </w:rPr>
            </w:pPr>
          </w:p>
        </w:tc>
      </w:tr>
      <w:tr w14:paraId="5AB0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348E1597">
            <w:pPr>
              <w:rPr>
                <w:rFonts w:ascii="Arial"/>
                <w:color w:val="auto"/>
                <w:sz w:val="21"/>
                <w:highlight w:val="none"/>
              </w:rPr>
            </w:pPr>
          </w:p>
        </w:tc>
        <w:tc>
          <w:tcPr>
            <w:tcW w:w="1282" w:type="dxa"/>
            <w:vAlign w:val="top"/>
          </w:tcPr>
          <w:p w14:paraId="72B8975D">
            <w:pPr>
              <w:rPr>
                <w:rFonts w:ascii="Arial"/>
                <w:color w:val="auto"/>
                <w:sz w:val="21"/>
                <w:highlight w:val="none"/>
              </w:rPr>
            </w:pPr>
          </w:p>
        </w:tc>
        <w:tc>
          <w:tcPr>
            <w:tcW w:w="936" w:type="dxa"/>
            <w:vAlign w:val="top"/>
          </w:tcPr>
          <w:p w14:paraId="1C6B4E7E">
            <w:pPr>
              <w:rPr>
                <w:rFonts w:ascii="Arial"/>
                <w:color w:val="auto"/>
                <w:sz w:val="21"/>
                <w:highlight w:val="none"/>
              </w:rPr>
            </w:pPr>
          </w:p>
        </w:tc>
        <w:tc>
          <w:tcPr>
            <w:tcW w:w="1051" w:type="dxa"/>
            <w:vAlign w:val="top"/>
          </w:tcPr>
          <w:p w14:paraId="2EDBF9F5">
            <w:pPr>
              <w:rPr>
                <w:rFonts w:ascii="Arial"/>
                <w:color w:val="auto"/>
                <w:sz w:val="21"/>
                <w:highlight w:val="none"/>
              </w:rPr>
            </w:pPr>
          </w:p>
        </w:tc>
        <w:tc>
          <w:tcPr>
            <w:tcW w:w="1052" w:type="dxa"/>
            <w:vAlign w:val="top"/>
          </w:tcPr>
          <w:p w14:paraId="697A64DD">
            <w:pPr>
              <w:rPr>
                <w:rFonts w:ascii="Arial"/>
                <w:color w:val="auto"/>
                <w:sz w:val="21"/>
                <w:highlight w:val="none"/>
              </w:rPr>
            </w:pPr>
          </w:p>
        </w:tc>
        <w:tc>
          <w:tcPr>
            <w:tcW w:w="1127" w:type="dxa"/>
            <w:vAlign w:val="top"/>
          </w:tcPr>
          <w:p w14:paraId="2AEF9A9A">
            <w:pPr>
              <w:rPr>
                <w:rFonts w:ascii="Arial"/>
                <w:color w:val="auto"/>
                <w:sz w:val="21"/>
                <w:highlight w:val="none"/>
              </w:rPr>
            </w:pPr>
          </w:p>
        </w:tc>
        <w:tc>
          <w:tcPr>
            <w:tcW w:w="1700" w:type="dxa"/>
            <w:vAlign w:val="top"/>
          </w:tcPr>
          <w:p w14:paraId="04F4E83F">
            <w:pPr>
              <w:rPr>
                <w:rFonts w:ascii="Arial"/>
                <w:color w:val="auto"/>
                <w:sz w:val="21"/>
                <w:highlight w:val="none"/>
              </w:rPr>
            </w:pPr>
          </w:p>
        </w:tc>
        <w:tc>
          <w:tcPr>
            <w:tcW w:w="1705" w:type="dxa"/>
            <w:vAlign w:val="top"/>
          </w:tcPr>
          <w:p w14:paraId="0AB5315A">
            <w:pPr>
              <w:rPr>
                <w:rFonts w:ascii="Arial"/>
                <w:color w:val="auto"/>
                <w:sz w:val="21"/>
                <w:highlight w:val="none"/>
              </w:rPr>
            </w:pPr>
          </w:p>
        </w:tc>
      </w:tr>
      <w:tr w14:paraId="122F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08B57202">
            <w:pPr>
              <w:rPr>
                <w:rFonts w:ascii="Arial"/>
                <w:color w:val="auto"/>
                <w:sz w:val="21"/>
                <w:highlight w:val="none"/>
              </w:rPr>
            </w:pPr>
          </w:p>
        </w:tc>
        <w:tc>
          <w:tcPr>
            <w:tcW w:w="1282" w:type="dxa"/>
            <w:vAlign w:val="top"/>
          </w:tcPr>
          <w:p w14:paraId="3993E5DF">
            <w:pPr>
              <w:rPr>
                <w:rFonts w:ascii="Arial"/>
                <w:color w:val="auto"/>
                <w:sz w:val="21"/>
                <w:highlight w:val="none"/>
              </w:rPr>
            </w:pPr>
          </w:p>
        </w:tc>
        <w:tc>
          <w:tcPr>
            <w:tcW w:w="936" w:type="dxa"/>
            <w:vAlign w:val="top"/>
          </w:tcPr>
          <w:p w14:paraId="1F107DDF">
            <w:pPr>
              <w:rPr>
                <w:rFonts w:ascii="Arial"/>
                <w:color w:val="auto"/>
                <w:sz w:val="21"/>
                <w:highlight w:val="none"/>
              </w:rPr>
            </w:pPr>
          </w:p>
        </w:tc>
        <w:tc>
          <w:tcPr>
            <w:tcW w:w="1051" w:type="dxa"/>
            <w:vAlign w:val="top"/>
          </w:tcPr>
          <w:p w14:paraId="04E3D61D">
            <w:pPr>
              <w:rPr>
                <w:rFonts w:ascii="Arial"/>
                <w:color w:val="auto"/>
                <w:sz w:val="21"/>
                <w:highlight w:val="none"/>
              </w:rPr>
            </w:pPr>
          </w:p>
        </w:tc>
        <w:tc>
          <w:tcPr>
            <w:tcW w:w="1052" w:type="dxa"/>
            <w:vAlign w:val="top"/>
          </w:tcPr>
          <w:p w14:paraId="270694E6">
            <w:pPr>
              <w:rPr>
                <w:rFonts w:ascii="Arial"/>
                <w:color w:val="auto"/>
                <w:sz w:val="21"/>
                <w:highlight w:val="none"/>
              </w:rPr>
            </w:pPr>
          </w:p>
        </w:tc>
        <w:tc>
          <w:tcPr>
            <w:tcW w:w="1127" w:type="dxa"/>
            <w:vAlign w:val="top"/>
          </w:tcPr>
          <w:p w14:paraId="31FDC973">
            <w:pPr>
              <w:rPr>
                <w:rFonts w:ascii="Arial"/>
                <w:color w:val="auto"/>
                <w:sz w:val="21"/>
                <w:highlight w:val="none"/>
              </w:rPr>
            </w:pPr>
          </w:p>
        </w:tc>
        <w:tc>
          <w:tcPr>
            <w:tcW w:w="1700" w:type="dxa"/>
            <w:vAlign w:val="top"/>
          </w:tcPr>
          <w:p w14:paraId="7BA972A2">
            <w:pPr>
              <w:rPr>
                <w:rFonts w:ascii="Arial"/>
                <w:color w:val="auto"/>
                <w:sz w:val="21"/>
                <w:highlight w:val="none"/>
              </w:rPr>
            </w:pPr>
          </w:p>
        </w:tc>
        <w:tc>
          <w:tcPr>
            <w:tcW w:w="1705" w:type="dxa"/>
            <w:vAlign w:val="top"/>
          </w:tcPr>
          <w:p w14:paraId="6CAC6056">
            <w:pPr>
              <w:rPr>
                <w:rFonts w:ascii="Arial"/>
                <w:color w:val="auto"/>
                <w:sz w:val="21"/>
                <w:highlight w:val="none"/>
              </w:rPr>
            </w:pPr>
          </w:p>
        </w:tc>
      </w:tr>
      <w:tr w14:paraId="04B3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3142EE1A">
            <w:pPr>
              <w:rPr>
                <w:rFonts w:ascii="Arial"/>
                <w:color w:val="auto"/>
                <w:sz w:val="21"/>
                <w:highlight w:val="none"/>
              </w:rPr>
            </w:pPr>
          </w:p>
        </w:tc>
        <w:tc>
          <w:tcPr>
            <w:tcW w:w="1282" w:type="dxa"/>
            <w:vAlign w:val="top"/>
          </w:tcPr>
          <w:p w14:paraId="343651A7">
            <w:pPr>
              <w:rPr>
                <w:rFonts w:ascii="Arial"/>
                <w:color w:val="auto"/>
                <w:sz w:val="21"/>
                <w:highlight w:val="none"/>
              </w:rPr>
            </w:pPr>
          </w:p>
        </w:tc>
        <w:tc>
          <w:tcPr>
            <w:tcW w:w="936" w:type="dxa"/>
            <w:vAlign w:val="top"/>
          </w:tcPr>
          <w:p w14:paraId="246DDB45">
            <w:pPr>
              <w:rPr>
                <w:rFonts w:ascii="Arial"/>
                <w:color w:val="auto"/>
                <w:sz w:val="21"/>
                <w:highlight w:val="none"/>
              </w:rPr>
            </w:pPr>
          </w:p>
        </w:tc>
        <w:tc>
          <w:tcPr>
            <w:tcW w:w="1051" w:type="dxa"/>
            <w:vAlign w:val="top"/>
          </w:tcPr>
          <w:p w14:paraId="04184351">
            <w:pPr>
              <w:rPr>
                <w:rFonts w:ascii="Arial"/>
                <w:color w:val="auto"/>
                <w:sz w:val="21"/>
                <w:highlight w:val="none"/>
              </w:rPr>
            </w:pPr>
          </w:p>
        </w:tc>
        <w:tc>
          <w:tcPr>
            <w:tcW w:w="1052" w:type="dxa"/>
            <w:vAlign w:val="top"/>
          </w:tcPr>
          <w:p w14:paraId="46075C32">
            <w:pPr>
              <w:rPr>
                <w:rFonts w:ascii="Arial"/>
                <w:color w:val="auto"/>
                <w:sz w:val="21"/>
                <w:highlight w:val="none"/>
              </w:rPr>
            </w:pPr>
          </w:p>
        </w:tc>
        <w:tc>
          <w:tcPr>
            <w:tcW w:w="1127" w:type="dxa"/>
            <w:vAlign w:val="top"/>
          </w:tcPr>
          <w:p w14:paraId="62860F4E">
            <w:pPr>
              <w:rPr>
                <w:rFonts w:ascii="Arial"/>
                <w:color w:val="auto"/>
                <w:sz w:val="21"/>
                <w:highlight w:val="none"/>
              </w:rPr>
            </w:pPr>
          </w:p>
        </w:tc>
        <w:tc>
          <w:tcPr>
            <w:tcW w:w="1700" w:type="dxa"/>
            <w:vAlign w:val="top"/>
          </w:tcPr>
          <w:p w14:paraId="6F52D92E">
            <w:pPr>
              <w:rPr>
                <w:rFonts w:ascii="Arial"/>
                <w:color w:val="auto"/>
                <w:sz w:val="21"/>
                <w:highlight w:val="none"/>
              </w:rPr>
            </w:pPr>
          </w:p>
        </w:tc>
        <w:tc>
          <w:tcPr>
            <w:tcW w:w="1705" w:type="dxa"/>
            <w:vAlign w:val="top"/>
          </w:tcPr>
          <w:p w14:paraId="18C4E9B7">
            <w:pPr>
              <w:rPr>
                <w:rFonts w:ascii="Arial"/>
                <w:color w:val="auto"/>
                <w:sz w:val="21"/>
                <w:highlight w:val="none"/>
              </w:rPr>
            </w:pPr>
          </w:p>
        </w:tc>
      </w:tr>
      <w:tr w14:paraId="11B2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661FBD14">
            <w:pPr>
              <w:rPr>
                <w:rFonts w:ascii="Arial"/>
                <w:color w:val="auto"/>
                <w:sz w:val="21"/>
                <w:highlight w:val="none"/>
              </w:rPr>
            </w:pPr>
          </w:p>
        </w:tc>
        <w:tc>
          <w:tcPr>
            <w:tcW w:w="1282" w:type="dxa"/>
            <w:vAlign w:val="top"/>
          </w:tcPr>
          <w:p w14:paraId="46D75E73">
            <w:pPr>
              <w:rPr>
                <w:rFonts w:ascii="Arial"/>
                <w:color w:val="auto"/>
                <w:sz w:val="21"/>
                <w:highlight w:val="none"/>
              </w:rPr>
            </w:pPr>
          </w:p>
        </w:tc>
        <w:tc>
          <w:tcPr>
            <w:tcW w:w="936" w:type="dxa"/>
            <w:vAlign w:val="top"/>
          </w:tcPr>
          <w:p w14:paraId="2C67B539">
            <w:pPr>
              <w:rPr>
                <w:rFonts w:ascii="Arial"/>
                <w:color w:val="auto"/>
                <w:sz w:val="21"/>
                <w:highlight w:val="none"/>
              </w:rPr>
            </w:pPr>
          </w:p>
        </w:tc>
        <w:tc>
          <w:tcPr>
            <w:tcW w:w="1051" w:type="dxa"/>
            <w:vAlign w:val="top"/>
          </w:tcPr>
          <w:p w14:paraId="55366DA0">
            <w:pPr>
              <w:rPr>
                <w:rFonts w:ascii="Arial"/>
                <w:color w:val="auto"/>
                <w:sz w:val="21"/>
                <w:highlight w:val="none"/>
              </w:rPr>
            </w:pPr>
          </w:p>
        </w:tc>
        <w:tc>
          <w:tcPr>
            <w:tcW w:w="1052" w:type="dxa"/>
            <w:vAlign w:val="top"/>
          </w:tcPr>
          <w:p w14:paraId="2FD18769">
            <w:pPr>
              <w:rPr>
                <w:rFonts w:ascii="Arial"/>
                <w:color w:val="auto"/>
                <w:sz w:val="21"/>
                <w:highlight w:val="none"/>
              </w:rPr>
            </w:pPr>
          </w:p>
        </w:tc>
        <w:tc>
          <w:tcPr>
            <w:tcW w:w="1127" w:type="dxa"/>
            <w:vAlign w:val="top"/>
          </w:tcPr>
          <w:p w14:paraId="4CC9B534">
            <w:pPr>
              <w:rPr>
                <w:rFonts w:ascii="Arial"/>
                <w:color w:val="auto"/>
                <w:sz w:val="21"/>
                <w:highlight w:val="none"/>
              </w:rPr>
            </w:pPr>
          </w:p>
        </w:tc>
        <w:tc>
          <w:tcPr>
            <w:tcW w:w="1700" w:type="dxa"/>
            <w:vAlign w:val="top"/>
          </w:tcPr>
          <w:p w14:paraId="2E319157">
            <w:pPr>
              <w:rPr>
                <w:rFonts w:ascii="Arial"/>
                <w:color w:val="auto"/>
                <w:sz w:val="21"/>
                <w:highlight w:val="none"/>
              </w:rPr>
            </w:pPr>
          </w:p>
        </w:tc>
        <w:tc>
          <w:tcPr>
            <w:tcW w:w="1705" w:type="dxa"/>
            <w:vAlign w:val="top"/>
          </w:tcPr>
          <w:p w14:paraId="56F5E535">
            <w:pPr>
              <w:rPr>
                <w:rFonts w:ascii="Arial"/>
                <w:color w:val="auto"/>
                <w:sz w:val="21"/>
                <w:highlight w:val="none"/>
              </w:rPr>
            </w:pPr>
          </w:p>
        </w:tc>
      </w:tr>
      <w:tr w14:paraId="66CF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230E1CE1">
            <w:pPr>
              <w:rPr>
                <w:rFonts w:ascii="Arial"/>
                <w:color w:val="auto"/>
                <w:sz w:val="21"/>
                <w:highlight w:val="none"/>
              </w:rPr>
            </w:pPr>
          </w:p>
        </w:tc>
        <w:tc>
          <w:tcPr>
            <w:tcW w:w="1282" w:type="dxa"/>
            <w:vAlign w:val="top"/>
          </w:tcPr>
          <w:p w14:paraId="5E20B3D8">
            <w:pPr>
              <w:rPr>
                <w:rFonts w:ascii="Arial"/>
                <w:color w:val="auto"/>
                <w:sz w:val="21"/>
                <w:highlight w:val="none"/>
              </w:rPr>
            </w:pPr>
          </w:p>
        </w:tc>
        <w:tc>
          <w:tcPr>
            <w:tcW w:w="936" w:type="dxa"/>
            <w:vAlign w:val="top"/>
          </w:tcPr>
          <w:p w14:paraId="64D3364B">
            <w:pPr>
              <w:rPr>
                <w:rFonts w:ascii="Arial"/>
                <w:color w:val="auto"/>
                <w:sz w:val="21"/>
                <w:highlight w:val="none"/>
              </w:rPr>
            </w:pPr>
          </w:p>
        </w:tc>
        <w:tc>
          <w:tcPr>
            <w:tcW w:w="1051" w:type="dxa"/>
            <w:vAlign w:val="top"/>
          </w:tcPr>
          <w:p w14:paraId="2D6454BC">
            <w:pPr>
              <w:rPr>
                <w:rFonts w:ascii="Arial"/>
                <w:color w:val="auto"/>
                <w:sz w:val="21"/>
                <w:highlight w:val="none"/>
              </w:rPr>
            </w:pPr>
          </w:p>
        </w:tc>
        <w:tc>
          <w:tcPr>
            <w:tcW w:w="1052" w:type="dxa"/>
            <w:vAlign w:val="top"/>
          </w:tcPr>
          <w:p w14:paraId="736CC23F">
            <w:pPr>
              <w:rPr>
                <w:rFonts w:ascii="Arial"/>
                <w:color w:val="auto"/>
                <w:sz w:val="21"/>
                <w:highlight w:val="none"/>
              </w:rPr>
            </w:pPr>
          </w:p>
        </w:tc>
        <w:tc>
          <w:tcPr>
            <w:tcW w:w="1127" w:type="dxa"/>
            <w:vAlign w:val="top"/>
          </w:tcPr>
          <w:p w14:paraId="33339CBE">
            <w:pPr>
              <w:rPr>
                <w:rFonts w:ascii="Arial"/>
                <w:color w:val="auto"/>
                <w:sz w:val="21"/>
                <w:highlight w:val="none"/>
              </w:rPr>
            </w:pPr>
          </w:p>
        </w:tc>
        <w:tc>
          <w:tcPr>
            <w:tcW w:w="1700" w:type="dxa"/>
            <w:vAlign w:val="top"/>
          </w:tcPr>
          <w:p w14:paraId="76328BDF">
            <w:pPr>
              <w:rPr>
                <w:rFonts w:ascii="Arial"/>
                <w:color w:val="auto"/>
                <w:sz w:val="21"/>
                <w:highlight w:val="none"/>
              </w:rPr>
            </w:pPr>
          </w:p>
        </w:tc>
        <w:tc>
          <w:tcPr>
            <w:tcW w:w="1705" w:type="dxa"/>
            <w:vAlign w:val="top"/>
          </w:tcPr>
          <w:p w14:paraId="78BE9F84">
            <w:pPr>
              <w:rPr>
                <w:rFonts w:ascii="Arial"/>
                <w:color w:val="auto"/>
                <w:sz w:val="21"/>
                <w:highlight w:val="none"/>
              </w:rPr>
            </w:pPr>
          </w:p>
        </w:tc>
      </w:tr>
      <w:tr w14:paraId="5B53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3" w:type="dxa"/>
            <w:vAlign w:val="top"/>
          </w:tcPr>
          <w:p w14:paraId="5B7ADC3E">
            <w:pPr>
              <w:rPr>
                <w:rFonts w:ascii="Arial"/>
                <w:color w:val="auto"/>
                <w:sz w:val="21"/>
                <w:highlight w:val="none"/>
              </w:rPr>
            </w:pPr>
          </w:p>
        </w:tc>
        <w:tc>
          <w:tcPr>
            <w:tcW w:w="1282" w:type="dxa"/>
            <w:vAlign w:val="top"/>
          </w:tcPr>
          <w:p w14:paraId="12B78411">
            <w:pPr>
              <w:rPr>
                <w:rFonts w:ascii="Arial"/>
                <w:color w:val="auto"/>
                <w:sz w:val="21"/>
                <w:highlight w:val="none"/>
              </w:rPr>
            </w:pPr>
          </w:p>
        </w:tc>
        <w:tc>
          <w:tcPr>
            <w:tcW w:w="936" w:type="dxa"/>
            <w:vAlign w:val="top"/>
          </w:tcPr>
          <w:p w14:paraId="0DA404FD">
            <w:pPr>
              <w:rPr>
                <w:rFonts w:ascii="Arial"/>
                <w:color w:val="auto"/>
                <w:sz w:val="21"/>
                <w:highlight w:val="none"/>
              </w:rPr>
            </w:pPr>
          </w:p>
        </w:tc>
        <w:tc>
          <w:tcPr>
            <w:tcW w:w="1051" w:type="dxa"/>
            <w:vAlign w:val="top"/>
          </w:tcPr>
          <w:p w14:paraId="0DE2F9F9">
            <w:pPr>
              <w:rPr>
                <w:rFonts w:ascii="Arial"/>
                <w:color w:val="auto"/>
                <w:sz w:val="21"/>
                <w:highlight w:val="none"/>
              </w:rPr>
            </w:pPr>
          </w:p>
        </w:tc>
        <w:tc>
          <w:tcPr>
            <w:tcW w:w="1052" w:type="dxa"/>
            <w:vAlign w:val="top"/>
          </w:tcPr>
          <w:p w14:paraId="5F39B6D2">
            <w:pPr>
              <w:rPr>
                <w:rFonts w:ascii="Arial"/>
                <w:color w:val="auto"/>
                <w:sz w:val="21"/>
                <w:highlight w:val="none"/>
              </w:rPr>
            </w:pPr>
          </w:p>
        </w:tc>
        <w:tc>
          <w:tcPr>
            <w:tcW w:w="1127" w:type="dxa"/>
            <w:vAlign w:val="top"/>
          </w:tcPr>
          <w:p w14:paraId="0C3543EE">
            <w:pPr>
              <w:rPr>
                <w:rFonts w:ascii="Arial"/>
                <w:color w:val="auto"/>
                <w:sz w:val="21"/>
                <w:highlight w:val="none"/>
              </w:rPr>
            </w:pPr>
          </w:p>
        </w:tc>
        <w:tc>
          <w:tcPr>
            <w:tcW w:w="1700" w:type="dxa"/>
            <w:vAlign w:val="top"/>
          </w:tcPr>
          <w:p w14:paraId="016F810A">
            <w:pPr>
              <w:rPr>
                <w:rFonts w:ascii="Arial"/>
                <w:color w:val="auto"/>
                <w:sz w:val="21"/>
                <w:highlight w:val="none"/>
              </w:rPr>
            </w:pPr>
          </w:p>
        </w:tc>
        <w:tc>
          <w:tcPr>
            <w:tcW w:w="1705" w:type="dxa"/>
            <w:vAlign w:val="top"/>
          </w:tcPr>
          <w:p w14:paraId="1BBCF91A">
            <w:pPr>
              <w:rPr>
                <w:rFonts w:ascii="Arial"/>
                <w:color w:val="auto"/>
                <w:sz w:val="21"/>
                <w:highlight w:val="none"/>
              </w:rPr>
            </w:pPr>
          </w:p>
        </w:tc>
      </w:tr>
    </w:tbl>
    <w:p w14:paraId="3C217132">
      <w:pPr>
        <w:pStyle w:val="8"/>
        <w:spacing w:before="115" w:line="219" w:lineRule="auto"/>
        <w:ind w:left="122"/>
        <w:rPr>
          <w:color w:val="auto"/>
          <w:highlight w:val="none"/>
        </w:rPr>
      </w:pPr>
      <w:r>
        <w:rPr>
          <w:color w:val="auto"/>
          <w:spacing w:val="-2"/>
          <w:highlight w:val="none"/>
        </w:rPr>
        <w:t>注：后附证明材料。</w:t>
      </w:r>
    </w:p>
    <w:p w14:paraId="03122BA0">
      <w:pPr>
        <w:spacing w:line="241" w:lineRule="auto"/>
        <w:rPr>
          <w:rFonts w:ascii="Arial"/>
          <w:color w:val="auto"/>
          <w:sz w:val="21"/>
          <w:highlight w:val="none"/>
        </w:rPr>
      </w:pPr>
    </w:p>
    <w:p w14:paraId="044990FC">
      <w:pPr>
        <w:spacing w:line="241" w:lineRule="auto"/>
        <w:rPr>
          <w:rFonts w:ascii="Arial"/>
          <w:color w:val="auto"/>
          <w:sz w:val="21"/>
          <w:highlight w:val="none"/>
        </w:rPr>
      </w:pPr>
    </w:p>
    <w:p w14:paraId="6C707ECE">
      <w:pPr>
        <w:spacing w:line="242" w:lineRule="auto"/>
        <w:rPr>
          <w:rFonts w:ascii="Arial"/>
          <w:color w:val="auto"/>
          <w:sz w:val="21"/>
          <w:highlight w:val="none"/>
        </w:rPr>
      </w:pPr>
    </w:p>
    <w:p w14:paraId="1FDE3A50">
      <w:pPr>
        <w:pStyle w:val="8"/>
        <w:spacing w:before="79" w:line="219" w:lineRule="auto"/>
        <w:ind w:left="542"/>
        <w:rPr>
          <w:color w:val="auto"/>
          <w:highlight w:val="none"/>
        </w:rPr>
      </w:pPr>
      <w:r>
        <w:rPr>
          <w:color w:val="auto"/>
          <w:spacing w:val="-2"/>
          <w:highlight w:val="none"/>
        </w:rPr>
        <w:t>供应商名称（盖章</w:t>
      </w:r>
      <w:r>
        <w:rPr>
          <w:color w:val="auto"/>
          <w:spacing w:val="-63"/>
          <w:w w:val="99"/>
          <w:highlight w:val="none"/>
        </w:rPr>
        <w:t>）：</w:t>
      </w:r>
    </w:p>
    <w:p w14:paraId="475A61A4">
      <w:pPr>
        <w:pStyle w:val="8"/>
        <w:spacing w:before="184" w:line="219" w:lineRule="auto"/>
        <w:ind w:left="541"/>
        <w:rPr>
          <w:color w:val="auto"/>
          <w:highlight w:val="none"/>
        </w:rPr>
      </w:pPr>
      <w:r>
        <w:rPr>
          <w:color w:val="auto"/>
          <w:spacing w:val="-2"/>
          <w:highlight w:val="none"/>
        </w:rPr>
        <w:t>授权代表人（签字</w:t>
      </w:r>
      <w:r>
        <w:rPr>
          <w:color w:val="auto"/>
          <w:spacing w:val="-65"/>
          <w:highlight w:val="none"/>
        </w:rPr>
        <w:t>）：</w:t>
      </w:r>
    </w:p>
    <w:p w14:paraId="6450B416">
      <w:pPr>
        <w:pStyle w:val="8"/>
        <w:spacing w:before="183" w:line="219" w:lineRule="auto"/>
        <w:ind w:left="643"/>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19E385CB">
      <w:pPr>
        <w:spacing w:line="219" w:lineRule="auto"/>
        <w:rPr>
          <w:color w:val="auto"/>
          <w:highlight w:val="none"/>
        </w:rPr>
        <w:sectPr>
          <w:footerReference r:id="rId21" w:type="default"/>
          <w:pgSz w:w="11906" w:h="16839"/>
          <w:pgMar w:top="1117" w:right="1037" w:bottom="1155" w:left="1327" w:header="822" w:footer="992" w:gutter="0"/>
          <w:pgNumType w:fmt="decimal"/>
          <w:cols w:space="720" w:num="1"/>
        </w:sectPr>
      </w:pPr>
    </w:p>
    <w:p w14:paraId="5973C214">
      <w:pPr>
        <w:pStyle w:val="8"/>
        <w:spacing w:before="130" w:line="219" w:lineRule="auto"/>
        <w:ind w:left="31"/>
        <w:rPr>
          <w:color w:val="auto"/>
          <w:sz w:val="30"/>
          <w:szCs w:val="30"/>
          <w:highlight w:val="none"/>
        </w:rPr>
      </w:pPr>
      <w:r>
        <w:rPr>
          <w:b/>
          <w:bCs/>
          <w:color w:val="auto"/>
          <w:spacing w:val="-10"/>
          <w:sz w:val="30"/>
          <w:szCs w:val="30"/>
          <w:highlight w:val="none"/>
        </w:rPr>
        <w:t>附件十三：</w:t>
      </w:r>
    </w:p>
    <w:p w14:paraId="441FCDAA">
      <w:pPr>
        <w:pStyle w:val="8"/>
        <w:spacing w:before="151" w:line="219" w:lineRule="auto"/>
        <w:ind w:left="2968"/>
        <w:rPr>
          <w:color w:val="auto"/>
          <w:sz w:val="30"/>
          <w:szCs w:val="30"/>
          <w:highlight w:val="none"/>
        </w:rPr>
      </w:pPr>
      <w:r>
        <w:rPr>
          <w:b/>
          <w:bCs/>
          <w:color w:val="auto"/>
          <w:spacing w:val="-6"/>
          <w:sz w:val="30"/>
          <w:szCs w:val="30"/>
          <w:highlight w:val="none"/>
        </w:rPr>
        <w:t>中小企业声明函（服务）</w:t>
      </w:r>
    </w:p>
    <w:p w14:paraId="4E674243">
      <w:pPr>
        <w:spacing w:line="334" w:lineRule="auto"/>
        <w:rPr>
          <w:rFonts w:ascii="Arial"/>
          <w:color w:val="auto"/>
          <w:sz w:val="21"/>
          <w:highlight w:val="none"/>
        </w:rPr>
      </w:pPr>
    </w:p>
    <w:p w14:paraId="3E91E617">
      <w:pPr>
        <w:pStyle w:val="8"/>
        <w:spacing w:before="78" w:line="361" w:lineRule="auto"/>
        <w:ind w:left="6" w:right="135" w:firstLine="480"/>
        <w:jc w:val="both"/>
        <w:rPr>
          <w:color w:val="auto"/>
          <w:highlight w:val="none"/>
        </w:rPr>
      </w:pPr>
      <w:r>
        <w:rPr>
          <w:color w:val="auto"/>
          <w:spacing w:val="-4"/>
          <w:highlight w:val="none"/>
        </w:rPr>
        <w:t>本公司（联合体）郑重声明，根据《政府采购促进中小企业发展管理办法》（财库〔2020〕46</w:t>
      </w:r>
      <w:r>
        <w:rPr>
          <w:color w:val="auto"/>
          <w:spacing w:val="-32"/>
          <w:highlight w:val="none"/>
        </w:rPr>
        <w:t xml:space="preserve"> </w:t>
      </w:r>
      <w:r>
        <w:rPr>
          <w:color w:val="auto"/>
          <w:spacing w:val="-4"/>
          <w:highlight w:val="none"/>
        </w:rPr>
        <w:t>号）的规定，本公司（联合体）参加（单位名称）的（标项名称）采购</w:t>
      </w:r>
      <w:r>
        <w:rPr>
          <w:color w:val="auto"/>
          <w:spacing w:val="-2"/>
          <w:highlight w:val="none"/>
        </w:rPr>
        <w:t>活动，工程的施工单位全部为符合政策要求的中小企业（或者：服务全部由符合政策</w:t>
      </w:r>
      <w:r>
        <w:rPr>
          <w:color w:val="auto"/>
          <w:spacing w:val="-4"/>
          <w:highlight w:val="none"/>
        </w:rPr>
        <w:t>要求的中小企业承接）。相关企业（含联合体中的中小企业、签订分包意向协议的中</w:t>
      </w:r>
      <w:r>
        <w:rPr>
          <w:color w:val="auto"/>
          <w:spacing w:val="-1"/>
          <w:highlight w:val="none"/>
        </w:rPr>
        <w:t>小企业）的具体情况如下：</w:t>
      </w:r>
    </w:p>
    <w:p w14:paraId="559557EC">
      <w:pPr>
        <w:pStyle w:val="8"/>
        <w:spacing w:before="115" w:line="361" w:lineRule="auto"/>
        <w:ind w:left="4" w:right="135" w:firstLine="498"/>
        <w:rPr>
          <w:color w:val="auto"/>
          <w:highlight w:val="none"/>
        </w:rPr>
      </w:pPr>
      <w:r>
        <w:rPr>
          <w:color w:val="auto"/>
          <w:spacing w:val="-3"/>
          <w:highlight w:val="none"/>
        </w:rPr>
        <w:t>1.（标的名称</w:t>
      </w:r>
      <w:r>
        <w:rPr>
          <w:color w:val="auto"/>
          <w:spacing w:val="-58"/>
          <w:highlight w:val="none"/>
        </w:rPr>
        <w:t>），</w:t>
      </w:r>
      <w:r>
        <w:rPr>
          <w:color w:val="auto"/>
          <w:spacing w:val="-3"/>
          <w:highlight w:val="none"/>
        </w:rPr>
        <w:t>属于（采购文件中明确的所属行业</w:t>
      </w:r>
      <w:r>
        <w:rPr>
          <w:color w:val="auto"/>
          <w:spacing w:val="-58"/>
          <w:highlight w:val="none"/>
        </w:rPr>
        <w:t>）；</w:t>
      </w:r>
      <w:r>
        <w:rPr>
          <w:color w:val="auto"/>
          <w:spacing w:val="-3"/>
          <w:highlight w:val="none"/>
        </w:rPr>
        <w:t>承建（承接）企业为（企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61DEB5E1">
      <w:pPr>
        <w:pStyle w:val="8"/>
        <w:spacing w:before="116" w:line="361" w:lineRule="auto"/>
        <w:ind w:left="4" w:right="135" w:firstLine="483"/>
        <w:rPr>
          <w:color w:val="auto"/>
          <w:highlight w:val="none"/>
        </w:rPr>
      </w:pPr>
      <w:r>
        <w:rPr>
          <w:color w:val="auto"/>
          <w:spacing w:val="-4"/>
          <w:highlight w:val="none"/>
        </w:rPr>
        <w:t>2.</w:t>
      </w:r>
      <w:r>
        <w:rPr>
          <w:color w:val="auto"/>
          <w:spacing w:val="-20"/>
          <w:highlight w:val="none"/>
        </w:rPr>
        <w:t xml:space="preserve"> </w:t>
      </w:r>
      <w:r>
        <w:rPr>
          <w:color w:val="auto"/>
          <w:spacing w:val="-4"/>
          <w:highlight w:val="none"/>
        </w:rPr>
        <w:t>（标的名称</w:t>
      </w:r>
      <w:r>
        <w:rPr>
          <w:color w:val="auto"/>
          <w:spacing w:val="-62"/>
          <w:w w:val="97"/>
          <w:highlight w:val="none"/>
        </w:rPr>
        <w:t>），</w:t>
      </w:r>
      <w:r>
        <w:rPr>
          <w:color w:val="auto"/>
          <w:spacing w:val="-4"/>
          <w:highlight w:val="none"/>
        </w:rPr>
        <w:t>属于（采购文件中明确的所属行业</w:t>
      </w:r>
      <w:r>
        <w:rPr>
          <w:color w:val="auto"/>
          <w:spacing w:val="-62"/>
          <w:w w:val="97"/>
          <w:highlight w:val="none"/>
        </w:rPr>
        <w:t>）；</w:t>
      </w:r>
      <w:r>
        <w:rPr>
          <w:color w:val="auto"/>
          <w:spacing w:val="-4"/>
          <w:highlight w:val="none"/>
        </w:rPr>
        <w:t>承建（承接）</w:t>
      </w:r>
      <w:r>
        <w:rPr>
          <w:color w:val="auto"/>
          <w:spacing w:val="-5"/>
          <w:highlight w:val="none"/>
        </w:rPr>
        <w:t>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401D7C5E">
      <w:pPr>
        <w:pStyle w:val="8"/>
        <w:spacing w:before="114" w:line="378" w:lineRule="exact"/>
        <w:ind w:left="500"/>
        <w:rPr>
          <w:color w:val="auto"/>
          <w:highlight w:val="none"/>
        </w:rPr>
      </w:pPr>
      <w:r>
        <w:rPr>
          <w:color w:val="auto"/>
          <w:spacing w:val="-13"/>
          <w:position w:val="3"/>
          <w:highlight w:val="none"/>
        </w:rPr>
        <w:t>……</w:t>
      </w:r>
    </w:p>
    <w:p w14:paraId="4CE276B3">
      <w:pPr>
        <w:pStyle w:val="8"/>
        <w:spacing w:before="210" w:line="362" w:lineRule="auto"/>
        <w:ind w:left="4" w:right="135" w:firstLine="508"/>
        <w:rPr>
          <w:color w:val="auto"/>
          <w:highlight w:val="none"/>
        </w:rPr>
      </w:pPr>
      <w:r>
        <w:rPr>
          <w:color w:val="auto"/>
          <w:spacing w:val="-3"/>
          <w:highlight w:val="none"/>
        </w:rPr>
        <w:t>以上企业，不属于大企业的分支机构，不存在控股股东为大企业的情形，也不存</w:t>
      </w:r>
      <w:r>
        <w:rPr>
          <w:color w:val="auto"/>
          <w:spacing w:val="-1"/>
          <w:highlight w:val="none"/>
        </w:rPr>
        <w:t>在与大企业的负责人为同一人的情形。</w:t>
      </w:r>
    </w:p>
    <w:p w14:paraId="09FF8AF0">
      <w:pPr>
        <w:pStyle w:val="8"/>
        <w:spacing w:before="114" w:line="219" w:lineRule="auto"/>
        <w:ind w:left="486"/>
        <w:rPr>
          <w:color w:val="auto"/>
          <w:highlight w:val="none"/>
        </w:rPr>
      </w:pPr>
      <w:r>
        <w:rPr>
          <w:color w:val="auto"/>
          <w:highlight w:val="none"/>
        </w:rPr>
        <w:t>本企业对上述声明内容的真实性负责。如有虚</w:t>
      </w:r>
      <w:r>
        <w:rPr>
          <w:color w:val="auto"/>
          <w:spacing w:val="-1"/>
          <w:highlight w:val="none"/>
        </w:rPr>
        <w:t>假，将依法承担相应责任。</w:t>
      </w:r>
    </w:p>
    <w:p w14:paraId="43A6E52F">
      <w:pPr>
        <w:pStyle w:val="8"/>
        <w:spacing w:before="304" w:line="219" w:lineRule="auto"/>
        <w:ind w:left="5769"/>
        <w:rPr>
          <w:color w:val="auto"/>
          <w:highlight w:val="none"/>
        </w:rPr>
      </w:pPr>
      <w:r>
        <w:rPr>
          <w:color w:val="auto"/>
          <w:spacing w:val="-2"/>
          <w:highlight w:val="none"/>
        </w:rPr>
        <w:t>企业名称（盖章</w:t>
      </w:r>
      <w:r>
        <w:rPr>
          <w:color w:val="auto"/>
          <w:spacing w:val="-62"/>
          <w:w w:val="97"/>
          <w:highlight w:val="none"/>
        </w:rPr>
        <w:t>）：</w:t>
      </w:r>
    </w:p>
    <w:p w14:paraId="3DD14039">
      <w:pPr>
        <w:pStyle w:val="8"/>
        <w:spacing w:before="303" w:line="220" w:lineRule="auto"/>
        <w:ind w:left="5806"/>
        <w:rPr>
          <w:color w:val="auto"/>
          <w:highlight w:val="none"/>
        </w:rPr>
      </w:pPr>
      <w:r>
        <w:rPr>
          <w:color w:val="auto"/>
          <w:spacing w:val="-17"/>
          <w:highlight w:val="none"/>
        </w:rPr>
        <w:t>日期：</w:t>
      </w:r>
    </w:p>
    <w:p w14:paraId="22E3A0D9">
      <w:pPr>
        <w:pStyle w:val="8"/>
        <w:spacing w:before="235" w:line="220" w:lineRule="auto"/>
        <w:ind w:left="446"/>
        <w:rPr>
          <w:color w:val="auto"/>
          <w:sz w:val="22"/>
          <w:szCs w:val="22"/>
          <w:highlight w:val="none"/>
        </w:rPr>
      </w:pPr>
      <w:r>
        <w:rPr>
          <w:color w:val="auto"/>
          <w:spacing w:val="-4"/>
          <w:sz w:val="22"/>
          <w:szCs w:val="22"/>
          <w:highlight w:val="none"/>
        </w:rPr>
        <w:t>说明：</w:t>
      </w:r>
    </w:p>
    <w:p w14:paraId="62FF0FF3">
      <w:pPr>
        <w:pStyle w:val="8"/>
        <w:spacing w:before="170" w:line="263" w:lineRule="auto"/>
        <w:ind w:left="3" w:right="133" w:firstLine="17"/>
        <w:jc w:val="both"/>
        <w:rPr>
          <w:color w:val="auto"/>
          <w:sz w:val="22"/>
          <w:szCs w:val="22"/>
          <w:highlight w:val="none"/>
        </w:rPr>
      </w:pPr>
      <w:r>
        <w:rPr>
          <w:color w:val="auto"/>
          <w:spacing w:val="-3"/>
          <w:sz w:val="22"/>
          <w:szCs w:val="22"/>
          <w:highlight w:val="none"/>
        </w:rPr>
        <w:t>1、填写前请认真阅读《工业和信息化部、国家统计局、国家发展和改革委员会、财政部关于</w:t>
      </w:r>
      <w:r>
        <w:rPr>
          <w:color w:val="auto"/>
          <w:spacing w:val="-4"/>
          <w:sz w:val="22"/>
          <w:szCs w:val="22"/>
          <w:highlight w:val="none"/>
        </w:rPr>
        <w:t>印发中小企业划型标准规定的通知》（工信部联企业[</w:t>
      </w: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color w:val="auto"/>
          <w:spacing w:val="-4"/>
          <w:sz w:val="22"/>
          <w:szCs w:val="22"/>
          <w:highlight w:val="none"/>
        </w:rPr>
        <w:t>2011</w:t>
      </w:r>
      <w:r>
        <w:rPr>
          <w:color w:val="auto"/>
          <w:spacing w:val="-4"/>
          <w:sz w:val="22"/>
          <w:szCs w:val="22"/>
          <w:highlight w:val="none"/>
        </w:rPr>
        <w:fldChar w:fldCharType="end"/>
      </w:r>
      <w:r>
        <w:rPr>
          <w:color w:val="auto"/>
          <w:spacing w:val="-4"/>
          <w:sz w:val="22"/>
          <w:szCs w:val="22"/>
          <w:highlight w:val="none"/>
        </w:rPr>
        <w:t>]300</w:t>
      </w:r>
      <w:r>
        <w:rPr>
          <w:color w:val="auto"/>
          <w:spacing w:val="-29"/>
          <w:sz w:val="22"/>
          <w:szCs w:val="22"/>
          <w:highlight w:val="none"/>
        </w:rPr>
        <w:t xml:space="preserve"> </w:t>
      </w:r>
      <w:r>
        <w:rPr>
          <w:color w:val="auto"/>
          <w:spacing w:val="-4"/>
          <w:sz w:val="22"/>
          <w:szCs w:val="22"/>
          <w:highlight w:val="none"/>
        </w:rPr>
        <w:t>号）和《政府采购促进中小企</w:t>
      </w:r>
      <w:r>
        <w:rPr>
          <w:color w:val="auto"/>
          <w:spacing w:val="-5"/>
          <w:sz w:val="22"/>
          <w:szCs w:val="22"/>
          <w:highlight w:val="none"/>
        </w:rPr>
        <w:t>业发展管理办法》（财库﹝2020﹞46 号）相关规定。</w:t>
      </w:r>
    </w:p>
    <w:p w14:paraId="36A6115D">
      <w:pPr>
        <w:pStyle w:val="8"/>
        <w:spacing w:before="116" w:line="219" w:lineRule="auto"/>
        <w:ind w:left="7"/>
        <w:outlineLvl w:val="1"/>
        <w:rPr>
          <w:color w:val="auto"/>
          <w:sz w:val="22"/>
          <w:szCs w:val="22"/>
          <w:highlight w:val="none"/>
        </w:rPr>
      </w:pPr>
      <w:r>
        <w:rPr>
          <w:color w:val="auto"/>
          <w:spacing w:val="-1"/>
          <w:sz w:val="22"/>
          <w:szCs w:val="22"/>
          <w:highlight w:val="none"/>
        </w:rPr>
        <w:t>2、未按上述要求提供、填写的，评审时不予以考虑。</w:t>
      </w:r>
    </w:p>
    <w:p w14:paraId="555E730F">
      <w:pPr>
        <w:pStyle w:val="8"/>
        <w:spacing w:before="171" w:line="220" w:lineRule="auto"/>
        <w:ind w:left="9"/>
        <w:rPr>
          <w:color w:val="auto"/>
          <w:sz w:val="22"/>
          <w:szCs w:val="22"/>
          <w:highlight w:val="none"/>
        </w:rPr>
      </w:pPr>
      <w:r>
        <w:rPr>
          <w:color w:val="auto"/>
          <w:spacing w:val="-5"/>
          <w:sz w:val="22"/>
          <w:szCs w:val="22"/>
          <w:highlight w:val="none"/>
        </w:rPr>
        <w:t>3、从业人员、营业收入、资产总额填报上一年度数据，无上一年度数据的新成立企业可不</w:t>
      </w:r>
      <w:r>
        <w:rPr>
          <w:color w:val="auto"/>
          <w:spacing w:val="-6"/>
          <w:sz w:val="22"/>
          <w:szCs w:val="22"/>
          <w:highlight w:val="none"/>
        </w:rPr>
        <w:t>填。</w:t>
      </w:r>
    </w:p>
    <w:p w14:paraId="4E6268C5">
      <w:pPr>
        <w:pStyle w:val="8"/>
        <w:spacing w:before="160" w:line="218" w:lineRule="auto"/>
        <w:rPr>
          <w:color w:val="auto"/>
          <w:highlight w:val="none"/>
        </w:rPr>
      </w:pPr>
      <w:r>
        <w:rPr>
          <w:rFonts w:ascii="Times New Roman" w:hAnsi="Times New Roman" w:eastAsia="Times New Roman" w:cs="Times New Roman"/>
          <w:color w:val="auto"/>
          <w:spacing w:val="-1"/>
          <w:highlight w:val="none"/>
        </w:rPr>
        <w:t>4</w:t>
      </w:r>
      <w:r>
        <w:rPr>
          <w:rFonts w:ascii="Times New Roman" w:hAnsi="Times New Roman" w:eastAsia="Times New Roman" w:cs="Times New Roman"/>
          <w:color w:val="auto"/>
          <w:spacing w:val="-33"/>
          <w:highlight w:val="none"/>
        </w:rPr>
        <w:t xml:space="preserve"> </w:t>
      </w:r>
      <w:r>
        <w:rPr>
          <w:color w:val="auto"/>
          <w:spacing w:val="-1"/>
          <w:highlight w:val="none"/>
        </w:rPr>
        <w:t>、</w:t>
      </w:r>
      <w:r>
        <w:rPr>
          <w:b/>
          <w:bCs/>
          <w:color w:val="auto"/>
          <w:spacing w:val="-1"/>
          <w:highlight w:val="none"/>
        </w:rPr>
        <w:t>成交的供应商的《中小企业声明函》将作为成交结果公告一并公示</w:t>
      </w:r>
      <w:r>
        <w:rPr>
          <w:color w:val="auto"/>
          <w:spacing w:val="-1"/>
          <w:highlight w:val="none"/>
        </w:rPr>
        <w:t>。</w:t>
      </w:r>
    </w:p>
    <w:p w14:paraId="6EE35558">
      <w:pPr>
        <w:spacing w:line="218" w:lineRule="auto"/>
        <w:rPr>
          <w:color w:val="auto"/>
          <w:highlight w:val="none"/>
        </w:rPr>
        <w:sectPr>
          <w:footerReference r:id="rId22" w:type="default"/>
          <w:pgSz w:w="11906" w:h="16839"/>
          <w:pgMar w:top="1117" w:right="1510" w:bottom="1157" w:left="1443" w:header="822" w:footer="992" w:gutter="0"/>
          <w:pgNumType w:fmt="decimal"/>
          <w:cols w:space="720" w:num="1"/>
        </w:sectPr>
      </w:pPr>
    </w:p>
    <w:p w14:paraId="478C9900">
      <w:pPr>
        <w:pStyle w:val="8"/>
        <w:spacing w:before="131" w:line="219" w:lineRule="auto"/>
        <w:ind w:left="3304"/>
        <w:rPr>
          <w:color w:val="auto"/>
          <w:sz w:val="30"/>
          <w:szCs w:val="30"/>
          <w:highlight w:val="none"/>
        </w:rPr>
      </w:pPr>
      <w:r>
        <w:rPr>
          <w:b/>
          <w:bCs/>
          <w:color w:val="auto"/>
          <w:spacing w:val="-4"/>
          <w:sz w:val="30"/>
          <w:szCs w:val="30"/>
          <w:highlight w:val="none"/>
        </w:rPr>
        <w:t>监狱企业声明函（二）</w:t>
      </w:r>
    </w:p>
    <w:p w14:paraId="3B14591D">
      <w:pPr>
        <w:pStyle w:val="8"/>
        <w:spacing w:before="218" w:line="360" w:lineRule="auto"/>
        <w:ind w:left="1" w:right="195" w:firstLine="480"/>
        <w:rPr>
          <w:color w:val="auto"/>
          <w:highlight w:val="none"/>
        </w:rPr>
      </w:pPr>
      <w:r>
        <w:rPr>
          <w:color w:val="auto"/>
          <w:spacing w:val="-4"/>
          <w:highlight w:val="none"/>
        </w:rPr>
        <w:t>本公司郑重声明，根据《关于政府采购支持监狱企业发展有关问题的通知》（财</w:t>
      </w:r>
      <w:r>
        <w:rPr>
          <w:color w:val="auto"/>
          <w:spacing w:val="-1"/>
          <w:highlight w:val="none"/>
        </w:rPr>
        <w:t>库[</w:t>
      </w: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color w:val="auto"/>
          <w:spacing w:val="-1"/>
          <w:highlight w:val="none"/>
        </w:rPr>
        <w:t>2014</w:t>
      </w:r>
      <w:r>
        <w:rPr>
          <w:color w:val="auto"/>
          <w:spacing w:val="-1"/>
          <w:highlight w:val="none"/>
        </w:rPr>
        <w:fldChar w:fldCharType="end"/>
      </w:r>
      <w:r>
        <w:rPr>
          <w:color w:val="auto"/>
          <w:spacing w:val="-1"/>
          <w:highlight w:val="none"/>
        </w:rPr>
        <w:t>]68</w:t>
      </w:r>
      <w:r>
        <w:rPr>
          <w:color w:val="auto"/>
          <w:spacing w:val="-45"/>
          <w:highlight w:val="none"/>
        </w:rPr>
        <w:t xml:space="preserve"> </w:t>
      </w:r>
      <w:r>
        <w:rPr>
          <w:color w:val="auto"/>
          <w:spacing w:val="-1"/>
          <w:highlight w:val="none"/>
        </w:rPr>
        <w:t>号）的规定，本公司为监狱</w:t>
      </w:r>
      <w:r>
        <w:rPr>
          <w:color w:val="auto"/>
          <w:spacing w:val="-2"/>
          <w:highlight w:val="none"/>
        </w:rPr>
        <w:t>企业。</w:t>
      </w:r>
    </w:p>
    <w:p w14:paraId="069871E3">
      <w:pPr>
        <w:pStyle w:val="8"/>
        <w:spacing w:before="2" w:line="359" w:lineRule="auto"/>
        <w:ind w:left="1" w:right="135" w:firstLine="960"/>
        <w:rPr>
          <w:color w:val="auto"/>
          <w:highlight w:val="none"/>
        </w:rPr>
      </w:pPr>
      <w:r>
        <w:rPr>
          <w:color w:val="auto"/>
          <w:spacing w:val="-2"/>
          <w:highlight w:val="none"/>
        </w:rPr>
        <w:t>本公司参加</w:t>
      </w:r>
      <w:r>
        <w:rPr>
          <w:color w:val="auto"/>
          <w:spacing w:val="-2"/>
          <w:highlight w:val="none"/>
          <w:u w:val="single" w:color="auto"/>
        </w:rPr>
        <w:t xml:space="preserve">      </w:t>
      </w:r>
      <w:r>
        <w:rPr>
          <w:color w:val="auto"/>
          <w:spacing w:val="-109"/>
          <w:highlight w:val="none"/>
        </w:rPr>
        <w:t xml:space="preserve"> </w:t>
      </w:r>
      <w:r>
        <w:rPr>
          <w:color w:val="auto"/>
          <w:spacing w:val="-2"/>
          <w:highlight w:val="none"/>
        </w:rPr>
        <w:t>单位的</w:t>
      </w:r>
      <w:r>
        <w:rPr>
          <w:color w:val="auto"/>
          <w:spacing w:val="-2"/>
          <w:highlight w:val="none"/>
          <w:u w:val="single" w:color="auto"/>
        </w:rPr>
        <w:t xml:space="preserve">      </w:t>
      </w:r>
      <w:r>
        <w:rPr>
          <w:color w:val="auto"/>
          <w:spacing w:val="-107"/>
          <w:highlight w:val="none"/>
        </w:rPr>
        <w:t xml:space="preserve"> </w:t>
      </w:r>
      <w:r>
        <w:rPr>
          <w:color w:val="auto"/>
          <w:spacing w:val="-2"/>
          <w:highlight w:val="none"/>
        </w:rPr>
        <w:t>项</w:t>
      </w:r>
      <w:r>
        <w:rPr>
          <w:color w:val="auto"/>
          <w:spacing w:val="-3"/>
          <w:highlight w:val="none"/>
        </w:rPr>
        <w:t>目采购活动，采购活动提供本企业（填写</w:t>
      </w:r>
      <w:r>
        <w:rPr>
          <w:color w:val="auto"/>
          <w:spacing w:val="-5"/>
          <w:highlight w:val="none"/>
        </w:rPr>
        <w:t>制造的货物，由本企业承担工程、提供服务）。</w:t>
      </w:r>
    </w:p>
    <w:p w14:paraId="58DE78F2">
      <w:pPr>
        <w:pStyle w:val="8"/>
        <w:spacing w:line="218" w:lineRule="auto"/>
        <w:ind w:left="961"/>
        <w:rPr>
          <w:color w:val="auto"/>
          <w:highlight w:val="none"/>
        </w:rPr>
      </w:pPr>
      <w:r>
        <w:rPr>
          <w:color w:val="auto"/>
          <w:spacing w:val="-1"/>
          <w:highlight w:val="none"/>
        </w:rPr>
        <w:t>本条所称货物不包括使用大型企业注册商标的货物和服务。</w:t>
      </w:r>
    </w:p>
    <w:p w14:paraId="6595C13F">
      <w:pPr>
        <w:pStyle w:val="8"/>
        <w:spacing w:before="183" w:line="219" w:lineRule="auto"/>
        <w:ind w:left="841"/>
        <w:rPr>
          <w:color w:val="auto"/>
          <w:highlight w:val="none"/>
        </w:rPr>
      </w:pPr>
      <w:r>
        <w:rPr>
          <w:color w:val="auto"/>
          <w:spacing w:val="-1"/>
          <w:highlight w:val="none"/>
        </w:rPr>
        <w:t>本公司对上述声明的真实性负责。如有虚假，将依法承担相应责任。</w:t>
      </w:r>
    </w:p>
    <w:p w14:paraId="3BEC6306">
      <w:pPr>
        <w:spacing w:line="267" w:lineRule="auto"/>
        <w:rPr>
          <w:rFonts w:ascii="Arial"/>
          <w:color w:val="auto"/>
          <w:sz w:val="21"/>
          <w:highlight w:val="none"/>
        </w:rPr>
      </w:pPr>
    </w:p>
    <w:p w14:paraId="63D560BD">
      <w:pPr>
        <w:spacing w:line="267" w:lineRule="auto"/>
        <w:rPr>
          <w:rFonts w:ascii="Arial"/>
          <w:color w:val="auto"/>
          <w:sz w:val="21"/>
          <w:highlight w:val="none"/>
        </w:rPr>
      </w:pPr>
    </w:p>
    <w:p w14:paraId="4E99ABD2">
      <w:pPr>
        <w:pStyle w:val="8"/>
        <w:spacing w:before="78" w:line="219" w:lineRule="auto"/>
        <w:ind w:left="484"/>
        <w:rPr>
          <w:color w:val="auto"/>
          <w:highlight w:val="none"/>
        </w:rPr>
      </w:pPr>
      <w:r>
        <w:rPr>
          <w:color w:val="auto"/>
          <w:spacing w:val="-2"/>
          <w:highlight w:val="none"/>
        </w:rPr>
        <w:t>企业名称（盖公章</w:t>
      </w:r>
      <w:r>
        <w:rPr>
          <w:color w:val="auto"/>
          <w:spacing w:val="-62"/>
          <w:w w:val="97"/>
          <w:highlight w:val="none"/>
        </w:rPr>
        <w:t>）：</w:t>
      </w:r>
    </w:p>
    <w:p w14:paraId="738ECF32">
      <w:pPr>
        <w:pStyle w:val="8"/>
        <w:spacing w:before="184" w:line="219" w:lineRule="auto"/>
        <w:ind w:left="481"/>
        <w:rPr>
          <w:color w:val="auto"/>
          <w:highlight w:val="none"/>
        </w:rPr>
      </w:pPr>
      <w:r>
        <w:rPr>
          <w:color w:val="auto"/>
          <w:spacing w:val="-1"/>
          <w:highlight w:val="none"/>
        </w:rPr>
        <w:t>法定代表人（负责人）或其授权代表(签字)：</w:t>
      </w:r>
    </w:p>
    <w:p w14:paraId="0B872F78">
      <w:pPr>
        <w:pStyle w:val="8"/>
        <w:spacing w:before="183" w:line="220" w:lineRule="auto"/>
        <w:ind w:left="522"/>
        <w:rPr>
          <w:color w:val="auto"/>
          <w:highlight w:val="none"/>
        </w:rPr>
      </w:pPr>
      <w:r>
        <w:rPr>
          <w:color w:val="auto"/>
          <w:spacing w:val="-17"/>
          <w:highlight w:val="none"/>
        </w:rPr>
        <w:t>日期：</w:t>
      </w:r>
    </w:p>
    <w:p w14:paraId="701CA917">
      <w:pPr>
        <w:pStyle w:val="8"/>
        <w:spacing w:before="232" w:line="219" w:lineRule="auto"/>
        <w:ind w:left="2547"/>
        <w:outlineLvl w:val="0"/>
        <w:rPr>
          <w:color w:val="auto"/>
          <w:sz w:val="30"/>
          <w:szCs w:val="30"/>
          <w:highlight w:val="none"/>
        </w:rPr>
      </w:pPr>
      <w:r>
        <w:rPr>
          <w:b/>
          <w:bCs/>
          <w:color w:val="auto"/>
          <w:spacing w:val="-4"/>
          <w:sz w:val="30"/>
          <w:szCs w:val="30"/>
          <w:highlight w:val="none"/>
        </w:rPr>
        <w:t>残疾人福利性单位声明函（三）</w:t>
      </w:r>
    </w:p>
    <w:p w14:paraId="6D9F0C34">
      <w:pPr>
        <w:pStyle w:val="8"/>
        <w:spacing w:before="216" w:line="362" w:lineRule="auto"/>
        <w:ind w:right="135" w:firstLine="481"/>
        <w:jc w:val="both"/>
        <w:rPr>
          <w:color w:val="auto"/>
          <w:highlight w:val="none"/>
        </w:rPr>
      </w:pPr>
      <w:r>
        <w:rPr>
          <w:color w:val="auto"/>
          <w:spacing w:val="-2"/>
          <w:highlight w:val="none"/>
        </w:rPr>
        <w:t>本单位郑重声明，根据《财政部、民政部、中国残疾人联合会关于促进残疾</w:t>
      </w:r>
      <w:r>
        <w:rPr>
          <w:color w:val="auto"/>
          <w:spacing w:val="-3"/>
          <w:highlight w:val="none"/>
        </w:rPr>
        <w:t>人就</w:t>
      </w:r>
      <w:r>
        <w:rPr>
          <w:color w:val="auto"/>
          <w:spacing w:val="-1"/>
          <w:highlight w:val="none"/>
        </w:rPr>
        <w:t>业政府采购政策的通知》（财库〔2017〕141</w:t>
      </w:r>
      <w:r>
        <w:rPr>
          <w:color w:val="auto"/>
          <w:spacing w:val="-30"/>
          <w:highlight w:val="none"/>
        </w:rPr>
        <w:t xml:space="preserve"> </w:t>
      </w:r>
      <w:r>
        <w:rPr>
          <w:color w:val="auto"/>
          <w:spacing w:val="-1"/>
          <w:highlight w:val="none"/>
        </w:rPr>
        <w:t>号）的规定，本单位为符合条件的残疾</w:t>
      </w:r>
      <w:r>
        <w:rPr>
          <w:color w:val="auto"/>
          <w:spacing w:val="-2"/>
          <w:highlight w:val="none"/>
        </w:rPr>
        <w:t>人福利性单位。</w:t>
      </w:r>
    </w:p>
    <w:p w14:paraId="6ED859F8">
      <w:pPr>
        <w:spacing w:line="381" w:lineRule="auto"/>
        <w:rPr>
          <w:rFonts w:ascii="Arial"/>
          <w:color w:val="auto"/>
          <w:sz w:val="21"/>
          <w:highlight w:val="none"/>
        </w:rPr>
      </w:pPr>
    </w:p>
    <w:p w14:paraId="27CB5755">
      <w:pPr>
        <w:pStyle w:val="8"/>
        <w:spacing w:before="79" w:line="360" w:lineRule="auto"/>
        <w:ind w:left="20" w:right="135" w:firstLine="461"/>
        <w:rPr>
          <w:color w:val="auto"/>
          <w:highlight w:val="none"/>
        </w:rPr>
      </w:pPr>
      <w:r>
        <w:rPr>
          <w:color w:val="auto"/>
          <w:spacing w:val="-2"/>
          <w:highlight w:val="none"/>
        </w:rPr>
        <w:t>本单位参加</w:t>
      </w:r>
      <w:r>
        <w:rPr>
          <w:color w:val="auto"/>
          <w:spacing w:val="-2"/>
          <w:highlight w:val="none"/>
          <w:u w:val="single" w:color="auto"/>
        </w:rPr>
        <w:t>（采购代理机构）</w:t>
      </w:r>
      <w:r>
        <w:rPr>
          <w:color w:val="auto"/>
          <w:spacing w:val="-2"/>
          <w:highlight w:val="none"/>
        </w:rPr>
        <w:t>的</w:t>
      </w:r>
      <w:r>
        <w:rPr>
          <w:color w:val="auto"/>
          <w:spacing w:val="-2"/>
          <w:highlight w:val="none"/>
          <w:u w:val="single" w:color="auto"/>
        </w:rPr>
        <w:t>（项目名称和采购编号）</w:t>
      </w:r>
      <w:r>
        <w:rPr>
          <w:color w:val="auto"/>
          <w:spacing w:val="-2"/>
          <w:highlight w:val="none"/>
        </w:rPr>
        <w:t>采购活动，提供本</w:t>
      </w:r>
      <w:r>
        <w:rPr>
          <w:color w:val="auto"/>
          <w:spacing w:val="-3"/>
          <w:highlight w:val="none"/>
        </w:rPr>
        <w:t>单位</w:t>
      </w:r>
      <w:r>
        <w:rPr>
          <w:color w:val="auto"/>
          <w:spacing w:val="-8"/>
          <w:highlight w:val="none"/>
        </w:rPr>
        <w:t>的服务。</w:t>
      </w:r>
    </w:p>
    <w:p w14:paraId="53AF7B2E">
      <w:pPr>
        <w:pStyle w:val="8"/>
        <w:spacing w:before="1" w:line="218" w:lineRule="auto"/>
        <w:ind w:left="481"/>
        <w:rPr>
          <w:color w:val="auto"/>
          <w:highlight w:val="none"/>
        </w:rPr>
      </w:pPr>
      <w:r>
        <w:rPr>
          <w:color w:val="auto"/>
          <w:spacing w:val="-1"/>
          <w:highlight w:val="none"/>
        </w:rPr>
        <w:t>本单位对上述声明的真实性负责。如有虚假，将依法承担相应责任。</w:t>
      </w:r>
    </w:p>
    <w:p w14:paraId="4A349B90">
      <w:pPr>
        <w:spacing w:line="284" w:lineRule="auto"/>
        <w:rPr>
          <w:rFonts w:ascii="Arial"/>
          <w:color w:val="auto"/>
          <w:sz w:val="21"/>
          <w:highlight w:val="none"/>
        </w:rPr>
      </w:pPr>
    </w:p>
    <w:p w14:paraId="3A8D4697">
      <w:pPr>
        <w:spacing w:line="285" w:lineRule="auto"/>
        <w:rPr>
          <w:rFonts w:ascii="Arial"/>
          <w:color w:val="auto"/>
          <w:sz w:val="21"/>
          <w:highlight w:val="none"/>
        </w:rPr>
      </w:pPr>
    </w:p>
    <w:p w14:paraId="3C0AD6FA">
      <w:pPr>
        <w:pStyle w:val="8"/>
        <w:spacing w:before="78" w:line="219" w:lineRule="auto"/>
        <w:ind w:left="4920"/>
        <w:rPr>
          <w:color w:val="auto"/>
          <w:highlight w:val="none"/>
        </w:rPr>
      </w:pPr>
      <w:r>
        <w:rPr>
          <w:color w:val="auto"/>
          <w:spacing w:val="-2"/>
          <w:highlight w:val="none"/>
        </w:rPr>
        <w:t>供应商（盖章</w:t>
      </w:r>
      <w:r>
        <w:rPr>
          <w:color w:val="auto"/>
          <w:highlight w:val="none"/>
        </w:rPr>
        <w:t>）：</w:t>
      </w:r>
    </w:p>
    <w:p w14:paraId="3EF96718">
      <w:pPr>
        <w:pStyle w:val="8"/>
        <w:spacing w:before="184" w:line="219" w:lineRule="auto"/>
        <w:ind w:left="4920"/>
        <w:rPr>
          <w:color w:val="auto"/>
          <w:highlight w:val="none"/>
        </w:rPr>
      </w:pPr>
      <w:r>
        <w:rPr>
          <w:color w:val="auto"/>
          <w:spacing w:val="-1"/>
          <w:highlight w:val="none"/>
        </w:rPr>
        <w:t>供应商授权代表（签字</w:t>
      </w:r>
      <w:r>
        <w:rPr>
          <w:color w:val="auto"/>
          <w:highlight w:val="none"/>
        </w:rPr>
        <w:t>）：</w:t>
      </w:r>
    </w:p>
    <w:p w14:paraId="32CEF302">
      <w:pPr>
        <w:pStyle w:val="8"/>
        <w:spacing w:before="184" w:line="220" w:lineRule="auto"/>
        <w:ind w:left="4962"/>
        <w:rPr>
          <w:color w:val="auto"/>
          <w:highlight w:val="none"/>
        </w:rPr>
      </w:pPr>
      <w:r>
        <w:rPr>
          <w:color w:val="auto"/>
          <w:spacing w:val="-21"/>
          <w:highlight w:val="none"/>
        </w:rPr>
        <w:t>日</w:t>
      </w:r>
      <w:r>
        <w:rPr>
          <w:color w:val="auto"/>
          <w:spacing w:val="6"/>
          <w:highlight w:val="none"/>
        </w:rPr>
        <w:t xml:space="preserve">  </w:t>
      </w:r>
      <w:r>
        <w:rPr>
          <w:color w:val="auto"/>
          <w:spacing w:val="-21"/>
          <w:highlight w:val="none"/>
        </w:rPr>
        <w:t>期：</w:t>
      </w:r>
    </w:p>
    <w:p w14:paraId="2C089B53">
      <w:pPr>
        <w:spacing w:line="283" w:lineRule="auto"/>
        <w:rPr>
          <w:rFonts w:ascii="Arial"/>
          <w:color w:val="auto"/>
          <w:sz w:val="21"/>
          <w:highlight w:val="none"/>
        </w:rPr>
      </w:pPr>
    </w:p>
    <w:p w14:paraId="6E537711">
      <w:pPr>
        <w:spacing w:line="284" w:lineRule="auto"/>
        <w:rPr>
          <w:rFonts w:ascii="Arial"/>
          <w:color w:val="auto"/>
          <w:sz w:val="21"/>
          <w:highlight w:val="none"/>
        </w:rPr>
      </w:pPr>
    </w:p>
    <w:p w14:paraId="24DB8CB5">
      <w:pPr>
        <w:pStyle w:val="8"/>
        <w:spacing w:before="78" w:line="219" w:lineRule="auto"/>
        <w:rPr>
          <w:color w:val="auto"/>
          <w:highlight w:val="none"/>
        </w:rPr>
      </w:pPr>
      <w:r>
        <w:rPr>
          <w:b/>
          <w:bCs/>
          <w:color w:val="auto"/>
          <w:spacing w:val="-2"/>
          <w:highlight w:val="none"/>
        </w:rPr>
        <w:t>注：不符合上述情形的供应商无须提供上述声明函</w:t>
      </w:r>
      <w:r>
        <w:rPr>
          <w:b/>
          <w:bCs/>
          <w:color w:val="auto"/>
          <w:spacing w:val="-3"/>
          <w:highlight w:val="none"/>
        </w:rPr>
        <w:t>件。</w:t>
      </w:r>
    </w:p>
    <w:p w14:paraId="69778F13">
      <w:pPr>
        <w:spacing w:line="219" w:lineRule="auto"/>
        <w:rPr>
          <w:color w:val="auto"/>
          <w:highlight w:val="none"/>
        </w:rPr>
        <w:sectPr>
          <w:footerReference r:id="rId23" w:type="default"/>
          <w:pgSz w:w="11906" w:h="16839"/>
          <w:pgMar w:top="1117" w:right="1510" w:bottom="1157" w:left="1448" w:header="822" w:footer="992" w:gutter="0"/>
          <w:pgNumType w:fmt="decimal"/>
          <w:cols w:space="720" w:num="1"/>
        </w:sectPr>
      </w:pPr>
    </w:p>
    <w:p w14:paraId="524D300F">
      <w:pPr>
        <w:pStyle w:val="8"/>
        <w:spacing w:before="130" w:line="219" w:lineRule="auto"/>
        <w:rPr>
          <w:color w:val="auto"/>
          <w:sz w:val="30"/>
          <w:szCs w:val="30"/>
          <w:highlight w:val="none"/>
        </w:rPr>
      </w:pPr>
      <w:r>
        <w:rPr>
          <w:b/>
          <w:bCs/>
          <w:color w:val="auto"/>
          <w:spacing w:val="-10"/>
          <w:sz w:val="30"/>
          <w:szCs w:val="30"/>
          <w:highlight w:val="none"/>
        </w:rPr>
        <w:t>附件十四：</w:t>
      </w:r>
    </w:p>
    <w:p w14:paraId="67823052">
      <w:pPr>
        <w:pStyle w:val="8"/>
        <w:spacing w:before="268" w:line="219" w:lineRule="auto"/>
        <w:ind w:left="2880"/>
        <w:outlineLvl w:val="0"/>
        <w:rPr>
          <w:color w:val="auto"/>
          <w:sz w:val="30"/>
          <w:szCs w:val="30"/>
          <w:highlight w:val="none"/>
        </w:rPr>
      </w:pPr>
      <w:r>
        <w:rPr>
          <w:b/>
          <w:bCs/>
          <w:color w:val="auto"/>
          <w:spacing w:val="-4"/>
          <w:sz w:val="30"/>
          <w:szCs w:val="30"/>
          <w:highlight w:val="none"/>
        </w:rPr>
        <w:t>供应商服务承诺及方案</w:t>
      </w:r>
    </w:p>
    <w:p w14:paraId="55F70362">
      <w:pPr>
        <w:spacing w:line="281" w:lineRule="auto"/>
        <w:rPr>
          <w:rFonts w:ascii="Arial"/>
          <w:color w:val="auto"/>
          <w:sz w:val="21"/>
          <w:highlight w:val="none"/>
        </w:rPr>
      </w:pPr>
    </w:p>
    <w:p w14:paraId="6ABDF326">
      <w:pPr>
        <w:spacing w:line="282" w:lineRule="auto"/>
        <w:rPr>
          <w:rFonts w:ascii="Arial"/>
          <w:color w:val="auto"/>
          <w:sz w:val="21"/>
          <w:highlight w:val="none"/>
        </w:rPr>
      </w:pPr>
    </w:p>
    <w:p w14:paraId="458261F8">
      <w:pPr>
        <w:spacing w:line="282" w:lineRule="auto"/>
        <w:rPr>
          <w:rFonts w:ascii="Arial"/>
          <w:color w:val="auto"/>
          <w:sz w:val="21"/>
          <w:highlight w:val="none"/>
        </w:rPr>
      </w:pPr>
    </w:p>
    <w:p w14:paraId="79B54383">
      <w:pPr>
        <w:spacing w:line="282" w:lineRule="auto"/>
        <w:rPr>
          <w:rFonts w:ascii="Arial"/>
          <w:color w:val="auto"/>
          <w:sz w:val="21"/>
          <w:highlight w:val="none"/>
        </w:rPr>
      </w:pPr>
    </w:p>
    <w:p w14:paraId="47A83A37">
      <w:pPr>
        <w:spacing w:line="282" w:lineRule="auto"/>
        <w:rPr>
          <w:rFonts w:ascii="Arial"/>
          <w:color w:val="auto"/>
          <w:sz w:val="21"/>
          <w:highlight w:val="none"/>
        </w:rPr>
      </w:pPr>
    </w:p>
    <w:p w14:paraId="55D31F55">
      <w:pPr>
        <w:pStyle w:val="8"/>
        <w:spacing w:before="98" w:line="219" w:lineRule="auto"/>
        <w:rPr>
          <w:color w:val="auto"/>
          <w:sz w:val="30"/>
          <w:szCs w:val="30"/>
          <w:highlight w:val="none"/>
        </w:rPr>
      </w:pPr>
      <w:r>
        <w:rPr>
          <w:b/>
          <w:bCs/>
          <w:color w:val="auto"/>
          <w:spacing w:val="-10"/>
          <w:sz w:val="30"/>
          <w:szCs w:val="30"/>
          <w:highlight w:val="none"/>
        </w:rPr>
        <w:t>附件十五：</w:t>
      </w:r>
    </w:p>
    <w:p w14:paraId="107FE788">
      <w:pPr>
        <w:pStyle w:val="8"/>
        <w:spacing w:before="268" w:line="219" w:lineRule="auto"/>
        <w:ind w:left="2580"/>
        <w:outlineLvl w:val="0"/>
        <w:rPr>
          <w:color w:val="auto"/>
          <w:sz w:val="30"/>
          <w:szCs w:val="30"/>
          <w:highlight w:val="none"/>
        </w:rPr>
      </w:pPr>
      <w:r>
        <w:rPr>
          <w:b/>
          <w:bCs/>
          <w:color w:val="auto"/>
          <w:spacing w:val="-4"/>
          <w:sz w:val="30"/>
          <w:szCs w:val="30"/>
          <w:highlight w:val="none"/>
        </w:rPr>
        <w:t>供应商自行提交的其他文件</w:t>
      </w:r>
    </w:p>
    <w:p w14:paraId="44831CD4">
      <w:pPr>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DC7">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2CC9">
    <w:pPr>
      <w:spacing w:line="169" w:lineRule="auto"/>
      <w:ind w:left="479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31E2D">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9031E2D">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4576">
    <w:pPr>
      <w:spacing w:line="168"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2C940">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22C940">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1962">
    <w:pPr>
      <w:spacing w:line="169"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D52A8">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A1D52A8">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2978">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4F24C">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E4F24C">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56F1">
    <w:pPr>
      <w:spacing w:line="168"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7D64B">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47D64B">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5BF8">
    <w:pPr>
      <w:spacing w:line="167" w:lineRule="auto"/>
      <w:ind w:left="467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AA882">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F8AA882">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419">
    <w:pPr>
      <w:spacing w:line="169" w:lineRule="auto"/>
      <w:ind w:left="493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BBC9A">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61BBC9A">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0E53">
    <w:pPr>
      <w:spacing w:line="167"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39B11">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6F39B11">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86C2">
    <w:pPr>
      <w:spacing w:line="169"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4E475">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C94E475">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826">
    <w:pPr>
      <w:spacing w:line="169"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5A845">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725A845">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9CE0">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96785">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396785">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10F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AB868">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AAB868">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6EEC">
    <w:pPr>
      <w:spacing w:line="168"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8C59">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EF8C59">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A2CA">
    <w:pPr>
      <w:spacing w:line="168"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37C3A">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937C3A">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15A2">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3E7EE">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33E7EE">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00A8">
    <w:pPr>
      <w:spacing w:line="168" w:lineRule="auto"/>
      <w:ind w:left="453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41702">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741702">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F99">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6FAD5">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06FAD5">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F22A">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63FA9">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A63FA9">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1089">
    <w:pPr>
      <w:pStyle w:val="8"/>
      <w:spacing w:before="55" w:line="219" w:lineRule="auto"/>
      <w:ind w:left="618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989C">
    <w:pPr>
      <w:pStyle w:val="8"/>
      <w:spacing w:before="55" w:line="219" w:lineRule="auto"/>
      <w:ind w:left="618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6834"/>
    <w:multiLevelType w:val="multilevel"/>
    <w:tmpl w:val="CD7E6834"/>
    <w:lvl w:ilvl="0" w:tentative="0">
      <w:start w:val="1"/>
      <w:numFmt w:val="chineseCounting"/>
      <w:suff w:val="nothing"/>
      <w:lvlText w:val="第%1条"/>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196357D5"/>
    <w:multiLevelType w:val="singleLevel"/>
    <w:tmpl w:val="196357D5"/>
    <w:lvl w:ilvl="0" w:tentative="0">
      <w:start w:val="6"/>
      <w:numFmt w:val="chineseCounting"/>
      <w:suff w:val="nothing"/>
      <w:lvlText w:val="%1、"/>
      <w:lvlJc w:val="left"/>
      <w:rPr>
        <w:rFonts w:hint="eastAsia"/>
      </w:rPr>
    </w:lvl>
  </w:abstractNum>
  <w:abstractNum w:abstractNumId="3">
    <w:nsid w:val="2CA0594B"/>
    <w:multiLevelType w:val="singleLevel"/>
    <w:tmpl w:val="2CA0594B"/>
    <w:lvl w:ilvl="0" w:tentative="0">
      <w:start w:val="2"/>
      <w:numFmt w:val="decimal"/>
      <w:suff w:val="nothing"/>
      <w:lvlText w:val="%1、"/>
      <w:lvlJc w:val="left"/>
    </w:lvl>
  </w:abstractNum>
  <w:abstractNum w:abstractNumId="4">
    <w:nsid w:val="402473DC"/>
    <w:multiLevelType w:val="singleLevel"/>
    <w:tmpl w:val="402473DC"/>
    <w:lvl w:ilvl="0" w:tentative="0">
      <w:start w:val="8"/>
      <w:numFmt w:val="decimal"/>
      <w:suff w:val="space"/>
      <w:lvlText w:val="%1."/>
      <w:lvlJc w:val="left"/>
    </w:lvl>
  </w:abstractNum>
  <w:abstractNum w:abstractNumId="5">
    <w:nsid w:val="5F307A65"/>
    <w:multiLevelType w:val="singleLevel"/>
    <w:tmpl w:val="5F307A65"/>
    <w:lvl w:ilvl="0" w:tentative="0">
      <w:start w:val="1"/>
      <w:numFmt w:val="decimal"/>
      <w:suff w:val="nothing"/>
      <w:lvlText w:val="%1）"/>
      <w:lvlJc w:val="left"/>
    </w:lvl>
  </w:abstractNum>
  <w:abstractNum w:abstractNumId="6">
    <w:nsid w:val="65435F09"/>
    <w:multiLevelType w:val="singleLevel"/>
    <w:tmpl w:val="65435F09"/>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D2DF8"/>
    <w:rsid w:val="03A41059"/>
    <w:rsid w:val="0428053E"/>
    <w:rsid w:val="044D1E2D"/>
    <w:rsid w:val="04DA6382"/>
    <w:rsid w:val="052E3215"/>
    <w:rsid w:val="076404CB"/>
    <w:rsid w:val="07FCEDA2"/>
    <w:rsid w:val="0813689E"/>
    <w:rsid w:val="0B172E70"/>
    <w:rsid w:val="0C840297"/>
    <w:rsid w:val="0CE04E53"/>
    <w:rsid w:val="0CFFC4F0"/>
    <w:rsid w:val="0F076219"/>
    <w:rsid w:val="0FBA40F6"/>
    <w:rsid w:val="126A634F"/>
    <w:rsid w:val="14494C1D"/>
    <w:rsid w:val="147C132A"/>
    <w:rsid w:val="157E504C"/>
    <w:rsid w:val="16612523"/>
    <w:rsid w:val="176573B3"/>
    <w:rsid w:val="186E0367"/>
    <w:rsid w:val="18A137CE"/>
    <w:rsid w:val="1A1A1631"/>
    <w:rsid w:val="1B620BAE"/>
    <w:rsid w:val="1BA82FED"/>
    <w:rsid w:val="1BFD0102"/>
    <w:rsid w:val="1D3F0B0A"/>
    <w:rsid w:val="1DE4219A"/>
    <w:rsid w:val="1FEC60D9"/>
    <w:rsid w:val="1FFCE383"/>
    <w:rsid w:val="22E774C5"/>
    <w:rsid w:val="24E82E4D"/>
    <w:rsid w:val="258D228A"/>
    <w:rsid w:val="26AF70B6"/>
    <w:rsid w:val="27311C66"/>
    <w:rsid w:val="276E6AA6"/>
    <w:rsid w:val="27F923D3"/>
    <w:rsid w:val="29222E98"/>
    <w:rsid w:val="2C230D60"/>
    <w:rsid w:val="2CD341A1"/>
    <w:rsid w:val="2D330B30"/>
    <w:rsid w:val="2D5751CF"/>
    <w:rsid w:val="2F68215F"/>
    <w:rsid w:val="2F727DDB"/>
    <w:rsid w:val="2FBC6E61"/>
    <w:rsid w:val="31101892"/>
    <w:rsid w:val="33FBADF5"/>
    <w:rsid w:val="34C606FB"/>
    <w:rsid w:val="39933F90"/>
    <w:rsid w:val="39F84299"/>
    <w:rsid w:val="3CA840F0"/>
    <w:rsid w:val="3CEF19D0"/>
    <w:rsid w:val="3E7F3835"/>
    <w:rsid w:val="3EF44AD4"/>
    <w:rsid w:val="3F44763F"/>
    <w:rsid w:val="3F7FEC61"/>
    <w:rsid w:val="3FAD5455"/>
    <w:rsid w:val="3FFF7FD1"/>
    <w:rsid w:val="41DB2FA5"/>
    <w:rsid w:val="438E3633"/>
    <w:rsid w:val="43A868AE"/>
    <w:rsid w:val="442739FA"/>
    <w:rsid w:val="44B21190"/>
    <w:rsid w:val="44E05527"/>
    <w:rsid w:val="460A5AC4"/>
    <w:rsid w:val="463C72CB"/>
    <w:rsid w:val="48BB375D"/>
    <w:rsid w:val="4C5C3453"/>
    <w:rsid w:val="4DB93D06"/>
    <w:rsid w:val="4FB52CD9"/>
    <w:rsid w:val="5314634E"/>
    <w:rsid w:val="54AC55D0"/>
    <w:rsid w:val="55033D1A"/>
    <w:rsid w:val="55FA7369"/>
    <w:rsid w:val="56476CFC"/>
    <w:rsid w:val="57CE6575"/>
    <w:rsid w:val="57DE4D8B"/>
    <w:rsid w:val="595FE1B5"/>
    <w:rsid w:val="5ABF9FDF"/>
    <w:rsid w:val="5BE33327"/>
    <w:rsid w:val="5EA150EA"/>
    <w:rsid w:val="62B83944"/>
    <w:rsid w:val="63E837CE"/>
    <w:rsid w:val="63F975E8"/>
    <w:rsid w:val="656C2850"/>
    <w:rsid w:val="66D734E4"/>
    <w:rsid w:val="68320171"/>
    <w:rsid w:val="6A6F050A"/>
    <w:rsid w:val="6AB57FE0"/>
    <w:rsid w:val="6B030991"/>
    <w:rsid w:val="6BE25DC0"/>
    <w:rsid w:val="6D767F06"/>
    <w:rsid w:val="6DAEB58A"/>
    <w:rsid w:val="6EF40CC5"/>
    <w:rsid w:val="6F9FB71A"/>
    <w:rsid w:val="71B82B77"/>
    <w:rsid w:val="72880BC2"/>
    <w:rsid w:val="732D2602"/>
    <w:rsid w:val="757E5B9F"/>
    <w:rsid w:val="76B700D9"/>
    <w:rsid w:val="76BF1895"/>
    <w:rsid w:val="76D84388"/>
    <w:rsid w:val="76EBE8EF"/>
    <w:rsid w:val="77AA3221"/>
    <w:rsid w:val="7BFF3A95"/>
    <w:rsid w:val="7CCFDCE0"/>
    <w:rsid w:val="7DFD18DC"/>
    <w:rsid w:val="7EA47CF8"/>
    <w:rsid w:val="7EFF60E8"/>
    <w:rsid w:val="7EFF7223"/>
    <w:rsid w:val="7F7FF1E7"/>
    <w:rsid w:val="7FEE798F"/>
    <w:rsid w:val="7FF7CAE8"/>
    <w:rsid w:val="7FFF65AA"/>
    <w:rsid w:val="87FF0E9B"/>
    <w:rsid w:val="8FBB31B8"/>
    <w:rsid w:val="97BA5E34"/>
    <w:rsid w:val="9BF6A504"/>
    <w:rsid w:val="AA9E3482"/>
    <w:rsid w:val="AF4889CF"/>
    <w:rsid w:val="AFBEB3BA"/>
    <w:rsid w:val="B5FF34CB"/>
    <w:rsid w:val="B77F56B1"/>
    <w:rsid w:val="BB9D61B2"/>
    <w:rsid w:val="BBFDCC65"/>
    <w:rsid w:val="BE6FC678"/>
    <w:rsid w:val="BFDD54EF"/>
    <w:rsid w:val="BFFBA7CB"/>
    <w:rsid w:val="BFFF6C26"/>
    <w:rsid w:val="D4FF05BA"/>
    <w:rsid w:val="D77F7CF2"/>
    <w:rsid w:val="DB4E337A"/>
    <w:rsid w:val="E7F6CDB1"/>
    <w:rsid w:val="EBDDFD3D"/>
    <w:rsid w:val="EDBE637B"/>
    <w:rsid w:val="F63AAC3A"/>
    <w:rsid w:val="F7D647AA"/>
    <w:rsid w:val="F9FFAB48"/>
    <w:rsid w:val="FBFF2A47"/>
    <w:rsid w:val="FEFA6A76"/>
    <w:rsid w:val="FF93C003"/>
    <w:rsid w:val="FFB76B0A"/>
    <w:rsid w:val="FFBEFFC8"/>
    <w:rsid w:val="FFDFA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rFonts w:asciiTheme="minorAscii" w:hAnsiTheme="minorAscii"/>
      <w:b/>
      <w:kern w:val="44"/>
      <w:sz w:val="32"/>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200" w:firstLineChars="200"/>
    </w:p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annotation text"/>
    <w:basedOn w:val="1"/>
    <w:qFormat/>
    <w:uiPriority w:val="0"/>
    <w:pPr>
      <w:jc w:val="left"/>
    </w:pPr>
  </w:style>
  <w:style w:type="paragraph" w:styleId="8">
    <w:name w:val="Body Text"/>
    <w:basedOn w:val="1"/>
    <w:qFormat/>
    <w:uiPriority w:val="0"/>
    <w:pPr>
      <w:jc w:val="left"/>
    </w:pPr>
    <w:rPr>
      <w:rFonts w:ascii="宋体"/>
      <w:sz w:val="24"/>
    </w:rPr>
  </w:style>
  <w:style w:type="paragraph" w:styleId="9">
    <w:name w:val="Body Text Indent"/>
    <w:basedOn w:val="1"/>
    <w:next w:val="10"/>
    <w:qFormat/>
    <w:uiPriority w:val="0"/>
    <w:pPr>
      <w:ind w:firstLine="444"/>
    </w:pPr>
    <w:rPr>
      <w:b/>
      <w:sz w:val="24"/>
    </w:rPr>
  </w:style>
  <w:style w:type="paragraph" w:styleId="10">
    <w:name w:val="Normal (Web)"/>
    <w:basedOn w:val="1"/>
    <w:next w:val="1"/>
    <w:qFormat/>
    <w:uiPriority w:val="0"/>
    <w:pPr>
      <w:widowControl/>
      <w:jc w:val="left"/>
    </w:pPr>
    <w:rPr>
      <w:rFonts w:ascii="宋体" w:hAnsi="Calibri" w:eastAsia="宋体" w:cs="宋体"/>
      <w:kern w:val="0"/>
      <w:sz w:val="24"/>
      <w:lang w:bidi="ar-SA"/>
    </w:r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qFormat/>
    <w:uiPriority w:val="0"/>
    <w:rPr>
      <w:rFonts w:ascii="宋体"/>
      <w:szCs w:val="20"/>
    </w:rPr>
  </w:style>
  <w:style w:type="paragraph" w:styleId="13">
    <w:name w:val="Date"/>
    <w:basedOn w:val="1"/>
    <w:next w:val="1"/>
    <w:qFormat/>
    <w:uiPriority w:val="0"/>
    <w:pPr>
      <w:ind w:left="25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tabs>
        <w:tab w:val="left" w:pos="540"/>
        <w:tab w:val="right" w:leader="dot" w:pos="8460"/>
      </w:tabs>
      <w:spacing w:before="156" w:beforeLines="50" w:after="156" w:afterLines="50" w:line="360" w:lineRule="auto"/>
    </w:pPr>
    <w:rPr>
      <w:rFonts w:ascii="宋体" w:hAnsi="宋体" w:eastAsia="宋体" w:cs="Arial"/>
      <w:b/>
      <w:sz w:val="24"/>
    </w:rPr>
  </w:style>
  <w:style w:type="paragraph" w:styleId="17">
    <w:name w:val="footnote text"/>
    <w:basedOn w:val="1"/>
    <w:qFormat/>
    <w:uiPriority w:val="0"/>
    <w:pPr>
      <w:snapToGrid w:val="0"/>
      <w:jc w:val="left"/>
    </w:pPr>
    <w:rPr>
      <w:rFonts w:ascii="Times New Roman" w:hAnsi="Times New Roman" w:eastAsia="宋体" w:cs="Times New Roman"/>
      <w:sz w:val="18"/>
    </w:rPr>
  </w:style>
  <w:style w:type="paragraph" w:styleId="18">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eastAsia="宋体" w:cs="Times New Roman"/>
      <w:b/>
      <w:smallCaps/>
      <w:sz w:val="24"/>
    </w:rPr>
  </w:style>
  <w:style w:type="paragraph" w:styleId="19">
    <w:name w:val="Body Text First Indent"/>
    <w:basedOn w:val="8"/>
    <w:qFormat/>
    <w:uiPriority w:val="0"/>
    <w:pPr>
      <w:spacing w:after="120"/>
      <w:ind w:firstLine="420" w:firstLineChars="100"/>
      <w:jc w:val="both"/>
    </w:pPr>
    <w:rPr>
      <w:sz w:val="21"/>
    </w:rPr>
  </w:style>
  <w:style w:type="paragraph" w:styleId="20">
    <w:name w:val="Body Text First Indent 2"/>
    <w:basedOn w:val="9"/>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Calibri" w:hAnsi="Calibri" w:eastAsia="宋体" w:cs="Times New Roman"/>
      <w:lang w:bidi="ar-SA"/>
    </w:rPr>
  </w:style>
  <w:style w:type="paragraph" w:styleId="25">
    <w:name w:val="No Spacing"/>
    <w:qFormat/>
    <w:uiPriority w:val="0"/>
    <w:pPr>
      <w:widowControl w:val="0"/>
      <w:jc w:val="both"/>
    </w:pPr>
    <w:rPr>
      <w:rFonts w:ascii="Calibri" w:hAnsi="Calibri" w:eastAsia="宋体" w:cs="Times New Roman"/>
      <w:sz w:val="22"/>
      <w:lang w:val="en-US" w:eastAsia="zh-CN" w:bidi="ar-SA"/>
    </w:rPr>
  </w:style>
  <w:style w:type="paragraph" w:customStyle="1" w:styleId="26">
    <w:name w:val="p0"/>
    <w:basedOn w:val="1"/>
    <w:qFormat/>
    <w:uiPriority w:val="0"/>
    <w:pPr>
      <w:widowControl/>
    </w:pPr>
    <w:rPr>
      <w:rFonts w:ascii="Courier New" w:hAnsi="Courier New" w:eastAsia="宋体" w:cs="Courier New"/>
      <w:kern w:val="0"/>
      <w:szCs w:val="21"/>
      <w:lang w:bidi="ar-SA"/>
    </w:rPr>
  </w:style>
  <w:style w:type="paragraph" w:customStyle="1" w:styleId="2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8">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正文_0"/>
    <w:basedOn w:val="33"/>
    <w:next w:val="34"/>
    <w:qFormat/>
    <w:uiPriority w:val="0"/>
    <w:pPr>
      <w:widowControl w:val="0"/>
      <w:jc w:val="both"/>
    </w:pPr>
    <w:rPr>
      <w:kern w:val="2"/>
      <w:sz w:val="21"/>
      <w:szCs w:val="24"/>
      <w:lang w:val="en-US" w:eastAsia="zh-CN" w:bidi="ar-SA"/>
    </w:rPr>
  </w:style>
  <w:style w:type="paragraph" w:customStyle="1" w:styleId="33">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
    <w:basedOn w:val="33"/>
    <w:unhideWhenUsed/>
    <w:qFormat/>
    <w:uiPriority w:val="0"/>
    <w:pPr>
      <w:tabs>
        <w:tab w:val="left" w:pos="-120"/>
      </w:tabs>
      <w:spacing w:beforeLines="0" w:afterLines="0" w:line="560" w:lineRule="exact"/>
      <w:ind w:firstLine="600"/>
      <w:textAlignment w:val="baseline"/>
    </w:pPr>
    <w:rPr>
      <w:rFonts w:hint="eastAsia" w:ascii="仿宋_GB2312" w:hAnsi="仿宋_GB2312" w:eastAsia="仿宋_GB2312" w:cs="仿宋_GB2312"/>
      <w:color w:val="000000"/>
      <w:spacing w:val="20"/>
      <w:kern w:val="0"/>
      <w:sz w:val="21"/>
      <w:szCs w:val="21"/>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22677</Words>
  <Characters>23781</Characters>
  <Lines>0</Lines>
  <Paragraphs>0</Paragraphs>
  <TotalTime>0</TotalTime>
  <ScaleCrop>false</ScaleCrop>
  <LinksUpToDate>false</LinksUpToDate>
  <CharactersWithSpaces>24158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2026-04-20T16:30:00Z</dcterms:created>
  <dc:creator>一木禾麓</dc:creator>
  <cp:lastModifiedBy>lenovo</cp:lastModifiedBy>
  <cp:lastPrinted>2026-04-24T02:18:00Z</cp:lastPrinted>
  <dcterms:modified xsi:type="dcterms:W3CDTF">2026-05-19T09:12:22Z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E893647A8F884121B9A7920FB95561E8_13</vt:lpwstr>
  </property>
  <property fmtid="{D5CDD505-2E9C-101B-9397-08002B2CF9AE}" pid="4" name="KSOTemplateDocerSaveRecord">
    <vt:lpwstr>eyJoZGlkIjoiNWViYTNjZjQ1ZjBjZmYxYzcyNTRiODA1NDA0NmI1ZDQiLCJ1c2VySWQiOiI0MTIzNDc3NDIifQ==</vt:lpwstr>
  </property>
</Properties>
</file>