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A4852">
      <w:pPr>
        <w:pStyle w:val="87"/>
        <w:spacing w:line="480" w:lineRule="auto"/>
        <w:jc w:val="center"/>
        <w:rPr>
          <w:rFonts w:hint="eastAsia" w:ascii="仿宋" w:hAnsi="仿宋" w:eastAsia="仿宋" w:cs="仿宋"/>
          <w:b/>
          <w:color w:val="000000" w:themeColor="text1"/>
          <w:sz w:val="24"/>
          <w:szCs w:val="24"/>
          <w:highlight w:val="none"/>
          <w14:textFill>
            <w14:solidFill>
              <w14:schemeClr w14:val="tx1"/>
            </w14:solidFill>
          </w14:textFill>
        </w:rPr>
      </w:pPr>
      <w:bookmarkStart w:id="559" w:name="_GoBack"/>
      <w:bookmarkEnd w:id="559"/>
    </w:p>
    <w:p w14:paraId="6B645AE7">
      <w:pPr>
        <w:pStyle w:val="87"/>
        <w:spacing w:line="48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2EA5FE4F">
      <w:pPr>
        <w:pStyle w:val="87"/>
        <w:spacing w:line="480" w:lineRule="auto"/>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政府采购公开招标</w:t>
      </w:r>
    </w:p>
    <w:p w14:paraId="299DE46C">
      <w:pPr>
        <w:pStyle w:val="87"/>
        <w:spacing w:line="480" w:lineRule="auto"/>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采购文件</w:t>
      </w:r>
    </w:p>
    <w:p w14:paraId="16FBFB65">
      <w:pPr>
        <w:pStyle w:val="87"/>
        <w:spacing w:line="480" w:lineRule="auto"/>
        <w:jc w:val="center"/>
        <w:rPr>
          <w:rFonts w:hint="eastAsia" w:ascii="仿宋" w:hAnsi="仿宋" w:eastAsia="仿宋" w:cs="仿宋"/>
          <w:b/>
          <w:color w:val="000000" w:themeColor="text1"/>
          <w:sz w:val="18"/>
          <w:szCs w:val="18"/>
          <w:highlight w:val="none"/>
          <w14:textFill>
            <w14:solidFill>
              <w14:schemeClr w14:val="tx1"/>
            </w14:solidFill>
          </w14:textFill>
        </w:rPr>
      </w:pPr>
    </w:p>
    <w:p w14:paraId="76B3F881">
      <w:pPr>
        <w:pStyle w:val="87"/>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drawing>
          <wp:inline distT="0" distB="0" distL="114300" distR="114300">
            <wp:extent cx="2202180" cy="2806065"/>
            <wp:effectExtent l="0" t="0" r="7620" b="1333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a:stretch>
                      <a:fillRect/>
                    </a:stretch>
                  </pic:blipFill>
                  <pic:spPr>
                    <a:xfrm>
                      <a:off x="0" y="0"/>
                      <a:ext cx="1704975" cy="2171700"/>
                    </a:xfrm>
                    <a:prstGeom prst="rect">
                      <a:avLst/>
                    </a:prstGeom>
                    <a:noFill/>
                    <a:ln w="9525">
                      <a:noFill/>
                      <a:miter/>
                    </a:ln>
                    <a:effectLst/>
                  </pic:spPr>
                </pic:pic>
              </a:graphicData>
            </a:graphic>
          </wp:inline>
        </w:drawing>
      </w:r>
    </w:p>
    <w:p w14:paraId="22EE6CC2">
      <w:pPr>
        <w:pStyle w:val="87"/>
        <w:spacing w:line="360" w:lineRule="auto"/>
        <w:ind w:firstLine="1440" w:firstLineChars="600"/>
        <w:rPr>
          <w:rFonts w:hint="eastAsia" w:ascii="仿宋" w:hAnsi="仿宋" w:eastAsia="仿宋" w:cs="仿宋"/>
          <w:color w:val="000000" w:themeColor="text1"/>
          <w:sz w:val="24"/>
          <w:szCs w:val="24"/>
          <w:highlight w:val="none"/>
          <w14:textFill>
            <w14:solidFill>
              <w14:schemeClr w14:val="tx1"/>
            </w14:solidFill>
          </w14:textFill>
        </w:rPr>
      </w:pPr>
    </w:p>
    <w:p w14:paraId="4B449C5D">
      <w:pPr>
        <w:pStyle w:val="87"/>
        <w:spacing w:line="360" w:lineRule="auto"/>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项目名称：</w:t>
      </w:r>
      <w:r>
        <w:rPr>
          <w:rFonts w:hint="eastAsia" w:ascii="仿宋" w:hAnsi="仿宋" w:eastAsia="仿宋" w:cs="仿宋"/>
          <w:b/>
          <w:color w:val="000000" w:themeColor="text1"/>
          <w:sz w:val="28"/>
          <w:szCs w:val="28"/>
          <w:highlight w:val="none"/>
          <w:lang w:eastAsia="zh-CN"/>
          <w14:textFill>
            <w14:solidFill>
              <w14:schemeClr w14:val="tx1"/>
            </w14:solidFill>
          </w14:textFill>
        </w:rPr>
        <w:t>天山电影制片厂译制(进口）设备设施更新改造项目</w:t>
      </w:r>
    </w:p>
    <w:p w14:paraId="1E055609">
      <w:pPr>
        <w:pStyle w:val="87"/>
        <w:spacing w:line="360" w:lineRule="auto"/>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编号</w:t>
      </w:r>
      <w:r>
        <w:rPr>
          <w:rFonts w:hint="eastAsia" w:ascii="仿宋" w:hAnsi="仿宋" w:eastAsia="仿宋" w:cs="仿宋"/>
          <w:b/>
          <w:color w:val="000000" w:themeColor="text1"/>
          <w:sz w:val="28"/>
          <w:szCs w:val="28"/>
          <w:highlight w:val="none"/>
          <w:lang w:eastAsia="zh-CN"/>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ZFCGHY-20260038</w:t>
      </w:r>
    </w:p>
    <w:p w14:paraId="4D39D3E4">
      <w:pPr>
        <w:pStyle w:val="87"/>
        <w:spacing w:line="36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采购人：</w:t>
      </w:r>
      <w:r>
        <w:rPr>
          <w:rFonts w:hint="eastAsia" w:ascii="仿宋" w:hAnsi="仿宋" w:eastAsia="仿宋" w:cs="仿宋"/>
          <w:b/>
          <w:color w:val="000000" w:themeColor="text1"/>
          <w:sz w:val="28"/>
          <w:szCs w:val="28"/>
          <w:highlight w:val="none"/>
          <w:lang w:eastAsia="zh-CN"/>
          <w14:textFill>
            <w14:solidFill>
              <w14:schemeClr w14:val="tx1"/>
            </w14:solidFill>
          </w14:textFill>
        </w:rPr>
        <w:t>天山电影制片厂</w:t>
      </w:r>
    </w:p>
    <w:p w14:paraId="06C1CCEF">
      <w:pPr>
        <w:pStyle w:val="87"/>
        <w:spacing w:line="360" w:lineRule="auto"/>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lang w:eastAsia="zh-CN"/>
          <w14:textFill>
            <w14:solidFill>
              <w14:schemeClr w14:val="tx1"/>
            </w14:solidFill>
          </w14:textFill>
        </w:rPr>
        <w:t>新疆华域建设工程项目管理咨询有限公司</w:t>
      </w:r>
    </w:p>
    <w:p w14:paraId="445D6537">
      <w:pPr>
        <w:jc w:val="center"/>
        <w:rPr>
          <w:rFonts w:hint="eastAsia" w:ascii="仿宋" w:hAnsi="仿宋" w:eastAsia="仿宋" w:cs="仿宋"/>
          <w:b/>
          <w:color w:val="000000" w:themeColor="text1"/>
          <w:sz w:val="24"/>
          <w:szCs w:val="24"/>
          <w:highlight w:val="none"/>
          <w14:textFill>
            <w14:solidFill>
              <w14:schemeClr w14:val="tx1"/>
            </w14:solidFill>
          </w14:textFill>
        </w:rPr>
      </w:pPr>
    </w:p>
    <w:p w14:paraId="4A6CBAE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202</w:t>
      </w:r>
      <w:r>
        <w:rPr>
          <w:rFonts w:hint="eastAsia" w:ascii="仿宋" w:hAnsi="仿宋" w:eastAsia="仿宋" w:cs="仿宋"/>
          <w:b/>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color w:val="000000" w:themeColor="text1"/>
          <w:sz w:val="24"/>
          <w:szCs w:val="24"/>
          <w:highlight w:val="none"/>
          <w14:textFill>
            <w14:solidFill>
              <w14:schemeClr w14:val="tx1"/>
            </w14:solidFill>
          </w14:textFill>
        </w:rPr>
        <w:t>年</w:t>
      </w:r>
      <w:r>
        <w:rPr>
          <w:rFonts w:hint="eastAsia" w:ascii="仿宋" w:hAnsi="仿宋" w:eastAsia="仿宋" w:cs="仿宋"/>
          <w:b/>
          <w:color w:val="000000" w:themeColor="text1"/>
          <w:sz w:val="24"/>
          <w:szCs w:val="24"/>
          <w:highlight w:val="none"/>
          <w:lang w:val="en-US" w:eastAsia="zh-CN"/>
          <w14:textFill>
            <w14:solidFill>
              <w14:schemeClr w14:val="tx1"/>
            </w14:solidFill>
          </w14:textFill>
        </w:rPr>
        <w:t>5月</w:t>
      </w:r>
    </w:p>
    <w:p w14:paraId="2071DA2E">
      <w:pPr>
        <w:ind w:firstLine="960"/>
        <w:jc w:val="center"/>
        <w:rPr>
          <w:rFonts w:hint="eastAsia" w:ascii="仿宋" w:hAnsi="仿宋" w:eastAsia="仿宋" w:cs="仿宋"/>
          <w:color w:val="000000" w:themeColor="text1"/>
          <w:sz w:val="24"/>
          <w:szCs w:val="24"/>
          <w:highlight w:val="none"/>
          <w14:textFill>
            <w14:solidFill>
              <w14:schemeClr w14:val="tx1"/>
            </w14:solidFill>
          </w14:textFill>
        </w:rPr>
      </w:pPr>
    </w:p>
    <w:p w14:paraId="606B2A45">
      <w:pPr>
        <w:ind w:firstLine="723"/>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56C16C98">
      <w:pPr>
        <w:ind w:firstLine="723"/>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目 录</w:t>
      </w:r>
    </w:p>
    <w:p w14:paraId="6EA10423">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TOC \o "1-4" \h \z \u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"_Toc8881"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 xml:space="preserve">第一章 </w:t>
      </w:r>
      <w:r>
        <w:rPr>
          <w:rFonts w:hint="eastAsia" w:ascii="仿宋" w:hAnsi="仿宋" w:eastAsia="仿宋" w:cs="仿宋"/>
          <w:color w:val="000000" w:themeColor="text1"/>
          <w:sz w:val="24"/>
          <w:szCs w:val="24"/>
          <w:highlight w:val="none"/>
          <w14:textFill>
            <w14:solidFill>
              <w14:schemeClr w14:val="tx1"/>
            </w14:solidFill>
          </w14:textFill>
        </w:rPr>
        <w:t>招标公告</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_Toc8881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23E18A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"_Toc5645"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第二章 投标人须知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_Toc5645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- 2 -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B61F07C">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"_Toc32038"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bCs/>
          <w:color w:val="000000" w:themeColor="text1"/>
          <w:sz w:val="24"/>
          <w:szCs w:val="24"/>
          <w:highlight w:val="none"/>
          <w14:textFill>
            <w14:solidFill>
              <w14:schemeClr w14:val="tx1"/>
            </w14:solidFill>
          </w14:textFill>
        </w:rPr>
        <w:t>一、投标人须知前附表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_Toc32038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- 2 -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5DC9C7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_Toc25718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二、投标人须知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_Toc25718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- 15 -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6F5FF1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"_Toc21746"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第三章 采购需求</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_Toc21746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- 55 -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EADC0C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"_Toc17715"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第四章 资格审查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_Toc17715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- 68 -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7C4E0ED">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"_Toc31801"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一、资格审查程序</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_Toc31801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- 69 -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55B74C7">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"_Toc19754"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二、资格审查要求</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_Toc19754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- 69 -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819EA43">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"_Toc18814"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第五章 评标方法及标准</w:t>
      </w:r>
      <w:r>
        <w:rPr>
          <w:rFonts w:hint="eastAsia" w:ascii="仿宋" w:hAnsi="仿宋" w:eastAsia="仿宋" w:cs="仿宋"/>
          <w:color w:val="000000" w:themeColor="text1"/>
          <w:sz w:val="24"/>
          <w:szCs w:val="24"/>
          <w:highlight w:val="none"/>
          <w:lang w:val="hr-HR"/>
          <w14:textFill>
            <w14:solidFill>
              <w14:schemeClr w14:val="tx1"/>
            </w14:solidFill>
          </w14:textFill>
        </w:rPr>
        <w:t>【</w:t>
      </w:r>
      <w:r>
        <w:rPr>
          <w:rFonts w:hint="eastAsia" w:ascii="仿宋" w:hAnsi="仿宋" w:eastAsia="仿宋" w:cs="仿宋"/>
          <w:color w:val="000000" w:themeColor="text1"/>
          <w:kern w:val="44"/>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lang w:val="hr-HR"/>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_Toc18814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- 72 -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5C2202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"_Toc17112"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lang w:val="zh-CN"/>
          <w14:textFill>
            <w14:solidFill>
              <w14:schemeClr w14:val="tx1"/>
            </w14:solidFill>
          </w14:textFill>
        </w:rPr>
        <w:t>第六章 合同草案</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_Toc17112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- 88 -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A398ABC">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"_Toc4770"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第七章 投标文件格式</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_Toc4770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- 88 -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5FBF6E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_Toc7054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投标文件</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_Toc17826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资格证明文件</w:t>
      </w:r>
      <w:r>
        <w:rPr>
          <w:rFonts w:hint="eastAsia" w:ascii="仿宋" w:hAnsi="仿宋" w:eastAsia="仿宋" w:cs="仿宋"/>
          <w:b/>
          <w:bCs/>
          <w:color w:val="000000" w:themeColor="text1"/>
          <w:sz w:val="24"/>
          <w:szCs w:val="24"/>
          <w:highlight w:val="none"/>
          <w14:textFill>
            <w14:solidFill>
              <w14:schemeClr w14:val="tx1"/>
            </w14:solidFill>
          </w14:textFill>
        </w:rPr>
        <w:tab/>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PAGEREF _Toc17826 \h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- 93 -</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p>
    <w:p w14:paraId="101ECAC1">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_Toc24224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一、满足《中华人民共和国政府采购法》第二十二条规定</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_Toc24224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- 94 -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F1BFCA1">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_Toc27506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lang w:val="zh-CN" w:eastAsia="zh-CN"/>
          <w14:textFill>
            <w14:solidFill>
              <w14:schemeClr w14:val="tx1"/>
            </w14:solidFill>
          </w14:textFill>
        </w:rPr>
        <w:t>联合体协议书【如适用】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_Toc27506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b/>
          <w:color w:val="000000" w:themeColor="text1"/>
          <w:highlight w:val="none"/>
          <w14:textFill>
            <w14:solidFill>
              <w14:schemeClr w14:val="tx1"/>
            </w14:solidFill>
          </w14:textFill>
        </w:rPr>
        <w:t>错误！未定义书签。</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F61D61C">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_Toc18444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lang w:val="zh-CN" w:eastAsia="zh-CN"/>
          <w14:textFill>
            <w14:solidFill>
              <w14:schemeClr w14:val="tx1"/>
            </w14:solidFill>
          </w14:textFill>
        </w:rPr>
        <w:t>分包意向协议书【如适用】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_Toc18444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b/>
          <w:color w:val="000000" w:themeColor="text1"/>
          <w:highlight w:val="none"/>
          <w14:textFill>
            <w14:solidFill>
              <w14:schemeClr w14:val="tx1"/>
            </w14:solidFill>
          </w14:textFill>
        </w:rPr>
        <w:t>错误！未定义书签。</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D008319">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_Toc18617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四、落实政府采购政策相关证明文件</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_Toc18617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- 98 -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E1CC45E">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_Toc29132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五、不参与围标串标承诺书</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_Toc29132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- 113 -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044F164">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_Toc12419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z w:val="24"/>
          <w:szCs w:val="24"/>
          <w:highlight w:val="none"/>
          <w:lang w:val="zh-CN" w:eastAsia="zh-CN"/>
          <w14:textFill>
            <w14:solidFill>
              <w14:schemeClr w14:val="tx1"/>
            </w14:solidFill>
          </w14:textFill>
        </w:rPr>
        <w:t>其他资格证明文件</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_Toc12419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- 114 -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4824F1C">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_Toc25734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投标文件</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_Toc16181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报价文件</w:t>
      </w:r>
      <w:r>
        <w:rPr>
          <w:rFonts w:hint="eastAsia" w:ascii="仿宋" w:hAnsi="仿宋" w:eastAsia="仿宋" w:cs="仿宋"/>
          <w:b/>
          <w:bCs/>
          <w:color w:val="000000" w:themeColor="text1"/>
          <w:sz w:val="24"/>
          <w:szCs w:val="24"/>
          <w:highlight w:val="none"/>
          <w14:textFill>
            <w14:solidFill>
              <w14:schemeClr w14:val="tx1"/>
            </w14:solidFill>
          </w14:textFill>
        </w:rPr>
        <w:tab/>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PAGEREF _Toc16181 \h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- 115 -</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p>
    <w:p w14:paraId="012B2D41">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_Toc13682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一、开标一览表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_Toc13682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- 117 -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52B0398">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_Toc16528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二、分项报价表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_Toc16528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- 119 -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76FDFAE">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_Toc5027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投标文件</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HYPERLINK \l _Toc17239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商务技术文件</w:t>
      </w:r>
      <w:r>
        <w:rPr>
          <w:rFonts w:hint="eastAsia" w:ascii="仿宋" w:hAnsi="仿宋" w:eastAsia="仿宋" w:cs="仿宋"/>
          <w:b/>
          <w:bCs/>
          <w:color w:val="000000" w:themeColor="text1"/>
          <w:sz w:val="24"/>
          <w:szCs w:val="24"/>
          <w:highlight w:val="none"/>
          <w14:textFill>
            <w14:solidFill>
              <w14:schemeClr w14:val="tx1"/>
            </w14:solidFill>
          </w14:textFill>
        </w:rPr>
        <w:tab/>
      </w: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color w:val="000000" w:themeColor="text1"/>
          <w:sz w:val="24"/>
          <w:szCs w:val="24"/>
          <w:highlight w:val="none"/>
          <w14:textFill>
            <w14:solidFill>
              <w14:schemeClr w14:val="tx1"/>
            </w14:solidFill>
          </w14:textFill>
        </w:rPr>
        <w:instrText xml:space="preserve"> PAGEREF _Toc17239 \h </w:instrText>
      </w:r>
      <w:r>
        <w:rPr>
          <w:rFonts w:hint="eastAsia" w:ascii="仿宋" w:hAnsi="仿宋" w:eastAsia="仿宋" w:cs="仿宋"/>
          <w:b/>
          <w:bCs/>
          <w:color w:val="000000" w:themeColor="text1"/>
          <w:sz w:val="24"/>
          <w:szCs w:val="24"/>
          <w:highlight w:val="none"/>
          <w14:textFill>
            <w14:solidFill>
              <w14:schemeClr w14:val="tx1"/>
            </w14:solidFill>
          </w14:textFill>
        </w:rPr>
        <w:fldChar w:fldCharType="separate"/>
      </w:r>
      <w:r>
        <w:rPr>
          <w:rFonts w:hint="eastAsia" w:ascii="仿宋" w:hAnsi="仿宋" w:eastAsia="仿宋" w:cs="仿宋"/>
          <w:b/>
          <w:bCs/>
          <w:color w:val="000000" w:themeColor="text1"/>
          <w:sz w:val="24"/>
          <w:szCs w:val="24"/>
          <w:highlight w:val="none"/>
          <w14:textFill>
            <w14:solidFill>
              <w14:schemeClr w14:val="tx1"/>
            </w14:solidFill>
          </w14:textFill>
        </w:rPr>
        <w:t>- 125 -</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p>
    <w:p w14:paraId="0FF3BB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_Toc26340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一、投标函</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_Toc26340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- 127 -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F85EF2F">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_Toc7151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二、法定代表人（单位负责人）身份证明</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_Toc7151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- 129 -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E0BE6DB">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_Toc13994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三、授权委托书</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_Toc13994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- 130 -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C1AD6D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_Toc11798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val="zh-CN" w:eastAsia="zh-CN"/>
          <w14:textFill>
            <w14:solidFill>
              <w14:schemeClr w14:val="tx1"/>
            </w14:solidFill>
          </w14:textFill>
        </w:rPr>
        <w:t>政府采购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廉洁自律承诺书</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_Toc11798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- 132 -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B16AAF0">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_Toc20842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lang w:val="zh-CN" w:eastAsia="zh-CN"/>
          <w14:textFill>
            <w14:solidFill>
              <w14:schemeClr w14:val="tx1"/>
            </w14:solidFill>
          </w14:textFill>
        </w:rPr>
        <w:t>实质性响应一览表【</w:t>
      </w:r>
      <w:r>
        <w:rPr>
          <w:rFonts w:hint="eastAsia" w:ascii="仿宋" w:hAnsi="仿宋" w:eastAsia="仿宋" w:cs="仿宋"/>
          <w:color w:val="000000" w:themeColor="text1"/>
          <w:sz w:val="24"/>
          <w:szCs w:val="24"/>
          <w:highlight w:val="none"/>
          <w:lang w:val="en-US" w:eastAsia="zh-CN"/>
          <w14:textFill>
            <w14:solidFill>
              <w14:schemeClr w14:val="tx1"/>
            </w14:solidFill>
          </w14:textFill>
        </w:rPr>
        <w:t>本表须与第五章的一致】</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_Toc20842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- 133 -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E9A4E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_Toc26965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六、商务响应偏离表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_Toc26965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- 134 -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55BD7C2A">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_Toc32716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七、业绩证明文件</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_Toc32716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- 136 -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E289888">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_Toc13809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八、拟派项目团队</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_Toc13809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- 137 -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9A003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_Toc10837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九、技术响应偏离表</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_Toc10837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- 138 -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C7C2916">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_Toc15970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十、技术方案</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_Toc15970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- 139 -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729FF8B">
      <w:pPr>
        <w:pStyle w:val="3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HYPERLINK \l _Toc19835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t>十一、其他文件</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_Toc19835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- 140 -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4CBFF2F">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5606DE37">
      <w:pPr>
        <w:pStyle w:val="2"/>
        <w:rPr>
          <w:rFonts w:hint="eastAsia" w:ascii="仿宋" w:hAnsi="仿宋" w:eastAsia="仿宋" w:cs="仿宋"/>
          <w:color w:val="000000" w:themeColor="text1"/>
          <w:sz w:val="24"/>
          <w:szCs w:val="24"/>
          <w:highlight w:val="none"/>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45D2B26">
      <w:pPr>
        <w:pStyle w:val="4"/>
        <w:spacing w:before="220" w:after="220" w:line="480" w:lineRule="auto"/>
        <w:ind w:left="420" w:firstLine="88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end"/>
      </w:r>
      <w:bookmarkStart w:id="0" w:name="_Toc155185859"/>
      <w:bookmarkStart w:id="1" w:name="_Toc8881"/>
      <w:bookmarkStart w:id="2" w:name="_Hlk130458318"/>
      <w:r>
        <w:rPr>
          <w:rFonts w:hint="eastAsia" w:ascii="仿宋" w:hAnsi="仿宋" w:eastAsia="仿宋" w:cs="仿宋"/>
          <w:color w:val="000000" w:themeColor="text1"/>
          <w:sz w:val="24"/>
          <w:szCs w:val="24"/>
          <w:highlight w:val="none"/>
          <w14:textFill>
            <w14:solidFill>
              <w14:schemeClr w14:val="tx1"/>
            </w14:solidFill>
          </w14:textFill>
        </w:rPr>
        <w:t xml:space="preserve">第一章 </w:t>
      </w:r>
      <w:bookmarkEnd w:id="0"/>
      <w:r>
        <w:rPr>
          <w:rFonts w:hint="eastAsia" w:ascii="仿宋" w:hAnsi="仿宋" w:eastAsia="仿宋" w:cs="仿宋"/>
          <w:color w:val="000000" w:themeColor="text1"/>
          <w:sz w:val="24"/>
          <w:szCs w:val="24"/>
          <w:highlight w:val="none"/>
          <w14:textFill>
            <w14:solidFill>
              <w14:schemeClr w14:val="tx1"/>
            </w14:solidFill>
          </w14:textFill>
        </w:rPr>
        <w:t>招标公告</w:t>
      </w:r>
      <w:bookmarkEnd w:id="1"/>
    </w:p>
    <w:bookmarkEnd w:id="2"/>
    <w:p w14:paraId="5280273F">
      <w:pPr>
        <w:spacing w:line="400" w:lineRule="exact"/>
        <w:ind w:firstLine="562"/>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天山电影制片厂译制(进口）设备设施更新改造项目</w:t>
      </w:r>
      <w:r>
        <w:rPr>
          <w:rFonts w:hint="eastAsia" w:ascii="仿宋" w:hAnsi="仿宋" w:eastAsia="仿宋" w:cs="仿宋"/>
          <w:b/>
          <w:color w:val="000000" w:themeColor="text1"/>
          <w:sz w:val="24"/>
          <w:szCs w:val="24"/>
          <w:highlight w:val="none"/>
          <w14:textFill>
            <w14:solidFill>
              <w14:schemeClr w14:val="tx1"/>
            </w14:solidFill>
          </w14:textFill>
        </w:rPr>
        <w:t>的公开招标公告</w:t>
      </w:r>
    </w:p>
    <w:p w14:paraId="4D5C910D">
      <w:pPr>
        <w:pStyle w:val="10"/>
        <w:spacing w:before="0" w:beforeAutospacing="0" w:after="0" w:afterAutospacing="0"/>
        <w:ind w:right="96" w:rightChars="40" w:firstLine="420"/>
        <w:rPr>
          <w:rFonts w:hint="eastAsia" w:ascii="仿宋" w:hAnsi="仿宋" w:eastAsia="仿宋" w:cs="仿宋"/>
          <w:color w:val="000000" w:themeColor="text1"/>
          <w:sz w:val="24"/>
          <w:szCs w:val="24"/>
          <w:highlight w:val="none"/>
          <w14:textFill>
            <w14:solidFill>
              <w14:schemeClr w14:val="tx1"/>
            </w14:solidFill>
          </w14:textFill>
        </w:rPr>
      </w:pPr>
    </w:p>
    <w:p w14:paraId="5D6CE60C">
      <w:pPr>
        <w:pStyle w:val="10"/>
        <w:widowControl w:val="0"/>
        <w:autoSpaceDE w:val="0"/>
        <w:autoSpaceDN w:val="0"/>
        <w:spacing w:before="0" w:beforeAutospacing="0" w:after="0" w:afterAutospacing="0" w:line="460" w:lineRule="exact"/>
        <w:ind w:right="96" w:rightChars="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项目概况</w:t>
      </w:r>
    </w:p>
    <w:p w14:paraId="525D2045">
      <w:pPr>
        <w:pStyle w:val="10"/>
        <w:widowControl w:val="0"/>
        <w:autoSpaceDE w:val="0"/>
        <w:autoSpaceDN w:val="0"/>
        <w:spacing w:before="0" w:beforeAutospacing="0" w:after="0" w:afterAutospacing="0" w:line="460" w:lineRule="exact"/>
        <w:ind w:right="96" w:rightChars="4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eastAsia="zh-CN"/>
          <w14:textFill>
            <w14:solidFill>
              <w14:schemeClr w14:val="tx1"/>
            </w14:solidFill>
          </w14:textFill>
        </w:rPr>
        <w:t>天山电影制片厂译制设备设施更新改造项目</w:t>
      </w:r>
      <w:r>
        <w:rPr>
          <w:rFonts w:hint="eastAsia" w:ascii="仿宋" w:hAnsi="仿宋" w:eastAsia="仿宋" w:cs="仿宋"/>
          <w:color w:val="000000" w:themeColor="text1"/>
          <w:sz w:val="24"/>
          <w:szCs w:val="24"/>
          <w:highlight w:val="none"/>
          <w14:textFill>
            <w14:solidFill>
              <w14:schemeClr w14:val="tx1"/>
            </w14:solidFill>
          </w14:textFill>
        </w:rPr>
        <w:t>招标项目的潜在供应商应在政采云平台，申请获取采购文件，并于投标截止时间之前递交投标文件。</w:t>
      </w:r>
    </w:p>
    <w:p w14:paraId="523DB92F">
      <w:pPr>
        <w:pStyle w:val="10"/>
        <w:widowControl w:val="0"/>
        <w:autoSpaceDE w:val="0"/>
        <w:autoSpaceDN w:val="0"/>
        <w:spacing w:before="0" w:beforeAutospacing="0" w:after="0" w:afterAutospacing="0" w:line="460" w:lineRule="exact"/>
        <w:ind w:right="96" w:rightChars="40" w:firstLine="482"/>
        <w:jc w:val="both"/>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一、项目基本情况</w:t>
      </w:r>
    </w:p>
    <w:p w14:paraId="27FE52E7">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ZFCGHY-20260038 </w:t>
      </w:r>
    </w:p>
    <w:p w14:paraId="553E9331">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天山电影制片厂译制(进口）设备设施更新改造项目</w:t>
      </w:r>
      <w:r>
        <w:rPr>
          <w:rFonts w:hint="eastAsia" w:ascii="仿宋" w:hAnsi="仿宋" w:eastAsia="仿宋" w:cs="仿宋"/>
          <w:color w:val="000000" w:themeColor="text1"/>
          <w:sz w:val="24"/>
          <w:szCs w:val="24"/>
          <w:highlight w:val="none"/>
          <w14:textFill>
            <w14:solidFill>
              <w14:schemeClr w14:val="tx1"/>
            </w14:solidFill>
          </w14:textFill>
        </w:rPr>
        <w:t>采购方式：公开招标</w:t>
      </w:r>
    </w:p>
    <w:p w14:paraId="6D02F447">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w:t>
      </w:r>
      <w:r>
        <w:rPr>
          <w:rFonts w:hint="eastAsia" w:ascii="仿宋" w:hAnsi="仿宋" w:eastAsia="仿宋" w:cs="仿宋"/>
          <w:color w:val="000000" w:themeColor="text1"/>
          <w:sz w:val="24"/>
          <w:szCs w:val="24"/>
          <w:highlight w:val="none"/>
          <w:lang w:val="en-US" w:eastAsia="zh-CN"/>
          <w14:textFill>
            <w14:solidFill>
              <w14:schemeClr w14:val="tx1"/>
            </w14:solidFill>
          </w14:textFill>
        </w:rPr>
        <w:t>1300000.00</w:t>
      </w:r>
      <w:r>
        <w:rPr>
          <w:rFonts w:hint="eastAsia" w:ascii="仿宋" w:hAnsi="仿宋" w:eastAsia="仿宋" w:cs="仿宋"/>
          <w:color w:val="000000" w:themeColor="text1"/>
          <w:sz w:val="24"/>
          <w:szCs w:val="24"/>
          <w:highlight w:val="none"/>
          <w14:textFill>
            <w14:solidFill>
              <w14:schemeClr w14:val="tx1"/>
            </w14:solidFill>
          </w14:textFill>
        </w:rPr>
        <w:t>元</w:t>
      </w:r>
    </w:p>
    <w:p w14:paraId="2BDED878">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最高限价（元）：</w:t>
      </w:r>
      <w:r>
        <w:rPr>
          <w:rFonts w:hint="eastAsia" w:ascii="仿宋" w:hAnsi="仿宋" w:eastAsia="仿宋" w:cs="仿宋"/>
          <w:color w:val="000000" w:themeColor="text1"/>
          <w:sz w:val="24"/>
          <w:szCs w:val="24"/>
          <w:highlight w:val="none"/>
          <w:lang w:val="en-US" w:eastAsia="zh-CN"/>
          <w14:textFill>
            <w14:solidFill>
              <w14:schemeClr w14:val="tx1"/>
            </w14:solidFill>
          </w14:textFill>
        </w:rPr>
        <w:t>1300000.00元</w:t>
      </w:r>
    </w:p>
    <w:p w14:paraId="13BC7053">
      <w:pPr>
        <w:pStyle w:val="10"/>
        <w:widowControl w:val="0"/>
        <w:autoSpaceDE w:val="0"/>
        <w:autoSpaceDN w:val="0"/>
        <w:spacing w:before="0" w:beforeAutospacing="0" w:after="0" w:afterAutospacing="0" w:line="460" w:lineRule="exact"/>
        <w:ind w:left="480" w:leftChars="200" w:right="96" w:rightChars="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w:t>
      </w:r>
    </w:p>
    <w:p w14:paraId="238E49A9">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标项一</w:t>
      </w:r>
    </w:p>
    <w:p w14:paraId="150FA56A">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标项名称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天山电影制片厂译制设备设施更新改造项目           </w:t>
      </w:r>
    </w:p>
    <w:p w14:paraId="508EF96A">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数量：1</w:t>
      </w:r>
    </w:p>
    <w:p w14:paraId="77D1274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1300000.00元</w:t>
      </w:r>
    </w:p>
    <w:p w14:paraId="36FA878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简要规格描述或项目基本概</w:t>
      </w:r>
      <w:r>
        <w:rPr>
          <w:rFonts w:hint="eastAsia" w:ascii="仿宋" w:hAnsi="仿宋" w:eastAsia="仿宋" w:cs="仿宋"/>
          <w:color w:val="000000" w:themeColor="text1"/>
          <w:sz w:val="24"/>
          <w:szCs w:val="24"/>
          <w:highlight w:val="none"/>
          <w:lang w:val="en-US" w:eastAsia="zh-CN"/>
          <w14:textFill>
            <w14:solidFill>
              <w14:schemeClr w14:val="tx1"/>
            </w14:solidFill>
          </w14:textFill>
        </w:rPr>
        <w:t>况介绍、用途：详见本项目采购需求。</w:t>
      </w:r>
    </w:p>
    <w:p w14:paraId="2EBB5392">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0AFD7314">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合同履约期限：签订合同后60天内完成本次招标设备设施的供货、安装、调试以及与之配套的辅助工作，交付采购人使用</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p>
    <w:p w14:paraId="3BB7FBED">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本项目（否）接受联合体</w:t>
      </w:r>
      <w:r>
        <w:rPr>
          <w:rFonts w:hint="eastAsia" w:ascii="仿宋" w:hAnsi="仿宋" w:eastAsia="仿宋" w:cs="仿宋"/>
          <w:color w:val="000000" w:themeColor="text1"/>
          <w:sz w:val="24"/>
          <w:szCs w:val="24"/>
          <w:highlight w:val="none"/>
          <w14:textFill>
            <w14:solidFill>
              <w14:schemeClr w14:val="tx1"/>
            </w14:solidFill>
          </w14:textFill>
        </w:rPr>
        <w:t>。</w:t>
      </w:r>
    </w:p>
    <w:p w14:paraId="5286E0D6">
      <w:pPr>
        <w:pStyle w:val="10"/>
        <w:widowControl w:val="0"/>
        <w:autoSpaceDE w:val="0"/>
        <w:autoSpaceDN w:val="0"/>
        <w:spacing w:before="0" w:beforeAutospacing="0" w:after="0" w:afterAutospacing="0" w:line="460" w:lineRule="exact"/>
        <w:ind w:right="96" w:rightChars="40" w:firstLine="482"/>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二、申请人的资格要求：</w:t>
      </w:r>
    </w:p>
    <w:p w14:paraId="00EE811B">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p>
    <w:p w14:paraId="38775F78">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非</w:t>
      </w:r>
      <w:r>
        <w:rPr>
          <w:rFonts w:hint="eastAsia" w:ascii="仿宋" w:hAnsi="仿宋" w:eastAsia="仿宋" w:cs="仿宋"/>
          <w:color w:val="000000" w:themeColor="text1"/>
          <w:sz w:val="24"/>
          <w:szCs w:val="24"/>
          <w:highlight w:val="none"/>
          <w14:textFill>
            <w14:solidFill>
              <w14:schemeClr w14:val="tx1"/>
            </w14:solidFill>
          </w14:textFill>
        </w:rPr>
        <w:t>专门面向</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w:t>
      </w:r>
      <w:r>
        <w:rPr>
          <w:rFonts w:hint="eastAsia" w:ascii="仿宋" w:hAnsi="仿宋" w:eastAsia="仿宋" w:cs="仿宋"/>
          <w:color w:val="000000" w:themeColor="text1"/>
          <w:sz w:val="24"/>
          <w:szCs w:val="24"/>
          <w:highlight w:val="none"/>
          <w14:textFill>
            <w14:solidFill>
              <w14:schemeClr w14:val="tx1"/>
            </w14:solidFill>
          </w14:textFill>
        </w:rPr>
        <w:t>企业预留采购份额；</w:t>
      </w:r>
    </w:p>
    <w:p w14:paraId="7E2BCF7C">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3.本项目的特定资格要求：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无</w:t>
      </w:r>
    </w:p>
    <w:p w14:paraId="118AC519">
      <w:pPr>
        <w:pStyle w:val="10"/>
        <w:widowControl w:val="0"/>
        <w:autoSpaceDE w:val="0"/>
        <w:autoSpaceDN w:val="0"/>
        <w:spacing w:before="0" w:beforeAutospacing="0" w:after="0" w:afterAutospacing="0" w:line="460" w:lineRule="exact"/>
        <w:ind w:right="96" w:rightChars="40" w:firstLine="482"/>
        <w:rPr>
          <w:rStyle w:val="38"/>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三、获取招标文件</w:t>
      </w:r>
    </w:p>
    <w:p w14:paraId="694CD305">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5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22 </w:t>
      </w:r>
      <w:r>
        <w:rPr>
          <w:rFonts w:hint="eastAsia" w:ascii="仿宋" w:hAnsi="仿宋" w:eastAsia="仿宋" w:cs="仿宋"/>
          <w:color w:val="000000" w:themeColor="text1"/>
          <w:sz w:val="24"/>
          <w:szCs w:val="24"/>
          <w:highlight w:val="none"/>
          <w14:textFill>
            <w14:solidFill>
              <w14:schemeClr w14:val="tx1"/>
            </w14:solidFill>
          </w14:textFill>
        </w:rPr>
        <w:t>日至202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日,每天上午00:00至1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:00，下午1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:00至23:59（北京时间，法定节假日除外）</w:t>
      </w:r>
    </w:p>
    <w:p w14:paraId="2B8C88B1">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地点：政采云平台</w:t>
      </w:r>
    </w:p>
    <w:p w14:paraId="0FEE086E">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方式：投标登陆政采云平台https://www.zcygov.cn/，进行下载采购文件。</w:t>
      </w:r>
    </w:p>
    <w:p w14:paraId="3A6722BE">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售价（元）：0</w:t>
      </w:r>
    </w:p>
    <w:p w14:paraId="778534ED">
      <w:pPr>
        <w:pStyle w:val="10"/>
        <w:widowControl w:val="0"/>
        <w:autoSpaceDE w:val="0"/>
        <w:autoSpaceDN w:val="0"/>
        <w:spacing w:before="0" w:beforeAutospacing="0" w:after="0" w:afterAutospacing="0" w:line="460" w:lineRule="exact"/>
        <w:ind w:right="96" w:rightChars="40" w:firstLine="482"/>
        <w:jc w:val="both"/>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四、提交投标文件截止时间、开标时间和地点</w:t>
      </w:r>
    </w:p>
    <w:p w14:paraId="4D5B792C">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递交截止时间：202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:00（北京时间）</w:t>
      </w:r>
    </w:p>
    <w:p w14:paraId="1F68A8E9">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递交地点：政采云平台。</w:t>
      </w:r>
    </w:p>
    <w:p w14:paraId="7CC29CB8">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16 </w:t>
      </w: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:00（北京时间）</w:t>
      </w:r>
    </w:p>
    <w:p w14:paraId="2B6F24DA">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开标地点：政采云平台。</w:t>
      </w:r>
    </w:p>
    <w:p w14:paraId="455E630E">
      <w:pPr>
        <w:pStyle w:val="10"/>
        <w:widowControl w:val="0"/>
        <w:autoSpaceDE w:val="0"/>
        <w:autoSpaceDN w:val="0"/>
        <w:spacing w:before="0" w:beforeAutospacing="0" w:after="0" w:afterAutospacing="0" w:line="460" w:lineRule="exact"/>
        <w:ind w:right="96" w:rightChars="40" w:firstLine="482"/>
        <w:jc w:val="both"/>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五、公告期限</w:t>
      </w:r>
    </w:p>
    <w:p w14:paraId="7229A0F1">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自本公告发布之日起5个工作日。</w:t>
      </w:r>
    </w:p>
    <w:p w14:paraId="693D6E06">
      <w:pPr>
        <w:pStyle w:val="10"/>
        <w:widowControl w:val="0"/>
        <w:autoSpaceDE w:val="0"/>
        <w:autoSpaceDN w:val="0"/>
        <w:spacing w:before="0" w:beforeAutospacing="0" w:after="0" w:afterAutospacing="0" w:line="460" w:lineRule="exact"/>
        <w:ind w:right="96" w:rightChars="40" w:firstLine="482"/>
        <w:jc w:val="both"/>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六、其他补充事宜</w:t>
      </w:r>
    </w:p>
    <w:p w14:paraId="2311A6F4">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1、本项目实行网上投标，采用电子响应文件；</w:t>
      </w:r>
    </w:p>
    <w:p w14:paraId="3FEB17C4">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项目采用远程不见面交易的模式。招标当日，供应商无需到达招标现场，仅需在任意地点登录政采云平台（https://www.zcygov.cn）不见面开标系统（进入“项目采购”应用，在开标评标菜单中选择进入开标大厅）</w:t>
      </w:r>
    </w:p>
    <w:p w14:paraId="662895DA">
      <w:pPr>
        <w:pStyle w:val="10"/>
        <w:spacing w:before="0" w:beforeAutospacing="0" w:after="0" w:afterAutospacing="0" w:line="40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6AF5DAF6">
      <w:pPr>
        <w:pStyle w:val="10"/>
        <w:widowControl w:val="0"/>
        <w:autoSpaceDE w:val="0"/>
        <w:autoSpaceDN w:val="0"/>
        <w:spacing w:before="0" w:beforeAutospacing="0" w:after="0" w:afterAutospacing="0" w:line="460" w:lineRule="exact"/>
        <w:ind w:right="96" w:rightChars="40"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将政采云电子投标客户端下载、安装完成后，可通过账号密码或CA登录客户端进行响应文件的制作。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D6BF60B">
      <w:pPr>
        <w:pStyle w:val="10"/>
        <w:widowControl w:val="0"/>
        <w:autoSpaceDE w:val="0"/>
        <w:autoSpaceDN w:val="0"/>
        <w:spacing w:before="0" w:beforeAutospacing="0" w:after="0" w:afterAutospacing="0" w:line="460" w:lineRule="exact"/>
        <w:ind w:right="96" w:rightChars="40"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5、凡拟参加本次招标项目的投标人须具有良好的信誉，未在“信用中国”网站</w:t>
      </w:r>
      <w:r>
        <w:rPr>
          <w:rFonts w:hint="eastAsia" w:ascii="仿宋" w:hAnsi="仿宋" w:eastAsia="仿宋" w:cs="仿宋"/>
          <w:snapToGrid w:val="0"/>
          <w:color w:val="000000" w:themeColor="text1"/>
          <w:sz w:val="24"/>
          <w:szCs w:val="24"/>
          <w:highlight w:val="none"/>
          <w14:textFill>
            <w14:solidFill>
              <w14:schemeClr w14:val="tx1"/>
            </w14:solidFill>
          </w14:textFill>
        </w:rPr>
        <w:t>（www.creditchina.gov.cn）</w:t>
      </w:r>
      <w:r>
        <w:rPr>
          <w:rFonts w:hint="eastAsia" w:ascii="仿宋" w:hAnsi="仿宋" w:eastAsia="仿宋" w:cs="仿宋"/>
          <w:color w:val="000000" w:themeColor="text1"/>
          <w:sz w:val="24"/>
          <w:szCs w:val="24"/>
          <w:highlight w:val="none"/>
          <w14:textFill>
            <w14:solidFill>
              <w14:schemeClr w14:val="tx1"/>
            </w14:solidFill>
          </w14:textFill>
        </w:rPr>
        <w:t>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000000" w:themeColor="text1"/>
          <w:sz w:val="24"/>
          <w:szCs w:val="24"/>
          <w:highlight w:val="none"/>
          <w:lang w:val="en-US" w:eastAsia="zh-CN"/>
          <w14:textFill>
            <w14:solidFill>
              <w14:schemeClr w14:val="tx1"/>
            </w14:solidFill>
          </w14:textFill>
        </w:rPr>
        <w:t>参与</w:t>
      </w:r>
      <w:r>
        <w:rPr>
          <w:rFonts w:hint="eastAsia" w:ascii="仿宋" w:hAnsi="仿宋" w:eastAsia="仿宋" w:cs="仿宋"/>
          <w:color w:val="000000" w:themeColor="text1"/>
          <w:sz w:val="24"/>
          <w:szCs w:val="24"/>
          <w:highlight w:val="none"/>
          <w14:textFill>
            <w14:solidFill>
              <w14:schemeClr w14:val="tx1"/>
            </w14:solidFill>
          </w14:textFill>
        </w:rPr>
        <w:t>本次招标活动。</w:t>
      </w:r>
    </w:p>
    <w:p w14:paraId="7C40AD63">
      <w:pPr>
        <w:pStyle w:val="10"/>
        <w:spacing w:before="0" w:beforeAutospacing="0" w:after="0" w:afterAutospacing="0"/>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特别提示：</w:t>
      </w:r>
    </w:p>
    <w:p w14:paraId="2FD1DCB1">
      <w:pPr>
        <w:pStyle w:val="10"/>
        <w:spacing w:before="0" w:beforeAutospacing="0" w:after="0" w:afterAutospacing="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2FC1EA34">
      <w:pPr>
        <w:pStyle w:val="10"/>
        <w:spacing w:before="0" w:beforeAutospacing="0" w:after="0" w:afterAutospacing="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44ADBF66">
      <w:pPr>
        <w:pStyle w:val="10"/>
        <w:spacing w:before="0" w:beforeAutospacing="0" w:after="0" w:afterAutospacing="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3A56C12B">
      <w:pPr>
        <w:pStyle w:val="10"/>
        <w:spacing w:before="0" w:beforeAutospacing="0" w:after="0" w:afterAutospacing="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FFE6E9B">
      <w:pPr>
        <w:pStyle w:val="10"/>
        <w:spacing w:before="0" w:beforeAutospacing="0" w:after="0" w:afterAutospacing="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3A9F99">
      <w:pPr>
        <w:pStyle w:val="10"/>
        <w:widowControl w:val="0"/>
        <w:autoSpaceDE w:val="0"/>
        <w:autoSpaceDN w:val="0"/>
        <w:spacing w:before="0" w:beforeAutospacing="0" w:after="0" w:afterAutospacing="0" w:line="460" w:lineRule="exact"/>
        <w:ind w:right="96" w:rightChars="40"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p>
    <w:p w14:paraId="78AA111C">
      <w:pPr>
        <w:pStyle w:val="10"/>
        <w:widowControl w:val="0"/>
        <w:autoSpaceDE w:val="0"/>
        <w:autoSpaceDN w:val="0"/>
        <w:spacing w:before="0" w:beforeAutospacing="0" w:after="0" w:afterAutospacing="0" w:line="460" w:lineRule="exact"/>
        <w:ind w:right="96" w:rightChars="40" w:firstLine="482"/>
        <w:jc w:val="both"/>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color w:val="000000" w:themeColor="text1"/>
          <w:sz w:val="24"/>
          <w:szCs w:val="24"/>
          <w:highlight w:val="none"/>
          <w14:textFill>
            <w14:solidFill>
              <w14:schemeClr w14:val="tx1"/>
            </w14:solidFill>
          </w14:textFill>
        </w:rPr>
        <w:t>七、对本次采购提出询问，请按以下方式联系</w:t>
      </w:r>
    </w:p>
    <w:p w14:paraId="45697AD9">
      <w:pPr>
        <w:pStyle w:val="10"/>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1.采购人信息</w:t>
      </w:r>
    </w:p>
    <w:p w14:paraId="649759B7">
      <w:p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 系 人： </w:t>
      </w:r>
      <w:r>
        <w:rPr>
          <w:rFonts w:hint="eastAsia" w:ascii="仿宋" w:hAnsi="仿宋" w:eastAsia="仿宋" w:cs="仿宋"/>
          <w:color w:val="000000" w:themeColor="text1"/>
          <w:sz w:val="24"/>
          <w:szCs w:val="24"/>
          <w:highlight w:val="none"/>
          <w:lang w:val="en-US" w:eastAsia="zh-CN"/>
          <w14:textFill>
            <w14:solidFill>
              <w14:schemeClr w14:val="tx1"/>
            </w14:solidFill>
          </w14:textFill>
        </w:rPr>
        <w:t>范淼</w:t>
      </w:r>
    </w:p>
    <w:p w14:paraId="7403E716">
      <w:pPr>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18599144938</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5DCB0C8D">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2.采购代理机构信息</w:t>
      </w:r>
    </w:p>
    <w:p w14:paraId="39B77C7D">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称：新疆华域建设工程项目管理咨询有限公司</w:t>
      </w:r>
    </w:p>
    <w:p w14:paraId="300401DC">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址：乌鲁木齐市五星北路194号新地园大厦1401</w:t>
      </w:r>
    </w:p>
    <w:p w14:paraId="6D255BB4">
      <w:pPr>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eastAsia="zh-CN"/>
          <w14:textFill>
            <w14:solidFill>
              <w14:schemeClr w14:val="tx1"/>
            </w14:solidFill>
          </w14:textFill>
        </w:rPr>
        <w:t>王鹤宇</w:t>
      </w:r>
    </w:p>
    <w:p w14:paraId="64BB5F25">
      <w:pPr>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eastAsia="zh-CN"/>
          <w14:textFill>
            <w14:solidFill>
              <w14:schemeClr w14:val="tx1"/>
            </w14:solidFill>
          </w14:textFill>
        </w:rPr>
        <w:t>18997972745</w:t>
      </w:r>
    </w:p>
    <w:p w14:paraId="5D2762C8">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E1863E5">
      <w:pPr>
        <w:pStyle w:val="4"/>
        <w:spacing w:before="220" w:after="220"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bookmarkStart w:id="3" w:name="_Toc155185867"/>
      <w:bookmarkStart w:id="4" w:name="_Toc5645"/>
      <w:r>
        <w:rPr>
          <w:rFonts w:hint="eastAsia" w:ascii="仿宋" w:hAnsi="仿宋" w:eastAsia="仿宋" w:cs="仿宋"/>
          <w:color w:val="000000" w:themeColor="text1"/>
          <w:sz w:val="24"/>
          <w:szCs w:val="24"/>
          <w:highlight w:val="none"/>
          <w14:textFill>
            <w14:solidFill>
              <w14:schemeClr w14:val="tx1"/>
            </w14:solidFill>
          </w14:textFill>
        </w:rPr>
        <w:t>第二章 投标人须知</w:t>
      </w:r>
      <w:bookmarkEnd w:id="3"/>
      <w:bookmarkEnd w:id="4"/>
    </w:p>
    <w:p w14:paraId="2E3960FF">
      <w:pPr>
        <w:pStyle w:val="5"/>
        <w:spacing w:before="80" w:after="80"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5" w:name="_Toc155185868"/>
      <w:bookmarkStart w:id="6" w:name="_Toc32038"/>
      <w:r>
        <w:rPr>
          <w:rFonts w:hint="eastAsia" w:ascii="仿宋" w:hAnsi="仿宋" w:eastAsia="仿宋" w:cs="仿宋"/>
          <w:color w:val="000000" w:themeColor="text1"/>
          <w:sz w:val="24"/>
          <w:szCs w:val="24"/>
          <w:highlight w:val="none"/>
          <w14:textFill>
            <w14:solidFill>
              <w14:schemeClr w14:val="tx1"/>
            </w14:solidFill>
          </w14:textFill>
        </w:rPr>
        <w:t>一、投标人须知前附表</w:t>
      </w:r>
      <w:bookmarkEnd w:id="5"/>
      <w:bookmarkEnd w:id="6"/>
    </w:p>
    <w:p w14:paraId="236A6E66">
      <w:pPr>
        <w:pStyle w:val="47"/>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投标人应仔细阅读本招标文件的第二章“投标人须知”，下面所列资料是对“投标人须知”的具体补充和说明，如有矛盾，应以本表为准</w:t>
      </w:r>
      <w:r>
        <w:rPr>
          <w:rFonts w:hint="eastAsia" w:ascii="仿宋" w:hAnsi="仿宋" w:eastAsia="仿宋" w:cs="仿宋"/>
          <w:color w:val="000000" w:themeColor="text1"/>
          <w:sz w:val="24"/>
          <w:szCs w:val="24"/>
          <w:highlight w:val="none"/>
          <w:lang w:val="en-US"/>
          <w14:textFill>
            <w14:solidFill>
              <w14:schemeClr w14:val="tx1"/>
            </w14:solidFill>
          </w14:textFill>
        </w:rPr>
        <w:t>。</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23837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70F2FA">
            <w:pPr>
              <w:pStyle w:val="59"/>
              <w:spacing w:line="360" w:lineRule="atLeas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B48734">
            <w:pPr>
              <w:pStyle w:val="59"/>
              <w:spacing w:line="360" w:lineRule="atLeas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2130C0">
            <w:pPr>
              <w:pStyle w:val="59"/>
              <w:spacing w:line="360" w:lineRule="atLeas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内  容</w:t>
            </w:r>
          </w:p>
        </w:tc>
      </w:tr>
      <w:tr w14:paraId="5B696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313D8E20">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738" w:type="dxa"/>
            <w:shd w:val="clear" w:color="auto" w:fill="auto"/>
            <w:vAlign w:val="center"/>
          </w:tcPr>
          <w:p w14:paraId="3C3D9853">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700" w:type="dxa"/>
            <w:shd w:val="clear" w:color="auto" w:fill="auto"/>
            <w:vAlign w:val="center"/>
          </w:tcPr>
          <w:p w14:paraId="776871ED">
            <w:pPr>
              <w:pStyle w:val="59"/>
              <w:spacing w:line="36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r>
              <w:rPr>
                <w:rFonts w:hint="eastAsia" w:ascii="仿宋" w:hAnsi="仿宋" w:eastAsia="仿宋" w:cs="仿宋"/>
                <w:color w:val="000000" w:themeColor="text1"/>
                <w:sz w:val="24"/>
                <w:szCs w:val="24"/>
                <w:highlight w:val="none"/>
                <w:lang w:eastAsia="zh-CN"/>
                <w14:textFill>
                  <w14:solidFill>
                    <w14:schemeClr w14:val="tx1"/>
                  </w14:solidFill>
                </w14:textFill>
              </w:rPr>
              <w:t>天山电影制片厂</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61DDEF3C">
            <w:pP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w:t>
            </w:r>
            <w:r>
              <w:rPr>
                <w:rFonts w:hint="eastAsia" w:ascii="仿宋" w:hAnsi="仿宋" w:eastAsia="仿宋" w:cs="仿宋"/>
                <w:color w:val="000000" w:themeColor="text1"/>
                <w:sz w:val="24"/>
                <w:szCs w:val="24"/>
                <w:highlight w:val="none"/>
                <w:lang w:val="en-US" w:eastAsia="zh-CN"/>
                <w14:textFill>
                  <w14:solidFill>
                    <w14:schemeClr w14:val="tx1"/>
                  </w14:solidFill>
                </w14:textFill>
              </w:rPr>
              <w:t>人：范淼</w:t>
            </w:r>
          </w:p>
          <w:p w14:paraId="792E3090">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18599144938 </w:t>
            </w:r>
          </w:p>
        </w:tc>
      </w:tr>
      <w:tr w14:paraId="1145A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49" w:hRule="atLeast"/>
        </w:trPr>
        <w:tc>
          <w:tcPr>
            <w:tcW w:w="970" w:type="dxa"/>
            <w:vAlign w:val="center"/>
          </w:tcPr>
          <w:p w14:paraId="1A9735F5">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738" w:type="dxa"/>
            <w:shd w:val="clear" w:color="auto" w:fill="auto"/>
            <w:vAlign w:val="center"/>
          </w:tcPr>
          <w:p w14:paraId="5512880E">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700" w:type="dxa"/>
            <w:shd w:val="clear" w:color="auto" w:fill="auto"/>
            <w:vAlign w:val="center"/>
          </w:tcPr>
          <w:p w14:paraId="590F9BD9">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称：新疆华域建设工程项目管理咨询有限公司</w:t>
            </w:r>
          </w:p>
          <w:p w14:paraId="1F3974DE">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址：乌鲁木齐市五星北路194号新地园大厦1401</w:t>
            </w:r>
          </w:p>
          <w:p w14:paraId="709A3E3E">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eastAsia="zh-CN"/>
                <w14:textFill>
                  <w14:solidFill>
                    <w14:schemeClr w14:val="tx1"/>
                  </w14:solidFill>
                </w14:textFill>
              </w:rPr>
              <w:t>王鹤宇</w:t>
            </w:r>
          </w:p>
          <w:p w14:paraId="7BFB6A7D">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eastAsia="zh-CN"/>
                <w14:textFill>
                  <w14:solidFill>
                    <w14:schemeClr w14:val="tx1"/>
                  </w14:solidFill>
                </w14:textFill>
              </w:rPr>
              <w:t>18997972745</w:t>
            </w:r>
          </w:p>
        </w:tc>
      </w:tr>
      <w:tr w14:paraId="63ED2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93" w:hRule="atLeast"/>
        </w:trPr>
        <w:tc>
          <w:tcPr>
            <w:tcW w:w="970" w:type="dxa"/>
            <w:vAlign w:val="center"/>
          </w:tcPr>
          <w:p w14:paraId="64066370">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738" w:type="dxa"/>
            <w:shd w:val="clear" w:color="auto" w:fill="auto"/>
            <w:vAlign w:val="center"/>
          </w:tcPr>
          <w:p w14:paraId="0B225BC2">
            <w:pPr>
              <w:pStyle w:val="59"/>
              <w:spacing w:line="360" w:lineRule="atLeas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p>
        </w:tc>
        <w:tc>
          <w:tcPr>
            <w:tcW w:w="6700" w:type="dxa"/>
            <w:shd w:val="clear" w:color="auto" w:fill="auto"/>
            <w:vAlign w:val="center"/>
          </w:tcPr>
          <w:p w14:paraId="549324F9">
            <w:pPr>
              <w:pStyle w:val="59"/>
              <w:spacing w:line="360" w:lineRule="atLeas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项目编号：ZFCGHY-20260038 </w:t>
            </w:r>
          </w:p>
          <w:p w14:paraId="1C952346">
            <w:pPr>
              <w:pStyle w:val="59"/>
              <w:spacing w:line="360" w:lineRule="atLeas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项目名称：天山电影制片厂译制设备设施更新改造项目</w:t>
            </w:r>
          </w:p>
        </w:tc>
      </w:tr>
      <w:tr w14:paraId="1F68C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14:paraId="66718406">
            <w:pPr>
              <w:pStyle w:val="59"/>
              <w:spacing w:line="360" w:lineRule="atLeas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738" w:type="dxa"/>
            <w:shd w:val="clear" w:color="auto" w:fill="auto"/>
            <w:vAlign w:val="center"/>
          </w:tcPr>
          <w:p w14:paraId="683F5121">
            <w:pPr>
              <w:pStyle w:val="5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核心产品</w:t>
            </w:r>
          </w:p>
        </w:tc>
        <w:tc>
          <w:tcPr>
            <w:tcW w:w="6700" w:type="dxa"/>
            <w:shd w:val="clear" w:color="auto" w:fill="auto"/>
            <w:vAlign w:val="center"/>
          </w:tcPr>
          <w:p w14:paraId="4CA1AE8C">
            <w:pPr>
              <w:pStyle w:val="59"/>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本项目核心产品为：</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调音台</w:t>
            </w:r>
          </w:p>
          <w:p w14:paraId="0104EDC8">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备注：</w:t>
            </w:r>
            <w:r>
              <w:rPr>
                <w:rFonts w:hint="eastAsia" w:ascii="仿宋" w:hAnsi="仿宋" w:eastAsia="仿宋" w:cs="仿宋"/>
                <w:b/>
                <w:color w:val="000000" w:themeColor="text1"/>
                <w:kern w:val="1"/>
                <w:sz w:val="24"/>
                <w:szCs w:val="24"/>
                <w:highlight w:val="none"/>
                <w14:textFill>
                  <w14:solidFill>
                    <w14:schemeClr w14:val="tx1"/>
                  </w14:solidFill>
                </w14:textFill>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tc>
      </w:tr>
      <w:tr w14:paraId="428EB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25" w:hRule="atLeast"/>
        </w:trPr>
        <w:tc>
          <w:tcPr>
            <w:tcW w:w="970" w:type="dxa"/>
            <w:vAlign w:val="center"/>
          </w:tcPr>
          <w:p w14:paraId="3B6807F3">
            <w:pPr>
              <w:pStyle w:val="59"/>
              <w:spacing w:line="360" w:lineRule="atLeas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1738" w:type="dxa"/>
            <w:vAlign w:val="center"/>
          </w:tcPr>
          <w:p w14:paraId="2FEB18A7">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bookmarkStart w:id="7" w:name="_Hlk143529175"/>
            <w:r>
              <w:rPr>
                <w:rFonts w:hint="eastAsia" w:ascii="仿宋" w:hAnsi="仿宋" w:eastAsia="仿宋" w:cs="仿宋"/>
                <w:color w:val="000000" w:themeColor="text1"/>
                <w:sz w:val="24"/>
                <w:szCs w:val="24"/>
                <w:highlight w:val="none"/>
                <w14:textFill>
                  <w14:solidFill>
                    <w14:schemeClr w14:val="tx1"/>
                  </w14:solidFill>
                </w14:textFill>
              </w:rPr>
              <w:t>现场考察</w:t>
            </w:r>
            <w:bookmarkEnd w:id="7"/>
          </w:p>
        </w:tc>
        <w:tc>
          <w:tcPr>
            <w:tcW w:w="6700" w:type="dxa"/>
            <w:vAlign w:val="center"/>
          </w:tcPr>
          <w:p w14:paraId="370ED556">
            <w:pPr>
              <w:pStyle w:val="59"/>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不组织</w:t>
            </w:r>
          </w:p>
        </w:tc>
      </w:tr>
      <w:tr w14:paraId="6927A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780A0D5">
            <w:pPr>
              <w:pStyle w:val="59"/>
              <w:spacing w:line="360" w:lineRule="atLeas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1738" w:type="dxa"/>
            <w:shd w:val="clear" w:color="auto" w:fill="auto"/>
            <w:vAlign w:val="center"/>
          </w:tcPr>
          <w:p w14:paraId="4970ECF3">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答疑会</w:t>
            </w:r>
          </w:p>
        </w:tc>
        <w:tc>
          <w:tcPr>
            <w:tcW w:w="6700" w:type="dxa"/>
            <w:shd w:val="clear" w:color="auto" w:fill="auto"/>
            <w:vAlign w:val="center"/>
          </w:tcPr>
          <w:p w14:paraId="2FF2FF8E">
            <w:pPr>
              <w:pStyle w:val="59"/>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不组织</w:t>
            </w:r>
          </w:p>
        </w:tc>
      </w:tr>
      <w:tr w14:paraId="38555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0106D9">
            <w:pPr>
              <w:pStyle w:val="59"/>
              <w:spacing w:line="360" w:lineRule="atLeas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1738" w:type="dxa"/>
            <w:vAlign w:val="center"/>
          </w:tcPr>
          <w:p w14:paraId="3DF2B29E">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询问</w:t>
            </w:r>
          </w:p>
        </w:tc>
        <w:tc>
          <w:tcPr>
            <w:tcW w:w="6700" w:type="dxa"/>
            <w:vAlign w:val="center"/>
          </w:tcPr>
          <w:p w14:paraId="0C755ECC">
            <w:pPr>
              <w:pStyle w:val="59"/>
              <w:numPr>
                <w:ilvl w:val="0"/>
                <w:numId w:val="5"/>
              </w:numPr>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方式：在供应商客户端中按照格式填写询问函，并在生成询问函后加盖电子印章提交；其他询问方式：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电话（</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18997972745</w:t>
            </w:r>
            <w:r>
              <w:rPr>
                <w:rFonts w:hint="eastAsia" w:ascii="仿宋" w:hAnsi="仿宋" w:eastAsia="仿宋" w:cs="仿宋"/>
                <w:color w:val="000000" w:themeColor="text1"/>
                <w:sz w:val="24"/>
                <w:szCs w:val="24"/>
                <w:highlight w:val="none"/>
                <w:u w:val="single"/>
                <w14:textFill>
                  <w14:solidFill>
                    <w14:schemeClr w14:val="tx1"/>
                  </w14:solidFill>
                </w14:textFill>
              </w:rPr>
              <w:t>）或邮箱（</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348424112</w:t>
            </w:r>
            <w:r>
              <w:rPr>
                <w:rFonts w:hint="eastAsia" w:ascii="仿宋" w:hAnsi="仿宋" w:eastAsia="仿宋" w:cs="仿宋"/>
                <w:color w:val="000000" w:themeColor="text1"/>
                <w:sz w:val="24"/>
                <w:szCs w:val="24"/>
                <w:highlight w:val="none"/>
                <w:u w:val="single"/>
                <w14:textFill>
                  <w14:solidFill>
                    <w14:schemeClr w14:val="tx1"/>
                  </w14:solidFill>
                </w14:textFill>
              </w:rPr>
              <w:t xml:space="preserve">@qq.com）   </w:t>
            </w:r>
            <w:r>
              <w:rPr>
                <w:rFonts w:hint="eastAsia" w:ascii="仿宋" w:hAnsi="仿宋" w:eastAsia="仿宋" w:cs="仿宋"/>
                <w:color w:val="000000" w:themeColor="text1"/>
                <w:sz w:val="24"/>
                <w:szCs w:val="24"/>
                <w:highlight w:val="none"/>
                <w14:textFill>
                  <w14:solidFill>
                    <w14:schemeClr w14:val="tx1"/>
                  </w14:solidFill>
                </w14:textFill>
              </w:rPr>
              <w:t>。</w:t>
            </w:r>
          </w:p>
          <w:p w14:paraId="53A3C662">
            <w:pPr>
              <w:pStyle w:val="59"/>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2.时间要求：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投标文件递交截止时间前10天  </w:t>
            </w:r>
            <w:r>
              <w:rPr>
                <w:rFonts w:hint="eastAsia" w:ascii="仿宋" w:hAnsi="仿宋" w:eastAsia="仿宋" w:cs="仿宋"/>
                <w:color w:val="000000" w:themeColor="text1"/>
                <w:sz w:val="24"/>
                <w:szCs w:val="24"/>
                <w:highlight w:val="none"/>
                <w14:textFill>
                  <w14:solidFill>
                    <w14:schemeClr w14:val="tx1"/>
                  </w14:solidFill>
                </w14:textFill>
              </w:rPr>
              <w:t>。</w:t>
            </w:r>
          </w:p>
        </w:tc>
      </w:tr>
      <w:tr w14:paraId="0B579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D5CC863">
            <w:pPr>
              <w:pStyle w:val="59"/>
              <w:spacing w:line="360" w:lineRule="atLeas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738" w:type="dxa"/>
            <w:vAlign w:val="center"/>
          </w:tcPr>
          <w:p w14:paraId="045DA220">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700" w:type="dxa"/>
            <w:vAlign w:val="center"/>
          </w:tcPr>
          <w:p w14:paraId="7838A2F5">
            <w:pPr>
              <w:pStyle w:val="59"/>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投标截止时间后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日历日。</w:t>
            </w:r>
          </w:p>
        </w:tc>
      </w:tr>
      <w:tr w14:paraId="193B5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4" w:hRule="atLeast"/>
        </w:trPr>
        <w:tc>
          <w:tcPr>
            <w:tcW w:w="970" w:type="dxa"/>
            <w:vAlign w:val="center"/>
          </w:tcPr>
          <w:p w14:paraId="26A28549">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738" w:type="dxa"/>
            <w:vAlign w:val="center"/>
          </w:tcPr>
          <w:p w14:paraId="7611FC48">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tc>
        <w:tc>
          <w:tcPr>
            <w:tcW w:w="6700" w:type="dxa"/>
            <w:vAlign w:val="center"/>
          </w:tcPr>
          <w:p w14:paraId="281A4A5D">
            <w:pPr>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p w14:paraId="70BC2D2A">
            <w:pPr>
              <w:pStyle w:val="6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保证金数额：26000.00（贰万陆仟元整）</w:t>
            </w:r>
          </w:p>
          <w:p w14:paraId="0711CA84">
            <w:pPr>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投标保证金缴纳方式：以支票、汇票、本票或者金融机构、担保机构出具的保函等非现金形式提交。</w:t>
            </w:r>
          </w:p>
          <w:p w14:paraId="01011BD2">
            <w:pPr>
              <w:spacing w:line="360" w:lineRule="atLeas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投标保证金缴纳账号：</w:t>
            </w:r>
          </w:p>
          <w:p w14:paraId="73D45C6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开户名称：新疆华域建设工程项目管理咨询有限公司</w:t>
            </w:r>
          </w:p>
          <w:p w14:paraId="01577CF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开户银行：中国银行乌鲁木齐南湖东路支行</w:t>
            </w:r>
          </w:p>
          <w:p w14:paraId="04DC236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开户行行号：104881006151</w:t>
            </w:r>
          </w:p>
          <w:p w14:paraId="004F9EC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   号： 107083025521</w:t>
            </w:r>
          </w:p>
          <w:p w14:paraId="1E50F5D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投标保证金缴纳期限：凡拟参加本次招标项目的供应商，必须在</w:t>
            </w:r>
            <w:r>
              <w:rPr>
                <w:rFonts w:hint="eastAsia" w:ascii="仿宋" w:hAnsi="仿宋" w:eastAsia="仿宋" w:cs="仿宋"/>
                <w:color w:val="000000" w:themeColor="text1"/>
                <w:sz w:val="24"/>
                <w:szCs w:val="24"/>
                <w:highlight w:val="none"/>
                <w:lang w:val="en-US"/>
                <w14:textFill>
                  <w14:solidFill>
                    <w14:schemeClr w14:val="tx1"/>
                  </w14:solidFill>
                </w14:textFill>
              </w:rPr>
              <w:t>投标文件递交截止时间之</w:t>
            </w:r>
            <w:r>
              <w:rPr>
                <w:rFonts w:hint="eastAsia" w:ascii="仿宋" w:hAnsi="仿宋" w:eastAsia="仿宋" w:cs="仿宋"/>
                <w:color w:val="000000" w:themeColor="text1"/>
                <w:sz w:val="24"/>
                <w:szCs w:val="24"/>
                <w:highlight w:val="none"/>
                <w14:textFill>
                  <w14:solidFill>
                    <w14:schemeClr w14:val="tx1"/>
                  </w14:solidFill>
                </w14:textFill>
              </w:rPr>
              <w:t>前将投标保证金汇入指定账户</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14:textFill>
                  <w14:solidFill>
                    <w14:schemeClr w14:val="tx1"/>
                  </w14:solidFill>
                </w14:textFill>
              </w:rPr>
              <w:t>以到账为准</w:t>
            </w:r>
            <w:r>
              <w:rPr>
                <w:rFonts w:hint="eastAsia" w:ascii="仿宋" w:hAnsi="仿宋" w:eastAsia="仿宋" w:cs="仿宋"/>
                <w:b/>
                <w:bCs/>
                <w:color w:val="000000" w:themeColor="text1"/>
                <w:sz w:val="24"/>
                <w:szCs w:val="24"/>
                <w:highlight w:val="none"/>
                <w14:textFill>
                  <w14:solidFill>
                    <w14:schemeClr w14:val="tx1"/>
                  </w14:solidFill>
                </w14:textFill>
              </w:rPr>
              <w:t>）。</w:t>
            </w:r>
          </w:p>
          <w:p w14:paraId="43C635C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注：供应商缴纳投标保证金时，须备注所投</w:t>
            </w:r>
            <w:r>
              <w:rPr>
                <w:rFonts w:hint="eastAsia" w:ascii="仿宋" w:hAnsi="仿宋" w:eastAsia="仿宋" w:cs="仿宋"/>
                <w:b/>
                <w:bCs/>
                <w:color w:val="000000" w:themeColor="text1"/>
                <w:sz w:val="24"/>
                <w:szCs w:val="24"/>
                <w:highlight w:val="none"/>
                <w:lang w:val="en-US"/>
                <w14:textFill>
                  <w14:solidFill>
                    <w14:schemeClr w14:val="tx1"/>
                  </w14:solidFill>
                </w14:textFill>
              </w:rPr>
              <w:t>项目名称</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（可简写）</w:t>
            </w:r>
            <w:r>
              <w:rPr>
                <w:rFonts w:hint="eastAsia" w:ascii="仿宋" w:hAnsi="仿宋" w:eastAsia="仿宋" w:cs="仿宋"/>
                <w:b/>
                <w:bCs/>
                <w:color w:val="000000" w:themeColor="text1"/>
                <w:sz w:val="24"/>
                <w:szCs w:val="24"/>
                <w:highlight w:val="none"/>
                <w14:textFill>
                  <w14:solidFill>
                    <w14:schemeClr w14:val="tx1"/>
                  </w14:solidFill>
                </w14:textFill>
              </w:rPr>
              <w:t>。</w:t>
            </w:r>
          </w:p>
          <w:p w14:paraId="43426208">
            <w:pPr>
              <w:pStyle w:val="63"/>
              <w:keepNext w:val="0"/>
              <w:keepLines w:val="0"/>
              <w:pageBreakBefore w:val="0"/>
              <w:widowControl w:val="0"/>
              <w:shd w:val="clear" w:color="auto" w:fill="auto"/>
              <w:kinsoku/>
              <w:wordWrap/>
              <w:overflowPunct/>
              <w:topLinePunct w:val="0"/>
              <w:autoSpaceDE/>
              <w:autoSpaceDN/>
              <w:bidi w:val="0"/>
              <w:adjustRightInd/>
              <w:snapToGrid/>
              <w:spacing w:line="360" w:lineRule="atLeas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注意事项：</w:t>
            </w:r>
          </w:p>
          <w:p w14:paraId="47FDBFA7">
            <w:pPr>
              <w:pStyle w:val="63"/>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以上各类机构出具的以担保函、保证保险承担责任的方式均须满足无条件见索即付条件。</w:t>
            </w:r>
          </w:p>
          <w:p w14:paraId="3F0AD08E">
            <w:pPr>
              <w:pStyle w:val="63"/>
              <w:spacing w:line="360" w:lineRule="atLeast"/>
              <w:ind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以担保函、保证保险形式缴纳</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保证金的，受益人和收取单位须为采购人。</w:t>
            </w:r>
          </w:p>
        </w:tc>
      </w:tr>
      <w:tr w14:paraId="4EBF4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1164563">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738" w:type="dxa"/>
            <w:vAlign w:val="center"/>
          </w:tcPr>
          <w:p w14:paraId="76992AD7">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实物样品</w:t>
            </w:r>
          </w:p>
        </w:tc>
        <w:tc>
          <w:tcPr>
            <w:tcW w:w="6700" w:type="dxa"/>
            <w:vAlign w:val="center"/>
          </w:tcPr>
          <w:p w14:paraId="2C9A1F67">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投标样品递交： </w:t>
            </w:r>
          </w:p>
          <w:p w14:paraId="3ACB23B0">
            <w:pPr>
              <w:pStyle w:val="5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☑不需要 </w:t>
            </w:r>
          </w:p>
          <w:p w14:paraId="47412688">
            <w:pPr>
              <w:pStyle w:val="5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□需要，具体要求如下： </w:t>
            </w:r>
          </w:p>
          <w:p w14:paraId="2828FE4B">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1.样品制作的标准和要求：_________； </w:t>
            </w:r>
          </w:p>
          <w:p w14:paraId="33F117E3">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2.是否需要随样品提交相关检测报告： </w:t>
            </w:r>
          </w:p>
          <w:p w14:paraId="395CD877">
            <w:pPr>
              <w:pStyle w:val="5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□不需要 </w:t>
            </w:r>
          </w:p>
          <w:p w14:paraId="1315DE7E">
            <w:pPr>
              <w:pStyle w:val="5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□需要 </w:t>
            </w:r>
          </w:p>
          <w:p w14:paraId="1836CF84">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3.样品递交要求：递交时间：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821DD67">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递交</w:t>
            </w:r>
            <w:r>
              <w:rPr>
                <w:rFonts w:hint="eastAsia" w:ascii="仿宋" w:hAnsi="仿宋" w:eastAsia="仿宋" w:cs="仿宋"/>
                <w:color w:val="000000" w:themeColor="text1"/>
                <w:sz w:val="24"/>
                <w:szCs w:val="24"/>
                <w:highlight w:val="none"/>
                <w14:textFill>
                  <w14:solidFill>
                    <w14:schemeClr w14:val="tx1"/>
                  </w14:solidFill>
                </w14:textFill>
              </w:rPr>
              <w:t>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，逾期提供的样品将不予接受。</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3B850265">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4.未中标人样品退还：</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2C61DB34">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5.中标人样品保管、封存及退还：_________； </w:t>
            </w:r>
          </w:p>
          <w:p w14:paraId="12BDAAD1">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6.其他要求（如有）：_________。 </w:t>
            </w:r>
          </w:p>
        </w:tc>
      </w:tr>
      <w:tr w14:paraId="4410F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7" w:hRule="atLeast"/>
        </w:trPr>
        <w:tc>
          <w:tcPr>
            <w:tcW w:w="970" w:type="dxa"/>
            <w:vAlign w:val="center"/>
          </w:tcPr>
          <w:p w14:paraId="650FCE42">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p>
        </w:tc>
        <w:tc>
          <w:tcPr>
            <w:tcW w:w="1738" w:type="dxa"/>
            <w:vAlign w:val="center"/>
          </w:tcPr>
          <w:p w14:paraId="7E1CA8B4">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演示</w:t>
            </w:r>
          </w:p>
        </w:tc>
        <w:tc>
          <w:tcPr>
            <w:tcW w:w="6700" w:type="dxa"/>
            <w:vAlign w:val="center"/>
          </w:tcPr>
          <w:p w14:paraId="14C133D9">
            <w:pPr>
              <w:pStyle w:val="59"/>
              <w:spacing w:line="36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不需要 </w:t>
            </w:r>
          </w:p>
        </w:tc>
      </w:tr>
      <w:tr w14:paraId="6B5BA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E5AB98F">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p>
        </w:tc>
        <w:tc>
          <w:tcPr>
            <w:tcW w:w="1738" w:type="dxa"/>
            <w:vAlign w:val="center"/>
          </w:tcPr>
          <w:p w14:paraId="5F01F0EA">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解密投标文件的时限</w:t>
            </w:r>
          </w:p>
        </w:tc>
        <w:tc>
          <w:tcPr>
            <w:tcW w:w="6700" w:type="dxa"/>
            <w:vAlign w:val="center"/>
          </w:tcPr>
          <w:p w14:paraId="191B4C60">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不见面开标默认解密时长：</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30  </w:t>
            </w:r>
            <w:r>
              <w:rPr>
                <w:rFonts w:hint="eastAsia" w:ascii="仿宋" w:hAnsi="仿宋" w:eastAsia="仿宋" w:cs="仿宋"/>
                <w:color w:val="000000" w:themeColor="text1"/>
                <w:sz w:val="24"/>
                <w:szCs w:val="24"/>
                <w:highlight w:val="none"/>
                <w14:textFill>
                  <w14:solidFill>
                    <w14:schemeClr w14:val="tx1"/>
                  </w14:solidFill>
                </w14:textFill>
              </w:rPr>
              <w:t xml:space="preserve">分钟。 </w:t>
            </w:r>
          </w:p>
          <w:p w14:paraId="1319D5C5">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除因交易平台发生故障导致投标文件无法按时解密外，投标文件未按时解密的，视为未按规定提交投标文件。</w:t>
            </w:r>
          </w:p>
        </w:tc>
      </w:tr>
      <w:tr w14:paraId="2EFFE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14BCEBD">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p>
        </w:tc>
        <w:tc>
          <w:tcPr>
            <w:tcW w:w="1738" w:type="dxa"/>
            <w:vAlign w:val="center"/>
          </w:tcPr>
          <w:p w14:paraId="10110D94">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评标方法</w:t>
            </w:r>
          </w:p>
        </w:tc>
        <w:tc>
          <w:tcPr>
            <w:tcW w:w="6700" w:type="dxa"/>
            <w:vAlign w:val="center"/>
          </w:tcPr>
          <w:p w14:paraId="1F0BF245">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FE"/>
            </w:r>
            <w:r>
              <w:rPr>
                <w:rFonts w:hint="eastAsia" w:ascii="仿宋" w:hAnsi="仿宋" w:eastAsia="仿宋" w:cs="仿宋"/>
                <w:color w:val="000000" w:themeColor="text1"/>
                <w:sz w:val="24"/>
                <w:szCs w:val="24"/>
                <w:highlight w:val="none"/>
                <w14:textFill>
                  <w14:solidFill>
                    <w14:schemeClr w14:val="tx1"/>
                  </w14:solidFill>
                </w14:textFill>
              </w:rPr>
              <w:t>综合评分法</w:t>
            </w:r>
          </w:p>
          <w:p w14:paraId="0263B95D">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A8"/>
            </w:r>
            <w:r>
              <w:rPr>
                <w:rFonts w:hint="eastAsia" w:ascii="仿宋" w:hAnsi="仿宋" w:eastAsia="仿宋" w:cs="仿宋"/>
                <w:color w:val="000000" w:themeColor="text1"/>
                <w:sz w:val="24"/>
                <w:szCs w:val="24"/>
                <w:highlight w:val="none"/>
                <w14:textFill>
                  <w14:solidFill>
                    <w14:schemeClr w14:val="tx1"/>
                  </w14:solidFill>
                </w14:textFill>
              </w:rPr>
              <w:t>最低评标价法</w:t>
            </w:r>
          </w:p>
        </w:tc>
      </w:tr>
      <w:tr w14:paraId="0BA63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1BB221E7">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p>
        </w:tc>
        <w:tc>
          <w:tcPr>
            <w:tcW w:w="1738" w:type="dxa"/>
            <w:vAlign w:val="center"/>
          </w:tcPr>
          <w:p w14:paraId="03F7E867">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推荐中标候选人</w:t>
            </w:r>
          </w:p>
        </w:tc>
        <w:tc>
          <w:tcPr>
            <w:tcW w:w="6700" w:type="dxa"/>
            <w:vAlign w:val="center"/>
          </w:tcPr>
          <w:p w14:paraId="120B0803">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中标候选人数量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家</w:t>
            </w:r>
          </w:p>
        </w:tc>
      </w:tr>
      <w:tr w14:paraId="24084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6" w:hRule="atLeast"/>
        </w:trPr>
        <w:tc>
          <w:tcPr>
            <w:tcW w:w="970" w:type="dxa"/>
            <w:vAlign w:val="center"/>
          </w:tcPr>
          <w:p w14:paraId="3AAD8C71">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1738" w:type="dxa"/>
            <w:vAlign w:val="center"/>
          </w:tcPr>
          <w:p w14:paraId="46C790CD">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确定中标人</w:t>
            </w:r>
          </w:p>
        </w:tc>
        <w:tc>
          <w:tcPr>
            <w:tcW w:w="6700" w:type="dxa"/>
            <w:vAlign w:val="center"/>
          </w:tcPr>
          <w:p w14:paraId="77D83AB5">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FE"/>
            </w:r>
            <w:r>
              <w:rPr>
                <w:rFonts w:hint="eastAsia" w:ascii="仿宋" w:hAnsi="仿宋" w:eastAsia="仿宋" w:cs="仿宋"/>
                <w:color w:val="000000" w:themeColor="text1"/>
                <w:sz w:val="24"/>
                <w:szCs w:val="24"/>
                <w:highlight w:val="none"/>
                <w14:textFill>
                  <w14:solidFill>
                    <w14:schemeClr w14:val="tx1"/>
                  </w14:solidFill>
                </w14:textFill>
              </w:rPr>
              <w:t>采购人按评审报告中推荐的中标候选人排序确定中标人。</w:t>
            </w:r>
          </w:p>
          <w:p w14:paraId="1712599D">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A8"/>
            </w:r>
            <w:r>
              <w:rPr>
                <w:rFonts w:hint="eastAsia" w:ascii="仿宋" w:hAnsi="仿宋" w:eastAsia="仿宋" w:cs="仿宋"/>
                <w:color w:val="000000" w:themeColor="text1"/>
                <w:sz w:val="24"/>
                <w:szCs w:val="24"/>
                <w:highlight w:val="none"/>
                <w14:textFill>
                  <w14:solidFill>
                    <w14:schemeClr w14:val="tx1"/>
                  </w14:solidFill>
                </w14:textFill>
              </w:rPr>
              <w:t>采购人委托评标委员会直接确定中标人。</w:t>
            </w:r>
          </w:p>
        </w:tc>
      </w:tr>
      <w:tr w14:paraId="1E6CE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2CFE6504">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p>
        </w:tc>
        <w:tc>
          <w:tcPr>
            <w:tcW w:w="1738" w:type="dxa"/>
            <w:shd w:val="clear" w:color="auto" w:fill="auto"/>
            <w:vAlign w:val="center"/>
          </w:tcPr>
          <w:p w14:paraId="2374B2D6">
            <w:pPr>
              <w:pStyle w:val="59"/>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w:t>
            </w:r>
          </w:p>
        </w:tc>
        <w:tc>
          <w:tcPr>
            <w:tcW w:w="6700" w:type="dxa"/>
            <w:shd w:val="clear" w:color="auto" w:fill="auto"/>
            <w:vAlign w:val="center"/>
          </w:tcPr>
          <w:p w14:paraId="112FEE07">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金额：</w:t>
            </w:r>
          </w:p>
          <w:p w14:paraId="5EBE2C7D">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免收</w:t>
            </w:r>
          </w:p>
          <w:p w14:paraId="349C32F5">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合同价的</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14:paraId="33CBE489">
            <w:pPr>
              <w:pStyle w:val="5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□定额收取：人民币              元</w:t>
            </w:r>
          </w:p>
          <w:p w14:paraId="21C74D2B">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支付方式：</w:t>
            </w:r>
          </w:p>
          <w:p w14:paraId="3B166C4A">
            <w:pPr>
              <w:pStyle w:val="63"/>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投标人可自主选择以支票、汇票、本票、电汇、转账、网银、保函等非现金形式缴纳或提交保证金。</w:t>
            </w:r>
          </w:p>
          <w:p w14:paraId="7E924235">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w:t>
            </w:r>
            <w:r>
              <w:rPr>
                <w:rFonts w:hint="eastAsia" w:ascii="仿宋" w:hAnsi="仿宋" w:eastAsia="仿宋" w:cs="仿宋"/>
                <w:color w:val="000000" w:themeColor="text1"/>
                <w:sz w:val="24"/>
                <w:szCs w:val="24"/>
                <w:highlight w:val="none"/>
                <w14:textFill>
                  <w14:solidFill>
                    <w14:schemeClr w14:val="tx1"/>
                  </w14:solidFill>
                </w14:textFill>
              </w:rPr>
              <w:t>收取单位：</w:t>
            </w:r>
            <w:r>
              <w:rPr>
                <w:rFonts w:hint="eastAsia" w:ascii="仿宋" w:hAnsi="仿宋" w:eastAsia="仿宋" w:cs="仿宋"/>
                <w:color w:val="000000" w:themeColor="text1"/>
                <w:sz w:val="24"/>
                <w:szCs w:val="24"/>
                <w:highlight w:val="none"/>
                <w:lang w:val="en-US" w:eastAsia="zh-CN"/>
                <w14:textFill>
                  <w14:solidFill>
                    <w14:schemeClr w14:val="tx1"/>
                  </w14:solidFill>
                </w14:textFill>
              </w:rPr>
              <w:t>天山电影制片厂</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487BCDB">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4.收取账号：/</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85A6923">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5.</w:t>
            </w:r>
            <w:r>
              <w:rPr>
                <w:rFonts w:hint="eastAsia" w:ascii="仿宋" w:hAnsi="仿宋" w:eastAsia="仿宋" w:cs="仿宋"/>
                <w:color w:val="000000" w:themeColor="text1"/>
                <w:sz w:val="24"/>
                <w:szCs w:val="24"/>
                <w:highlight w:val="none"/>
                <w14:textFill>
                  <w14:solidFill>
                    <w14:schemeClr w14:val="tx1"/>
                  </w14:solidFill>
                </w14:textFill>
              </w:rPr>
              <w:t>退还时间：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以合同约定为准</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0039F4BF">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注意事项：</w:t>
            </w:r>
          </w:p>
          <w:p w14:paraId="3CCB8B30">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以上各类机构出具的以担保函、保证保险承担责任的方式均须满足无条件见索即付条件。</w:t>
            </w:r>
          </w:p>
          <w:p w14:paraId="5D9B8C68">
            <w:pPr>
              <w:pStyle w:val="5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以担保函、保证保险形式缴纳履约保证金的，受益人和收取单位须为采购人。</w:t>
            </w:r>
          </w:p>
        </w:tc>
      </w:tr>
      <w:tr w14:paraId="377F4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7" w:hRule="atLeast"/>
        </w:trPr>
        <w:tc>
          <w:tcPr>
            <w:tcW w:w="970" w:type="dxa"/>
            <w:vAlign w:val="center"/>
          </w:tcPr>
          <w:p w14:paraId="575D5862">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p>
        </w:tc>
        <w:tc>
          <w:tcPr>
            <w:tcW w:w="1738" w:type="dxa"/>
            <w:vAlign w:val="center"/>
          </w:tcPr>
          <w:p w14:paraId="10E8A27D">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中标后分包</w:t>
            </w:r>
          </w:p>
        </w:tc>
        <w:tc>
          <w:tcPr>
            <w:tcW w:w="6700" w:type="dxa"/>
            <w:vAlign w:val="center"/>
          </w:tcPr>
          <w:p w14:paraId="7093A5E8">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本项目的非主体、非关键性工作是否允许分包： </w:t>
            </w:r>
          </w:p>
          <w:p w14:paraId="66E4E188">
            <w:pPr>
              <w:pStyle w:val="59"/>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☑不允许 </w:t>
            </w:r>
          </w:p>
          <w:p w14:paraId="34835792">
            <w:pPr>
              <w:pStyle w:val="59"/>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□允许，具体要求： </w:t>
            </w:r>
          </w:p>
          <w:p w14:paraId="15FB2CBE">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1.可以分包履行的具体内容：_____； </w:t>
            </w:r>
          </w:p>
          <w:p w14:paraId="6A3EB0AF">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2.允许分包的金额或者比例：_____； </w:t>
            </w:r>
          </w:p>
          <w:p w14:paraId="041B1C3B">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3.其他要求：_____。 </w:t>
            </w:r>
          </w:p>
        </w:tc>
      </w:tr>
      <w:tr w14:paraId="54E76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4" w:hRule="atLeast"/>
        </w:trPr>
        <w:tc>
          <w:tcPr>
            <w:tcW w:w="970" w:type="dxa"/>
            <w:vAlign w:val="center"/>
          </w:tcPr>
          <w:p w14:paraId="5445A190">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1738" w:type="dxa"/>
            <w:vAlign w:val="center"/>
          </w:tcPr>
          <w:p w14:paraId="1EF04858">
            <w:pPr>
              <w:pStyle w:val="59"/>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w:t>
            </w:r>
          </w:p>
        </w:tc>
        <w:tc>
          <w:tcPr>
            <w:tcW w:w="6700" w:type="dxa"/>
            <w:vAlign w:val="center"/>
          </w:tcPr>
          <w:p w14:paraId="579EFB44">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kern w:val="2"/>
                <w:sz w:val="24"/>
                <w:szCs w:val="24"/>
                <w:highlight w:val="none"/>
                <w:u w:val="none"/>
                <w:lang w:val="zh-CN"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针对同一采购程序环节的质疑次数：一次性提出</w:t>
            </w:r>
          </w:p>
          <w:p w14:paraId="41051B62">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color w:val="000000" w:themeColor="text1"/>
                <w:kern w:val="2"/>
                <w:sz w:val="24"/>
                <w:szCs w:val="24"/>
                <w:highlight w:val="none"/>
                <w:u w:val="none"/>
                <w:lang w:val="zh-CN" w:eastAsia="zh-CN" w:bidi="ar-SA"/>
                <w14:textFill>
                  <w14:solidFill>
                    <w14:schemeClr w14:val="tx1"/>
                  </w14:solidFill>
                </w14:textFill>
              </w:rPr>
              <w:t>递交方</w:t>
            </w:r>
            <w: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t>式：</w:t>
            </w:r>
            <w:r>
              <w:rPr>
                <w:rFonts w:hint="eastAsia" w:ascii="仿宋" w:hAnsi="仿宋" w:eastAsia="仿宋" w:cs="仿宋"/>
                <w:color w:val="000000" w:themeColor="text1"/>
                <w:sz w:val="24"/>
                <w:szCs w:val="24"/>
                <w:highlight w:val="none"/>
                <w:u w:val="none"/>
                <w:lang w:eastAsia="zh-CN"/>
                <w14:textFill>
                  <w14:solidFill>
                    <w14:schemeClr w14:val="tx1"/>
                  </w14:solidFill>
                </w14:textFill>
              </w:rPr>
              <w:t>书面形式递交</w:t>
            </w:r>
            <w: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t xml:space="preserve">             </w:t>
            </w:r>
          </w:p>
          <w:p w14:paraId="3956F0DD">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t>接收部门：</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新疆华域建设工程项目管理咨询有限公司</w:t>
            </w:r>
            <w: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t xml:space="preserve">              </w:t>
            </w:r>
          </w:p>
          <w:p w14:paraId="0CA02859">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联系人：王鹤宇</w:t>
            </w:r>
          </w:p>
          <w:p w14:paraId="438C237C">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联系方式：18997972745</w:t>
            </w:r>
          </w:p>
          <w:p w14:paraId="2B96ABFB">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地 址：乌鲁木齐市五星北路194号新地园大厦1401</w:t>
            </w:r>
            <w: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w:t>
            </w:r>
          </w:p>
        </w:tc>
      </w:tr>
      <w:tr w14:paraId="3E068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vAlign w:val="center"/>
          </w:tcPr>
          <w:p w14:paraId="64D0B9C4">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1738" w:type="dxa"/>
            <w:vAlign w:val="center"/>
          </w:tcPr>
          <w:p w14:paraId="3A6DA9F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采购代理服务费</w:t>
            </w:r>
          </w:p>
        </w:tc>
        <w:tc>
          <w:tcPr>
            <w:tcW w:w="6700" w:type="dxa"/>
            <w:vAlign w:val="center"/>
          </w:tcPr>
          <w:p w14:paraId="1C91B139">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1.</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收</w:t>
            </w:r>
            <w:r>
              <w:rPr>
                <w:rFonts w:hint="eastAsia" w:ascii="仿宋" w:hAnsi="仿宋" w:eastAsia="仿宋" w:cs="仿宋"/>
                <w:color w:val="000000" w:themeColor="text1"/>
                <w:sz w:val="24"/>
                <w:szCs w:val="24"/>
                <w:highlight w:val="none"/>
                <w:u w:val="none"/>
                <w:lang w:eastAsia="zh-CN"/>
                <w14:textFill>
                  <w14:solidFill>
                    <w14:schemeClr w14:val="tx1"/>
                  </w14:solidFill>
                </w14:textFill>
              </w:rPr>
              <w:t>费</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对象</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eastAsia="zh-CN"/>
                <w14:textFill>
                  <w14:solidFill>
                    <w14:schemeClr w14:val="tx1"/>
                  </w14:solidFill>
                </w14:textFill>
              </w:rPr>
              <w:sym w:font="Wingdings" w:char="00A8"/>
            </w:r>
            <w:r>
              <w:rPr>
                <w:rFonts w:hint="eastAsia" w:ascii="仿宋" w:hAnsi="仿宋" w:eastAsia="仿宋" w:cs="仿宋"/>
                <w:color w:val="000000" w:themeColor="text1"/>
                <w:sz w:val="24"/>
                <w:szCs w:val="24"/>
                <w:highlight w:val="none"/>
                <w:u w:val="none"/>
                <w:lang w:eastAsia="zh-CN"/>
                <w14:textFill>
                  <w14:solidFill>
                    <w14:schemeClr w14:val="tx1"/>
                  </w14:solidFill>
                </w14:textFill>
              </w:rPr>
              <w:t xml:space="preserve">采购人支付 </w:t>
            </w:r>
            <w:r>
              <w:rPr>
                <w:rFonts w:hint="eastAsia" w:ascii="仿宋" w:hAnsi="仿宋" w:eastAsia="仿宋" w:cs="仿宋"/>
                <w:color w:val="000000" w:themeColor="text1"/>
                <w:sz w:val="24"/>
                <w:szCs w:val="24"/>
                <w:highlight w:val="none"/>
                <w:u w:val="none"/>
                <w:lang w:eastAsia="zh-CN"/>
                <w14:textFill>
                  <w14:solidFill>
                    <w14:schemeClr w14:val="tx1"/>
                  </w14:solidFill>
                </w14:textFill>
              </w:rPr>
              <w:sym w:font="Wingdings" w:char="00FE"/>
            </w:r>
            <w:r>
              <w:rPr>
                <w:rFonts w:hint="eastAsia" w:ascii="仿宋" w:hAnsi="仿宋" w:eastAsia="仿宋" w:cs="仿宋"/>
                <w:color w:val="000000" w:themeColor="text1"/>
                <w:sz w:val="24"/>
                <w:szCs w:val="24"/>
                <w:highlight w:val="none"/>
                <w:u w:val="none"/>
                <w:lang w:eastAsia="zh-CN"/>
                <w14:textFill>
                  <w14:solidFill>
                    <w14:schemeClr w14:val="tx1"/>
                  </w14:solidFill>
                </w14:textFill>
              </w:rPr>
              <w:t xml:space="preserve">中标人支付 </w:t>
            </w:r>
          </w:p>
          <w:p w14:paraId="182A3444">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2.</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收费</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标准：本项目约定参照新建招协[2024]4号文执行，由中标人在领取成交通知书时支付</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及评审费</w:t>
            </w:r>
            <w:r>
              <w:rPr>
                <w:rFonts w:hint="eastAsia" w:ascii="仿宋" w:hAnsi="仿宋" w:eastAsia="仿宋" w:cs="仿宋"/>
                <w:color w:val="000000" w:themeColor="text1"/>
                <w:sz w:val="24"/>
                <w:szCs w:val="24"/>
                <w:highlight w:val="none"/>
                <w:u w:val="none"/>
                <w:lang w:eastAsia="zh-CN"/>
                <w14:textFill>
                  <w14:solidFill>
                    <w14:schemeClr w14:val="tx1"/>
                  </w14:solidFill>
                </w14:textFill>
              </w:rPr>
              <w:t xml:space="preserve">。 </w:t>
            </w:r>
          </w:p>
          <w:p w14:paraId="147AEC5A">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3.收取时间：由中标人在领取中标通知书时支付</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 xml:space="preserve">  </w:t>
            </w:r>
          </w:p>
          <w:p w14:paraId="30F3BA9A">
            <w:pPr>
              <w:pStyle w:val="70"/>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4.收取方式：电汇、转账等</w:t>
            </w:r>
          </w:p>
        </w:tc>
      </w:tr>
      <w:tr w14:paraId="5E719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3BF9CA1B">
            <w:pPr>
              <w:pStyle w:val="59"/>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738" w:type="dxa"/>
            <w:vAlign w:val="center"/>
          </w:tcPr>
          <w:p w14:paraId="7EFCA9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支持本国产品政策</w:t>
            </w:r>
          </w:p>
        </w:tc>
        <w:tc>
          <w:tcPr>
            <w:tcW w:w="6700" w:type="dxa"/>
            <w:vAlign w:val="center"/>
          </w:tcPr>
          <w:p w14:paraId="00091296">
            <w:pPr>
              <w:pStyle w:val="83"/>
              <w:widowControl w:val="0"/>
              <w:spacing w:before="0" w:beforeAutospacing="0" w:after="0" w:afterAutospacing="0"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en-US" w:eastAsia="zh-CN" w:bidi="ar-SA"/>
                <w14:textFill>
                  <w14:solidFill>
                    <w14:schemeClr w14:val="tx1"/>
                  </w14:solidFill>
                </w14:textFill>
              </w:rPr>
              <w:t>对符合本国产品标准的，依法对本国产品给予价格评审优惠，用扣除后的价格参与评审。</w:t>
            </w:r>
          </w:p>
        </w:tc>
      </w:tr>
      <w:tr w14:paraId="1148D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3EB016EB">
            <w:pPr>
              <w:pStyle w:val="5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p>
        </w:tc>
        <w:tc>
          <w:tcPr>
            <w:tcW w:w="1738" w:type="dxa"/>
            <w:vAlign w:val="center"/>
          </w:tcPr>
          <w:p w14:paraId="0B0A271C">
            <w:pPr>
              <w:pStyle w:val="59"/>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是否接受进口产品</w:t>
            </w:r>
          </w:p>
        </w:tc>
        <w:tc>
          <w:tcPr>
            <w:tcW w:w="6700" w:type="dxa"/>
            <w:vAlign w:val="center"/>
          </w:tcPr>
          <w:p w14:paraId="19052231">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A8"/>
            </w:r>
            <w:r>
              <w:rPr>
                <w:rFonts w:hint="eastAsia" w:ascii="仿宋" w:hAnsi="仿宋" w:eastAsia="仿宋" w:cs="仿宋"/>
                <w:color w:val="000000" w:themeColor="text1"/>
                <w:sz w:val="24"/>
                <w:szCs w:val="24"/>
                <w:highlight w:val="none"/>
                <w14:textFill>
                  <w14:solidFill>
                    <w14:schemeClr w14:val="tx1"/>
                  </w14:solidFill>
                </w14:textFill>
              </w:rPr>
              <w:t>不接受</w:t>
            </w:r>
          </w:p>
          <w:p w14:paraId="2F74F2E9">
            <w:pPr>
              <w:pStyle w:val="5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sym w:font="Wingdings" w:char="00FE"/>
            </w:r>
            <w:r>
              <w:rPr>
                <w:rFonts w:hint="eastAsia" w:ascii="仿宋" w:hAnsi="仿宋" w:eastAsia="仿宋" w:cs="仿宋"/>
                <w:color w:val="000000" w:themeColor="text1"/>
                <w:sz w:val="24"/>
                <w:szCs w:val="24"/>
                <w:highlight w:val="none"/>
                <w:lang w:val="zh-CN"/>
                <w14:textFill>
                  <w14:solidFill>
                    <w14:schemeClr w14:val="tx1"/>
                  </w14:solidFill>
                </w14:textFill>
              </w:rPr>
              <w:t>接受</w:t>
            </w:r>
          </w:p>
        </w:tc>
      </w:tr>
      <w:tr w14:paraId="48B05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89CD1B2">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1738" w:type="dxa"/>
            <w:vAlign w:val="center"/>
          </w:tcPr>
          <w:p w14:paraId="51C5A47E">
            <w:pPr>
              <w:pStyle w:val="59"/>
              <w:keepNext w:val="0"/>
              <w:keepLines w:val="0"/>
              <w:pageBreakBefore w:val="0"/>
              <w:kinsoku/>
              <w:overflowPunct/>
              <w:topLinePunct w:val="0"/>
              <w:autoSpaceDE/>
              <w:autoSpaceDN/>
              <w:bidi w:val="0"/>
              <w:adjustRightInd/>
              <w:snapToGri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支持中小企业政策</w:t>
            </w:r>
            <w:r>
              <w:rPr>
                <w:rStyle w:val="38"/>
                <w:rFonts w:hint="eastAsia" w:ascii="仿宋" w:hAnsi="仿宋" w:eastAsia="仿宋" w:cs="仿宋"/>
                <w:b w:val="0"/>
                <w:color w:val="000000" w:themeColor="text1"/>
                <w:sz w:val="24"/>
                <w:szCs w:val="24"/>
                <w:highlight w:val="none"/>
                <w:lang w:val="en-US" w:eastAsia="zh-CN"/>
                <w14:textFill>
                  <w14:solidFill>
                    <w14:schemeClr w14:val="tx1"/>
                  </w14:solidFill>
                </w14:textFill>
              </w:rPr>
              <w:t>（非专门面向中小企业采购项目适用）</w:t>
            </w:r>
          </w:p>
        </w:tc>
        <w:tc>
          <w:tcPr>
            <w:tcW w:w="6700" w:type="dxa"/>
            <w:vAlign w:val="center"/>
          </w:tcPr>
          <w:p w14:paraId="67E53068">
            <w:pPr>
              <w:keepNext w:val="0"/>
              <w:keepLines w:val="0"/>
              <w:pageBreakBefore w:val="0"/>
              <w:widowControl/>
              <w:kinsoku/>
              <w:wordWrap w:val="0"/>
              <w:overflowPunct/>
              <w:topLinePunct w:val="0"/>
              <w:autoSpaceDE/>
              <w:autoSpaceDN/>
              <w:bidi w:val="0"/>
              <w:adjustRightInd/>
              <w:snapToGrid/>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本项目专门面向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小、微</w:t>
            </w:r>
            <w:r>
              <w:rPr>
                <w:rFonts w:hint="eastAsia" w:ascii="仿宋" w:hAnsi="仿宋" w:eastAsia="仿宋" w:cs="仿宋"/>
                <w:color w:val="000000" w:themeColor="text1"/>
                <w:kern w:val="0"/>
                <w:sz w:val="24"/>
                <w:szCs w:val="24"/>
                <w:highlight w:val="none"/>
                <w:lang w:val="zh-CN"/>
                <w14:textFill>
                  <w14:solidFill>
                    <w14:schemeClr w14:val="tx1"/>
                  </w14:solidFill>
                </w14:textFill>
              </w:rPr>
              <w:t>企业预留采购份额</w:t>
            </w: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w:t>
            </w:r>
          </w:p>
          <w:p w14:paraId="0722945C">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1</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小型和微型企业价格扣除：</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 xml:space="preserve">   10%   </w:t>
            </w:r>
            <w:r>
              <w:rPr>
                <w:rFonts w:hint="eastAsia" w:ascii="仿宋" w:hAnsi="仿宋" w:eastAsia="仿宋" w:cs="仿宋"/>
                <w:b w:val="0"/>
                <w:color w:val="000000" w:themeColor="text1"/>
                <w:sz w:val="24"/>
                <w:szCs w:val="24"/>
                <w:highlight w:val="none"/>
                <w14:textFill>
                  <w14:solidFill>
                    <w14:schemeClr w14:val="tx1"/>
                  </w14:solidFill>
                </w14:textFill>
              </w:rPr>
              <w:t>。</w:t>
            </w:r>
          </w:p>
          <w:p w14:paraId="06F6D3D1">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2</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监狱企业价格扣除：</w:t>
            </w:r>
            <w:r>
              <w:rPr>
                <w:rFonts w:hint="eastAsia" w:ascii="仿宋" w:hAnsi="仿宋" w:eastAsia="仿宋" w:cs="仿宋"/>
                <w:b w:val="0"/>
                <w:color w:val="000000" w:themeColor="text1"/>
                <w:sz w:val="24"/>
                <w:szCs w:val="24"/>
                <w:highlight w:val="none"/>
                <w:u w:val="none"/>
                <w14:textFill>
                  <w14:solidFill>
                    <w14:schemeClr w14:val="tx1"/>
                  </w14:solidFill>
                </w14:textFill>
              </w:rPr>
              <w:t>同小型和微型企业</w:t>
            </w:r>
            <w:r>
              <w:rPr>
                <w:rFonts w:hint="eastAsia" w:ascii="仿宋" w:hAnsi="仿宋" w:eastAsia="仿宋" w:cs="仿宋"/>
                <w:b w:val="0"/>
                <w:color w:val="000000" w:themeColor="text1"/>
                <w:sz w:val="24"/>
                <w:szCs w:val="24"/>
                <w:highlight w:val="none"/>
                <w14:textFill>
                  <w14:solidFill>
                    <w14:schemeClr w14:val="tx1"/>
                  </w14:solidFill>
                </w14:textFill>
              </w:rPr>
              <w:t>。</w:t>
            </w:r>
          </w:p>
          <w:p w14:paraId="758EE6B1">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3</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残疾人福利性单位价格扣除：</w:t>
            </w:r>
            <w:r>
              <w:rPr>
                <w:rFonts w:hint="eastAsia" w:ascii="仿宋" w:hAnsi="仿宋" w:eastAsia="仿宋" w:cs="仿宋"/>
                <w:b w:val="0"/>
                <w:color w:val="000000" w:themeColor="text1"/>
                <w:sz w:val="24"/>
                <w:szCs w:val="24"/>
                <w:highlight w:val="none"/>
                <w:u w:val="none"/>
                <w14:textFill>
                  <w14:solidFill>
                    <w14:schemeClr w14:val="tx1"/>
                  </w14:solidFill>
                </w14:textFill>
              </w:rPr>
              <w:t>同小型和微型企业</w:t>
            </w:r>
            <w:r>
              <w:rPr>
                <w:rFonts w:hint="eastAsia" w:ascii="仿宋" w:hAnsi="仿宋" w:eastAsia="仿宋" w:cs="仿宋"/>
                <w:b w:val="0"/>
                <w:color w:val="000000" w:themeColor="text1"/>
                <w:sz w:val="24"/>
                <w:szCs w:val="24"/>
                <w:highlight w:val="none"/>
                <w14:textFill>
                  <w14:solidFill>
                    <w14:schemeClr w14:val="tx1"/>
                  </w14:solidFill>
                </w14:textFill>
              </w:rPr>
              <w:t>。</w:t>
            </w:r>
          </w:p>
          <w:p w14:paraId="4B81D937">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符合条件的联合体价格扣除：</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p>
          <w:p w14:paraId="660A301E">
            <w:pPr>
              <w:pStyle w:val="83"/>
              <w:keepNext w:val="0"/>
              <w:keepLines w:val="0"/>
              <w:pageBreakBefore w:val="0"/>
              <w:widowControl w:val="0"/>
              <w:kinsoku/>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5</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符合条件的向小微企业分包的大中型企业价格扣除：</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r>
              <w:rPr>
                <w:rFonts w:hint="eastAsia" w:ascii="仿宋" w:hAnsi="仿宋" w:eastAsia="仿宋" w:cs="仿宋"/>
                <w:b w:val="0"/>
                <w:i w:val="0"/>
                <w:iCs/>
                <w:color w:val="000000" w:themeColor="text1"/>
                <w:sz w:val="24"/>
                <w:szCs w:val="24"/>
                <w:highlight w:val="none"/>
                <w14:textFill>
                  <w14:solidFill>
                    <w14:schemeClr w14:val="tx1"/>
                  </w14:solidFill>
                </w14:textFill>
              </w:rPr>
              <w:t>（允许大中型企业向小微企业分包的项目适用）</w:t>
            </w:r>
          </w:p>
        </w:tc>
      </w:tr>
      <w:tr w14:paraId="311B2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61" w:hRule="atLeast"/>
        </w:trPr>
        <w:tc>
          <w:tcPr>
            <w:tcW w:w="970" w:type="dxa"/>
            <w:vAlign w:val="center"/>
          </w:tcPr>
          <w:p w14:paraId="2A70C9D8">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p>
        </w:tc>
        <w:tc>
          <w:tcPr>
            <w:tcW w:w="1738" w:type="dxa"/>
            <w:vAlign w:val="center"/>
          </w:tcPr>
          <w:p w14:paraId="6F241CB5">
            <w:pPr>
              <w:pStyle w:val="5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标的所属行业</w:t>
            </w:r>
          </w:p>
          <w:p w14:paraId="19A1F078">
            <w:pPr>
              <w:pStyle w:val="59"/>
              <w:rPr>
                <w:rFonts w:hint="eastAsia" w:ascii="仿宋" w:hAnsi="仿宋" w:eastAsia="仿宋" w:cs="仿宋"/>
                <w:color w:val="000000" w:themeColor="text1"/>
                <w:sz w:val="24"/>
                <w:szCs w:val="24"/>
                <w:highlight w:val="none"/>
                <w14:textFill>
                  <w14:solidFill>
                    <w14:schemeClr w14:val="tx1"/>
                  </w14:solidFill>
                </w14:textFill>
              </w:rPr>
            </w:pPr>
            <w:r>
              <w:rPr>
                <w:rStyle w:val="38"/>
                <w:rFonts w:hint="eastAsia" w:ascii="仿宋" w:hAnsi="仿宋" w:eastAsia="仿宋" w:cs="仿宋"/>
                <w:b w:val="0"/>
                <w:color w:val="000000" w:themeColor="text1"/>
                <w:sz w:val="24"/>
                <w:szCs w:val="24"/>
                <w:highlight w:val="none"/>
                <w:lang w:val="en-US" w:eastAsia="zh-CN"/>
                <w14:textFill>
                  <w14:solidFill>
                    <w14:schemeClr w14:val="tx1"/>
                  </w14:solidFill>
                </w14:textFill>
              </w:rPr>
              <w:t>参照后附</w:t>
            </w:r>
            <w:r>
              <w:rPr>
                <w:rStyle w:val="38"/>
                <w:rFonts w:hint="eastAsia" w:ascii="仿宋" w:hAnsi="仿宋" w:eastAsia="仿宋" w:cs="仿宋"/>
                <w:b w:val="0"/>
                <w:color w:val="000000" w:themeColor="text1"/>
                <w:sz w:val="24"/>
                <w:szCs w:val="24"/>
                <w:highlight w:val="none"/>
                <w:lang w:eastAsia="zh-CN"/>
                <w14:textFill>
                  <w14:solidFill>
                    <w14:schemeClr w14:val="tx1"/>
                  </w14:solidFill>
                </w14:textFill>
              </w:rPr>
              <w:t>《</w:t>
            </w:r>
            <w:r>
              <w:rPr>
                <w:rStyle w:val="38"/>
                <w:rFonts w:hint="eastAsia" w:ascii="仿宋" w:hAnsi="仿宋" w:eastAsia="仿宋" w:cs="仿宋"/>
                <w:b w:val="0"/>
                <w:color w:val="000000" w:themeColor="text1"/>
                <w:sz w:val="24"/>
                <w:szCs w:val="24"/>
                <w:highlight w:val="none"/>
                <w14:textFill>
                  <w14:solidFill>
                    <w14:schemeClr w14:val="tx1"/>
                  </w14:solidFill>
                </w14:textFill>
              </w:rPr>
              <w:t>工信部联企业〔2011〕300号</w:t>
            </w:r>
            <w:r>
              <w:rPr>
                <w:rStyle w:val="38"/>
                <w:rFonts w:hint="eastAsia" w:ascii="仿宋" w:hAnsi="仿宋" w:eastAsia="仿宋" w:cs="仿宋"/>
                <w:b w:val="0"/>
                <w:color w:val="000000" w:themeColor="text1"/>
                <w:sz w:val="24"/>
                <w:szCs w:val="24"/>
                <w:highlight w:val="none"/>
                <w:lang w:eastAsia="zh-CN"/>
                <w14:textFill>
                  <w14:solidFill>
                    <w14:schemeClr w14:val="tx1"/>
                  </w14:solidFill>
                </w14:textFill>
              </w:rPr>
              <w:t>》</w:t>
            </w:r>
          </w:p>
        </w:tc>
        <w:tc>
          <w:tcPr>
            <w:tcW w:w="6700" w:type="dxa"/>
            <w:vAlign w:val="center"/>
          </w:tcPr>
          <w:p w14:paraId="312C1CFE">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本项目采购标的对应的中小企业划分标准所属行业： </w:t>
            </w:r>
          </w:p>
          <w:tbl>
            <w:tblPr>
              <w:tblStyle w:val="36"/>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6055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C6EA8A2">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包号</w:t>
                  </w:r>
                </w:p>
              </w:tc>
              <w:tc>
                <w:tcPr>
                  <w:tcW w:w="1824" w:type="dxa"/>
                  <w:vAlign w:val="center"/>
                </w:tcPr>
                <w:p w14:paraId="0EB469BD">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标的名称</w:t>
                  </w:r>
                </w:p>
              </w:tc>
              <w:tc>
                <w:tcPr>
                  <w:tcW w:w="3245" w:type="dxa"/>
                  <w:vAlign w:val="center"/>
                </w:tcPr>
                <w:p w14:paraId="07C3E6A0">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中小企业划分标准所属行业</w:t>
                  </w:r>
                </w:p>
              </w:tc>
            </w:tr>
            <w:tr w14:paraId="064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9073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t>1</w:t>
                  </w:r>
                </w:p>
              </w:tc>
              <w:tc>
                <w:tcPr>
                  <w:tcW w:w="1824" w:type="dxa"/>
                  <w:vAlign w:val="center"/>
                </w:tcPr>
                <w:p w14:paraId="352BA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天山电影制片厂译制设备设施更新改造项目</w:t>
                  </w:r>
                </w:p>
              </w:tc>
              <w:tc>
                <w:tcPr>
                  <w:tcW w:w="3245" w:type="dxa"/>
                  <w:vAlign w:val="center"/>
                </w:tcPr>
                <w:p w14:paraId="411DA5E6">
                  <w:pPr>
                    <w:keepNext w:val="0"/>
                    <w:keepLines w:val="0"/>
                    <w:widowControl/>
                    <w:suppressLineNumbers w:val="0"/>
                    <w:jc w:val="center"/>
                    <w:rPr>
                      <w:rFonts w:hint="eastAsia" w:ascii="仿宋" w:hAnsi="仿宋" w:eastAsia="仿宋" w:cs="仿宋"/>
                      <w:color w:val="000000" w:themeColor="text1"/>
                      <w:kern w:val="0"/>
                      <w:sz w:val="24"/>
                      <w:szCs w:val="24"/>
                      <w:highlight w:val="none"/>
                      <w:vertAlign w:val="baseline"/>
                      <w:lang w:val="en-US" w:eastAsia="zh-CN" w:bidi="ar"/>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bidi="ar-SA"/>
                      <w14:textFill>
                        <w14:solidFill>
                          <w14:schemeClr w14:val="tx1"/>
                        </w14:solidFill>
                      </w14:textFill>
                    </w:rPr>
                    <w:t>工业</w:t>
                  </w:r>
                </w:p>
              </w:tc>
            </w:tr>
          </w:tbl>
          <w:p w14:paraId="750BFAA2">
            <w:pPr>
              <w:pStyle w:val="59"/>
              <w:rPr>
                <w:rFonts w:hint="eastAsia" w:ascii="仿宋" w:hAnsi="仿宋" w:eastAsia="仿宋" w:cs="仿宋"/>
                <w:color w:val="000000" w:themeColor="text1"/>
                <w:sz w:val="24"/>
                <w:szCs w:val="24"/>
                <w:highlight w:val="none"/>
                <w14:textFill>
                  <w14:solidFill>
                    <w14:schemeClr w14:val="tx1"/>
                  </w14:solidFill>
                </w14:textFill>
              </w:rPr>
            </w:pPr>
          </w:p>
        </w:tc>
      </w:tr>
      <w:tr w14:paraId="73350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14:paraId="488997E1">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tc>
        <w:tc>
          <w:tcPr>
            <w:tcW w:w="1738" w:type="dxa"/>
            <w:shd w:val="clear" w:color="auto" w:fill="auto"/>
            <w:vAlign w:val="center"/>
          </w:tcPr>
          <w:p w14:paraId="5FD7D67F">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优先采购创新节能环保产品</w:t>
            </w:r>
          </w:p>
        </w:tc>
        <w:tc>
          <w:tcPr>
            <w:tcW w:w="6700" w:type="dxa"/>
            <w:shd w:val="clear" w:color="auto" w:fill="auto"/>
            <w:vAlign w:val="center"/>
          </w:tcPr>
          <w:p w14:paraId="5B6C2296">
            <w:pPr>
              <w:pStyle w:val="5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产品纳入创新产品应用示范推荐目录内企业、所</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产品获得节能产品或环境标志产品认证证书的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给予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评审优惠</w:t>
            </w:r>
            <w:r>
              <w:rPr>
                <w:rFonts w:hint="eastAsia" w:ascii="仿宋" w:hAnsi="仿宋" w:eastAsia="仿宋" w:cs="仿宋"/>
                <w:color w:val="000000" w:themeColor="text1"/>
                <w:sz w:val="24"/>
                <w:szCs w:val="24"/>
                <w:highlight w:val="none"/>
                <w14:textFill>
                  <w14:solidFill>
                    <w14:schemeClr w14:val="tx1"/>
                  </w14:solidFill>
                </w14:textFill>
              </w:rPr>
              <w:t>。</w:t>
            </w:r>
          </w:p>
        </w:tc>
      </w:tr>
      <w:tr w14:paraId="6F777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tcBorders>
              <w:right w:val="single" w:color="auto" w:sz="4" w:space="0"/>
            </w:tcBorders>
            <w:vAlign w:val="center"/>
          </w:tcPr>
          <w:p w14:paraId="6305C374">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p>
        </w:tc>
        <w:tc>
          <w:tcPr>
            <w:tcW w:w="1738" w:type="dxa"/>
            <w:tcBorders>
              <w:left w:val="single" w:color="auto" w:sz="4" w:space="0"/>
              <w:right w:val="single" w:color="auto" w:sz="4" w:space="0"/>
            </w:tcBorders>
            <w:vAlign w:val="center"/>
          </w:tcPr>
          <w:p w14:paraId="75B5C90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政府采购</w:t>
            </w:r>
          </w:p>
          <w:p w14:paraId="75F8D45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合同融资政策</w:t>
            </w:r>
          </w:p>
        </w:tc>
        <w:tc>
          <w:tcPr>
            <w:tcW w:w="6700" w:type="dxa"/>
            <w:tcBorders>
              <w:left w:val="single" w:color="auto" w:sz="4" w:space="0"/>
            </w:tcBorders>
            <w:vAlign w:val="center"/>
          </w:tcPr>
          <w:p w14:paraId="5F166637">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有融资需求的中标人在获得政府采购中标通知书后，即可向开展“政采贷”业务的金融机构提出申请，金融机构依据政府采购中标通知书和政府采购合同，为中小微企业提供融资服务。</w:t>
            </w:r>
          </w:p>
          <w:p w14:paraId="05E33E08">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渠道和方式：</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54CAFB82">
            <w:pPr>
              <w:pStyle w:val="5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“政采贷”融资指引：在取得政府采购中标通知书后，可访问“政采贷</w:t>
            </w:r>
            <w:r>
              <w:rPr>
                <w:rFonts w:hint="eastAsia" w:ascii="仿宋" w:hAnsi="仿宋" w:eastAsia="仿宋" w:cs="仿宋"/>
                <w:color w:val="000000" w:themeColor="text1"/>
                <w:sz w:val="24"/>
                <w:szCs w:val="24"/>
                <w:highlight w:val="none"/>
                <w:lang w:val="en-US" w:eastAsia="zh-CN"/>
                <w14:textFill>
                  <w14:solidFill>
                    <w14:schemeClr w14:val="tx1"/>
                  </w14:solidFill>
                </w14:textFill>
              </w:rPr>
              <w:t>融资服务平台”</w:t>
            </w:r>
            <w:r>
              <w:rPr>
                <w:rFonts w:hint="eastAsia" w:ascii="仿宋" w:hAnsi="仿宋" w:eastAsia="仿宋" w:cs="仿宋"/>
                <w:color w:val="000000" w:themeColor="text1"/>
                <w:sz w:val="24"/>
                <w:szCs w:val="24"/>
                <w:highlight w:val="none"/>
                <w:lang w:eastAsia="zh-CN"/>
                <w14:textFill>
                  <w14:solidFill>
                    <w14:schemeClr w14:val="tx1"/>
                  </w14:solidFill>
                </w14:textFill>
              </w:rPr>
              <w:t>，查看和联系第三方平台或者金融机构，商洽融资事项，确定融资意向。中标人签署政府采购中标合同后，登录“政采贷</w:t>
            </w:r>
            <w:r>
              <w:rPr>
                <w:rFonts w:hint="eastAsia" w:ascii="仿宋" w:hAnsi="仿宋" w:eastAsia="仿宋" w:cs="仿宋"/>
                <w:color w:val="000000" w:themeColor="text1"/>
                <w:sz w:val="24"/>
                <w:szCs w:val="24"/>
                <w:highlight w:val="none"/>
                <w:lang w:val="en-US" w:eastAsia="zh-CN"/>
                <w14:textFill>
                  <w14:solidFill>
                    <w14:schemeClr w14:val="tx1"/>
                  </w14:solidFill>
                </w14:textFill>
              </w:rPr>
              <w:t>融资服务平台”</w:t>
            </w:r>
            <w:r>
              <w:rPr>
                <w:rFonts w:hint="eastAsia" w:ascii="仿宋" w:hAnsi="仿宋" w:eastAsia="仿宋" w:cs="仿宋"/>
                <w:color w:val="000000" w:themeColor="text1"/>
                <w:sz w:val="24"/>
                <w:szCs w:val="24"/>
                <w:highlight w:val="none"/>
                <w:lang w:eastAsia="zh-CN"/>
                <w14:textFill>
                  <w14:solidFill>
                    <w14:schemeClr w14:val="tx1"/>
                  </w14:solidFill>
                </w14:textFill>
              </w:rPr>
              <w:t>，选择意向产品进行申请，并填写相关信息，“政采贷</w:t>
            </w:r>
            <w:r>
              <w:rPr>
                <w:rFonts w:hint="eastAsia" w:ascii="仿宋" w:hAnsi="仿宋" w:eastAsia="仿宋" w:cs="仿宋"/>
                <w:color w:val="000000" w:themeColor="text1"/>
                <w:sz w:val="24"/>
                <w:szCs w:val="24"/>
                <w:highlight w:val="none"/>
                <w:lang w:val="en-US" w:eastAsia="zh-CN"/>
                <w14:textFill>
                  <w14:solidFill>
                    <w14:schemeClr w14:val="tx1"/>
                  </w14:solidFill>
                </w14:textFill>
              </w:rPr>
              <w:t>融资服务平台”</w:t>
            </w:r>
            <w:r>
              <w:rPr>
                <w:rFonts w:hint="eastAsia" w:ascii="仿宋" w:hAnsi="仿宋" w:eastAsia="仿宋" w:cs="仿宋"/>
                <w:color w:val="000000" w:themeColor="text1"/>
                <w:sz w:val="24"/>
                <w:szCs w:val="24"/>
                <w:highlight w:val="none"/>
                <w:lang w:eastAsia="zh-CN"/>
                <w14:textFill>
                  <w14:solidFill>
                    <w14:schemeClr w14:val="tx1"/>
                  </w14:solidFill>
                </w14:textFill>
              </w:rPr>
              <w:t>将中标人融资申请信息推送第三方平台、意向金融机构。</w:t>
            </w:r>
          </w:p>
        </w:tc>
      </w:tr>
      <w:tr w14:paraId="0CE32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tcBorders>
              <w:right w:val="single" w:color="auto" w:sz="4" w:space="0"/>
            </w:tcBorders>
            <w:vAlign w:val="center"/>
          </w:tcPr>
          <w:p w14:paraId="6C4033A9">
            <w:pPr>
              <w:pStyle w:val="59"/>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p>
        </w:tc>
        <w:tc>
          <w:tcPr>
            <w:tcW w:w="1738" w:type="dxa"/>
            <w:tcBorders>
              <w:left w:val="single" w:color="auto" w:sz="4" w:space="0"/>
              <w:right w:val="single" w:color="auto" w:sz="4" w:space="0"/>
            </w:tcBorders>
            <w:vAlign w:val="center"/>
          </w:tcPr>
          <w:p w14:paraId="7F2B19C0">
            <w:pPr>
              <w:pStyle w:val="5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付款方式</w:t>
            </w:r>
          </w:p>
        </w:tc>
        <w:tc>
          <w:tcPr>
            <w:tcW w:w="6700" w:type="dxa"/>
            <w:tcBorders>
              <w:left w:val="single" w:color="auto" w:sz="4" w:space="0"/>
            </w:tcBorders>
            <w:vAlign w:val="center"/>
          </w:tcPr>
          <w:p w14:paraId="43797BF8">
            <w:pPr>
              <w:pStyle w:val="5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合同签订后</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个工作日内，甲方按政府采购程序向乙方支付</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费用</w:t>
            </w:r>
            <w:r>
              <w:rPr>
                <w:rFonts w:hint="eastAsia" w:ascii="仿宋" w:hAnsi="仿宋" w:eastAsia="仿宋" w:cs="仿宋"/>
                <w:bCs/>
                <w:color w:val="000000" w:themeColor="text1"/>
                <w:sz w:val="24"/>
                <w:szCs w:val="24"/>
                <w:highlight w:val="none"/>
                <w14:textFill>
                  <w14:solidFill>
                    <w14:schemeClr w14:val="tx1"/>
                  </w14:solidFill>
                </w14:textFill>
              </w:rPr>
              <w:t>总额的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75%</w:t>
            </w:r>
            <w:r>
              <w:rPr>
                <w:rFonts w:hint="eastAsia" w:ascii="仿宋" w:hAnsi="仿宋" w:eastAsia="仿宋" w:cs="仿宋"/>
                <w:bCs/>
                <w:color w:val="000000" w:themeColor="text1"/>
                <w:sz w:val="24"/>
                <w:szCs w:val="24"/>
                <w:highlight w:val="none"/>
                <w14:textFill>
                  <w14:solidFill>
                    <w14:schemeClr w14:val="tx1"/>
                  </w14:solidFill>
                </w14:textFill>
              </w:rPr>
              <w:t>合同款项作为预付款；</w:t>
            </w:r>
            <w:r>
              <w:rPr>
                <w:rFonts w:hint="eastAsia" w:ascii="仿宋" w:hAnsi="仿宋" w:eastAsia="仿宋" w:cs="仿宋"/>
                <w:bCs/>
                <w:color w:val="000000" w:themeColor="text1"/>
                <w:sz w:val="24"/>
                <w:szCs w:val="24"/>
                <w:highlight w:val="none"/>
                <w:lang w:eastAsia="zh-CN"/>
                <w14:textFill>
                  <w14:solidFill>
                    <w14:schemeClr w14:val="tx1"/>
                  </w14:solidFill>
                </w14:textFill>
              </w:rPr>
              <w:t>项目整体</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验收合格后支付尾款</w:t>
            </w:r>
            <w:r>
              <w:rPr>
                <w:rFonts w:hint="eastAsia" w:ascii="仿宋" w:hAnsi="仿宋" w:eastAsia="仿宋" w:cs="仿宋"/>
                <w:bCs/>
                <w:color w:val="000000" w:themeColor="text1"/>
                <w:sz w:val="24"/>
                <w:szCs w:val="24"/>
                <w:highlight w:val="none"/>
                <w14:textFill>
                  <w14:solidFill>
                    <w14:schemeClr w14:val="tx1"/>
                  </w14:solidFill>
                </w14:textFill>
              </w:rPr>
              <w:t>。</w:t>
            </w:r>
          </w:p>
        </w:tc>
      </w:tr>
      <w:tr w14:paraId="3D4F1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4" w:hRule="atLeast"/>
        </w:trPr>
        <w:tc>
          <w:tcPr>
            <w:tcW w:w="970" w:type="dxa"/>
            <w:tcBorders>
              <w:right w:val="single" w:color="auto" w:sz="4" w:space="0"/>
            </w:tcBorders>
            <w:vAlign w:val="center"/>
          </w:tcPr>
          <w:p w14:paraId="3F8A7872">
            <w:pPr>
              <w:pStyle w:val="59"/>
              <w:spacing w:line="360" w:lineRule="atLeast"/>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p>
        </w:tc>
        <w:tc>
          <w:tcPr>
            <w:tcW w:w="1738" w:type="dxa"/>
            <w:tcBorders>
              <w:left w:val="single" w:color="auto" w:sz="4" w:space="0"/>
              <w:right w:val="single" w:color="auto" w:sz="4" w:space="0"/>
            </w:tcBorders>
            <w:vAlign w:val="center"/>
          </w:tcPr>
          <w:p w14:paraId="2B65CDF7">
            <w:pPr>
              <w:pStyle w:val="5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w:t>
            </w:r>
          </w:p>
        </w:tc>
        <w:tc>
          <w:tcPr>
            <w:tcW w:w="6700" w:type="dxa"/>
            <w:tcBorders>
              <w:left w:val="single" w:color="auto" w:sz="4" w:space="0"/>
            </w:tcBorders>
            <w:vAlign w:val="center"/>
          </w:tcPr>
          <w:p w14:paraId="5E2723EA">
            <w:pPr>
              <w:pStyle w:val="5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从交付并验收合格之日起，免费质保期</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1E1DF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3" w:hRule="atLeast"/>
        </w:trPr>
        <w:tc>
          <w:tcPr>
            <w:tcW w:w="970" w:type="dxa"/>
            <w:tcBorders>
              <w:right w:val="single" w:color="auto" w:sz="4" w:space="0"/>
            </w:tcBorders>
            <w:vAlign w:val="center"/>
          </w:tcPr>
          <w:p w14:paraId="1992CAF2">
            <w:pPr>
              <w:pStyle w:val="59"/>
              <w:spacing w:line="360" w:lineRule="atLeast"/>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1738" w:type="dxa"/>
            <w:tcBorders>
              <w:right w:val="single" w:color="auto" w:sz="4" w:space="0"/>
            </w:tcBorders>
            <w:vAlign w:val="center"/>
          </w:tcPr>
          <w:p w14:paraId="05DFC035">
            <w:pPr>
              <w:pStyle w:val="59"/>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需要补充的其他内容</w:t>
            </w:r>
          </w:p>
        </w:tc>
        <w:tc>
          <w:tcPr>
            <w:tcW w:w="6700" w:type="dxa"/>
            <w:tcBorders>
              <w:left w:val="single" w:color="auto" w:sz="4" w:space="0"/>
            </w:tcBorders>
            <w:vAlign w:val="center"/>
          </w:tcPr>
          <w:p w14:paraId="5AA2D627">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14:paraId="63BF703D">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EB3B2B3">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41053EE0">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3.投标（响应）报价低于采购项目最高限价45%的，即投标（响应）报价&lt;采购项目最高限价×45%；</w:t>
            </w:r>
          </w:p>
          <w:p w14:paraId="207B11A9">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5D904F3E">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372F0152">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相关法律法规对供应商报价有规定的，从其规定。</w:t>
            </w:r>
          </w:p>
          <w:p w14:paraId="2297D7F0">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19546E">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DE9C79">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1B2F1F">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7E1F989A">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2、无论何种原因，在响应文件中未提供相应材料的，评审小组将视同其未提供。</w:t>
            </w:r>
          </w:p>
          <w:p w14:paraId="69C4E963">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14:paraId="6EAD2737">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0F67710E">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037E6757">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0D4E93D3">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7、当出现下列情形之一，响应文件将予以退回：</w:t>
            </w:r>
          </w:p>
          <w:p w14:paraId="2D1108DF">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（1）供应商在响应文件递交截止时间前未成功上传加密电子响应文件；</w:t>
            </w:r>
          </w:p>
          <w:p w14:paraId="319393E1">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（2）供应商使用解密的CA数字证书与上传加密响应文件使用的CA数字证书不一致；</w:t>
            </w:r>
          </w:p>
          <w:p w14:paraId="046AA62C">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（3）供应商解密时CA数字证书已过期，导致无法正常解密；</w:t>
            </w:r>
          </w:p>
          <w:p w14:paraId="2FB7CBFA">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（4）加密响应文件时，CA数字证书未过期，解密时，显示CA数字证书已过期，导致无法正常解密；</w:t>
            </w:r>
          </w:p>
          <w:p w14:paraId="1DE52EF8">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（5）未在规定的响应文件解密时间内进行解密的；</w:t>
            </w:r>
          </w:p>
          <w:p w14:paraId="4F4285A6">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（6）供应商个人原因导致无法解密的其他情形。 </w:t>
            </w:r>
          </w:p>
          <w:p w14:paraId="51BB5648">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14:paraId="1B9FD7A1">
            <w:pPr>
              <w:pStyle w:val="59"/>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tc>
      </w:tr>
      <w:tr w14:paraId="249BA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513F84DB">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p w14:paraId="492DDEB2">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E7C37CA">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本招标文件所称的“以上”、“以下”、“内”、“以内”，包括本数；所称的“不足”，不包括本数。</w:t>
            </w:r>
          </w:p>
          <w:p w14:paraId="16A45528">
            <w:pPr>
              <w:pStyle w:val="59"/>
              <w:spacing w:line="360" w:lineRule="atLeas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 采购文件中部分加粗、标★</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或标▲</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、加下划线、废标、无效标、投标被拒绝字样的条款，着重提醒各投标人注意，并认真查看采购文件中的每一个条款及要求，因误读采购文件而造成其他的后果，招标人概不负责。</w:t>
            </w:r>
          </w:p>
          <w:p w14:paraId="08EB999D">
            <w:pPr>
              <w:pStyle w:val="59"/>
              <w:spacing w:line="36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5C4DE20D">
            <w:pPr>
              <w:pStyle w:val="59"/>
              <w:spacing w:line="360" w:lineRule="atLeas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21318F92">
      <w:pPr>
        <w:ind w:firstLine="643"/>
        <w:rPr>
          <w:rFonts w:hint="eastAsia" w:ascii="仿宋" w:hAnsi="仿宋" w:eastAsia="仿宋" w:cs="仿宋"/>
          <w:b/>
          <w:bCs/>
          <w:color w:val="000000" w:themeColor="text1"/>
          <w:sz w:val="24"/>
          <w:szCs w:val="24"/>
          <w:highlight w:val="none"/>
          <w14:textFill>
            <w14:solidFill>
              <w14:schemeClr w14:val="tx1"/>
            </w14:solidFill>
          </w14:textFill>
        </w:rPr>
      </w:pPr>
      <w:bookmarkStart w:id="8" w:name="_Toc155185869"/>
      <w:r>
        <w:rPr>
          <w:rFonts w:hint="eastAsia" w:ascii="仿宋" w:hAnsi="仿宋" w:eastAsia="仿宋" w:cs="仿宋"/>
          <w:b/>
          <w:bCs/>
          <w:color w:val="000000" w:themeColor="text1"/>
          <w:sz w:val="24"/>
          <w:szCs w:val="24"/>
          <w:highlight w:val="none"/>
          <w14:textFill>
            <w14:solidFill>
              <w14:schemeClr w14:val="tx1"/>
            </w14:solidFill>
          </w14:textFill>
        </w:rPr>
        <w:br w:type="page"/>
      </w:r>
    </w:p>
    <w:bookmarkEnd w:id="8"/>
    <w:p w14:paraId="03E103E9">
      <w:pPr>
        <w:pStyle w:val="5"/>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9" w:name="_Toc2571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二、投标人须知</w:t>
      </w:r>
      <w:bookmarkEnd w:id="9"/>
    </w:p>
    <w:p w14:paraId="0A76478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0" w:name="_Toc27686"/>
      <w:bookmarkStart w:id="11" w:name="_Toc26511"/>
      <w:bookmarkStart w:id="12" w:name="_Toc155185870"/>
      <w:bookmarkStart w:id="13" w:name="_Toc163492822"/>
      <w:bookmarkStart w:id="14" w:name="_Toc23355"/>
      <w:bookmarkStart w:id="15" w:name="_Toc2706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总则</w:t>
      </w:r>
      <w:bookmarkEnd w:id="10"/>
      <w:bookmarkEnd w:id="11"/>
      <w:bookmarkEnd w:id="12"/>
      <w:bookmarkEnd w:id="13"/>
      <w:bookmarkEnd w:id="14"/>
      <w:bookmarkEnd w:id="15"/>
    </w:p>
    <w:p w14:paraId="12A4F75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6" w:name="_Toc29103"/>
      <w:bookmarkStart w:id="17" w:name="_Toc8451"/>
      <w:bookmarkStart w:id="18" w:name="_Toc109900469"/>
      <w:bookmarkStart w:id="19" w:name="_Toc155095689"/>
      <w:bookmarkStart w:id="20" w:name="_Toc109900050"/>
      <w:bookmarkStart w:id="21" w:name="_Toc26566"/>
      <w:bookmarkStart w:id="22" w:name="_Toc31233"/>
      <w:bookmarkStart w:id="23" w:name="_Toc109899631"/>
      <w:bookmarkStart w:id="24" w:name="_Toc109897532"/>
      <w:bookmarkStart w:id="25" w:name="_Toc9584"/>
      <w:bookmarkStart w:id="26" w:name="_Toc16349282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适用范围</w:t>
      </w:r>
      <w:bookmarkEnd w:id="16"/>
      <w:bookmarkEnd w:id="17"/>
      <w:bookmarkEnd w:id="18"/>
      <w:bookmarkEnd w:id="19"/>
      <w:bookmarkEnd w:id="20"/>
      <w:bookmarkEnd w:id="21"/>
      <w:bookmarkEnd w:id="22"/>
      <w:bookmarkEnd w:id="23"/>
      <w:bookmarkEnd w:id="24"/>
      <w:bookmarkEnd w:id="25"/>
      <w:bookmarkEnd w:id="26"/>
    </w:p>
    <w:p w14:paraId="4C70452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1.1本招标文件仅适用于本项目的采购活动。</w:t>
      </w:r>
    </w:p>
    <w:p w14:paraId="297AF97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7" w:name="_Toc26282"/>
      <w:bookmarkStart w:id="28" w:name="_Toc20400"/>
      <w:bookmarkStart w:id="29" w:name="_Toc32274"/>
      <w:bookmarkStart w:id="30" w:name="_Toc11923"/>
      <w:bookmarkStart w:id="31" w:name="_Toc16349282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2.基本定义</w:t>
      </w:r>
      <w:bookmarkEnd w:id="27"/>
      <w:bookmarkEnd w:id="28"/>
      <w:bookmarkEnd w:id="29"/>
      <w:bookmarkEnd w:id="30"/>
      <w:bookmarkEnd w:id="31"/>
    </w:p>
    <w:p w14:paraId="33EA460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2.1根据《中华人民共和国政府采购法》及其实施条例等有关法律、法规和规章的规定，制定本招标文件。</w:t>
      </w:r>
    </w:p>
    <w:p w14:paraId="0DAD771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2.2采购人：</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指依法进行政府采购的国家机关、事业单位、团体组织</w:t>
      </w:r>
      <w:r>
        <w:rPr>
          <w:rFonts w:hint="eastAsia" w:ascii="仿宋" w:hAnsi="仿宋" w:eastAsia="仿宋" w:cs="仿宋"/>
          <w:color w:val="000000" w:themeColor="text1"/>
          <w:sz w:val="24"/>
          <w:szCs w:val="24"/>
          <w:highlight w:val="none"/>
          <w14:textFill>
            <w14:solidFill>
              <w14:schemeClr w14:val="tx1"/>
            </w14:solidFill>
          </w14:textFill>
        </w:rPr>
        <w:t>。</w:t>
      </w:r>
    </w:p>
    <w:p w14:paraId="35DBDD53">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2.3采购代理机构：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指依法进行政府采购的国家机关、事业单位、团体组织</w:t>
      </w:r>
      <w:r>
        <w:rPr>
          <w:rFonts w:hint="eastAsia" w:ascii="仿宋" w:hAnsi="仿宋" w:eastAsia="仿宋" w:cs="仿宋"/>
          <w:color w:val="000000" w:themeColor="text1"/>
          <w:sz w:val="24"/>
          <w:szCs w:val="24"/>
          <w:highlight w:val="none"/>
          <w:lang w:val="en-US" w:eastAsia="zh-CN"/>
          <w14:textFill>
            <w14:solidFill>
              <w14:schemeClr w14:val="tx1"/>
            </w14:solidFill>
          </w14:textFill>
        </w:rPr>
        <w:t>委托的采购代理机构</w:t>
      </w:r>
      <w:r>
        <w:rPr>
          <w:rFonts w:hint="eastAsia" w:ascii="仿宋" w:hAnsi="仿宋" w:eastAsia="仿宋" w:cs="仿宋"/>
          <w:color w:val="000000" w:themeColor="text1"/>
          <w:sz w:val="24"/>
          <w:szCs w:val="24"/>
          <w:highlight w:val="none"/>
          <w14:textFill>
            <w14:solidFill>
              <w14:schemeClr w14:val="tx1"/>
            </w14:solidFill>
          </w14:textFill>
        </w:rPr>
        <w:t>。</w:t>
      </w:r>
    </w:p>
    <w:p w14:paraId="6F178A4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217BF4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 核心产品见</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108A03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2.6是否属于</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科研仪器设备采购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见</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B0FCD22">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sz w:val="24"/>
          <w:szCs w:val="24"/>
          <w:highlight w:val="none"/>
          <w:shd w:val="clear" w:color="auto" w:fill="FFFFFF" w:themeFill="background1"/>
          <w14:textFill>
            <w14:solidFill>
              <w14:schemeClr w14:val="tx1"/>
            </w14:solidFill>
          </w14:textFill>
        </w:rPr>
        <w:t>2.</w:t>
      </w:r>
      <w:r>
        <w:rPr>
          <w:rFonts w:hint="eastAsia" w:ascii="仿宋" w:hAnsi="仿宋" w:eastAsia="仿宋" w:cs="仿宋"/>
          <w:iCs/>
          <w:color w:val="000000" w:themeColor="text1"/>
          <w:sz w:val="24"/>
          <w:szCs w:val="24"/>
          <w:highlight w:val="none"/>
          <w:shd w:val="clear" w:color="auto" w:fill="FFFFFF" w:themeFill="background1"/>
          <w:lang w:val="en-US" w:eastAsia="zh-CN"/>
          <w14:textFill>
            <w14:solidFill>
              <w14:schemeClr w14:val="tx1"/>
            </w14:solidFill>
          </w14:textFill>
        </w:rPr>
        <w:t>7</w:t>
      </w:r>
      <w:r>
        <w:rPr>
          <w:rFonts w:hint="eastAsia" w:ascii="仿宋" w:hAnsi="仿宋" w:eastAsia="仿宋" w:cs="仿宋"/>
          <w:iCs/>
          <w:color w:val="000000" w:themeColor="text1"/>
          <w:sz w:val="24"/>
          <w:szCs w:val="24"/>
          <w:highlight w:val="none"/>
          <w:shd w:val="clear" w:color="auto" w:fill="FFFFFF" w:themeFill="background1"/>
          <w14:textFill>
            <w14:solidFill>
              <w14:schemeClr w14:val="tx1"/>
            </w14:solidFill>
          </w14:textFill>
        </w:rPr>
        <w:t>投标人（也称“供应商”、“申请人”）：指向采购人提供货物、工程或者服务的法人、其他组织或者自然人。</w:t>
      </w:r>
      <w:r>
        <w:rPr>
          <w:rFonts w:hint="eastAsia" w:ascii="仿宋" w:hAnsi="仿宋" w:eastAsia="仿宋" w:cs="仿宋"/>
          <w:color w:val="000000" w:themeColor="text1"/>
          <w:sz w:val="24"/>
          <w:szCs w:val="24"/>
          <w:highlight w:val="none"/>
          <w14:textFill>
            <w14:solidFill>
              <w14:schemeClr w14:val="tx1"/>
            </w14:solidFill>
          </w14:textFill>
        </w:rPr>
        <w:t>分支机构不得参加政府采购活动，但银行、保险、石油石化、电力、电信等</w:t>
      </w:r>
      <w:r>
        <w:rPr>
          <w:rFonts w:hint="eastAsia" w:ascii="仿宋" w:hAnsi="仿宋" w:eastAsia="仿宋" w:cs="仿宋"/>
          <w:color w:val="000000" w:themeColor="text1"/>
          <w:sz w:val="24"/>
          <w:szCs w:val="24"/>
          <w:highlight w:val="none"/>
          <w:lang w:val="en-US" w:eastAsia="zh-CN"/>
          <w14:textFill>
            <w14:solidFill>
              <w14:schemeClr w14:val="tx1"/>
            </w14:solidFill>
          </w14:textFill>
        </w:rPr>
        <w:t>有</w:t>
      </w:r>
      <w:r>
        <w:rPr>
          <w:rFonts w:hint="eastAsia" w:ascii="仿宋" w:hAnsi="仿宋" w:eastAsia="仿宋" w:cs="仿宋"/>
          <w:color w:val="000000" w:themeColor="text1"/>
          <w:sz w:val="24"/>
          <w:szCs w:val="24"/>
          <w:highlight w:val="none"/>
          <w14:textFill>
            <w14:solidFill>
              <w14:schemeClr w14:val="tx1"/>
            </w14:solidFill>
          </w14:textFill>
        </w:rPr>
        <w:t>行业特殊</w:t>
      </w:r>
      <w:r>
        <w:rPr>
          <w:rFonts w:hint="eastAsia" w:ascii="仿宋" w:hAnsi="仿宋" w:eastAsia="仿宋" w:cs="仿宋"/>
          <w:color w:val="000000" w:themeColor="text1"/>
          <w:sz w:val="24"/>
          <w:szCs w:val="24"/>
          <w:highlight w:val="none"/>
          <w:lang w:val="en-US" w:eastAsia="zh-CN"/>
          <w14:textFill>
            <w14:solidFill>
              <w14:schemeClr w14:val="tx1"/>
            </w14:solidFill>
          </w14:textFill>
        </w:rPr>
        <w:t>情况的</w:t>
      </w:r>
      <w:r>
        <w:rPr>
          <w:rFonts w:hint="eastAsia" w:ascii="仿宋" w:hAnsi="仿宋" w:eastAsia="仿宋" w:cs="仿宋"/>
          <w:color w:val="000000" w:themeColor="text1"/>
          <w:sz w:val="24"/>
          <w:szCs w:val="24"/>
          <w:highlight w:val="none"/>
          <w14:textFill>
            <w14:solidFill>
              <w14:schemeClr w14:val="tx1"/>
            </w14:solidFill>
          </w14:textFill>
        </w:rPr>
        <w:t>除外。本项目的投标人须满足以下条件：</w:t>
      </w:r>
    </w:p>
    <w:p w14:paraId="5C4DE102">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.1具备《中华人民共和国政府采购法》第二十二条规定的条件，遵守本项目采购人本级和上级财政部门政府采购的有关规定。</w:t>
      </w:r>
    </w:p>
    <w:p w14:paraId="5075414C">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.2以招标公告中发布的方式依法获得了本项目的招标文件。</w:t>
      </w:r>
    </w:p>
    <w:p w14:paraId="17B14234">
      <w:p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2.7.3符合本招标文件规定并参加投标的供应商。</w:t>
      </w:r>
    </w:p>
    <w:p w14:paraId="7DA6B928">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iCs/>
          <w:color w:val="000000" w:themeColor="text1"/>
          <w:sz w:val="24"/>
          <w:szCs w:val="24"/>
          <w:highlight w:val="none"/>
          <w:shd w:val="clear" w:color="auto" w:fill="FFFFFF" w:themeFill="background1"/>
          <w14:textFill>
            <w14:solidFill>
              <w14:schemeClr w14:val="tx1"/>
            </w14:solidFill>
          </w14:textFill>
        </w:rPr>
        <w:t>潜在投标人、潜在供应商</w:t>
      </w:r>
      <w:r>
        <w:rPr>
          <w:rFonts w:hint="eastAsia" w:ascii="仿宋" w:hAnsi="仿宋" w:eastAsia="仿宋" w:cs="仿宋"/>
          <w:iCs/>
          <w:color w:val="000000" w:themeColor="text1"/>
          <w:sz w:val="24"/>
          <w:szCs w:val="24"/>
          <w:highlight w:val="none"/>
          <w:shd w:val="clear" w:color="auto" w:fill="FFFFFF" w:themeFill="background1"/>
          <w:lang w:eastAsia="zh-CN"/>
          <w14:textFill>
            <w14:solidFill>
              <w14:schemeClr w14:val="tx1"/>
            </w14:solidFill>
          </w14:textFill>
        </w:rPr>
        <w:t>：</w:t>
      </w:r>
      <w:r>
        <w:rPr>
          <w:rFonts w:hint="eastAsia" w:ascii="仿宋" w:hAnsi="仿宋" w:eastAsia="仿宋" w:cs="仿宋"/>
          <w:iCs/>
          <w:color w:val="000000" w:themeColor="text1"/>
          <w:sz w:val="24"/>
          <w:szCs w:val="24"/>
          <w:highlight w:val="none"/>
          <w:shd w:val="clear" w:color="auto" w:fill="FFFFFF" w:themeFill="background1"/>
          <w:lang w:val="en-US" w:eastAsia="zh-CN"/>
          <w14:textFill>
            <w14:solidFill>
              <w14:schemeClr w14:val="tx1"/>
            </w14:solidFill>
          </w14:textFill>
        </w:rPr>
        <w:t>指</w:t>
      </w:r>
      <w:r>
        <w:rPr>
          <w:rFonts w:hint="eastAsia" w:ascii="仿宋" w:hAnsi="仿宋" w:eastAsia="仿宋" w:cs="仿宋"/>
          <w:color w:val="000000" w:themeColor="text1"/>
          <w:sz w:val="24"/>
          <w:szCs w:val="24"/>
          <w:highlight w:val="none"/>
          <w:lang w:val="en-US" w:eastAsia="zh-CN"/>
          <w14:textFill>
            <w14:solidFill>
              <w14:schemeClr w14:val="tx1"/>
            </w14:solidFill>
          </w14:textFill>
        </w:rPr>
        <w:t>符合本招标文件规定的供应商。</w:t>
      </w:r>
    </w:p>
    <w:p w14:paraId="218AD36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2" w:name="_Toc16195"/>
      <w:bookmarkStart w:id="33" w:name="_Toc28067"/>
      <w:bookmarkStart w:id="34" w:name="_Toc140132758"/>
      <w:bookmarkStart w:id="35" w:name="_Toc5535"/>
      <w:bookmarkStart w:id="36" w:name="_Toc163492825"/>
      <w:bookmarkStart w:id="37" w:name="_Toc928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3.资金来源</w:t>
      </w:r>
      <w:bookmarkEnd w:id="32"/>
      <w:bookmarkEnd w:id="33"/>
      <w:bookmarkEnd w:id="34"/>
      <w:bookmarkEnd w:id="35"/>
      <w:bookmarkEnd w:id="36"/>
      <w:bookmarkEnd w:id="37"/>
    </w:p>
    <w:p w14:paraId="54674C5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为财政性资金即</w:t>
      </w:r>
      <w:r>
        <w:rPr>
          <w:rFonts w:hint="eastAsia" w:ascii="仿宋" w:hAnsi="仿宋" w:eastAsia="仿宋" w:cs="仿宋"/>
          <w:color w:val="000000" w:themeColor="text1"/>
          <w:sz w:val="24"/>
          <w:szCs w:val="24"/>
          <w:highlight w:val="none"/>
          <w14:textFill>
            <w14:solidFill>
              <w14:schemeClr w14:val="tx1"/>
            </w14:solidFill>
          </w14:textFill>
        </w:rPr>
        <w:t>纳入预算管理的资金</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以财政性资金作为还款来源的借贷资金，视同财政性资金。财政性资金与非财政性资金无法分割采购的，统一适用《中华人民共和国政府采购法》及其实施条例。</w:t>
      </w:r>
    </w:p>
    <w:p w14:paraId="79C369B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8" w:name="_Toc140132760"/>
      <w:bookmarkStart w:id="39" w:name="_Toc23672"/>
      <w:bookmarkStart w:id="40" w:name="_Toc14888"/>
      <w:bookmarkStart w:id="41" w:name="_Toc17305"/>
      <w:bookmarkStart w:id="42" w:name="_Toc4999"/>
      <w:bookmarkStart w:id="43" w:name="_Toc16349282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4.投标人资格要求</w:t>
      </w:r>
      <w:bookmarkEnd w:id="38"/>
      <w:bookmarkEnd w:id="39"/>
      <w:bookmarkEnd w:id="40"/>
      <w:bookmarkEnd w:id="41"/>
      <w:bookmarkEnd w:id="42"/>
      <w:bookmarkEnd w:id="43"/>
    </w:p>
    <w:p w14:paraId="5DF0081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4.1投标人资格要求：见“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w:t>
      </w:r>
    </w:p>
    <w:p w14:paraId="173E7A2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lang w:val="zh-CN" w:eastAsia="zh-CN"/>
          <w14:textFill>
            <w14:solidFill>
              <w14:schemeClr w14:val="tx1"/>
            </w14:solidFill>
          </w14:textFill>
        </w:rPr>
        <w:t>”规定接受联合体投标的，还应遵守以下规定：</w:t>
      </w:r>
    </w:p>
    <w:p w14:paraId="3D8A1FF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eastAsia="zh-CN"/>
          <w14:textFill>
            <w14:solidFill>
              <w14:schemeClr w14:val="tx1"/>
            </w14:solidFill>
          </w14:textFill>
        </w:rPr>
        <w:t>1两个以上的自然人、法人或者其他组织可以组成一个联合体，以一个</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的身份共同参加政府采购。</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以联合体形式进行政府采购的，参加联合体的供应商均应当具备《</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》第二十二条规定的条件。</w:t>
      </w:r>
    </w:p>
    <w:p w14:paraId="0346DDF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2.2</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联合体各方应按招标文件提供的格式签订联合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协议</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书</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，明确约定联合体各方承担的工作和相应的责任，并将联合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协议</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书</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作为投标文件的一部分提交，该协议书对联合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体所有成员</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均具有法律约束力。</w:t>
      </w:r>
    </w:p>
    <w:p w14:paraId="0380A07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4.2.3</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联合体中有同类资质的供应商按照联合体分工承担相同工作的，应当按照资质等级较低的供应商确定资质等级。</w:t>
      </w:r>
    </w:p>
    <w:p w14:paraId="09A4BA0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4.2</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以联合体形式参加政府采购活动的，联合体各方不得再单独参加或者与其他供应商另外组成联合体参加</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同一合同项下的</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投标，否则相关投标将被认定为</w:t>
      </w:r>
      <w:r>
        <w:rPr>
          <w:rFonts w:hint="eastAsia" w:ascii="仿宋" w:hAnsi="仿宋" w:eastAsia="仿宋" w:cs="仿宋"/>
          <w:b/>
          <w:bCs/>
          <w:iCs/>
          <w:color w:val="000000" w:themeColor="text1"/>
          <w:kern w:val="2"/>
          <w:sz w:val="24"/>
          <w:szCs w:val="24"/>
          <w:highlight w:val="none"/>
          <w:shd w:val="clear" w:color="auto" w:fill="FFFFFF" w:themeFill="background1"/>
          <w:lang w:val="zh-CN" w:eastAsia="zh-CN" w:bidi="ar-SA"/>
          <w14:textFill>
            <w14:solidFill>
              <w14:schemeClr w14:val="tx1"/>
            </w14:solidFill>
          </w14:textFill>
        </w:rPr>
        <w:t>投标无效</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p>
    <w:p w14:paraId="4AE3636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4.2</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.5大中型企业、其他自然人、法人或者非法人组织与小型、微型企业组成联合体共同参加投标</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的</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，联合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协议</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书</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中应写明小型、微型企业的合同金额占到联合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投标</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合同</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总金额的比例。</w:t>
      </w:r>
    </w:p>
    <w:p w14:paraId="1D11848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4.2</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.6</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联合体中标</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的</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采购</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合同应由</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联合体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各成员的合法授权代表签字</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及</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加盖</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联合体</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各成员公章，</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并</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A1310E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4.2</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.7</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联合体或其成员不得将其在合同项下的权利或义务全部或部分转让给第三人，有关分包事项须事先取得采购</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人</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书面同意并且须遵守相关法律、法规、本次招标的全部相关规定。</w:t>
      </w:r>
    </w:p>
    <w:p w14:paraId="2D401AE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4.2</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8</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对联合体投标的其他资格要求见</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中的“二、</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申请人的</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资格</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要求”</w:t>
      </w:r>
      <w:r>
        <w:rPr>
          <w:rFonts w:hint="eastAsia" w:ascii="仿宋" w:hAnsi="仿宋" w:eastAsia="仿宋" w:cs="仿宋"/>
          <w:iCs/>
          <w:color w:val="000000" w:themeColor="text1"/>
          <w:kern w:val="2"/>
          <w:sz w:val="24"/>
          <w:szCs w:val="24"/>
          <w:highlight w:val="none"/>
          <w:shd w:val="clear" w:color="auto" w:fill="FFFFFF" w:themeFill="background1"/>
          <w:lang w:val="zh-CN" w:eastAsia="zh-CN" w:bidi="ar-SA"/>
          <w14:textFill>
            <w14:solidFill>
              <w14:schemeClr w14:val="tx1"/>
            </w14:solidFill>
          </w14:textFill>
        </w:rPr>
        <w:t>。</w:t>
      </w:r>
    </w:p>
    <w:p w14:paraId="4EB7ADE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4" w:name="_Toc163492827"/>
      <w:bookmarkStart w:id="45" w:name="_Toc21085"/>
      <w:bookmarkStart w:id="46" w:name="_Toc8952"/>
      <w:bookmarkStart w:id="47" w:name="_Toc2393"/>
      <w:bookmarkStart w:id="48" w:name="_Toc1401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5.费用承担</w:t>
      </w:r>
      <w:bookmarkEnd w:id="44"/>
      <w:bookmarkEnd w:id="45"/>
      <w:bookmarkEnd w:id="46"/>
      <w:bookmarkEnd w:id="47"/>
      <w:bookmarkEnd w:id="48"/>
    </w:p>
    <w:p w14:paraId="7B0800D9">
      <w:pPr>
        <w:pStyle w:val="47"/>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w:t>
      </w:r>
      <w:r>
        <w:rPr>
          <w:rFonts w:hint="eastAsia" w:ascii="仿宋" w:hAnsi="仿宋" w:eastAsia="仿宋" w:cs="仿宋"/>
          <w:color w:val="000000" w:themeColor="text1"/>
          <w:sz w:val="24"/>
          <w:szCs w:val="24"/>
          <w:highlight w:val="none"/>
          <w:lang w:val="en-US" w:eastAsia="zh-CN"/>
          <w14:textFill>
            <w14:solidFill>
              <w14:schemeClr w14:val="tx1"/>
            </w14:solidFill>
          </w14:textFill>
        </w:rPr>
        <w:t>不论投标的结果如何，投标人应承担所有与准备和参加投标有关的费用。</w:t>
      </w:r>
    </w:p>
    <w:p w14:paraId="46F88D6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9" w:name="_Toc12379"/>
      <w:bookmarkStart w:id="50" w:name="_Toc7681"/>
      <w:bookmarkStart w:id="51" w:name="_Toc30861"/>
      <w:bookmarkStart w:id="52" w:name="_Toc163492828"/>
      <w:bookmarkStart w:id="53" w:name="_Toc140132761"/>
      <w:bookmarkStart w:id="54" w:name="_Toc1824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6.保密</w:t>
      </w:r>
      <w:bookmarkEnd w:id="49"/>
      <w:bookmarkEnd w:id="50"/>
      <w:bookmarkEnd w:id="51"/>
      <w:bookmarkEnd w:id="52"/>
      <w:bookmarkEnd w:id="53"/>
      <w:bookmarkEnd w:id="54"/>
    </w:p>
    <w:p w14:paraId="2EA0EAC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参与招标投标活动的各方应对招标文件和投标文件中的商业和技术等秘密保密，否则应承担相应的法律责任。</w:t>
      </w:r>
    </w:p>
    <w:p w14:paraId="751B202F">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2 </w:t>
      </w:r>
      <w:r>
        <w:rPr>
          <w:rFonts w:hint="eastAsia" w:ascii="仿宋" w:hAnsi="仿宋" w:eastAsia="仿宋" w:cs="仿宋"/>
          <w:color w:val="000000" w:themeColor="text1"/>
          <w:kern w:val="2"/>
          <w:sz w:val="24"/>
          <w:szCs w:val="24"/>
          <w:highlight w:val="none"/>
          <w14:textFill>
            <w14:solidFill>
              <w14:schemeClr w14:val="tx1"/>
            </w14:solidFill>
          </w14:textFill>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4C1F2E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kern w:val="2"/>
          <w:sz w:val="24"/>
          <w:szCs w:val="24"/>
          <w:highlight w:val="none"/>
          <w14:textFill>
            <w14:solidFill>
              <w14:schemeClr w14:val="tx1"/>
            </w14:solidFill>
          </w14:textFill>
        </w:rPr>
        <w:t>采购代理机构有权将投标人提供的所有资料向有关政府部门或评审</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投标文件</w:t>
      </w:r>
      <w:r>
        <w:rPr>
          <w:rFonts w:hint="eastAsia" w:ascii="仿宋" w:hAnsi="仿宋" w:eastAsia="仿宋" w:cs="仿宋"/>
          <w:color w:val="000000" w:themeColor="text1"/>
          <w:kern w:val="2"/>
          <w:sz w:val="24"/>
          <w:szCs w:val="24"/>
          <w:highlight w:val="none"/>
          <w14:textFill>
            <w14:solidFill>
              <w14:schemeClr w14:val="tx1"/>
            </w14:solidFill>
          </w14:textFill>
        </w:rPr>
        <w:t>的有关人员披露。</w:t>
      </w:r>
    </w:p>
    <w:p w14:paraId="400B9D9E">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 各级人民政府财政部门对政府采购活动进行监督检查，有权查阅、复制有关文件、资料，相关单位和人员应当予以配合。</w:t>
      </w:r>
    </w:p>
    <w:p w14:paraId="10A4DDE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5" w:name="_Toc15553"/>
      <w:bookmarkStart w:id="56" w:name="_Toc163492829"/>
      <w:bookmarkStart w:id="57" w:name="_Toc31425"/>
      <w:bookmarkStart w:id="58" w:name="_Toc30926"/>
      <w:bookmarkStart w:id="59" w:name="_Toc140132762"/>
      <w:bookmarkStart w:id="60" w:name="_Toc2962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7.语言文字</w:t>
      </w:r>
      <w:bookmarkEnd w:id="55"/>
      <w:bookmarkEnd w:id="56"/>
      <w:bookmarkEnd w:id="57"/>
      <w:bookmarkEnd w:id="58"/>
      <w:bookmarkEnd w:id="59"/>
      <w:bookmarkEnd w:id="60"/>
    </w:p>
    <w:p w14:paraId="1F1C316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7.1招标投标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过程</w:t>
      </w:r>
      <w:r>
        <w:rPr>
          <w:rFonts w:hint="eastAsia" w:ascii="仿宋" w:hAnsi="仿宋" w:eastAsia="仿宋" w:cs="仿宋"/>
          <w:color w:val="000000" w:themeColor="text1"/>
          <w:sz w:val="24"/>
          <w:szCs w:val="24"/>
          <w:highlight w:val="none"/>
          <w14:textFill>
            <w14:solidFill>
              <w14:schemeClr w14:val="tx1"/>
            </w14:solidFill>
          </w14:textFill>
        </w:rPr>
        <w:t>文件使用的语言文字为中文。专用术语使用外文的，应附有中文注释。</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5617E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61" w:name="_Toc163492830"/>
      <w:bookmarkStart w:id="62" w:name="_Toc28427"/>
      <w:bookmarkStart w:id="63" w:name="_Toc19184"/>
      <w:bookmarkStart w:id="64" w:name="_Toc16458"/>
      <w:bookmarkStart w:id="65" w:name="_Toc140132763"/>
      <w:bookmarkStart w:id="66" w:name="_Toc3101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8.计量单位</w:t>
      </w:r>
      <w:bookmarkEnd w:id="61"/>
      <w:bookmarkEnd w:id="62"/>
      <w:bookmarkEnd w:id="63"/>
      <w:bookmarkEnd w:id="64"/>
      <w:bookmarkEnd w:id="65"/>
      <w:bookmarkEnd w:id="66"/>
    </w:p>
    <w:p w14:paraId="4C3690D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8.1所有计量均采用中华人民共和国法定计量单位。</w:t>
      </w:r>
    </w:p>
    <w:p w14:paraId="3B672C1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67" w:name="_Toc30077"/>
      <w:bookmarkStart w:id="68" w:name="_Toc28428"/>
      <w:bookmarkStart w:id="69" w:name="_Toc140132764"/>
      <w:bookmarkStart w:id="70" w:name="_Toc30434"/>
      <w:bookmarkStart w:id="71" w:name="_Toc8827"/>
      <w:bookmarkStart w:id="72" w:name="_Toc16349283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9.现场考察和答疑会</w:t>
      </w:r>
      <w:bookmarkEnd w:id="67"/>
      <w:bookmarkEnd w:id="68"/>
      <w:bookmarkEnd w:id="69"/>
      <w:bookmarkEnd w:id="70"/>
      <w:bookmarkEnd w:id="71"/>
      <w:bookmarkEnd w:id="72"/>
    </w:p>
    <w:p w14:paraId="57999A7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3" w:name="_Hlk143529198"/>
      <w:r>
        <w:rPr>
          <w:rFonts w:hint="eastAsia" w:ascii="仿宋" w:hAnsi="仿宋" w:eastAsia="仿宋" w:cs="仿宋"/>
          <w:color w:val="000000" w:themeColor="text1"/>
          <w:sz w:val="24"/>
          <w:szCs w:val="24"/>
          <w:highlight w:val="none"/>
          <w14:textFill>
            <w14:solidFill>
              <w14:schemeClr w14:val="tx1"/>
            </w14:solidFill>
          </w14:textFill>
        </w:rPr>
        <w:t xml:space="preserve">9.1 “投标人须知前附表”规定组织现场考察的，采购代理机构按“投标人须知前附表”规定的时间、地点组织投标人项目现场考察。 </w:t>
      </w:r>
    </w:p>
    <w:p w14:paraId="0193B19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 投标人现场考察发生的费用自理。</w:t>
      </w:r>
    </w:p>
    <w:p w14:paraId="09275F2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 在现场考察中，因投标人自身原因发生的人员伤亡和财产损失，由投标人自行负责。</w:t>
      </w:r>
    </w:p>
    <w:p w14:paraId="4153DC0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 采购人在现场考察中介绍的项目场地和相关的周边环境情况，仅供投标人在编制投标文件时参考，采购人和采购代理机构不对投标人据此作出的判断和决策负责。</w:t>
      </w:r>
    </w:p>
    <w:p w14:paraId="40C46E0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9.5 “投标人须知前附表”规定召开答疑会的，采购代理机构按“投标人须知前附表”规定的时间和地点召开答疑会，澄清投标人提出的问题。</w:t>
      </w:r>
    </w:p>
    <w:p w14:paraId="31F3C1D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9.6 由于未参加现场考察或未参加标前答疑会而导致对项目实际情况不了解，影响投标文件编制、投标报价准确性、综合因素响应不全面等问题的，由投标人自行承担不利评审后果。</w:t>
      </w:r>
    </w:p>
    <w:bookmarkEnd w:id="73"/>
    <w:p w14:paraId="49B0A37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74" w:name="_Toc31066"/>
      <w:bookmarkStart w:id="75" w:name="_Toc1905"/>
      <w:bookmarkStart w:id="76" w:name="_Toc155185858"/>
      <w:bookmarkStart w:id="77" w:name="_Toc2189"/>
      <w:bookmarkStart w:id="78" w:name="_Toc26824"/>
      <w:bookmarkStart w:id="79" w:name="_Toc163492833"/>
      <w:bookmarkStart w:id="80" w:name="_Toc15518587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10.电子投标说明</w:t>
      </w:r>
      <w:bookmarkEnd w:id="74"/>
      <w:bookmarkEnd w:id="75"/>
      <w:bookmarkEnd w:id="76"/>
      <w:bookmarkEnd w:id="77"/>
      <w:bookmarkEnd w:id="78"/>
      <w:bookmarkEnd w:id="7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   </w:t>
      </w:r>
    </w:p>
    <w:p w14:paraId="4466C94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10.1 </w:t>
      </w:r>
      <w:r>
        <w:rPr>
          <w:rFonts w:hint="eastAsia" w:ascii="仿宋" w:hAnsi="仿宋" w:eastAsia="仿宋" w:cs="仿宋"/>
          <w:color w:val="000000" w:themeColor="text1"/>
          <w:sz w:val="24"/>
          <w:szCs w:val="24"/>
          <w:highlight w:val="none"/>
          <w14:textFill>
            <w14:solidFill>
              <w14:schemeClr w14:val="tx1"/>
            </w14:solidFill>
          </w14:textFill>
        </w:rPr>
        <w:t>本次采购采用电子交易方式，电子交易平台为</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w:t>
      </w:r>
      <w:r>
        <w:rPr>
          <w:rFonts w:hint="eastAsia" w:ascii="仿宋" w:hAnsi="仿宋" w:eastAsia="仿宋" w:cs="仿宋"/>
          <w:color w:val="000000" w:themeColor="text1"/>
          <w:sz w:val="24"/>
          <w:szCs w:val="24"/>
          <w:highlight w:val="none"/>
          <w:lang w:val="en-US"/>
          <w14:textFill>
            <w14:solidFill>
              <w14:schemeClr w14:val="tx1"/>
            </w14:solidFill>
          </w14:textFill>
        </w:rPr>
        <w:t>电子交易云</w:t>
      </w:r>
      <w:r>
        <w:rPr>
          <w:rFonts w:hint="eastAsia" w:ascii="仿宋" w:hAnsi="仿宋" w:eastAsia="仿宋" w:cs="仿宋"/>
          <w:color w:val="000000" w:themeColor="text1"/>
          <w:sz w:val="24"/>
          <w:szCs w:val="24"/>
          <w:highlight w:val="none"/>
          <w14:textFill>
            <w14:solidFill>
              <w14:schemeClr w14:val="tx1"/>
            </w14:solidFill>
          </w14:textFill>
        </w:rPr>
        <w:t>平台</w:t>
      </w:r>
      <w:r>
        <w:rPr>
          <w:rFonts w:hint="eastAsia" w:ascii="仿宋" w:hAnsi="仿宋" w:eastAsia="仿宋" w:cs="仿宋"/>
          <w:color w:val="000000" w:themeColor="text1"/>
          <w:sz w:val="24"/>
          <w:szCs w:val="24"/>
          <w:highlight w:val="none"/>
          <w:lang w:val="hr-HR"/>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网址</w:t>
      </w:r>
      <w:r>
        <w:rPr>
          <w:rFonts w:hint="eastAsia" w:ascii="仿宋" w:hAnsi="仿宋" w:eastAsia="仿宋" w:cs="仿宋"/>
          <w:color w:val="000000" w:themeColor="text1"/>
          <w:sz w:val="24"/>
          <w:szCs w:val="24"/>
          <w:highlight w:val="none"/>
          <w:lang w:val="hr-HR"/>
          <w14:textFill>
            <w14:solidFill>
              <w14:schemeClr w14:val="tx1"/>
            </w14:solidFill>
          </w14:textFill>
        </w:rPr>
        <w:t>：https://www.zcygov.cn/）</w:t>
      </w:r>
      <w:r>
        <w:rPr>
          <w:rFonts w:hint="eastAsia" w:ascii="仿宋" w:hAnsi="仿宋" w:eastAsia="仿宋" w:cs="仿宋"/>
          <w:color w:val="000000" w:themeColor="text1"/>
          <w:sz w:val="24"/>
          <w:szCs w:val="24"/>
          <w:highlight w:val="none"/>
          <w14:textFill>
            <w14:solidFill>
              <w14:schemeClr w14:val="tx1"/>
            </w14:solidFill>
          </w14:textFill>
        </w:rPr>
        <w:t>。投标人参与本项目电子交易活动前，应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在</w:t>
      </w:r>
      <w:r>
        <w:rPr>
          <w:rFonts w:hint="eastAsia" w:ascii="仿宋" w:hAnsi="仿宋" w:eastAsia="仿宋" w:cs="仿宋"/>
          <w:color w:val="000000" w:themeColor="text1"/>
          <w:sz w:val="24"/>
          <w:szCs w:val="24"/>
          <w:highlight w:val="none"/>
          <w14:textFill>
            <w14:solidFill>
              <w14:schemeClr w14:val="tx1"/>
            </w14:solidFill>
          </w14:textFill>
        </w:rPr>
        <w:t>政</w:t>
      </w:r>
      <w:r>
        <w:rPr>
          <w:rFonts w:hint="eastAsia" w:ascii="仿宋" w:hAnsi="仿宋" w:eastAsia="仿宋" w:cs="仿宋"/>
          <w:color w:val="000000" w:themeColor="text1"/>
          <w:sz w:val="24"/>
          <w:szCs w:val="24"/>
          <w:highlight w:val="none"/>
          <w:lang w:val="en-US" w:eastAsia="zh-CN"/>
          <w14:textFill>
            <w14:solidFill>
              <w14:schemeClr w14:val="tx1"/>
            </w14:solidFill>
          </w14:textFill>
        </w:rPr>
        <w:t>采</w:t>
      </w:r>
      <w:r>
        <w:rPr>
          <w:rFonts w:hint="eastAsia" w:ascii="仿宋" w:hAnsi="仿宋" w:eastAsia="仿宋" w:cs="仿宋"/>
          <w:color w:val="000000" w:themeColor="text1"/>
          <w:sz w:val="24"/>
          <w:szCs w:val="24"/>
          <w:highlight w:val="none"/>
          <w:lang w:val="en-US"/>
          <w14:textFill>
            <w14:solidFill>
              <w14:schemeClr w14:val="tx1"/>
            </w14:solidFill>
          </w14:textFill>
        </w:rPr>
        <w:t>云</w:t>
      </w:r>
      <w:r>
        <w:rPr>
          <w:rFonts w:hint="eastAsia" w:ascii="仿宋" w:hAnsi="仿宋" w:eastAsia="仿宋" w:cs="仿宋"/>
          <w:color w:val="000000" w:themeColor="text1"/>
          <w:sz w:val="24"/>
          <w:szCs w:val="24"/>
          <w:highlight w:val="none"/>
          <w14:textFill>
            <w14:solidFill>
              <w14:schemeClr w14:val="tx1"/>
            </w14:solidFill>
          </w14:textFill>
        </w:rPr>
        <w:t>平台</w:t>
      </w:r>
      <w:r>
        <w:rPr>
          <w:rFonts w:hint="eastAsia" w:ascii="仿宋" w:hAnsi="仿宋" w:eastAsia="仿宋" w:cs="仿宋"/>
          <w:color w:val="000000" w:themeColor="text1"/>
          <w:sz w:val="24"/>
          <w:szCs w:val="24"/>
          <w:highlight w:val="none"/>
          <w:lang w:val="en-US" w:eastAsia="zh-CN"/>
          <w14:textFill>
            <w14:solidFill>
              <w14:schemeClr w14:val="tx1"/>
            </w14:solidFill>
          </w14:textFill>
        </w:rPr>
        <w:t>上</w:t>
      </w:r>
      <w:r>
        <w:rPr>
          <w:rFonts w:hint="eastAsia" w:ascii="仿宋" w:hAnsi="仿宋" w:eastAsia="仿宋" w:cs="仿宋"/>
          <w:color w:val="000000" w:themeColor="text1"/>
          <w:sz w:val="24"/>
          <w:szCs w:val="24"/>
          <w:highlight w:val="none"/>
          <w14:textFill>
            <w14:solidFill>
              <w14:schemeClr w14:val="tx1"/>
            </w14:solidFill>
          </w14:textFill>
        </w:rPr>
        <w:t>注册</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供应商账号</w:t>
      </w:r>
      <w:r>
        <w:rPr>
          <w:rFonts w:hint="eastAsia" w:ascii="仿宋" w:hAnsi="仿宋" w:eastAsia="仿宋" w:cs="仿宋"/>
          <w:color w:val="000000" w:themeColor="text1"/>
          <w:sz w:val="24"/>
          <w:szCs w:val="24"/>
          <w:highlight w:val="none"/>
          <w14:textFill>
            <w14:solidFill>
              <w14:schemeClr w14:val="tx1"/>
            </w14:solidFill>
          </w14:textFill>
        </w:rPr>
        <w:t>。编制电子</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文件前还需</w:t>
      </w:r>
      <w:r>
        <w:rPr>
          <w:rFonts w:hint="eastAsia" w:ascii="仿宋" w:hAnsi="仿宋" w:eastAsia="仿宋" w:cs="仿宋"/>
          <w:color w:val="000000" w:themeColor="text1"/>
          <w:sz w:val="24"/>
          <w:szCs w:val="24"/>
          <w:highlight w:val="none"/>
          <w:lang w:val="en-US" w:eastAsia="zh-CN"/>
          <w14:textFill>
            <w14:solidFill>
              <w14:schemeClr w14:val="tx1"/>
            </w14:solidFill>
          </w14:textFill>
        </w:rPr>
        <w:t>申领CA证书并绑定帐号。投标人应充分考虑完成平台注册、申领CA证书等所需的时间。</w:t>
      </w:r>
      <w:r>
        <w:rPr>
          <w:rFonts w:hint="eastAsia" w:ascii="仿宋" w:hAnsi="仿宋" w:eastAsia="仿宋" w:cs="仿宋"/>
          <w:color w:val="000000" w:themeColor="text1"/>
          <w:sz w:val="24"/>
          <w:szCs w:val="24"/>
          <w:highlight w:val="none"/>
          <w:lang w:val="zh-CN" w:eastAsia="zh-CN"/>
          <w14:textFill>
            <w14:solidFill>
              <w14:schemeClr w14:val="tx1"/>
            </w14:solidFill>
          </w14:textFill>
        </w:rPr>
        <w:t>潜在投标人领取文件须提前完成注册、CA证书和电子签章申领和绑定、下载投标客户端。因未办理CA数字证书、CA证书故障、操作不当等原因造成无法投标或投标失败等后果由投标人自行承担。</w:t>
      </w:r>
    </w:p>
    <w:p w14:paraId="4E6F473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投标人将</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w:t>
      </w:r>
      <w:r>
        <w:rPr>
          <w:rFonts w:hint="eastAsia" w:ascii="仿宋" w:hAnsi="仿宋" w:eastAsia="仿宋" w:cs="仿宋"/>
          <w:color w:val="000000" w:themeColor="text1"/>
          <w:sz w:val="24"/>
          <w:szCs w:val="24"/>
          <w:highlight w:val="none"/>
          <w:lang w:val="en-US"/>
          <w14:textFill>
            <w14:solidFill>
              <w14:schemeClr w14:val="tx1"/>
            </w14:solidFill>
          </w14:textFill>
        </w:rPr>
        <w:t>电子交易云</w:t>
      </w:r>
      <w:r>
        <w:rPr>
          <w:rFonts w:hint="eastAsia" w:ascii="仿宋" w:hAnsi="仿宋" w:eastAsia="仿宋" w:cs="仿宋"/>
          <w:color w:val="000000" w:themeColor="text1"/>
          <w:sz w:val="24"/>
          <w:szCs w:val="24"/>
          <w:highlight w:val="none"/>
          <w14:textFill>
            <w14:solidFill>
              <w14:schemeClr w14:val="tx1"/>
            </w14:solidFill>
          </w14:textFill>
        </w:rPr>
        <w:t>平台电子交易客户端下载、安装完成后，可通过账号密码或CA登录客户端进行</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制作。在使用政采云投标客户端时，建议使用WIN7及以上操作系统。</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登录</w:t>
      </w:r>
      <w:r>
        <w:rPr>
          <w:rFonts w:hint="eastAsia" w:ascii="仿宋" w:hAnsi="仿宋" w:eastAsia="仿宋" w:cs="仿宋"/>
          <w:color w:val="000000" w:themeColor="text1"/>
          <w:sz w:val="24"/>
          <w:szCs w:val="24"/>
          <w:highlight w:val="none"/>
          <w:lang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政府采购网“下载专区”—“电子招投标客户端下载”下载相关客户端，如有问题可拨打政采云客户服务热线95763进行咨询。</w:t>
      </w:r>
    </w:p>
    <w:p w14:paraId="7B2F78D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加密的电子</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应在</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递交截止时间前通过政采云平台上传完成。逾期上传或者未上传指定地点的</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，不予受理。</w:t>
      </w:r>
    </w:p>
    <w:p w14:paraId="2C27207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投标人在开标前须提前配置好电脑</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浏览器，开标时请使用制作加密电子</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的CA锁进行解密及报价确认。本项目</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解密时间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详见“投标人须知前附表”</w:t>
      </w:r>
      <w:r>
        <w:rPr>
          <w:rFonts w:hint="eastAsia" w:ascii="仿宋" w:hAnsi="仿宋" w:eastAsia="仿宋" w:cs="仿宋"/>
          <w:color w:val="000000" w:themeColor="text1"/>
          <w:sz w:val="24"/>
          <w:szCs w:val="24"/>
          <w:highlight w:val="none"/>
          <w14:textFill>
            <w14:solidFill>
              <w14:schemeClr w14:val="tx1"/>
            </w14:solidFill>
          </w14:textFill>
        </w:rPr>
        <w:t>，如因自身原因导致无法正常解密，后果由投标人自行承担。</w:t>
      </w:r>
    </w:p>
    <w:p w14:paraId="2BE77F8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如遇“</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w:t>
      </w:r>
      <w:r>
        <w:rPr>
          <w:rFonts w:hint="eastAsia" w:ascii="仿宋" w:hAnsi="仿宋" w:eastAsia="仿宋" w:cs="仿宋"/>
          <w:color w:val="000000" w:themeColor="text1"/>
          <w:sz w:val="24"/>
          <w:szCs w:val="24"/>
          <w:highlight w:val="none"/>
          <w:lang w:val="en-US"/>
          <w14:textFill>
            <w14:solidFill>
              <w14:schemeClr w14:val="tx1"/>
            </w14:solidFill>
          </w14:textFill>
        </w:rPr>
        <w:t>电子交易云</w:t>
      </w:r>
      <w:r>
        <w:rPr>
          <w:rFonts w:hint="eastAsia" w:ascii="仿宋" w:hAnsi="仿宋" w:eastAsia="仿宋" w:cs="仿宋"/>
          <w:color w:val="000000" w:themeColor="text1"/>
          <w:sz w:val="24"/>
          <w:szCs w:val="24"/>
          <w:highlight w:val="none"/>
          <w14:textFill>
            <w14:solidFill>
              <w14:schemeClr w14:val="tx1"/>
            </w14:solidFill>
          </w14:textFill>
        </w:rPr>
        <w:t>平台</w:t>
      </w:r>
      <w:r>
        <w:rPr>
          <w:rFonts w:hint="eastAsia" w:ascii="仿宋" w:hAnsi="仿宋" w:eastAsia="仿宋" w:cs="仿宋"/>
          <w:color w:val="000000" w:themeColor="text1"/>
          <w:sz w:val="24"/>
          <w:szCs w:val="24"/>
          <w:highlight w:val="none"/>
          <w:lang w:val="hr-HR"/>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网址</w:t>
      </w:r>
      <w:r>
        <w:rPr>
          <w:rFonts w:hint="eastAsia" w:ascii="仿宋" w:hAnsi="仿宋" w:eastAsia="仿宋" w:cs="仿宋"/>
          <w:color w:val="000000" w:themeColor="text1"/>
          <w:sz w:val="24"/>
          <w:szCs w:val="24"/>
          <w:highlight w:val="none"/>
          <w:lang w:val="hr-HR"/>
          <w14:textFill>
            <w14:solidFill>
              <w14:schemeClr w14:val="tx1"/>
            </w14:solidFill>
          </w14:textFill>
        </w:rPr>
        <w:t>：https://www.zcygov.cn/）</w:t>
      </w:r>
      <w:r>
        <w:rPr>
          <w:rFonts w:hint="eastAsia" w:ascii="仿宋" w:hAnsi="仿宋" w:eastAsia="仿宋" w:cs="仿宋"/>
          <w:color w:val="000000" w:themeColor="text1"/>
          <w:sz w:val="24"/>
          <w:szCs w:val="24"/>
          <w:highlight w:val="none"/>
          <w14:textFill>
            <w14:solidFill>
              <w14:schemeClr w14:val="tx1"/>
            </w14:solidFill>
          </w14:textFill>
        </w:rPr>
        <w:t>”电子交易规则调整，以最新要求为准。</w:t>
      </w:r>
    </w:p>
    <w:p w14:paraId="5C9641E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10.6 电子交易系统咨询：投标人应当充分考虑到电子投标可能会发生的各种问题和风险，特别是投标文件签署、提交等问题，可按照“第一章 招标公告”的联系方式咨询相关人员。</w:t>
      </w:r>
    </w:p>
    <w:p w14:paraId="31A4984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B2B596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81" w:name="_Toc2058"/>
      <w:bookmarkStart w:id="82" w:name="_Toc25633"/>
      <w:bookmarkStart w:id="83" w:name="_Toc27586"/>
      <w:bookmarkStart w:id="84" w:name="_Toc2606"/>
      <w:bookmarkStart w:id="85" w:name="_Toc16349283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（二）招标文件</w:t>
      </w:r>
      <w:bookmarkEnd w:id="80"/>
      <w:bookmarkEnd w:id="81"/>
      <w:bookmarkEnd w:id="82"/>
      <w:bookmarkEnd w:id="83"/>
      <w:bookmarkEnd w:id="84"/>
      <w:bookmarkEnd w:id="85"/>
    </w:p>
    <w:p w14:paraId="07CD24E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86" w:name="_Toc163492835"/>
      <w:bookmarkStart w:id="87" w:name="_Toc24167"/>
      <w:bookmarkStart w:id="88" w:name="_Toc140132768"/>
      <w:bookmarkStart w:id="89" w:name="_Toc27444"/>
      <w:bookmarkStart w:id="90" w:name="_Toc7878"/>
      <w:bookmarkStart w:id="91" w:name="_Toc1159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11.招标文件的组成</w:t>
      </w:r>
      <w:bookmarkEnd w:id="86"/>
      <w:bookmarkEnd w:id="87"/>
      <w:bookmarkEnd w:id="88"/>
      <w:bookmarkEnd w:id="89"/>
      <w:bookmarkEnd w:id="90"/>
      <w:bookmarkEnd w:id="91"/>
    </w:p>
    <w:p w14:paraId="5049261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.1本招标文件包括下列文件及根据本章第9款、第1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款对招标文件所作的澄清或者修改。</w:t>
      </w:r>
    </w:p>
    <w:p w14:paraId="5A4B71E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第一章 </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招标公告</w:t>
      </w:r>
    </w:p>
    <w:p w14:paraId="67EEC63D">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第二章 投标人须知</w:t>
      </w:r>
    </w:p>
    <w:p w14:paraId="43AAE15D">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第三章 采购需求</w:t>
      </w:r>
    </w:p>
    <w:p w14:paraId="73421C7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第四章 资格审查</w:t>
      </w:r>
    </w:p>
    <w:p w14:paraId="3FAA506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第五章 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14:paraId="76ED8F1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第六章 合同草案</w:t>
      </w:r>
    </w:p>
    <w:p w14:paraId="731AF56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第七章 投标文件的格式</w:t>
      </w:r>
    </w:p>
    <w:p w14:paraId="56CDE96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92" w:name="_Toc13699"/>
      <w:bookmarkStart w:id="93" w:name="_Toc30904"/>
      <w:bookmarkStart w:id="94" w:name="_Toc20196"/>
      <w:bookmarkStart w:id="95" w:name="_Toc14064"/>
      <w:bookmarkStart w:id="96" w:name="_Toc140132769"/>
      <w:bookmarkStart w:id="97" w:name="_Toc16349283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12.招标文件的询问、澄清或者修改</w:t>
      </w:r>
      <w:bookmarkEnd w:id="92"/>
      <w:bookmarkEnd w:id="93"/>
      <w:bookmarkEnd w:id="94"/>
      <w:bookmarkEnd w:id="95"/>
      <w:bookmarkEnd w:id="96"/>
      <w:bookmarkEnd w:id="97"/>
    </w:p>
    <w:p w14:paraId="48AF37A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 投标人如对招标文件内容有疑问，须在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规定的询问</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方式和</w:t>
      </w:r>
      <w:r>
        <w:rPr>
          <w:rFonts w:hint="eastAsia" w:ascii="仿宋" w:hAnsi="仿宋" w:eastAsia="仿宋" w:cs="仿宋"/>
          <w:color w:val="000000" w:themeColor="text1"/>
          <w:sz w:val="24"/>
          <w:szCs w:val="24"/>
          <w:highlight w:val="none"/>
          <w14:textFill>
            <w14:solidFill>
              <w14:schemeClr w14:val="tx1"/>
            </w14:solidFill>
          </w14:textFill>
        </w:rPr>
        <w:t>时间提交给</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采购人或</w:t>
      </w:r>
      <w:r>
        <w:rPr>
          <w:rFonts w:hint="eastAsia" w:ascii="仿宋" w:hAnsi="仿宋" w:eastAsia="仿宋" w:cs="仿宋"/>
          <w:color w:val="000000" w:themeColor="text1"/>
          <w:sz w:val="24"/>
          <w:szCs w:val="24"/>
          <w:highlight w:val="none"/>
          <w14:textFill>
            <w14:solidFill>
              <w14:schemeClr w14:val="tx1"/>
            </w14:solidFill>
          </w14:textFill>
        </w:rPr>
        <w:t>采购代理机构。</w:t>
      </w:r>
    </w:p>
    <w:p w14:paraId="425569A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.2 采购人可主动地或在</w:t>
      </w:r>
      <w:r>
        <w:rPr>
          <w:rFonts w:hint="eastAsia" w:ascii="仿宋" w:hAnsi="仿宋" w:eastAsia="仿宋" w:cs="仿宋"/>
          <w:color w:val="000000" w:themeColor="text1"/>
          <w:sz w:val="24"/>
          <w:szCs w:val="24"/>
          <w:highlight w:val="none"/>
          <w:lang w:val="en-US" w:eastAsia="zh-CN"/>
          <w14:textFill>
            <w14:solidFill>
              <w14:schemeClr w14:val="tx1"/>
            </w14:solidFill>
          </w14:textFill>
        </w:rPr>
        <w:t>答复</w:t>
      </w:r>
      <w:r>
        <w:rPr>
          <w:rFonts w:hint="eastAsia" w:ascii="仿宋" w:hAnsi="仿宋" w:eastAsia="仿宋" w:cs="仿宋"/>
          <w:color w:val="000000" w:themeColor="text1"/>
          <w:sz w:val="24"/>
          <w:szCs w:val="24"/>
          <w:highlight w:val="none"/>
          <w14:textFill>
            <w14:solidFill>
              <w14:schemeClr w14:val="tx1"/>
            </w14:solidFill>
          </w14:textFill>
        </w:rPr>
        <w:t>投标人提出的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询问</w:t>
      </w:r>
      <w:r>
        <w:rPr>
          <w:rFonts w:hint="eastAsia" w:ascii="仿宋" w:hAnsi="仿宋" w:eastAsia="仿宋" w:cs="仿宋"/>
          <w:color w:val="000000" w:themeColor="text1"/>
          <w:sz w:val="24"/>
          <w:szCs w:val="24"/>
          <w:highlight w:val="none"/>
          <w14:textFill>
            <w14:solidFill>
              <w14:schemeClr w14:val="tx1"/>
            </w14:solidFill>
          </w14:textFill>
        </w:rPr>
        <w:t>时对招标文件进行澄清与修改。采购代理机构将在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政府采购云平台</w:t>
      </w:r>
      <w:r>
        <w:rPr>
          <w:rFonts w:hint="eastAsia" w:ascii="仿宋" w:hAnsi="仿宋" w:eastAsia="仿宋" w:cs="仿宋"/>
          <w:color w:val="000000" w:themeColor="text1"/>
          <w:sz w:val="24"/>
          <w:szCs w:val="24"/>
          <w:highlight w:val="none"/>
          <w14:textFill>
            <w14:solidFill>
              <w14:schemeClr w14:val="tx1"/>
            </w14:solidFill>
          </w14:textFill>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7A318B0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CF10F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C84A4C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12.5</w:t>
      </w:r>
      <w:r>
        <w:rPr>
          <w:rFonts w:hint="eastAsia" w:ascii="仿宋" w:hAnsi="仿宋" w:eastAsia="仿宋" w:cs="仿宋"/>
          <w:color w:val="000000" w:themeColor="text1"/>
          <w:sz w:val="24"/>
          <w:szCs w:val="24"/>
          <w:highlight w:val="none"/>
          <w14:textFill>
            <w14:solidFill>
              <w14:schemeClr w14:val="tx1"/>
            </w14:solidFill>
          </w14:textFill>
        </w:rPr>
        <w:t>对于没有提出疑问又参与了本项目投标的投标人将被视为完全认同本招标文件（含更正公告的内容）。</w:t>
      </w:r>
    </w:p>
    <w:p w14:paraId="03B77E4E">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投标人须知”所称“书面形式”包括系统消息、政府采购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云平台</w:t>
      </w:r>
      <w:r>
        <w:rPr>
          <w:rFonts w:hint="eastAsia" w:ascii="仿宋" w:hAnsi="仿宋" w:eastAsia="仿宋" w:cs="仿宋"/>
          <w:color w:val="000000" w:themeColor="text1"/>
          <w:sz w:val="24"/>
          <w:szCs w:val="24"/>
          <w:highlight w:val="none"/>
          <w14:textFill>
            <w14:solidFill>
              <w14:schemeClr w14:val="tx1"/>
            </w14:solidFill>
          </w14:textFill>
        </w:rPr>
        <w:t>发布的公告。</w:t>
      </w:r>
    </w:p>
    <w:p w14:paraId="4E1DC25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12.7</w:t>
      </w:r>
      <w:r>
        <w:rPr>
          <w:rFonts w:hint="eastAsia" w:ascii="仿宋" w:hAnsi="仿宋" w:eastAsia="仿宋" w:cs="仿宋"/>
          <w:color w:val="000000" w:themeColor="text1"/>
          <w:kern w:val="2"/>
          <w:sz w:val="24"/>
          <w:szCs w:val="24"/>
          <w:highlight w:val="none"/>
          <w14:textFill>
            <w14:solidFill>
              <w14:schemeClr w14:val="tx1"/>
            </w14:solidFill>
          </w14:textFill>
        </w:rPr>
        <w:t>当招标文件的澄清、修改及其他答复等就同一内容的表述不一致时，以最后发布的内容为准。</w:t>
      </w:r>
    </w:p>
    <w:p w14:paraId="67BE7BF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98" w:name="_Toc3060"/>
      <w:bookmarkStart w:id="99" w:name="_Toc9097"/>
      <w:bookmarkStart w:id="100" w:name="_Toc13035"/>
      <w:bookmarkStart w:id="101" w:name="_Toc195"/>
      <w:bookmarkStart w:id="102" w:name="_Toc163492837"/>
      <w:bookmarkStart w:id="103" w:name="_Toc15518587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（三）投标文件</w:t>
      </w:r>
      <w:bookmarkEnd w:id="98"/>
      <w:bookmarkEnd w:id="99"/>
      <w:bookmarkEnd w:id="100"/>
      <w:bookmarkEnd w:id="101"/>
      <w:bookmarkEnd w:id="102"/>
      <w:bookmarkEnd w:id="103"/>
    </w:p>
    <w:p w14:paraId="2302F30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04" w:name="_Toc30794"/>
      <w:bookmarkStart w:id="105" w:name="_Toc163492838"/>
      <w:bookmarkStart w:id="106" w:name="_Toc24818"/>
      <w:bookmarkStart w:id="107" w:name="_Toc1776"/>
      <w:bookmarkStart w:id="108" w:name="_Toc1387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13.投标文件的组成</w:t>
      </w:r>
      <w:bookmarkEnd w:id="104"/>
      <w:bookmarkEnd w:id="105"/>
      <w:bookmarkEnd w:id="106"/>
      <w:bookmarkEnd w:id="107"/>
      <w:bookmarkEnd w:id="108"/>
    </w:p>
    <w:p w14:paraId="5D8214D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bookmarkStart w:id="109" w:name="_Toc140132772"/>
      <w:bookmarkStart w:id="110" w:name="_Toc163492839"/>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kern w:val="2"/>
          <w:sz w:val="24"/>
          <w:szCs w:val="24"/>
          <w:highlight w:val="none"/>
          <w14:textFill>
            <w14:solidFill>
              <w14:schemeClr w14:val="tx1"/>
            </w14:solidFill>
          </w14:textFill>
        </w:rPr>
        <w:t>.1投标人应完整地按招标文件提供的投标文件格式及要求编写投标文件，具体内容详见</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第七章 </w:t>
      </w:r>
      <w:r>
        <w:rPr>
          <w:rFonts w:hint="eastAsia" w:ascii="仿宋" w:hAnsi="仿宋" w:eastAsia="仿宋" w:cs="仿宋"/>
          <w:color w:val="000000" w:themeColor="text1"/>
          <w:kern w:val="2"/>
          <w:sz w:val="24"/>
          <w:szCs w:val="24"/>
          <w:highlight w:val="none"/>
          <w14:textFill>
            <w14:solidFill>
              <w14:schemeClr w14:val="tx1"/>
            </w14:solidFill>
          </w14:textFill>
        </w:rPr>
        <w:t>投标文件格式</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14:textFill>
            <w14:solidFill>
              <w14:schemeClr w14:val="tx1"/>
            </w14:solidFill>
          </w14:textFill>
        </w:rPr>
        <w:t>的相关内容。</w:t>
      </w:r>
    </w:p>
    <w:p w14:paraId="02D006A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13.2</w:t>
      </w:r>
      <w:r>
        <w:rPr>
          <w:rFonts w:hint="eastAsia" w:ascii="仿宋" w:hAnsi="仿宋" w:eastAsia="仿宋" w:cs="仿宋"/>
          <w:color w:val="000000" w:themeColor="text1"/>
          <w:kern w:val="2"/>
          <w:sz w:val="24"/>
          <w:szCs w:val="24"/>
          <w:highlight w:val="none"/>
          <w14:textFill>
            <w14:solidFill>
              <w14:schemeClr w14:val="tx1"/>
            </w14:solidFill>
          </w14:textFill>
        </w:rPr>
        <w:t>投标人应提交招标文件要求的证明文件，证明其投标内容符合招标文件规定</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14:textFill>
            <w14:solidFill>
              <w14:schemeClr w14:val="tx1"/>
            </w14:solidFill>
          </w14:textFill>
        </w:rPr>
        <w:t>该证明文件是投标文件的一部分</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14:textFill>
            <w14:solidFill>
              <w14:schemeClr w14:val="tx1"/>
            </w14:solidFill>
          </w14:textFill>
        </w:rPr>
        <w:t>证明文件</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形式</w:t>
      </w:r>
      <w:r>
        <w:rPr>
          <w:rFonts w:hint="eastAsia" w:ascii="仿宋" w:hAnsi="仿宋" w:eastAsia="仿宋" w:cs="仿宋"/>
          <w:color w:val="000000" w:themeColor="text1"/>
          <w:kern w:val="2"/>
          <w:sz w:val="24"/>
          <w:szCs w:val="24"/>
          <w:highlight w:val="none"/>
          <w14:textFill>
            <w14:solidFill>
              <w14:schemeClr w14:val="tx1"/>
            </w14:solidFill>
          </w14:textFill>
        </w:rPr>
        <w:t>可以是文字资料、图纸和数据</w:t>
      </w:r>
      <w:bookmarkStart w:id="111" w:name="_Hlk11703583"/>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等。</w:t>
      </w:r>
    </w:p>
    <w:bookmarkEnd w:id="111"/>
    <w:p w14:paraId="12807094">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13.3</w:t>
      </w:r>
      <w:r>
        <w:rPr>
          <w:rFonts w:hint="eastAsia" w:ascii="仿宋" w:hAnsi="仿宋" w:eastAsia="仿宋" w:cs="仿宋"/>
          <w:color w:val="000000" w:themeColor="text1"/>
          <w:kern w:val="2"/>
          <w:sz w:val="24"/>
          <w:szCs w:val="24"/>
          <w:highlight w:val="none"/>
          <w14:textFill>
            <w14:solidFill>
              <w14:schemeClr w14:val="tx1"/>
            </w14:solidFill>
          </w14:textFill>
        </w:rPr>
        <w:t>为保证公平公正，除非</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本招标文件</w:t>
      </w:r>
      <w:r>
        <w:rPr>
          <w:rFonts w:hint="eastAsia" w:ascii="仿宋" w:hAnsi="仿宋" w:eastAsia="仿宋" w:cs="仿宋"/>
          <w:color w:val="000000" w:themeColor="text1"/>
          <w:kern w:val="2"/>
          <w:sz w:val="24"/>
          <w:szCs w:val="24"/>
          <w:highlight w:val="none"/>
          <w14:textFill>
            <w14:solidFill>
              <w14:schemeClr w14:val="tx1"/>
            </w14:solidFill>
          </w14:textFill>
        </w:rPr>
        <w:t>另有规定或说明，投标人对同一项目投标时，不得同时提供备选投标方案。</w:t>
      </w:r>
    </w:p>
    <w:p w14:paraId="05D5194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12" w:name="_Toc12233"/>
      <w:bookmarkStart w:id="113" w:name="_Toc893"/>
      <w:bookmarkStart w:id="114" w:name="_Toc10265"/>
      <w:bookmarkStart w:id="115" w:name="_Toc1669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14.投标报价</w:t>
      </w:r>
      <w:bookmarkEnd w:id="109"/>
      <w:bookmarkEnd w:id="110"/>
      <w:bookmarkEnd w:id="112"/>
      <w:bookmarkEnd w:id="113"/>
      <w:bookmarkEnd w:id="114"/>
      <w:bookmarkEnd w:id="115"/>
    </w:p>
    <w:p w14:paraId="15C4844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000000" w:themeColor="text1"/>
          <w:sz w:val="24"/>
          <w:szCs w:val="24"/>
          <w:highlight w:val="none"/>
          <w:lang w:val="zh-CN"/>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1</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 w:val="24"/>
          <w:szCs w:val="24"/>
          <w:highlight w:val="none"/>
          <w14:textFill>
            <w14:solidFill>
              <w14:schemeClr w14:val="tx1"/>
            </w14:solidFill>
          </w14:textFill>
        </w:rPr>
        <w:t xml:space="preserve">.1 </w:t>
      </w:r>
      <w:r>
        <w:rPr>
          <w:rFonts w:hint="eastAsia" w:ascii="仿宋" w:hAnsi="仿宋" w:eastAsia="仿宋" w:cs="仿宋"/>
          <w:snapToGrid w:val="0"/>
          <w:color w:val="000000" w:themeColor="text1"/>
          <w:sz w:val="24"/>
          <w:szCs w:val="24"/>
          <w:highlight w:val="none"/>
          <w:lang w:val="zh-CN"/>
          <w14:textFill>
            <w14:solidFill>
              <w14:schemeClr w14:val="tx1"/>
            </w14:solidFill>
          </w14:textFill>
        </w:rPr>
        <w:t>投标人的报价均应以人民币进行报价。</w:t>
      </w:r>
    </w:p>
    <w:p w14:paraId="62549B6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1</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 w:val="24"/>
          <w:szCs w:val="24"/>
          <w:highlight w:val="none"/>
          <w14:textFill>
            <w14:solidFill>
              <w14:schemeClr w14:val="tx1"/>
            </w14:solidFill>
          </w14:textFill>
        </w:rPr>
        <w:t>.2 投标人应按照本招标文件规定的报价方式进行报价，投标报价中不得包含招标文件要求以外的内容，否则，在评标时不予核减。投标报价中也不得</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缺</w:t>
      </w:r>
      <w:r>
        <w:rPr>
          <w:rFonts w:hint="eastAsia" w:ascii="仿宋" w:hAnsi="仿宋" w:eastAsia="仿宋" w:cs="仿宋"/>
          <w:snapToGrid w:val="0"/>
          <w:color w:val="000000" w:themeColor="text1"/>
          <w:sz w:val="24"/>
          <w:szCs w:val="24"/>
          <w:highlight w:val="none"/>
          <w14:textFill>
            <w14:solidFill>
              <w14:schemeClr w14:val="tx1"/>
            </w14:solidFill>
          </w14:textFill>
        </w:rPr>
        <w:t>漏招标文件所要求的内容，否则，其</w:t>
      </w:r>
      <w:r>
        <w:rPr>
          <w:rFonts w:hint="eastAsia" w:ascii="仿宋" w:hAnsi="仿宋" w:eastAsia="仿宋" w:cs="仿宋"/>
          <w:b/>
          <w:bCs/>
          <w:snapToGrid w:val="0"/>
          <w:color w:val="000000" w:themeColor="text1"/>
          <w:sz w:val="24"/>
          <w:szCs w:val="24"/>
          <w:highlight w:val="none"/>
          <w14:textFill>
            <w14:solidFill>
              <w14:schemeClr w14:val="tx1"/>
            </w14:solidFill>
          </w14:textFill>
        </w:rPr>
        <w:t>投标无效</w:t>
      </w:r>
      <w:r>
        <w:rPr>
          <w:rFonts w:hint="eastAsia" w:ascii="仿宋" w:hAnsi="仿宋" w:eastAsia="仿宋" w:cs="仿宋"/>
          <w:snapToGrid w:val="0"/>
          <w:color w:val="000000" w:themeColor="text1"/>
          <w:sz w:val="24"/>
          <w:szCs w:val="24"/>
          <w:highlight w:val="none"/>
          <w14:textFill>
            <w14:solidFill>
              <w14:schemeClr w14:val="tx1"/>
            </w14:solidFill>
          </w14:textFill>
        </w:rPr>
        <w:t>。</w:t>
      </w:r>
    </w:p>
    <w:p w14:paraId="70EA278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投标人的报价应包括为完成本项目所发生的一切费用和税费，采购人将不再支付报价以外的任何费用。</w:t>
      </w:r>
      <w:r>
        <w:rPr>
          <w:rFonts w:hint="eastAsia" w:ascii="仿宋" w:hAnsi="仿宋" w:eastAsia="仿宋" w:cs="仿宋"/>
          <w:color w:val="000000" w:themeColor="text1"/>
          <w:kern w:val="2"/>
          <w:sz w:val="24"/>
          <w:szCs w:val="24"/>
          <w:highlight w:val="none"/>
          <w14:textFill>
            <w14:solidFill>
              <w14:schemeClr w14:val="tx1"/>
            </w14:solidFill>
          </w14:textFill>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21A2647">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投标人的报价应包括但不限于下列内容： </w:t>
      </w:r>
    </w:p>
    <w:p w14:paraId="74210310">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t>14.2.1 投标货物及标准附件、备品备件、专用工具等的出厂价（包括已在中</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国国内的进口货物完税后的仓库交货价、展室交货价或货架交货价）和运至最终目的地的运输费和保险费，安装调试、检验、技术服务、培训、质量保证、售后服务、税费等； </w:t>
      </w:r>
    </w:p>
    <w:p w14:paraId="46228009">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t>14.2.2 按照招标文件要求完成本项目的全部相关费用。</w:t>
      </w:r>
    </w:p>
    <w:p w14:paraId="602B71A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000000" w:themeColor="text1"/>
          <w:sz w:val="24"/>
          <w:szCs w:val="24"/>
          <w:highlight w:val="none"/>
          <w:lang w:val="zh-CN"/>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1</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 w:val="24"/>
          <w:szCs w:val="24"/>
          <w:highlight w:val="none"/>
          <w14:textFill>
            <w14:solidFill>
              <w14:schemeClr w14:val="tx1"/>
            </w14:solidFill>
          </w14:textFill>
        </w:rPr>
        <w:t xml:space="preserve">.3 </w:t>
      </w:r>
      <w:r>
        <w:rPr>
          <w:rFonts w:hint="eastAsia" w:ascii="仿宋" w:hAnsi="仿宋" w:eastAsia="仿宋" w:cs="仿宋"/>
          <w:color w:val="000000" w:themeColor="text1"/>
          <w:kern w:val="2"/>
          <w:sz w:val="24"/>
          <w:szCs w:val="24"/>
          <w:highlight w:val="none"/>
          <w14:textFill>
            <w14:solidFill>
              <w14:schemeClr w14:val="tx1"/>
            </w14:solidFill>
          </w14:textFill>
        </w:rPr>
        <w:t>投标人须严格按照</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分项</w:t>
      </w:r>
      <w:r>
        <w:rPr>
          <w:rFonts w:hint="eastAsia" w:ascii="仿宋" w:hAnsi="仿宋" w:eastAsia="仿宋" w:cs="仿宋"/>
          <w:color w:val="000000" w:themeColor="text1"/>
          <w:kern w:val="2"/>
          <w:sz w:val="24"/>
          <w:szCs w:val="24"/>
          <w:highlight w:val="none"/>
          <w14:textFill>
            <w14:solidFill>
              <w14:schemeClr w14:val="tx1"/>
            </w14:solidFill>
          </w14:textFill>
        </w:rPr>
        <w:t>报价表规定的内容填写货物单价以及其他事项。</w:t>
      </w:r>
      <w:r>
        <w:rPr>
          <w:rFonts w:hint="eastAsia" w:ascii="仿宋" w:hAnsi="仿宋" w:eastAsia="仿宋" w:cs="仿宋"/>
          <w:snapToGrid w:val="0"/>
          <w:color w:val="000000" w:themeColor="text1"/>
          <w:sz w:val="24"/>
          <w:szCs w:val="24"/>
          <w:highlight w:val="none"/>
          <w:lang w:val="zh-CN"/>
          <w14:textFill>
            <w14:solidFill>
              <w14:schemeClr w14:val="tx1"/>
            </w14:solidFill>
          </w14:textFill>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缴</w:t>
      </w:r>
      <w:r>
        <w:rPr>
          <w:rFonts w:hint="eastAsia" w:ascii="仿宋" w:hAnsi="仿宋" w:eastAsia="仿宋" w:cs="仿宋"/>
          <w:snapToGrid w:val="0"/>
          <w:color w:val="000000" w:themeColor="text1"/>
          <w:sz w:val="24"/>
          <w:szCs w:val="24"/>
          <w:highlight w:val="none"/>
          <w:lang w:val="zh-CN"/>
          <w14:textFill>
            <w14:solidFill>
              <w14:schemeClr w14:val="tx1"/>
            </w14:solidFill>
          </w14:textFill>
        </w:rPr>
        <w:t>纳的费用都应包括在投标人提交的投标报价中。</w:t>
      </w:r>
    </w:p>
    <w:p w14:paraId="412275E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1</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 w:val="24"/>
          <w:szCs w:val="24"/>
          <w:highlight w:val="none"/>
          <w14:textFill>
            <w14:solidFill>
              <w14:schemeClr w14:val="tx1"/>
            </w14:solidFill>
          </w14:textFill>
        </w:rPr>
        <w:t>.4 投标人在投标文件中注明免费的项目将视为包含在投标报价中。</w:t>
      </w:r>
    </w:p>
    <w:p w14:paraId="2BE15ED6">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t>14.5 每一</w:t>
      </w:r>
      <w:r>
        <w:rPr>
          <w:rFonts w:hint="eastAsia" w:ascii="仿宋" w:hAnsi="仿宋" w:eastAsia="仿宋" w:cs="仿宋"/>
          <w:snapToGrid w:val="0"/>
          <w:color w:val="000000" w:themeColor="text1"/>
          <w:sz w:val="24"/>
          <w:szCs w:val="24"/>
          <w:highlight w:val="none"/>
          <w14:textFill>
            <w14:solidFill>
              <w14:schemeClr w14:val="tx1"/>
            </w14:solidFill>
          </w14:textFill>
        </w:rPr>
        <w:t>种采购内容只允许有一个报价，否则其</w:t>
      </w:r>
      <w:r>
        <w:rPr>
          <w:rFonts w:hint="eastAsia" w:ascii="仿宋" w:hAnsi="仿宋" w:eastAsia="仿宋" w:cs="仿宋"/>
          <w:b/>
          <w:bCs/>
          <w:snapToGrid w:val="0"/>
          <w:color w:val="000000" w:themeColor="text1"/>
          <w:sz w:val="24"/>
          <w:szCs w:val="24"/>
          <w:highlight w:val="none"/>
          <w14:textFill>
            <w14:solidFill>
              <w14:schemeClr w14:val="tx1"/>
            </w14:solidFill>
          </w14:textFill>
        </w:rPr>
        <w:t>投标无效</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14:textFill>
            <w14:solidFill>
              <w14:schemeClr w14:val="tx1"/>
            </w14:solidFill>
          </w14:textFill>
        </w:rPr>
        <w:t>除非招标文件另有规定，不接受可选择或可调整的投标方案和报价，任何有选择的或可调整的投标方案和报价将被视为非</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实质性</w:t>
      </w:r>
      <w:r>
        <w:rPr>
          <w:rFonts w:hint="eastAsia" w:ascii="仿宋" w:hAnsi="仿宋" w:eastAsia="仿宋" w:cs="仿宋"/>
          <w:color w:val="000000" w:themeColor="text1"/>
          <w:kern w:val="2"/>
          <w:sz w:val="24"/>
          <w:szCs w:val="24"/>
          <w:highlight w:val="none"/>
          <w14:textFill>
            <w14:solidFill>
              <w14:schemeClr w14:val="tx1"/>
            </w14:solidFill>
          </w14:textFill>
        </w:rPr>
        <w:t>响应</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招标文件,其</w:t>
      </w:r>
      <w:r>
        <w:rPr>
          <w:rFonts w:hint="eastAsia" w:ascii="仿宋" w:hAnsi="仿宋" w:eastAsia="仿宋" w:cs="仿宋"/>
          <w:b/>
          <w:bCs/>
          <w:snapToGrid w:val="0"/>
          <w:color w:val="000000" w:themeColor="text1"/>
          <w:sz w:val="24"/>
          <w:szCs w:val="24"/>
          <w:highlight w:val="none"/>
          <w:lang w:eastAsia="zh-CN"/>
          <w14:textFill>
            <w14:solidFill>
              <w14:schemeClr w14:val="tx1"/>
            </w14:solidFill>
          </w14:textFill>
        </w:rPr>
        <w:t>投标无效</w:t>
      </w:r>
      <w:r>
        <w:rPr>
          <w:rFonts w:hint="eastAsia" w:ascii="仿宋" w:hAnsi="仿宋" w:eastAsia="仿宋" w:cs="仿宋"/>
          <w:color w:val="000000" w:themeColor="text1"/>
          <w:kern w:val="2"/>
          <w:sz w:val="24"/>
          <w:szCs w:val="24"/>
          <w:highlight w:val="none"/>
          <w14:textFill>
            <w14:solidFill>
              <w14:schemeClr w14:val="tx1"/>
            </w14:solidFill>
          </w14:textFill>
        </w:rPr>
        <w:t>。</w:t>
      </w:r>
    </w:p>
    <w:p w14:paraId="2664CEE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投标报价不得超过“</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”中规定的最高投标限价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或者预算金额</w:t>
      </w:r>
      <w:r>
        <w:rPr>
          <w:rFonts w:hint="eastAsia" w:ascii="仿宋" w:hAnsi="仿宋" w:eastAsia="仿宋" w:cs="仿宋"/>
          <w:color w:val="000000" w:themeColor="text1"/>
          <w:sz w:val="24"/>
          <w:szCs w:val="24"/>
          <w:highlight w:val="none"/>
          <w14:textFill>
            <w14:solidFill>
              <w14:schemeClr w14:val="tx1"/>
            </w14:solidFill>
          </w14:textFill>
        </w:rPr>
        <w:t>，否则评标委员会将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b w:val="0"/>
          <w:bCs w:val="0"/>
          <w:color w:val="000000" w:themeColor="text1"/>
          <w:sz w:val="24"/>
          <w:szCs w:val="24"/>
          <w:highlight w:val="none"/>
          <w14:textFill>
            <w14:solidFill>
              <w14:schemeClr w14:val="tx1"/>
            </w14:solidFill>
          </w14:textFill>
        </w:rPr>
        <w:t>其</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作</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w:t>
      </w:r>
      <w:r>
        <w:rPr>
          <w:rFonts w:hint="eastAsia" w:ascii="仿宋" w:hAnsi="仿宋" w:eastAsia="仿宋" w:cs="仿宋"/>
          <w:b/>
          <w:bCs/>
          <w:color w:val="000000" w:themeColor="text1"/>
          <w:sz w:val="24"/>
          <w:szCs w:val="24"/>
          <w:highlight w:val="none"/>
          <w14:textFill>
            <w14:solidFill>
              <w14:schemeClr w14:val="tx1"/>
            </w14:solidFill>
          </w14:textFill>
        </w:rPr>
        <w:t>投标</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处理</w:t>
      </w:r>
      <w:r>
        <w:rPr>
          <w:rFonts w:hint="eastAsia" w:ascii="仿宋" w:hAnsi="仿宋" w:eastAsia="仿宋" w:cs="仿宋"/>
          <w:color w:val="000000" w:themeColor="text1"/>
          <w:sz w:val="24"/>
          <w:szCs w:val="24"/>
          <w:highlight w:val="none"/>
          <w14:textFill>
            <w14:solidFill>
              <w14:schemeClr w14:val="tx1"/>
            </w14:solidFill>
          </w14:textFill>
        </w:rPr>
        <w:t>。</w:t>
      </w:r>
    </w:p>
    <w:p w14:paraId="3AC2084A">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7 </w:t>
      </w:r>
      <w:r>
        <w:rPr>
          <w:rFonts w:hint="eastAsia" w:ascii="仿宋" w:hAnsi="仿宋" w:eastAsia="仿宋" w:cs="仿宋"/>
          <w:color w:val="000000" w:themeColor="text1"/>
          <w:kern w:val="2"/>
          <w:sz w:val="24"/>
          <w:szCs w:val="24"/>
          <w:highlight w:val="none"/>
          <w14:textFill>
            <w14:solidFill>
              <w14:schemeClr w14:val="tx1"/>
            </w14:solidFill>
          </w14:textFill>
        </w:rPr>
        <w:t>投标人对投标报价若有说明应在投标文件中显著处注明。</w:t>
      </w:r>
    </w:p>
    <w:p w14:paraId="6871DA42">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除政策性文件规定以外，投标人所报价格在合同实施期间不因市场变化因素而变动。</w:t>
      </w:r>
    </w:p>
    <w:p w14:paraId="2924D906">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8 </w:t>
      </w:r>
      <w:r>
        <w:rPr>
          <w:rFonts w:hint="eastAsia" w:ascii="仿宋" w:hAnsi="仿宋" w:eastAsia="仿宋" w:cs="仿宋"/>
          <w:color w:val="000000" w:themeColor="text1"/>
          <w:kern w:val="2"/>
          <w:sz w:val="24"/>
          <w:szCs w:val="24"/>
          <w:highlight w:val="none"/>
          <w14:textFill>
            <w14:solidFill>
              <w14:schemeClr w14:val="tx1"/>
            </w14:solidFill>
          </w14:textFill>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C74DF81">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9 </w:t>
      </w:r>
      <w:r>
        <w:rPr>
          <w:rFonts w:hint="eastAsia" w:ascii="仿宋" w:hAnsi="仿宋" w:eastAsia="仿宋" w:cs="仿宋"/>
          <w:color w:val="000000" w:themeColor="text1"/>
          <w:kern w:val="2"/>
          <w:sz w:val="24"/>
          <w:szCs w:val="24"/>
          <w:highlight w:val="none"/>
          <w14:textFill>
            <w14:solidFill>
              <w14:schemeClr w14:val="tx1"/>
            </w14:solidFill>
          </w14:textFill>
        </w:rPr>
        <w:t>最低报价不能作为中标的保证。</w:t>
      </w:r>
    </w:p>
    <w:p w14:paraId="78F97DE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14.10</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采购人不得向投标人索要或者接受其给予的赠品、回扣或者与采购无关的其他商品、服务。</w:t>
      </w:r>
    </w:p>
    <w:p w14:paraId="53B7A6E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16" w:name="_Toc11990"/>
      <w:bookmarkStart w:id="117" w:name="_Toc4011"/>
      <w:bookmarkStart w:id="118" w:name="_Toc163492840"/>
      <w:bookmarkStart w:id="119" w:name="_Toc2907"/>
      <w:bookmarkStart w:id="120" w:name="_Toc140132773"/>
      <w:bookmarkStart w:id="121" w:name="_Toc1535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15.投标有效期</w:t>
      </w:r>
      <w:bookmarkEnd w:id="116"/>
      <w:bookmarkEnd w:id="117"/>
      <w:bookmarkEnd w:id="118"/>
      <w:bookmarkEnd w:id="119"/>
      <w:bookmarkEnd w:id="120"/>
      <w:bookmarkEnd w:id="121"/>
    </w:p>
    <w:p w14:paraId="436080C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lang w:val="en"/>
          <w14:textFill>
            <w14:solidFill>
              <w14:schemeClr w14:val="tx1"/>
            </w14:solidFill>
          </w14:textFill>
        </w:rPr>
        <w:t>投标有效期</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第二章 </w:t>
      </w:r>
      <w:r>
        <w:rPr>
          <w:rFonts w:hint="eastAsia" w:ascii="仿宋" w:hAnsi="仿宋" w:eastAsia="仿宋" w:cs="仿宋"/>
          <w:color w:val="000000" w:themeColor="text1"/>
          <w:sz w:val="24"/>
          <w:szCs w:val="24"/>
          <w:highlight w:val="none"/>
          <w14:textFill>
            <w14:solidFill>
              <w14:schemeClr w14:val="tx1"/>
            </w14:solidFill>
          </w14:textFill>
        </w:rPr>
        <w:t>投标人须知前附表”，投标人承诺的投标有效期</w:t>
      </w:r>
      <w:r>
        <w:rPr>
          <w:rFonts w:hint="eastAsia" w:ascii="仿宋" w:hAnsi="仿宋" w:eastAsia="仿宋" w:cs="仿宋"/>
          <w:snapToGrid w:val="0"/>
          <w:color w:val="000000" w:themeColor="text1"/>
          <w:sz w:val="24"/>
          <w:szCs w:val="24"/>
          <w:highlight w:val="none"/>
          <w:lang w:val="zh-CN" w:eastAsia="zh-CN"/>
          <w14:textFill>
            <w14:solidFill>
              <w14:schemeClr w14:val="tx1"/>
            </w14:solidFill>
          </w14:textFill>
        </w:rPr>
        <w:t>少于</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snapToGrid w:val="0"/>
          <w:color w:val="000000" w:themeColor="text1"/>
          <w:sz w:val="24"/>
          <w:szCs w:val="24"/>
          <w:highlight w:val="none"/>
          <w:lang w:val="zh-CN" w:eastAsia="zh-CN"/>
          <w14:textFill>
            <w14:solidFill>
              <w14:schemeClr w14:val="tx1"/>
            </w14:solidFill>
          </w14:textFill>
        </w:rPr>
        <w:t>文件规定期限的，其</w:t>
      </w:r>
      <w:r>
        <w:rPr>
          <w:rFonts w:hint="eastAsia" w:ascii="仿宋" w:hAnsi="仿宋" w:eastAsia="仿宋" w:cs="仿宋"/>
          <w:b/>
          <w:bCs/>
          <w:snapToGrid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bCs/>
          <w:snapToGrid w:val="0"/>
          <w:color w:val="000000" w:themeColor="text1"/>
          <w:sz w:val="24"/>
          <w:szCs w:val="24"/>
          <w:highlight w:val="none"/>
          <w:lang w:val="zh-CN" w:eastAsia="zh-CN"/>
          <w14:textFill>
            <w14:solidFill>
              <w14:schemeClr w14:val="tx1"/>
            </w14:solidFill>
          </w14:textFill>
        </w:rPr>
        <w:t>无效</w:t>
      </w:r>
      <w:r>
        <w:rPr>
          <w:rFonts w:hint="eastAsia" w:ascii="仿宋" w:hAnsi="仿宋" w:eastAsia="仿宋" w:cs="仿宋"/>
          <w:snapToGrid w:val="0"/>
          <w:color w:val="000000" w:themeColor="text1"/>
          <w:sz w:val="24"/>
          <w:szCs w:val="24"/>
          <w:highlight w:val="none"/>
          <w:lang w:val="zh-CN" w:eastAsia="zh-CN"/>
          <w14:textFill>
            <w14:solidFill>
              <w14:schemeClr w14:val="tx1"/>
            </w14:solidFill>
          </w14:textFill>
        </w:rPr>
        <w:t>。</w:t>
      </w:r>
    </w:p>
    <w:p w14:paraId="7F94905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D29C6E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DFB822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投标人同意延长的，</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其</w:t>
      </w:r>
      <w:r>
        <w:rPr>
          <w:rFonts w:hint="eastAsia" w:ascii="仿宋" w:hAnsi="仿宋" w:eastAsia="仿宋" w:cs="仿宋"/>
          <w:color w:val="000000" w:themeColor="text1"/>
          <w:kern w:val="2"/>
          <w:sz w:val="24"/>
          <w:szCs w:val="24"/>
          <w:highlight w:val="none"/>
          <w14:textFill>
            <w14:solidFill>
              <w14:schemeClr w14:val="tx1"/>
            </w14:solidFill>
          </w14:textFill>
        </w:rPr>
        <w:t>投标保证金的有效期也相应延长</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但</w:t>
      </w:r>
      <w:r>
        <w:rPr>
          <w:rFonts w:hint="eastAsia" w:ascii="仿宋" w:hAnsi="仿宋" w:eastAsia="仿宋" w:cs="仿宋"/>
          <w:color w:val="000000" w:themeColor="text1"/>
          <w:sz w:val="24"/>
          <w:szCs w:val="24"/>
          <w:highlight w:val="none"/>
          <w14:textFill>
            <w14:solidFill>
              <w14:schemeClr w14:val="tx1"/>
            </w14:solidFill>
          </w14:textFill>
        </w:rPr>
        <w:t>不得要求或被允许修改或撤销其投标文件；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拒绝延长的，其投标文件在原投标有效期满后将不再有效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但其提交的投标保证金可予以退还</w:t>
      </w:r>
      <w:r>
        <w:rPr>
          <w:rFonts w:hint="eastAsia" w:ascii="仿宋" w:hAnsi="仿宋" w:eastAsia="仿宋" w:cs="仿宋"/>
          <w:color w:val="000000" w:themeColor="text1"/>
          <w:sz w:val="24"/>
          <w:szCs w:val="24"/>
          <w:highlight w:val="none"/>
          <w14:textFill>
            <w14:solidFill>
              <w14:schemeClr w14:val="tx1"/>
            </w14:solidFill>
          </w14:textFill>
        </w:rPr>
        <w:t>。</w:t>
      </w:r>
    </w:p>
    <w:p w14:paraId="5AD909B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22" w:name="_Toc18088"/>
      <w:bookmarkStart w:id="123" w:name="_Toc25519"/>
      <w:bookmarkStart w:id="124" w:name="_Toc163492841"/>
      <w:bookmarkStart w:id="125" w:name="_Toc22098"/>
      <w:bookmarkStart w:id="126" w:name="_Toc140132774"/>
      <w:bookmarkStart w:id="127" w:name="_Toc1723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16.投标文件的编制</w:t>
      </w:r>
      <w:bookmarkEnd w:id="122"/>
      <w:bookmarkEnd w:id="123"/>
      <w:bookmarkEnd w:id="124"/>
      <w:bookmarkEnd w:id="125"/>
      <w:bookmarkEnd w:id="126"/>
      <w:bookmarkEnd w:id="127"/>
    </w:p>
    <w:p w14:paraId="5708EA2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.1投标文件应在供应商客户端中进行编制，在投标文件中要求加盖印章的，除有特殊说明之外，</w:t>
      </w:r>
      <w:r>
        <w:rPr>
          <w:rFonts w:hint="eastAsia" w:ascii="仿宋" w:hAnsi="仿宋" w:eastAsia="仿宋" w:cs="仿宋"/>
          <w:color w:val="000000" w:themeColor="text1"/>
          <w:sz w:val="24"/>
          <w:szCs w:val="24"/>
          <w:highlight w:val="none"/>
          <w:lang w:val="en-US" w:eastAsia="zh-CN"/>
          <w14:textFill>
            <w14:solidFill>
              <w14:schemeClr w14:val="tx1"/>
            </w14:solidFill>
          </w14:textFill>
        </w:rPr>
        <w:t>可</w:t>
      </w:r>
      <w:r>
        <w:rPr>
          <w:rFonts w:hint="eastAsia" w:ascii="仿宋" w:hAnsi="仿宋" w:eastAsia="仿宋" w:cs="仿宋"/>
          <w:color w:val="000000" w:themeColor="text1"/>
          <w:sz w:val="24"/>
          <w:szCs w:val="24"/>
          <w:highlight w:val="none"/>
          <w14:textFill>
            <w14:solidFill>
              <w14:schemeClr w14:val="tx1"/>
            </w14:solidFill>
          </w14:textFill>
        </w:rPr>
        <w:t>使用电子签章签署。</w:t>
      </w:r>
    </w:p>
    <w:p w14:paraId="506CE27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bookmarkStart w:id="128" w:name="_Hlk143528557"/>
      <w:r>
        <w:rPr>
          <w:rFonts w:hint="eastAsia" w:ascii="仿宋" w:hAnsi="仿宋" w:eastAsia="仿宋" w:cs="仿宋"/>
          <w:color w:val="000000" w:themeColor="text1"/>
          <w:sz w:val="24"/>
          <w:szCs w:val="24"/>
          <w:highlight w:val="none"/>
          <w14:textFill>
            <w14:solidFill>
              <w14:schemeClr w14:val="tx1"/>
            </w14:solidFill>
          </w14:textFill>
        </w:rPr>
        <w:t>2投标人在供应商客户端中按照供应商客户端中的格式要求填写响应内容后，生成投标文件。投标人须按照招标文件的要求使用电子签章对要求加盖印章的部分逐一进行签章。</w:t>
      </w:r>
      <w:bookmarkEnd w:id="128"/>
    </w:p>
    <w:p w14:paraId="44AFA57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000000" w:themeColor="text1"/>
          <w:sz w:val="24"/>
          <w:szCs w:val="24"/>
          <w:highlight w:val="none"/>
          <w14:textFill>
            <w14:solidFill>
              <w14:schemeClr w14:val="tx1"/>
            </w14:solidFill>
          </w14:textFill>
        </w:rPr>
        <w:t>导致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b/>
          <w:bCs/>
          <w:color w:val="000000" w:themeColor="text1"/>
          <w:sz w:val="24"/>
          <w:szCs w:val="24"/>
          <w:highlight w:val="none"/>
          <w14:textFill>
            <w14:solidFill>
              <w14:schemeClr w14:val="tx1"/>
            </w14:solidFill>
          </w14:textFill>
        </w:rPr>
        <w:t>投标</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w:t>
      </w:r>
      <w:r>
        <w:rPr>
          <w:rFonts w:hint="eastAsia" w:ascii="仿宋" w:hAnsi="仿宋" w:eastAsia="仿宋" w:cs="仿宋"/>
          <w:color w:val="000000" w:themeColor="text1"/>
          <w:sz w:val="24"/>
          <w:szCs w:val="24"/>
          <w:highlight w:val="none"/>
          <w14:textFill>
            <w14:solidFill>
              <w14:schemeClr w14:val="tx1"/>
            </w14:solidFill>
          </w14:textFill>
        </w:rPr>
        <w:t>。</w:t>
      </w:r>
    </w:p>
    <w:p w14:paraId="21458F3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投标文件须严格按照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本</w:t>
      </w:r>
      <w:r>
        <w:rPr>
          <w:rFonts w:hint="eastAsia" w:ascii="仿宋" w:hAnsi="仿宋" w:eastAsia="仿宋" w:cs="仿宋"/>
          <w:color w:val="000000" w:themeColor="text1"/>
          <w:sz w:val="24"/>
          <w:szCs w:val="24"/>
          <w:highlight w:val="none"/>
          <w14:textFill>
            <w14:solidFill>
              <w14:schemeClr w14:val="tx1"/>
            </w14:solidFill>
          </w14:textFill>
        </w:rPr>
        <w:t>招标文件第</w:t>
      </w:r>
      <w:r>
        <w:rPr>
          <w:rFonts w:hint="eastAsia" w:ascii="仿宋" w:hAnsi="仿宋" w:eastAsia="仿宋" w:cs="仿宋"/>
          <w:color w:val="000000" w:themeColor="text1"/>
          <w:sz w:val="24"/>
          <w:szCs w:val="24"/>
          <w:highlight w:val="none"/>
          <w:lang w:val="en-US" w:eastAsia="zh-CN"/>
          <w14:textFill>
            <w14:solidFill>
              <w14:schemeClr w14:val="tx1"/>
            </w14:solidFill>
          </w14:textFill>
        </w:rPr>
        <w:t>七章</w:t>
      </w:r>
      <w:r>
        <w:rPr>
          <w:rFonts w:hint="eastAsia" w:ascii="仿宋" w:hAnsi="仿宋" w:eastAsia="仿宋" w:cs="仿宋"/>
          <w:color w:val="000000" w:themeColor="text1"/>
          <w:sz w:val="24"/>
          <w:szCs w:val="24"/>
          <w:highlight w:val="none"/>
          <w14:textFill>
            <w14:solidFill>
              <w14:schemeClr w14:val="tx1"/>
            </w14:solidFill>
          </w14:textFill>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BDDF24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视为未响应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ED154C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开标一览表为在开标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时</w:t>
      </w:r>
      <w:r>
        <w:rPr>
          <w:rFonts w:hint="eastAsia" w:ascii="仿宋" w:hAnsi="仿宋" w:eastAsia="仿宋" w:cs="仿宋"/>
          <w:color w:val="000000" w:themeColor="text1"/>
          <w:sz w:val="24"/>
          <w:szCs w:val="24"/>
          <w:highlight w:val="none"/>
          <w14:textFill>
            <w14:solidFill>
              <w14:schemeClr w14:val="tx1"/>
            </w14:solidFill>
          </w14:textFill>
        </w:rPr>
        <w:t>唱标的内容，要求按格式统一填写，不得自行增减内容。</w:t>
      </w:r>
    </w:p>
    <w:p w14:paraId="433BA4B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000000" w:themeColor="text1"/>
          <w:sz w:val="24"/>
          <w:szCs w:val="24"/>
          <w:highlight w:val="none"/>
          <w:lang w:val="en-US" w:eastAsia="zh-CN"/>
          <w14:textFill>
            <w14:solidFill>
              <w14:schemeClr w14:val="tx1"/>
            </w14:solidFill>
          </w14:textFill>
        </w:rPr>
        <w:t>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color w:val="000000" w:themeColor="text1"/>
          <w:sz w:val="24"/>
          <w:szCs w:val="24"/>
          <w:highlight w:val="none"/>
          <w14:textFill>
            <w14:solidFill>
              <w14:schemeClr w14:val="tx1"/>
            </w14:solidFill>
          </w14:textFill>
        </w:rPr>
        <w:t>处理。</w:t>
      </w:r>
    </w:p>
    <w:p w14:paraId="539F398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投标人必须保证投标文件所提供的全部资料真实可靠，并接受采购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人、采购</w:t>
      </w:r>
      <w:r>
        <w:rPr>
          <w:rFonts w:hint="eastAsia" w:ascii="仿宋" w:hAnsi="仿宋" w:eastAsia="仿宋" w:cs="仿宋"/>
          <w:color w:val="000000" w:themeColor="text1"/>
          <w:sz w:val="24"/>
          <w:szCs w:val="24"/>
          <w:highlight w:val="none"/>
          <w14:textFill>
            <w14:solidFill>
              <w14:schemeClr w14:val="tx1"/>
            </w14:solidFill>
          </w14:textFill>
        </w:rPr>
        <w:t>代理机构或评标委员会对其中任何资料进一步审查的要求。</w:t>
      </w:r>
    </w:p>
    <w:p w14:paraId="793F935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000000" w:themeColor="text1"/>
          <w:sz w:val="24"/>
          <w:szCs w:val="24"/>
          <w:highlight w:val="none"/>
          <w14:textFill>
            <w14:solidFill>
              <w14:schemeClr w14:val="tx1"/>
            </w14:solidFill>
          </w14:textFill>
        </w:rPr>
        <w:t>无效投标</w:t>
      </w:r>
      <w:r>
        <w:rPr>
          <w:rFonts w:hint="eastAsia" w:ascii="仿宋" w:hAnsi="仿宋" w:eastAsia="仿宋" w:cs="仿宋"/>
          <w:color w:val="000000" w:themeColor="text1"/>
          <w:sz w:val="24"/>
          <w:szCs w:val="24"/>
          <w:highlight w:val="none"/>
          <w14:textFill>
            <w14:solidFill>
              <w14:schemeClr w14:val="tx1"/>
            </w14:solidFill>
          </w14:textFill>
        </w:rPr>
        <w:t>处理。</w:t>
      </w:r>
    </w:p>
    <w:p w14:paraId="00C25CB2">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16.10电子投标文件的编制</w:t>
      </w:r>
    </w:p>
    <w:p w14:paraId="2F99C41D">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16.10.1电子投标文件需按招标文件要求进行制作编制。投标文件制作时，不同内容按标签提示制作导入，按照招标文件中明确的投标文件目录和格式进行编制，保证目录清晰、内容完整；           </w:t>
      </w:r>
    </w:p>
    <w:p w14:paraId="63FFBCCF">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000000" w:themeColor="text1"/>
          <w:kern w:val="2"/>
          <w:sz w:val="24"/>
          <w:szCs w:val="24"/>
          <w:highlight w:val="none"/>
          <w:shd w:val="clear" w:color="auto" w:fill="FFFFFF" w:themeFill="background1"/>
          <w:lang w:val="en-US" w:eastAsia="zh-CN" w:bidi="ar-SA"/>
          <w14:textFill>
            <w14:solidFill>
              <w14:schemeClr w14:val="tx1"/>
            </w14:solidFill>
          </w14:textFill>
        </w:rPr>
        <w:t>其投标无效</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 </w:t>
      </w:r>
    </w:p>
    <w:p w14:paraId="32DF6B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29" w:name="_Toc17210"/>
      <w:bookmarkStart w:id="130" w:name="_Toc163492842"/>
      <w:bookmarkStart w:id="131" w:name="_Toc4470"/>
      <w:bookmarkStart w:id="132" w:name="_Toc155185873"/>
      <w:bookmarkStart w:id="133" w:name="_Toc3198"/>
      <w:bookmarkStart w:id="134" w:name="_Toc2923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（四）投标</w:t>
      </w:r>
      <w:bookmarkEnd w:id="129"/>
      <w:bookmarkEnd w:id="130"/>
      <w:bookmarkEnd w:id="131"/>
      <w:bookmarkEnd w:id="132"/>
      <w:bookmarkEnd w:id="133"/>
      <w:bookmarkEnd w:id="134"/>
    </w:p>
    <w:p w14:paraId="50B0C6C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35" w:name="_Toc28270"/>
      <w:bookmarkStart w:id="136" w:name="_Toc4876"/>
      <w:bookmarkStart w:id="137" w:name="_Toc18595"/>
      <w:bookmarkStart w:id="138" w:name="_Toc22324"/>
      <w:bookmarkStart w:id="139" w:name="_Toc16349284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17.投标保证金</w:t>
      </w:r>
      <w:bookmarkEnd w:id="135"/>
      <w:bookmarkEnd w:id="136"/>
      <w:bookmarkEnd w:id="137"/>
      <w:bookmarkEnd w:id="138"/>
    </w:p>
    <w:p w14:paraId="4C58AA62">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17.1投标人应按照招标文件“第二章 投标人须知前附表”规定的金额及要求提交投标保证金。投标人自愿超额缴纳投标保证金的，投标文件不做无效处理。</w:t>
      </w:r>
    </w:p>
    <w:p w14:paraId="2AFAE89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投标人未按照招标文件要求提交投标保证金的，其</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投标无效</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投标保证金有效期同投标有效期。</w:t>
      </w:r>
    </w:p>
    <w:p w14:paraId="05F07ABB">
      <w:pPr>
        <w:pStyle w:val="12"/>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000000" w:themeColor="text1"/>
          <w:kern w:val="2"/>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w:t>
      </w:r>
    </w:p>
    <w:p w14:paraId="76A81471">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17.4 投标人为联合体的，可以由联合体中的一方或者多方共同提交投标保证金，其提交的投标保证金对联合体各方均具有约束力。</w:t>
      </w:r>
    </w:p>
    <w:p w14:paraId="7F65935E">
      <w:pPr>
        <w:pStyle w:val="89"/>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3F5D7D3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17.6 投标人在投标截止时间前撤回已提交的投标文件的，自收到投标人书面撤回通知之日起 5 个工作日内，退还已收取的投标保证金，但因投标人自身原因导致无法及时退还的除外。 </w:t>
      </w:r>
    </w:p>
    <w:p w14:paraId="3BA29A19">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17.7 终止招标项目已经收取投标保证金的，自终止采购活动后 5 个工作日内退还已收取的投标保证金及其在银行产生的孳息。</w:t>
      </w:r>
    </w:p>
    <w:p w14:paraId="1C297F13">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17.8 有下列情形之一的，采购人或采购代理机构可以不予退还投标保证金,</w:t>
      </w:r>
      <w:r>
        <w:rPr>
          <w:rFonts w:hint="eastAsia" w:ascii="仿宋" w:hAnsi="仿宋" w:eastAsia="仿宋" w:cs="仿宋"/>
          <w:color w:val="000000" w:themeColor="text1"/>
          <w:kern w:val="2"/>
          <w:sz w:val="24"/>
          <w:szCs w:val="24"/>
          <w:highlight w:val="none"/>
          <w14:textFill>
            <w14:solidFill>
              <w14:schemeClr w14:val="tx1"/>
            </w14:solidFill>
          </w14:textFill>
        </w:rPr>
        <w:t>情节严重的将其列入不良记录名单</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 </w:t>
      </w:r>
    </w:p>
    <w:p w14:paraId="1B7F0808">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17.8.1 </w:t>
      </w:r>
      <w:r>
        <w:rPr>
          <w:rFonts w:hint="eastAsia" w:ascii="仿宋" w:hAnsi="仿宋" w:eastAsia="仿宋" w:cs="仿宋"/>
          <w:color w:val="000000" w:themeColor="text1"/>
          <w:kern w:val="2"/>
          <w:sz w:val="24"/>
          <w:szCs w:val="24"/>
          <w:highlight w:val="none"/>
          <w14:textFill>
            <w14:solidFill>
              <w14:schemeClr w14:val="tx1"/>
            </w14:solidFill>
          </w14:textFill>
        </w:rPr>
        <w:t>开标后在投标有效期内，投标人撤</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销</w:t>
      </w:r>
      <w:r>
        <w:rPr>
          <w:rFonts w:hint="eastAsia" w:ascii="仿宋" w:hAnsi="仿宋" w:eastAsia="仿宋" w:cs="仿宋"/>
          <w:color w:val="000000" w:themeColor="text1"/>
          <w:kern w:val="2"/>
          <w:sz w:val="24"/>
          <w:szCs w:val="24"/>
          <w:highlight w:val="none"/>
          <w14:textFill>
            <w14:solidFill>
              <w14:schemeClr w14:val="tx1"/>
            </w14:solidFill>
          </w14:textFill>
        </w:rPr>
        <w:t>其投标</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 </w:t>
      </w:r>
    </w:p>
    <w:p w14:paraId="1065C8BF">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17.8.2 </w:t>
      </w:r>
      <w:r>
        <w:rPr>
          <w:rFonts w:hint="eastAsia" w:ascii="仿宋" w:hAnsi="仿宋" w:eastAsia="仿宋" w:cs="仿宋"/>
          <w:color w:val="000000" w:themeColor="text1"/>
          <w:kern w:val="2"/>
          <w:sz w:val="24"/>
          <w:szCs w:val="24"/>
          <w:highlight w:val="none"/>
          <w14:textFill>
            <w14:solidFill>
              <w14:schemeClr w14:val="tx1"/>
            </w14:solidFill>
          </w14:textFill>
        </w:rPr>
        <w:t>中标后无正当理由不与采购人签订合同的；</w:t>
      </w:r>
    </w:p>
    <w:p w14:paraId="55D8F20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17.8.3 </w:t>
      </w:r>
      <w:r>
        <w:rPr>
          <w:rFonts w:hint="eastAsia" w:ascii="仿宋" w:hAnsi="仿宋" w:eastAsia="仿宋" w:cs="仿宋"/>
          <w:color w:val="000000" w:themeColor="text1"/>
          <w:kern w:val="2"/>
          <w:sz w:val="24"/>
          <w:szCs w:val="24"/>
          <w:highlight w:val="none"/>
          <w14:textFill>
            <w14:solidFill>
              <w14:schemeClr w14:val="tx1"/>
            </w14:solidFill>
          </w14:textFill>
        </w:rPr>
        <w:t>中标人与采购人订立背离合同实质性内容的其他协议；</w:t>
      </w:r>
    </w:p>
    <w:p w14:paraId="25BA1DDB">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17.8.</w:t>
      </w:r>
      <w:r>
        <w:rPr>
          <w:rFonts w:hint="eastAsia" w:ascii="仿宋" w:hAnsi="仿宋" w:eastAsia="仿宋" w:cs="仿宋"/>
          <w:color w:val="000000" w:themeColor="text1"/>
          <w:kern w:val="2"/>
          <w:sz w:val="24"/>
          <w:szCs w:val="24"/>
          <w:highlight w:val="none"/>
          <w14:textFill>
            <w14:solidFill>
              <w14:schemeClr w14:val="tx1"/>
            </w14:solidFill>
          </w14:textFill>
        </w:rPr>
        <w:t>4</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将中标项目转让给他人，或者在投标文件中未说明，且未经采购</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kern w:val="2"/>
          <w:sz w:val="24"/>
          <w:szCs w:val="24"/>
          <w:highlight w:val="none"/>
          <w14:textFill>
            <w14:solidFill>
              <w14:schemeClr w14:val="tx1"/>
            </w14:solidFill>
          </w14:textFill>
        </w:rPr>
        <w:t>同意，将中标项目分包给他人的；</w:t>
      </w:r>
    </w:p>
    <w:p w14:paraId="04461415">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17.8.</w:t>
      </w:r>
      <w:r>
        <w:rPr>
          <w:rFonts w:hint="eastAsia" w:ascii="仿宋" w:hAnsi="仿宋" w:eastAsia="仿宋" w:cs="仿宋"/>
          <w:color w:val="000000" w:themeColor="text1"/>
          <w:kern w:val="2"/>
          <w:sz w:val="24"/>
          <w:szCs w:val="24"/>
          <w:highlight w:val="none"/>
          <w14:textFill>
            <w14:solidFill>
              <w14:schemeClr w14:val="tx1"/>
            </w14:solidFill>
          </w14:textFill>
        </w:rPr>
        <w:t>5</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存在串通投标行为的；</w:t>
      </w:r>
    </w:p>
    <w:p w14:paraId="0EEAD8DD">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17.8.</w:t>
      </w:r>
      <w:r>
        <w:rPr>
          <w:rFonts w:hint="eastAsia" w:ascii="仿宋" w:hAnsi="仿宋" w:eastAsia="仿宋" w:cs="仿宋"/>
          <w:color w:val="000000" w:themeColor="text1"/>
          <w:kern w:val="2"/>
          <w:sz w:val="24"/>
          <w:szCs w:val="24"/>
          <w:highlight w:val="none"/>
          <w14:textFill>
            <w14:solidFill>
              <w14:schemeClr w14:val="tx1"/>
            </w14:solidFill>
          </w14:textFill>
        </w:rPr>
        <w:t>6</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存在弄虚作假或提供虚假材料谋取中标的；</w:t>
      </w:r>
    </w:p>
    <w:p w14:paraId="27A64E30">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17.8.</w:t>
      </w:r>
      <w:r>
        <w:rPr>
          <w:rFonts w:hint="eastAsia" w:ascii="仿宋" w:hAnsi="仿宋" w:eastAsia="仿宋" w:cs="仿宋"/>
          <w:color w:val="000000" w:themeColor="text1"/>
          <w:kern w:val="2"/>
          <w:sz w:val="24"/>
          <w:szCs w:val="24"/>
          <w:highlight w:val="none"/>
          <w14:textFill>
            <w14:solidFill>
              <w14:schemeClr w14:val="tx1"/>
            </w14:solidFill>
          </w14:textFill>
        </w:rPr>
        <w:t>7</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highlight w:val="none"/>
          <w14:textFill>
            <w14:solidFill>
              <w14:schemeClr w14:val="tx1"/>
            </w14:solidFill>
          </w14:textFill>
        </w:rPr>
        <w:t>投标人其他未按招标文件规定和合同约定履行义务的行为。</w:t>
      </w:r>
    </w:p>
    <w:p w14:paraId="4C3484A1">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17.9如开标时投标人对本单位投标保证金缴纳情况有疑义，投标人应在开标结束前向采购人提交书面申请核实保证金缴纳情况。由银行或保险公司核实后出具书面材料予以答复。</w:t>
      </w:r>
    </w:p>
    <w:p w14:paraId="754D7861">
      <w:pPr>
        <w:pStyle w:val="8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 xml:space="preserve">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维吾尔自治区政府采购网”—顶部通栏“信用融资”或者“新疆维吾尔自治区政府采购网”首页“政采贷｜电子保函”快捷模块查看。    </w:t>
      </w:r>
    </w:p>
    <w:p w14:paraId="5E1D9E9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40" w:name="_Toc16247"/>
      <w:bookmarkStart w:id="141" w:name="_Toc8188"/>
      <w:bookmarkStart w:id="142" w:name="_Toc28464"/>
      <w:bookmarkStart w:id="143" w:name="_Toc2660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18.投标文件的加密</w:t>
      </w:r>
      <w:bookmarkEnd w:id="139"/>
      <w:bookmarkEnd w:id="140"/>
      <w:bookmarkEnd w:id="141"/>
      <w:bookmarkEnd w:id="142"/>
      <w:bookmarkEnd w:id="143"/>
    </w:p>
    <w:p w14:paraId="51AACE4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bookmarkStart w:id="144" w:name="_Hlk143531864"/>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.1投标人在供应商客户端中生成投标文件并完成签章之后，使用CA证书在供应商客户端中对投标文件进行加密。</w:t>
      </w:r>
    </w:p>
    <w:p w14:paraId="5BE34FF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.2投标人应在供应商客户端中对加密的投标文件进行解密验证，以防止投标文件加密异常，在开标时无法解密。</w:t>
      </w:r>
    </w:p>
    <w:p w14:paraId="1CE8EB5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.3 投标人应保证加密投标文件的CA证书有效期在开标时间之前。若CA证书有效期临近开标时间，建议投标人提前办理CA证书续期，以免开标时无法进行解密。</w:t>
      </w:r>
    </w:p>
    <w:p w14:paraId="4FA8F12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递交截</w:t>
      </w:r>
      <w:r>
        <w:rPr>
          <w:rFonts w:hint="eastAsia" w:ascii="仿宋" w:hAnsi="仿宋" w:eastAsia="仿宋" w:cs="仿宋"/>
          <w:color w:val="000000" w:themeColor="text1"/>
          <w:sz w:val="24"/>
          <w:szCs w:val="24"/>
          <w:highlight w:val="none"/>
          <w:lang w:val="en-US" w:eastAsia="zh-CN"/>
          <w14:textFill>
            <w14:solidFill>
              <w14:schemeClr w14:val="tx1"/>
            </w14:solidFill>
          </w14:textFill>
        </w:rPr>
        <w:t>止</w:t>
      </w:r>
      <w:r>
        <w:rPr>
          <w:rFonts w:hint="eastAsia" w:ascii="仿宋" w:hAnsi="仿宋" w:eastAsia="仿宋" w:cs="仿宋"/>
          <w:color w:val="000000" w:themeColor="text1"/>
          <w:sz w:val="24"/>
          <w:szCs w:val="24"/>
          <w:highlight w:val="none"/>
          <w14:textFill>
            <w14:solidFill>
              <w14:schemeClr w14:val="tx1"/>
            </w14:solidFill>
          </w14:textFill>
        </w:rPr>
        <w:t>时间前通过</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政府采购网的”政采云登录入口”登录后，将加密电子</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上传到对应项目的指定位置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投标人认为有必要提交的其他资料请于投标截止时间前一并提交。</w:t>
      </w:r>
    </w:p>
    <w:p w14:paraId="7AD6A60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如果投标人未按上述要求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加密并上传</w:t>
      </w:r>
      <w:r>
        <w:rPr>
          <w:rFonts w:hint="eastAsia" w:ascii="仿宋" w:hAnsi="仿宋" w:eastAsia="仿宋" w:cs="仿宋"/>
          <w:color w:val="000000" w:themeColor="text1"/>
          <w:sz w:val="24"/>
          <w:szCs w:val="24"/>
          <w:highlight w:val="none"/>
          <w14:textFill>
            <w14:solidFill>
              <w14:schemeClr w14:val="tx1"/>
            </w14:solidFill>
          </w14:textFill>
        </w:rPr>
        <w:t>，采购代理机构对投标文件的误投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无法解密、传输错误等问题</w:t>
      </w:r>
      <w:r>
        <w:rPr>
          <w:rFonts w:hint="eastAsia" w:ascii="仿宋" w:hAnsi="仿宋" w:eastAsia="仿宋" w:cs="仿宋"/>
          <w:color w:val="000000" w:themeColor="text1"/>
          <w:sz w:val="24"/>
          <w:szCs w:val="24"/>
          <w:highlight w:val="none"/>
          <w14:textFill>
            <w14:solidFill>
              <w14:schemeClr w14:val="tx1"/>
            </w14:solidFill>
          </w14:textFill>
        </w:rPr>
        <w:t>概不负责。对由此造成</w:t>
      </w:r>
      <w:r>
        <w:rPr>
          <w:rFonts w:hint="eastAsia" w:ascii="仿宋" w:hAnsi="仿宋" w:eastAsia="仿宋" w:cs="仿宋"/>
          <w:color w:val="000000" w:themeColor="text1"/>
          <w:sz w:val="24"/>
          <w:szCs w:val="24"/>
          <w:highlight w:val="none"/>
          <w:lang w:val="en-US" w:eastAsia="zh-CN"/>
          <w14:textFill>
            <w14:solidFill>
              <w14:schemeClr w14:val="tx1"/>
            </w14:solidFill>
          </w14:textFill>
        </w:rPr>
        <w:t>无法正常开启</w:t>
      </w:r>
      <w:r>
        <w:rPr>
          <w:rFonts w:hint="eastAsia" w:ascii="仿宋" w:hAnsi="仿宋" w:eastAsia="仿宋" w:cs="仿宋"/>
          <w:color w:val="000000" w:themeColor="text1"/>
          <w:sz w:val="24"/>
          <w:szCs w:val="24"/>
          <w:highlight w:val="none"/>
          <w14:textFill>
            <w14:solidFill>
              <w14:schemeClr w14:val="tx1"/>
            </w14:solidFill>
          </w14:textFill>
        </w:rPr>
        <w:t>的投标文件，采购代理机构有权予以拒绝，并退回投标人。</w:t>
      </w:r>
    </w:p>
    <w:p w14:paraId="62FB6E0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本项目采用不见面开标，无需提供电子投标文件U盘。</w:t>
      </w:r>
    </w:p>
    <w:bookmarkEnd w:id="144"/>
    <w:p w14:paraId="6AE05E0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45" w:name="_Toc140132777"/>
      <w:bookmarkStart w:id="146" w:name="_Toc16258"/>
      <w:bookmarkStart w:id="147" w:name="_Toc163492844"/>
      <w:bookmarkStart w:id="148" w:name="_Toc32423"/>
      <w:bookmarkStart w:id="149" w:name="_Toc29763"/>
      <w:bookmarkStart w:id="150" w:name="_Toc2784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19.投标文件的递交</w:t>
      </w:r>
      <w:bookmarkEnd w:id="145"/>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（上传）</w:t>
      </w:r>
      <w:bookmarkEnd w:id="146"/>
      <w:bookmarkEnd w:id="147"/>
      <w:bookmarkEnd w:id="148"/>
      <w:bookmarkEnd w:id="149"/>
      <w:bookmarkEnd w:id="150"/>
    </w:p>
    <w:p w14:paraId="3F1B590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51" w:name="_Hlk143531977"/>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.1 投标人应在“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”规定的投标截止时间前递交（上传）投标文件。</w:t>
      </w:r>
    </w:p>
    <w:p w14:paraId="75AC3B1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.2 投标人递交（上传）投标文件的地点见“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w:t>
      </w:r>
    </w:p>
    <w:p w14:paraId="6549E1F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投标文件上传）中获取投标文件递交回执单。</w:t>
      </w:r>
    </w:p>
    <w:p w14:paraId="6BE47CB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.4 投标人应在供应商客户端中下载未加密且完成签章的投标文件妥善保存，以便启动应急开标程序时使用。</w:t>
      </w:r>
    </w:p>
    <w:p w14:paraId="70D03A5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.5投标人所递交的投标文件不予退还。</w:t>
      </w:r>
    </w:p>
    <w:bookmarkEnd w:id="151"/>
    <w:p w14:paraId="79684A3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52" w:name="_Toc30939"/>
      <w:bookmarkStart w:id="153" w:name="_Toc163492845"/>
      <w:bookmarkStart w:id="154" w:name="_Toc32306"/>
      <w:bookmarkStart w:id="155" w:name="_Toc4892"/>
      <w:bookmarkStart w:id="156" w:name="_Toc2907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20.拒收</w:t>
      </w:r>
      <w:bookmarkEnd w:id="152"/>
      <w:bookmarkEnd w:id="153"/>
      <w:bookmarkEnd w:id="154"/>
      <w:bookmarkEnd w:id="155"/>
      <w:bookmarkEnd w:id="156"/>
    </w:p>
    <w:p w14:paraId="7EC40AA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 超过投标文件提交截止时间</w:t>
      </w:r>
      <w:bookmarkStart w:id="157" w:name="_Hlk143532404"/>
      <w:r>
        <w:rPr>
          <w:rFonts w:hint="eastAsia" w:ascii="仿宋" w:hAnsi="仿宋" w:eastAsia="仿宋" w:cs="仿宋"/>
          <w:color w:val="000000" w:themeColor="text1"/>
          <w:sz w:val="24"/>
          <w:szCs w:val="24"/>
          <w:highlight w:val="none"/>
          <w14:textFill>
            <w14:solidFill>
              <w14:schemeClr w14:val="tx1"/>
            </w14:solidFill>
          </w14:textFill>
        </w:rPr>
        <w:t>或者不按照本章要求加密的投标文件，交易系统应当拒收</w:t>
      </w:r>
      <w:bookmarkEnd w:id="157"/>
      <w:r>
        <w:rPr>
          <w:rFonts w:hint="eastAsia" w:ascii="仿宋" w:hAnsi="仿宋" w:eastAsia="仿宋" w:cs="仿宋"/>
          <w:color w:val="000000" w:themeColor="text1"/>
          <w:sz w:val="24"/>
          <w:szCs w:val="24"/>
          <w:highlight w:val="none"/>
          <w14:textFill>
            <w14:solidFill>
              <w14:schemeClr w14:val="tx1"/>
            </w14:solidFill>
          </w14:textFill>
        </w:rPr>
        <w:t>。</w:t>
      </w:r>
    </w:p>
    <w:p w14:paraId="4CD79B6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58" w:name="_Toc163492846"/>
      <w:bookmarkStart w:id="159" w:name="_Toc4072"/>
      <w:bookmarkStart w:id="160" w:name="_Toc2528"/>
      <w:bookmarkStart w:id="161" w:name="_Toc29200"/>
      <w:bookmarkStart w:id="162" w:name="_Toc140132778"/>
      <w:bookmarkStart w:id="163" w:name="_Toc2676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21.投标文件的修改与撤回</w:t>
      </w:r>
      <w:bookmarkEnd w:id="158"/>
      <w:bookmarkEnd w:id="159"/>
      <w:bookmarkEnd w:id="160"/>
      <w:bookmarkEnd w:id="161"/>
      <w:bookmarkEnd w:id="162"/>
      <w:bookmarkEnd w:id="163"/>
    </w:p>
    <w:p w14:paraId="1ACA09F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w:t>
      </w:r>
      <w:bookmarkStart w:id="164" w:name="_Hlk143532466"/>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递交截止时间之前，可在</w:t>
      </w:r>
      <w:r>
        <w:rPr>
          <w:rFonts w:hint="eastAsia" w:ascii="仿宋" w:hAnsi="仿宋" w:eastAsia="仿宋" w:cs="仿宋"/>
          <w:color w:val="000000" w:themeColor="text1"/>
          <w:sz w:val="24"/>
          <w:szCs w:val="24"/>
          <w:highlight w:val="none"/>
          <w:lang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政府采购电子交易云平台上随时撤回已上传的电子</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，将修改好的电子</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递交截止时间前重新上传到</w:t>
      </w:r>
      <w:r>
        <w:rPr>
          <w:rFonts w:hint="eastAsia" w:ascii="仿宋" w:hAnsi="仿宋" w:eastAsia="仿宋" w:cs="仿宋"/>
          <w:color w:val="000000" w:themeColor="text1"/>
          <w:sz w:val="24"/>
          <w:szCs w:val="24"/>
          <w:highlight w:val="none"/>
          <w:lang w:eastAsia="zh-CN"/>
          <w14:textFill>
            <w14:solidFill>
              <w14:schemeClr w14:val="tx1"/>
            </w14:solidFill>
          </w14:textFill>
        </w:rPr>
        <w:t>新疆维吾尔自治区</w:t>
      </w:r>
      <w:r>
        <w:rPr>
          <w:rFonts w:hint="eastAsia" w:ascii="仿宋" w:hAnsi="仿宋" w:eastAsia="仿宋" w:cs="仿宋"/>
          <w:color w:val="000000" w:themeColor="text1"/>
          <w:sz w:val="24"/>
          <w:szCs w:val="24"/>
          <w:highlight w:val="none"/>
          <w14:textFill>
            <w14:solidFill>
              <w14:schemeClr w14:val="tx1"/>
            </w14:solidFill>
          </w14:textFill>
        </w:rPr>
        <w:t>政府采购电子交易云平台的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指</w:t>
      </w:r>
      <w:r>
        <w:rPr>
          <w:rFonts w:hint="eastAsia" w:ascii="仿宋" w:hAnsi="仿宋" w:eastAsia="仿宋" w:cs="仿宋"/>
          <w:color w:val="000000" w:themeColor="text1"/>
          <w:sz w:val="24"/>
          <w:szCs w:val="24"/>
          <w:highlight w:val="none"/>
          <w14:textFill>
            <w14:solidFill>
              <w14:schemeClr w14:val="tx1"/>
            </w14:solidFill>
          </w14:textFill>
        </w:rPr>
        <w:t>定位置。</w:t>
      </w:r>
    </w:p>
    <w:bookmarkEnd w:id="164"/>
    <w:p w14:paraId="3BD51E4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65" w:name="_Toc24996"/>
      <w:bookmarkStart w:id="166" w:name="_Toc163492847"/>
      <w:bookmarkStart w:id="167" w:name="_Toc9242"/>
      <w:bookmarkStart w:id="168" w:name="_Toc19338"/>
      <w:bookmarkStart w:id="169" w:name="_Toc6575"/>
      <w:bookmarkStart w:id="170" w:name="_Toc15518587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22.实物样品</w:t>
      </w:r>
      <w:bookmarkEnd w:id="165"/>
      <w:bookmarkEnd w:id="166"/>
      <w:bookmarkEnd w:id="167"/>
      <w:bookmarkEnd w:id="168"/>
      <w:bookmarkEnd w:id="169"/>
      <w:bookmarkEnd w:id="170"/>
    </w:p>
    <w:p w14:paraId="75DCEBA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.1“投标人须知前附表”要求提供样品的，样品的具体要求及评审详见“第三章 采购需求”和“第五章 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14:paraId="73FFF92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.2样品退还：未中标的投标人应</w:t>
      </w:r>
      <w:r>
        <w:rPr>
          <w:rFonts w:hint="eastAsia" w:ascii="仿宋" w:hAnsi="仿宋" w:eastAsia="仿宋" w:cs="仿宋"/>
          <w:color w:val="000000" w:themeColor="text1"/>
          <w:sz w:val="24"/>
          <w:szCs w:val="24"/>
          <w:highlight w:val="none"/>
          <w:lang w:val="en-US" w:eastAsia="zh-CN"/>
          <w14:textFill>
            <w14:solidFill>
              <w14:schemeClr w14:val="tx1"/>
            </w14:solidFill>
          </w14:textFill>
        </w:rPr>
        <w:t>按照</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自行联系采购人取回投标样品；中标人的样品由采购人进行保管、封存，并作为履约验收的参考（招标文件另有规定的从其规定）。</w:t>
      </w:r>
    </w:p>
    <w:p w14:paraId="04B030A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71" w:name="_Toc29711"/>
      <w:bookmarkStart w:id="172" w:name="_Toc31127"/>
      <w:bookmarkStart w:id="173" w:name="_Toc28857"/>
      <w:bookmarkStart w:id="174" w:name="_Toc163492848"/>
      <w:bookmarkStart w:id="175" w:name="_Toc155185875"/>
      <w:bookmarkStart w:id="176" w:name="_Toc25755"/>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23.演示</w:t>
      </w:r>
      <w:bookmarkEnd w:id="171"/>
      <w:bookmarkEnd w:id="172"/>
      <w:bookmarkEnd w:id="173"/>
      <w:bookmarkEnd w:id="174"/>
      <w:bookmarkEnd w:id="175"/>
      <w:bookmarkEnd w:id="176"/>
    </w:p>
    <w:p w14:paraId="2E2680D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.1要求投标人进行演示的，演示要求详见“投标人须知前附表”。</w:t>
      </w:r>
    </w:p>
    <w:p w14:paraId="6E38812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.2演示的评审详见“第三章 采购需求”和“第五章 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14:paraId="7FE7EBEC">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77" w:name="_Toc21792"/>
      <w:bookmarkStart w:id="178" w:name="_Toc6826"/>
      <w:bookmarkStart w:id="179" w:name="_Toc163492849"/>
      <w:bookmarkStart w:id="180" w:name="_Toc155185876"/>
      <w:bookmarkStart w:id="181" w:name="_Toc25557"/>
      <w:bookmarkStart w:id="182" w:name="_Toc140132779"/>
      <w:bookmarkStart w:id="183" w:name="_Toc709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（五）开标</w:t>
      </w:r>
      <w:bookmarkEnd w:id="177"/>
      <w:bookmarkEnd w:id="178"/>
      <w:bookmarkEnd w:id="179"/>
      <w:bookmarkEnd w:id="180"/>
      <w:bookmarkEnd w:id="181"/>
      <w:bookmarkEnd w:id="182"/>
      <w:bookmarkEnd w:id="183"/>
    </w:p>
    <w:p w14:paraId="3BF5CF1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84" w:name="_Toc140132780"/>
      <w:bookmarkStart w:id="185" w:name="_Toc16939"/>
      <w:bookmarkStart w:id="186" w:name="_Toc25197"/>
      <w:bookmarkStart w:id="187" w:name="_Toc29962"/>
      <w:bookmarkStart w:id="188" w:name="_Toc163492850"/>
      <w:bookmarkStart w:id="189" w:name="_Toc3198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24.开标会议</w:t>
      </w:r>
      <w:bookmarkEnd w:id="184"/>
      <w:bookmarkEnd w:id="185"/>
      <w:bookmarkEnd w:id="186"/>
      <w:bookmarkEnd w:id="187"/>
      <w:bookmarkEnd w:id="188"/>
      <w:bookmarkEnd w:id="189"/>
    </w:p>
    <w:p w14:paraId="4C7B9380">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90" w:name="_Toc140132781"/>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开标会按“</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”规定的开标时间和地点准时举行，采购人、采购代理机构邀请所有投标人准时参加开标会。投标人应按照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的要求参与</w:t>
      </w:r>
      <w:r>
        <w:rPr>
          <w:rFonts w:hint="eastAsia" w:ascii="仿宋" w:hAnsi="仿宋" w:eastAsia="仿宋" w:cs="仿宋"/>
          <w:color w:val="000000" w:themeColor="text1"/>
          <w:sz w:val="24"/>
          <w:szCs w:val="24"/>
          <w:highlight w:val="none"/>
          <w:lang w:val="en-US" w:eastAsia="zh-CN"/>
          <w14:textFill>
            <w14:solidFill>
              <w14:schemeClr w14:val="tx1"/>
            </w14:solidFill>
          </w14:textFill>
        </w:rPr>
        <w:t>不见面开标</w:t>
      </w:r>
      <w:r>
        <w:rPr>
          <w:rFonts w:hint="eastAsia" w:ascii="仿宋" w:hAnsi="仿宋" w:eastAsia="仿宋" w:cs="仿宋"/>
          <w:color w:val="000000" w:themeColor="text1"/>
          <w:sz w:val="24"/>
          <w:szCs w:val="24"/>
          <w:highlight w:val="none"/>
          <w14:textFill>
            <w14:solidFill>
              <w14:schemeClr w14:val="tx1"/>
            </w14:solidFill>
          </w14:textFill>
        </w:rPr>
        <w:t>。</w:t>
      </w:r>
    </w:p>
    <w:p w14:paraId="13F1079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xml:space="preserve"> </w:t>
      </w:r>
      <w:bookmarkEnd w:id="190"/>
      <w:r>
        <w:rPr>
          <w:rFonts w:hint="eastAsia" w:ascii="仿宋" w:hAnsi="仿宋" w:eastAsia="仿宋" w:cs="仿宋"/>
          <w:color w:val="000000" w:themeColor="text1"/>
          <w:kern w:val="2"/>
          <w:sz w:val="24"/>
          <w:szCs w:val="24"/>
          <w:highlight w:val="none"/>
          <w14:textFill>
            <w14:solidFill>
              <w14:schemeClr w14:val="tx1"/>
            </w14:solidFill>
          </w14:textFill>
        </w:rPr>
        <w:t>采购代理机构按照招标文件规定的时间、地点主持开标。采购人在规定的</w:t>
      </w:r>
      <w:r>
        <w:rPr>
          <w:rFonts w:hint="eastAsia" w:ascii="仿宋" w:hAnsi="仿宋" w:eastAsia="仿宋" w:cs="仿宋"/>
          <w:color w:val="000000" w:themeColor="text1"/>
          <w:kern w:val="2"/>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kern w:val="2"/>
          <w:sz w:val="24"/>
          <w:szCs w:val="24"/>
          <w:highlight w:val="none"/>
          <w14:textFill>
            <w14:solidFill>
              <w14:schemeClr w14:val="tx1"/>
            </w14:solidFill>
          </w14:textFill>
        </w:rPr>
        <w:t>递交截止时间（开标时间）和地点进行不见面远程开标。</w:t>
      </w:r>
      <w:r>
        <w:rPr>
          <w:rFonts w:hint="eastAsia" w:ascii="仿宋" w:hAnsi="仿宋" w:eastAsia="仿宋" w:cs="仿宋"/>
          <w:color w:val="000000" w:themeColor="text1"/>
          <w:kern w:val="2"/>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14:textFill>
            <w14:solidFill>
              <w14:schemeClr w14:val="tx1"/>
            </w14:solidFill>
          </w14:textFill>
        </w:rPr>
        <w:t>的法定代表人或其委托代理人无需到达开标现场，仅需在任意地点通过</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新疆维吾尔自治区政府采购电子交易云平台（网址：https://www.zcygov.cn/）</w:t>
      </w:r>
      <w:r>
        <w:rPr>
          <w:rFonts w:hint="eastAsia" w:ascii="仿宋" w:hAnsi="仿宋" w:eastAsia="仿宋" w:cs="仿宋"/>
          <w:color w:val="000000" w:themeColor="text1"/>
          <w:kern w:val="2"/>
          <w:sz w:val="24"/>
          <w:szCs w:val="24"/>
          <w:highlight w:val="none"/>
          <w14:textFill>
            <w14:solidFill>
              <w14:schemeClr w14:val="tx1"/>
            </w14:solidFill>
          </w14:textFill>
        </w:rPr>
        <w:t>的</w:t>
      </w:r>
      <w:r>
        <w:rPr>
          <w:rFonts w:hint="eastAsia" w:ascii="仿宋" w:hAnsi="仿宋" w:eastAsia="仿宋" w:cs="仿宋"/>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14:textFill>
            <w14:solidFill>
              <w14:schemeClr w14:val="tx1"/>
            </w14:solidFill>
          </w14:textFill>
        </w:rPr>
        <w:t>政采云登录入口”登录后，进入“政采云远程开标大厅”参加开标会议，并使用CA密钥完成远程解密、提疑澄清、开标唱标、结果公布等交互环节。</w:t>
      </w:r>
    </w:p>
    <w:p w14:paraId="7764D58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80DD13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91" w:name="_Toc140132783"/>
      <w:bookmarkStart w:id="192" w:name="_Toc20710"/>
      <w:bookmarkStart w:id="193" w:name="_Toc17474"/>
      <w:bookmarkStart w:id="194" w:name="_Toc12764"/>
      <w:bookmarkStart w:id="195" w:name="_Toc163492852"/>
      <w:bookmarkStart w:id="196" w:name="_Toc3082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25.开标程序</w:t>
      </w:r>
      <w:bookmarkEnd w:id="191"/>
      <w:bookmarkEnd w:id="192"/>
      <w:bookmarkEnd w:id="193"/>
      <w:bookmarkEnd w:id="194"/>
      <w:bookmarkEnd w:id="195"/>
      <w:bookmarkEnd w:id="196"/>
    </w:p>
    <w:p w14:paraId="359EDEE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.1 投标人不足3家的，不得开标。</w:t>
      </w:r>
    </w:p>
    <w:p w14:paraId="3B4831E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.2 评标委员会成员不得参加开标活动。</w:t>
      </w:r>
    </w:p>
    <w:p w14:paraId="5AA8E4C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.3主持人按下列程序进行开标：</w:t>
      </w:r>
    </w:p>
    <w:p w14:paraId="45040421">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（1）宣布开标会纪律；</w:t>
      </w:r>
    </w:p>
    <w:p w14:paraId="4DBA1DA9">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（2）介绍参加开标会的单位和人员；</w:t>
      </w:r>
    </w:p>
    <w:p w14:paraId="76120766">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（3）发起投标文件解密。投标人应在“投标人须知前附表”规定的时间内使用加密投标文件的CA证书在系统中完成投标文件的解密；</w:t>
      </w:r>
    </w:p>
    <w:p w14:paraId="408CCB4E">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（4）解密完成后，系统自动显示投标人名称、投标价格和招标文件规定的需要宣布的其他内容；</w:t>
      </w:r>
    </w:p>
    <w:p w14:paraId="7D6047D7">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（5）系统自动生成开标记录表，</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应在线对开标记录进行签署确认</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3FDE4BC">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（6）开标会结束。</w:t>
      </w:r>
      <w:bookmarkStart w:id="197" w:name="_Toc140132784"/>
      <w:bookmarkStart w:id="198" w:name="_Toc163492853"/>
    </w:p>
    <w:p w14:paraId="335C745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99" w:name="_Toc20123"/>
      <w:bookmarkStart w:id="200" w:name="_Toc10387"/>
      <w:bookmarkStart w:id="201" w:name="_Toc15283"/>
      <w:bookmarkStart w:id="202" w:name="_Toc1942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26.开标疑义及回避情形</w:t>
      </w:r>
      <w:bookmarkEnd w:id="197"/>
      <w:bookmarkEnd w:id="198"/>
      <w:bookmarkEnd w:id="199"/>
      <w:bookmarkEnd w:id="200"/>
      <w:bookmarkEnd w:id="201"/>
      <w:bookmarkEnd w:id="202"/>
    </w:p>
    <w:p w14:paraId="0D4BD9C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4C4B5A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.2投标人未参加开标的，视同认可开标结果。</w:t>
      </w:r>
    </w:p>
    <w:p w14:paraId="4A90DCF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03" w:name="_Toc11421"/>
      <w:bookmarkStart w:id="204" w:name="_Toc140132785"/>
      <w:bookmarkStart w:id="205" w:name="_Toc163492854"/>
      <w:bookmarkStart w:id="206" w:name="_Toc20084"/>
      <w:bookmarkStart w:id="207" w:name="_Toc2893"/>
      <w:bookmarkStart w:id="208" w:name="_Toc155185877"/>
      <w:bookmarkStart w:id="209" w:name="_Toc1951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（六）资格审查</w:t>
      </w:r>
      <w:bookmarkEnd w:id="203"/>
      <w:bookmarkEnd w:id="204"/>
      <w:bookmarkEnd w:id="205"/>
      <w:bookmarkEnd w:id="206"/>
      <w:bookmarkEnd w:id="207"/>
      <w:bookmarkEnd w:id="208"/>
      <w:bookmarkEnd w:id="209"/>
    </w:p>
    <w:p w14:paraId="4D742E8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10" w:name="_Toc13821"/>
      <w:bookmarkStart w:id="211" w:name="_Toc163492855"/>
      <w:bookmarkStart w:id="212" w:name="_Toc1466"/>
      <w:bookmarkStart w:id="213" w:name="_Toc162"/>
      <w:bookmarkStart w:id="214" w:name="_Toc996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27.资格审查及审查主体</w:t>
      </w:r>
      <w:bookmarkEnd w:id="210"/>
      <w:bookmarkEnd w:id="211"/>
      <w:bookmarkEnd w:id="212"/>
      <w:bookmarkEnd w:id="213"/>
      <w:bookmarkEnd w:id="214"/>
    </w:p>
    <w:p w14:paraId="6A97E76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15" w:name="_Toc140132786"/>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bookmarkEnd w:id="215"/>
      <w:r>
        <w:rPr>
          <w:rFonts w:hint="eastAsia" w:ascii="仿宋" w:hAnsi="仿宋" w:eastAsia="仿宋" w:cs="仿宋"/>
          <w:color w:val="000000" w:themeColor="text1"/>
          <w:sz w:val="24"/>
          <w:szCs w:val="24"/>
          <w:highlight w:val="none"/>
          <w14:textFill>
            <w14:solidFill>
              <w14:schemeClr w14:val="tx1"/>
            </w14:solidFill>
          </w14:textFill>
        </w:rPr>
        <w:t>开标结束后，采购人或者采购代理机构应当依法对投标人的资格进行审查。</w:t>
      </w:r>
    </w:p>
    <w:p w14:paraId="10B47C7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16" w:name="_Toc140132787"/>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.2资格审查按“第四章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资格审查”的规定进行。</w:t>
      </w:r>
      <w:bookmarkEnd w:id="216"/>
    </w:p>
    <w:p w14:paraId="4B5FC1B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17" w:name="_Toc140132788"/>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.3资格审查结束后，应及时对资格审查结果进行复核，对资格审查错误进行及时纠正并记录。</w:t>
      </w:r>
      <w:bookmarkEnd w:id="217"/>
    </w:p>
    <w:p w14:paraId="5FB7A17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27.4</w:t>
      </w:r>
      <w:r>
        <w:rPr>
          <w:rFonts w:hint="eastAsia" w:ascii="仿宋" w:hAnsi="仿宋" w:eastAsia="仿宋" w:cs="仿宋"/>
          <w:color w:val="000000" w:themeColor="text1"/>
          <w:sz w:val="24"/>
          <w:szCs w:val="24"/>
          <w:highlight w:val="none"/>
          <w14:textFill>
            <w14:solidFill>
              <w14:schemeClr w14:val="tx1"/>
            </w14:solidFill>
          </w14:textFill>
        </w:rPr>
        <w:t>资格审查合格投标人不足3家的，不得评标。</w:t>
      </w:r>
    </w:p>
    <w:p w14:paraId="325CE34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18" w:name="_Toc31247"/>
      <w:bookmarkStart w:id="219" w:name="_Toc163492856"/>
      <w:bookmarkStart w:id="220" w:name="_Toc30290"/>
      <w:bookmarkStart w:id="221" w:name="_Toc140132789"/>
      <w:bookmarkStart w:id="222" w:name="_Toc8249"/>
      <w:bookmarkStart w:id="223" w:name="_Toc155185878"/>
      <w:bookmarkStart w:id="224" w:name="_Toc1419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（七）评标</w:t>
      </w:r>
      <w:bookmarkEnd w:id="218"/>
      <w:bookmarkEnd w:id="219"/>
      <w:bookmarkEnd w:id="220"/>
      <w:bookmarkEnd w:id="221"/>
      <w:bookmarkEnd w:id="222"/>
      <w:bookmarkEnd w:id="223"/>
      <w:bookmarkEnd w:id="224"/>
    </w:p>
    <w:p w14:paraId="1482710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25" w:name="_Toc16858"/>
      <w:bookmarkStart w:id="226" w:name="_Toc163492857"/>
      <w:bookmarkStart w:id="227" w:name="_Toc32434"/>
      <w:bookmarkStart w:id="228" w:name="_Toc4659"/>
      <w:bookmarkStart w:id="229" w:name="_Toc140132790"/>
      <w:bookmarkStart w:id="230" w:name="_Toc2046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28.评标委员会</w:t>
      </w:r>
      <w:bookmarkEnd w:id="225"/>
      <w:bookmarkEnd w:id="226"/>
      <w:bookmarkEnd w:id="227"/>
      <w:bookmarkEnd w:id="228"/>
      <w:bookmarkEnd w:id="229"/>
      <w:bookmarkEnd w:id="230"/>
    </w:p>
    <w:p w14:paraId="12EA4CF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 评标由采购人依法组建的评标委员会负责。评标委员会由采购人代表和评审专家组成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成员人数应当为5</w:t>
      </w:r>
      <w:r>
        <w:rPr>
          <w:rFonts w:hint="eastAsia" w:ascii="仿宋" w:hAnsi="仿宋" w:eastAsia="仿宋" w:cs="仿宋"/>
          <w:color w:val="000000" w:themeColor="text1"/>
          <w:sz w:val="24"/>
          <w:szCs w:val="24"/>
          <w:highlight w:val="none"/>
          <w14:textFill>
            <w14:solidFill>
              <w14:schemeClr w14:val="tx1"/>
            </w14:solidFill>
          </w14:textFill>
        </w:rPr>
        <w:t>人以上单数，其中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专家不</w:t>
      </w:r>
      <w:r>
        <w:rPr>
          <w:rFonts w:hint="eastAsia" w:ascii="仿宋" w:hAnsi="仿宋" w:eastAsia="仿宋" w:cs="仿宋"/>
          <w:color w:val="000000" w:themeColor="text1"/>
          <w:sz w:val="24"/>
          <w:szCs w:val="24"/>
          <w:highlight w:val="none"/>
          <w:lang w:val="en-US" w:eastAsia="zh-CN"/>
          <w14:textFill>
            <w14:solidFill>
              <w14:schemeClr w14:val="tx1"/>
            </w14:solidFill>
          </w14:textFill>
        </w:rPr>
        <w:t>得</w:t>
      </w:r>
      <w:r>
        <w:rPr>
          <w:rFonts w:hint="eastAsia" w:ascii="仿宋" w:hAnsi="仿宋" w:eastAsia="仿宋" w:cs="仿宋"/>
          <w:color w:val="000000" w:themeColor="text1"/>
          <w:sz w:val="24"/>
          <w:szCs w:val="24"/>
          <w:highlight w:val="none"/>
          <w14:textFill>
            <w14:solidFill>
              <w14:schemeClr w14:val="tx1"/>
            </w14:solidFill>
          </w14:textFill>
        </w:rPr>
        <w:t>少于</w:t>
      </w:r>
      <w:r>
        <w:rPr>
          <w:rFonts w:hint="eastAsia" w:ascii="仿宋" w:hAnsi="仿宋" w:eastAsia="仿宋" w:cs="仿宋"/>
          <w:color w:val="000000" w:themeColor="text1"/>
          <w:sz w:val="24"/>
          <w:szCs w:val="24"/>
          <w:highlight w:val="none"/>
          <w:lang w:val="en-US" w:eastAsia="zh-CN"/>
          <w14:textFill>
            <w14:solidFill>
              <w14:schemeClr w14:val="tx1"/>
            </w14:solidFill>
          </w14:textFill>
        </w:rPr>
        <w:t>成员总数的</w:t>
      </w:r>
      <w:r>
        <w:rPr>
          <w:rFonts w:hint="eastAsia" w:ascii="仿宋" w:hAnsi="仿宋" w:eastAsia="仿宋" w:cs="仿宋"/>
          <w:color w:val="000000" w:themeColor="text1"/>
          <w:sz w:val="24"/>
          <w:szCs w:val="24"/>
          <w:highlight w:val="none"/>
          <w14:textFill>
            <w14:solidFill>
              <w14:schemeClr w14:val="tx1"/>
            </w14:solidFill>
          </w14:textFill>
        </w:rPr>
        <w:t>三分之二。</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采购人或者采购代理机构应当从省级以上财政部门设立的政府采购评审专家库中，通过随机方式抽取评审专家。</w:t>
      </w:r>
    </w:p>
    <w:p w14:paraId="1D77971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28.2 采购项目符合下列情形之一的，评标委员会成员人数应当为7人以上单数：</w:t>
      </w:r>
    </w:p>
    <w:p w14:paraId="12836E1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（1）采购预算金额在1000万元以上；</w:t>
      </w:r>
    </w:p>
    <w:p w14:paraId="1FB90E2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（2）技术复杂；</w:t>
      </w:r>
    </w:p>
    <w:p w14:paraId="24B0352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（3）社会影响较大。</w:t>
      </w:r>
    </w:p>
    <w:p w14:paraId="7666B70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45A7FAC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28.4评标委员会成员名单在评标结果公告前应当保密。</w:t>
      </w:r>
    </w:p>
    <w:p w14:paraId="0807C74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E7B704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28.6无法及时补足评标委员会成员的，采购人或者采购代理机构应当停止评标活动，封存所有投标文件和开标、评标资料，依法重新组建评标委员会进行评标。原评标委员会所作出的评标意见无效。</w:t>
      </w:r>
    </w:p>
    <w:p w14:paraId="548F3A9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评标委员会成员有下列情形之一的，应当回避：</w:t>
      </w:r>
    </w:p>
    <w:p w14:paraId="7B8D7A2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（1）参加采购活动前3年内与投标人存在劳动关系；</w:t>
      </w:r>
    </w:p>
    <w:p w14:paraId="6DBF55A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（2）参加采购活动前3年内担任投标人的董事、监事；</w:t>
      </w:r>
    </w:p>
    <w:p w14:paraId="020E6DE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（3）参加采购活动前3年内是投标人的控股股东或实际控制人；</w:t>
      </w:r>
    </w:p>
    <w:p w14:paraId="5BD398E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（4）与投标人的法定代表人或者负责人有夫妻、直系血亲、三代以内旁系血亲或者近姻亲关系；</w:t>
      </w:r>
    </w:p>
    <w:p w14:paraId="6B750DA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（5）与投标人有其他可能影响采购活动公平、公正进行的关系。</w:t>
      </w:r>
    </w:p>
    <w:p w14:paraId="1A5C6F1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31" w:name="_Toc140132791"/>
      <w:bookmarkStart w:id="232" w:name="_Toc163492858"/>
      <w:bookmarkStart w:id="233" w:name="_Toc3667"/>
      <w:bookmarkStart w:id="234" w:name="_Toc15103"/>
      <w:bookmarkStart w:id="235" w:name="_Toc26969"/>
      <w:bookmarkStart w:id="236" w:name="_Toc2372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29.评标</w:t>
      </w:r>
      <w:bookmarkEnd w:id="231"/>
      <w:bookmarkEnd w:id="232"/>
      <w:bookmarkEnd w:id="233"/>
      <w:bookmarkEnd w:id="234"/>
      <w:bookmarkEnd w:id="235"/>
      <w:bookmarkEnd w:id="236"/>
    </w:p>
    <w:p w14:paraId="5E9D569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评标方法分为综合评分法和</w:t>
      </w:r>
      <w:r>
        <w:rPr>
          <w:rFonts w:hint="eastAsia" w:ascii="仿宋" w:hAnsi="仿宋" w:eastAsia="仿宋" w:cs="仿宋"/>
          <w:color w:val="000000" w:themeColor="text1"/>
          <w:sz w:val="24"/>
          <w:szCs w:val="24"/>
          <w:highlight w:val="none"/>
          <w14:textFill>
            <w14:solidFill>
              <w14:schemeClr w14:val="tx1"/>
            </w14:solidFill>
          </w14:textFill>
        </w:rPr>
        <w:t>最低评标价法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方法详见</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B0B8695">
      <w:pPr>
        <w:pStyle w:val="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9.1.1</w:t>
      </w:r>
      <w:r>
        <w:rPr>
          <w:rFonts w:hint="eastAsia" w:ascii="仿宋" w:hAnsi="仿宋" w:eastAsia="仿宋" w:cs="仿宋"/>
          <w:color w:val="000000" w:themeColor="text1"/>
          <w:sz w:val="24"/>
          <w:szCs w:val="24"/>
          <w:highlight w:val="none"/>
          <w14:textFill>
            <w14:solidFill>
              <w14:schemeClr w14:val="tx1"/>
            </w14:solidFill>
          </w14:textFill>
        </w:rPr>
        <w:t>综合评分法，是指投标文件满足招标文件全部实质性要求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且按照评审因素的量化指标评审得分最高的投标人为中标候选人的评标方法。</w:t>
      </w:r>
    </w:p>
    <w:p w14:paraId="4B4194F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29.1.2.</w:t>
      </w:r>
      <w:r>
        <w:rPr>
          <w:rFonts w:hint="eastAsia" w:ascii="仿宋" w:hAnsi="仿宋" w:eastAsia="仿宋" w:cs="仿宋"/>
          <w:color w:val="000000" w:themeColor="text1"/>
          <w:sz w:val="24"/>
          <w:szCs w:val="24"/>
          <w:highlight w:val="none"/>
          <w14:textFill>
            <w14:solidFill>
              <w14:schemeClr w14:val="tx1"/>
            </w14:solidFill>
          </w14:textFill>
        </w:rPr>
        <w:t>最低评标价法，是指投标文件满足招标文件全部实质性要求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且投标报价最低的投标人为中标候选人的评标方法。</w:t>
      </w:r>
    </w:p>
    <w:p w14:paraId="0A94AEE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 </w:t>
      </w:r>
      <w:r>
        <w:rPr>
          <w:rFonts w:hint="eastAsia" w:ascii="仿宋" w:hAnsi="仿宋" w:eastAsia="仿宋" w:cs="仿宋"/>
          <w:color w:val="000000" w:themeColor="text1"/>
          <w:sz w:val="24"/>
          <w:szCs w:val="24"/>
          <w:highlight w:val="none"/>
          <w14:textFill>
            <w14:solidFill>
              <w14:schemeClr w14:val="tx1"/>
            </w14:solidFill>
          </w14:textFill>
        </w:rPr>
        <w:t>评标委员会按照“第五章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规定对投标文件进行评审。“第五章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法及标准”没有规定的方法、评审因素和标准，不作为评标依据。</w:t>
      </w:r>
    </w:p>
    <w:p w14:paraId="0B2F104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4"/>
          <w:szCs w:val="24"/>
          <w:highlight w:val="none"/>
          <w14:textFill>
            <w14:solidFill>
              <w14:schemeClr w14:val="tx1"/>
            </w14:solidFill>
          </w14:textFill>
        </w:rPr>
        <w:t>评标委员会按“投标人须知前附表”规定的中标候选人数量在评标报告中向采购人推荐中标候选人。</w:t>
      </w:r>
    </w:p>
    <w:p w14:paraId="4065719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29.4 开标之后，直到签订合同止，凡是属于审查、澄清、评价和比较投标的有关资料以及定标意向等，均不得向投标人或者其他与评标无关的人员透露。</w:t>
      </w:r>
    </w:p>
    <w:p w14:paraId="0303503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F70E25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29.6 电子招投标的应急措施</w:t>
      </w:r>
    </w:p>
    <w:p w14:paraId="253FF09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29.6.1电子开标、评标如出现下列原因，导致系统无法正常运行或无法正常评标时，应采取应急措施。</w:t>
      </w:r>
    </w:p>
    <w:p w14:paraId="2D12EA7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（1）系统服务器发生故障，无法访问或无法使用系统；</w:t>
      </w:r>
    </w:p>
    <w:p w14:paraId="34933FB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（2）系统的软件或数据库出现错误，不能进行正常操作；</w:t>
      </w:r>
    </w:p>
    <w:p w14:paraId="558825F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（3）系统发现有安全漏洞，有潜在的泄密危险；</w:t>
      </w:r>
    </w:p>
    <w:p w14:paraId="557CB1B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（4）病毒发作或受到外来病毒的攻击；</w:t>
      </w:r>
    </w:p>
    <w:p w14:paraId="51B17E0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（5）出现其他不可抗拒的客观原因造成开评标系统无法正常使用。</w:t>
      </w:r>
    </w:p>
    <w:p w14:paraId="4652B73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出现上述情况时，应对未开标的暂停开标。已在系统内开标、评标的立即停止。采取应急措施时，必须对原有资料及信息作出妥善保密处理。</w:t>
      </w:r>
    </w:p>
    <w:p w14:paraId="498FE3E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29.6.2因系统原因导致投标人均无法解密电子投标文件时，采购代理机构可在开标现场直接导入投标人在投标截止时间前递交的未加密的电子投标文件进行开标、评标。</w:t>
      </w:r>
    </w:p>
    <w:p w14:paraId="5C09972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29.7 投标人瑕疵滞后发现的处理规则</w:t>
      </w:r>
    </w:p>
    <w:p w14:paraId="2C4953B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29.7.1无论基于何种原因，各项本应作</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1C17FF1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37" w:name="_Toc4255"/>
      <w:bookmarkStart w:id="238" w:name="_Toc1414"/>
      <w:bookmarkStart w:id="239" w:name="_Toc140132792"/>
      <w:bookmarkStart w:id="240" w:name="_Toc8349"/>
      <w:bookmarkStart w:id="241" w:name="_Toc163492859"/>
      <w:bookmarkStart w:id="242" w:name="_Toc22170"/>
      <w:bookmarkStart w:id="243" w:name="_Toc15518587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（八）中标</w:t>
      </w:r>
      <w:bookmarkEnd w:id="237"/>
      <w:bookmarkEnd w:id="238"/>
      <w:bookmarkEnd w:id="239"/>
      <w:bookmarkEnd w:id="240"/>
      <w:bookmarkEnd w:id="241"/>
      <w:bookmarkEnd w:id="242"/>
      <w:bookmarkEnd w:id="243"/>
    </w:p>
    <w:p w14:paraId="23E352F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44" w:name="_Toc31516"/>
      <w:bookmarkStart w:id="245" w:name="_Toc140132793"/>
      <w:bookmarkStart w:id="246" w:name="_Toc163492860"/>
      <w:bookmarkStart w:id="247" w:name="_Toc4784"/>
      <w:bookmarkStart w:id="248" w:name="_Toc9777"/>
      <w:bookmarkStart w:id="249" w:name="_Toc2631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30.确定中标人</w:t>
      </w:r>
      <w:bookmarkEnd w:id="244"/>
      <w:bookmarkEnd w:id="245"/>
      <w:bookmarkEnd w:id="246"/>
      <w:bookmarkEnd w:id="247"/>
      <w:bookmarkEnd w:id="248"/>
      <w:bookmarkEnd w:id="249"/>
    </w:p>
    <w:p w14:paraId="18208C3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30.1</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采购人将在评标报告确定的中标候选人名单中按顺序确定中标人，中标候选人并列的，按照</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确定中标人；招标文件未规定的，采取随机抽取的方式确定。采购人是否委托评标委员会直接确定中标人，见</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p>
    <w:p w14:paraId="1C511B5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规定的方式确定一个投标人获得中标人推荐资格，招标文件未规定的采取随机抽取方式确定，其他同品牌投标人不作为中标候选人。</w:t>
      </w:r>
    </w:p>
    <w:p w14:paraId="468DD23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规定的方式确定一个参加评标的投标人，招标文件未规定的采取随机抽取方式确定，其他投标无效。</w:t>
      </w:r>
    </w:p>
    <w:p w14:paraId="32A82DD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30.4非单一产品采购项目，采购人应当根据采购项目技术构成、产品价格比重等合理确定核心产品，并在</w:t>
      </w:r>
      <w:r>
        <w:rPr>
          <w:rFonts w:hint="eastAsia" w:ascii="仿宋" w:hAnsi="仿宋" w:eastAsia="仿宋" w:cs="仿宋"/>
          <w:color w:val="000000" w:themeColor="text1"/>
          <w:sz w:val="24"/>
          <w:szCs w:val="24"/>
          <w:highlight w:val="none"/>
          <w14:textFill>
            <w14:solidFill>
              <w14:schemeClr w14:val="tx1"/>
            </w14:solidFill>
          </w14:textFill>
        </w:rPr>
        <w:t>“投标人须知前附表”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中载明。多家投标人提供的核心产品品牌相同的，按前两款规定处理。 </w:t>
      </w:r>
    </w:p>
    <w:p w14:paraId="7894C78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50" w:name="_Toc7431"/>
      <w:bookmarkStart w:id="251" w:name="_Toc19155"/>
      <w:bookmarkStart w:id="252" w:name="_Toc163492861"/>
      <w:bookmarkStart w:id="253" w:name="_Toc140132794"/>
      <w:bookmarkStart w:id="254" w:name="_Toc6330"/>
      <w:bookmarkStart w:id="255" w:name="_Toc24795"/>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31.中标结果公告</w:t>
      </w:r>
      <w:bookmarkEnd w:id="250"/>
      <w:bookmarkEnd w:id="251"/>
      <w:bookmarkEnd w:id="252"/>
      <w:bookmarkEnd w:id="253"/>
      <w:bookmarkEnd w:id="254"/>
      <w:bookmarkEnd w:id="255"/>
    </w:p>
    <w:p w14:paraId="2FD3F80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采购人或</w:t>
      </w:r>
      <w:r>
        <w:rPr>
          <w:rFonts w:hint="eastAsia" w:ascii="仿宋" w:hAnsi="仿宋" w:eastAsia="仿宋" w:cs="仿宋"/>
          <w:color w:val="000000" w:themeColor="text1"/>
          <w:sz w:val="24"/>
          <w:szCs w:val="24"/>
          <w:highlight w:val="none"/>
          <w14:textFill>
            <w14:solidFill>
              <w14:schemeClr w14:val="tx1"/>
            </w14:solidFill>
          </w14:textFill>
        </w:rPr>
        <w:t>采购代理机构应当自中标人确定之日起2个工作日内，在</w:t>
      </w:r>
      <w:r>
        <w:rPr>
          <w:rFonts w:hint="eastAsia" w:ascii="仿宋" w:hAnsi="仿宋" w:eastAsia="仿宋" w:cs="仿宋"/>
          <w:color w:val="000000" w:themeColor="text1"/>
          <w:sz w:val="24"/>
          <w:szCs w:val="24"/>
          <w:highlight w:val="none"/>
          <w:lang w:val="en-US" w:eastAsia="zh-CN"/>
          <w14:textFill>
            <w14:solidFill>
              <w14:schemeClr w14:val="tx1"/>
            </w14:solidFill>
          </w14:textFill>
        </w:rPr>
        <w:t>发布招标公告的同一</w:t>
      </w:r>
      <w:r>
        <w:rPr>
          <w:rFonts w:hint="eastAsia" w:ascii="仿宋" w:hAnsi="仿宋" w:eastAsia="仿宋" w:cs="仿宋"/>
          <w:color w:val="000000" w:themeColor="text1"/>
          <w:sz w:val="24"/>
          <w:szCs w:val="24"/>
          <w:highlight w:val="none"/>
          <w14:textFill>
            <w14:solidFill>
              <w14:schemeClr w14:val="tx1"/>
            </w14:solidFill>
          </w14:textFill>
        </w:rPr>
        <w:t>媒体上发布中标结果公告，</w:t>
      </w:r>
      <w:r>
        <w:rPr>
          <w:rFonts w:hint="eastAsia" w:ascii="仿宋" w:hAnsi="仿宋" w:eastAsia="仿宋" w:cs="仿宋"/>
          <w:color w:val="000000" w:themeColor="text1"/>
          <w:sz w:val="24"/>
          <w:szCs w:val="24"/>
          <w:highlight w:val="none"/>
          <w:lang w:val="en-US" w:eastAsia="zh-CN"/>
          <w14:textFill>
            <w14:solidFill>
              <w14:schemeClr w14:val="tx1"/>
            </w14:solidFill>
          </w14:textFill>
        </w:rPr>
        <w:t>同时向中标人</w:t>
      </w:r>
      <w:r>
        <w:rPr>
          <w:rFonts w:hint="eastAsia" w:ascii="仿宋" w:hAnsi="仿宋" w:eastAsia="仿宋" w:cs="仿宋"/>
          <w:color w:val="000000" w:themeColor="text1"/>
          <w:sz w:val="24"/>
          <w:szCs w:val="24"/>
          <w:highlight w:val="none"/>
          <w14:textFill>
            <w14:solidFill>
              <w14:schemeClr w14:val="tx1"/>
            </w14:solidFill>
          </w14:textFill>
        </w:rPr>
        <w:t>发出中标通知书</w:t>
      </w:r>
      <w:r>
        <w:rPr>
          <w:rFonts w:hint="eastAsia" w:ascii="仿宋" w:hAnsi="仿宋" w:eastAsia="仿宋" w:cs="仿宋"/>
          <w:color w:val="000000" w:themeColor="text1"/>
          <w:sz w:val="24"/>
          <w:szCs w:val="24"/>
          <w:highlight w:val="none"/>
          <w:lang w:eastAsia="zh-CN"/>
          <w14:textFill>
            <w14:solidFill>
              <w14:schemeClr w14:val="tx1"/>
            </w14:solidFill>
          </w14:textFill>
        </w:rPr>
        <w:t>。招标文件随中标结果同时公告，</w:t>
      </w:r>
      <w:r>
        <w:rPr>
          <w:rFonts w:hint="eastAsia" w:ascii="仿宋" w:hAnsi="仿宋" w:eastAsia="仿宋" w:cs="仿宋"/>
          <w:color w:val="000000" w:themeColor="text1"/>
          <w:sz w:val="24"/>
          <w:szCs w:val="24"/>
          <w:highlight w:val="none"/>
          <w14:textFill>
            <w14:solidFill>
              <w14:schemeClr w14:val="tx1"/>
            </w14:solidFill>
          </w14:textFill>
        </w:rPr>
        <w:t>中标结果公告期限为1个工作日。</w:t>
      </w:r>
    </w:p>
    <w:p w14:paraId="65E6572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bCs/>
          <w:color w:val="000000" w:themeColor="text1"/>
          <w:sz w:val="24"/>
          <w:szCs w:val="24"/>
          <w:highlight w:val="none"/>
          <w:lang w:eastAsia="zh-CN"/>
          <w14:textFill>
            <w14:solidFill>
              <w14:schemeClr w14:val="tx1"/>
            </w14:solidFill>
          </w14:textFill>
        </w:rPr>
        <w:t>为中小企业</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享受中小企业扶持政策的</w:t>
      </w:r>
      <w:r>
        <w:rPr>
          <w:rFonts w:hint="eastAsia" w:ascii="仿宋" w:hAnsi="仿宋" w:eastAsia="仿宋" w:cs="仿宋"/>
          <w:bCs/>
          <w:color w:val="000000" w:themeColor="text1"/>
          <w:sz w:val="24"/>
          <w:szCs w:val="24"/>
          <w:highlight w:val="none"/>
          <w:lang w:eastAsia="zh-CN"/>
          <w14:textFill>
            <w14:solidFill>
              <w14:schemeClr w14:val="tx1"/>
            </w14:solidFill>
          </w14:textFill>
        </w:rPr>
        <w:t>，其“中小企业声明函”随中标结果同时公告。中标</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bCs/>
          <w:color w:val="000000" w:themeColor="text1"/>
          <w:sz w:val="24"/>
          <w:szCs w:val="24"/>
          <w:highlight w:val="none"/>
          <w:lang w:eastAsia="zh-CN"/>
          <w14:textFill>
            <w14:solidFill>
              <w14:schemeClr w14:val="tx1"/>
            </w14:solidFill>
          </w14:textFill>
        </w:rPr>
        <w:t>为残疾人福利性单位的，其“残疾人福利性单位声明函”随中标结果同时公告。</w:t>
      </w:r>
    </w:p>
    <w:p w14:paraId="013F2CB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31.3</w:t>
      </w:r>
      <w:r>
        <w:rPr>
          <w:rFonts w:hint="eastAsia" w:ascii="仿宋" w:hAnsi="仿宋" w:eastAsia="仿宋" w:cs="仿宋"/>
          <w:bCs/>
          <w:color w:val="000000" w:themeColor="text1"/>
          <w:sz w:val="24"/>
          <w:szCs w:val="24"/>
          <w:highlight w:val="none"/>
          <w14:textFill>
            <w14:solidFill>
              <w14:schemeClr w14:val="tx1"/>
            </w14:solidFill>
          </w14:textFill>
        </w:rPr>
        <w:t>项目采购采用最低评标价法的，公告中标结果时同时公告因落实政府采购政策等原因进行价格扣除后中标</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bCs/>
          <w:color w:val="000000" w:themeColor="text1"/>
          <w:sz w:val="24"/>
          <w:szCs w:val="24"/>
          <w:highlight w:val="none"/>
          <w14:textFill>
            <w14:solidFill>
              <w14:schemeClr w14:val="tx1"/>
            </w14:solidFill>
          </w14:textFill>
        </w:rPr>
        <w:t>的评审报价；项目采购采用综合评分法的，公告中标结果时同时公告中标</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的评审总得分。</w:t>
      </w:r>
    </w:p>
    <w:p w14:paraId="3D94E80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56" w:name="_Toc163492862"/>
      <w:bookmarkStart w:id="257" w:name="_Toc2830"/>
      <w:bookmarkStart w:id="258" w:name="_Toc17586"/>
      <w:bookmarkStart w:id="259" w:name="_Toc7104"/>
      <w:bookmarkStart w:id="260" w:name="_Toc140132795"/>
      <w:bookmarkStart w:id="261" w:name="_Toc1756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32.中标通知</w:t>
      </w:r>
      <w:bookmarkEnd w:id="256"/>
      <w:bookmarkEnd w:id="257"/>
      <w:bookmarkEnd w:id="258"/>
      <w:bookmarkEnd w:id="259"/>
      <w:bookmarkEnd w:id="260"/>
      <w:bookmarkEnd w:id="261"/>
    </w:p>
    <w:p w14:paraId="6B1609C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0BEF15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32.2中标通知书对采购人和中标人均具有法律效力。中标通知书发出后，采购人改变中标结果的，或者中标人放弃中标项目的，应当依法承担法律责任。</w:t>
      </w:r>
    </w:p>
    <w:p w14:paraId="4CC1970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62" w:name="_Toc9494"/>
      <w:bookmarkStart w:id="263" w:name="_Toc28090"/>
      <w:bookmarkStart w:id="264" w:name="_Toc4010"/>
      <w:bookmarkStart w:id="265" w:name="_Toc163492863"/>
      <w:bookmarkStart w:id="266" w:name="_Toc2744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（九）签订</w:t>
      </w:r>
      <w:bookmarkStart w:id="267" w:name="_Toc155185880"/>
      <w:bookmarkStart w:id="268" w:name="_Toc14013279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合同</w:t>
      </w:r>
      <w:bookmarkEnd w:id="262"/>
      <w:bookmarkEnd w:id="263"/>
      <w:bookmarkEnd w:id="264"/>
      <w:bookmarkEnd w:id="265"/>
      <w:bookmarkEnd w:id="266"/>
      <w:bookmarkEnd w:id="267"/>
      <w:bookmarkEnd w:id="268"/>
    </w:p>
    <w:p w14:paraId="7E3D96F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69" w:name="_Toc140132797"/>
      <w:bookmarkStart w:id="270" w:name="_Toc18377"/>
      <w:bookmarkStart w:id="271" w:name="_Toc22178"/>
      <w:bookmarkStart w:id="272" w:name="_Toc18923"/>
      <w:bookmarkStart w:id="273" w:name="_Toc6972"/>
      <w:bookmarkStart w:id="274" w:name="_Toc16349286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33.履约保证金</w:t>
      </w:r>
      <w:bookmarkEnd w:id="269"/>
      <w:bookmarkEnd w:id="270"/>
      <w:bookmarkEnd w:id="271"/>
      <w:bookmarkEnd w:id="272"/>
      <w:bookmarkEnd w:id="273"/>
      <w:bookmarkEnd w:id="274"/>
    </w:p>
    <w:p w14:paraId="31EAE1A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.1在签订合同前，中标人应按“投标人须知前附表”规定的金额、担保形式和采购人认可的履约担保格式向采购人提交履约保证金。</w:t>
      </w:r>
    </w:p>
    <w:p w14:paraId="6FAAC36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.2中标人不能按本章第3</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.1项要求提交履约担保的，视为放弃中标，给采购人造成损失的，中标人还应当承担民事责任。</w:t>
      </w:r>
    </w:p>
    <w:p w14:paraId="2C46EC9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75" w:name="_Toc30681"/>
      <w:bookmarkStart w:id="276" w:name="_Toc163492865"/>
      <w:bookmarkStart w:id="277" w:name="_Toc140132798"/>
      <w:bookmarkStart w:id="278" w:name="_Toc25821"/>
      <w:bookmarkStart w:id="279" w:name="_Toc2818"/>
      <w:bookmarkStart w:id="280" w:name="_Toc1946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34.签订合同</w:t>
      </w:r>
      <w:bookmarkEnd w:id="275"/>
      <w:bookmarkEnd w:id="276"/>
      <w:bookmarkEnd w:id="277"/>
      <w:bookmarkEnd w:id="278"/>
      <w:bookmarkEnd w:id="279"/>
      <w:bookmarkEnd w:id="280"/>
    </w:p>
    <w:p w14:paraId="67F9B133">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 采购人和中标人应当自中标通知书发出之日起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DAE572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34.2 中标人拒绝与采购人签订合同的，采购人可以按照评标报告推荐的中标候选人名单排序，确定下一候选人为中标人，也可以重新开展政府采购活动。</w:t>
      </w:r>
    </w:p>
    <w:p w14:paraId="1BE4484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 采购人和中标人不得向对方提出任何不合理的要求，作为签订合同的条件，双方不得私下订立背离合同实质性内容的协议。</w:t>
      </w:r>
    </w:p>
    <w:p w14:paraId="7AEC8F3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34.4 联合体中标的，联合体各方应当共同与采购人签订合同，就采购合同约定的事项向采购人承担连带责任。</w:t>
      </w:r>
    </w:p>
    <w:p w14:paraId="3016190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。中标人就采购项目和分包项目向采购人负责，分包供应商就分包项目承担责任。</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政府采购合同不能转包。</w:t>
      </w:r>
    </w:p>
    <w:p w14:paraId="5E77A80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采购合同履行中，采购人需追加与合同标的相同的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货物、工程或者服务</w:t>
      </w:r>
      <w:r>
        <w:rPr>
          <w:rFonts w:hint="eastAsia" w:ascii="仿宋" w:hAnsi="仿宋" w:eastAsia="仿宋" w:cs="仿宋"/>
          <w:color w:val="000000" w:themeColor="text1"/>
          <w:sz w:val="24"/>
          <w:szCs w:val="24"/>
          <w:highlight w:val="none"/>
          <w14:textFill>
            <w14:solidFill>
              <w14:schemeClr w14:val="tx1"/>
            </w14:solidFill>
          </w14:textFill>
        </w:rPr>
        <w:t>的，在不改变合同其他条款的前提下，可以与中标人协商签订补充合同，但所有补充合同的采购金额不得超过原合同采购金额的百分之十。</w:t>
      </w:r>
    </w:p>
    <w:p w14:paraId="55A48FA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34.7 采购人应于签订合同之日起2个工作日内在政采云平台备案公示。</w:t>
      </w:r>
    </w:p>
    <w:p w14:paraId="1BAF66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81" w:name="_Toc16618"/>
      <w:bookmarkStart w:id="282" w:name="_Toc163492866"/>
      <w:bookmarkStart w:id="283" w:name="_Toc155185881"/>
      <w:bookmarkStart w:id="284" w:name="_Toc3470"/>
      <w:bookmarkStart w:id="285" w:name="_Toc16755"/>
      <w:bookmarkStart w:id="286" w:name="_Toc9575"/>
      <w:bookmarkStart w:id="287" w:name="_Toc14013279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（十）质疑和投诉</w:t>
      </w:r>
      <w:bookmarkEnd w:id="281"/>
      <w:bookmarkEnd w:id="282"/>
      <w:bookmarkEnd w:id="283"/>
      <w:bookmarkEnd w:id="284"/>
      <w:bookmarkEnd w:id="285"/>
      <w:bookmarkEnd w:id="286"/>
      <w:bookmarkEnd w:id="287"/>
    </w:p>
    <w:p w14:paraId="7B8FADF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88" w:name="_Toc1814"/>
      <w:bookmarkStart w:id="289" w:name="_Toc163492867"/>
      <w:bookmarkStart w:id="290" w:name="_Toc8211"/>
      <w:bookmarkStart w:id="291" w:name="_Toc5638"/>
      <w:bookmarkStart w:id="292" w:name="_Toc140132800"/>
      <w:bookmarkStart w:id="293" w:name="_Toc2626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35.质疑</w:t>
      </w:r>
      <w:bookmarkEnd w:id="288"/>
      <w:bookmarkEnd w:id="289"/>
      <w:bookmarkEnd w:id="290"/>
      <w:bookmarkEnd w:id="291"/>
      <w:bookmarkEnd w:id="292"/>
      <w:bookmarkEnd w:id="293"/>
    </w:p>
    <w:p w14:paraId="7FC6389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详见“投标人须知前附表”</w:t>
      </w:r>
      <w:r>
        <w:rPr>
          <w:rFonts w:hint="eastAsia" w:ascii="仿宋" w:hAnsi="仿宋" w:eastAsia="仿宋" w:cs="仿宋"/>
          <w:color w:val="000000" w:themeColor="text1"/>
          <w:sz w:val="24"/>
          <w:szCs w:val="24"/>
          <w:highlight w:val="none"/>
          <w14:textFill>
            <w14:solidFill>
              <w14:schemeClr w14:val="tx1"/>
            </w14:solidFill>
          </w14:textFill>
        </w:rPr>
        <w:t>。供应商在法定质疑期内一次性提出针对同一采购程序环节的质疑。</w:t>
      </w:r>
    </w:p>
    <w:p w14:paraId="45D1CE4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.2提出质疑的供应商（以下简称质疑供应商）应当是参与所质疑项目采购活动的供应商。</w:t>
      </w:r>
    </w:p>
    <w:p w14:paraId="3C9B3A6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35.3</w:t>
      </w:r>
      <w:r>
        <w:rPr>
          <w:rFonts w:hint="eastAsia" w:ascii="仿宋" w:hAnsi="仿宋" w:eastAsia="仿宋" w:cs="仿宋"/>
          <w:color w:val="000000" w:themeColor="text1"/>
          <w:sz w:val="24"/>
          <w:szCs w:val="24"/>
          <w:highlight w:val="none"/>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14:paraId="7298F43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35.4</w:t>
      </w:r>
      <w:r>
        <w:rPr>
          <w:rFonts w:hint="eastAsia" w:ascii="仿宋" w:hAnsi="仿宋" w:eastAsia="仿宋" w:cs="仿宋"/>
          <w:color w:val="000000" w:themeColor="text1"/>
          <w:sz w:val="24"/>
          <w:szCs w:val="24"/>
          <w:highlight w:val="none"/>
          <w14:textFill>
            <w14:solidFill>
              <w14:schemeClr w14:val="tx1"/>
            </w14:solidFill>
          </w14:textFill>
        </w:rPr>
        <w:t>供应商提出质疑应当提交质疑函和必要的证明材料。质疑函应当包括下列内容：</w:t>
      </w:r>
    </w:p>
    <w:p w14:paraId="13F8080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）供应商的姓名或者名称、地址、邮编、联系人及联系电话；</w:t>
      </w:r>
    </w:p>
    <w:p w14:paraId="13D535D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）质疑项目的名称、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p>
    <w:p w14:paraId="407B748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）具体、明确的质疑事项和与质疑事项相关的请求；</w:t>
      </w:r>
    </w:p>
    <w:p w14:paraId="76368CA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）事实依据；</w:t>
      </w:r>
    </w:p>
    <w:p w14:paraId="320C3C1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）必要的法律依据；</w:t>
      </w:r>
    </w:p>
    <w:p w14:paraId="7EB49D7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）提出质疑的日期。</w:t>
      </w:r>
    </w:p>
    <w:p w14:paraId="1C2EF16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6E548D0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.5质疑函不符合上述要求的，采购人或代理机构应书面告知具体事项，质疑人应当按要求进行修改或补充，并在质疑有效期限内提交。</w:t>
      </w:r>
    </w:p>
    <w:p w14:paraId="48413CF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3</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snapToGrid w:val="0"/>
          <w:color w:val="000000" w:themeColor="text1"/>
          <w:sz w:val="24"/>
          <w:szCs w:val="24"/>
          <w:highlight w:val="none"/>
          <w14:textFill>
            <w14:solidFill>
              <w14:schemeClr w14:val="tx1"/>
            </w14:solidFill>
          </w14:textFill>
        </w:rPr>
        <w:t>投标人进行虚假和恶意</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质疑投诉</w:t>
      </w:r>
      <w:r>
        <w:rPr>
          <w:rFonts w:hint="eastAsia" w:ascii="仿宋" w:hAnsi="仿宋" w:eastAsia="仿宋" w:cs="仿宋"/>
          <w:snapToGrid w:val="0"/>
          <w:color w:val="000000" w:themeColor="text1"/>
          <w:sz w:val="24"/>
          <w:szCs w:val="24"/>
          <w:highlight w:val="none"/>
          <w14:textFill>
            <w14:solidFill>
              <w14:schemeClr w14:val="tx1"/>
            </w14:solidFill>
          </w14:textFill>
        </w:rPr>
        <w:t>的，采购代理机构将提请有关部门将其列入不良记录名单，在一至三年内禁止参加政府采购活动，并将处理决定在相关政府采购媒体上公布。</w:t>
      </w:r>
    </w:p>
    <w:p w14:paraId="2A238DA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35.7</w:t>
      </w:r>
      <w:r>
        <w:rPr>
          <w:rFonts w:hint="eastAsia" w:ascii="仿宋" w:hAnsi="仿宋" w:eastAsia="仿宋" w:cs="仿宋"/>
          <w:color w:val="000000" w:themeColor="text1"/>
          <w:sz w:val="24"/>
          <w:szCs w:val="24"/>
          <w:highlight w:val="none"/>
          <w14:textFill>
            <w14:solidFill>
              <w14:schemeClr w14:val="tx1"/>
            </w14:solidFill>
          </w14:textFill>
        </w:rPr>
        <w:t>质疑函</w:t>
      </w:r>
      <w:r>
        <w:rPr>
          <w:rFonts w:hint="eastAsia" w:ascii="仿宋" w:hAnsi="仿宋" w:eastAsia="仿宋" w:cs="仿宋"/>
          <w:color w:val="000000" w:themeColor="text1"/>
          <w:sz w:val="24"/>
          <w:szCs w:val="24"/>
          <w:highlight w:val="none"/>
          <w:lang w:val="en-US" w:eastAsia="zh-CN"/>
          <w14:textFill>
            <w14:solidFill>
              <w14:schemeClr w14:val="tx1"/>
            </w14:solidFill>
          </w14:textFill>
        </w:rPr>
        <w:t>应当使用中文，并采用财政部门制定的范本。</w:t>
      </w:r>
    </w:p>
    <w:p w14:paraId="1477E63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94" w:name="_Toc13773"/>
      <w:bookmarkStart w:id="295" w:name="_Toc140132801"/>
      <w:bookmarkStart w:id="296" w:name="_Toc21790"/>
      <w:bookmarkStart w:id="297" w:name="_Toc28277"/>
      <w:bookmarkStart w:id="298" w:name="_Toc163492868"/>
      <w:bookmarkStart w:id="299" w:name="_Toc231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36.质疑答复</w:t>
      </w:r>
      <w:bookmarkEnd w:id="294"/>
      <w:bookmarkEnd w:id="295"/>
      <w:bookmarkEnd w:id="296"/>
      <w:bookmarkEnd w:id="297"/>
      <w:bookmarkEnd w:id="298"/>
      <w:bookmarkEnd w:id="299"/>
    </w:p>
    <w:p w14:paraId="6747F72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.1采购人、采购代理机构不得拒收质疑供应商在法定质疑期内发出的质疑函，应当在收到质疑函后7个工作日内作出答复，并以书面形式通知质疑供应商和其他有关供应商。</w:t>
      </w:r>
    </w:p>
    <w:p w14:paraId="770BB49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36.2供应商对评审过程、中标结果提出质疑的，采购人、采购代理机构可以组织原评标委员会协助答复质疑。</w:t>
      </w:r>
    </w:p>
    <w:p w14:paraId="491868F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bookmarkStart w:id="300" w:name="_Toc163492869"/>
      <w:bookmarkStart w:id="301" w:name="_Toc140132802"/>
      <w:r>
        <w:rPr>
          <w:rFonts w:hint="eastAsia" w:ascii="仿宋" w:hAnsi="仿宋" w:eastAsia="仿宋" w:cs="仿宋"/>
          <w:color w:val="000000" w:themeColor="text1"/>
          <w:sz w:val="24"/>
          <w:szCs w:val="24"/>
          <w:highlight w:val="none"/>
          <w:lang w:val="zh-CN" w:eastAsia="zh-CN"/>
          <w14:textFill>
            <w14:solidFill>
              <w14:schemeClr w14:val="tx1"/>
            </w14:solidFill>
          </w14:textFill>
        </w:rPr>
        <w:t>质疑答复应当包括下列内容：</w:t>
      </w:r>
    </w:p>
    <w:p w14:paraId="68D56C2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eastAsia="zh-CN"/>
          <w14:textFill>
            <w14:solidFill>
              <w14:schemeClr w14:val="tx1"/>
            </w14:solidFill>
          </w14:textFill>
        </w:rPr>
        <w:t>）质疑供应商的姓名或者名称；</w:t>
      </w:r>
    </w:p>
    <w:p w14:paraId="479546E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eastAsia="zh-CN"/>
          <w14:textFill>
            <w14:solidFill>
              <w14:schemeClr w14:val="tx1"/>
            </w14:solidFill>
          </w14:textFill>
        </w:rPr>
        <w:t>）收到质疑函的日期、质疑项目名称及</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lang w:val="zh-CN" w:eastAsia="zh-CN"/>
          <w14:textFill>
            <w14:solidFill>
              <w14:schemeClr w14:val="tx1"/>
            </w14:solidFill>
          </w14:textFill>
        </w:rPr>
        <w:t>编号/包号；</w:t>
      </w:r>
    </w:p>
    <w:p w14:paraId="043E55B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CN" w:eastAsia="zh-CN"/>
          <w14:textFill>
            <w14:solidFill>
              <w14:schemeClr w14:val="tx1"/>
            </w14:solidFill>
          </w14:textFill>
        </w:rPr>
        <w:t>）质疑事项、质疑答复的具体内容、事实依据和法律依据；</w:t>
      </w:r>
    </w:p>
    <w:p w14:paraId="6C40B63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eastAsia="zh-CN"/>
          <w14:textFill>
            <w14:solidFill>
              <w14:schemeClr w14:val="tx1"/>
            </w14:solidFill>
          </w14:textFill>
        </w:rPr>
        <w:t>）告知质疑供应商依法投诉的权利；</w:t>
      </w:r>
    </w:p>
    <w:p w14:paraId="5C23046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CN" w:eastAsia="zh-CN"/>
          <w14:textFill>
            <w14:solidFill>
              <w14:schemeClr w14:val="tx1"/>
            </w14:solidFill>
          </w14:textFill>
        </w:rPr>
        <w:t>）质疑答复人名称；</w:t>
      </w:r>
    </w:p>
    <w:p w14:paraId="3032881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CN" w:eastAsia="zh-CN"/>
          <w14:textFill>
            <w14:solidFill>
              <w14:schemeClr w14:val="tx1"/>
            </w14:solidFill>
          </w14:textFill>
        </w:rPr>
        <w:t>）答复质疑的日期。</w:t>
      </w:r>
    </w:p>
    <w:p w14:paraId="577A901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质疑答复的内容不得涉及商业秘密。</w:t>
      </w:r>
    </w:p>
    <w:p w14:paraId="2558404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02" w:name="_Toc32007"/>
      <w:bookmarkStart w:id="303" w:name="_Toc32321"/>
      <w:bookmarkStart w:id="304" w:name="_Toc11920"/>
      <w:bookmarkStart w:id="305" w:name="_Toc1335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37.投诉</w:t>
      </w:r>
      <w:bookmarkEnd w:id="300"/>
      <w:bookmarkEnd w:id="301"/>
      <w:bookmarkEnd w:id="302"/>
      <w:bookmarkEnd w:id="303"/>
      <w:bookmarkEnd w:id="304"/>
      <w:bookmarkEnd w:id="305"/>
    </w:p>
    <w:p w14:paraId="7EC5618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37.1</w:t>
      </w:r>
      <w:r>
        <w:rPr>
          <w:rFonts w:hint="eastAsia" w:ascii="仿宋" w:hAnsi="仿宋" w:eastAsia="仿宋" w:cs="仿宋"/>
          <w:color w:val="000000" w:themeColor="text1"/>
          <w:sz w:val="24"/>
          <w:szCs w:val="24"/>
          <w:highlight w:val="none"/>
          <w14:textFill>
            <w14:solidFill>
              <w14:schemeClr w14:val="tx1"/>
            </w14:solidFill>
          </w14:textFill>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000000" w:themeColor="text1"/>
          <w:sz w:val="24"/>
          <w:szCs w:val="24"/>
          <w:highlight w:val="none"/>
          <w:lang w:val="en-US" w:eastAsia="zh-CN"/>
          <w14:textFill>
            <w14:solidFill>
              <w14:schemeClr w14:val="tx1"/>
            </w14:solidFill>
          </w14:textFill>
        </w:rPr>
        <w:t>同级政府采购监督管理部门</w:t>
      </w:r>
      <w:r>
        <w:rPr>
          <w:rFonts w:hint="eastAsia" w:ascii="仿宋" w:hAnsi="仿宋" w:eastAsia="仿宋" w:cs="仿宋"/>
          <w:color w:val="000000" w:themeColor="text1"/>
          <w:sz w:val="24"/>
          <w:szCs w:val="24"/>
          <w:highlight w:val="none"/>
          <w14:textFill>
            <w14:solidFill>
              <w14:schemeClr w14:val="tx1"/>
            </w14:solidFill>
          </w14:textFill>
        </w:rPr>
        <w:t>提起投诉。</w:t>
      </w:r>
    </w:p>
    <w:p w14:paraId="5C58DD5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37.2</w:t>
      </w:r>
      <w:r>
        <w:rPr>
          <w:rFonts w:hint="eastAsia" w:ascii="仿宋" w:hAnsi="仿宋" w:eastAsia="仿宋" w:cs="仿宋"/>
          <w:color w:val="000000" w:themeColor="text1"/>
          <w:sz w:val="24"/>
          <w:szCs w:val="24"/>
          <w:highlight w:val="none"/>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14:paraId="532E29F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）投诉人和被投诉人的姓名或者名称、通讯地址、邮编、联系人及联系电话；</w:t>
      </w:r>
    </w:p>
    <w:p w14:paraId="5610DC0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）质疑和质疑答复情况说明及相关证明材料；</w:t>
      </w:r>
    </w:p>
    <w:p w14:paraId="221CA0E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）具体、明确的投诉事项和与投诉事项相关的投诉请求；</w:t>
      </w:r>
    </w:p>
    <w:p w14:paraId="011FB47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）事实依据；</w:t>
      </w:r>
    </w:p>
    <w:p w14:paraId="3C39D72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）法律依据；</w:t>
      </w:r>
    </w:p>
    <w:p w14:paraId="0122794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）提起投诉的日期。</w:t>
      </w:r>
    </w:p>
    <w:p w14:paraId="744DC8B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300AF0D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37.3</w:t>
      </w:r>
      <w:r>
        <w:rPr>
          <w:rFonts w:hint="eastAsia" w:ascii="仿宋" w:hAnsi="仿宋" w:eastAsia="仿宋" w:cs="仿宋"/>
          <w:color w:val="000000" w:themeColor="text1"/>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质疑、</w:t>
      </w:r>
      <w:r>
        <w:rPr>
          <w:rFonts w:hint="eastAsia" w:ascii="仿宋" w:hAnsi="仿宋" w:eastAsia="仿宋" w:cs="仿宋"/>
          <w:color w:val="000000" w:themeColor="text1"/>
          <w:sz w:val="24"/>
          <w:szCs w:val="24"/>
          <w:highlight w:val="none"/>
          <w14:textFill>
            <w14:solidFill>
              <w14:schemeClr w14:val="tx1"/>
            </w14:solidFill>
          </w14:textFill>
        </w:rPr>
        <w:t>投诉</w:t>
      </w:r>
      <w:r>
        <w:rPr>
          <w:rFonts w:hint="eastAsia" w:ascii="仿宋" w:hAnsi="仿宋" w:eastAsia="仿宋" w:cs="仿宋"/>
          <w:color w:val="000000" w:themeColor="text1"/>
          <w:sz w:val="24"/>
          <w:szCs w:val="24"/>
          <w:highlight w:val="none"/>
          <w:lang w:val="en-US" w:eastAsia="zh-CN"/>
          <w14:textFill>
            <w14:solidFill>
              <w14:schemeClr w14:val="tx1"/>
            </w14:solidFill>
          </w14:textFill>
        </w:rPr>
        <w:t>应当有明确的请求和必要的证明材料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供应商投诉的事项不得超出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已</w:t>
      </w:r>
      <w:r>
        <w:rPr>
          <w:rFonts w:hint="eastAsia" w:ascii="仿宋" w:hAnsi="仿宋" w:eastAsia="仿宋" w:cs="仿宋"/>
          <w:color w:val="000000" w:themeColor="text1"/>
          <w:sz w:val="24"/>
          <w:szCs w:val="24"/>
          <w:highlight w:val="none"/>
          <w14:textFill>
            <w14:solidFill>
              <w14:schemeClr w14:val="tx1"/>
            </w14:solidFill>
          </w14:textFill>
        </w:rPr>
        <w:t>质疑事项的范围，但基于质疑答复内容提出的投诉事项除外。</w:t>
      </w:r>
    </w:p>
    <w:p w14:paraId="7BD5ED3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37.4</w:t>
      </w:r>
      <w:r>
        <w:rPr>
          <w:rFonts w:hint="eastAsia" w:ascii="仿宋" w:hAnsi="仿宋" w:eastAsia="仿宋" w:cs="仿宋"/>
          <w:color w:val="000000" w:themeColor="text1"/>
          <w:sz w:val="24"/>
          <w:szCs w:val="24"/>
          <w:highlight w:val="none"/>
          <w:lang w:val="en-US" w:eastAsia="zh-CN"/>
          <w14:textFill>
            <w14:solidFill>
              <w14:schemeClr w14:val="tx1"/>
            </w14:solidFill>
          </w14:textFill>
        </w:rPr>
        <w:t>投诉书应当使用中文，并采用财政部门制定的范本。</w:t>
      </w:r>
    </w:p>
    <w:p w14:paraId="619F525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06" w:name="_Toc163492870"/>
      <w:bookmarkStart w:id="307" w:name="_Toc13943"/>
      <w:bookmarkStart w:id="308" w:name="_Toc30549"/>
      <w:bookmarkStart w:id="309" w:name="_Toc3580"/>
      <w:bookmarkStart w:id="310" w:name="_Toc155185882"/>
      <w:bookmarkStart w:id="311" w:name="_Toc140132803"/>
      <w:bookmarkStart w:id="312" w:name="_Toc18525"/>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（十一）采购代理服务费</w:t>
      </w:r>
      <w:bookmarkEnd w:id="306"/>
      <w:bookmarkEnd w:id="307"/>
      <w:bookmarkEnd w:id="308"/>
      <w:bookmarkEnd w:id="309"/>
      <w:bookmarkEnd w:id="310"/>
      <w:bookmarkEnd w:id="311"/>
      <w:bookmarkEnd w:id="312"/>
    </w:p>
    <w:p w14:paraId="569F813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13" w:name="_Toc30395"/>
      <w:bookmarkStart w:id="314" w:name="_Toc140132804"/>
      <w:bookmarkStart w:id="315" w:name="_Toc17649"/>
      <w:bookmarkStart w:id="316" w:name="_Toc13299"/>
      <w:bookmarkStart w:id="317" w:name="_Toc163492871"/>
      <w:bookmarkStart w:id="318" w:name="_Toc632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38.收取方式和标准</w:t>
      </w:r>
      <w:bookmarkEnd w:id="313"/>
      <w:bookmarkEnd w:id="314"/>
      <w:bookmarkEnd w:id="315"/>
      <w:bookmarkEnd w:id="316"/>
      <w:bookmarkEnd w:id="317"/>
      <w:bookmarkEnd w:id="318"/>
    </w:p>
    <w:p w14:paraId="7FDECEA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.1采购代理机构按“投标人须知前附表”规定的方式和标准收取采购代理服务费。</w:t>
      </w:r>
    </w:p>
    <w:p w14:paraId="6DC9158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19" w:name="_Toc8195"/>
      <w:bookmarkStart w:id="320" w:name="_Toc155185883"/>
      <w:bookmarkStart w:id="321" w:name="_Toc140132805"/>
      <w:bookmarkStart w:id="322" w:name="_Toc163492872"/>
      <w:bookmarkStart w:id="323" w:name="_Toc4233"/>
      <w:bookmarkStart w:id="324" w:name="_Toc12331"/>
      <w:bookmarkStart w:id="325" w:name="_Toc2120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（十二）无效投标和废标</w:t>
      </w:r>
      <w:bookmarkEnd w:id="319"/>
      <w:bookmarkEnd w:id="320"/>
      <w:bookmarkEnd w:id="321"/>
      <w:bookmarkEnd w:id="322"/>
      <w:bookmarkEnd w:id="323"/>
      <w:bookmarkEnd w:id="324"/>
      <w:bookmarkEnd w:id="325"/>
    </w:p>
    <w:p w14:paraId="5870F71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26" w:name="_Toc8456"/>
      <w:bookmarkStart w:id="327" w:name="_Toc6212"/>
      <w:bookmarkStart w:id="328" w:name="_Toc163492873"/>
      <w:bookmarkStart w:id="329" w:name="_Toc27690"/>
      <w:bookmarkStart w:id="330" w:name="_Toc140132806"/>
      <w:bookmarkStart w:id="331" w:name="_Toc474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39.无效投标</w:t>
      </w:r>
      <w:bookmarkEnd w:id="326"/>
      <w:bookmarkEnd w:id="327"/>
      <w:bookmarkEnd w:id="328"/>
      <w:bookmarkEnd w:id="329"/>
      <w:bookmarkEnd w:id="330"/>
      <w:bookmarkEnd w:id="331"/>
    </w:p>
    <w:p w14:paraId="2379134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39</w:t>
      </w:r>
      <w:r>
        <w:rPr>
          <w:rFonts w:hint="eastAsia" w:ascii="仿宋" w:hAnsi="仿宋" w:eastAsia="仿宋" w:cs="仿宋"/>
          <w:color w:val="000000" w:themeColor="text1"/>
          <w:sz w:val="24"/>
          <w:szCs w:val="24"/>
          <w:highlight w:val="none"/>
          <w14:textFill>
            <w14:solidFill>
              <w14:schemeClr w14:val="tx1"/>
            </w14:solidFill>
          </w14:textFill>
        </w:rPr>
        <w:t>.1投标文件存在“第四章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资格审查”、“第五章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及本招标文件</w:t>
      </w:r>
      <w:r>
        <w:rPr>
          <w:rFonts w:hint="eastAsia" w:ascii="仿宋" w:hAnsi="仿宋" w:eastAsia="仿宋" w:cs="仿宋"/>
          <w:color w:val="000000" w:themeColor="text1"/>
          <w:sz w:val="24"/>
          <w:szCs w:val="24"/>
          <w:highlight w:val="none"/>
          <w14:textFill>
            <w14:solidFill>
              <w14:schemeClr w14:val="tx1"/>
            </w14:solidFill>
          </w14:textFill>
        </w:rPr>
        <w:t>规定的投标无效情形的，其</w:t>
      </w:r>
      <w:r>
        <w:rPr>
          <w:rFonts w:hint="eastAsia" w:ascii="仿宋" w:hAnsi="仿宋" w:eastAsia="仿宋" w:cs="仿宋"/>
          <w:b/>
          <w:bCs/>
          <w:color w:val="000000" w:themeColor="text1"/>
          <w:sz w:val="24"/>
          <w:szCs w:val="24"/>
          <w:highlight w:val="none"/>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w:t>
      </w:r>
    </w:p>
    <w:p w14:paraId="35BB3BD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32" w:name="_Toc31646"/>
      <w:bookmarkStart w:id="333" w:name="_Toc22537"/>
      <w:bookmarkStart w:id="334" w:name="_Toc163492874"/>
      <w:bookmarkStart w:id="335" w:name="_Toc15530"/>
      <w:bookmarkStart w:id="336" w:name="_Toc140132807"/>
      <w:bookmarkStart w:id="337" w:name="_Toc3137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40.废标</w:t>
      </w:r>
      <w:bookmarkEnd w:id="332"/>
      <w:bookmarkEnd w:id="333"/>
      <w:bookmarkEnd w:id="334"/>
      <w:bookmarkEnd w:id="335"/>
      <w:bookmarkEnd w:id="336"/>
      <w:bookmarkEnd w:id="337"/>
    </w:p>
    <w:p w14:paraId="13683B49">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.1在招标采购中出现有“第五章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及本招标文件</w:t>
      </w:r>
      <w:r>
        <w:rPr>
          <w:rFonts w:hint="eastAsia" w:ascii="仿宋" w:hAnsi="仿宋" w:eastAsia="仿宋" w:cs="仿宋"/>
          <w:color w:val="000000" w:themeColor="text1"/>
          <w:sz w:val="24"/>
          <w:szCs w:val="24"/>
          <w:highlight w:val="none"/>
          <w14:textFill>
            <w14:solidFill>
              <w14:schemeClr w14:val="tx1"/>
            </w14:solidFill>
          </w14:textFill>
        </w:rPr>
        <w:t>规定的废标情形的，应予以</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FC8254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38" w:name="_Toc140132766"/>
      <w:bookmarkStart w:id="339" w:name="_Toc163492875"/>
      <w:bookmarkStart w:id="340" w:name="_Toc7834"/>
      <w:bookmarkStart w:id="341" w:name="_Toc8342"/>
      <w:bookmarkStart w:id="342" w:name="_Toc21776"/>
      <w:bookmarkStart w:id="343" w:name="_Toc23246"/>
      <w:bookmarkStart w:id="344" w:name="_Toc155185884"/>
      <w:bookmarkStart w:id="345" w:name="_Toc14013280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（十三）落实政府采购政策</w:t>
      </w:r>
      <w:bookmarkEnd w:id="338"/>
      <w:bookmarkEnd w:id="33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（包括但不限于下列具体政策要求）</w:t>
      </w:r>
      <w:bookmarkEnd w:id="340"/>
      <w:bookmarkEnd w:id="341"/>
      <w:bookmarkEnd w:id="342"/>
      <w:bookmarkEnd w:id="343"/>
    </w:p>
    <w:p w14:paraId="05ABE14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46" w:name="_Toc20299"/>
      <w:bookmarkStart w:id="347" w:name="_Toc3043"/>
      <w:bookmarkStart w:id="348" w:name="_Toc27084"/>
      <w:bookmarkStart w:id="349" w:name="_Toc163492876"/>
      <w:bookmarkStart w:id="350" w:name="_Toc3043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41.</w:t>
      </w:r>
      <w:bookmarkEnd w:id="346"/>
      <w:bookmarkEnd w:id="347"/>
      <w:bookmarkEnd w:id="348"/>
      <w:bookmarkEnd w:id="349"/>
      <w:bookmarkEnd w:id="35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本国产品和进口产品</w:t>
      </w:r>
    </w:p>
    <w:p w14:paraId="13B8AFDE">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41.1本国产品标准及支持政策</w:t>
      </w:r>
    </w:p>
    <w:p w14:paraId="3F68FDFC">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FF1B1BC">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9BAECA9">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41.1.3对国家相关部门后续发布的特定产品清单内的产品，除满足上述条件外，还需同时满足关键组件境内生产、关键工序境内完成等特定要求。</w:t>
      </w:r>
    </w:p>
    <w:p w14:paraId="50D4F8BE">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0C12E4">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4B95EB0C">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医疗器械产品，取得药品监督管理部门授予的准字号医疗器械注册证的（注册证载明的生产地址位于中华人民共和国关境内），视为符合本国产品标准。</w:t>
      </w:r>
      <w:r>
        <w:rPr>
          <w:rFonts w:hint="eastAsia" w:ascii="仿宋" w:hAnsi="仿宋" w:eastAsia="仿宋" w:cs="仿宋"/>
          <w:color w:val="000000" w:themeColor="text1"/>
          <w:sz w:val="24"/>
          <w:szCs w:val="24"/>
          <w:highlight w:val="none"/>
          <w14:textFill>
            <w14:solidFill>
              <w14:schemeClr w14:val="tx1"/>
            </w14:solidFill>
          </w14:textFill>
        </w:rPr>
        <w:t>无需额外提供《关于符合本国产品标准的声明函》</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w:t>
      </w:r>
    </w:p>
    <w:p w14:paraId="6022D3B7">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77CC6FD1">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F87E4D0">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41.2进口产品</w:t>
      </w:r>
    </w:p>
    <w:p w14:paraId="7C501B45">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EC7AE45">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4</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2.2进口产品指通过中国海关报关验放进入中国境内且产自关境外的产品，包括已经进入中国境内的进口产品。 </w:t>
      </w:r>
    </w:p>
    <w:p w14:paraId="1F08F39A">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4</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2.3若采购需求中写明允许采购进口产品，投标人应保证所投产品可履行合法报通关手续进入中国关境内。</w:t>
      </w:r>
    </w:p>
    <w:p w14:paraId="776F7EC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14:textFill>
            <w14:solidFill>
              <w14:schemeClr w14:val="tx1"/>
            </w14:solidFill>
          </w14:textFill>
        </w:rPr>
        <w:t>4</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2.4若采购需求中未写明允许采购进口产品，如投标人所投产品为进口产品，其投标将被认定为</w:t>
      </w:r>
      <w:r>
        <w:rPr>
          <w:rFonts w:hint="eastAsia" w:ascii="仿宋" w:hAnsi="仿宋" w:eastAsia="仿宋" w:cs="仿宋"/>
          <w:b/>
          <w:bCs/>
          <w:snapToGrid w:val="0"/>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w:t>
      </w:r>
    </w:p>
    <w:p w14:paraId="6DDE515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51" w:name="_Toc6874"/>
      <w:bookmarkStart w:id="352" w:name="_Toc9595"/>
      <w:bookmarkStart w:id="353" w:name="_Toc6934"/>
      <w:bookmarkStart w:id="354" w:name="_Toc18106"/>
      <w:bookmarkStart w:id="355" w:name="_Toc16349287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42.中小企业、监狱企业及残疾人福利性单位</w:t>
      </w:r>
      <w:bookmarkEnd w:id="351"/>
      <w:bookmarkEnd w:id="352"/>
      <w:bookmarkEnd w:id="353"/>
      <w:bookmarkEnd w:id="354"/>
      <w:bookmarkEnd w:id="355"/>
    </w:p>
    <w:p w14:paraId="4DD2288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42</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5C2083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42</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snapToGrid w:val="0"/>
          <w:color w:val="000000" w:themeColor="text1"/>
          <w:sz w:val="24"/>
          <w:szCs w:val="24"/>
          <w:highlight w:val="none"/>
          <w14:textFill>
            <w14:solidFill>
              <w14:schemeClr w14:val="tx1"/>
            </w14:solidFill>
          </w14:textFill>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需享受中小企业相关政策的，且</w:t>
      </w:r>
      <w:r>
        <w:rPr>
          <w:rFonts w:hint="eastAsia" w:ascii="仿宋" w:hAnsi="仿宋" w:eastAsia="仿宋" w:cs="仿宋"/>
          <w:snapToGrid w:val="0"/>
          <w:color w:val="000000" w:themeColor="text1"/>
          <w:sz w:val="24"/>
          <w:szCs w:val="24"/>
          <w:highlight w:val="none"/>
          <w14:textFill>
            <w14:solidFill>
              <w14:schemeClr w14:val="tx1"/>
            </w14:solidFill>
          </w14:textFill>
        </w:rPr>
        <w:t>符合上述文件规定的，</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应按本</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文件规定格式</w:t>
      </w:r>
      <w:r>
        <w:rPr>
          <w:rFonts w:hint="eastAsia" w:ascii="仿宋" w:hAnsi="仿宋" w:eastAsia="仿宋" w:cs="仿宋"/>
          <w:snapToGrid w:val="0"/>
          <w:color w:val="000000" w:themeColor="text1"/>
          <w:sz w:val="24"/>
          <w:szCs w:val="24"/>
          <w:highlight w:val="none"/>
          <w14:textFill>
            <w14:solidFill>
              <w14:schemeClr w14:val="tx1"/>
            </w14:solidFill>
          </w14:textFill>
        </w:rPr>
        <w:t>提供</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14:textFill>
            <w14:solidFill>
              <w14:schemeClr w14:val="tx1"/>
            </w14:solidFill>
          </w14:textFill>
        </w:rPr>
        <w:t>中小企业声明函</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snapToGrid w:val="0"/>
          <w:color w:val="000000" w:themeColor="text1"/>
          <w:sz w:val="24"/>
          <w:szCs w:val="24"/>
          <w:highlight w:val="none"/>
          <w14:textFill>
            <w14:solidFill>
              <w14:schemeClr w14:val="tx1"/>
            </w14:solidFill>
          </w14:textFill>
        </w:rPr>
        <w:t>监狱企业证明文件</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14:textFill>
            <w14:solidFill>
              <w14:schemeClr w14:val="tx1"/>
            </w14:solidFill>
          </w14:textFill>
        </w:rPr>
        <w:t>残疾人福利性单位声明函</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14:textFill>
            <w14:solidFill>
              <w14:schemeClr w14:val="tx1"/>
            </w14:solidFill>
          </w14:textFill>
        </w:rPr>
        <w:t>，评审时，</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评标委员会</w:t>
      </w:r>
      <w:r>
        <w:rPr>
          <w:rFonts w:hint="eastAsia" w:ascii="仿宋" w:hAnsi="仿宋" w:eastAsia="仿宋" w:cs="仿宋"/>
          <w:snapToGrid w:val="0"/>
          <w:color w:val="000000" w:themeColor="text1"/>
          <w:sz w:val="24"/>
          <w:szCs w:val="24"/>
          <w:highlight w:val="none"/>
          <w14:textFill>
            <w14:solidFill>
              <w14:schemeClr w14:val="tx1"/>
            </w14:solidFill>
          </w14:textFill>
        </w:rPr>
        <w:t>将依据</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本</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文件</w:t>
      </w:r>
      <w:r>
        <w:rPr>
          <w:rFonts w:hint="eastAsia" w:ascii="仿宋" w:hAnsi="仿宋" w:eastAsia="仿宋" w:cs="仿宋"/>
          <w:snapToGrid w:val="0"/>
          <w:color w:val="000000" w:themeColor="text1"/>
          <w:sz w:val="24"/>
          <w:szCs w:val="24"/>
          <w:highlight w:val="none"/>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snapToGrid w:val="0"/>
          <w:color w:val="000000" w:themeColor="text1"/>
          <w:sz w:val="24"/>
          <w:szCs w:val="24"/>
          <w:highlight w:val="none"/>
          <w14:textFill>
            <w14:solidFill>
              <w14:schemeClr w14:val="tx1"/>
            </w14:solidFill>
          </w14:textFill>
        </w:rPr>
        <w:t>须知前附表”规定的报价扣除比例，对供应商报价进行价格扣除，用扣除后的价格参与评审</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公告中明确项目专门面向中小企业采购的，“</w:t>
      </w:r>
      <w:r>
        <w:rPr>
          <w:rFonts w:hint="eastAsia" w:ascii="仿宋" w:hAnsi="仿宋" w:eastAsia="仿宋" w:cs="仿宋"/>
          <w:snapToGrid w:val="0"/>
          <w:color w:val="000000" w:themeColor="text1"/>
          <w:sz w:val="24"/>
          <w:szCs w:val="24"/>
          <w:highlight w:val="none"/>
          <w14:textFill>
            <w14:solidFill>
              <w14:schemeClr w14:val="tx1"/>
            </w14:solidFill>
          </w14:textFill>
        </w:rPr>
        <w:t>中小企业声明函</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”为资格要求文件，</w:t>
      </w:r>
      <w:r>
        <w:rPr>
          <w:rFonts w:hint="eastAsia" w:ascii="仿宋" w:hAnsi="仿宋" w:eastAsia="仿宋" w:cs="仿宋"/>
          <w:snapToGrid w:val="0"/>
          <w:color w:val="000000" w:themeColor="text1"/>
          <w:sz w:val="24"/>
          <w:szCs w:val="24"/>
          <w:highlight w:val="none"/>
          <w14:textFill>
            <w14:solidFill>
              <w14:schemeClr w14:val="tx1"/>
            </w14:solidFill>
          </w14:textFill>
        </w:rPr>
        <w:t>供应商</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参与</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须按本</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文件规定格式</w:t>
      </w:r>
      <w:r>
        <w:rPr>
          <w:rFonts w:hint="eastAsia" w:ascii="仿宋" w:hAnsi="仿宋" w:eastAsia="仿宋" w:cs="仿宋"/>
          <w:snapToGrid w:val="0"/>
          <w:color w:val="000000" w:themeColor="text1"/>
          <w:sz w:val="24"/>
          <w:szCs w:val="24"/>
          <w:highlight w:val="none"/>
          <w14:textFill>
            <w14:solidFill>
              <w14:schemeClr w14:val="tx1"/>
            </w14:solidFill>
          </w14:textFill>
        </w:rPr>
        <w:t>提供</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14:textFill>
            <w14:solidFill>
              <w14:schemeClr w14:val="tx1"/>
            </w14:solidFill>
          </w14:textFill>
        </w:rPr>
        <w:t>中小企业声明函</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snapToGrid w:val="0"/>
          <w:color w:val="000000" w:themeColor="text1"/>
          <w:sz w:val="24"/>
          <w:szCs w:val="24"/>
          <w:highlight w:val="none"/>
          <w14:textFill>
            <w14:solidFill>
              <w14:schemeClr w14:val="tx1"/>
            </w14:solidFill>
          </w14:textFill>
        </w:rPr>
        <w:t>监狱企业证明文件</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14:textFill>
            <w14:solidFill>
              <w14:schemeClr w14:val="tx1"/>
            </w14:solidFill>
          </w14:textFill>
        </w:rPr>
        <w:t>残疾人福利性单位声明函</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”等作为资格证明文件。</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 </w:t>
      </w:r>
    </w:p>
    <w:p w14:paraId="2524AF9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42.3 投标人提供的货物、工程或者服务符合下列情形的，享受中小企业扶持政策： </w:t>
      </w:r>
    </w:p>
    <w:p w14:paraId="2C6B96D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（1）在货物采购项目中，货物由中小企业制造，即货物由中小企业生产且使用该中小企业商号或者注册商标； </w:t>
      </w:r>
    </w:p>
    <w:p w14:paraId="248EA0A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（2）在工程采购项目中，工程由中小企业承建，即工程施工单位为中小企业； </w:t>
      </w:r>
    </w:p>
    <w:p w14:paraId="24B292A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（3）在服务采购项目中，服务由中小企业承接，即提供服务的人员为中小企业依照《中华人民共和国劳动合同法》订立劳动合同的从业人员。</w:t>
      </w:r>
    </w:p>
    <w:p w14:paraId="0A34605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42.4 在货物采购项目中，投标人提供的货物既有中小企业制造货物，也有大型企业制造货物的，不享受中小企业扶持政策。 </w:t>
      </w:r>
    </w:p>
    <w:p w14:paraId="6751A31C">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42.5 以联合体形式参加政府采购活动，联合体各方均为中小企业的，联合体视同中小企业。其中，联合体各方均为小微企业的，联合体视同小微企业。  </w:t>
      </w:r>
    </w:p>
    <w:p w14:paraId="0E22D3F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71E4E2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67FED3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42.7.1 安置的残疾人占本单位在职职工人数的比例不低于 25% （含 25%），并且安置的残疾人人数不少于 10 人（含 10人）； </w:t>
      </w:r>
    </w:p>
    <w:p w14:paraId="78E8C4A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42.7.2 依法与安置的每位残疾人签订了1年以上（含1年）的劳动合同或服务协议； </w:t>
      </w:r>
    </w:p>
    <w:p w14:paraId="38C02AA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42.7.3 为安置的每位残疾人按月足额缴纳了基本养老保险、基本医疗保险、失业保险、工伤保险和生育保险等社会保险费； </w:t>
      </w:r>
    </w:p>
    <w:p w14:paraId="1AE7C85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42.7.4 通过银行等金融机构向安置的每位残疾人，按月支付了不低于单位所在区县适用的经省级人民政府批准的月最低工资标准的工资； </w:t>
      </w:r>
    </w:p>
    <w:p w14:paraId="14D55B4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42.7.5 提供本单位制造的货物、承担的工程或者服务（以下简称产品），或者提供其他残疾人福利性单位制造的货物（不包括使用非残疾人福利性单位注册商标的货物）； </w:t>
      </w:r>
    </w:p>
    <w:p w14:paraId="68308A3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69139D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30CE101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56" w:name="_Toc7407"/>
      <w:bookmarkStart w:id="357" w:name="_Toc163492878"/>
      <w:bookmarkStart w:id="358" w:name="_Toc9255"/>
      <w:bookmarkStart w:id="359" w:name="_Toc1808"/>
      <w:bookmarkStart w:id="360" w:name="_Toc582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43.政府采购节能产品、环境标志产品</w:t>
      </w:r>
      <w:bookmarkEnd w:id="356"/>
      <w:bookmarkEnd w:id="357"/>
      <w:bookmarkEnd w:id="358"/>
      <w:bookmarkEnd w:id="359"/>
      <w:bookmarkEnd w:id="360"/>
    </w:p>
    <w:p w14:paraId="6589152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2D97E7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ED39B02">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 </w:t>
      </w:r>
    </w:p>
    <w:p w14:paraId="62EAD5F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43.4 非政府强制采购的节能产品或环境标志产品，依据品目清单和认证证书实施政府优先采购。优先采购的具体规定见“第五章 评标方法及标准”（如涉及）。</w:t>
      </w:r>
    </w:p>
    <w:p w14:paraId="282D8FC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43.5 </w:t>
      </w:r>
      <w:r>
        <w:rPr>
          <w:rFonts w:hint="eastAsia" w:ascii="仿宋" w:hAnsi="仿宋" w:eastAsia="仿宋" w:cs="仿宋"/>
          <w:snapToGrid w:val="0"/>
          <w:color w:val="000000" w:themeColor="text1"/>
          <w:sz w:val="24"/>
          <w:szCs w:val="24"/>
          <w:highlight w:val="none"/>
          <w14:textFill>
            <w14:solidFill>
              <w14:schemeClr w14:val="tx1"/>
            </w14:solidFill>
          </w14:textFill>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价格评审优惠</w:t>
      </w:r>
      <w:r>
        <w:rPr>
          <w:rFonts w:hint="eastAsia" w:ascii="仿宋" w:hAnsi="仿宋" w:eastAsia="仿宋" w:cs="仿宋"/>
          <w:snapToGrid w:val="0"/>
          <w:color w:val="000000" w:themeColor="text1"/>
          <w:sz w:val="24"/>
          <w:szCs w:val="24"/>
          <w:highlight w:val="none"/>
          <w14:textFill>
            <w14:solidFill>
              <w14:schemeClr w14:val="tx1"/>
            </w14:solidFill>
          </w14:textFill>
        </w:rPr>
        <w:t>，未提供认证证书的视为</w:t>
      </w:r>
      <w:r>
        <w:rPr>
          <w:rFonts w:hint="eastAsia" w:ascii="仿宋" w:hAnsi="仿宋" w:eastAsia="仿宋" w:cs="仿宋"/>
          <w:b/>
          <w:bCs/>
          <w:snapToGrid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bCs/>
          <w:snapToGrid w:val="0"/>
          <w:color w:val="000000" w:themeColor="text1"/>
          <w:sz w:val="24"/>
          <w:szCs w:val="24"/>
          <w:highlight w:val="none"/>
          <w14:textFill>
            <w14:solidFill>
              <w14:schemeClr w14:val="tx1"/>
            </w14:solidFill>
          </w14:textFill>
        </w:rPr>
        <w:t>无效</w:t>
      </w:r>
      <w:r>
        <w:rPr>
          <w:rFonts w:hint="eastAsia" w:ascii="仿宋" w:hAnsi="仿宋" w:eastAsia="仿宋" w:cs="仿宋"/>
          <w:snapToGrid w:val="0"/>
          <w:color w:val="000000" w:themeColor="text1"/>
          <w:sz w:val="24"/>
          <w:szCs w:val="24"/>
          <w:highlight w:val="none"/>
          <w14:textFill>
            <w14:solidFill>
              <w14:schemeClr w14:val="tx1"/>
            </w14:solidFill>
          </w14:textFill>
        </w:rPr>
        <w:t>。属于</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优先采购</w:t>
      </w:r>
      <w:r>
        <w:rPr>
          <w:rFonts w:hint="eastAsia" w:ascii="仿宋" w:hAnsi="仿宋" w:eastAsia="仿宋" w:cs="仿宋"/>
          <w:snapToGrid w:val="0"/>
          <w:color w:val="000000" w:themeColor="text1"/>
          <w:sz w:val="24"/>
          <w:szCs w:val="24"/>
          <w:highlight w:val="none"/>
          <w14:textFill>
            <w14:solidFill>
              <w14:schemeClr w14:val="tx1"/>
            </w14:solidFill>
          </w14:textFill>
        </w:rPr>
        <w:t>节能产品政府采购品目清单、环境标志产品政府采购品目清单</w:t>
      </w:r>
      <w:r>
        <w:rPr>
          <w:rFonts w:hint="eastAsia" w:ascii="仿宋" w:hAnsi="仿宋" w:eastAsia="仿宋" w:cs="仿宋"/>
          <w:snapToGrid w:val="0"/>
          <w:color w:val="000000" w:themeColor="text1"/>
          <w:sz w:val="24"/>
          <w:szCs w:val="24"/>
          <w:highlight w:val="none"/>
          <w:lang w:eastAsia="zh-CN"/>
          <w14:textFill>
            <w14:solidFill>
              <w14:schemeClr w14:val="tx1"/>
            </w14:solidFill>
          </w14:textFill>
        </w:rPr>
        <w:t>、</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创新产品</w:t>
      </w:r>
      <w:r>
        <w:rPr>
          <w:rFonts w:hint="eastAsia" w:ascii="仿宋" w:hAnsi="仿宋" w:eastAsia="仿宋" w:cs="仿宋"/>
          <w:snapToGrid w:val="0"/>
          <w:color w:val="000000" w:themeColor="text1"/>
          <w:sz w:val="24"/>
          <w:szCs w:val="24"/>
          <w:highlight w:val="none"/>
          <w14:textFill>
            <w14:solidFill>
              <w14:schemeClr w14:val="tx1"/>
            </w14:solidFill>
          </w14:textFill>
        </w:rPr>
        <w:t>范围的，按照“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 评标方法及标准</w:t>
      </w:r>
      <w:r>
        <w:rPr>
          <w:rFonts w:hint="eastAsia" w:ascii="仿宋" w:hAnsi="仿宋" w:eastAsia="仿宋" w:cs="仿宋"/>
          <w:snapToGrid w:val="0"/>
          <w:color w:val="000000" w:themeColor="text1"/>
          <w:sz w:val="24"/>
          <w:szCs w:val="24"/>
          <w:highlight w:val="none"/>
          <w14:textFill>
            <w14:solidFill>
              <w14:schemeClr w14:val="tx1"/>
            </w14:solidFill>
          </w14:textFill>
        </w:rPr>
        <w:t>”中相关规定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在评审时给予价格评审优惠，具体详见</w:t>
      </w: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“投标人须知前附表”及</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 评标方法及标准”</w:t>
      </w:r>
      <w:r>
        <w:rPr>
          <w:rFonts w:hint="eastAsia" w:ascii="仿宋" w:hAnsi="仿宋" w:eastAsia="仿宋" w:cs="仿宋"/>
          <w:color w:val="000000" w:themeColor="text1"/>
          <w:sz w:val="24"/>
          <w:szCs w:val="24"/>
          <w:highlight w:val="none"/>
          <w14:textFill>
            <w14:solidFill>
              <w14:schemeClr w14:val="tx1"/>
            </w14:solidFill>
          </w14:textFill>
        </w:rPr>
        <w:t>。</w:t>
      </w:r>
    </w:p>
    <w:p w14:paraId="517C283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61" w:name="_Toc27639"/>
      <w:bookmarkStart w:id="362" w:name="_Toc18587"/>
      <w:bookmarkStart w:id="363" w:name="_Toc27051"/>
      <w:bookmarkStart w:id="364" w:name="_Toc14967"/>
      <w:bookmarkStart w:id="365" w:name="_Toc16349287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44.正版软件</w:t>
      </w:r>
      <w:bookmarkEnd w:id="361"/>
      <w:bookmarkEnd w:id="362"/>
      <w:bookmarkEnd w:id="363"/>
      <w:bookmarkEnd w:id="36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  </w:t>
      </w:r>
    </w:p>
    <w:p w14:paraId="5C95691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4B63161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66" w:name="_Toc9349"/>
      <w:bookmarkStart w:id="367" w:name="_Toc23823"/>
      <w:bookmarkStart w:id="368" w:name="_Toc18124"/>
      <w:bookmarkStart w:id="369" w:name="_Toc575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45.网络安全专用产品</w:t>
      </w:r>
      <w:bookmarkEnd w:id="366"/>
      <w:bookmarkEnd w:id="367"/>
      <w:bookmarkEnd w:id="368"/>
      <w:bookmarkEnd w:id="36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   </w:t>
      </w:r>
    </w:p>
    <w:p w14:paraId="6D5CD00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F90F77B">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245DF6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70" w:name="_Toc30358"/>
      <w:bookmarkStart w:id="371" w:name="_Toc30425"/>
      <w:bookmarkStart w:id="372" w:name="_Toc26826"/>
      <w:bookmarkStart w:id="373" w:name="_Toc414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46.采购需求标准</w:t>
      </w:r>
      <w:bookmarkEnd w:id="370"/>
      <w:bookmarkEnd w:id="371"/>
      <w:bookmarkEnd w:id="372"/>
      <w:bookmarkEnd w:id="37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   </w:t>
      </w:r>
    </w:p>
    <w:p w14:paraId="16E7B5E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46.1 商品包装、快递包装政府采购需求标准（试行） </w:t>
      </w:r>
    </w:p>
    <w:p w14:paraId="27F83F7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B92688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46.2 绿色数据中心政府采购需求标准（试行） </w:t>
      </w:r>
    </w:p>
    <w:p w14:paraId="5CC7A94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04ED42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46.3台式计算机政府采购需求标准</w:t>
      </w:r>
    </w:p>
    <w:p w14:paraId="1D544C0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3ACC3EA">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46.4便携式计算机政府采购需求标准</w:t>
      </w:r>
    </w:p>
    <w:p w14:paraId="2AE8CE2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2FA288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46.5一体式计算机政府采购需求标准</w:t>
      </w:r>
    </w:p>
    <w:p w14:paraId="3D61666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72EAC61">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46.6工作站政府采购需求标准</w:t>
      </w:r>
    </w:p>
    <w:p w14:paraId="1D2FA8A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123FDB0F">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46.7通用服务器政府采购需求标准</w:t>
      </w:r>
    </w:p>
    <w:p w14:paraId="1A706908">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9506880">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46.8操作系统政府采购需求标准</w:t>
      </w:r>
    </w:p>
    <w:p w14:paraId="0E4E2D1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5E67AF4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46.9数据库政府采购需求标准</w:t>
      </w:r>
    </w:p>
    <w:p w14:paraId="2E8E6AA7">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6E22589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46.10物业管理服务政府采购需求标准（办公场所类）（试行）</w:t>
      </w:r>
    </w:p>
    <w:p w14:paraId="246461BD">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AF24B51">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74" w:name="_Toc14503"/>
      <w:bookmarkStart w:id="375" w:name="_Toc7189"/>
      <w:bookmarkStart w:id="376" w:name="_Toc6544"/>
      <w:bookmarkStart w:id="377" w:name="_Toc1363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（十四）政府采购合同融资政策</w:t>
      </w:r>
      <w:bookmarkEnd w:id="344"/>
      <w:bookmarkEnd w:id="345"/>
      <w:bookmarkEnd w:id="365"/>
      <w:bookmarkEnd w:id="374"/>
      <w:bookmarkEnd w:id="375"/>
      <w:bookmarkEnd w:id="376"/>
      <w:bookmarkEnd w:id="377"/>
    </w:p>
    <w:p w14:paraId="36B6310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78" w:name="_Toc19607"/>
      <w:bookmarkStart w:id="379" w:name="_Toc31455"/>
      <w:bookmarkStart w:id="380" w:name="_Toc10536"/>
      <w:bookmarkStart w:id="381" w:name="_Toc6885"/>
      <w:bookmarkStart w:id="382" w:name="_Toc16349288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47.政府采购合同融资政策</w:t>
      </w:r>
      <w:bookmarkEnd w:id="378"/>
      <w:bookmarkEnd w:id="379"/>
      <w:bookmarkEnd w:id="380"/>
      <w:bookmarkEnd w:id="381"/>
      <w:bookmarkEnd w:id="382"/>
    </w:p>
    <w:p w14:paraId="5B6A5A56">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.1政府采购合同融资政策：见投标人须知前附表。</w:t>
      </w:r>
    </w:p>
    <w:p w14:paraId="5278F839">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83" w:name="_Toc2385"/>
      <w:bookmarkStart w:id="384" w:name="_Toc14730"/>
      <w:bookmarkStart w:id="385" w:name="_Toc163492881"/>
      <w:bookmarkStart w:id="386" w:name="_Toc29894"/>
      <w:bookmarkStart w:id="387" w:name="_Toc2802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（十五）其他</w:t>
      </w:r>
      <w:bookmarkEnd w:id="383"/>
      <w:bookmarkEnd w:id="384"/>
      <w:bookmarkEnd w:id="385"/>
      <w:bookmarkEnd w:id="386"/>
      <w:bookmarkEnd w:id="387"/>
    </w:p>
    <w:p w14:paraId="18662CF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88" w:name="_Toc15832"/>
      <w:bookmarkStart w:id="389" w:name="_Toc163492882"/>
      <w:bookmarkStart w:id="390" w:name="_Toc25907"/>
      <w:bookmarkStart w:id="391" w:name="_Toc4822"/>
      <w:bookmarkStart w:id="392" w:name="_Toc783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48.需要补充的其他内容</w:t>
      </w:r>
      <w:bookmarkEnd w:id="388"/>
      <w:bookmarkEnd w:id="389"/>
      <w:bookmarkEnd w:id="390"/>
      <w:bookmarkEnd w:id="391"/>
      <w:bookmarkEnd w:id="392"/>
    </w:p>
    <w:p w14:paraId="5B5FDDA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.1需要补充的其他内容：见投标人须知前附表。</w:t>
      </w:r>
    </w:p>
    <w:p w14:paraId="15F8103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93" w:name="_Toc5942"/>
      <w:bookmarkStart w:id="394" w:name="_Toc140132810"/>
      <w:bookmarkStart w:id="395" w:name="_Toc16633"/>
      <w:bookmarkStart w:id="396" w:name="_Toc155185886"/>
      <w:bookmarkStart w:id="397" w:name="_Toc163492883"/>
      <w:bookmarkStart w:id="398" w:name="_Toc4492"/>
      <w:bookmarkStart w:id="399" w:name="_Toc558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49.适用法律</w:t>
      </w:r>
      <w:bookmarkEnd w:id="393"/>
      <w:bookmarkEnd w:id="394"/>
      <w:bookmarkEnd w:id="395"/>
      <w:bookmarkEnd w:id="396"/>
      <w:bookmarkEnd w:id="397"/>
      <w:bookmarkEnd w:id="398"/>
      <w:bookmarkEnd w:id="399"/>
    </w:p>
    <w:p w14:paraId="79E5A4A4">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49</w:t>
      </w:r>
      <w:r>
        <w:rPr>
          <w:rFonts w:hint="eastAsia" w:ascii="仿宋" w:hAnsi="仿宋" w:eastAsia="仿宋" w:cs="仿宋"/>
          <w:snapToGrid w:val="0"/>
          <w:color w:val="000000" w:themeColor="text1"/>
          <w:sz w:val="24"/>
          <w:szCs w:val="24"/>
          <w:highlight w:val="none"/>
          <w14:textFill>
            <w14:solidFill>
              <w14:schemeClr w14:val="tx1"/>
            </w14:solidFill>
          </w14:textFill>
        </w:rPr>
        <w:t>.1采购人、采购代理机构及投标人的一切采购活动均适用《中华人民共和国政府采购法》、《中华人民共和国政府采购法实施条例》、《政府采购货物和服务招标投标管理办法》（财政部令第87号）及相关法律法规。</w:t>
      </w:r>
    </w:p>
    <w:p w14:paraId="30AC123E">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49</w:t>
      </w:r>
      <w:r>
        <w:rPr>
          <w:rFonts w:hint="eastAsia" w:ascii="仿宋" w:hAnsi="仿宋" w:eastAsia="仿宋" w:cs="仿宋"/>
          <w:snapToGrid w:val="0"/>
          <w:color w:val="000000" w:themeColor="text1"/>
          <w:sz w:val="24"/>
          <w:szCs w:val="24"/>
          <w:highlight w:val="none"/>
          <w14:textFill>
            <w14:solidFill>
              <w14:schemeClr w14:val="tx1"/>
            </w14:solidFill>
          </w14:textFill>
        </w:rPr>
        <w:t>.2政府采购合同的履行、违约责任和解决争议的方法等适用《中华人民共和国民法典》。</w:t>
      </w:r>
    </w:p>
    <w:p w14:paraId="3AFDE4F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00" w:name="_Toc26457"/>
      <w:bookmarkStart w:id="401" w:name="_Toc26968"/>
      <w:bookmarkStart w:id="402" w:name="_Toc18236"/>
      <w:bookmarkStart w:id="403" w:name="_Toc155185887"/>
      <w:bookmarkStart w:id="404" w:name="_Toc163492884"/>
      <w:bookmarkStart w:id="405" w:name="_Toc1270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50.解释权</w:t>
      </w:r>
      <w:bookmarkEnd w:id="400"/>
      <w:bookmarkEnd w:id="401"/>
      <w:bookmarkEnd w:id="402"/>
      <w:bookmarkEnd w:id="403"/>
      <w:bookmarkEnd w:id="404"/>
      <w:bookmarkEnd w:id="405"/>
    </w:p>
    <w:p w14:paraId="284A8835">
      <w:pPr>
        <w:pStyle w:val="47"/>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z w:val="24"/>
          <w:szCs w:val="24"/>
          <w:highlight w:val="none"/>
          <w:lang w:val="en-US" w:eastAsia="zh-CN"/>
          <w14:textFill>
            <w14:solidFill>
              <w14:schemeClr w14:val="tx1"/>
            </w14:solidFill>
          </w14:textFill>
        </w:rPr>
        <w:t>50</w:t>
      </w:r>
      <w:r>
        <w:rPr>
          <w:rFonts w:hint="eastAsia" w:ascii="仿宋" w:hAnsi="仿宋" w:eastAsia="仿宋" w:cs="仿宋"/>
          <w:snapToGrid w:val="0"/>
          <w:color w:val="000000" w:themeColor="text1"/>
          <w:sz w:val="24"/>
          <w:szCs w:val="24"/>
          <w:highlight w:val="none"/>
          <w14:textFill>
            <w14:solidFill>
              <w14:schemeClr w14:val="tx1"/>
            </w14:solidFill>
          </w14:textFill>
        </w:rPr>
        <w:t>.1本招标文件最终解释权归采购人或采购代理机构所有。</w:t>
      </w:r>
    </w:p>
    <w:p w14:paraId="59522A26">
      <w:pPr>
        <w:pStyle w:val="47"/>
        <w:rPr>
          <w:rFonts w:hint="eastAsia" w:ascii="仿宋" w:hAnsi="仿宋" w:eastAsia="仿宋" w:cs="仿宋"/>
          <w:snapToGrid w:val="0"/>
          <w:color w:val="000000" w:themeColor="text1"/>
          <w:sz w:val="24"/>
          <w:szCs w:val="24"/>
          <w:highlight w:val="none"/>
          <w14:textFill>
            <w14:solidFill>
              <w14:schemeClr w14:val="tx1"/>
            </w14:solidFill>
          </w14:textFill>
        </w:rPr>
      </w:pPr>
    </w:p>
    <w:p w14:paraId="04D4F6E7">
      <w:pPr>
        <w:pStyle w:val="47"/>
        <w:rPr>
          <w:rFonts w:hint="eastAsia" w:ascii="仿宋" w:hAnsi="仿宋" w:eastAsia="仿宋" w:cs="仿宋"/>
          <w:snapToGrid w:val="0"/>
          <w:color w:val="000000" w:themeColor="text1"/>
          <w:sz w:val="24"/>
          <w:szCs w:val="24"/>
          <w:highlight w:val="none"/>
          <w14:textFill>
            <w14:solidFill>
              <w14:schemeClr w14:val="tx1"/>
            </w14:solidFill>
          </w14:textFill>
        </w:rPr>
      </w:pPr>
    </w:p>
    <w:p w14:paraId="252E4A42">
      <w:pPr>
        <w:pStyle w:val="47"/>
        <w:rPr>
          <w:rFonts w:hint="eastAsia" w:ascii="仿宋" w:hAnsi="仿宋" w:eastAsia="仿宋" w:cs="仿宋"/>
          <w:snapToGrid w:val="0"/>
          <w:color w:val="000000" w:themeColor="text1"/>
          <w:sz w:val="24"/>
          <w:szCs w:val="24"/>
          <w:highlight w:val="none"/>
          <w14:textFill>
            <w14:solidFill>
              <w14:schemeClr w14:val="tx1"/>
            </w14:solidFill>
          </w14:textFill>
        </w:rPr>
      </w:pPr>
    </w:p>
    <w:p w14:paraId="3E7A4AA7">
      <w:pPr>
        <w:pStyle w:val="47"/>
        <w:rPr>
          <w:rFonts w:hint="eastAsia" w:ascii="仿宋" w:hAnsi="仿宋" w:eastAsia="仿宋" w:cs="仿宋"/>
          <w:snapToGrid w:val="0"/>
          <w:color w:val="000000" w:themeColor="text1"/>
          <w:sz w:val="24"/>
          <w:szCs w:val="24"/>
          <w:highlight w:val="none"/>
          <w14:textFill>
            <w14:solidFill>
              <w14:schemeClr w14:val="tx1"/>
            </w14:solidFill>
          </w14:textFill>
        </w:rPr>
      </w:pPr>
    </w:p>
    <w:p w14:paraId="4C676AD0">
      <w:pPr>
        <w:ind w:firstLine="723"/>
        <w:rPr>
          <w:rFonts w:hint="eastAsia" w:ascii="仿宋" w:hAnsi="仿宋" w:eastAsia="仿宋" w:cs="仿宋"/>
          <w:b/>
          <w:bCs/>
          <w:color w:val="000000" w:themeColor="text1"/>
          <w:kern w:val="44"/>
          <w:sz w:val="24"/>
          <w:szCs w:val="24"/>
          <w:highlight w:val="none"/>
          <w14:textFill>
            <w14:solidFill>
              <w14:schemeClr w14:val="tx1"/>
            </w14:solidFill>
          </w14:textFill>
        </w:rPr>
      </w:pPr>
      <w:bookmarkStart w:id="406" w:name="_Toc155185888"/>
      <w:bookmarkStart w:id="407" w:name="_Toc21746"/>
      <w:r>
        <w:rPr>
          <w:rFonts w:hint="eastAsia" w:ascii="仿宋" w:hAnsi="仿宋" w:eastAsia="仿宋" w:cs="仿宋"/>
          <w:b/>
          <w:bCs/>
          <w:color w:val="000000" w:themeColor="text1"/>
          <w:kern w:val="44"/>
          <w:sz w:val="24"/>
          <w:szCs w:val="24"/>
          <w:highlight w:val="none"/>
          <w14:textFill>
            <w14:solidFill>
              <w14:schemeClr w14:val="tx1"/>
            </w14:solidFill>
          </w14:textFill>
        </w:rPr>
        <w:br w:type="page"/>
      </w:r>
    </w:p>
    <w:p w14:paraId="0339A371">
      <w:pPr>
        <w:pStyle w:val="4"/>
        <w:numPr>
          <w:ilvl w:val="0"/>
          <w:numId w:val="6"/>
        </w:numPr>
        <w:spacing w:before="220" w:after="220" w:line="480" w:lineRule="auto"/>
        <w:ind w:left="420" w:leftChars="175" w:firstLine="58" w:firstLineChars="24"/>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w:t>
      </w:r>
      <w:bookmarkEnd w:id="406"/>
      <w:bookmarkEnd w:id="407"/>
      <w:bookmarkStart w:id="408" w:name="_Toc140132812"/>
      <w:bookmarkStart w:id="409" w:name="_Toc155185889"/>
    </w:p>
    <w:bookmarkEnd w:id="408"/>
    <w:bookmarkEnd w:id="409"/>
    <w:tbl>
      <w:tblPr>
        <w:tblStyle w:val="35"/>
        <w:tblpPr w:leftFromText="180" w:rightFromText="180" w:vertAnchor="text" w:horzAnchor="page" w:tblpXSpec="center" w:tblpY="876"/>
        <w:tblOverlap w:val="never"/>
        <w:tblW w:w="9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179"/>
        <w:gridCol w:w="4886"/>
        <w:gridCol w:w="696"/>
        <w:gridCol w:w="696"/>
        <w:gridCol w:w="696"/>
      </w:tblGrid>
      <w:tr w14:paraId="5403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jc w:val="center"/>
        </w:trPr>
        <w:tc>
          <w:tcPr>
            <w:tcW w:w="984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A81B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等线" w:hAnsi="等线" w:eastAsia="等线" w:cs="等线"/>
                <w:b/>
                <w:bCs/>
                <w:i w:val="0"/>
                <w:iCs w:val="0"/>
                <w:color w:val="000000" w:themeColor="text1"/>
                <w:sz w:val="40"/>
                <w:szCs w:val="40"/>
                <w:highlight w:val="none"/>
                <w:u w:val="none"/>
                <w14:textFill>
                  <w14:solidFill>
                    <w14:schemeClr w14:val="tx1"/>
                  </w14:solidFill>
                </w14:textFill>
              </w:rPr>
            </w:pPr>
            <w:bookmarkStart w:id="410" w:name="_Toc17715"/>
            <w:bookmarkStart w:id="411" w:name="_Toc155185895"/>
            <w:r>
              <w:rPr>
                <w:rFonts w:hint="eastAsia" w:ascii="等线" w:hAnsi="等线" w:eastAsia="等线" w:cs="等线"/>
                <w:b/>
                <w:bCs/>
                <w:i w:val="0"/>
                <w:iCs w:val="0"/>
                <w:color w:val="000000" w:themeColor="text1"/>
                <w:kern w:val="0"/>
                <w:sz w:val="40"/>
                <w:szCs w:val="40"/>
                <w:highlight w:val="none"/>
                <w:u w:val="none"/>
                <w:lang w:val="en-US" w:eastAsia="zh-CN" w:bidi="ar"/>
                <w14:textFill>
                  <w14:solidFill>
                    <w14:schemeClr w14:val="tx1"/>
                  </w14:solidFill>
                </w14:textFill>
              </w:rPr>
              <w:t>采购清单</w:t>
            </w:r>
          </w:p>
        </w:tc>
      </w:tr>
      <w:tr w14:paraId="3D33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C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序号</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8A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4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610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技术参数</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1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数量</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55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单位</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330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备注</w:t>
            </w:r>
          </w:p>
        </w:tc>
      </w:tr>
      <w:tr w14:paraId="7F13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F92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4"/>
                <w:szCs w:val="24"/>
                <w:highlight w:val="none"/>
                <w:u w:val="none"/>
                <w14:textFill>
                  <w14:solidFill>
                    <w14:schemeClr w14:val="tx1"/>
                  </w14:solidFill>
                </w14:textFill>
              </w:rPr>
            </w:pPr>
            <w:r>
              <w:rPr>
                <w:rFonts w:hint="eastAsia" w:ascii="等线" w:hAnsi="等线" w:eastAsia="等线" w:cs="等线"/>
                <w:i w:val="0"/>
                <w:iCs w:val="0"/>
                <w:color w:val="000000" w:themeColor="text1"/>
                <w:kern w:val="0"/>
                <w:sz w:val="24"/>
                <w:szCs w:val="24"/>
                <w:highlight w:val="none"/>
                <w:u w:val="none"/>
                <w:lang w:val="en-US" w:eastAsia="zh-CN" w:bidi="ar"/>
                <w14:textFill>
                  <w14:solidFill>
                    <w14:schemeClr w14:val="tx1"/>
                  </w14:solidFill>
                </w14:textFill>
              </w:rPr>
              <w:t>1</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14:paraId="7D8703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调音台（核心设备）</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32CA92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一套双工位调音台，每台调音台可独立运行操作</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1.原生支持Avid Pro Tools / Apple Logic Pro X / Steinberg Cubase和Nuendo等主流混音宿主软件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2.不少于32个电动式、触摸感应、行程100mm 推子</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3.不少于32个可分配旋钮</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4.不少于32个电平表，带有推子前/后选项</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5.按键式快速翻页功能</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6.每通道带有独立的独奏、静音、录音按钮</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7.每通道支持自动化控制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8.支持USB 2.0以上端口或以太网电缆连接电脑</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9.具备不少于16个TFT以上高分辨率显示器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10.每通道至少含一个多功能自定义按键</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C3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0D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7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7527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A92A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2</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B408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数字音频工作站</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95EA6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核心音频制作与混音计算节点：</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1.不少于:32 核中央处理器、80 核图形处理器，96GB内存，1TB固态储存容量。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2.正面不少于：两个type-C端口，一个 SDXC 卡插槽，背面不少于：四个type-C端口，两个 USB-A 端口，一个 HDMI 端口，一个 10Gb 以太网端口，一个耳机插孔，支持不少于八台显示器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3.配套无线键盘，鼠标。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混音软件插件含：</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二套主流音频综合处理插件包，插件数量不少于165种</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一套全景声专用后期制作套件，包含全景声上混、下混插件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二套模拟电话、对讲机等扬声器效果影视音频后期混音插件、环境模拟器可用以模仿日常场景声音效果，带有≥400多个扬声器脉冲响应模式。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二套真实空间IR混响插件效果器，卷积混响采样真实空间，提取出声学空间的声音特征并将其保存为采样脉冲响应IR，从而将真实的混响声音带到混响插件里。</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二套音频AI智能人声与对白修复降噪插件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二套自动人声增益响度平衡效率插件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一套混响匹配插件，能够通过人工智能分析任何录音的混响特性，并将其精准应用到其他干声录音上支持 5.1、7.1 甚至 9.1.6</w:t>
            </w:r>
            <w:r>
              <w:rPr>
                <w:rStyle w:val="102"/>
                <w:rFonts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等沉浸式环绕声格式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2人声综合处理插件包，具有人声实时修音、变调、音调侦测、变声、降噪、混响、去齿音、压缩、均衡、合声等不少于24个处理功能</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204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77A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E14F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3D6A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3BE132">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AD7B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1FBF54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音频接口声卡</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1、AD/DA转换精度不低于32位/192 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2、可同时使用输入和输出数量≥ 25 x 34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3、耳机输出口不少于4个</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4、具有不少于8 个DSP，用于处理 DSP 插件和无延迟录音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5、话筒 /线路话放≥8 个，带有不少于4个阻抗输入。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6、独立的立体声监听输出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7、DB25 接口 不少于 8 个线路输入和 8 个线路输出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8、ADAT输入和输出≥2组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9、支持字时钟输入/输出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10、内置对讲话筒，可通过踏板开关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含一张8通道线路数字转模拟转换卡</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D2B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FD98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BA69D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1C20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4F73AC">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929D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07956B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音频控制管理终端：</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16 英寸显示屏，14 核中央处理器、20 核图形处理器和 16 核神经网络引擎,24GB 统一内存,512GB 固态硬盘，含无线鼠标键盘</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4F8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932A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468C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60D7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0537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3</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D77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监听与监听控制系统</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43955E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五只环绕监听音箱</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频响范围：38 Hz – 22 kHz ( -6 dB)频响精度：± 1.5 dB ( 44 Hz - 20 kHz)最大声压级：110 dB单元：低音单元 6.5 寸高音单元 0.75寸 金属球顶指向性波导技术</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含两套音箱墙壁挂架</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0C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D2D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E5B1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026F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EE9B6">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BD01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731EC44">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四只顶部监听音箱</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拥有≥ 5 英寸的低频单元和≥ 0.75 英寸的高频单元</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兼容模拟音频信号和 AES/EBU 数字音频信号</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最大声压级≥104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频率响应范围≥45 Hz - 23 kHz (-6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音频接口类型≥：</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1个XLR 模拟输入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个 XLR AES/EBU数字输入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个XLR AES/EBU数字输出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功放功率：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低频 ≥50 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高频 ≥50 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含两套音箱墙壁挂架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四套音箱吊挂支架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五套音箱落地支架</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A9A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9D62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EEEB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66E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476ED6">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64FE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2749C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有源低音监听音箱</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兼容模拟音频信号和 AES/EBU 数字音频信号</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带有 5.1 声道模拟音频输入及低频管理功能，和 2 声道立体声 AES/EBU 数字音频输入及低频管理功能</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单元尺寸≥低频 8 英寸</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最大声压级≥104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频率响应范围≥22 Hz - 160 Hz (-6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作 LFE 声道：22 Hz - 150 Hz (-6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音频接口类型≥：</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 x XLR 模拟输入（5.1声道）</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 x XLR 模拟输出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x XLR AES/EBU 数字输入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x XLR AES/EBU 数字输出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功放功率≥150 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含音箱管理软件套装</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管理软件可进行精确分析，自动优化每只监听音箱和超低音箱的电平、延时、频率响应，以及超低音箱在分频点上的相位</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支持单声道、立体声、沉浸式三维声系统，支持80只监听音箱组成的系统</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支持一键自动校准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同一套监听系统可设置不同的监听制式（如2.0、2.1、5.1、5.1.4 等）以及储存不同的聆听位置（单人监听位、多人监听位、导演位等）的校准数据，支持随时一键切换</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包含管理软件、一只校准话筒和一个适配器</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5E7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AC29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3190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63E2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948A8F">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AD13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751D43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环绕声监听控制器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1、具有不少于两个平衡的7.1输入和不少于两个平衡的立体声输入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2、每一个输入均可路由到平衡的7.1输出。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3、主动输入的左右信号可以额外被路由至任意一个立体声输出。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4、带有1个高质量耳机放大器，可以听到主动输入的左右信号和路由至 7.1 输入的单声道信号。</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290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20FD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7179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3372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BA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4</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14:paraId="7BFC73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全景声监听控制器</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13EC94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 个 DB25 连接器的 16 通道模拟输入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 个 DB25 连接器的 16 通道模拟输出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 个 6.35mm 连接器的 2 通道模拟音频输入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个主音量控制旋钮</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个耳机输出接口</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16 个通道控制按钮，支持 Mute/Solo 控制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2 个参考音量预置和 1 个 DIM 控制开关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具备 CUE 监听总线，可与录音棚内进行对讲通讯并独立调整 CUE 总线信号</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个可扩展插槽，可扩展输入接口（最多可插入一个扩展模块）：</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Dante 扩展模块 ：1 个 RJ45 接口提供提供最多 16 输入通道（最高可支持至 24bit/192kHz 采样率）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AES/EBU 扩展模块 :2 个 DB-25 接口提供最多 16 输入通道（最高可支持至 24bit/192kHz 采样率）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MADI 扩展模块：1 个 BNC 接口提供最多 16 输入通道（最高可支持至 24bit/192kHz 采样率）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ADAT 扩展模块：2 个 Tolink 光纤接口提供最多 16 输入通道（最高可支持至 24bit/48kHz 采样</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含DB25输入、输出音频辫子线</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含桌面对讲话筒：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电容话筒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供电类型：电池供电</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指向性：心型指向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频率响应：100Hz-16KHz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灵敏度：37dB 3dB（0dB=1V/Paat1k</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CB15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481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82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6F93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99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5</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E45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交换机</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78F4A2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不少于48个10/100/1000BASE-T以太网电接口</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不少于4个万兆以太网光接口</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工作模式10/100/1000Mbit/s自适应</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最长有效距离100m</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6E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5D4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139D4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53BA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5C5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6</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512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平板电脑</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4DBBF4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2880 × 1920 像素分辨率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13.2英寸屏幕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12GB+256GB 存储容量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八核心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接口类型 Type-C</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厚度 不大于5.5mm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前置摄像头像素 不低于1600万像素</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后置摄像头像素 不低于5000万像素</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触摸屏类型 电容屏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含8套蓝牙耳机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支持蓝牙/有线两种连接方式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含3.5mm连接线</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71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8</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92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台</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84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23CE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ED1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7</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CD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拾音话筒系统</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1B7113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两支短枪电容话筒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1.短枪式话筒、坚固的全金属外壳、指向性：超心型/叶状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2.频率范围：60 Hz - 20 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3.灵敏度：-35 dB (V/Pa), 17 mV/Pa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4.等效噪声电平（A加权）：14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5.等效噪声电平（CCIR加权）：24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6.信噪比（A加权）：≥ 80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7.最大声压级（ (THD &lt; 0.5 %）：130 dB-SPL (P48)；115 dB-SPL (P12)</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8.最大输出电压：≥1 V (0 dBV) with 2 kΩ load</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9.低切滤波：固定的, 70 Hz, 24 dB/oct.</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10.最小推荐负载阻抗：2 kΩ</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11.输出阻抗：100 Ω</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12.具备RFI屏蔽功能</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13.供电标准/有效范围：P48 / &gt;24 V；P12 / &gt;11 V</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14.电流消耗：小于2.3 mA (P48)</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15.共模抑制比（1kHz）：≥  55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16.输出接口：XLR-3M, 模拟, 1 通道</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含2套话筒杆：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收起长度小于70cm  四节全长小于265cm  杆重小于540g，</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含两个话筒杆收纳筒，每个可收纳4根话筒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含话筒支架4个（直插式手雷链接话筒杆配件）</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DA5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CAA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44F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6AAF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4D2F69">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F21C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2CF01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一套录音机背包：（挑杆辅助背钩系统）</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可通过旋钮调节，重量范围2.5-10公斤</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带滚轮的吊臂钩</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上支撑杆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用于拉下吊杆钩的带子。</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透气材质背心</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功率调节</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高度调节</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腰背调节支架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侧钩</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固定吊杆钩的带子。</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含专用录音背包</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649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4C24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24D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34AA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C5FF55">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82CA1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251A6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二支微型鹅颈话筒：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指向性超心形</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工作原理压力梯度</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频率响应20 Hz- 20 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灵敏度士3 dB at 1 kHz ，16 mV/Pa; -36 dB re. 1 V/Pa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动态范围 Typ. 110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最大声压级,THD 10% ，135 dB SPL 峰值</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供电12 to 48V(幻相供电);5to 10V(无线系统)</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接头 MicroDot</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颜色黑色</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重量小于11克</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话筒长度不大于10.4厘米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使用温度范围 -40℃至45℃</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使用相对湿度(RH) ≥ 90%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套装含吊杆、防风、卡农转接头</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1AC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CF685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EFC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42D4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BEDAFC">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48A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070AEA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全景声话筒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 20 Hz—20 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 kHz的声压级为130 dB（A）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预极化电容麦克风</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拾取模式：4×cardioid，以A格式排列（1：前左上[FLU]，2：前右下[FRD]，3：后下左下[BLD]，4： BRU]）</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标称阻抗：约200 欧姆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最小终端抗阻：1000欧姆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等效噪声级：小于18 dB-A 根据IEC61672-1 / 27dB CCIR加权acccording到CCIR468-3</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电源：支持48V幻象供电</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灵敏度：小于31 mV / Pa（-30 dBV）</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含话筒防风支架、防风毛罩</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9BC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51BA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A57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2C05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E12987">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1DD3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0F62EB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人声动圈话筒：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① 动圈结构；</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② 高声压适用；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③ 频响 ≥30Hz–17kHz</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494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570D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C1A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642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7350DD">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81D8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0BB8D1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大振膜电容话筒：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① 真空管电容结构；</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② 指向 ≥3种类型；</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③ 频响 ≥ 20Hz–20kHz；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④ 等效噪声 ≤18 dBA；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⑤ 最大声压 ≥147dB SPL；⑥ 含完整附件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S/N Ratio：76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 8 mV/Pa</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684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AE38E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F6A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6188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B9726B">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351B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39198DCD">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6支领夹式麦克风话筒：</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全指向超微型电容话筒，全指向，肤色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直径 ≤3毫米  本底噪声小于26dB(A)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最大声压级不低于140dB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TF5针迷你卡农头接口规格</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48V幻象电源 </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385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0B3F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F9B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D8C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2D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8</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23E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重型话筒架</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17F8FE3C">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加重话筒落地支架：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带有3个轮子(加锁设计)</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高度可以调节:1.15米-2.2米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横梁可调节范围:1.23米-2.2米</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净重: 10-13千克</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使用场合:专业录音棚</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含4个防喷罩</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7AFD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0B2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件</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DD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6404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0D1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9</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1B8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视频监视器（控制室)</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15F7747F">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70寸  分辨率不低于1920x1080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接口面板有3.5mm音频输出接口</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含落地移动支架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含2套监控摄像头分辨率不低于1920x1080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5AA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B5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51A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0808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DCA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10</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E10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乐谱架</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6F3C8D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高度范围:约100-150cm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主要材质:放置面为木质或其他软性吸音材料</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含乐谱夹</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产品承重:不小于6.0KG</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80F8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59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件</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F79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6613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5A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11</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7A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视频监视器（录音室)</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02FB63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300米零延迟传输</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屏幕材质 IPS屏幕</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分辨率 1920x1080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最大亮度 1500 cd/m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信号格式 1080P (60 / 59.94 / 50)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1080i (60 / 59.94 / 50)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1080p (30/ 29.97 /25/24 /23.98)</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720p (60 / 59.94 / 50)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无线频率 5150-5850MHZ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传输延时 不大于1ms</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功耗 &lt;9W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输入电压 7~18v</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含4套智能电池</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每套含F970型电池3块及配套充电器</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FC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B9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0E3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75B5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8E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12</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18C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双通道话放无线腰包</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735C60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48V/5V切换    32-Bit浮点内录  550-960MHz宽频</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RF调制 专有数字调制RF频率范围 根据不同地区分配符合当地的合法频段</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RF频率步进 100kHzRF带宽 200kHz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最小频间隔 700kHz天线接口 50 Q SMA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功率输出支持 10/20/25/50mW；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发射器音频 动态范围 123dB失真 &lt;0.5%频率响应 20-20kHz低切 OFF/75Hz/100Hz/150Hz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麦克风电源 MIC-5V, MIC-48V, LINE</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麦克风接口 Lemo 3Pin输入增益 0~+30dBuADC位深 2x24 bitADC采样率 48KH时间码读取器/生成器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时钟精度 0.25 PPM（48小时偏离1帧）时间码类型 LTC(SMPTE)</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时间码帧率 23.98,24,25,29.97,29.97DF,30,30</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內录功能 媒体 MicroSD Card (Flash Memory)文件格式 •wav采样率 48kHz录制格式 24/32bit floa电源 电池类型 AA电池x2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▲含2套时间码器套装，每套含3个时间码器：3.5mm音频接口    </w:t>
            </w:r>
          </w:p>
          <w:p w14:paraId="63EEE7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内置帧率为23.98,24,25,29.97,29.97DF,30， 使用了SMPTE标准时间码    2.4G和蓝牙双模同步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1寸OLED显示屏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含挑杆支架，L3-Link转接线</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48B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A62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42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3018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257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13</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644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返听无线音频接收系统</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2AF21B37">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三台接收机参数：</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RF调制 专有数字调制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RF频率范围 根据不同地区分配符合当地的合法频段</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RF频率步进 100kHz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RF带宽 200kHz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最小频间隔 700kHz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天线接口 2 x 500SMA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  -95dBm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动态范围  105dB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失真 ≤0.5%</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DAC位深 24 bit</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电池类型 AA电池×2</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AA电池续航 大于15小时</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303B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017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181D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3AF7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4AC51A">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F508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3164F456">
            <w:pPr>
              <w:keepNext w:val="0"/>
              <w:keepLines w:val="0"/>
              <w:pageBreakBefore w:val="0"/>
              <w:widowControl/>
              <w:suppressLineNumbers w:val="0"/>
              <w:kinsoku/>
              <w:wordWrap/>
              <w:overflowPunct/>
              <w:topLinePunct w:val="0"/>
              <w:autoSpaceDE/>
              <w:autoSpaceDN/>
              <w:bidi w:val="0"/>
              <w:adjustRightInd/>
              <w:snapToGrid/>
              <w:spacing w:after="180" w:afterAutospacing="0"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发射机参数：</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RF调制专有数字调制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RF频率范围550-960MHz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RF频率步进100KHz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RF带宽200kHz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功率输出10/20/25/50 mW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天线接口50SMA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动态范围123dB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失真&lt;0.5%</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频率响应20HZ-20kHZ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低切OFF/75/100/150Hz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麦克电源MIC/LINE</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麦克风接口3.5mm TRS</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输入增益0~30dBu</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ADC位深2x24 bit</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ADC采样率48kHz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时钟精度0.25PPM约48小时1帧</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时间码类型LTC(SMPTE)</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时间码帧率23.98,24,25,29.97,29.97DF,30,30DF</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内录媒体Micro SD(最高支持128G)</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内录格式.wav</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内录录制格式24/32 bit浮点</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BE1F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92C0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924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4D8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30B1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14</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F88C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导演监听系统</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0F3C26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无线监听发射机参数：</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1.可兼容同品牌多种接收机产品；</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2.双通道发射机，调谐范围：≥140MHz；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3.频率步进25kHz；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4.频率范围大于470-607MHz；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5.至少三档射频发射功率可调；</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6.采用数字调制技术；</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7.频率响应优于15Hz-10kHz；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8.加密方式AES 256；</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9.输入类型至少两种，MIC或者LINE；</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DE7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289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CCD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3BC3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7CC52C">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EF37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33354F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ascii="PingFang SC" w:hAnsi="PingFang SC" w:eastAsia="PingFang SC" w:cs="PingFang SC"/>
                <w:i w:val="0"/>
                <w:iCs w:val="0"/>
                <w:color w:val="000000" w:themeColor="text1"/>
                <w:sz w:val="18"/>
                <w:szCs w:val="18"/>
                <w:highlight w:val="none"/>
                <w:u w:val="none"/>
                <w14:textFill>
                  <w14:solidFill>
                    <w14:schemeClr w14:val="tx1"/>
                  </w14:solidFill>
                </w14:textFill>
              </w:rPr>
            </w:pPr>
            <w:r>
              <w:rPr>
                <w:rStyle w:val="103"/>
                <w:color w:val="000000" w:themeColor="text1"/>
                <w:highlight w:val="none"/>
                <w:lang w:val="en-US" w:eastAsia="zh-CN" w:bidi="ar"/>
                <w14:textFill>
                  <w14:solidFill>
                    <w14:schemeClr w14:val="tx1"/>
                  </w14:solidFill>
                </w14:textFill>
              </w:rPr>
              <w:t>三台无线监听</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接收机参数：</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1.可兼容同品牌多种发射机产品；</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2.双通道接收机，调谐范围：≥140MHz；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3.频率范围大于470-607MHz；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4.双天线立体声接收；</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5.可观测射频信号强度；</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6.具备调节耳机输出音量的旋钮；</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7.具备频谱扫描功能，并可通过红外与发射机传输频率设置参数；</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8.支持Mixer模式，可选择单声道、立体声等不同的监听模式；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9.内置音量限制器；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含三副入耳式监听耳机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阻抗:小于16欧姆</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频响范围:5Hz~22kHZ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灵敏度:大于103.5dB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电缆长度大于125cm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含3套入封闭式监听耳机：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铷磁体动圈发声单元</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全封闭式设计</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配有可拆卸直线式耳机线</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频率响应：10至22,000 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灵敏度：大于96 dB/mW</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阻抗：≤40 Ω</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最大输入功率：≤500mW</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5CAB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7824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FB3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3ED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4B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15</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2DC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无线耳机信号分配放大器</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4FF4C8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信号分配放大器：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频率范围 470MHz~ 1 GHz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增益 +3~9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端口隔离 &gt;20dB（最小值）</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输入阻抗 小于500欧</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输出阻抗 小于502欧</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前端最大输入信号 +13dBm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过载指示 OdBm</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噪声系数 &lt;1.5 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工作电压 USB-C: 5VDC</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 HRS4: 12V-16.8V DC</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工作电流消耗 ＜160mA（HRS4输入）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铝合金材质</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含2台电源分配器：输入接口TA4：支持智能电池、非智能电池</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1个USB-C接口：使用PD3协议接入时最高支持45W输入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出 5个4Pin 航空接口：底部的1个输出最高 5A，其余可输出2A</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1个USB-C：可输出 5V/3ARPS触点</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每套含1件天线支架  </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809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96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A7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r w14:paraId="70FB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jc w:val="center"/>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371C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16</w:t>
            </w:r>
          </w:p>
        </w:tc>
        <w:tc>
          <w:tcPr>
            <w:tcW w:w="21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39A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无线音频传输系统</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413CE4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简" w:hAnsi="宋体-简" w:eastAsia="宋体-简" w:cs="宋体-简"/>
                <w:b/>
                <w:bCs/>
                <w:i w:val="0"/>
                <w:iCs w:val="0"/>
                <w:color w:val="000000" w:themeColor="text1"/>
                <w:sz w:val="18"/>
                <w:szCs w:val="18"/>
                <w:highlight w:val="none"/>
                <w:u w:val="none"/>
                <w14:textFill>
                  <w14:solidFill>
                    <w14:schemeClr w14:val="tx1"/>
                  </w14:solidFill>
                </w14:textFill>
              </w:rPr>
            </w:pP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两台无线音频接收机</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1.四通道接收机</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2.采用数字调制技术</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3.频率步进：25kHz</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4.前面板有AES或者模拟输出接口</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5.接收频率范围470Mhz-610Mhz</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6.支持红外同步数据功能</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7.频率响应范围满足：25Hz - 20KHz</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8.动态范围＞120dB</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9.总谐波失真THD：≤0.2％</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10.数字系统延时不高于2ms</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11.可兼容数字混合技术的发射机</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12.支持软件控制</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 xml:space="preserve">13.支持最少三种天线分集模式                         </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含联接SL-2基站用25pin接口</w:t>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宋体-简" w:hAnsi="宋体-简" w:eastAsia="宋体-简" w:cs="宋体-简"/>
                <w:b/>
                <w:bCs/>
                <w:i w:val="0"/>
                <w:iCs w:val="0"/>
                <w:color w:val="000000" w:themeColor="text1"/>
                <w:kern w:val="0"/>
                <w:sz w:val="18"/>
                <w:szCs w:val="18"/>
                <w:highlight w:val="none"/>
                <w:u w:val="none"/>
                <w:lang w:val="en-US" w:eastAsia="zh-CN" w:bidi="ar"/>
                <w14:textFill>
                  <w14:solidFill>
                    <w14:schemeClr w14:val="tx1"/>
                  </w14:solidFill>
                </w14:textFill>
              </w:rPr>
              <w:t>含DSR4EXT接口（4输出，一个供电）</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BB5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31A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套</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2E5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进口</w:t>
            </w:r>
          </w:p>
        </w:tc>
      </w:tr>
      <w:tr w14:paraId="365D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jc w:val="center"/>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1EB2B">
            <w:pPr>
              <w:keepNext w:val="0"/>
              <w:keepLines w:val="0"/>
              <w:pageBreakBefore w:val="0"/>
              <w:kinsoku/>
              <w:wordWrap/>
              <w:overflowPunct/>
              <w:topLinePunct w:val="0"/>
              <w:autoSpaceDE/>
              <w:autoSpaceDN/>
              <w:bidi w:val="0"/>
              <w:adjustRightInd/>
              <w:snapToGrid/>
              <w:spacing w:line="240" w:lineRule="auto"/>
              <w:jc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p>
        </w:tc>
        <w:tc>
          <w:tcPr>
            <w:tcW w:w="217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F033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352B58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四台演员腰包无线音频发射机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1.与无线话筒接收机为同品牌产品</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2.数字调制方式，调谐带宽不低于130MHz</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3.内置D2和高密度两种传输模式</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 xml:space="preserve">4.频率步进：25kHz                </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5.发射频率范围兼容接收机</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6.话筒接口要有锁扣结构</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7.可切换成录音功能，可插存储卡</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8.支持至少三档发射功率可调</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9.5针伺服偏压电路输入，适合多种类输入</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10.增益控制范围-7至+44dB</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11.可通过手机APP控制输入增益，频率，休眠模式，低切</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12. 2节AA电池供电</w:t>
            </w: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BF28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50AC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7A4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14:paraId="7E1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AA7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等线" w:hAnsi="等线" w:eastAsia="等线" w:cs="等线"/>
                <w:i w:val="0"/>
                <w:iCs w:val="0"/>
                <w:color w:val="000000" w:themeColor="text1"/>
                <w:sz w:val="20"/>
                <w:szCs w:val="20"/>
                <w:highlight w:val="none"/>
                <w:u w:val="none"/>
                <w14:textFill>
                  <w14:solidFill>
                    <w14:schemeClr w14:val="tx1"/>
                  </w14:solidFill>
                </w14:textFill>
              </w:rPr>
            </w:pPr>
            <w:r>
              <w:rPr>
                <w:rFonts w:hint="eastAsia" w:ascii="等线" w:hAnsi="等线" w:eastAsia="等线" w:cs="等线"/>
                <w:i w:val="0"/>
                <w:iCs w:val="0"/>
                <w:color w:val="000000" w:themeColor="text1"/>
                <w:kern w:val="0"/>
                <w:sz w:val="20"/>
                <w:szCs w:val="20"/>
                <w:highlight w:val="none"/>
                <w:u w:val="none"/>
                <w:lang w:val="en-US" w:eastAsia="zh-CN" w:bidi="ar"/>
                <w14:textFill>
                  <w14:solidFill>
                    <w14:schemeClr w14:val="tx1"/>
                  </w14:solidFill>
                </w14:textFill>
              </w:rPr>
              <w:t>17</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FE5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系统集成</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top"/>
          </w:tcPr>
          <w:p w14:paraId="680C85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二楼录音棚工作台及机柜、安装调试；</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同期录音推车安装调试；</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一楼录音棚AVID S4调音台软件升级、全景声监听升级配件、脚踏对讲系统升级；</w:t>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系统安装线材，接插件、安装调试、设备集成。</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664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95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项</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9157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国产</w:t>
            </w:r>
          </w:p>
        </w:tc>
      </w:tr>
    </w:tbl>
    <w:p w14:paraId="6A007781">
      <w:pPr>
        <w:pStyle w:val="4"/>
        <w:spacing w:before="220" w:after="220" w:line="480" w:lineRule="auto"/>
        <w:ind w:left="0" w:leftChars="0" w:firstLine="723" w:firstLineChars="0"/>
        <w:rPr>
          <w:rFonts w:hint="eastAsia" w:ascii="仿宋" w:hAnsi="仿宋" w:eastAsia="仿宋" w:cs="仿宋"/>
          <w:color w:val="000000" w:themeColor="text1"/>
          <w:sz w:val="24"/>
          <w:szCs w:val="24"/>
          <w:highlight w:val="none"/>
          <w14:textFill>
            <w14:solidFill>
              <w14:schemeClr w14:val="tx1"/>
            </w14:solidFill>
          </w14:textFill>
        </w:rPr>
      </w:pPr>
    </w:p>
    <w:p w14:paraId="49029EC7">
      <w:pPr>
        <w:rPr>
          <w:rFonts w:hint="eastAsia"/>
          <w:color w:val="000000" w:themeColor="text1"/>
          <w:highlight w:val="none"/>
          <w14:textFill>
            <w14:solidFill>
              <w14:schemeClr w14:val="tx1"/>
            </w14:solidFill>
          </w14:textFill>
        </w:rPr>
      </w:pPr>
    </w:p>
    <w:p w14:paraId="0B1D3A66">
      <w:pPr>
        <w:pStyle w:val="4"/>
        <w:spacing w:before="220" w:after="220" w:line="480" w:lineRule="auto"/>
        <w:ind w:left="0" w:leftChars="0" w:firstLine="723" w:firstLineChars="0"/>
        <w:rPr>
          <w:rFonts w:hint="eastAsia" w:ascii="仿宋" w:hAnsi="仿宋" w:eastAsia="仿宋" w:cs="仿宋"/>
          <w:color w:val="000000" w:themeColor="text1"/>
          <w:sz w:val="24"/>
          <w:szCs w:val="24"/>
          <w:highlight w:val="none"/>
          <w14:textFill>
            <w14:solidFill>
              <w14:schemeClr w14:val="tx1"/>
            </w14:solidFill>
          </w14:textFill>
        </w:rPr>
      </w:pPr>
    </w:p>
    <w:p w14:paraId="348C798C">
      <w:pPr>
        <w:rPr>
          <w:rFonts w:hint="eastAsia" w:ascii="仿宋" w:hAnsi="仿宋" w:eastAsia="仿宋" w:cs="仿宋"/>
          <w:color w:val="000000" w:themeColor="text1"/>
          <w:sz w:val="24"/>
          <w:szCs w:val="24"/>
          <w:highlight w:val="none"/>
          <w14:textFill>
            <w14:solidFill>
              <w14:schemeClr w14:val="tx1"/>
            </w14:solidFill>
          </w14:textFill>
        </w:rPr>
      </w:pPr>
    </w:p>
    <w:p w14:paraId="1163D898">
      <w:pPr>
        <w:pStyle w:val="2"/>
        <w:rPr>
          <w:rFonts w:hint="eastAsia"/>
          <w:color w:val="000000" w:themeColor="text1"/>
          <w:highlight w:val="none"/>
          <w14:textFill>
            <w14:solidFill>
              <w14:schemeClr w14:val="tx1"/>
            </w14:solidFill>
          </w14:textFill>
        </w:rPr>
      </w:pPr>
    </w:p>
    <w:p w14:paraId="55B35666">
      <w:pPr>
        <w:pStyle w:val="4"/>
        <w:spacing w:before="220" w:after="220" w:line="480" w:lineRule="auto"/>
        <w:ind w:left="0" w:leftChars="0" w:firstLine="723" w:firstLineChars="0"/>
        <w:rPr>
          <w:rFonts w:hint="eastAsia" w:ascii="仿宋" w:hAnsi="仿宋" w:eastAsia="仿宋" w:cs="仿宋"/>
          <w:color w:val="000000" w:themeColor="text1"/>
          <w:sz w:val="24"/>
          <w:szCs w:val="24"/>
          <w:highlight w:val="none"/>
          <w14:textFill>
            <w14:solidFill>
              <w14:schemeClr w14:val="tx1"/>
            </w14:solidFill>
          </w14:textFill>
        </w:rPr>
      </w:pPr>
    </w:p>
    <w:p w14:paraId="022CD1AE">
      <w:pPr>
        <w:pStyle w:val="4"/>
        <w:spacing w:before="220" w:after="220" w:line="480" w:lineRule="auto"/>
        <w:ind w:left="0" w:leftChars="0" w:firstLine="723" w:firstLineChars="0"/>
        <w:rPr>
          <w:rFonts w:hint="eastAsia" w:ascii="仿宋" w:hAnsi="仿宋" w:eastAsia="仿宋" w:cs="仿宋"/>
          <w:color w:val="000000" w:themeColor="text1"/>
          <w:sz w:val="24"/>
          <w:szCs w:val="24"/>
          <w:highlight w:val="none"/>
          <w14:textFill>
            <w14:solidFill>
              <w14:schemeClr w14:val="tx1"/>
            </w14:solidFill>
          </w14:textFill>
        </w:rPr>
      </w:pPr>
    </w:p>
    <w:p w14:paraId="5B11A886">
      <w:pPr>
        <w:rPr>
          <w:rFonts w:hint="eastAsia"/>
          <w:color w:val="000000" w:themeColor="text1"/>
          <w:highlight w:val="none"/>
          <w14:textFill>
            <w14:solidFill>
              <w14:schemeClr w14:val="tx1"/>
            </w14:solidFill>
          </w14:textFill>
        </w:rPr>
      </w:pPr>
    </w:p>
    <w:p w14:paraId="69DA6FA7">
      <w:pPr>
        <w:pStyle w:val="4"/>
        <w:spacing w:before="220" w:after="220" w:line="480" w:lineRule="auto"/>
        <w:ind w:left="0" w:leftChars="0" w:firstLine="723"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第四章 资格审查</w:t>
      </w:r>
      <w:bookmarkEnd w:id="410"/>
      <w:bookmarkEnd w:id="411"/>
    </w:p>
    <w:p w14:paraId="546D0B3A">
      <w:pPr>
        <w:pStyle w:val="5"/>
        <w:spacing w:before="60" w:after="60" w:line="360" w:lineRule="auto"/>
        <w:ind w:left="420" w:firstLine="562"/>
        <w:rPr>
          <w:rFonts w:hint="eastAsia" w:ascii="仿宋" w:hAnsi="仿宋" w:eastAsia="仿宋" w:cs="仿宋"/>
          <w:color w:val="000000" w:themeColor="text1"/>
          <w:sz w:val="24"/>
          <w:szCs w:val="24"/>
          <w:highlight w:val="none"/>
          <w:lang w:val="zh-CN"/>
          <w14:textFill>
            <w14:solidFill>
              <w14:schemeClr w14:val="tx1"/>
            </w14:solidFill>
          </w14:textFill>
        </w:rPr>
      </w:pPr>
      <w:bookmarkStart w:id="412" w:name="_Toc31801"/>
      <w:r>
        <w:rPr>
          <w:rFonts w:hint="eastAsia" w:ascii="仿宋" w:hAnsi="仿宋" w:eastAsia="仿宋" w:cs="仿宋"/>
          <w:color w:val="000000" w:themeColor="text1"/>
          <w:sz w:val="24"/>
          <w:szCs w:val="24"/>
          <w:highlight w:val="none"/>
          <w14:textFill>
            <w14:solidFill>
              <w14:schemeClr w14:val="tx1"/>
            </w14:solidFill>
          </w14:textFill>
        </w:rPr>
        <w:t>一、资格审查程序</w:t>
      </w:r>
      <w:bookmarkEnd w:id="412"/>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E20CE50">
      <w:pPr>
        <w:pStyle w:val="47"/>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 xml:space="preserve">1 开标结束后，采购人或采购代理机构将根据《资格审查要求》中的规定，对投标人进行资格审查，并形成资格审查结果。 </w:t>
      </w:r>
    </w:p>
    <w:p w14:paraId="2FB3E7CF">
      <w:pPr>
        <w:pStyle w:val="47"/>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2 投标人《资格证明文件》有任何一项不符合《资格审查要求》的，资格审查不合格，其</w:t>
      </w:r>
      <w:r>
        <w:rPr>
          <w:rFonts w:hint="eastAsia" w:ascii="仿宋" w:hAnsi="仿宋" w:eastAsia="仿宋" w:cs="仿宋"/>
          <w:b/>
          <w:bCs/>
          <w:color w:val="000000" w:themeColor="text1"/>
          <w:sz w:val="24"/>
          <w:szCs w:val="24"/>
          <w:highlight w:val="none"/>
          <w:lang w:val="en-US"/>
          <w14:textFill>
            <w14:solidFill>
              <w14:schemeClr w14:val="tx1"/>
            </w14:solidFill>
          </w14:textFill>
        </w:rPr>
        <w:t>投标无效</w:t>
      </w:r>
      <w:r>
        <w:rPr>
          <w:rFonts w:hint="eastAsia" w:ascii="仿宋" w:hAnsi="仿宋" w:eastAsia="仿宋" w:cs="仿宋"/>
          <w:color w:val="000000" w:themeColor="text1"/>
          <w:sz w:val="24"/>
          <w:szCs w:val="24"/>
          <w:highlight w:val="none"/>
          <w:lang w:val="en-US"/>
          <w14:textFill>
            <w14:solidFill>
              <w14:schemeClr w14:val="tx1"/>
            </w14:solidFill>
          </w14:textFill>
        </w:rPr>
        <w:t xml:space="preserve">。 </w:t>
      </w:r>
    </w:p>
    <w:p w14:paraId="7101FA39">
      <w:pPr>
        <w:pStyle w:val="47"/>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 xml:space="preserve">3 资格审查合格的投标人不足 3 家的，不进行评标。 </w:t>
      </w:r>
    </w:p>
    <w:p w14:paraId="49616D85">
      <w:pPr>
        <w:pStyle w:val="5"/>
        <w:spacing w:before="60" w:after="60" w:line="360" w:lineRule="auto"/>
        <w:ind w:left="420" w:firstLine="562"/>
        <w:rPr>
          <w:rFonts w:hint="eastAsia" w:ascii="仿宋" w:hAnsi="仿宋" w:eastAsia="仿宋" w:cs="仿宋"/>
          <w:color w:val="000000" w:themeColor="text1"/>
          <w:sz w:val="24"/>
          <w:szCs w:val="24"/>
          <w:highlight w:val="none"/>
          <w14:textFill>
            <w14:solidFill>
              <w14:schemeClr w14:val="tx1"/>
            </w14:solidFill>
          </w14:textFill>
        </w:rPr>
      </w:pPr>
      <w:bookmarkStart w:id="413" w:name="_Toc19754"/>
      <w:r>
        <w:rPr>
          <w:rFonts w:hint="eastAsia" w:ascii="仿宋" w:hAnsi="仿宋" w:eastAsia="仿宋" w:cs="仿宋"/>
          <w:color w:val="000000" w:themeColor="text1"/>
          <w:sz w:val="24"/>
          <w:szCs w:val="24"/>
          <w:highlight w:val="none"/>
          <w14:textFill>
            <w14:solidFill>
              <w14:schemeClr w14:val="tx1"/>
            </w14:solidFill>
          </w14:textFill>
        </w:rPr>
        <w:t>二、资格审查要求</w:t>
      </w:r>
      <w:bookmarkEnd w:id="413"/>
      <w:r>
        <w:rPr>
          <w:rFonts w:hint="eastAsia" w:ascii="仿宋" w:hAnsi="仿宋" w:eastAsia="仿宋" w:cs="仿宋"/>
          <w:color w:val="000000" w:themeColor="text1"/>
          <w:sz w:val="24"/>
          <w:szCs w:val="24"/>
          <w:highlight w:val="none"/>
          <w14:textFill>
            <w14:solidFill>
              <w14:schemeClr w14:val="tx1"/>
            </w14:solidFill>
          </w14:textFill>
        </w:rPr>
        <w:t xml:space="preserve"> </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6"/>
        <w:gridCol w:w="1555"/>
        <w:gridCol w:w="4646"/>
        <w:gridCol w:w="1380"/>
      </w:tblGrid>
      <w:tr w14:paraId="1724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6" w:type="pct"/>
            <w:shd w:val="clear" w:color="auto" w:fill="D8D8D8"/>
            <w:noWrap w:val="0"/>
            <w:vAlign w:val="center"/>
          </w:tcPr>
          <w:p w14:paraId="7BCA4BC2">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序号</w:t>
            </w:r>
          </w:p>
        </w:tc>
        <w:tc>
          <w:tcPr>
            <w:tcW w:w="938" w:type="pct"/>
            <w:shd w:val="clear" w:color="auto" w:fill="D8D8D8"/>
            <w:noWrap w:val="0"/>
            <w:vAlign w:val="center"/>
          </w:tcPr>
          <w:p w14:paraId="0BB02D40">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审查因素</w:t>
            </w:r>
          </w:p>
        </w:tc>
        <w:tc>
          <w:tcPr>
            <w:tcW w:w="2802" w:type="pct"/>
            <w:shd w:val="clear" w:color="auto" w:fill="D8D8D8"/>
            <w:noWrap w:val="0"/>
            <w:vAlign w:val="center"/>
          </w:tcPr>
          <w:p w14:paraId="54CC4B9F">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审查内容</w:t>
            </w:r>
          </w:p>
        </w:tc>
        <w:tc>
          <w:tcPr>
            <w:tcW w:w="832" w:type="pct"/>
            <w:shd w:val="clear" w:color="auto" w:fill="D8D8D8"/>
            <w:noWrap w:val="0"/>
            <w:vAlign w:val="center"/>
          </w:tcPr>
          <w:p w14:paraId="65ACF780">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格式要求</w:t>
            </w:r>
          </w:p>
        </w:tc>
      </w:tr>
      <w:tr w14:paraId="6A80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6" w:type="pct"/>
            <w:shd w:val="clear" w:color="auto" w:fill="FFFFFF"/>
            <w:noWrap w:val="0"/>
            <w:vAlign w:val="center"/>
          </w:tcPr>
          <w:p w14:paraId="775A0BA2">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p>
        </w:tc>
        <w:tc>
          <w:tcPr>
            <w:tcW w:w="938" w:type="pct"/>
            <w:shd w:val="clear" w:color="auto" w:fill="FFFFFF"/>
            <w:noWrap w:val="0"/>
            <w:vAlign w:val="center"/>
          </w:tcPr>
          <w:p w14:paraId="2F04740B">
            <w:pPr>
              <w:widowControl/>
              <w:spacing w:line="280" w:lineRule="exact"/>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 xml:space="preserve">满足《政府采购 </w:t>
            </w:r>
          </w:p>
          <w:p w14:paraId="1B44CFD9">
            <w:pPr>
              <w:widowControl/>
              <w:spacing w:line="280" w:lineRule="exact"/>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 xml:space="preserve">法》第二十二条 </w:t>
            </w:r>
          </w:p>
          <w:p w14:paraId="08B4C481">
            <w:pPr>
              <w:widowControl/>
              <w:spacing w:line="280" w:lineRule="exact"/>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规定</w:t>
            </w:r>
          </w:p>
        </w:tc>
        <w:tc>
          <w:tcPr>
            <w:tcW w:w="2802" w:type="pct"/>
            <w:shd w:val="clear" w:color="auto" w:fill="FFFFFF"/>
            <w:noWrap w:val="0"/>
            <w:vAlign w:val="center"/>
          </w:tcPr>
          <w:p w14:paraId="3598664A">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具体规定见“第一章 招标公告”</w:t>
            </w:r>
          </w:p>
        </w:tc>
        <w:tc>
          <w:tcPr>
            <w:tcW w:w="832" w:type="pct"/>
            <w:shd w:val="clear" w:color="auto" w:fill="FFFFFF"/>
            <w:noWrap w:val="0"/>
            <w:vAlign w:val="center"/>
          </w:tcPr>
          <w:p w14:paraId="51A71052">
            <w:pPr>
              <w:pStyle w:val="59"/>
              <w:jc w:val="center"/>
              <w:rPr>
                <w:rFonts w:hint="eastAsia" w:ascii="仿宋" w:hAnsi="仿宋" w:eastAsia="仿宋" w:cs="仿宋"/>
                <w:b/>
                <w:bCs/>
                <w:color w:val="000000" w:themeColor="text1"/>
                <w:szCs w:val="24"/>
                <w:highlight w:val="none"/>
                <w14:textFill>
                  <w14:solidFill>
                    <w14:schemeClr w14:val="tx1"/>
                  </w14:solidFill>
                </w14:textFill>
              </w:rPr>
            </w:pPr>
          </w:p>
        </w:tc>
      </w:tr>
      <w:tr w14:paraId="523C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noWrap w:val="0"/>
            <w:vAlign w:val="center"/>
          </w:tcPr>
          <w:p w14:paraId="460D7867">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1-1</w:t>
            </w:r>
          </w:p>
        </w:tc>
        <w:tc>
          <w:tcPr>
            <w:tcW w:w="938" w:type="pct"/>
            <w:shd w:val="clear" w:color="auto" w:fill="FFFFFF"/>
            <w:noWrap w:val="0"/>
            <w:vAlign w:val="center"/>
          </w:tcPr>
          <w:p w14:paraId="391893B9">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营业执照等证明文件</w:t>
            </w:r>
          </w:p>
        </w:tc>
        <w:tc>
          <w:tcPr>
            <w:tcW w:w="2802" w:type="pct"/>
            <w:shd w:val="clear" w:color="auto" w:fill="FFFFFF"/>
            <w:noWrap w:val="0"/>
            <w:vAlign w:val="center"/>
          </w:tcPr>
          <w:p w14:paraId="2461535C">
            <w:pPr>
              <w:widowControl/>
              <w:spacing w:line="280" w:lineRule="exact"/>
              <w:rPr>
                <w:rFonts w:hint="eastAsia" w:ascii="仿宋" w:hAnsi="仿宋" w:eastAsia="仿宋" w:cs="仿宋"/>
                <w:color w:val="000000" w:themeColor="text1"/>
                <w:spacing w:val="-6"/>
                <w:kern w:val="0"/>
                <w:szCs w:val="24"/>
                <w:highlight w:val="none"/>
                <w14:textFill>
                  <w14:solidFill>
                    <w14:schemeClr w14:val="tx1"/>
                  </w14:solidFill>
                </w14:textFill>
              </w:rPr>
            </w:pPr>
            <w:r>
              <w:rPr>
                <w:rFonts w:hint="eastAsia" w:ascii="仿宋" w:hAnsi="仿宋" w:eastAsia="仿宋" w:cs="仿宋"/>
                <w:color w:val="000000" w:themeColor="text1"/>
                <w:spacing w:val="-6"/>
                <w:kern w:val="0"/>
                <w:szCs w:val="24"/>
                <w:highlight w:val="none"/>
                <w14:textFill>
                  <w14:solidFill>
                    <w14:schemeClr w14:val="tx1"/>
                  </w14:solidFill>
                </w14:textFill>
              </w:rPr>
              <w:t xml:space="preserve">投标人为企业（包括合伙企业）的，应提供有效的“营业执照”； </w:t>
            </w:r>
          </w:p>
          <w:p w14:paraId="088352DE">
            <w:pPr>
              <w:widowControl/>
              <w:spacing w:line="280" w:lineRule="exact"/>
              <w:rPr>
                <w:rFonts w:hint="eastAsia" w:ascii="仿宋" w:hAnsi="仿宋" w:eastAsia="仿宋" w:cs="仿宋"/>
                <w:color w:val="000000" w:themeColor="text1"/>
                <w:spacing w:val="-6"/>
                <w:kern w:val="0"/>
                <w:szCs w:val="24"/>
                <w:highlight w:val="none"/>
                <w14:textFill>
                  <w14:solidFill>
                    <w14:schemeClr w14:val="tx1"/>
                  </w14:solidFill>
                </w14:textFill>
              </w:rPr>
            </w:pPr>
            <w:r>
              <w:rPr>
                <w:rFonts w:hint="eastAsia" w:ascii="仿宋" w:hAnsi="仿宋" w:eastAsia="仿宋" w:cs="仿宋"/>
                <w:color w:val="000000" w:themeColor="text1"/>
                <w:spacing w:val="-6"/>
                <w:kern w:val="0"/>
                <w:szCs w:val="24"/>
                <w:highlight w:val="none"/>
                <w14:textFill>
                  <w14:solidFill>
                    <w14:schemeClr w14:val="tx1"/>
                  </w14:solidFill>
                </w14:textFill>
              </w:rPr>
              <w:t xml:space="preserve">投标人为事业单位的，应提供有效的“事业单位法人证书” ； </w:t>
            </w:r>
          </w:p>
          <w:p w14:paraId="4BFC6592">
            <w:pPr>
              <w:widowControl/>
              <w:spacing w:line="280" w:lineRule="exact"/>
              <w:rPr>
                <w:rFonts w:hint="eastAsia" w:ascii="仿宋" w:hAnsi="仿宋" w:eastAsia="仿宋" w:cs="仿宋"/>
                <w:color w:val="000000" w:themeColor="text1"/>
                <w:spacing w:val="-6"/>
                <w:kern w:val="0"/>
                <w:szCs w:val="24"/>
                <w:highlight w:val="none"/>
                <w14:textFill>
                  <w14:solidFill>
                    <w14:schemeClr w14:val="tx1"/>
                  </w14:solidFill>
                </w14:textFill>
              </w:rPr>
            </w:pPr>
            <w:r>
              <w:rPr>
                <w:rFonts w:hint="eastAsia" w:ascii="仿宋" w:hAnsi="仿宋" w:eastAsia="仿宋" w:cs="仿宋"/>
                <w:color w:val="000000" w:themeColor="text1"/>
                <w:spacing w:val="-6"/>
                <w:kern w:val="0"/>
                <w:szCs w:val="24"/>
                <w:highlight w:val="none"/>
                <w14:textFill>
                  <w14:solidFill>
                    <w14:schemeClr w14:val="tx1"/>
                  </w14:solidFill>
                </w14:textFill>
              </w:rPr>
              <w:t xml:space="preserve">投标人是非企业机构的，应提供有效的“执业许可证”、“登记证书”等证明文件； </w:t>
            </w:r>
          </w:p>
          <w:p w14:paraId="27B090BE">
            <w:pPr>
              <w:widowControl/>
              <w:spacing w:line="280" w:lineRule="exact"/>
              <w:rPr>
                <w:rFonts w:hint="eastAsia" w:ascii="仿宋" w:hAnsi="仿宋" w:eastAsia="仿宋" w:cs="仿宋"/>
                <w:color w:val="000000" w:themeColor="text1"/>
                <w:spacing w:val="-6"/>
                <w:kern w:val="0"/>
                <w:szCs w:val="24"/>
                <w:highlight w:val="none"/>
                <w14:textFill>
                  <w14:solidFill>
                    <w14:schemeClr w14:val="tx1"/>
                  </w14:solidFill>
                </w14:textFill>
              </w:rPr>
            </w:pPr>
            <w:r>
              <w:rPr>
                <w:rFonts w:hint="eastAsia" w:ascii="仿宋" w:hAnsi="仿宋" w:eastAsia="仿宋" w:cs="仿宋"/>
                <w:color w:val="000000" w:themeColor="text1"/>
                <w:spacing w:val="-6"/>
                <w:kern w:val="0"/>
                <w:szCs w:val="24"/>
                <w:highlight w:val="none"/>
                <w14:textFill>
                  <w14:solidFill>
                    <w14:schemeClr w14:val="tx1"/>
                  </w14:solidFill>
                </w14:textFill>
              </w:rPr>
              <w:t xml:space="preserve">投标人是个体工商户的，应提供有效的“个体工商户营业执照”； </w:t>
            </w:r>
          </w:p>
          <w:p w14:paraId="2362FA2B">
            <w:pPr>
              <w:widowControl/>
              <w:spacing w:line="280" w:lineRule="exact"/>
              <w:rPr>
                <w:rFonts w:hint="eastAsia" w:ascii="仿宋" w:hAnsi="仿宋" w:eastAsia="仿宋" w:cs="仿宋"/>
                <w:color w:val="000000" w:themeColor="text1"/>
                <w:spacing w:val="-6"/>
                <w:kern w:val="0"/>
                <w:szCs w:val="24"/>
                <w:highlight w:val="none"/>
                <w14:textFill>
                  <w14:solidFill>
                    <w14:schemeClr w14:val="tx1"/>
                  </w14:solidFill>
                </w14:textFill>
              </w:rPr>
            </w:pPr>
            <w:r>
              <w:rPr>
                <w:rFonts w:hint="eastAsia" w:ascii="仿宋" w:hAnsi="仿宋" w:eastAsia="仿宋" w:cs="仿宋"/>
                <w:color w:val="000000" w:themeColor="text1"/>
                <w:spacing w:val="-6"/>
                <w:kern w:val="0"/>
                <w:szCs w:val="24"/>
                <w:highlight w:val="none"/>
                <w14:textFill>
                  <w14:solidFill>
                    <w14:schemeClr w14:val="tx1"/>
                  </w14:solidFill>
                </w14:textFill>
              </w:rPr>
              <w:t>投标人是自然人的，应提供有效的自然人身份证明。</w:t>
            </w:r>
          </w:p>
        </w:tc>
        <w:tc>
          <w:tcPr>
            <w:tcW w:w="832" w:type="pct"/>
            <w:shd w:val="clear" w:color="auto" w:fill="FFFFFF"/>
            <w:noWrap w:val="0"/>
            <w:vAlign w:val="center"/>
          </w:tcPr>
          <w:p w14:paraId="00432543">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提供证明文件的电子件或电子证照</w:t>
            </w:r>
          </w:p>
        </w:tc>
      </w:tr>
      <w:tr w14:paraId="46C7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0D778F46">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1-2</w:t>
            </w:r>
          </w:p>
        </w:tc>
        <w:tc>
          <w:tcPr>
            <w:tcW w:w="938" w:type="pct"/>
            <w:shd w:val="clear" w:color="auto" w:fill="FFFFFF"/>
            <w:noWrap w:val="0"/>
            <w:vAlign w:val="center"/>
          </w:tcPr>
          <w:p w14:paraId="3775E803">
            <w:pPr>
              <w:pStyle w:val="59"/>
              <w:spacing w:line="280" w:lineRule="exact"/>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法定代表人身份证明及授权委托书</w:t>
            </w:r>
          </w:p>
        </w:tc>
        <w:tc>
          <w:tcPr>
            <w:tcW w:w="2802" w:type="pct"/>
            <w:shd w:val="clear" w:color="auto" w:fill="FFFFFF"/>
            <w:noWrap w:val="0"/>
            <w:vAlign w:val="center"/>
          </w:tcPr>
          <w:p w14:paraId="13EDF20F">
            <w:pPr>
              <w:widowControl/>
              <w:spacing w:line="280" w:lineRule="exact"/>
              <w:rPr>
                <w:rFonts w:hint="eastAsia" w:ascii="仿宋" w:hAnsi="仿宋" w:eastAsia="仿宋" w:cs="仿宋"/>
                <w:color w:val="000000" w:themeColor="text1"/>
                <w:spacing w:val="-11"/>
                <w:kern w:val="0"/>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法定代表人身份证明及授权委托书有效，且符合招标文件规定的格式</w:t>
            </w:r>
          </w:p>
        </w:tc>
        <w:tc>
          <w:tcPr>
            <w:tcW w:w="832" w:type="pct"/>
            <w:shd w:val="clear" w:color="auto" w:fill="FFFFFF"/>
            <w:noWrap w:val="0"/>
            <w:vAlign w:val="center"/>
          </w:tcPr>
          <w:p w14:paraId="46FB37A2">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p>
        </w:tc>
      </w:tr>
      <w:tr w14:paraId="5E0C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6FB54D35">
            <w:pPr>
              <w:pStyle w:val="59"/>
              <w:jc w:val="center"/>
              <w:rPr>
                <w:rFonts w:hint="eastAsia" w:ascii="仿宋" w:hAnsi="仿宋" w:eastAsia="仿宋" w:cs="仿宋"/>
                <w:b/>
                <w:bCs/>
                <w:color w:val="000000" w:themeColor="text1"/>
                <w:szCs w:val="24"/>
                <w:highlight w:val="none"/>
                <w:lang w:val="en-US"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3</w:t>
            </w:r>
          </w:p>
        </w:tc>
        <w:tc>
          <w:tcPr>
            <w:tcW w:w="938" w:type="pct"/>
            <w:shd w:val="clear" w:color="auto" w:fill="FFFFFF"/>
            <w:noWrap w:val="0"/>
            <w:vAlign w:val="center"/>
          </w:tcPr>
          <w:p w14:paraId="71BF9C5C">
            <w:pPr>
              <w:pStyle w:val="59"/>
              <w:spacing w:line="280" w:lineRule="exac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具有履行合同所必须的设备和专业技术能力</w:t>
            </w:r>
          </w:p>
        </w:tc>
        <w:tc>
          <w:tcPr>
            <w:tcW w:w="2802" w:type="pct"/>
            <w:shd w:val="clear" w:color="auto" w:fill="FFFFFF"/>
            <w:noWrap w:val="0"/>
            <w:vAlign w:val="center"/>
          </w:tcPr>
          <w:p w14:paraId="16BEABF1">
            <w:pPr>
              <w:widowControl/>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主要设备情况，以及主要技术人员、售后服务机构人员能力等。（提供投标声明）</w:t>
            </w:r>
          </w:p>
        </w:tc>
        <w:tc>
          <w:tcPr>
            <w:tcW w:w="832" w:type="pct"/>
            <w:shd w:val="clear" w:color="auto" w:fill="FFFFFF"/>
            <w:noWrap w:val="0"/>
            <w:vAlign w:val="center"/>
          </w:tcPr>
          <w:p w14:paraId="415020C6">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p>
        </w:tc>
      </w:tr>
      <w:tr w14:paraId="451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6B75DFCA">
            <w:pPr>
              <w:pStyle w:val="59"/>
              <w:jc w:val="center"/>
              <w:rPr>
                <w:rFonts w:hint="eastAsia" w:ascii="仿宋" w:hAnsi="仿宋" w:eastAsia="仿宋" w:cs="仿宋"/>
                <w:b/>
                <w:bCs/>
                <w:color w:val="000000" w:themeColor="text1"/>
                <w:szCs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4</w:t>
            </w:r>
          </w:p>
        </w:tc>
        <w:tc>
          <w:tcPr>
            <w:tcW w:w="938" w:type="pct"/>
            <w:shd w:val="clear" w:color="auto" w:fill="FFFFFF"/>
            <w:noWrap w:val="0"/>
            <w:vAlign w:val="center"/>
          </w:tcPr>
          <w:p w14:paraId="153EEBEE">
            <w:pPr>
              <w:pStyle w:val="59"/>
              <w:spacing w:line="280" w:lineRule="exac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有依法缴纳税收和社会保障金的良好记录</w:t>
            </w:r>
          </w:p>
        </w:tc>
        <w:tc>
          <w:tcPr>
            <w:tcW w:w="2802" w:type="pct"/>
            <w:shd w:val="clear" w:color="auto" w:fill="FFFFFF"/>
            <w:noWrap w:val="0"/>
            <w:vAlign w:val="center"/>
          </w:tcPr>
          <w:p w14:paraId="6F317B2B">
            <w:pPr>
              <w:widowControl/>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提供近一年内任意</w:t>
            </w:r>
            <w:r>
              <w:rPr>
                <w:rFonts w:hint="eastAsia" w:ascii="仿宋" w:hAnsi="仿宋" w:eastAsia="仿宋" w:cs="仿宋"/>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个月的缴纳税收的完税证明材料或提供无欠税证明等。提供社保机构出具的近一年内任意</w:t>
            </w:r>
            <w:r>
              <w:rPr>
                <w:rFonts w:hint="eastAsia" w:ascii="仿宋" w:hAnsi="仿宋" w:eastAsia="仿宋" w:cs="仿宋"/>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个月的社保缴纳证明。新成立公司提供成立之日起至今的缴税记录及社保缴纳证明。注：依法免税或不需要缴纳社会保障金的投标人，应提供相关证明材料，包括相关法规要求原文及加盖公章的情况说明</w:t>
            </w:r>
          </w:p>
        </w:tc>
        <w:tc>
          <w:tcPr>
            <w:tcW w:w="832" w:type="pct"/>
            <w:shd w:val="clear" w:color="auto" w:fill="FFFFFF"/>
            <w:noWrap w:val="0"/>
            <w:vAlign w:val="center"/>
          </w:tcPr>
          <w:p w14:paraId="42A5CF67">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p>
        </w:tc>
      </w:tr>
      <w:tr w14:paraId="057E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noWrap w:val="0"/>
            <w:vAlign w:val="center"/>
          </w:tcPr>
          <w:p w14:paraId="55C68FC0">
            <w:pPr>
              <w:pStyle w:val="59"/>
              <w:jc w:val="center"/>
              <w:rPr>
                <w:rFonts w:hint="eastAsia" w:ascii="仿宋" w:hAnsi="仿宋" w:eastAsia="仿宋" w:cs="仿宋"/>
                <w:b/>
                <w:bCs/>
                <w:color w:val="000000" w:themeColor="text1"/>
                <w:szCs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5</w:t>
            </w:r>
          </w:p>
        </w:tc>
        <w:tc>
          <w:tcPr>
            <w:tcW w:w="938" w:type="pct"/>
            <w:shd w:val="clear" w:color="auto" w:fill="FFFFFF"/>
            <w:noWrap w:val="0"/>
            <w:vAlign w:val="center"/>
          </w:tcPr>
          <w:p w14:paraId="3BA63825">
            <w:pPr>
              <w:pStyle w:val="59"/>
              <w:spacing w:line="280" w:lineRule="exac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参加政府采购活动近3年内，在经营活动中没有重大违法记录</w:t>
            </w:r>
          </w:p>
        </w:tc>
        <w:tc>
          <w:tcPr>
            <w:tcW w:w="2802" w:type="pct"/>
            <w:shd w:val="clear" w:color="auto" w:fill="FFFFFF"/>
            <w:noWrap w:val="0"/>
            <w:vAlign w:val="center"/>
          </w:tcPr>
          <w:p w14:paraId="2A706AB9">
            <w:pPr>
              <w:widowControl/>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参加本项目准备活动前3年内无重大违法记录声明（提供投标声明）</w:t>
            </w:r>
          </w:p>
        </w:tc>
        <w:tc>
          <w:tcPr>
            <w:tcW w:w="832" w:type="pct"/>
            <w:shd w:val="clear" w:color="auto" w:fill="FFFFFF"/>
            <w:noWrap w:val="0"/>
            <w:vAlign w:val="center"/>
          </w:tcPr>
          <w:p w14:paraId="1988CDEC">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p>
        </w:tc>
      </w:tr>
      <w:tr w14:paraId="5878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noWrap w:val="0"/>
            <w:vAlign w:val="center"/>
          </w:tcPr>
          <w:p w14:paraId="7252DB3D">
            <w:pPr>
              <w:pStyle w:val="59"/>
              <w:jc w:val="center"/>
              <w:rPr>
                <w:rFonts w:hint="eastAsia" w:ascii="仿宋" w:hAnsi="仿宋" w:eastAsia="仿宋" w:cs="仿宋"/>
                <w:b/>
                <w:bCs/>
                <w:color w:val="000000" w:themeColor="text1"/>
                <w:szCs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6</w:t>
            </w:r>
          </w:p>
        </w:tc>
        <w:tc>
          <w:tcPr>
            <w:tcW w:w="938" w:type="pct"/>
            <w:shd w:val="clear" w:color="auto" w:fill="FFFFFF"/>
            <w:noWrap w:val="0"/>
            <w:vAlign w:val="center"/>
          </w:tcPr>
          <w:p w14:paraId="20A8E67B">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健全的财务会计制度</w:t>
            </w:r>
          </w:p>
        </w:tc>
        <w:tc>
          <w:tcPr>
            <w:tcW w:w="2802" w:type="pct"/>
            <w:shd w:val="clear" w:color="auto" w:fill="FFFFFF"/>
            <w:noWrap w:val="0"/>
            <w:vAlign w:val="center"/>
          </w:tcPr>
          <w:p w14:paraId="78BB4FCC">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Cs/>
                <w:color w:val="000000" w:themeColor="text1"/>
                <w:kern w:val="0"/>
                <w:szCs w:val="24"/>
                <w:highlight w:val="none"/>
                <w14:textFill>
                  <w14:solidFill>
                    <w14:schemeClr w14:val="tx1"/>
                  </w14:solidFill>
                </w14:textFill>
              </w:rPr>
              <w:t>提供会计事务所出具的202</w:t>
            </w:r>
            <w:r>
              <w:rPr>
                <w:rFonts w:hint="eastAsia" w:ascii="仿宋" w:hAnsi="仿宋" w:eastAsia="仿宋" w:cs="仿宋"/>
                <w:bCs/>
                <w:color w:val="000000" w:themeColor="text1"/>
                <w:kern w:val="0"/>
                <w:szCs w:val="24"/>
                <w:highlight w:val="none"/>
                <w:lang w:val="en-US" w:eastAsia="zh-CN"/>
                <w14:textFill>
                  <w14:solidFill>
                    <w14:schemeClr w14:val="tx1"/>
                  </w14:solidFill>
                </w14:textFill>
              </w:rPr>
              <w:t>5</w:t>
            </w:r>
            <w:r>
              <w:rPr>
                <w:rFonts w:hint="eastAsia" w:ascii="仿宋" w:hAnsi="仿宋" w:eastAsia="仿宋" w:cs="仿宋"/>
                <w:bCs/>
                <w:color w:val="000000" w:themeColor="text1"/>
                <w:kern w:val="0"/>
                <w:szCs w:val="24"/>
                <w:highlight w:val="none"/>
                <w14:textFill>
                  <w14:solidFill>
                    <w14:schemeClr w14:val="tx1"/>
                  </w14:solidFill>
                </w14:textFill>
              </w:rPr>
              <w:t>年度财务审计报告</w:t>
            </w:r>
            <w:r>
              <w:rPr>
                <w:rFonts w:hint="eastAsia" w:ascii="仿宋" w:hAnsi="仿宋" w:eastAsia="仿宋" w:cs="仿宋"/>
                <w:bCs/>
                <w:color w:val="000000" w:themeColor="text1"/>
                <w:kern w:val="0"/>
                <w:szCs w:val="24"/>
                <w:highlight w:val="none"/>
                <w:lang w:val="en-US" w:eastAsia="zh-CN"/>
                <w14:textFill>
                  <w14:solidFill>
                    <w14:schemeClr w14:val="tx1"/>
                  </w14:solidFill>
                </w14:textFill>
              </w:rPr>
              <w:t>或财务报表</w:t>
            </w:r>
            <w:r>
              <w:rPr>
                <w:rFonts w:hint="eastAsia" w:ascii="仿宋" w:hAnsi="仿宋" w:eastAsia="仿宋" w:cs="仿宋"/>
                <w:bCs/>
                <w:color w:val="000000" w:themeColor="text1"/>
                <w:kern w:val="0"/>
                <w:szCs w:val="24"/>
                <w:highlight w:val="none"/>
                <w14:textFill>
                  <w14:solidFill>
                    <w14:schemeClr w14:val="tx1"/>
                  </w14:solidFill>
                </w14:textFill>
              </w:rPr>
              <w:t>，（新成立不足一年的提供成立之日起至今的财务报表和基本开户银行出具的资信证明）。若为自然人的，只需提供本人良好信誉承诺书。</w:t>
            </w:r>
          </w:p>
        </w:tc>
        <w:tc>
          <w:tcPr>
            <w:tcW w:w="832" w:type="pct"/>
            <w:shd w:val="clear" w:color="auto" w:fill="FFFFFF"/>
            <w:noWrap w:val="0"/>
            <w:vAlign w:val="center"/>
          </w:tcPr>
          <w:p w14:paraId="761D8A05">
            <w:pPr>
              <w:widowControl/>
              <w:spacing w:line="280" w:lineRule="exact"/>
              <w:rPr>
                <w:rFonts w:hint="eastAsia" w:ascii="仿宋" w:hAnsi="仿宋" w:eastAsia="仿宋" w:cs="仿宋"/>
                <w:color w:val="000000" w:themeColor="text1"/>
                <w:kern w:val="0"/>
                <w:szCs w:val="24"/>
                <w:highlight w:val="none"/>
                <w14:textFill>
                  <w14:solidFill>
                    <w14:schemeClr w14:val="tx1"/>
                  </w14:solidFill>
                </w14:textFill>
              </w:rPr>
            </w:pPr>
          </w:p>
        </w:tc>
      </w:tr>
      <w:tr w14:paraId="1209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8" w:hRule="atLeast"/>
          <w:jc w:val="center"/>
        </w:trPr>
        <w:tc>
          <w:tcPr>
            <w:tcW w:w="426" w:type="pct"/>
            <w:shd w:val="clear" w:color="auto" w:fill="FFFFFF"/>
            <w:noWrap w:val="0"/>
            <w:vAlign w:val="center"/>
          </w:tcPr>
          <w:p w14:paraId="75DB6FDF">
            <w:pPr>
              <w:pStyle w:val="59"/>
              <w:jc w:val="center"/>
              <w:rPr>
                <w:rFonts w:hint="eastAsia" w:ascii="仿宋" w:hAnsi="仿宋" w:eastAsia="仿宋" w:cs="仿宋"/>
                <w:b/>
                <w:bCs/>
                <w:color w:val="000000" w:themeColor="text1"/>
                <w:szCs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7</w:t>
            </w:r>
          </w:p>
        </w:tc>
        <w:tc>
          <w:tcPr>
            <w:tcW w:w="938" w:type="pct"/>
            <w:shd w:val="clear" w:color="auto" w:fill="FFFFFF"/>
            <w:noWrap w:val="0"/>
            <w:vAlign w:val="center"/>
          </w:tcPr>
          <w:p w14:paraId="11C22665">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投标人信用记录</w:t>
            </w:r>
          </w:p>
        </w:tc>
        <w:tc>
          <w:tcPr>
            <w:tcW w:w="2802" w:type="pct"/>
            <w:shd w:val="clear" w:color="auto" w:fill="FFFFFF"/>
            <w:noWrap w:val="0"/>
            <w:vAlign w:val="center"/>
          </w:tcPr>
          <w:p w14:paraId="0D49DE02">
            <w:pPr>
              <w:pStyle w:val="59"/>
              <w:jc w:val="both"/>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查询渠道：信用中国网站和中国政府采购网（ </w:t>
            </w:r>
          </w:p>
          <w:p w14:paraId="5FC47D39">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www.creditchina.gov.cn 、www.ccgp.gov.cn）；</w:t>
            </w:r>
            <w:r>
              <w:rPr>
                <w:rFonts w:hint="eastAsia" w:ascii="仿宋" w:hAnsi="仿宋" w:eastAsia="仿宋" w:cs="仿宋"/>
                <w:color w:val="000000" w:themeColor="text1"/>
                <w:szCs w:val="24"/>
                <w:highlight w:val="none"/>
                <w14:textFill>
                  <w14:solidFill>
                    <w14:schemeClr w14:val="tx1"/>
                  </w14:solidFill>
                </w14:textFill>
              </w:rPr>
              <w:t xml:space="preserve"> </w:t>
            </w:r>
          </w:p>
          <w:p w14:paraId="0757BD41">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截止时点：投标截止时间以后、资格审查阶段采购人或采购代理机构的实际查询时间； </w:t>
            </w:r>
          </w:p>
          <w:p w14:paraId="16CB245A">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信用信息查询记录和证据留存具体方式：查询结果网页打印页作为查询记录和证据，与其他采购文件一并保存； </w:t>
            </w:r>
          </w:p>
          <w:p w14:paraId="30CB82D9">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信用信息的使用原则：经认定的被列入失信被执行人、重大税收违法失信主体、政府采购严重违法失信行为记录名单的投标人，其</w:t>
            </w:r>
            <w:r>
              <w:rPr>
                <w:rFonts w:hint="eastAsia" w:ascii="仿宋" w:hAnsi="仿宋" w:eastAsia="仿宋" w:cs="仿宋"/>
                <w:b/>
                <w:bCs/>
                <w:color w:val="000000" w:themeColor="text1"/>
                <w:spacing w:val="-6"/>
                <w:szCs w:val="24"/>
                <w:highlight w:val="none"/>
                <w14:textFill>
                  <w14:solidFill>
                    <w14:schemeClr w14:val="tx1"/>
                  </w14:solidFill>
                </w14:textFill>
              </w:rPr>
              <w:t>投标无效</w:t>
            </w:r>
            <w:r>
              <w:rPr>
                <w:rFonts w:hint="eastAsia" w:ascii="仿宋" w:hAnsi="仿宋" w:eastAsia="仿宋" w:cs="仿宋"/>
                <w:color w:val="000000" w:themeColor="text1"/>
                <w:spacing w:val="-6"/>
                <w:szCs w:val="24"/>
                <w:highlight w:val="none"/>
                <w14:textFill>
                  <w14:solidFill>
                    <w14:schemeClr w14:val="tx1"/>
                  </w14:solidFill>
                </w14:textFill>
              </w:rPr>
              <w:t>。联合体形式投标的，联合体成员存在不良信用记录，视同联合体存在不良信用记录。</w:t>
            </w:r>
          </w:p>
        </w:tc>
        <w:tc>
          <w:tcPr>
            <w:tcW w:w="832" w:type="pct"/>
            <w:shd w:val="clear" w:color="auto" w:fill="FFFFFF"/>
            <w:noWrap w:val="0"/>
            <w:vAlign w:val="center"/>
          </w:tcPr>
          <w:p w14:paraId="10A711F2">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由采购人或采购代理机构查询。</w:t>
            </w:r>
          </w:p>
          <w:p w14:paraId="51240CF8">
            <w:pPr>
              <w:widowControl/>
              <w:spacing w:line="240" w:lineRule="auto"/>
              <w:rPr>
                <w:rFonts w:hint="eastAsia" w:ascii="仿宋" w:hAnsi="仿宋" w:eastAsia="仿宋" w:cs="仿宋"/>
                <w:color w:val="000000" w:themeColor="text1"/>
                <w:kern w:val="0"/>
                <w:szCs w:val="24"/>
                <w:highlight w:val="none"/>
                <w14:textFill>
                  <w14:solidFill>
                    <w14:schemeClr w14:val="tx1"/>
                  </w14:solidFill>
                </w14:textFill>
              </w:rPr>
            </w:pPr>
          </w:p>
        </w:tc>
      </w:tr>
      <w:tr w14:paraId="3EA2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noWrap w:val="0"/>
            <w:vAlign w:val="center"/>
          </w:tcPr>
          <w:p w14:paraId="053BA1A9">
            <w:pPr>
              <w:pStyle w:val="59"/>
              <w:jc w:val="center"/>
              <w:rPr>
                <w:rFonts w:hint="eastAsia" w:ascii="仿宋" w:hAnsi="仿宋" w:eastAsia="仿宋" w:cs="仿宋"/>
                <w:b/>
                <w:bCs/>
                <w:color w:val="000000" w:themeColor="text1"/>
                <w:szCs w:val="24"/>
                <w:highlight w:val="none"/>
                <w:lang w:val="en-US" w:eastAsia="zh-CN"/>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1-</w:t>
            </w:r>
            <w:r>
              <w:rPr>
                <w:rFonts w:hint="eastAsia" w:ascii="仿宋" w:hAnsi="仿宋" w:eastAsia="仿宋" w:cs="仿宋"/>
                <w:b/>
                <w:bCs/>
                <w:color w:val="000000" w:themeColor="text1"/>
                <w:szCs w:val="24"/>
                <w:highlight w:val="none"/>
                <w:lang w:val="en-US" w:eastAsia="zh-CN"/>
                <w14:textFill>
                  <w14:solidFill>
                    <w14:schemeClr w14:val="tx1"/>
                  </w14:solidFill>
                </w14:textFill>
              </w:rPr>
              <w:t>8</w:t>
            </w:r>
          </w:p>
        </w:tc>
        <w:tc>
          <w:tcPr>
            <w:tcW w:w="938" w:type="pct"/>
            <w:shd w:val="clear" w:color="auto" w:fill="FFFFFF"/>
            <w:noWrap w:val="0"/>
            <w:vAlign w:val="center"/>
          </w:tcPr>
          <w:p w14:paraId="5AE335E3">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法律、行政法规规定的其他条件</w:t>
            </w:r>
          </w:p>
        </w:tc>
        <w:tc>
          <w:tcPr>
            <w:tcW w:w="2802" w:type="pct"/>
            <w:shd w:val="clear" w:color="auto" w:fill="FFFFFF"/>
            <w:noWrap w:val="0"/>
            <w:vAlign w:val="center"/>
          </w:tcPr>
          <w:p w14:paraId="6BC90EE9">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法律、行政法规规定的其他条件</w:t>
            </w:r>
          </w:p>
        </w:tc>
        <w:tc>
          <w:tcPr>
            <w:tcW w:w="832" w:type="pct"/>
            <w:shd w:val="clear" w:color="auto" w:fill="FFFFFF"/>
            <w:noWrap w:val="0"/>
            <w:vAlign w:val="center"/>
          </w:tcPr>
          <w:p w14:paraId="34D29793">
            <w:pPr>
              <w:pStyle w:val="59"/>
              <w:jc w:val="center"/>
              <w:rPr>
                <w:rFonts w:hint="eastAsia" w:ascii="仿宋" w:hAnsi="仿宋" w:eastAsia="仿宋" w:cs="仿宋"/>
                <w:b/>
                <w:bCs/>
                <w:color w:val="000000" w:themeColor="text1"/>
                <w:szCs w:val="24"/>
                <w:highlight w:val="none"/>
                <w14:textFill>
                  <w14:solidFill>
                    <w14:schemeClr w14:val="tx1"/>
                  </w14:solidFill>
                </w14:textFill>
              </w:rPr>
            </w:pPr>
          </w:p>
        </w:tc>
      </w:tr>
      <w:tr w14:paraId="106A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6" w:hRule="atLeast"/>
          <w:jc w:val="center"/>
        </w:trPr>
        <w:tc>
          <w:tcPr>
            <w:tcW w:w="426" w:type="pct"/>
            <w:shd w:val="clear" w:color="auto" w:fill="FFFFFF"/>
            <w:noWrap w:val="0"/>
            <w:vAlign w:val="center"/>
          </w:tcPr>
          <w:p w14:paraId="78C3FF82">
            <w:pPr>
              <w:pStyle w:val="59"/>
              <w:jc w:val="center"/>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p>
        </w:tc>
        <w:tc>
          <w:tcPr>
            <w:tcW w:w="938" w:type="pct"/>
            <w:shd w:val="clear" w:color="auto" w:fill="FFFFFF"/>
            <w:noWrap w:val="0"/>
            <w:vAlign w:val="center"/>
          </w:tcPr>
          <w:p w14:paraId="373F19CE">
            <w:pPr>
              <w:pStyle w:val="59"/>
              <w:jc w:val="both"/>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val="0"/>
                <w:bCs w:val="0"/>
                <w:color w:val="000000" w:themeColor="text1"/>
                <w:kern w:val="0"/>
                <w:szCs w:val="28"/>
                <w:highlight w:val="none"/>
                <w:lang w:val="zh-CN" w:eastAsia="zh-CN"/>
                <w14:textFill>
                  <w14:solidFill>
                    <w14:schemeClr w14:val="tx1"/>
                  </w14:solidFill>
                </w14:textFill>
              </w:rPr>
              <w:t>其他要求</w:t>
            </w:r>
          </w:p>
        </w:tc>
        <w:tc>
          <w:tcPr>
            <w:tcW w:w="2802" w:type="pct"/>
            <w:shd w:val="clear" w:color="auto" w:fill="FFFFFF"/>
            <w:noWrap w:val="0"/>
            <w:vAlign w:val="center"/>
          </w:tcPr>
          <w:p w14:paraId="6A643B49">
            <w:pPr>
              <w:pStyle w:val="5"/>
              <w:keepNext/>
              <w:keepLines/>
              <w:numPr>
                <w:ilvl w:val="0"/>
                <w:numId w:val="0"/>
              </w:numPr>
              <w:spacing w:before="100" w:after="100" w:line="360" w:lineRule="auto"/>
              <w:ind w:left="420" w:leftChars="0" w:hanging="420" w:firstLine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val="0"/>
                <w:bCs w:val="0"/>
                <w:color w:val="000000" w:themeColor="text1"/>
                <w:kern w:val="0"/>
                <w:sz w:val="24"/>
                <w:szCs w:val="28"/>
                <w:highlight w:val="none"/>
                <w:lang w:val="zh-CN" w:eastAsia="zh-CN" w:bidi="ar-SA"/>
                <w14:textFill>
                  <w14:solidFill>
                    <w14:schemeClr w14:val="tx1"/>
                  </w14:solidFill>
                </w14:textFill>
              </w:rPr>
              <w:t>不参与围标串标承诺书，</w:t>
            </w:r>
            <w:r>
              <w:rPr>
                <w:rFonts w:hint="eastAsia" w:ascii="仿宋" w:hAnsi="仿宋" w:eastAsia="仿宋" w:cs="仿宋"/>
                <w:b w:val="0"/>
                <w:bCs w:val="0"/>
                <w:color w:val="000000" w:themeColor="text1"/>
                <w:kern w:val="0"/>
                <w:sz w:val="24"/>
                <w:szCs w:val="28"/>
                <w:highlight w:val="none"/>
                <w:lang w:val="en-US" w:eastAsia="zh-CN" w:bidi="ar-SA"/>
                <w14:textFill>
                  <w14:solidFill>
                    <w14:schemeClr w14:val="tx1"/>
                  </w14:solidFill>
                </w14:textFill>
              </w:rPr>
              <w:t>提供承诺书</w:t>
            </w:r>
          </w:p>
        </w:tc>
        <w:tc>
          <w:tcPr>
            <w:tcW w:w="832" w:type="pct"/>
            <w:shd w:val="clear" w:color="auto" w:fill="FFFFFF"/>
            <w:noWrap w:val="0"/>
            <w:vAlign w:val="center"/>
          </w:tcPr>
          <w:p w14:paraId="29B3937C">
            <w:pPr>
              <w:pStyle w:val="59"/>
              <w:jc w:val="center"/>
              <w:rPr>
                <w:rFonts w:hint="eastAsia" w:ascii="仿宋" w:hAnsi="仿宋" w:eastAsia="仿宋" w:cs="仿宋"/>
                <w:b/>
                <w:bCs/>
                <w:color w:val="000000" w:themeColor="text1"/>
                <w:szCs w:val="24"/>
                <w:highlight w:val="none"/>
                <w14:textFill>
                  <w14:solidFill>
                    <w14:schemeClr w14:val="tx1"/>
                  </w14:solidFill>
                </w14:textFill>
              </w:rPr>
            </w:pPr>
          </w:p>
        </w:tc>
      </w:tr>
    </w:tbl>
    <w:p w14:paraId="072F9F9F">
      <w:pPr>
        <w:widowControl/>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  </w:t>
      </w:r>
    </w:p>
    <w:p w14:paraId="614506D9">
      <w:pPr>
        <w:ind w:firstLine="723"/>
        <w:rPr>
          <w:rFonts w:hint="eastAsia" w:ascii="仿宋" w:hAnsi="仿宋" w:eastAsia="仿宋" w:cs="仿宋"/>
          <w:b/>
          <w:bCs/>
          <w:color w:val="000000" w:themeColor="text1"/>
          <w:kern w:val="44"/>
          <w:sz w:val="24"/>
          <w:szCs w:val="24"/>
          <w:highlight w:val="none"/>
          <w14:textFill>
            <w14:solidFill>
              <w14:schemeClr w14:val="tx1"/>
            </w14:solidFill>
          </w14:textFill>
        </w:rPr>
      </w:pPr>
      <w:bookmarkStart w:id="414" w:name="_Toc155185903"/>
      <w:bookmarkStart w:id="415" w:name="_Toc18814"/>
      <w:r>
        <w:rPr>
          <w:rFonts w:hint="eastAsia" w:ascii="仿宋" w:hAnsi="仿宋" w:eastAsia="仿宋" w:cs="仿宋"/>
          <w:b/>
          <w:bCs/>
          <w:color w:val="000000" w:themeColor="text1"/>
          <w:kern w:val="44"/>
          <w:sz w:val="24"/>
          <w:szCs w:val="24"/>
          <w:highlight w:val="none"/>
          <w14:textFill>
            <w14:solidFill>
              <w14:schemeClr w14:val="tx1"/>
            </w14:solidFill>
          </w14:textFill>
        </w:rPr>
        <w:br w:type="page"/>
      </w:r>
    </w:p>
    <w:p w14:paraId="3BD8A66D">
      <w:pPr>
        <w:pStyle w:val="4"/>
        <w:spacing w:before="220" w:after="220" w:line="480" w:lineRule="auto"/>
        <w:ind w:left="420" w:firstLine="72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第五章 评标方法</w:t>
      </w:r>
      <w:bookmarkEnd w:id="414"/>
      <w:r>
        <w:rPr>
          <w:rFonts w:hint="eastAsia" w:ascii="仿宋" w:hAnsi="仿宋" w:eastAsia="仿宋" w:cs="仿宋"/>
          <w:color w:val="000000" w:themeColor="text1"/>
          <w:sz w:val="24"/>
          <w:szCs w:val="24"/>
          <w:highlight w:val="none"/>
          <w14:textFill>
            <w14:solidFill>
              <w14:schemeClr w14:val="tx1"/>
            </w14:solidFill>
          </w14:textFill>
        </w:rPr>
        <w:t>及标准(综合评分法)</w:t>
      </w:r>
      <w:bookmarkEnd w:id="415"/>
    </w:p>
    <w:p w14:paraId="374A4AC9">
      <w:pPr>
        <w:pStyle w:val="47"/>
        <w:jc w:val="both"/>
        <w:rPr>
          <w:rFonts w:hint="eastAsia" w:ascii="仿宋" w:hAnsi="仿宋" w:eastAsia="仿宋" w:cs="仿宋"/>
          <w:color w:val="000000" w:themeColor="text1"/>
          <w:sz w:val="24"/>
          <w:szCs w:val="24"/>
          <w:highlight w:val="none"/>
          <w14:textFill>
            <w14:solidFill>
              <w14:schemeClr w14:val="tx1"/>
            </w14:solidFill>
          </w14:textFill>
        </w:rPr>
      </w:pPr>
      <w:bookmarkStart w:id="416" w:name="_Toc14768"/>
      <w:bookmarkStart w:id="417" w:name="_Toc27264"/>
      <w:bookmarkStart w:id="418" w:name="_Toc2099"/>
      <w:bookmarkStart w:id="419" w:name="_Toc22385"/>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根据《中华人民共和国政府采购法》及其实施条例、《政府采购货物和服务招标投标管理办法》</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相关法律法规确定以下评标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14:paraId="38ECBEA0">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000000" w:themeColor="text1"/>
          <w:sz w:val="28"/>
          <w:szCs w:val="28"/>
          <w:highlight w:val="none"/>
          <w:lang w:val="zh-CN" w:eastAsia="zh-CN"/>
          <w14:textFill>
            <w14:solidFill>
              <w14:schemeClr w14:val="tx1"/>
            </w14:solidFill>
          </w14:textFill>
        </w:rPr>
      </w:pPr>
      <w:bookmarkStart w:id="420" w:name="_Toc4301"/>
      <w:bookmarkStart w:id="421" w:name="_Toc17592"/>
      <w:bookmarkStart w:id="422" w:name="_Toc272247709"/>
      <w:bookmarkStart w:id="423" w:name="_Toc140132826"/>
      <w:bookmarkStart w:id="424" w:name="_Toc109899903"/>
      <w:bookmarkStart w:id="425" w:name="_Toc155185905"/>
      <w:bookmarkStart w:id="426" w:name="_Toc61280402"/>
      <w:bookmarkStart w:id="427" w:name="_Toc109899484"/>
      <w:bookmarkStart w:id="428" w:name="_Toc511894518"/>
      <w:bookmarkStart w:id="429" w:name="_Toc494561962"/>
      <w:bookmarkStart w:id="430" w:name="_Toc278891606"/>
      <w:bookmarkStart w:id="431" w:name="_Toc109900322"/>
      <w:r>
        <w:rPr>
          <w:rFonts w:hint="eastAsia" w:ascii="仿宋" w:hAnsi="仿宋" w:eastAsia="仿宋" w:cs="仿宋"/>
          <w:color w:val="000000" w:themeColor="text1"/>
          <w:sz w:val="28"/>
          <w:szCs w:val="28"/>
          <w:highlight w:val="none"/>
          <w:lang w:val="zh-CN" w:eastAsia="zh-CN"/>
          <w14:textFill>
            <w14:solidFill>
              <w14:schemeClr w14:val="tx1"/>
            </w14:solidFill>
          </w14:textFill>
        </w:rPr>
        <w:t>一、评标</w:t>
      </w:r>
      <w:r>
        <w:rPr>
          <w:rFonts w:hint="eastAsia" w:ascii="仿宋" w:hAnsi="仿宋" w:eastAsia="仿宋" w:cs="仿宋"/>
          <w:color w:val="000000" w:themeColor="text1"/>
          <w:sz w:val="28"/>
          <w:szCs w:val="28"/>
          <w:highlight w:val="none"/>
          <w:lang w:val="en-US" w:eastAsia="zh-CN"/>
          <w14:textFill>
            <w14:solidFill>
              <w14:schemeClr w14:val="tx1"/>
            </w14:solidFill>
          </w14:textFill>
        </w:rPr>
        <w:t>方</w:t>
      </w:r>
      <w:r>
        <w:rPr>
          <w:rFonts w:hint="eastAsia" w:ascii="仿宋" w:hAnsi="仿宋" w:eastAsia="仿宋" w:cs="仿宋"/>
          <w:color w:val="000000" w:themeColor="text1"/>
          <w:sz w:val="28"/>
          <w:szCs w:val="28"/>
          <w:highlight w:val="none"/>
          <w:lang w:val="zh-CN" w:eastAsia="zh-CN"/>
          <w14:textFill>
            <w14:solidFill>
              <w14:schemeClr w14:val="tx1"/>
            </w14:solidFill>
          </w14:textFill>
        </w:rPr>
        <w:t>法</w:t>
      </w:r>
      <w:bookmarkEnd w:id="420"/>
      <w:bookmarkEnd w:id="421"/>
    </w:p>
    <w:p w14:paraId="2F890D5D">
      <w:pPr>
        <w:pStyle w:val="47"/>
        <w:keepNext w:val="0"/>
        <w:keepLines w:val="0"/>
        <w:pageBreakBefore w:val="0"/>
        <w:widowControl w:val="0"/>
        <w:kinsoku/>
        <w:wordWrap w:val="0"/>
        <w:overflowPunct/>
        <w:topLinePunct w:val="0"/>
        <w:autoSpaceDE/>
        <w:autoSpaceDN/>
        <w:bidi w:val="0"/>
        <w:adjustRightInd/>
        <w:snapToGrid/>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b/>
          <w:bCs/>
          <w:color w:val="000000" w:themeColor="text1"/>
          <w:highlight w:val="none"/>
          <w14:textFill>
            <w14:solidFill>
              <w14:schemeClr w14:val="tx1"/>
            </w14:solidFill>
          </w14:textFill>
        </w:rPr>
        <w:t>本项目采用综合评分法</w:t>
      </w:r>
      <w:r>
        <w:rPr>
          <w:rFonts w:hint="eastAsia" w:ascii="仿宋" w:hAnsi="仿宋" w:eastAsia="仿宋" w:cs="仿宋"/>
          <w:color w:val="000000" w:themeColor="text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E3DE2E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000000" w:themeColor="text1"/>
          <w:sz w:val="28"/>
          <w:szCs w:val="28"/>
          <w:highlight w:val="none"/>
          <w:lang w:val="zh-CN" w:eastAsia="zh-CN"/>
          <w14:textFill>
            <w14:solidFill>
              <w14:schemeClr w14:val="tx1"/>
            </w14:solidFill>
          </w14:textFill>
        </w:rPr>
      </w:pPr>
      <w:bookmarkStart w:id="432" w:name="_Toc27095"/>
      <w:bookmarkStart w:id="433" w:name="_Toc2887"/>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val="zh-CN" w:eastAsia="zh-CN"/>
          <w14:textFill>
            <w14:solidFill>
              <w14:schemeClr w14:val="tx1"/>
            </w14:solidFill>
          </w14:textFill>
        </w:rPr>
        <w:t>、评标程序</w:t>
      </w:r>
      <w:bookmarkEnd w:id="432"/>
      <w:bookmarkEnd w:id="433"/>
    </w:p>
    <w:p w14:paraId="480AEB92">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34" w:name="_Toc19642"/>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（一）符合性审查</w:t>
      </w:r>
      <w:bookmarkEnd w:id="434"/>
    </w:p>
    <w:p w14:paraId="7E3729A1">
      <w:pPr>
        <w:pStyle w:val="47"/>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评标委员会应当对</w:t>
      </w: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审查</w:t>
      </w:r>
      <w:r>
        <w:rPr>
          <w:rFonts w:hint="eastAsia" w:ascii="仿宋" w:hAnsi="仿宋" w:eastAsia="仿宋" w:cs="仿宋"/>
          <w:color w:val="000000" w:themeColor="text1"/>
          <w:sz w:val="24"/>
          <w:szCs w:val="24"/>
          <w:highlight w:val="none"/>
          <w14:textFill>
            <w14:solidFill>
              <w14:schemeClr w14:val="tx1"/>
            </w14:solidFill>
          </w14:textFill>
        </w:rPr>
        <w:t>的投标人的投标文件进行符合性审查，以确定其是否满足招标文件的实质性要求。投标人必须通过符合性审查的全部评审指标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不满足招标文件的实质性要求的，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b/>
          <w:bCs/>
          <w:color w:val="000000" w:themeColor="text1"/>
          <w:sz w:val="24"/>
          <w:szCs w:val="24"/>
          <w:highlight w:val="none"/>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具体内容详</w:t>
      </w:r>
      <w:r>
        <w:rPr>
          <w:rFonts w:hint="eastAsia" w:ascii="仿宋" w:hAnsi="仿宋" w:eastAsia="仿宋" w:cs="仿宋"/>
          <w:color w:val="000000" w:themeColor="text1"/>
          <w:sz w:val="24"/>
          <w:szCs w:val="24"/>
          <w:highlight w:val="none"/>
          <w:lang w:val="zh-CN"/>
          <w14:textFill>
            <w14:solidFill>
              <w14:schemeClr w14:val="tx1"/>
            </w14:solidFill>
          </w14:textFill>
        </w:rPr>
        <w:t>本章“</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val="zh-CN"/>
          <w14:textFill>
            <w14:solidFill>
              <w14:schemeClr w14:val="tx1"/>
            </w14:solidFill>
          </w14:textFill>
        </w:rPr>
        <w:t>、评标标准”中</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val="zh-CN"/>
          <w14:textFill>
            <w14:solidFill>
              <w14:schemeClr w14:val="tx1"/>
            </w14:solidFill>
          </w14:textFill>
        </w:rPr>
        <w:t>“（一）符合性审查”。</w:t>
      </w:r>
    </w:p>
    <w:p w14:paraId="121C11F2">
      <w:pPr>
        <w:pStyle w:val="47"/>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符合性审查</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有效</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不足3家的应当终止采购活动，发布项目终止公告并说明原因，重新开展采购活动。</w:t>
      </w:r>
    </w:p>
    <w:p w14:paraId="635CDE42">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35" w:name="_Toc102116178"/>
      <w:bookmarkStart w:id="436" w:name="_Toc155185907"/>
      <w:bookmarkStart w:id="437" w:name="_Toc102119879"/>
      <w:bookmarkStart w:id="438" w:name="_Toc102114946"/>
      <w:bookmarkStart w:id="439" w:name="_Toc102056244"/>
      <w:bookmarkStart w:id="440" w:name="_Toc102116048"/>
      <w:bookmarkStart w:id="441" w:name="_Toc102057744"/>
      <w:bookmarkStart w:id="442" w:name="_Toc163492903"/>
      <w:bookmarkStart w:id="443" w:name="_Toc32172"/>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）投标文件澄清</w:t>
      </w:r>
      <w:bookmarkEnd w:id="435"/>
      <w:bookmarkEnd w:id="436"/>
      <w:bookmarkEnd w:id="437"/>
      <w:bookmarkEnd w:id="438"/>
      <w:bookmarkEnd w:id="439"/>
      <w:bookmarkEnd w:id="440"/>
      <w:bookmarkEnd w:id="441"/>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及修正</w:t>
      </w:r>
      <w:bookmarkEnd w:id="442"/>
      <w:bookmarkEnd w:id="443"/>
    </w:p>
    <w:p w14:paraId="417A9F15">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1870E454">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4.投标人应按照评标委员会要求在规定时间内作出澄清、说明或者补正，澄清、说明或者补正不得超出投标文件的范围或者改变投标文件的实质性内容。</w:t>
      </w:r>
    </w:p>
    <w:p w14:paraId="032571C8">
      <w:pPr>
        <w:pStyle w:val="4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5.投标人的澄清、说明或者补正是其投标文件的有效组成部分，澄清、说明或者补正应当在政采云平台评标系统中加盖电子印章后提交。</w:t>
      </w:r>
    </w:p>
    <w:p w14:paraId="34284D2E">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无效投标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处理。</w:t>
      </w:r>
    </w:p>
    <w:p w14:paraId="2863B565">
      <w:pPr>
        <w:pStyle w:val="47"/>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ascii="仿宋" w:hAnsi="仿宋" w:eastAsia="仿宋" w:cs="仿宋"/>
          <w:color w:val="000000" w:themeColor="text1"/>
          <w:highlight w:val="none"/>
          <w:lang w:val="en-US" w:eastAsia="zh-CN"/>
          <w14:textFill>
            <w14:solidFill>
              <w14:schemeClr w14:val="tx1"/>
            </w14:solidFill>
          </w14:textFill>
        </w:rPr>
        <w:t>将一个采购包中的内容拆分投标，其</w:t>
      </w:r>
      <w:r>
        <w:rPr>
          <w:rFonts w:hint="eastAsia" w:ascii="仿宋" w:hAnsi="仿宋" w:eastAsia="仿宋" w:cs="仿宋"/>
          <w:b/>
          <w:bCs/>
          <w:color w:val="000000" w:themeColor="text1"/>
          <w:highlight w:val="none"/>
          <w:lang w:val="en-US" w:eastAsia="zh-CN"/>
          <w14:textFill>
            <w14:solidFill>
              <w14:schemeClr w14:val="tx1"/>
            </w14:solidFill>
          </w14:textFill>
        </w:rPr>
        <w:t>投标无效</w:t>
      </w:r>
      <w:r>
        <w:rPr>
          <w:rFonts w:hint="eastAsia" w:ascii="仿宋" w:hAnsi="仿宋" w:eastAsia="仿宋" w:cs="仿宋"/>
          <w:color w:val="000000" w:themeColor="text1"/>
          <w:highlight w:val="none"/>
          <w:lang w:val="en-US" w:eastAsia="zh-CN"/>
          <w14:textFill>
            <w14:solidFill>
              <w14:schemeClr w14:val="tx1"/>
            </w14:solidFill>
          </w14:textFill>
        </w:rPr>
        <w:t>。</w:t>
      </w:r>
    </w:p>
    <w:p w14:paraId="1BD9ED75">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8.投标文件报价出现前后不一致的，除招标文件另有规定外，按照下列规定修正：</w:t>
      </w:r>
    </w:p>
    <w:p w14:paraId="39D2E15A">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8.1投标文件中开标一览表（报价表）内容与投标文件中相应内容不一致的，以开标一览表（报价表）为准；</w:t>
      </w:r>
    </w:p>
    <w:p w14:paraId="3C705872">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8.2大写金额和小写金额不一致的，以大写金额为准；</w:t>
      </w:r>
    </w:p>
    <w:p w14:paraId="7593C6E1">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8.3单价金额小数点或者百分比有明显错位的，以开标一览表的总价为准，并修改单价；</w:t>
      </w:r>
    </w:p>
    <w:p w14:paraId="7A50A477">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8.4总价金额与按单价汇总金额不一致的，以单价金额计算结果为准。</w:t>
      </w:r>
    </w:p>
    <w:p w14:paraId="18CF8548">
      <w:pPr>
        <w:pStyle w:val="4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000000" w:themeColor="text1"/>
          <w:highlight w:val="none"/>
          <w:lang w:val="en-US" w:eastAsia="zh-CN"/>
          <w14:textFill>
            <w14:solidFill>
              <w14:schemeClr w14:val="tx1"/>
            </w14:solidFill>
          </w14:textFill>
        </w:rPr>
        <w:t>投标无效</w:t>
      </w:r>
      <w:r>
        <w:rPr>
          <w:rFonts w:hint="eastAsia" w:ascii="仿宋" w:hAnsi="仿宋" w:eastAsia="仿宋" w:cs="仿宋"/>
          <w:color w:val="000000" w:themeColor="text1"/>
          <w:highlight w:val="none"/>
          <w:lang w:val="en-US" w:eastAsia="zh-CN"/>
          <w14:textFill>
            <w14:solidFill>
              <w14:schemeClr w14:val="tx1"/>
            </w14:solidFill>
          </w14:textFill>
        </w:rPr>
        <w:t>。</w:t>
      </w:r>
    </w:p>
    <w:p w14:paraId="74FAB61F">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4" w:name="_Toc13089"/>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）比较与评价</w:t>
      </w:r>
      <w:bookmarkEnd w:id="444"/>
    </w:p>
    <w:p w14:paraId="30E4832B">
      <w:pPr>
        <w:pStyle w:val="4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评标委员会应当按照招标文件中规定的评标方法和标准，对符合性审查合格的投标文件进行商务和技术评</w:t>
      </w:r>
      <w:r>
        <w:rPr>
          <w:rFonts w:hint="eastAsia" w:ascii="仿宋" w:hAnsi="仿宋" w:eastAsia="仿宋" w:cs="仿宋"/>
          <w:color w:val="000000" w:themeColor="text1"/>
          <w:sz w:val="24"/>
          <w:szCs w:val="24"/>
          <w:highlight w:val="none"/>
          <w:lang w:val="en-US" w:eastAsia="zh-CN"/>
          <w14:textFill>
            <w14:solidFill>
              <w14:schemeClr w14:val="tx1"/>
            </w14:solidFill>
          </w14:textFill>
        </w:rPr>
        <w:t>估</w:t>
      </w:r>
      <w:r>
        <w:rPr>
          <w:rFonts w:hint="eastAsia" w:ascii="仿宋" w:hAnsi="仿宋" w:eastAsia="仿宋" w:cs="仿宋"/>
          <w:color w:val="000000" w:themeColor="text1"/>
          <w:sz w:val="24"/>
          <w:szCs w:val="24"/>
          <w:highlight w:val="none"/>
          <w14:textFill>
            <w14:solidFill>
              <w14:schemeClr w14:val="tx1"/>
            </w14:solidFill>
          </w14:textFill>
        </w:rPr>
        <w:t>，综合比较与评价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；未通过符合性审查的投标文件不得进入比较与评价</w:t>
      </w:r>
      <w:r>
        <w:rPr>
          <w:rFonts w:hint="eastAsia" w:ascii="仿宋" w:hAnsi="仿宋" w:eastAsia="仿宋" w:cs="仿宋"/>
          <w:color w:val="000000" w:themeColor="text1"/>
          <w:sz w:val="24"/>
          <w:szCs w:val="24"/>
          <w:highlight w:val="none"/>
          <w14:textFill>
            <w14:solidFill>
              <w14:schemeClr w14:val="tx1"/>
            </w14:solidFill>
          </w14:textFill>
        </w:rPr>
        <w:t>。评审因素包括投标报价、商务技术以及落实政府采购政策。评审因素及标准见本章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评</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14:textFill>
            <w14:solidFill>
              <w14:schemeClr w14:val="tx1"/>
            </w14:solidFill>
          </w14:textFill>
        </w:rPr>
        <w:t>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6E8AAEB3">
      <w:pPr>
        <w:pStyle w:val="4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.有效投标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不足3家的应按</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处理。</w:t>
      </w:r>
    </w:p>
    <w:p w14:paraId="40A7164D">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5" w:name="_Toc337"/>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）报价评审</w:t>
      </w:r>
      <w:bookmarkEnd w:id="445"/>
    </w:p>
    <w:p w14:paraId="4D10E171">
      <w:pPr>
        <w:pStyle w:val="47"/>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14:textFill>
            <w14:solidFill>
              <w14:schemeClr w14:val="tx1"/>
            </w14:solidFill>
          </w14:textFill>
        </w:rPr>
        <w:t>投标报价评审</w:t>
      </w:r>
    </w:p>
    <w:p w14:paraId="69B30091">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11.1价格分应当采用低价优先法计算，即满足招标文件要求且投标价格最低的投标报价为评标基准价，其价格分为满分。其他投标人的价格分统一按照下列公式计算：</w:t>
      </w:r>
    </w:p>
    <w:p w14:paraId="5D96EDCD">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投标报价得分=(评标基准价／投标报价)×价格分值</w:t>
      </w:r>
    </w:p>
    <w:p w14:paraId="1304AD77">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评标过程中，不得去掉报价中的最高报价和最低报价。</w:t>
      </w:r>
    </w:p>
    <w:p w14:paraId="251BE69E">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11.2除算术修正和落实政府采购政策的价格扣除外，不对投标报价进行调整；</w:t>
      </w:r>
    </w:p>
    <w:p w14:paraId="1FAA9B89">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11.3价格分值见本章“四、评标标准”</w:t>
      </w:r>
      <w:r>
        <w:rPr>
          <w:rFonts w:hint="eastAsia" w:ascii="仿宋" w:hAnsi="仿宋" w:eastAsia="仿宋" w:cs="仿宋"/>
          <w:color w:val="000000" w:themeColor="text1"/>
          <w:highlight w:val="none"/>
          <w14:textFill>
            <w14:solidFill>
              <w14:schemeClr w14:val="tx1"/>
            </w14:solidFill>
          </w14:textFill>
        </w:rPr>
        <w:t>。</w:t>
      </w:r>
    </w:p>
    <w:p w14:paraId="1FD503B8">
      <w:pPr>
        <w:pStyle w:val="47"/>
        <w:jc w:val="both"/>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14:textFill>
            <w14:solidFill>
              <w14:schemeClr w14:val="tx1"/>
            </w14:solidFill>
          </w14:textFill>
        </w:rPr>
        <w:t>政府采购异常低价审查</w:t>
      </w:r>
    </w:p>
    <w:p w14:paraId="0DDBCA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12.1</w:t>
      </w:r>
      <w:r>
        <w:rPr>
          <w:rFonts w:hint="eastAsia" w:ascii="仿宋" w:hAnsi="仿宋" w:eastAsia="仿宋" w:cs="仿宋"/>
          <w:color w:val="000000" w:themeColor="text1"/>
          <w:sz w:val="24"/>
          <w:szCs w:val="24"/>
          <w:highlight w:val="none"/>
          <w14:textFill>
            <w14:solidFill>
              <w14:schemeClr w14:val="tx1"/>
            </w14:solidFill>
          </w14:textFill>
        </w:rPr>
        <w:t>政府采购评审中出现下列情形之一的，评审委员会应当启动异常低价投标（响应）审查程序：</w:t>
      </w:r>
    </w:p>
    <w:p w14:paraId="4D4F33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5136D1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4BB72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投标（响应）报价低于采购项目最高限价45%的，即投标（响应）报价&lt;采购项目最高限价×45%；</w:t>
      </w:r>
    </w:p>
    <w:p w14:paraId="4F5AD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评审委员会基于专业判断，认为供应商报价过低，有可能影响产品质量或者不能诚信履约的其他情形。</w:t>
      </w:r>
    </w:p>
    <w:p w14:paraId="1DB1C2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12.2</w:t>
      </w:r>
      <w:r>
        <w:rPr>
          <w:rFonts w:hint="eastAsia" w:ascii="仿宋" w:hAnsi="仿宋" w:eastAsia="仿宋" w:cs="仿宋"/>
          <w:color w:val="000000" w:themeColor="text1"/>
          <w:sz w:val="24"/>
          <w:szCs w:val="24"/>
          <w:highlight w:val="none"/>
          <w14:textFill>
            <w14:solidFill>
              <w14:schemeClr w14:val="tx1"/>
            </w14:solidFill>
          </w14:textFill>
        </w:rPr>
        <w:t>评审委员会启动异常低价投标（响应）审查后，属于前述第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项至第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E1987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C509B7">
      <w:pPr>
        <w:pStyle w:val="47"/>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.政府采购政策评审</w:t>
      </w:r>
    </w:p>
    <w:p w14:paraId="7C9D1EDF">
      <w:pPr>
        <w:pStyle w:val="47"/>
        <w:numPr>
          <w:ilvl w:val="0"/>
          <w:numId w:val="0"/>
        </w:numPr>
        <w:ind w:firstLine="480"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.1非专门面向中小企业的采购项目或采购包，对符合规定的小微企业（</w:t>
      </w:r>
      <w:r>
        <w:rPr>
          <w:rFonts w:hint="eastAsia" w:ascii="仿宋" w:hAnsi="仿宋" w:eastAsia="仿宋" w:cs="仿宋"/>
          <w:color w:val="000000" w:themeColor="text1"/>
          <w:highlight w:val="none"/>
          <w:lang w:val="en-US" w:eastAsia="zh-CN"/>
          <w14:textFill>
            <w14:solidFill>
              <w14:schemeClr w14:val="tx1"/>
            </w14:solidFill>
          </w14:textFill>
        </w:rPr>
        <w:t>含</w:t>
      </w:r>
      <w:r>
        <w:rPr>
          <w:rFonts w:hint="eastAsia" w:ascii="仿宋" w:hAnsi="仿宋" w:eastAsia="仿宋" w:cs="仿宋"/>
          <w:color w:val="000000" w:themeColor="text1"/>
          <w:highlight w:val="none"/>
          <w14:textFill>
            <w14:solidFill>
              <w14:schemeClr w14:val="tx1"/>
            </w14:solidFill>
          </w14:textFill>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投标人须知前附表”中的规定扣除，对小微企业中的监狱企业、</w:t>
      </w:r>
      <w:r>
        <w:rPr>
          <w:rFonts w:hint="eastAsia" w:ascii="仿宋" w:hAnsi="仿宋" w:eastAsia="仿宋" w:cs="仿宋"/>
          <w:color w:val="000000" w:themeColor="text1"/>
          <w:sz w:val="24"/>
          <w:szCs w:val="24"/>
          <w:highlight w:val="none"/>
          <w14:textFill>
            <w14:solidFill>
              <w14:schemeClr w14:val="tx1"/>
            </w14:solidFill>
          </w14:textFill>
        </w:rPr>
        <w:t>残疾人福利性单位的报价按照本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须知前附表”中的规定扣除，用扣除后的价格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参与</w:t>
      </w:r>
      <w:r>
        <w:rPr>
          <w:rFonts w:hint="eastAsia" w:ascii="仿宋" w:hAnsi="仿宋" w:eastAsia="仿宋" w:cs="仿宋"/>
          <w:color w:val="000000" w:themeColor="text1"/>
          <w:sz w:val="24"/>
          <w:szCs w:val="24"/>
          <w:highlight w:val="none"/>
          <w14:textFill>
            <w14:solidFill>
              <w14:schemeClr w14:val="tx1"/>
            </w14:solidFill>
          </w14:textFill>
        </w:rPr>
        <w:t>评审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采购产品纳入创新产品应用示范推荐目录内企业、采购产品获得节能产品或环境标志产品认证证书</w:t>
      </w:r>
      <w:r>
        <w:rPr>
          <w:rFonts w:hint="eastAsia" w:ascii="仿宋" w:hAnsi="仿宋" w:eastAsia="仿宋" w:cs="仿宋"/>
          <w:color w:val="000000" w:themeColor="text1"/>
          <w:sz w:val="24"/>
          <w:szCs w:val="24"/>
          <w:highlight w:val="none"/>
          <w:lang w:val="en-US" w:eastAsia="zh-CN"/>
          <w14:textFill>
            <w14:solidFill>
              <w14:schemeClr w14:val="tx1"/>
            </w14:solidFill>
          </w14:textFill>
        </w:rPr>
        <w:t>的投标人</w:t>
      </w:r>
      <w:r>
        <w:rPr>
          <w:rFonts w:hint="eastAsia" w:ascii="仿宋" w:hAnsi="仿宋" w:eastAsia="仿宋" w:cs="仿宋"/>
          <w:color w:val="000000" w:themeColor="text1"/>
          <w:sz w:val="24"/>
          <w:szCs w:val="24"/>
          <w:highlight w:val="none"/>
          <w14:textFill>
            <w14:solidFill>
              <w14:schemeClr w14:val="tx1"/>
            </w14:solidFill>
          </w14:textFill>
        </w:rPr>
        <w:t>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给予评审优惠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A3F0C97">
      <w:pPr>
        <w:pStyle w:val="47"/>
        <w:numPr>
          <w:ilvl w:val="0"/>
          <w:numId w:val="0"/>
        </w:numPr>
        <w:ind w:firstLine="480"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13.</w:t>
      </w:r>
      <w:r>
        <w:rPr>
          <w:rFonts w:hint="eastAsia" w:ascii="仿宋" w:hAnsi="仿宋" w:eastAsia="仿宋" w:cs="仿宋"/>
          <w:color w:val="000000" w:themeColor="text1"/>
          <w:highlight w:val="none"/>
          <w:lang w:val="zh-CN"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000000" w:themeColor="text1"/>
          <w:highlight w:val="none"/>
          <w:lang w:val="en-US" w:eastAsia="zh-CN"/>
          <w14:textFill>
            <w14:solidFill>
              <w14:schemeClr w14:val="tx1"/>
            </w14:solidFill>
          </w14:textFill>
        </w:rPr>
        <w:t>若供应商同时属于小型或微型企业、监狱企业、残疾人福利性单位 中的两种及以上，将不重复享受小微企业价格扣减的优惠政策。</w:t>
      </w:r>
    </w:p>
    <w:p w14:paraId="67C83E48">
      <w:pPr>
        <w:pStyle w:val="47"/>
        <w:numPr>
          <w:ilvl w:val="0"/>
          <w:numId w:val="0"/>
        </w:numPr>
        <w:ind w:firstLine="480" w:firstLineChars="2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组成联合体或者接受分包的小微企业与联合体内其他企业、分包企业之间存在直接控股、管理关系的，不享受价格扣除优惠政策。</w:t>
      </w:r>
    </w:p>
    <w:p w14:paraId="4237AC93">
      <w:pPr>
        <w:pStyle w:val="47"/>
        <w:numPr>
          <w:ilvl w:val="0"/>
          <w:numId w:val="0"/>
        </w:numPr>
        <w:ind w:firstLine="480"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4"/>
          <w:szCs w:val="22"/>
          <w:highlight w:val="none"/>
          <w:lang w:val="en-US" w:eastAsia="zh-CN" w:bidi="ar-SA"/>
          <w14:textFill>
            <w14:solidFill>
              <w14:schemeClr w14:val="tx1"/>
            </w14:solidFill>
          </w14:textFill>
        </w:rPr>
        <w:t>价格扣除比例对小型企业和微型企业同等对待，不作区分。</w:t>
      </w:r>
    </w:p>
    <w:p w14:paraId="2FCFDF3C">
      <w:pPr>
        <w:pStyle w:val="47"/>
        <w:numPr>
          <w:ilvl w:val="0"/>
          <w:numId w:val="0"/>
        </w:numPr>
        <w:ind w:firstLine="480"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13.</w:t>
      </w:r>
      <w:r>
        <w:rPr>
          <w:rFonts w:hint="eastAsia" w:ascii="仿宋" w:hAnsi="仿宋" w:eastAsia="仿宋" w:cs="仿宋"/>
          <w:color w:val="000000" w:themeColor="text1"/>
          <w:highlight w:val="none"/>
          <w:lang w:val="zh-CN"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专门面向中小企业、预留部分采购份额面向中小企业采购的项目或采购包，评审时不再进行价格扣除。</w:t>
      </w:r>
    </w:p>
    <w:p w14:paraId="544525BC">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13.4</w:t>
      </w:r>
      <w:r>
        <w:rPr>
          <w:rFonts w:hint="eastAsia" w:ascii="仿宋" w:hAnsi="仿宋" w:eastAsia="仿宋" w:cs="仿宋"/>
          <w:color w:val="000000" w:themeColor="text1"/>
          <w:highlight w:val="none"/>
          <w14:textFill>
            <w14:solidFill>
              <w14:schemeClr w14:val="tx1"/>
            </w14:solidFill>
          </w14:textFill>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000000" w:themeColor="text1"/>
          <w:highlight w:val="none"/>
          <w:lang w:val="en-US" w:eastAsia="zh-CN"/>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eastAsia="zh-CN"/>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或者分包意向协议</w:t>
      </w:r>
      <w:r>
        <w:rPr>
          <w:rFonts w:hint="eastAsia" w:ascii="仿宋" w:hAnsi="仿宋" w:eastAsia="仿宋" w:cs="仿宋"/>
          <w:color w:val="000000" w:themeColor="text1"/>
          <w:highlight w:val="none"/>
          <w:lang w:val="en-US" w:eastAsia="zh-CN"/>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7DD1106">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3307F4FF">
      <w:pPr>
        <w:pStyle w:val="4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13.6采购标的仅包含单一产品时，</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41A96EB0">
      <w:pPr>
        <w:pStyle w:val="4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5AF8FE8">
      <w:pPr>
        <w:pStyle w:val="47"/>
        <w:jc w:val="both"/>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86882">
      <w:pPr>
        <w:pStyle w:val="47"/>
        <w:jc w:val="both"/>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对医疗器械产品，提供取得药品监督管理部门授予的准字号医疗器械注册证的，视为符合本国产品标准，无须填写《声明函》，</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报价给予20%的价格扣除，用扣除后的价格参与评审。</w:t>
      </w:r>
    </w:p>
    <w:p w14:paraId="5C87CCDA">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48372E41">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6" w:name="_Toc13511"/>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）评标得分及复核</w:t>
      </w:r>
      <w:bookmarkEnd w:id="446"/>
    </w:p>
    <w:p w14:paraId="3DDD6003">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14.评标过程中，各项分值一般精确到小数点后两位，评标得分应为商务评分、技术评分、报价评分之和。评标委员会各成员应汇总每个投标人的得分。</w:t>
      </w:r>
    </w:p>
    <w:p w14:paraId="17BB0233">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14.1.评标结果汇总完成后，采购代理机构应对评标结果进行复核。经复核发现存在以下情形之一的，</w:t>
      </w:r>
      <w:r>
        <w:rPr>
          <w:rFonts w:hint="eastAsia" w:ascii="仿宋" w:hAnsi="仿宋" w:eastAsia="仿宋" w:cs="仿宋"/>
          <w:iCs/>
          <w:color w:val="000000" w:themeColor="text1"/>
          <w:spacing w:val="-6"/>
          <w:sz w:val="24"/>
          <w:highlight w:val="none"/>
          <w:lang w:val="en-US" w:eastAsia="zh-CN"/>
          <w14:textFill>
            <w14:solidFill>
              <w14:schemeClr w14:val="tx1"/>
            </w14:solidFill>
          </w14:textFill>
        </w:rPr>
        <w:t>评标委员会应当当场修改评标结果，并在评标报告中记载</w:t>
      </w:r>
      <w:r>
        <w:rPr>
          <w:rFonts w:hint="eastAsia" w:ascii="仿宋" w:hAnsi="仿宋" w:eastAsia="仿宋" w:cs="仿宋"/>
          <w:color w:val="000000" w:themeColor="text1"/>
          <w:highlight w:val="none"/>
          <w:lang w:val="en-US" w:eastAsia="zh-CN"/>
          <w14:textFill>
            <w14:solidFill>
              <w14:schemeClr w14:val="tx1"/>
            </w14:solidFill>
          </w14:textFill>
        </w:rPr>
        <w:t>：</w:t>
      </w:r>
    </w:p>
    <w:p w14:paraId="10273C49">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分值汇总计算错误的；</w:t>
      </w:r>
    </w:p>
    <w:p w14:paraId="42F36C4E">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（2）分项评分超出评分标准范围的；</w:t>
      </w:r>
    </w:p>
    <w:p w14:paraId="18A0B548">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（3）评标委员会成员对客观评审因素评分不一致的；</w:t>
      </w:r>
    </w:p>
    <w:p w14:paraId="768F385F">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（4）经评标委员会认定评分畸高、畸低的。</w:t>
      </w:r>
    </w:p>
    <w:p w14:paraId="4789ABC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15.各投标人的最终得分为评标委员会所有成员对各投标人评标得分汇总后的算术平均值。</w:t>
      </w:r>
    </w:p>
    <w:p w14:paraId="2AE79793">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4EF00FF">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15.2采购人或者采购代理机构不得通过对样品进行检测、对投标人进行考察等方式改变评审结果。</w:t>
      </w:r>
    </w:p>
    <w:p w14:paraId="70473AEF">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7" w:name="_Toc17225"/>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）排序与推荐</w:t>
      </w:r>
      <w:bookmarkEnd w:id="447"/>
    </w:p>
    <w:p w14:paraId="246491D0">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16.</w:t>
      </w:r>
      <w:r>
        <w:rPr>
          <w:rFonts w:hint="eastAsia" w:ascii="仿宋" w:hAnsi="仿宋" w:eastAsia="仿宋" w:cs="仿宋"/>
          <w:color w:val="000000" w:themeColor="text1"/>
          <w:highlight w:val="none"/>
          <w14:textFill>
            <w14:solidFill>
              <w14:schemeClr w14:val="tx1"/>
            </w14:solidFill>
          </w14:textFill>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仿宋" w:hAnsi="仿宋" w:eastAsia="仿宋" w:cs="仿宋"/>
          <w:color w:val="000000" w:themeColor="text1"/>
          <w:highlight w:val="none"/>
          <w:lang w:val="en-US" w:eastAsia="zh-CN"/>
          <w14:textFill>
            <w14:solidFill>
              <w14:schemeClr w14:val="tx1"/>
            </w14:solidFill>
          </w14:textFill>
        </w:rPr>
        <w:t>按</w:t>
      </w:r>
      <w:r>
        <w:rPr>
          <w:rFonts w:hint="eastAsia" w:ascii="仿宋" w:hAnsi="仿宋" w:eastAsia="仿宋" w:cs="仿宋"/>
          <w:color w:val="000000" w:themeColor="text1"/>
          <w:highlight w:val="none"/>
          <w14:textFill>
            <w14:solidFill>
              <w14:schemeClr w14:val="tx1"/>
            </w14:solidFill>
          </w14:textFill>
        </w:rPr>
        <w:t>技术指标</w:t>
      </w:r>
      <w:r>
        <w:rPr>
          <w:rFonts w:hint="eastAsia" w:ascii="仿宋" w:hAnsi="仿宋" w:eastAsia="仿宋" w:cs="仿宋"/>
          <w:color w:val="000000" w:themeColor="text1"/>
          <w:highlight w:val="none"/>
          <w:lang w:val="en-US" w:eastAsia="zh-CN"/>
          <w14:textFill>
            <w14:solidFill>
              <w14:schemeClr w14:val="tx1"/>
            </w14:solidFill>
          </w14:textFill>
        </w:rPr>
        <w:t>优劣顺序排列</w:t>
      </w:r>
      <w:r>
        <w:rPr>
          <w:rFonts w:hint="eastAsia" w:ascii="仿宋" w:hAnsi="仿宋" w:eastAsia="仿宋" w:cs="仿宋"/>
          <w:color w:val="000000" w:themeColor="text1"/>
          <w:highlight w:val="none"/>
          <w14:textFill>
            <w14:solidFill>
              <w14:schemeClr w14:val="tx1"/>
            </w14:solidFill>
          </w14:textFill>
        </w:rPr>
        <w:t>。</w:t>
      </w:r>
    </w:p>
    <w:p w14:paraId="32075F9C">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17.</w:t>
      </w:r>
      <w:r>
        <w:rPr>
          <w:rFonts w:hint="eastAsia" w:ascii="仿宋" w:hAnsi="仿宋" w:eastAsia="仿宋" w:cs="仿宋"/>
          <w:color w:val="000000" w:themeColor="text1"/>
          <w:highlight w:val="none"/>
          <w14:textFill>
            <w14:solidFill>
              <w14:schemeClr w14:val="tx1"/>
            </w14:solidFill>
          </w14:textFill>
        </w:rPr>
        <w:t>中标候选人</w:t>
      </w:r>
      <w:r>
        <w:rPr>
          <w:rFonts w:hint="eastAsia" w:ascii="仿宋" w:hAnsi="仿宋" w:eastAsia="仿宋" w:cs="仿宋"/>
          <w:color w:val="000000" w:themeColor="text1"/>
          <w:highlight w:val="none"/>
          <w:lang w:val="en-US" w:eastAsia="zh-CN"/>
          <w14:textFill>
            <w14:solidFill>
              <w14:schemeClr w14:val="tx1"/>
            </w14:solidFill>
          </w14:textFill>
        </w:rPr>
        <w:t>推荐家数详</w:t>
      </w:r>
      <w:r>
        <w:rPr>
          <w:rFonts w:hint="eastAsia" w:ascii="仿宋" w:hAnsi="仿宋" w:eastAsia="仿宋" w:cs="仿宋"/>
          <w:color w:val="000000" w:themeColor="text1"/>
          <w:highlight w:val="none"/>
          <w14:textFill>
            <w14:solidFill>
              <w14:schemeClr w14:val="tx1"/>
            </w14:solidFill>
          </w14:textFill>
        </w:rPr>
        <w:t>见“</w:t>
      </w:r>
      <w:r>
        <w:rPr>
          <w:rFonts w:hint="eastAsia" w:ascii="仿宋" w:hAnsi="仿宋" w:eastAsia="仿宋" w:cs="仿宋"/>
          <w:color w:val="000000" w:themeColor="text1"/>
          <w:highlight w:val="none"/>
          <w:lang w:val="en-US" w:eastAsia="zh-CN"/>
          <w14:textFill>
            <w14:solidFill>
              <w14:schemeClr w14:val="tx1"/>
            </w14:solidFill>
          </w14:textFill>
        </w:rPr>
        <w:t>投标人须知</w:t>
      </w:r>
      <w:r>
        <w:rPr>
          <w:rFonts w:hint="eastAsia" w:ascii="仿宋" w:hAnsi="仿宋" w:eastAsia="仿宋" w:cs="仿宋"/>
          <w:color w:val="000000" w:themeColor="text1"/>
          <w:highlight w:val="none"/>
          <w14:textFill>
            <w14:solidFill>
              <w14:schemeClr w14:val="tx1"/>
            </w14:solidFill>
          </w14:textFill>
        </w:rPr>
        <w:t>前附表”。</w:t>
      </w:r>
    </w:p>
    <w:p w14:paraId="13820E6D">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8" w:name="_Toc21574"/>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）编写评标报告</w:t>
      </w:r>
      <w:bookmarkEnd w:id="448"/>
    </w:p>
    <w:p w14:paraId="5239F93A">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18.</w:t>
      </w:r>
      <w:r>
        <w:rPr>
          <w:rFonts w:hint="eastAsia" w:ascii="仿宋" w:hAnsi="仿宋" w:eastAsia="仿宋" w:cs="仿宋"/>
          <w:color w:val="000000" w:themeColor="text1"/>
          <w:highlight w:val="none"/>
          <w14:textFill>
            <w14:solidFill>
              <w14:schemeClr w14:val="tx1"/>
            </w14:solidFill>
          </w14:textFill>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4017689">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49" w:name="_Toc102116021"/>
      <w:bookmarkStart w:id="450" w:name="_Toc102116151"/>
      <w:bookmarkStart w:id="451" w:name="_Toc102114919"/>
      <w:bookmarkStart w:id="452" w:name="_Toc155185913"/>
      <w:bookmarkStart w:id="453" w:name="_Toc102057717"/>
      <w:bookmarkStart w:id="454" w:name="_Toc102056217"/>
      <w:bookmarkStart w:id="455" w:name="_Toc102119852"/>
      <w:bookmarkStart w:id="456" w:name="_Toc163492906"/>
      <w:bookmarkStart w:id="457" w:name="_Toc1587"/>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八</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投标无效及</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应予废标的情形</w:t>
      </w:r>
      <w:bookmarkEnd w:id="449"/>
      <w:bookmarkEnd w:id="450"/>
      <w:bookmarkEnd w:id="451"/>
      <w:bookmarkEnd w:id="452"/>
      <w:bookmarkEnd w:id="453"/>
      <w:bookmarkEnd w:id="454"/>
      <w:bookmarkEnd w:id="455"/>
      <w:bookmarkEnd w:id="456"/>
      <w:bookmarkEnd w:id="457"/>
    </w:p>
    <w:p w14:paraId="58C792AF">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19.投标人存在下列情形之一的，</w:t>
      </w:r>
      <w:r>
        <w:rPr>
          <w:rFonts w:hint="eastAsia" w:ascii="仿宋" w:hAnsi="仿宋" w:eastAsia="仿宋" w:cs="仿宋"/>
          <w:b/>
          <w:bCs/>
          <w:color w:val="000000" w:themeColor="text1"/>
          <w:highlight w:val="none"/>
          <w:lang w:val="en-US" w:eastAsia="zh-CN"/>
          <w14:textFill>
            <w14:solidFill>
              <w14:schemeClr w14:val="tx1"/>
            </w14:solidFill>
          </w14:textFill>
        </w:rPr>
        <w:t>投标无效</w:t>
      </w:r>
      <w:r>
        <w:rPr>
          <w:rFonts w:hint="eastAsia" w:ascii="仿宋" w:hAnsi="仿宋" w:eastAsia="仿宋" w:cs="仿宋"/>
          <w:color w:val="000000" w:themeColor="text1"/>
          <w:highlight w:val="none"/>
          <w:lang w:val="en-US" w:eastAsia="zh-CN"/>
          <w14:textFill>
            <w14:solidFill>
              <w14:schemeClr w14:val="tx1"/>
            </w14:solidFill>
          </w14:textFill>
        </w:rPr>
        <w:t>：</w:t>
      </w:r>
    </w:p>
    <w:p w14:paraId="07F6815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投标人</w:t>
      </w:r>
      <w:r>
        <w:rPr>
          <w:rFonts w:hint="eastAsia" w:ascii="仿宋" w:hAnsi="仿宋" w:eastAsia="仿宋" w:cs="仿宋"/>
          <w:color w:val="000000" w:themeColor="text1"/>
          <w:highlight w:val="none"/>
          <w:lang w:val="zh-CN" w:eastAsia="zh-CN"/>
          <w14:textFill>
            <w14:solidFill>
              <w14:schemeClr w14:val="tx1"/>
            </w14:solidFill>
          </w14:textFill>
        </w:rPr>
        <w:t>不具备《中华人民共和国政府采购法》第二十二条规定条件</w:t>
      </w:r>
      <w:r>
        <w:rPr>
          <w:rFonts w:hint="eastAsia" w:ascii="仿宋" w:hAnsi="仿宋" w:eastAsia="仿宋" w:cs="仿宋"/>
          <w:color w:val="000000" w:themeColor="text1"/>
          <w:highlight w:val="none"/>
          <w:lang w:val="en-US" w:eastAsia="zh-CN"/>
          <w14:textFill>
            <w14:solidFill>
              <w14:schemeClr w14:val="tx1"/>
            </w14:solidFill>
          </w14:textFill>
        </w:rPr>
        <w:t>；</w:t>
      </w:r>
    </w:p>
    <w:p w14:paraId="1217F22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投标文件未按招标文件要求签署、盖章的</w:t>
      </w:r>
      <w:r>
        <w:rPr>
          <w:rFonts w:hint="eastAsia" w:ascii="仿宋" w:hAnsi="仿宋" w:eastAsia="仿宋" w:cs="仿宋"/>
          <w:color w:val="000000" w:themeColor="text1"/>
          <w:highlight w:val="none"/>
          <w:lang w:val="en-US" w:eastAsia="zh-CN"/>
          <w14:textFill>
            <w14:solidFill>
              <w14:schemeClr w14:val="tx1"/>
            </w14:solidFill>
          </w14:textFill>
        </w:rPr>
        <w:t>；</w:t>
      </w:r>
    </w:p>
    <w:p w14:paraId="4530D557">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3</w:t>
      </w:r>
      <w:r>
        <w:rPr>
          <w:rFonts w:hint="eastAsia" w:ascii="仿宋" w:hAnsi="仿宋" w:eastAsia="仿宋" w:cs="仿宋"/>
          <w:color w:val="000000" w:themeColor="text1"/>
          <w:highlight w:val="none"/>
          <w:lang w:val="en-US" w:eastAsia="zh-CN"/>
          <w14:textFill>
            <w14:solidFill>
              <w14:schemeClr w14:val="tx1"/>
            </w14:solidFill>
          </w14:textFill>
        </w:rPr>
        <w:t>不具备招标文件中规定的资格要求的（投标人未提供有效资格文件的，视为投标人不具备招标文件中规定的资格要求）；</w:t>
      </w:r>
    </w:p>
    <w:p w14:paraId="7A563DE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4</w:t>
      </w: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lang w:val="zh-CN" w:eastAsia="zh-CN"/>
          <w14:textFill>
            <w14:solidFill>
              <w14:schemeClr w14:val="tx1"/>
            </w14:solidFill>
          </w14:textFill>
        </w:rPr>
        <w:t>文件提供虚假材料的</w:t>
      </w:r>
      <w:r>
        <w:rPr>
          <w:rFonts w:hint="eastAsia" w:ascii="仿宋" w:hAnsi="仿宋" w:eastAsia="仿宋" w:cs="仿宋"/>
          <w:color w:val="000000" w:themeColor="text1"/>
          <w:highlight w:val="none"/>
          <w:lang w:val="en-US" w:eastAsia="zh-CN"/>
          <w14:textFill>
            <w14:solidFill>
              <w14:schemeClr w14:val="tx1"/>
            </w14:solidFill>
          </w14:textFill>
        </w:rPr>
        <w:t>；</w:t>
      </w:r>
    </w:p>
    <w:p w14:paraId="41FD7532">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5</w:t>
      </w: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lang w:val="zh-CN" w:eastAsia="zh-CN"/>
          <w14:textFill>
            <w14:solidFill>
              <w14:schemeClr w14:val="tx1"/>
            </w14:solidFill>
          </w14:textFill>
        </w:rPr>
        <w:t>文件不满足</w:t>
      </w:r>
      <w:r>
        <w:rPr>
          <w:rFonts w:hint="eastAsia" w:ascii="仿宋" w:hAnsi="仿宋" w:eastAsia="仿宋" w:cs="仿宋"/>
          <w:color w:val="000000" w:themeColor="text1"/>
          <w:highlight w:val="none"/>
          <w:lang w:val="en-US" w:eastAsia="zh-CN"/>
          <w14:textFill>
            <w14:solidFill>
              <w14:schemeClr w14:val="tx1"/>
            </w14:solidFill>
          </w14:textFill>
        </w:rPr>
        <w:t>招标</w:t>
      </w:r>
      <w:r>
        <w:rPr>
          <w:rFonts w:hint="eastAsia" w:ascii="仿宋" w:hAnsi="仿宋" w:eastAsia="仿宋" w:cs="仿宋"/>
          <w:color w:val="000000" w:themeColor="text1"/>
          <w:highlight w:val="none"/>
          <w:lang w:val="zh-CN" w:eastAsia="zh-CN"/>
          <w14:textFill>
            <w14:solidFill>
              <w14:schemeClr w14:val="tx1"/>
            </w14:solidFill>
          </w14:textFill>
        </w:rPr>
        <w:t>文件中标注“★”号的实质性条款（或指标）要求的</w:t>
      </w:r>
      <w:r>
        <w:rPr>
          <w:rFonts w:hint="eastAsia" w:ascii="仿宋" w:hAnsi="仿宋" w:eastAsia="仿宋" w:cs="仿宋"/>
          <w:color w:val="000000" w:themeColor="text1"/>
          <w:highlight w:val="none"/>
          <w:lang w:val="en-US" w:eastAsia="zh-CN"/>
          <w14:textFill>
            <w14:solidFill>
              <w14:schemeClr w14:val="tx1"/>
            </w14:solidFill>
          </w14:textFill>
        </w:rPr>
        <w:t>；</w:t>
      </w:r>
    </w:p>
    <w:p w14:paraId="09A8978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6</w:t>
      </w:r>
      <w:r>
        <w:rPr>
          <w:rFonts w:hint="eastAsia" w:ascii="仿宋" w:hAnsi="仿宋" w:eastAsia="仿宋" w:cs="仿宋"/>
          <w:color w:val="000000" w:themeColor="text1"/>
          <w:highlight w:val="none"/>
          <w:lang w:val="en-US" w:eastAsia="zh-CN"/>
          <w14:textFill>
            <w14:solidFill>
              <w14:schemeClr w14:val="tx1"/>
            </w14:solidFill>
          </w14:textFill>
        </w:rPr>
        <w:t>投标人</w:t>
      </w:r>
      <w:r>
        <w:rPr>
          <w:rFonts w:hint="eastAsia" w:ascii="仿宋" w:hAnsi="仿宋" w:eastAsia="仿宋" w:cs="仿宋"/>
          <w:color w:val="000000" w:themeColor="text1"/>
          <w:highlight w:val="none"/>
          <w:lang w:val="zh-CN" w:eastAsia="zh-CN"/>
          <w14:textFill>
            <w14:solidFill>
              <w14:schemeClr w14:val="tx1"/>
            </w14:solidFill>
          </w14:textFill>
        </w:rPr>
        <w:t>报价超过招标文件中规定的</w:t>
      </w:r>
      <w:r>
        <w:rPr>
          <w:rFonts w:hint="eastAsia" w:ascii="仿宋" w:hAnsi="仿宋" w:eastAsia="仿宋" w:cs="仿宋"/>
          <w:color w:val="000000" w:themeColor="text1"/>
          <w:highlight w:val="none"/>
          <w:lang w:val="en-US" w:eastAsia="zh-CN"/>
          <w14:textFill>
            <w14:solidFill>
              <w14:schemeClr w14:val="tx1"/>
            </w14:solidFill>
          </w14:textFill>
        </w:rPr>
        <w:t>最高限价或者预算金额</w:t>
      </w:r>
      <w:r>
        <w:rPr>
          <w:rFonts w:hint="eastAsia" w:ascii="仿宋" w:hAnsi="仿宋" w:eastAsia="仿宋" w:cs="仿宋"/>
          <w:color w:val="000000" w:themeColor="text1"/>
          <w:highlight w:val="none"/>
          <w:lang w:val="zh-CN" w:eastAsia="zh-CN"/>
          <w14:textFill>
            <w14:solidFill>
              <w14:schemeClr w14:val="tx1"/>
            </w14:solidFill>
          </w14:textFill>
        </w:rPr>
        <w:t>的</w:t>
      </w:r>
      <w:r>
        <w:rPr>
          <w:rFonts w:hint="eastAsia" w:ascii="仿宋" w:hAnsi="仿宋" w:eastAsia="仿宋" w:cs="仿宋"/>
          <w:color w:val="000000" w:themeColor="text1"/>
          <w:highlight w:val="none"/>
          <w:lang w:val="en-US" w:eastAsia="zh-CN"/>
          <w14:textFill>
            <w14:solidFill>
              <w14:schemeClr w14:val="tx1"/>
            </w14:solidFill>
          </w14:textFill>
        </w:rPr>
        <w:t>；</w:t>
      </w:r>
    </w:p>
    <w:p w14:paraId="0622DC9A">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7联合体的供应商未提交各方共同签署的</w:t>
      </w:r>
      <w:r>
        <w:rPr>
          <w:rFonts w:hint="eastAsia" w:ascii="仿宋" w:hAnsi="仿宋" w:eastAsia="仿宋" w:cs="仿宋"/>
          <w:color w:val="000000" w:themeColor="text1"/>
          <w:highlight w:val="none"/>
          <w:lang w:val="en-US" w:eastAsia="zh-CN"/>
          <w14:textFill>
            <w14:solidFill>
              <w14:schemeClr w14:val="tx1"/>
            </w14:solidFill>
          </w14:textFill>
        </w:rPr>
        <w:t>联合体</w:t>
      </w:r>
      <w:r>
        <w:rPr>
          <w:rFonts w:hint="eastAsia" w:ascii="仿宋" w:hAnsi="仿宋" w:eastAsia="仿宋" w:cs="仿宋"/>
          <w:color w:val="000000" w:themeColor="text1"/>
          <w:highlight w:val="none"/>
          <w:lang w:val="zh-CN" w:eastAsia="zh-CN"/>
          <w14:textFill>
            <w14:solidFill>
              <w14:schemeClr w14:val="tx1"/>
            </w14:solidFill>
          </w14:textFill>
        </w:rPr>
        <w:t>协议</w:t>
      </w:r>
      <w:r>
        <w:rPr>
          <w:rFonts w:hint="eastAsia" w:ascii="仿宋" w:hAnsi="仿宋" w:eastAsia="仿宋" w:cs="仿宋"/>
          <w:color w:val="000000" w:themeColor="text1"/>
          <w:highlight w:val="none"/>
          <w:lang w:val="en-US" w:eastAsia="zh-CN"/>
          <w14:textFill>
            <w14:solidFill>
              <w14:schemeClr w14:val="tx1"/>
            </w14:solidFill>
          </w14:textFill>
        </w:rPr>
        <w:t>的；</w:t>
      </w:r>
    </w:p>
    <w:p w14:paraId="40B4DA1C">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8</w:t>
      </w:r>
      <w:r>
        <w:rPr>
          <w:rFonts w:hint="eastAsia" w:ascii="仿宋" w:hAnsi="仿宋" w:eastAsia="仿宋" w:cs="仿宋"/>
          <w:color w:val="000000" w:themeColor="text1"/>
          <w:highlight w:val="none"/>
          <w:lang w:val="en-US" w:eastAsia="zh-CN"/>
          <w14:textFill>
            <w14:solidFill>
              <w14:schemeClr w14:val="tx1"/>
            </w14:solidFill>
          </w14:textFill>
        </w:rPr>
        <w:t>投标人</w:t>
      </w:r>
      <w:r>
        <w:rPr>
          <w:rFonts w:hint="eastAsia" w:ascii="仿宋" w:hAnsi="仿宋" w:eastAsia="仿宋" w:cs="仿宋"/>
          <w:color w:val="000000" w:themeColor="text1"/>
          <w:highlight w:val="none"/>
          <w:lang w:val="zh-CN" w:eastAsia="zh-CN"/>
          <w14:textFill>
            <w14:solidFill>
              <w14:schemeClr w14:val="tx1"/>
            </w14:solidFill>
          </w14:textFill>
        </w:rPr>
        <w:t>未按</w:t>
      </w:r>
      <w:r>
        <w:rPr>
          <w:rFonts w:hint="eastAsia" w:ascii="仿宋" w:hAnsi="仿宋" w:eastAsia="仿宋" w:cs="仿宋"/>
          <w:color w:val="000000" w:themeColor="text1"/>
          <w:highlight w:val="none"/>
          <w:lang w:val="en-US" w:eastAsia="zh-CN"/>
          <w14:textFill>
            <w14:solidFill>
              <w14:schemeClr w14:val="tx1"/>
            </w14:solidFill>
          </w14:textFill>
        </w:rPr>
        <w:t>招标</w:t>
      </w:r>
      <w:r>
        <w:rPr>
          <w:rFonts w:hint="eastAsia" w:ascii="仿宋" w:hAnsi="仿宋" w:eastAsia="仿宋" w:cs="仿宋"/>
          <w:color w:val="000000" w:themeColor="text1"/>
          <w:highlight w:val="none"/>
          <w:lang w:val="zh-CN" w:eastAsia="zh-CN"/>
          <w14:textFill>
            <w14:solidFill>
              <w14:schemeClr w14:val="tx1"/>
            </w14:solidFill>
          </w14:textFill>
        </w:rPr>
        <w:t>文件</w:t>
      </w:r>
      <w:r>
        <w:rPr>
          <w:rFonts w:hint="eastAsia" w:ascii="仿宋" w:hAnsi="仿宋" w:eastAsia="仿宋" w:cs="仿宋"/>
          <w:color w:val="000000" w:themeColor="text1"/>
          <w:highlight w:val="none"/>
          <w:lang w:val="en-US" w:eastAsia="zh-CN"/>
          <w14:textFill>
            <w14:solidFill>
              <w14:schemeClr w14:val="tx1"/>
            </w14:solidFill>
          </w14:textFill>
        </w:rPr>
        <w:t>的规定</w:t>
      </w:r>
      <w:r>
        <w:rPr>
          <w:rFonts w:hint="eastAsia" w:ascii="仿宋" w:hAnsi="仿宋" w:eastAsia="仿宋" w:cs="仿宋"/>
          <w:color w:val="000000" w:themeColor="text1"/>
          <w:highlight w:val="none"/>
          <w:lang w:val="zh-CN" w:eastAsia="zh-CN"/>
          <w14:textFill>
            <w14:solidFill>
              <w14:schemeClr w14:val="tx1"/>
            </w14:solidFill>
          </w14:textFill>
        </w:rPr>
        <w:t>交纳投标保证金</w:t>
      </w:r>
      <w:r>
        <w:rPr>
          <w:rFonts w:hint="eastAsia" w:ascii="仿宋" w:hAnsi="仿宋" w:eastAsia="仿宋" w:cs="仿宋"/>
          <w:color w:val="000000" w:themeColor="text1"/>
          <w:highlight w:val="none"/>
          <w:lang w:val="en-US" w:eastAsia="zh-CN"/>
          <w14:textFill>
            <w14:solidFill>
              <w14:schemeClr w14:val="tx1"/>
            </w14:solidFill>
          </w14:textFill>
        </w:rPr>
        <w:t>的；</w:t>
      </w:r>
    </w:p>
    <w:p w14:paraId="043EF959">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9评审期间,</w:t>
      </w:r>
      <w:r>
        <w:rPr>
          <w:rFonts w:hint="eastAsia" w:ascii="仿宋" w:hAnsi="仿宋" w:eastAsia="仿宋" w:cs="仿宋"/>
          <w:color w:val="000000" w:themeColor="text1"/>
          <w:highlight w:val="none"/>
          <w:lang w:val="en-US" w:eastAsia="zh-CN"/>
          <w14:textFill>
            <w14:solidFill>
              <w14:schemeClr w14:val="tx1"/>
            </w14:solidFill>
          </w14:textFill>
        </w:rPr>
        <w:t>投标人</w:t>
      </w:r>
      <w:r>
        <w:rPr>
          <w:rFonts w:hint="eastAsia" w:ascii="仿宋" w:hAnsi="仿宋" w:eastAsia="仿宋" w:cs="仿宋"/>
          <w:color w:val="000000" w:themeColor="text1"/>
          <w:highlight w:val="none"/>
          <w:lang w:val="zh-CN" w:eastAsia="zh-CN"/>
          <w14:textFill>
            <w14:solidFill>
              <w14:schemeClr w14:val="tx1"/>
            </w14:solidFill>
          </w14:textFill>
        </w:rPr>
        <w:t>没有按评标委员会的要求提交经授权代表签字的澄清、说明、补正或改变了</w:t>
      </w: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lang w:val="zh-CN" w:eastAsia="zh-CN"/>
          <w14:textFill>
            <w14:solidFill>
              <w14:schemeClr w14:val="tx1"/>
            </w14:solidFill>
          </w14:textFill>
        </w:rPr>
        <w:t>文件的实质性内容</w:t>
      </w:r>
      <w:r>
        <w:rPr>
          <w:rFonts w:hint="eastAsia" w:ascii="仿宋" w:hAnsi="仿宋" w:eastAsia="仿宋" w:cs="仿宋"/>
          <w:color w:val="000000" w:themeColor="text1"/>
          <w:highlight w:val="none"/>
          <w:lang w:val="en-US" w:eastAsia="zh-CN"/>
          <w14:textFill>
            <w14:solidFill>
              <w14:schemeClr w14:val="tx1"/>
            </w14:solidFill>
          </w14:textFill>
        </w:rPr>
        <w:t>的；</w:t>
      </w:r>
    </w:p>
    <w:p w14:paraId="1E073EC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10</w:t>
      </w:r>
      <w:r>
        <w:rPr>
          <w:rFonts w:hint="eastAsia" w:ascii="仿宋" w:hAnsi="仿宋" w:eastAsia="仿宋" w:cs="仿宋"/>
          <w:color w:val="000000" w:themeColor="text1"/>
          <w:highlight w:val="none"/>
          <w:lang w:val="en-US" w:eastAsia="zh-CN"/>
          <w14:textFill>
            <w14:solidFill>
              <w14:schemeClr w14:val="tx1"/>
            </w14:solidFill>
          </w14:textFill>
        </w:rPr>
        <w:t>投标人</w:t>
      </w:r>
      <w:r>
        <w:rPr>
          <w:rFonts w:hint="eastAsia" w:ascii="仿宋" w:hAnsi="仿宋" w:eastAsia="仿宋" w:cs="仿宋"/>
          <w:color w:val="000000" w:themeColor="text1"/>
          <w:highlight w:val="none"/>
          <w:lang w:val="zh-CN" w:eastAsia="zh-CN"/>
          <w14:textFill>
            <w14:solidFill>
              <w14:schemeClr w14:val="tx1"/>
            </w14:solidFill>
          </w14:textFill>
        </w:rPr>
        <w:t>对采购人、采购代理机构、评标委员会及其工作人员施加影响,有碍公平、公正</w:t>
      </w:r>
      <w:r>
        <w:rPr>
          <w:rFonts w:hint="eastAsia" w:ascii="仿宋" w:hAnsi="仿宋" w:eastAsia="仿宋" w:cs="仿宋"/>
          <w:color w:val="000000" w:themeColor="text1"/>
          <w:highlight w:val="none"/>
          <w:lang w:val="en-US" w:eastAsia="zh-CN"/>
          <w14:textFill>
            <w14:solidFill>
              <w14:schemeClr w14:val="tx1"/>
            </w14:solidFill>
          </w14:textFill>
        </w:rPr>
        <w:t>的；</w:t>
      </w:r>
    </w:p>
    <w:p w14:paraId="6CC3D392">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19.11投标文件含有采购人不能接受的附加条件的；</w:t>
      </w:r>
    </w:p>
    <w:p w14:paraId="7699123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lang w:val="zh-CN" w:eastAsia="zh-CN"/>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lang w:val="zh-CN" w:eastAsia="zh-CN"/>
          <w14:textFill>
            <w14:solidFill>
              <w14:schemeClr w14:val="tx1"/>
            </w14:solidFill>
          </w14:textFill>
        </w:rPr>
        <w:t>法律、法规、规章规定属于</w:t>
      </w: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lang w:val="zh-CN" w:eastAsia="zh-CN"/>
          <w14:textFill>
            <w14:solidFill>
              <w14:schemeClr w14:val="tx1"/>
            </w14:solidFill>
          </w14:textFill>
        </w:rPr>
        <w:t>无效的其他情形。</w:t>
      </w:r>
    </w:p>
    <w:p w14:paraId="22277EB3">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20.有下列情形之一的，视为投标人串通投标，其</w:t>
      </w:r>
      <w:r>
        <w:rPr>
          <w:rFonts w:hint="eastAsia" w:ascii="仿宋" w:hAnsi="仿宋" w:eastAsia="仿宋" w:cs="仿宋"/>
          <w:b/>
          <w:bCs/>
          <w:color w:val="000000" w:themeColor="text1"/>
          <w:highlight w:val="none"/>
          <w:lang w:val="en-US" w:eastAsia="zh-CN"/>
          <w14:textFill>
            <w14:solidFill>
              <w14:schemeClr w14:val="tx1"/>
            </w14:solidFill>
          </w14:textFill>
        </w:rPr>
        <w:t>投标无效</w:t>
      </w:r>
      <w:r>
        <w:rPr>
          <w:rFonts w:hint="eastAsia" w:ascii="仿宋" w:hAnsi="仿宋" w:eastAsia="仿宋" w:cs="仿宋"/>
          <w:color w:val="000000" w:themeColor="text1"/>
          <w:highlight w:val="none"/>
          <w:lang w:val="en-US" w:eastAsia="zh-CN"/>
          <w14:textFill>
            <w14:solidFill>
              <w14:schemeClr w14:val="tx1"/>
            </w14:solidFill>
          </w14:textFill>
        </w:rPr>
        <w:t>：</w:t>
      </w:r>
    </w:p>
    <w:p w14:paraId="5A755AB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20.1不同投标人的投标文件由同一单位或者个人编制；</w:t>
      </w:r>
    </w:p>
    <w:p w14:paraId="57C3889C">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20.2不同投标人委托同一单位或者个人办理投标事宜；</w:t>
      </w:r>
    </w:p>
    <w:p w14:paraId="4E28E80C">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20.3不同投标人的投标文件载明的项目管理成员或者联系人员为同一人；</w:t>
      </w:r>
    </w:p>
    <w:p w14:paraId="6D161740">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20.4不同投标人的投标文件异常一致或者投标报价呈规律性差异；</w:t>
      </w:r>
    </w:p>
    <w:p w14:paraId="5DDF0E8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20.5不同投标人的投标文件相互混装；</w:t>
      </w:r>
    </w:p>
    <w:p w14:paraId="07B578B2">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20.6不同投标人的投标保证金从同一单位或者个人的账户转出；</w:t>
      </w:r>
    </w:p>
    <w:p w14:paraId="0FFE45E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20.7</w:t>
      </w:r>
      <w:r>
        <w:rPr>
          <w:rFonts w:hint="eastAsia" w:ascii="仿宋" w:hAnsi="仿宋" w:eastAsia="仿宋" w:cs="仿宋"/>
          <w:color w:val="000000" w:themeColor="text1"/>
          <w:highlight w:val="none"/>
          <w:lang w:val="zh-CN" w:eastAsia="zh-CN"/>
          <w14:textFill>
            <w14:solidFill>
              <w14:schemeClr w14:val="tx1"/>
            </w14:solidFill>
          </w14:textFill>
        </w:rPr>
        <w:t>不同投标人使用同一电脑（机器特征值一致：如MAC地址等）或使用同一电子密钥，编制或上传电子投标文件</w:t>
      </w:r>
      <w:r>
        <w:rPr>
          <w:rFonts w:hint="eastAsia" w:ascii="仿宋" w:hAnsi="仿宋" w:eastAsia="仿宋" w:cs="仿宋"/>
          <w:color w:val="000000" w:themeColor="text1"/>
          <w:highlight w:val="none"/>
          <w:lang w:val="en-US" w:eastAsia="zh-CN"/>
          <w14:textFill>
            <w14:solidFill>
              <w14:schemeClr w14:val="tx1"/>
            </w14:solidFill>
          </w14:textFill>
        </w:rPr>
        <w:t>；</w:t>
      </w:r>
    </w:p>
    <w:p w14:paraId="0381419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20.8法律、法规、规章规定属于投标人串通投标的其他情形</w:t>
      </w:r>
      <w:r>
        <w:rPr>
          <w:rFonts w:hint="eastAsia" w:ascii="仿宋" w:hAnsi="仿宋" w:eastAsia="仿宋" w:cs="仿宋"/>
          <w:color w:val="000000" w:themeColor="text1"/>
          <w:highlight w:val="none"/>
          <w:lang w:val="zh-CN" w:eastAsia="zh-CN"/>
          <w14:textFill>
            <w14:solidFill>
              <w14:schemeClr w14:val="tx1"/>
            </w14:solidFill>
          </w14:textFill>
        </w:rPr>
        <w:t>。</w:t>
      </w:r>
    </w:p>
    <w:p w14:paraId="27477C8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w:t>
      </w:r>
      <w:r>
        <w:rPr>
          <w:rFonts w:hint="eastAsia" w:ascii="仿宋" w:hAnsi="仿宋" w:eastAsia="仿宋" w:cs="仿宋"/>
          <w:color w:val="000000" w:themeColor="text1"/>
          <w:highlight w:val="none"/>
          <w14:textFill>
            <w14:solidFill>
              <w14:schemeClr w14:val="tx1"/>
            </w14:solidFill>
          </w14:textFill>
        </w:rPr>
        <w:t>.根据《中华人民共和国政府采购法》第三十六条之规定，在招标采购过程中，出现下列情形之一的，应予</w:t>
      </w:r>
      <w:r>
        <w:rPr>
          <w:rFonts w:hint="eastAsia" w:ascii="仿宋" w:hAnsi="仿宋" w:eastAsia="仿宋" w:cs="仿宋"/>
          <w:b/>
          <w:bCs/>
          <w:color w:val="000000" w:themeColor="text1"/>
          <w:highlight w:val="none"/>
          <w14:textFill>
            <w14:solidFill>
              <w14:schemeClr w14:val="tx1"/>
            </w14:solidFill>
          </w14:textFill>
        </w:rPr>
        <w:t>废标</w:t>
      </w:r>
      <w:r>
        <w:rPr>
          <w:rFonts w:hint="eastAsia" w:ascii="仿宋" w:hAnsi="仿宋" w:eastAsia="仿宋" w:cs="仿宋"/>
          <w:color w:val="000000" w:themeColor="text1"/>
          <w:highlight w:val="none"/>
          <w14:textFill>
            <w14:solidFill>
              <w14:schemeClr w14:val="tx1"/>
            </w14:solidFill>
          </w14:textFill>
        </w:rPr>
        <w:t>：</w:t>
      </w:r>
    </w:p>
    <w:p w14:paraId="0703C2C5">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iCs/>
          <w:color w:val="000000" w:themeColor="text1"/>
          <w:spacing w:val="-6"/>
          <w:sz w:val="24"/>
          <w:highlight w:val="none"/>
          <w14:textFill>
            <w14:solidFill>
              <w14:schemeClr w14:val="tx1"/>
            </w14:solidFill>
          </w14:textFill>
        </w:rPr>
        <w:t>符合专业条件的供应商或者对招标文件作实质响应的供应商不足3家的；</w:t>
      </w:r>
    </w:p>
    <w:p w14:paraId="0813F2F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w:t>
      </w:r>
      <w:r>
        <w:rPr>
          <w:rFonts w:hint="eastAsia" w:ascii="仿宋" w:hAnsi="仿宋" w:eastAsia="仿宋" w:cs="仿宋"/>
          <w:color w:val="000000" w:themeColor="text1"/>
          <w:highlight w:val="none"/>
          <w14:textFill>
            <w14:solidFill>
              <w14:schemeClr w14:val="tx1"/>
            </w14:solidFill>
          </w14:textFill>
        </w:rPr>
        <w:t>.2出现影响采购公正的违法、违规行为的；</w:t>
      </w:r>
    </w:p>
    <w:p w14:paraId="5DA7D0B8">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w:t>
      </w:r>
      <w:r>
        <w:rPr>
          <w:rFonts w:hint="eastAsia" w:ascii="仿宋" w:hAnsi="仿宋" w:eastAsia="仿宋" w:cs="仿宋"/>
          <w:color w:val="000000" w:themeColor="text1"/>
          <w:highlight w:val="none"/>
          <w14:textFill>
            <w14:solidFill>
              <w14:schemeClr w14:val="tx1"/>
            </w14:solidFill>
          </w14:textFill>
        </w:rPr>
        <w:t>.3投标人的报价均超过了采购预算，采购人不能支付的；</w:t>
      </w:r>
    </w:p>
    <w:p w14:paraId="4B80F84E">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w:t>
      </w:r>
      <w:r>
        <w:rPr>
          <w:rFonts w:hint="eastAsia" w:ascii="仿宋" w:hAnsi="仿宋" w:eastAsia="仿宋" w:cs="仿宋"/>
          <w:color w:val="000000" w:themeColor="text1"/>
          <w:highlight w:val="none"/>
          <w14:textFill>
            <w14:solidFill>
              <w14:schemeClr w14:val="tx1"/>
            </w14:solidFill>
          </w14:textFill>
        </w:rPr>
        <w:t>.4因重大变故，采购任务取消的</w:t>
      </w:r>
      <w:r>
        <w:rPr>
          <w:rFonts w:hint="eastAsia" w:ascii="仿宋" w:hAnsi="仿宋" w:eastAsia="仿宋" w:cs="仿宋"/>
          <w:color w:val="000000" w:themeColor="text1"/>
          <w:highlight w:val="none"/>
          <w:lang w:val="en-US" w:eastAsia="zh-CN"/>
          <w14:textFill>
            <w14:solidFill>
              <w14:schemeClr w14:val="tx1"/>
            </w14:solidFill>
          </w14:textFill>
        </w:rPr>
        <w:t>；</w:t>
      </w:r>
    </w:p>
    <w:p w14:paraId="4596A3AC">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21.5</w:t>
      </w:r>
      <w:r>
        <w:rPr>
          <w:rFonts w:hint="eastAsia" w:ascii="仿宋" w:hAnsi="仿宋" w:eastAsia="仿宋" w:cs="仿宋"/>
          <w:color w:val="000000" w:themeColor="text1"/>
          <w:highlight w:val="none"/>
          <w14:textFill>
            <w14:solidFill>
              <w14:schemeClr w14:val="tx1"/>
            </w14:solidFill>
          </w14:textFill>
        </w:rPr>
        <w:t>法律、法规、规章规定属于</w:t>
      </w:r>
      <w:r>
        <w:rPr>
          <w:rFonts w:hint="eastAsia" w:ascii="仿宋" w:hAnsi="仿宋" w:eastAsia="仿宋" w:cs="仿宋"/>
          <w:color w:val="000000" w:themeColor="text1"/>
          <w:highlight w:val="none"/>
          <w:lang w:val="en-US" w:eastAsia="zh-CN"/>
          <w14:textFill>
            <w14:solidFill>
              <w14:schemeClr w14:val="tx1"/>
            </w14:solidFill>
          </w14:textFill>
        </w:rPr>
        <w:t>废标</w:t>
      </w:r>
      <w:r>
        <w:rPr>
          <w:rFonts w:hint="eastAsia" w:ascii="仿宋" w:hAnsi="仿宋" w:eastAsia="仿宋" w:cs="仿宋"/>
          <w:color w:val="000000" w:themeColor="text1"/>
          <w:highlight w:val="none"/>
          <w14:textFill>
            <w14:solidFill>
              <w14:schemeClr w14:val="tx1"/>
            </w14:solidFill>
          </w14:textFill>
        </w:rPr>
        <w:t>的其他情形。</w:t>
      </w:r>
    </w:p>
    <w:p w14:paraId="2047A6B2">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22.</w:t>
      </w:r>
      <w:r>
        <w:rPr>
          <w:rFonts w:hint="eastAsia" w:ascii="仿宋" w:hAnsi="仿宋" w:eastAsia="仿宋" w:cs="仿宋"/>
          <w:color w:val="000000" w:themeColor="text1"/>
          <w:highlight w:val="none"/>
          <w14:textFill>
            <w14:solidFill>
              <w14:schemeClr w14:val="tx1"/>
            </w14:solidFill>
          </w14:textFill>
        </w:rPr>
        <w:t>废标后，采购人应当将废标理由通知所有投标人。</w:t>
      </w:r>
    </w:p>
    <w:p w14:paraId="534F5742">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58" w:name="_Toc12911"/>
      <w:bookmarkStart w:id="459" w:name="_Toc102116152"/>
      <w:bookmarkStart w:id="460" w:name="_Toc102116022"/>
      <w:bookmarkStart w:id="461" w:name="_Toc102119853"/>
      <w:bookmarkStart w:id="462" w:name="_Toc102056218"/>
      <w:bookmarkStart w:id="463" w:name="_Toc102057718"/>
      <w:bookmarkStart w:id="464" w:name="_Toc102114920"/>
      <w:bookmarkStart w:id="465" w:name="_Toc163492907"/>
      <w:bookmarkStart w:id="466" w:name="_Toc155185914"/>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九</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）停止评标的情形</w:t>
      </w:r>
      <w:bookmarkEnd w:id="458"/>
      <w:bookmarkEnd w:id="459"/>
      <w:bookmarkEnd w:id="460"/>
      <w:bookmarkEnd w:id="461"/>
      <w:bookmarkEnd w:id="462"/>
      <w:bookmarkEnd w:id="463"/>
      <w:bookmarkEnd w:id="464"/>
      <w:bookmarkEnd w:id="465"/>
      <w:bookmarkEnd w:id="466"/>
    </w:p>
    <w:p w14:paraId="2626E046">
      <w:pPr>
        <w:pStyle w:val="4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w:t>
      </w:r>
      <w:r>
        <w:rPr>
          <w:rFonts w:hint="eastAsia" w:ascii="仿宋" w:hAnsi="仿宋" w:eastAsia="仿宋" w:cs="仿宋"/>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51B1F7">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467" w:name="_Toc21922"/>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）重新开展采购</w:t>
      </w:r>
      <w:bookmarkEnd w:id="467"/>
    </w:p>
    <w:p w14:paraId="3CA2A54B">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有</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中华人民共和国政府采购法</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第七十一条、第七十二条规定的违法行为之一，影响或者可能影响中标结果的，依照下列规定处理：</w:t>
      </w:r>
    </w:p>
    <w:p w14:paraId="4D08A38D">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iCs/>
          <w:color w:val="000000" w:themeColor="text1"/>
          <w:spacing w:val="-6"/>
          <w:sz w:val="24"/>
          <w:highlight w:val="none"/>
          <w14:textFill>
            <w14:solidFill>
              <w14:schemeClr w14:val="tx1"/>
            </w14:solidFill>
          </w14:textFill>
        </w:rPr>
        <w:t>未确定中标供应商的，终止本次政府采购活动，重新开展政府采购活动。</w:t>
      </w:r>
    </w:p>
    <w:p w14:paraId="2C9061B6">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.2已确定中标供应商但尚未签订政府采购合同的，中标结果无效，从合格的中标候选人中另行确定中标供应商；没有合格的中标候选人的，重新开展政府采购活动。</w:t>
      </w:r>
    </w:p>
    <w:p w14:paraId="4D49CF39">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.3政府采购合同已签订但尚未履行的，撤销合同，从合格的中标候选人中另行确定中标供应商；没有合格的中标候选人的，重新开展政府采购活动。</w:t>
      </w:r>
    </w:p>
    <w:p w14:paraId="59E7B734">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.4政府采购合同已经履行，给采购人、供应商造成损失的，由责任人承担赔偿责任。</w:t>
      </w:r>
    </w:p>
    <w:p w14:paraId="0BDC79A9">
      <w:pPr>
        <w:pStyle w:val="4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.5政府采购当事人有其他违反</w:t>
      </w:r>
      <w:r>
        <w:rPr>
          <w:rFonts w:hint="eastAsia" w:ascii="仿宋" w:hAnsi="仿宋" w:eastAsia="仿宋" w:cs="仿宋"/>
          <w:iCs/>
          <w:color w:val="000000" w:themeColor="text1"/>
          <w:spacing w:val="-6"/>
          <w:sz w:val="24"/>
          <w:highlight w:val="none"/>
          <w:lang w:eastAsia="zh-CN"/>
          <w14:textFill>
            <w14:solidFill>
              <w14:schemeClr w14:val="tx1"/>
            </w14:solidFill>
          </w14:textFill>
        </w:rPr>
        <w:t>《</w:t>
      </w:r>
      <w:r>
        <w:rPr>
          <w:rFonts w:hint="eastAsia" w:ascii="仿宋" w:hAnsi="仿宋" w:eastAsia="仿宋" w:cs="仿宋"/>
          <w:iCs/>
          <w:color w:val="000000" w:themeColor="text1"/>
          <w:spacing w:val="-6"/>
          <w:sz w:val="24"/>
          <w:highlight w:val="none"/>
          <w14:textFill>
            <w14:solidFill>
              <w14:schemeClr w14:val="tx1"/>
            </w14:solidFill>
          </w14:textFill>
        </w:rPr>
        <w:t>中华人民共和国政府采购法</w:t>
      </w:r>
      <w:r>
        <w:rPr>
          <w:rFonts w:hint="eastAsia" w:ascii="仿宋" w:hAnsi="仿宋" w:eastAsia="仿宋" w:cs="仿宋"/>
          <w:iCs/>
          <w:color w:val="000000" w:themeColor="text1"/>
          <w:spacing w:val="-6"/>
          <w:sz w:val="24"/>
          <w:highlight w:val="none"/>
          <w:lang w:eastAsia="zh-CN"/>
          <w14:textFill>
            <w14:solidFill>
              <w14:schemeClr w14:val="tx1"/>
            </w14:solidFill>
          </w14:textFill>
        </w:rPr>
        <w:t>》</w:t>
      </w:r>
      <w:r>
        <w:rPr>
          <w:rFonts w:hint="eastAsia" w:ascii="仿宋" w:hAnsi="仿宋" w:eastAsia="仿宋" w:cs="仿宋"/>
          <w:iCs/>
          <w:color w:val="000000" w:themeColor="text1"/>
          <w:spacing w:val="-6"/>
          <w:sz w:val="24"/>
          <w:highlight w:val="none"/>
          <w14:textFill>
            <w14:solidFill>
              <w14:schemeClr w14:val="tx1"/>
            </w14:solidFill>
          </w14:textFill>
        </w:rPr>
        <w:t>或者</w:t>
      </w:r>
      <w:r>
        <w:rPr>
          <w:rFonts w:hint="eastAsia" w:ascii="仿宋" w:hAnsi="仿宋" w:eastAsia="仿宋" w:cs="仿宋"/>
          <w:iCs/>
          <w:color w:val="000000" w:themeColor="text1"/>
          <w:spacing w:val="-6"/>
          <w:sz w:val="24"/>
          <w:highlight w:val="none"/>
          <w:lang w:eastAsia="zh-CN"/>
          <w14:textFill>
            <w14:solidFill>
              <w14:schemeClr w14:val="tx1"/>
            </w14:solidFill>
          </w14:textFill>
        </w:rPr>
        <w:t>《</w:t>
      </w:r>
      <w:r>
        <w:rPr>
          <w:rFonts w:hint="eastAsia" w:ascii="仿宋" w:hAnsi="仿宋" w:eastAsia="仿宋" w:cs="仿宋"/>
          <w:iCs/>
          <w:color w:val="000000" w:themeColor="text1"/>
          <w:spacing w:val="-6"/>
          <w:sz w:val="24"/>
          <w:highlight w:val="none"/>
          <w14:textFill>
            <w14:solidFill>
              <w14:schemeClr w14:val="tx1"/>
            </w14:solidFill>
          </w14:textFill>
        </w:rPr>
        <w:t>中华人民共和国政府采购法实施条例</w:t>
      </w:r>
      <w:r>
        <w:rPr>
          <w:rFonts w:hint="eastAsia" w:ascii="仿宋" w:hAnsi="仿宋" w:eastAsia="仿宋" w:cs="仿宋"/>
          <w:iCs/>
          <w:color w:val="000000" w:themeColor="text1"/>
          <w:spacing w:val="-6"/>
          <w:sz w:val="24"/>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等法律法规规定的行为，经改正后仍然影响或者可能影响中标结果或者依法被认定为中标无效的，依照</w:t>
      </w: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.4规定处理。</w:t>
      </w:r>
      <w:bookmarkEnd w:id="422"/>
      <w:bookmarkEnd w:id="423"/>
      <w:bookmarkEnd w:id="424"/>
      <w:bookmarkEnd w:id="425"/>
      <w:bookmarkEnd w:id="426"/>
      <w:bookmarkEnd w:id="427"/>
      <w:bookmarkEnd w:id="428"/>
      <w:bookmarkEnd w:id="429"/>
      <w:bookmarkEnd w:id="430"/>
      <w:bookmarkEnd w:id="431"/>
    </w:p>
    <w:p w14:paraId="6683F090">
      <w:pPr>
        <w:pStyle w:val="5"/>
        <w:spacing w:before="100" w:after="100" w:line="360" w:lineRule="auto"/>
        <w:ind w:left="420"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三、评标</w:t>
      </w:r>
      <w:r>
        <w:rPr>
          <w:rFonts w:hint="eastAsia" w:ascii="仿宋" w:hAnsi="仿宋" w:eastAsia="仿宋" w:cs="仿宋"/>
          <w:color w:val="000000" w:themeColor="text1"/>
          <w:sz w:val="24"/>
          <w:szCs w:val="24"/>
          <w:highlight w:val="none"/>
          <w14:textFill>
            <w14:solidFill>
              <w14:schemeClr w14:val="tx1"/>
            </w14:solidFill>
          </w14:textFill>
        </w:rPr>
        <w:t>其他要求</w:t>
      </w:r>
      <w:bookmarkEnd w:id="416"/>
      <w:bookmarkEnd w:id="417"/>
    </w:p>
    <w:p w14:paraId="74C40C16">
      <w:pPr>
        <w:pStyle w:val="47"/>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pacing w:val="0"/>
          <w:sz w:val="24"/>
          <w:szCs w:val="24"/>
          <w:highlight w:val="none"/>
          <w14:textFill>
            <w14:solidFill>
              <w14:schemeClr w14:val="tx1"/>
            </w14:solidFill>
          </w14:textFill>
        </w:rPr>
        <w:t>在评审过程中，供应商对于评标委员会要求的澄清、说明、补正应以书面形式进行确认。采用电子评标形式进行评审的，须按照评标委员会在线质询的问题进行远程回复并提交</w:t>
      </w:r>
      <w:r>
        <w:rPr>
          <w:rFonts w:hint="eastAsia" w:ascii="仿宋" w:hAnsi="仿宋" w:eastAsia="仿宋" w:cs="仿宋"/>
          <w:b/>
          <w:bCs/>
          <w:color w:val="000000" w:themeColor="text1"/>
          <w:spacing w:val="0"/>
          <w:sz w:val="24"/>
          <w:szCs w:val="24"/>
          <w:highlight w:val="none"/>
          <w:lang w:val="en-US" w:eastAsia="zh-CN"/>
          <w14:textFill>
            <w14:solidFill>
              <w14:schemeClr w14:val="tx1"/>
            </w14:solidFill>
          </w14:textFill>
        </w:rPr>
        <w:t>政采云平台</w:t>
      </w:r>
      <w:r>
        <w:rPr>
          <w:rFonts w:hint="eastAsia" w:ascii="仿宋" w:hAnsi="仿宋" w:eastAsia="仿宋" w:cs="仿宋"/>
          <w:b/>
          <w:bCs/>
          <w:color w:val="000000" w:themeColor="text1"/>
          <w:spacing w:val="0"/>
          <w:sz w:val="24"/>
          <w:szCs w:val="24"/>
          <w:highlight w:val="none"/>
          <w14:textFill>
            <w14:solidFill>
              <w14:schemeClr w14:val="tx1"/>
            </w14:solidFill>
          </w14:textFill>
        </w:rPr>
        <w:t>确认。供应商没有按评标委员会的要求提交澄清、说明、补正或改变了投标文件的实质性内容，其投标文件无效</w:t>
      </w:r>
      <w:r>
        <w:rPr>
          <w:rFonts w:hint="eastAsia" w:ascii="仿宋" w:hAnsi="仿宋" w:eastAsia="仿宋" w:cs="仿宋"/>
          <w:b/>
          <w:bCs/>
          <w:color w:val="000000" w:themeColor="text1"/>
          <w:spacing w:val="0"/>
          <w:sz w:val="24"/>
          <w:szCs w:val="24"/>
          <w:highlight w:val="none"/>
          <w:lang w:eastAsia="zh-CN"/>
          <w14:textFill>
            <w14:solidFill>
              <w14:schemeClr w14:val="tx1"/>
            </w14:solidFill>
          </w14:textFill>
        </w:rPr>
        <w:t>。</w:t>
      </w:r>
    </w:p>
    <w:p w14:paraId="327D5E33">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32B9AB5B">
      <w:pPr>
        <w:pStyle w:val="5"/>
        <w:spacing w:before="100" w:after="100" w:line="360" w:lineRule="auto"/>
        <w:ind w:left="420" w:firstLine="562"/>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zh-CN"/>
          <w14:textFill>
            <w14:solidFill>
              <w14:schemeClr w14:val="tx1"/>
            </w14:solidFill>
          </w14:textFill>
        </w:rPr>
        <w:t>、评标标准</w:t>
      </w:r>
      <w:bookmarkEnd w:id="418"/>
      <w:bookmarkEnd w:id="419"/>
    </w:p>
    <w:p w14:paraId="26BBE26D">
      <w:pPr>
        <w:pStyle w:val="6"/>
        <w:spacing w:before="60" w:after="60" w:line="360" w:lineRule="auto"/>
        <w:ind w:left="420" w:firstLine="482"/>
        <w:rPr>
          <w:rFonts w:hint="eastAsia" w:ascii="仿宋" w:hAnsi="仿宋" w:eastAsia="仿宋" w:cs="仿宋"/>
          <w:color w:val="000000" w:themeColor="text1"/>
          <w:sz w:val="24"/>
          <w:szCs w:val="24"/>
          <w:highlight w:val="none"/>
          <w:lang w:val="zh-CN"/>
          <w14:textFill>
            <w14:solidFill>
              <w14:schemeClr w14:val="tx1"/>
            </w14:solidFill>
          </w14:textFill>
        </w:rPr>
      </w:pPr>
      <w:bookmarkStart w:id="468" w:name="_Toc1508"/>
      <w:bookmarkStart w:id="469" w:name="_Toc29368"/>
      <w:bookmarkStart w:id="470" w:name="_Toc163492909"/>
      <w:bookmarkStart w:id="471" w:name="_Toc12396"/>
      <w:r>
        <w:rPr>
          <w:rFonts w:hint="eastAsia" w:ascii="仿宋" w:hAnsi="仿宋" w:eastAsia="仿宋" w:cs="仿宋"/>
          <w:color w:val="000000" w:themeColor="text1"/>
          <w:sz w:val="24"/>
          <w:szCs w:val="24"/>
          <w:highlight w:val="none"/>
          <w:lang w:val="zh-CN"/>
          <w14:textFill>
            <w14:solidFill>
              <w14:schemeClr w14:val="tx1"/>
            </w14:solidFill>
          </w14:textFill>
        </w:rPr>
        <w:t>（一）符合性审查表</w:t>
      </w:r>
      <w:bookmarkEnd w:id="468"/>
      <w:bookmarkEnd w:id="469"/>
      <w:bookmarkEnd w:id="470"/>
      <w:bookmarkEnd w:id="471"/>
    </w:p>
    <w:tbl>
      <w:tblPr>
        <w:tblStyle w:val="35"/>
        <w:tblW w:w="547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5"/>
        <w:gridCol w:w="1263"/>
        <w:gridCol w:w="5497"/>
        <w:gridCol w:w="973"/>
        <w:gridCol w:w="866"/>
      </w:tblGrid>
      <w:tr w14:paraId="74AC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7" w:type="pct"/>
            <w:vMerge w:val="restart"/>
            <w:shd w:val="clear" w:color="auto" w:fill="D8D8D8" w:themeFill="background1" w:themeFillShade="D9"/>
            <w:vAlign w:val="center"/>
          </w:tcPr>
          <w:p w14:paraId="0491B928">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bookmarkStart w:id="472" w:name="_Toc27284"/>
            <w:bookmarkStart w:id="473" w:name="_Toc30949"/>
            <w:bookmarkStart w:id="474" w:name="_Toc9173"/>
            <w:bookmarkStart w:id="475" w:name="_Toc163492910"/>
            <w:bookmarkStart w:id="476" w:name="_Toc155185917"/>
            <w:r>
              <w:rPr>
                <w:rFonts w:hint="eastAsia" w:ascii="仿宋" w:hAnsi="仿宋" w:eastAsia="仿宋" w:cs="仿宋"/>
                <w:b/>
                <w:bCs/>
                <w:color w:val="000000" w:themeColor="text1"/>
                <w:sz w:val="21"/>
                <w:szCs w:val="21"/>
                <w:highlight w:val="none"/>
                <w:lang w:val="zh-CN"/>
                <w14:textFill>
                  <w14:solidFill>
                    <w14:schemeClr w14:val="tx1"/>
                  </w14:solidFill>
                </w14:textFill>
              </w:rPr>
              <w:t>序号</w:t>
            </w:r>
          </w:p>
        </w:tc>
        <w:tc>
          <w:tcPr>
            <w:tcW w:w="695" w:type="pct"/>
            <w:vMerge w:val="restart"/>
            <w:shd w:val="clear" w:color="auto" w:fill="D8D8D8" w:themeFill="background1" w:themeFillShade="D9"/>
            <w:vAlign w:val="center"/>
          </w:tcPr>
          <w:p w14:paraId="77B200DD">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审查项名称</w:t>
            </w:r>
          </w:p>
        </w:tc>
        <w:tc>
          <w:tcPr>
            <w:tcW w:w="3024" w:type="pct"/>
            <w:vMerge w:val="restart"/>
            <w:shd w:val="clear" w:color="auto" w:fill="D8D8D8" w:themeFill="background1" w:themeFillShade="D9"/>
            <w:vAlign w:val="center"/>
          </w:tcPr>
          <w:p w14:paraId="42B0F3AF">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审查内容</w:t>
            </w:r>
          </w:p>
        </w:tc>
        <w:tc>
          <w:tcPr>
            <w:tcW w:w="1011" w:type="pct"/>
            <w:gridSpan w:val="2"/>
            <w:shd w:val="clear" w:color="auto" w:fill="D8D8D8" w:themeFill="background1" w:themeFillShade="D9"/>
            <w:vAlign w:val="center"/>
          </w:tcPr>
          <w:p w14:paraId="57F24443">
            <w:pPr>
              <w:pStyle w:val="59"/>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审查结果</w:t>
            </w:r>
          </w:p>
        </w:tc>
      </w:tr>
      <w:tr w14:paraId="7AA4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7" w:type="pct"/>
            <w:vMerge w:val="continue"/>
            <w:shd w:val="clear" w:color="auto" w:fill="D8D8D8" w:themeFill="background1" w:themeFillShade="D9"/>
            <w:vAlign w:val="center"/>
          </w:tcPr>
          <w:p w14:paraId="79A5BA78">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p>
        </w:tc>
        <w:tc>
          <w:tcPr>
            <w:tcW w:w="695" w:type="pct"/>
            <w:vMerge w:val="continue"/>
            <w:shd w:val="clear" w:color="auto" w:fill="D8D8D8" w:themeFill="background1" w:themeFillShade="D9"/>
            <w:vAlign w:val="center"/>
          </w:tcPr>
          <w:p w14:paraId="47953320">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p>
        </w:tc>
        <w:tc>
          <w:tcPr>
            <w:tcW w:w="3024" w:type="pct"/>
            <w:vMerge w:val="continue"/>
            <w:shd w:val="clear" w:color="auto" w:fill="D8D8D8" w:themeFill="background1" w:themeFillShade="D9"/>
            <w:vAlign w:val="center"/>
          </w:tcPr>
          <w:p w14:paraId="1D7457C7">
            <w:pPr>
              <w:pStyle w:val="59"/>
              <w:jc w:val="center"/>
              <w:rPr>
                <w:rFonts w:hint="eastAsia" w:ascii="仿宋" w:hAnsi="仿宋" w:eastAsia="仿宋" w:cs="仿宋"/>
                <w:b/>
                <w:bCs/>
                <w:color w:val="000000" w:themeColor="text1"/>
                <w:sz w:val="21"/>
                <w:szCs w:val="21"/>
                <w:highlight w:val="none"/>
                <w:lang w:val="zh-CN"/>
                <w14:textFill>
                  <w14:solidFill>
                    <w14:schemeClr w14:val="tx1"/>
                  </w14:solidFill>
                </w14:textFill>
              </w:rPr>
            </w:pPr>
          </w:p>
        </w:tc>
        <w:tc>
          <w:tcPr>
            <w:tcW w:w="535" w:type="pct"/>
            <w:shd w:val="clear" w:color="auto" w:fill="D8D8D8" w:themeFill="background1" w:themeFillShade="D9"/>
            <w:vAlign w:val="center"/>
          </w:tcPr>
          <w:p w14:paraId="0F6027A2">
            <w:pPr>
              <w:pStyle w:val="59"/>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符合</w:t>
            </w:r>
          </w:p>
        </w:tc>
        <w:tc>
          <w:tcPr>
            <w:tcW w:w="475" w:type="pct"/>
            <w:shd w:val="clear" w:color="auto" w:fill="D8D8D8" w:themeFill="background1" w:themeFillShade="D9"/>
            <w:vAlign w:val="center"/>
          </w:tcPr>
          <w:p w14:paraId="0A9138FA">
            <w:pPr>
              <w:pStyle w:val="59"/>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不符合</w:t>
            </w:r>
          </w:p>
        </w:tc>
      </w:tr>
      <w:tr w14:paraId="679A7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7" w:type="pct"/>
            <w:shd w:val="clear" w:color="auto" w:fill="auto"/>
            <w:vAlign w:val="center"/>
          </w:tcPr>
          <w:p w14:paraId="77039C50">
            <w:pPr>
              <w:pStyle w:val="59"/>
              <w:numPr>
                <w:ilvl w:val="0"/>
                <w:numId w:val="0"/>
              </w:numPr>
              <w:ind w:left="420" w:leftChars="0" w:hanging="420" w:firstLineChars="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1</w:t>
            </w:r>
          </w:p>
        </w:tc>
        <w:tc>
          <w:tcPr>
            <w:tcW w:w="695" w:type="pct"/>
            <w:vAlign w:val="center"/>
          </w:tcPr>
          <w:p w14:paraId="66B848AD">
            <w:pPr>
              <w:pStyle w:val="5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签署</w:t>
            </w:r>
          </w:p>
        </w:tc>
        <w:tc>
          <w:tcPr>
            <w:tcW w:w="3024" w:type="pct"/>
            <w:shd w:val="clear" w:color="auto" w:fill="auto"/>
            <w:vAlign w:val="center"/>
          </w:tcPr>
          <w:p w14:paraId="06502F02">
            <w:pPr>
              <w:pStyle w:val="59"/>
              <w:rPr>
                <w:rFonts w:hint="eastAsia" w:ascii="仿宋" w:hAnsi="仿宋" w:eastAsia="仿宋" w:cs="仿宋"/>
                <w:color w:val="000000" w:themeColor="text1"/>
                <w:sz w:val="21"/>
                <w:szCs w:val="21"/>
                <w:highlight w:val="none"/>
                <w:lang w:val="zh-CN"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投标文件按招标文件要求签署、盖章的</w:t>
            </w:r>
          </w:p>
        </w:tc>
        <w:tc>
          <w:tcPr>
            <w:tcW w:w="535" w:type="pct"/>
            <w:shd w:val="clear" w:color="auto" w:fill="auto"/>
            <w:vAlign w:val="center"/>
          </w:tcPr>
          <w:p w14:paraId="62C9EEC3">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7E9F5776">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2766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67" w:type="pct"/>
            <w:shd w:val="clear" w:color="auto" w:fill="auto"/>
            <w:vAlign w:val="center"/>
          </w:tcPr>
          <w:p w14:paraId="7F5247ED">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2</w:t>
            </w:r>
          </w:p>
        </w:tc>
        <w:tc>
          <w:tcPr>
            <w:tcW w:w="695" w:type="pct"/>
            <w:shd w:val="clear" w:color="auto" w:fill="auto"/>
            <w:vAlign w:val="center"/>
          </w:tcPr>
          <w:p w14:paraId="5A430F12">
            <w:pPr>
              <w:pStyle w:val="59"/>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实质性要求</w:t>
            </w:r>
          </w:p>
        </w:tc>
        <w:tc>
          <w:tcPr>
            <w:tcW w:w="3024" w:type="pct"/>
            <w:shd w:val="clear" w:color="auto" w:fill="auto"/>
            <w:vAlign w:val="center"/>
          </w:tcPr>
          <w:p w14:paraId="2F22B83C">
            <w:pPr>
              <w:pStyle w:val="59"/>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lang w:val="zh-CN" w:eastAsia="zh-CN"/>
                <w14:textFill>
                  <w14:solidFill>
                    <w14:schemeClr w14:val="tx1"/>
                  </w14:solidFill>
                </w14:textFill>
              </w:rPr>
              <w:t>文件满足</w:t>
            </w: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lang w:val="zh-CN" w:eastAsia="zh-CN"/>
                <w14:textFill>
                  <w14:solidFill>
                    <w14:schemeClr w14:val="tx1"/>
                  </w14:solidFill>
                </w14:textFill>
              </w:rPr>
              <w:t>文件中标注“★”号的实质性条款（或指标）要求的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具体详见</w:t>
            </w:r>
            <w:r>
              <w:rPr>
                <w:rFonts w:hint="eastAsia" w:ascii="仿宋" w:hAnsi="仿宋" w:eastAsia="仿宋" w:cs="仿宋"/>
                <w:color w:val="000000" w:themeColor="text1"/>
                <w:sz w:val="21"/>
                <w:szCs w:val="21"/>
                <w:highlight w:val="none"/>
                <w:lang w:val="zh-CN"/>
                <w14:textFill>
                  <w14:solidFill>
                    <w14:schemeClr w14:val="tx1"/>
                  </w14:solidFill>
                </w14:textFill>
              </w:rPr>
              <w:t>“实质性响应一览表”</w:t>
            </w:r>
          </w:p>
        </w:tc>
        <w:tc>
          <w:tcPr>
            <w:tcW w:w="535" w:type="pct"/>
            <w:shd w:val="clear" w:color="auto" w:fill="auto"/>
            <w:vAlign w:val="center"/>
          </w:tcPr>
          <w:p w14:paraId="1758EC98">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5EA1BE78">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404B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7" w:type="pct"/>
            <w:shd w:val="clear" w:color="auto" w:fill="auto"/>
            <w:vAlign w:val="center"/>
          </w:tcPr>
          <w:p w14:paraId="57E14DFE">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3</w:t>
            </w:r>
          </w:p>
        </w:tc>
        <w:tc>
          <w:tcPr>
            <w:tcW w:w="695" w:type="pct"/>
            <w:vAlign w:val="center"/>
          </w:tcPr>
          <w:p w14:paraId="3F138F66">
            <w:pPr>
              <w:pStyle w:val="5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投标报价</w:t>
            </w:r>
          </w:p>
        </w:tc>
        <w:tc>
          <w:tcPr>
            <w:tcW w:w="3024" w:type="pct"/>
            <w:shd w:val="clear" w:color="auto" w:fill="auto"/>
            <w:vAlign w:val="center"/>
          </w:tcPr>
          <w:p w14:paraId="589AD623">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投标人报价未超过招标文件中规定的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最高限价或者预算金额</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的</w:t>
            </w:r>
          </w:p>
        </w:tc>
        <w:tc>
          <w:tcPr>
            <w:tcW w:w="535" w:type="pct"/>
            <w:shd w:val="clear" w:color="auto" w:fill="auto"/>
            <w:vAlign w:val="center"/>
          </w:tcPr>
          <w:p w14:paraId="2F971E1F">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0650E591">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194A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7" w:type="pct"/>
            <w:shd w:val="clear" w:color="auto" w:fill="auto"/>
            <w:vAlign w:val="center"/>
          </w:tcPr>
          <w:p w14:paraId="36ACDEC9">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695" w:type="pct"/>
            <w:shd w:val="clear" w:color="auto" w:fill="auto"/>
            <w:vAlign w:val="center"/>
          </w:tcPr>
          <w:p w14:paraId="25E6804E">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采购清单</w:t>
            </w:r>
          </w:p>
        </w:tc>
        <w:tc>
          <w:tcPr>
            <w:tcW w:w="3024" w:type="pct"/>
            <w:shd w:val="clear" w:color="auto" w:fill="auto"/>
            <w:vAlign w:val="center"/>
          </w:tcPr>
          <w:p w14:paraId="0291CD6E">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未改变招标文件提供的采购清单数量的</w:t>
            </w:r>
          </w:p>
        </w:tc>
        <w:tc>
          <w:tcPr>
            <w:tcW w:w="535" w:type="pct"/>
            <w:shd w:val="clear" w:color="auto" w:fill="auto"/>
            <w:vAlign w:val="center"/>
          </w:tcPr>
          <w:p w14:paraId="7DE42458">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761C7004">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33F0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7" w:type="pct"/>
            <w:shd w:val="clear" w:color="auto" w:fill="auto"/>
            <w:vAlign w:val="center"/>
          </w:tcPr>
          <w:p w14:paraId="42CAE927">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695" w:type="pct"/>
            <w:vAlign w:val="center"/>
          </w:tcPr>
          <w:p w14:paraId="2248BA50">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虚假材料</w:t>
            </w:r>
          </w:p>
        </w:tc>
        <w:tc>
          <w:tcPr>
            <w:tcW w:w="3024" w:type="pct"/>
            <w:shd w:val="clear" w:color="auto" w:fill="auto"/>
            <w:vAlign w:val="center"/>
          </w:tcPr>
          <w:p w14:paraId="583F73D1">
            <w:pPr>
              <w:pStyle w:val="59"/>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lang w:val="zh-CN" w:eastAsia="zh-CN"/>
                <w14:textFill>
                  <w14:solidFill>
                    <w14:schemeClr w14:val="tx1"/>
                  </w14:solidFill>
                </w14:textFill>
              </w:rPr>
              <w:t>文件</w:t>
            </w:r>
            <w:r>
              <w:rPr>
                <w:rFonts w:hint="eastAsia" w:ascii="仿宋" w:hAnsi="仿宋" w:eastAsia="仿宋" w:cs="仿宋"/>
                <w:color w:val="000000" w:themeColor="text1"/>
                <w:sz w:val="21"/>
                <w:szCs w:val="21"/>
                <w:highlight w:val="none"/>
                <w:lang w:val="en-US" w:eastAsia="zh-CN"/>
                <w14:textFill>
                  <w14:solidFill>
                    <w14:schemeClr w14:val="tx1"/>
                  </w14:solidFill>
                </w14:textFill>
              </w:rPr>
              <w:t>未</w:t>
            </w:r>
            <w:r>
              <w:rPr>
                <w:rFonts w:hint="eastAsia" w:ascii="仿宋" w:hAnsi="仿宋" w:eastAsia="仿宋" w:cs="仿宋"/>
                <w:color w:val="000000" w:themeColor="text1"/>
                <w:sz w:val="21"/>
                <w:szCs w:val="21"/>
                <w:highlight w:val="none"/>
                <w:lang w:val="zh-CN" w:eastAsia="zh-CN"/>
                <w14:textFill>
                  <w14:solidFill>
                    <w14:schemeClr w14:val="tx1"/>
                  </w14:solidFill>
                </w14:textFill>
              </w:rPr>
              <w:t>提供虚假材料的</w:t>
            </w:r>
          </w:p>
        </w:tc>
        <w:tc>
          <w:tcPr>
            <w:tcW w:w="535" w:type="pct"/>
            <w:shd w:val="clear" w:color="auto" w:fill="auto"/>
            <w:vAlign w:val="center"/>
          </w:tcPr>
          <w:p w14:paraId="6FFF49D0">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2677ED8D">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287C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7" w:type="pct"/>
            <w:shd w:val="clear" w:color="auto" w:fill="auto"/>
            <w:vAlign w:val="center"/>
          </w:tcPr>
          <w:p w14:paraId="43DBF016">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p>
        </w:tc>
        <w:tc>
          <w:tcPr>
            <w:tcW w:w="695" w:type="pct"/>
            <w:vAlign w:val="center"/>
          </w:tcPr>
          <w:p w14:paraId="74DEEC6C">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联合体</w:t>
            </w:r>
          </w:p>
        </w:tc>
        <w:tc>
          <w:tcPr>
            <w:tcW w:w="3024" w:type="pct"/>
            <w:shd w:val="clear" w:color="auto" w:fill="auto"/>
            <w:vAlign w:val="center"/>
          </w:tcPr>
          <w:p w14:paraId="0BE3B7EB">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联合体的供应商提交</w:t>
            </w:r>
            <w:r>
              <w:rPr>
                <w:rFonts w:hint="eastAsia" w:ascii="仿宋" w:hAnsi="仿宋" w:eastAsia="仿宋" w:cs="仿宋"/>
                <w:color w:val="000000" w:themeColor="text1"/>
                <w:sz w:val="21"/>
                <w:szCs w:val="21"/>
                <w:highlight w:val="none"/>
                <w:lang w:val="en-US" w:eastAsia="zh-CN"/>
                <w14:textFill>
                  <w14:solidFill>
                    <w14:schemeClr w14:val="tx1"/>
                  </w14:solidFill>
                </w14:textFill>
              </w:rPr>
              <w:t>了</w:t>
            </w:r>
            <w:r>
              <w:rPr>
                <w:rFonts w:hint="eastAsia" w:ascii="仿宋" w:hAnsi="仿宋" w:eastAsia="仿宋" w:cs="仿宋"/>
                <w:color w:val="000000" w:themeColor="text1"/>
                <w:sz w:val="21"/>
                <w:szCs w:val="21"/>
                <w:highlight w:val="none"/>
                <w:lang w:val="zh-CN" w:eastAsia="zh-CN"/>
                <w14:textFill>
                  <w14:solidFill>
                    <w14:schemeClr w14:val="tx1"/>
                  </w14:solidFill>
                </w14:textFill>
              </w:rPr>
              <w:t>各方共同签署的联合体协议的【</w:t>
            </w:r>
            <w:r>
              <w:rPr>
                <w:rFonts w:hint="eastAsia" w:ascii="仿宋" w:hAnsi="仿宋" w:eastAsia="仿宋" w:cs="仿宋"/>
                <w:color w:val="000000" w:themeColor="text1"/>
                <w:sz w:val="21"/>
                <w:szCs w:val="21"/>
                <w:highlight w:val="none"/>
                <w:lang w:val="en-US" w:eastAsia="zh-CN"/>
                <w14:textFill>
                  <w14:solidFill>
                    <w14:schemeClr w14:val="tx1"/>
                  </w14:solidFill>
                </w14:textFill>
              </w:rPr>
              <w:t>如允许联合体投标的</w:t>
            </w:r>
            <w:r>
              <w:rPr>
                <w:rFonts w:hint="eastAsia" w:ascii="仿宋" w:hAnsi="仿宋" w:eastAsia="仿宋" w:cs="仿宋"/>
                <w:color w:val="000000" w:themeColor="text1"/>
                <w:sz w:val="21"/>
                <w:szCs w:val="21"/>
                <w:highlight w:val="none"/>
                <w:lang w:val="zh-CN" w:eastAsia="zh-CN"/>
                <w14:textFill>
                  <w14:solidFill>
                    <w14:schemeClr w14:val="tx1"/>
                  </w14:solidFill>
                </w14:textFill>
              </w:rPr>
              <w:t>】</w:t>
            </w:r>
          </w:p>
        </w:tc>
        <w:tc>
          <w:tcPr>
            <w:tcW w:w="535" w:type="pct"/>
            <w:shd w:val="clear" w:color="auto" w:fill="auto"/>
            <w:vAlign w:val="center"/>
          </w:tcPr>
          <w:p w14:paraId="332B189B">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6528D2BB">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1F17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7" w:type="pct"/>
            <w:shd w:val="clear" w:color="auto" w:fill="auto"/>
            <w:vAlign w:val="center"/>
          </w:tcPr>
          <w:p w14:paraId="7A7282B1">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p>
        </w:tc>
        <w:tc>
          <w:tcPr>
            <w:tcW w:w="695" w:type="pct"/>
            <w:vAlign w:val="center"/>
          </w:tcPr>
          <w:p w14:paraId="21A01434">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投标保证金</w:t>
            </w:r>
          </w:p>
        </w:tc>
        <w:tc>
          <w:tcPr>
            <w:tcW w:w="3024" w:type="pct"/>
            <w:shd w:val="clear" w:color="auto" w:fill="auto"/>
            <w:vAlign w:val="center"/>
          </w:tcPr>
          <w:p w14:paraId="5EE2EE73">
            <w:pPr>
              <w:pStyle w:val="59"/>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投标人按招标文件的规定交纳投标保证金的</w:t>
            </w:r>
          </w:p>
        </w:tc>
        <w:tc>
          <w:tcPr>
            <w:tcW w:w="535" w:type="pct"/>
            <w:shd w:val="clear" w:color="auto" w:fill="auto"/>
            <w:vAlign w:val="center"/>
          </w:tcPr>
          <w:p w14:paraId="184CC347">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318F9A75">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5FFC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67" w:type="pct"/>
            <w:shd w:val="clear" w:color="auto" w:fill="auto"/>
            <w:vAlign w:val="center"/>
          </w:tcPr>
          <w:p w14:paraId="5186CA42">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p>
        </w:tc>
        <w:tc>
          <w:tcPr>
            <w:tcW w:w="695" w:type="pct"/>
            <w:vAlign w:val="center"/>
          </w:tcPr>
          <w:p w14:paraId="42D5F7D6">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投标文件的澄清、说明、补正</w:t>
            </w:r>
          </w:p>
        </w:tc>
        <w:tc>
          <w:tcPr>
            <w:tcW w:w="3024" w:type="pct"/>
            <w:shd w:val="clear" w:color="auto" w:fill="auto"/>
            <w:vAlign w:val="center"/>
          </w:tcPr>
          <w:p w14:paraId="7E2F7290">
            <w:pPr>
              <w:pStyle w:val="59"/>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eastAsia="zh-CN"/>
                <w14:textFill>
                  <w14:solidFill>
                    <w14:schemeClr w14:val="tx1"/>
                  </w14:solidFill>
                </w14:textFill>
              </w:rPr>
              <w:t>评审期间,</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lang w:val="zh-CN" w:eastAsia="zh-CN"/>
                <w14:textFill>
                  <w14:solidFill>
                    <w14:schemeClr w14:val="tx1"/>
                  </w14:solidFill>
                </w14:textFill>
              </w:rPr>
              <w:t>按评标委员会的要求提交经授权代表签字的澄清、说明、补正或</w:t>
            </w:r>
            <w:r>
              <w:rPr>
                <w:rFonts w:hint="eastAsia" w:ascii="仿宋" w:hAnsi="仿宋" w:eastAsia="仿宋" w:cs="仿宋"/>
                <w:color w:val="000000" w:themeColor="text1"/>
                <w:sz w:val="21"/>
                <w:szCs w:val="21"/>
                <w:highlight w:val="none"/>
                <w:lang w:val="en-US" w:eastAsia="zh-CN"/>
                <w14:textFill>
                  <w14:solidFill>
                    <w14:schemeClr w14:val="tx1"/>
                  </w14:solidFill>
                </w14:textFill>
              </w:rPr>
              <w:t>未</w:t>
            </w:r>
            <w:r>
              <w:rPr>
                <w:rFonts w:hint="eastAsia" w:ascii="仿宋" w:hAnsi="仿宋" w:eastAsia="仿宋" w:cs="仿宋"/>
                <w:color w:val="000000" w:themeColor="text1"/>
                <w:sz w:val="21"/>
                <w:szCs w:val="21"/>
                <w:highlight w:val="none"/>
                <w:lang w:val="zh-CN" w:eastAsia="zh-CN"/>
                <w14:textFill>
                  <w14:solidFill>
                    <w14:schemeClr w14:val="tx1"/>
                  </w14:solidFill>
                </w14:textFill>
              </w:rPr>
              <w:t>改变</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lang w:val="zh-CN" w:eastAsia="zh-CN"/>
                <w14:textFill>
                  <w14:solidFill>
                    <w14:schemeClr w14:val="tx1"/>
                  </w14:solidFill>
                </w14:textFill>
              </w:rPr>
              <w:t>文件的实质性内容</w:t>
            </w:r>
          </w:p>
        </w:tc>
        <w:tc>
          <w:tcPr>
            <w:tcW w:w="535" w:type="pct"/>
            <w:shd w:val="clear" w:color="auto" w:fill="auto"/>
            <w:vAlign w:val="center"/>
          </w:tcPr>
          <w:p w14:paraId="564C7608">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29D4EC8C">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5978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67" w:type="pct"/>
            <w:shd w:val="clear" w:color="auto" w:fill="auto"/>
            <w:vAlign w:val="center"/>
          </w:tcPr>
          <w:p w14:paraId="21CF373D">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9</w:t>
            </w:r>
          </w:p>
        </w:tc>
        <w:tc>
          <w:tcPr>
            <w:tcW w:w="695" w:type="pct"/>
            <w:vAlign w:val="center"/>
          </w:tcPr>
          <w:p w14:paraId="34F1FDCC">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投标人影响评标</w:t>
            </w:r>
          </w:p>
        </w:tc>
        <w:tc>
          <w:tcPr>
            <w:tcW w:w="3024" w:type="pct"/>
            <w:shd w:val="clear" w:color="auto" w:fill="auto"/>
            <w:vAlign w:val="center"/>
          </w:tcPr>
          <w:p w14:paraId="2A5E9A62">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lang w:val="zh-CN" w:eastAsia="zh-CN"/>
                <w14:textFill>
                  <w14:solidFill>
                    <w14:schemeClr w14:val="tx1"/>
                  </w14:solidFill>
                </w14:textFill>
              </w:rPr>
              <w:t>对采购人、采购代理机构、评标委员会及其工作人员</w:t>
            </w:r>
            <w:r>
              <w:rPr>
                <w:rFonts w:hint="eastAsia" w:ascii="仿宋" w:hAnsi="仿宋" w:eastAsia="仿宋" w:cs="仿宋"/>
                <w:color w:val="000000" w:themeColor="text1"/>
                <w:sz w:val="21"/>
                <w:szCs w:val="21"/>
                <w:highlight w:val="none"/>
                <w:lang w:val="en-US" w:eastAsia="zh-CN"/>
                <w14:textFill>
                  <w14:solidFill>
                    <w14:schemeClr w14:val="tx1"/>
                  </w14:solidFill>
                </w14:textFill>
              </w:rPr>
              <w:t>未</w:t>
            </w:r>
            <w:r>
              <w:rPr>
                <w:rFonts w:hint="eastAsia" w:ascii="仿宋" w:hAnsi="仿宋" w:eastAsia="仿宋" w:cs="仿宋"/>
                <w:color w:val="000000" w:themeColor="text1"/>
                <w:sz w:val="21"/>
                <w:szCs w:val="21"/>
                <w:highlight w:val="none"/>
                <w:lang w:val="zh-CN" w:eastAsia="zh-CN"/>
                <w14:textFill>
                  <w14:solidFill>
                    <w14:schemeClr w14:val="tx1"/>
                  </w14:solidFill>
                </w14:textFill>
              </w:rPr>
              <w:t>施加影响,</w:t>
            </w:r>
            <w:r>
              <w:rPr>
                <w:rFonts w:hint="eastAsia" w:ascii="仿宋" w:hAnsi="仿宋" w:eastAsia="仿宋" w:cs="仿宋"/>
                <w:color w:val="000000" w:themeColor="text1"/>
                <w:sz w:val="21"/>
                <w:szCs w:val="21"/>
                <w:highlight w:val="none"/>
                <w:lang w:val="en-US" w:eastAsia="zh-CN"/>
                <w14:textFill>
                  <w14:solidFill>
                    <w14:schemeClr w14:val="tx1"/>
                  </w14:solidFill>
                </w14:textFill>
              </w:rPr>
              <w:t>无</w:t>
            </w:r>
            <w:r>
              <w:rPr>
                <w:rFonts w:hint="eastAsia" w:ascii="仿宋" w:hAnsi="仿宋" w:eastAsia="仿宋" w:cs="仿宋"/>
                <w:color w:val="000000" w:themeColor="text1"/>
                <w:sz w:val="21"/>
                <w:szCs w:val="21"/>
                <w:highlight w:val="none"/>
                <w:lang w:val="zh-CN" w:eastAsia="zh-CN"/>
                <w14:textFill>
                  <w14:solidFill>
                    <w14:schemeClr w14:val="tx1"/>
                  </w14:solidFill>
                </w14:textFill>
              </w:rPr>
              <w:t>有碍公平、公正</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p>
        </w:tc>
        <w:tc>
          <w:tcPr>
            <w:tcW w:w="535" w:type="pct"/>
            <w:shd w:val="clear" w:color="auto" w:fill="auto"/>
            <w:vAlign w:val="center"/>
          </w:tcPr>
          <w:p w14:paraId="71E2D9B3">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10EA91DA">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0EB83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74D97129">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695" w:type="pct"/>
            <w:vAlign w:val="center"/>
          </w:tcPr>
          <w:p w14:paraId="4741AD47">
            <w:pPr>
              <w:pStyle w:val="5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围标串标情形</w:t>
            </w:r>
          </w:p>
        </w:tc>
        <w:tc>
          <w:tcPr>
            <w:tcW w:w="3024" w:type="pct"/>
            <w:shd w:val="clear" w:color="auto" w:fill="auto"/>
            <w:vAlign w:val="center"/>
          </w:tcPr>
          <w:p w14:paraId="12336BE0">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没有</w:t>
            </w:r>
            <w:r>
              <w:rPr>
                <w:rFonts w:hint="eastAsia" w:ascii="仿宋" w:hAnsi="仿宋" w:eastAsia="仿宋" w:cs="仿宋"/>
                <w:color w:val="000000" w:themeColor="text1"/>
                <w:sz w:val="21"/>
                <w:szCs w:val="21"/>
                <w:highlight w:val="none"/>
                <w:lang w:val="zh-CN" w:eastAsia="zh-CN"/>
                <w14:textFill>
                  <w14:solidFill>
                    <w14:schemeClr w14:val="tx1"/>
                  </w14:solidFill>
                </w14:textFill>
              </w:rPr>
              <w:t>“第五章 评标方法及标准”</w:t>
            </w:r>
            <w:r>
              <w:rPr>
                <w:rFonts w:hint="eastAsia" w:ascii="仿宋" w:hAnsi="仿宋" w:eastAsia="仿宋" w:cs="仿宋"/>
                <w:color w:val="000000" w:themeColor="text1"/>
                <w:sz w:val="21"/>
                <w:szCs w:val="21"/>
                <w:highlight w:val="none"/>
                <w:lang w:val="en-US" w:eastAsia="zh-CN"/>
                <w14:textFill>
                  <w14:solidFill>
                    <w14:schemeClr w14:val="tx1"/>
                  </w14:solidFill>
                </w14:textFill>
              </w:rPr>
              <w:t>第20条情形之一的</w:t>
            </w:r>
          </w:p>
        </w:tc>
        <w:tc>
          <w:tcPr>
            <w:tcW w:w="535" w:type="pct"/>
            <w:shd w:val="clear" w:color="auto" w:fill="auto"/>
            <w:vAlign w:val="center"/>
          </w:tcPr>
          <w:p w14:paraId="5E24D9CD">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48000288">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16B3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724729C0">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w:t>
            </w:r>
          </w:p>
        </w:tc>
        <w:tc>
          <w:tcPr>
            <w:tcW w:w="695" w:type="pct"/>
            <w:vAlign w:val="center"/>
          </w:tcPr>
          <w:p w14:paraId="5C3A69EF">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附加条件</w:t>
            </w:r>
          </w:p>
        </w:tc>
        <w:tc>
          <w:tcPr>
            <w:tcW w:w="3024" w:type="pct"/>
            <w:shd w:val="clear" w:color="auto" w:fill="auto"/>
            <w:vAlign w:val="center"/>
          </w:tcPr>
          <w:p w14:paraId="3900C8DC">
            <w:pPr>
              <w:pStyle w:val="5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投标文件没有采购人不能接受的附加条件的</w:t>
            </w:r>
          </w:p>
        </w:tc>
        <w:tc>
          <w:tcPr>
            <w:tcW w:w="535" w:type="pct"/>
            <w:shd w:val="clear" w:color="auto" w:fill="auto"/>
            <w:vAlign w:val="center"/>
          </w:tcPr>
          <w:p w14:paraId="58180593">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1877AF7F">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r w14:paraId="7B08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7" w:type="pct"/>
            <w:shd w:val="clear" w:color="auto" w:fill="auto"/>
            <w:vAlign w:val="center"/>
          </w:tcPr>
          <w:p w14:paraId="127B1FA6">
            <w:pPr>
              <w:pStyle w:val="59"/>
              <w:numPr>
                <w:ilvl w:val="0"/>
                <w:numId w:val="0"/>
              </w:numPr>
              <w:ind w:left="420" w:leftChars="0" w:hanging="42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w:t>
            </w:r>
          </w:p>
        </w:tc>
        <w:tc>
          <w:tcPr>
            <w:tcW w:w="695" w:type="pct"/>
            <w:vAlign w:val="center"/>
          </w:tcPr>
          <w:p w14:paraId="727E56E0">
            <w:pPr>
              <w:pStyle w:val="5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其他无效情形</w:t>
            </w:r>
          </w:p>
        </w:tc>
        <w:tc>
          <w:tcPr>
            <w:tcW w:w="3024" w:type="pct"/>
            <w:shd w:val="clear" w:color="auto" w:fill="auto"/>
            <w:vAlign w:val="center"/>
          </w:tcPr>
          <w:p w14:paraId="34B9C79C">
            <w:pPr>
              <w:pStyle w:val="5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没有</w:t>
            </w:r>
            <w:r>
              <w:rPr>
                <w:rFonts w:hint="eastAsia" w:ascii="仿宋" w:hAnsi="仿宋" w:eastAsia="仿宋" w:cs="仿宋"/>
                <w:color w:val="000000" w:themeColor="text1"/>
                <w:sz w:val="21"/>
                <w:szCs w:val="21"/>
                <w:highlight w:val="none"/>
                <w:lang w:val="zh-CN" w:eastAsia="zh-CN"/>
                <w14:textFill>
                  <w14:solidFill>
                    <w14:schemeClr w14:val="tx1"/>
                  </w14:solidFill>
                </w14:textFill>
              </w:rPr>
              <w:t>法律、法规、规章规定属于</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w:t>
            </w:r>
            <w:r>
              <w:rPr>
                <w:rFonts w:hint="eastAsia" w:ascii="仿宋" w:hAnsi="仿宋" w:eastAsia="仿宋" w:cs="仿宋"/>
                <w:color w:val="000000" w:themeColor="text1"/>
                <w:sz w:val="21"/>
                <w:szCs w:val="21"/>
                <w:highlight w:val="none"/>
                <w:lang w:val="zh-CN" w:eastAsia="zh-CN"/>
                <w14:textFill>
                  <w14:solidFill>
                    <w14:schemeClr w14:val="tx1"/>
                  </w14:solidFill>
                </w14:textFill>
              </w:rPr>
              <w:t>无效的其他情形。</w:t>
            </w:r>
          </w:p>
        </w:tc>
        <w:tc>
          <w:tcPr>
            <w:tcW w:w="535" w:type="pct"/>
            <w:shd w:val="clear" w:color="auto" w:fill="auto"/>
            <w:vAlign w:val="center"/>
          </w:tcPr>
          <w:p w14:paraId="15C2842D">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c>
          <w:tcPr>
            <w:tcW w:w="475" w:type="pct"/>
            <w:shd w:val="clear" w:color="auto" w:fill="auto"/>
            <w:vAlign w:val="center"/>
          </w:tcPr>
          <w:p w14:paraId="38C25345">
            <w:pPr>
              <w:pStyle w:val="59"/>
              <w:rPr>
                <w:rFonts w:hint="eastAsia" w:ascii="仿宋" w:hAnsi="仿宋" w:eastAsia="仿宋" w:cs="仿宋"/>
                <w:color w:val="000000" w:themeColor="text1"/>
                <w:sz w:val="21"/>
                <w:szCs w:val="21"/>
                <w:highlight w:val="none"/>
                <w:lang w:val="zh-CN"/>
                <w14:textFill>
                  <w14:solidFill>
                    <w14:schemeClr w14:val="tx1"/>
                  </w14:solidFill>
                </w14:textFill>
              </w:rPr>
            </w:pPr>
          </w:p>
        </w:tc>
      </w:tr>
    </w:tbl>
    <w:p w14:paraId="3A31C848">
      <w:pPr>
        <w:rPr>
          <w:rFonts w:hint="eastAsia" w:ascii="仿宋" w:hAnsi="仿宋" w:eastAsia="仿宋" w:cs="仿宋"/>
          <w:color w:val="000000" w:themeColor="text1"/>
          <w:sz w:val="24"/>
          <w:szCs w:val="24"/>
          <w:highlight w:val="none"/>
          <w:lang w:val="zh-CN"/>
          <w14:textFill>
            <w14:solidFill>
              <w14:schemeClr w14:val="tx1"/>
            </w14:solidFill>
          </w14:textFill>
        </w:rPr>
      </w:pPr>
    </w:p>
    <w:p w14:paraId="1E51BB2B">
      <w:pPr>
        <w:rPr>
          <w:rFonts w:hint="eastAsia" w:ascii="仿宋" w:hAnsi="仿宋" w:eastAsia="仿宋" w:cs="仿宋"/>
          <w:color w:val="000000" w:themeColor="text1"/>
          <w:sz w:val="24"/>
          <w:szCs w:val="24"/>
          <w:highlight w:val="none"/>
          <w:lang w:val="zh-CN"/>
          <w14:textFill>
            <w14:solidFill>
              <w14:schemeClr w14:val="tx1"/>
            </w14:solidFill>
          </w14:textFill>
        </w:rPr>
      </w:pPr>
    </w:p>
    <w:p w14:paraId="21017933">
      <w:pPr>
        <w:ind w:firstLine="482"/>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br w:type="page"/>
      </w:r>
    </w:p>
    <w:p w14:paraId="0F5B3403">
      <w:pPr>
        <w:shd w:val="clear" w:color="auto" w:fill="FFFFFF"/>
        <w:tabs>
          <w:tab w:val="left" w:pos="3045"/>
        </w:tabs>
        <w:autoSpaceDE w:val="0"/>
        <w:autoSpaceDN w:val="0"/>
        <w:adjustRightInd w:val="0"/>
        <w:snapToGrid w:val="0"/>
        <w:spacing w:line="360" w:lineRule="exact"/>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符合性审查表-附表</w:t>
      </w:r>
    </w:p>
    <w:p w14:paraId="631DA468">
      <w:pPr>
        <w:pStyle w:val="6"/>
        <w:spacing w:before="80" w:after="80" w:line="240" w:lineRule="auto"/>
        <w:ind w:left="420" w:firstLine="562"/>
        <w:jc w:val="center"/>
        <w:rPr>
          <w:rFonts w:hint="eastAsia" w:ascii="仿宋" w:hAnsi="仿宋" w:eastAsia="仿宋" w:cs="仿宋"/>
          <w:color w:val="000000" w:themeColor="text1"/>
          <w:sz w:val="24"/>
          <w:szCs w:val="24"/>
          <w:highlight w:val="none"/>
          <w:lang w:val="zh-CN"/>
          <w14:textFill>
            <w14:solidFill>
              <w14:schemeClr w14:val="tx1"/>
            </w14:solidFill>
          </w14:textFill>
        </w:rPr>
      </w:pPr>
      <w:bookmarkStart w:id="477" w:name="_Toc26981"/>
      <w:bookmarkStart w:id="478" w:name="_Toc15958"/>
      <w:bookmarkStart w:id="479" w:name="_Toc32259"/>
      <w:r>
        <w:rPr>
          <w:rFonts w:hint="eastAsia" w:ascii="仿宋" w:hAnsi="仿宋" w:eastAsia="仿宋" w:cs="仿宋"/>
          <w:color w:val="000000" w:themeColor="text1"/>
          <w:sz w:val="24"/>
          <w:szCs w:val="24"/>
          <w:highlight w:val="none"/>
          <w:lang w:val="zh-CN"/>
          <w14:textFill>
            <w14:solidFill>
              <w14:schemeClr w14:val="tx1"/>
            </w14:solidFill>
          </w14:textFill>
        </w:rPr>
        <w:t>实质性响应一览表</w:t>
      </w:r>
      <w:bookmarkEnd w:id="477"/>
      <w:bookmarkEnd w:id="478"/>
      <w:bookmarkEnd w:id="479"/>
    </w:p>
    <w:p w14:paraId="34D8E16A">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（投标人须对本附表所有内容逐条响应且无负偏离，否则其</w:t>
      </w:r>
      <w:r>
        <w:rPr>
          <w:rFonts w:hint="eastAsia" w:ascii="仿宋" w:hAnsi="仿宋" w:eastAsia="仿宋" w:cs="仿宋"/>
          <w:b/>
          <w:color w:val="000000" w:themeColor="text1"/>
          <w:sz w:val="24"/>
          <w:szCs w:val="24"/>
          <w:highlight w:val="none"/>
          <w14:textFill>
            <w14:solidFill>
              <w14:schemeClr w14:val="tx1"/>
            </w14:solidFill>
          </w14:textFill>
        </w:rPr>
        <w:t>投标无效</w:t>
      </w:r>
      <w:r>
        <w:rPr>
          <w:rFonts w:hint="eastAsia" w:ascii="仿宋" w:hAnsi="仿宋" w:eastAsia="仿宋" w:cs="仿宋"/>
          <w:bCs/>
          <w:color w:val="000000" w:themeColor="text1"/>
          <w:sz w:val="24"/>
          <w:szCs w:val="24"/>
          <w:highlight w:val="none"/>
          <w14:textFill>
            <w14:solidFill>
              <w14:schemeClr w14:val="tx1"/>
            </w14:solidFill>
          </w14:textFill>
        </w:rPr>
        <w:t>）</w:t>
      </w: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938"/>
        <w:gridCol w:w="4142"/>
        <w:gridCol w:w="1822"/>
        <w:gridCol w:w="711"/>
      </w:tblGrid>
      <w:tr w14:paraId="766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5AE80C5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3373" w:type="pct"/>
            <w:gridSpan w:val="2"/>
            <w:noWrap w:val="0"/>
            <w:vAlign w:val="center"/>
          </w:tcPr>
          <w:p w14:paraId="52A02A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文件要求的实质性响应内容</w:t>
            </w:r>
          </w:p>
        </w:tc>
        <w:tc>
          <w:tcPr>
            <w:tcW w:w="1010" w:type="pct"/>
            <w:vMerge w:val="restart"/>
            <w:noWrap w:val="0"/>
            <w:vAlign w:val="center"/>
          </w:tcPr>
          <w:p w14:paraId="47CB4C7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具体内容</w:t>
            </w:r>
          </w:p>
        </w:tc>
        <w:tc>
          <w:tcPr>
            <w:tcW w:w="395" w:type="pct"/>
            <w:vMerge w:val="restart"/>
            <w:noWrap w:val="0"/>
            <w:vAlign w:val="center"/>
          </w:tcPr>
          <w:p w14:paraId="0E864D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14:paraId="0E9B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791E7F3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1075" w:type="pct"/>
            <w:noWrap w:val="0"/>
            <w:vAlign w:val="center"/>
          </w:tcPr>
          <w:p w14:paraId="163B88D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实质性要求</w:t>
            </w:r>
          </w:p>
        </w:tc>
        <w:tc>
          <w:tcPr>
            <w:tcW w:w="2298" w:type="pct"/>
            <w:noWrap w:val="0"/>
            <w:vAlign w:val="center"/>
          </w:tcPr>
          <w:p w14:paraId="1ED30D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招标文件中的规定</w:t>
            </w:r>
          </w:p>
        </w:tc>
        <w:tc>
          <w:tcPr>
            <w:tcW w:w="1010" w:type="pct"/>
            <w:vMerge w:val="continue"/>
            <w:noWrap w:val="0"/>
            <w:vAlign w:val="center"/>
          </w:tcPr>
          <w:p w14:paraId="1873778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vMerge w:val="continue"/>
            <w:noWrap w:val="0"/>
            <w:vAlign w:val="center"/>
          </w:tcPr>
          <w:p w14:paraId="18576B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6B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08411F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075" w:type="pct"/>
            <w:shd w:val="clear" w:color="auto" w:fill="auto"/>
            <w:noWrap w:val="0"/>
            <w:vAlign w:val="center"/>
          </w:tcPr>
          <w:p w14:paraId="0CE6F0F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2298" w:type="pct"/>
            <w:shd w:val="clear" w:color="auto" w:fill="auto"/>
            <w:noWrap w:val="0"/>
            <w:vAlign w:val="center"/>
          </w:tcPr>
          <w:p w14:paraId="1AA68B3E">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招标文件“第二章投标须知”关于投标有效期的规定</w:t>
            </w:r>
          </w:p>
        </w:tc>
        <w:tc>
          <w:tcPr>
            <w:tcW w:w="1010" w:type="pct"/>
            <w:noWrap w:val="0"/>
            <w:vAlign w:val="center"/>
          </w:tcPr>
          <w:p w14:paraId="6003ED1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投标人在</w:t>
            </w:r>
            <w:r>
              <w:rPr>
                <w:rFonts w:hint="eastAsia" w:ascii="仿宋" w:hAnsi="仿宋" w:eastAsia="仿宋" w:cs="仿宋"/>
                <w:color w:val="000000" w:themeColor="text1"/>
                <w:sz w:val="21"/>
                <w:szCs w:val="21"/>
                <w:highlight w:val="none"/>
                <w14:textFill>
                  <w14:solidFill>
                    <w14:schemeClr w14:val="tx1"/>
                  </w14:solidFill>
                </w14:textFill>
              </w:rPr>
              <w:t>此处填写</w:t>
            </w: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lang w:val="en-US" w:eastAsia="zh-CN"/>
                <w14:textFill>
                  <w14:solidFill>
                    <w14:schemeClr w14:val="tx1"/>
                  </w14:solidFill>
                </w14:textFill>
              </w:rPr>
              <w:t>文件的相关内容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395" w:type="pct"/>
            <w:noWrap w:val="0"/>
            <w:vAlign w:val="center"/>
          </w:tcPr>
          <w:p w14:paraId="33158D5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6E78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08" w:type="dxa"/>
            <w:noWrap w:val="0"/>
            <w:vAlign w:val="center"/>
          </w:tcPr>
          <w:p w14:paraId="007F81E2">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993" w:type="dxa"/>
            <w:shd w:val="clear" w:color="auto" w:fill="auto"/>
            <w:noWrap w:val="0"/>
            <w:vAlign w:val="center"/>
          </w:tcPr>
          <w:p w14:paraId="7B1E8AB0">
            <w:pPr>
              <w:spacing w:line="360" w:lineRule="exact"/>
              <w:jc w:val="center"/>
              <w:rPr>
                <w:rFonts w:hint="eastAsia" w:ascii="仿宋" w:hAnsi="仿宋" w:eastAsia="仿宋" w:cs="仿宋"/>
                <w:i w:val="0"/>
                <w:i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合同履约期限</w:t>
            </w:r>
          </w:p>
        </w:tc>
        <w:tc>
          <w:tcPr>
            <w:tcW w:w="4261" w:type="dxa"/>
            <w:shd w:val="clear" w:color="auto" w:fill="auto"/>
            <w:noWrap w:val="0"/>
            <w:vAlign w:val="center"/>
          </w:tcPr>
          <w:p w14:paraId="5D838B24">
            <w:pPr>
              <w:shd w:val="clear" w:color="auto" w:fill="FFFFFF"/>
              <w:autoSpaceDE w:val="0"/>
              <w:autoSpaceDN w:val="0"/>
              <w:spacing w:line="36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r>
              <w:rPr>
                <w:rFonts w:hint="eastAsia" w:ascii="仿宋" w:hAnsi="仿宋" w:eastAsia="仿宋" w:cs="仿宋"/>
                <w:color w:val="000000" w:themeColor="text1"/>
                <w:sz w:val="21"/>
                <w:szCs w:val="21"/>
                <w:highlight w:val="none"/>
                <w:lang w:eastAsia="zh-CN"/>
                <w14:textFill>
                  <w14:solidFill>
                    <w14:schemeClr w14:val="tx1"/>
                  </w14:solidFill>
                </w14:textFill>
              </w:rPr>
              <w:t>相关</w:t>
            </w:r>
            <w:r>
              <w:rPr>
                <w:rFonts w:hint="eastAsia" w:ascii="仿宋" w:hAnsi="仿宋" w:eastAsia="仿宋" w:cs="仿宋"/>
                <w:color w:val="000000" w:themeColor="text1"/>
                <w:sz w:val="21"/>
                <w:szCs w:val="21"/>
                <w:highlight w:val="none"/>
                <w14:textFill>
                  <w14:solidFill>
                    <w14:schemeClr w14:val="tx1"/>
                  </w14:solidFill>
                </w14:textFill>
              </w:rPr>
              <w:t>规定</w:t>
            </w:r>
          </w:p>
        </w:tc>
        <w:tc>
          <w:tcPr>
            <w:tcW w:w="1874" w:type="dxa"/>
            <w:noWrap w:val="0"/>
            <w:vAlign w:val="center"/>
          </w:tcPr>
          <w:p w14:paraId="07218BC8">
            <w:pPr>
              <w:spacing w:line="3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【投标人在此处填写投标文件的相关内容】</w:t>
            </w:r>
          </w:p>
        </w:tc>
        <w:tc>
          <w:tcPr>
            <w:tcW w:w="395" w:type="pct"/>
            <w:noWrap w:val="0"/>
            <w:vAlign w:val="center"/>
          </w:tcPr>
          <w:p w14:paraId="21DD313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2833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205E826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1075" w:type="pct"/>
            <w:shd w:val="clear" w:color="auto" w:fill="auto"/>
            <w:noWrap w:val="0"/>
            <w:vAlign w:val="center"/>
          </w:tcPr>
          <w:p w14:paraId="5DFC701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w:t>
            </w:r>
          </w:p>
        </w:tc>
        <w:tc>
          <w:tcPr>
            <w:tcW w:w="2298" w:type="pct"/>
            <w:shd w:val="clear" w:color="auto" w:fill="auto"/>
            <w:noWrap w:val="0"/>
            <w:vAlign w:val="center"/>
          </w:tcPr>
          <w:p w14:paraId="75C7DF00">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10" w:type="pct"/>
            <w:noWrap w:val="0"/>
            <w:vAlign w:val="center"/>
          </w:tcPr>
          <w:p w14:paraId="6FF424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08C74E4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15EF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306714C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1075" w:type="pct"/>
            <w:shd w:val="clear" w:color="auto" w:fill="auto"/>
            <w:noWrap w:val="0"/>
            <w:vAlign w:val="center"/>
          </w:tcPr>
          <w:p w14:paraId="39F12A4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w:t>
            </w:r>
          </w:p>
        </w:tc>
        <w:tc>
          <w:tcPr>
            <w:tcW w:w="2298" w:type="pct"/>
            <w:shd w:val="clear" w:color="auto" w:fill="auto"/>
            <w:noWrap w:val="0"/>
            <w:vAlign w:val="center"/>
          </w:tcPr>
          <w:p w14:paraId="23842E07">
            <w:pPr>
              <w:pStyle w:val="5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10" w:type="pct"/>
            <w:noWrap w:val="0"/>
            <w:vAlign w:val="center"/>
          </w:tcPr>
          <w:p w14:paraId="0C25A14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65EF4FF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6B24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EA81C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1075" w:type="pct"/>
            <w:shd w:val="clear" w:color="auto" w:fill="auto"/>
            <w:noWrap w:val="0"/>
            <w:vAlign w:val="center"/>
          </w:tcPr>
          <w:p w14:paraId="454339A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w:t>
            </w:r>
          </w:p>
        </w:tc>
        <w:tc>
          <w:tcPr>
            <w:tcW w:w="2298" w:type="pct"/>
            <w:noWrap w:val="0"/>
            <w:vAlign w:val="center"/>
          </w:tcPr>
          <w:p w14:paraId="177214A1">
            <w:pPr>
              <w:pStyle w:val="8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tc>
        <w:tc>
          <w:tcPr>
            <w:tcW w:w="1010" w:type="pct"/>
            <w:noWrap w:val="0"/>
            <w:vAlign w:val="center"/>
          </w:tcPr>
          <w:p w14:paraId="316068C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3E344EB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3686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41CE5D4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1075" w:type="pct"/>
            <w:noWrap w:val="0"/>
            <w:vAlign w:val="center"/>
          </w:tcPr>
          <w:p w14:paraId="3A65C02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2298" w:type="pct"/>
            <w:noWrap w:val="0"/>
            <w:vAlign w:val="center"/>
          </w:tcPr>
          <w:p w14:paraId="5044E79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10" w:type="pct"/>
            <w:noWrap w:val="0"/>
            <w:vAlign w:val="center"/>
          </w:tcPr>
          <w:p w14:paraId="6EEA24C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275C564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666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36068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1075" w:type="pct"/>
            <w:noWrap w:val="0"/>
            <w:vAlign w:val="center"/>
          </w:tcPr>
          <w:p w14:paraId="60A03CF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2298" w:type="pct"/>
            <w:noWrap w:val="0"/>
            <w:vAlign w:val="center"/>
          </w:tcPr>
          <w:p w14:paraId="558B3D3A">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010" w:type="pct"/>
            <w:noWrap w:val="0"/>
            <w:vAlign w:val="center"/>
          </w:tcPr>
          <w:p w14:paraId="5A84179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747A00B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0D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173009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075" w:type="pct"/>
            <w:shd w:val="clear" w:color="auto" w:fill="auto"/>
            <w:noWrap w:val="0"/>
            <w:vAlign w:val="center"/>
          </w:tcPr>
          <w:p w14:paraId="4D343CD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lang w:val="zh-CN" w:eastAsia="zh-CN"/>
                <w14:textFill>
                  <w14:solidFill>
                    <w14:schemeClr w14:val="tx1"/>
                  </w14:solidFill>
                </w14:textFill>
              </w:rPr>
            </w:pPr>
          </w:p>
        </w:tc>
        <w:tc>
          <w:tcPr>
            <w:tcW w:w="2298" w:type="pct"/>
            <w:noWrap w:val="0"/>
            <w:vAlign w:val="center"/>
          </w:tcPr>
          <w:p w14:paraId="65D1A0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1010" w:type="pct"/>
            <w:noWrap w:val="0"/>
            <w:vAlign w:val="center"/>
          </w:tcPr>
          <w:p w14:paraId="7309638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395" w:type="pct"/>
            <w:noWrap w:val="0"/>
            <w:vAlign w:val="center"/>
          </w:tcPr>
          <w:p w14:paraId="5AD83E5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bl>
    <w:p w14:paraId="68C4A818">
      <w:pPr>
        <w:rPr>
          <w:rFonts w:hint="eastAsia" w:ascii="仿宋" w:hAnsi="仿宋" w:eastAsia="仿宋" w:cs="仿宋"/>
          <w:b/>
          <w:bCs/>
          <w:color w:val="000000" w:themeColor="text1"/>
          <w:sz w:val="24"/>
          <w:szCs w:val="24"/>
          <w:highlight w:val="none"/>
          <w14:textFill>
            <w14:solidFill>
              <w14:schemeClr w14:val="tx1"/>
            </w14:solidFill>
          </w14:textFill>
        </w:rPr>
      </w:pPr>
    </w:p>
    <w:p w14:paraId="425E7B57">
      <w:pPr>
        <w:ind w:firstLine="422"/>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注：“实质性响应一览表”中的内容为参考，可根据项目情况自行设置。</w:t>
      </w:r>
    </w:p>
    <w:p w14:paraId="6A8EF6B8">
      <w:pPr>
        <w:ind w:firstLine="482"/>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br w:type="page"/>
      </w:r>
    </w:p>
    <w:p w14:paraId="155D29C9">
      <w:pPr>
        <w:pStyle w:val="6"/>
        <w:spacing w:before="60" w:after="60" w:line="360" w:lineRule="auto"/>
        <w:ind w:left="420" w:firstLine="482"/>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（二）评分标准</w:t>
      </w:r>
      <w:bookmarkEnd w:id="472"/>
      <w:bookmarkEnd w:id="473"/>
      <w:bookmarkEnd w:id="474"/>
      <w:bookmarkEnd w:id="475"/>
      <w:bookmarkEnd w:id="476"/>
    </w:p>
    <w:p w14:paraId="345E7A63">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注：以下评标分项根据项目实际情况可自行设置。</w:t>
      </w:r>
    </w:p>
    <w:tbl>
      <w:tblPr>
        <w:tblStyle w:val="3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245"/>
        <w:gridCol w:w="1420"/>
        <w:gridCol w:w="6460"/>
      </w:tblGrid>
      <w:tr w14:paraId="379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2" w:hRule="atLeast"/>
        </w:trPr>
        <w:tc>
          <w:tcPr>
            <w:tcW w:w="1245" w:type="dxa"/>
            <w:tcBorders>
              <w:tl2br w:val="nil"/>
              <w:tr2bl w:val="nil"/>
            </w:tcBorders>
            <w:noWrap/>
            <w:vAlign w:val="center"/>
          </w:tcPr>
          <w:p w14:paraId="7BC7366C">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t>评分因素</w:t>
            </w:r>
          </w:p>
        </w:tc>
        <w:tc>
          <w:tcPr>
            <w:tcW w:w="1420" w:type="dxa"/>
            <w:tcBorders>
              <w:tl2br w:val="nil"/>
              <w:tr2bl w:val="nil"/>
            </w:tcBorders>
            <w:noWrap/>
            <w:vAlign w:val="center"/>
          </w:tcPr>
          <w:p w14:paraId="72312BA4">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t>评分点</w:t>
            </w:r>
          </w:p>
        </w:tc>
        <w:tc>
          <w:tcPr>
            <w:tcW w:w="6460" w:type="dxa"/>
            <w:tcBorders>
              <w:tl2br w:val="nil"/>
              <w:tr2bl w:val="nil"/>
            </w:tcBorders>
            <w:noWrap/>
            <w:vAlign w:val="center"/>
          </w:tcPr>
          <w:p w14:paraId="526119B1">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t>评分标准</w:t>
            </w:r>
          </w:p>
        </w:tc>
      </w:tr>
      <w:tr w14:paraId="52FD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245" w:type="dxa"/>
            <w:tcBorders>
              <w:tl2br w:val="nil"/>
              <w:tr2bl w:val="nil"/>
            </w:tcBorders>
            <w:noWrap/>
            <w:vAlign w:val="center"/>
          </w:tcPr>
          <w:p w14:paraId="062F549F">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价格评审</w:t>
            </w:r>
          </w:p>
          <w:p w14:paraId="0F046A02">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w:t>
            </w: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30</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分）</w:t>
            </w:r>
          </w:p>
        </w:tc>
        <w:tc>
          <w:tcPr>
            <w:tcW w:w="1420" w:type="dxa"/>
            <w:tcBorders>
              <w:tl2br w:val="nil"/>
              <w:tr2bl w:val="nil"/>
            </w:tcBorders>
            <w:noWrap/>
            <w:vAlign w:val="center"/>
          </w:tcPr>
          <w:p w14:paraId="2651A646">
            <w:pPr>
              <w:keepNext w:val="0"/>
              <w:keepLines w:val="0"/>
              <w:pageBreakBefore w:val="0"/>
              <w:widowControl w:val="0"/>
              <w:suppressAutoHyphens/>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投标报价</w:t>
            </w:r>
          </w:p>
          <w:p w14:paraId="6871D487">
            <w:pPr>
              <w:keepNext w:val="0"/>
              <w:keepLines w:val="0"/>
              <w:pageBreakBefore w:val="0"/>
              <w:widowControl w:val="0"/>
              <w:suppressAutoHyphens/>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30</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分）</w:t>
            </w:r>
          </w:p>
        </w:tc>
        <w:tc>
          <w:tcPr>
            <w:tcW w:w="6460" w:type="dxa"/>
            <w:tcBorders>
              <w:tl2br w:val="nil"/>
              <w:tr2bl w:val="nil"/>
            </w:tcBorders>
            <w:noWrap/>
            <w:vAlign w:val="center"/>
          </w:tcPr>
          <w:p w14:paraId="1DAAC38D">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满足招标文件要求且投标价格最低的投标报价为评标基准价，其价格分为满分。其他投标人的价格分统一按照下列公式计算：</w:t>
            </w:r>
          </w:p>
          <w:p w14:paraId="51DE04BE">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投标报价得分=（评标基准价／投标报价)×价格分值</w:t>
            </w:r>
          </w:p>
        </w:tc>
      </w:tr>
      <w:tr w14:paraId="3AB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60" w:hRule="atLeast"/>
        </w:trPr>
        <w:tc>
          <w:tcPr>
            <w:tcW w:w="1245" w:type="dxa"/>
            <w:vMerge w:val="restart"/>
            <w:tcBorders>
              <w:tl2br w:val="nil"/>
              <w:tr2bl w:val="nil"/>
            </w:tcBorders>
            <w:noWrap/>
            <w:vAlign w:val="center"/>
          </w:tcPr>
          <w:p w14:paraId="294B8650">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商务、技术评审（70分）</w:t>
            </w:r>
          </w:p>
        </w:tc>
        <w:tc>
          <w:tcPr>
            <w:tcW w:w="1420" w:type="dxa"/>
            <w:tcBorders>
              <w:tl2br w:val="nil"/>
              <w:tr2bl w:val="nil"/>
            </w:tcBorders>
            <w:noWrap/>
            <w:vAlign w:val="center"/>
          </w:tcPr>
          <w:p w14:paraId="04AD96D2">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类似业绩</w:t>
            </w:r>
          </w:p>
          <w:p w14:paraId="1C93A2BA">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kern w:val="0"/>
                <w:sz w:val="24"/>
                <w:szCs w:val="24"/>
                <w:highlight w:val="none"/>
                <w14:textFill>
                  <w14:solidFill>
                    <w14:schemeClr w14:val="tx1"/>
                  </w14:solidFill>
                </w14:textFill>
              </w:rPr>
              <w:t>分）</w:t>
            </w:r>
          </w:p>
        </w:tc>
        <w:tc>
          <w:tcPr>
            <w:tcW w:w="6460" w:type="dxa"/>
            <w:tcBorders>
              <w:tl2br w:val="nil"/>
              <w:tr2bl w:val="nil"/>
            </w:tcBorders>
            <w:noWrap/>
            <w:vAlign w:val="center"/>
          </w:tcPr>
          <w:p w14:paraId="2EFB8F47">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供应商近三年（2023年1月1日-投标截止时间）有类似业绩，每有1个类似业绩得3分，满分12分。</w:t>
            </w:r>
          </w:p>
          <w:p w14:paraId="31904910">
            <w:pPr>
              <w:pStyle w:val="59"/>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注:业绩证明材料须提供合同或中标（成交）通知书，未按要求提供证明材料的不得分。</w:t>
            </w:r>
          </w:p>
        </w:tc>
      </w:tr>
      <w:tr w14:paraId="3BE2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8" w:hRule="atLeast"/>
        </w:trPr>
        <w:tc>
          <w:tcPr>
            <w:tcW w:w="1245" w:type="dxa"/>
            <w:vMerge w:val="continue"/>
            <w:tcBorders>
              <w:tl2br w:val="nil"/>
              <w:tr2bl w:val="nil"/>
            </w:tcBorders>
            <w:noWrap/>
            <w:vAlign w:val="center"/>
          </w:tcPr>
          <w:p w14:paraId="15A6DE38">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c>
        <w:tc>
          <w:tcPr>
            <w:tcW w:w="1420" w:type="dxa"/>
            <w:tcBorders>
              <w:tl2br w:val="nil"/>
              <w:tr2bl w:val="nil"/>
            </w:tcBorders>
            <w:noWrap/>
            <w:vAlign w:val="center"/>
          </w:tcPr>
          <w:p w14:paraId="443478DF">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配置性能指标（30分）</w:t>
            </w:r>
          </w:p>
          <w:p w14:paraId="2D41EECE">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460" w:type="dxa"/>
            <w:tcBorders>
              <w:tl2br w:val="nil"/>
              <w:tr2bl w:val="nil"/>
            </w:tcBorders>
            <w:noWrap/>
            <w:vAlign w:val="center"/>
          </w:tcPr>
          <w:p w14:paraId="031C544B">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供应商所投产品的技术参数、设备功能完全满足采购文件要求的，得30分，供应商所投产品的技术参数、设备功能满足采购文件要求，每有一项不满足要求，产生负偏离扣0.5分，扣完为止。</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投标人提供响应产品彩页或检验检测报告或厂家使用说明书等证明材料，若未提供有效证明材料或证明材料不符合参数要求的则该参数将被视为负偏离。</w:t>
            </w:r>
          </w:p>
        </w:tc>
      </w:tr>
      <w:tr w14:paraId="3BE9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251" w:hRule="atLeast"/>
        </w:trPr>
        <w:tc>
          <w:tcPr>
            <w:tcW w:w="1245" w:type="dxa"/>
            <w:vMerge w:val="continue"/>
            <w:tcBorders>
              <w:tl2br w:val="nil"/>
              <w:tr2bl w:val="nil"/>
            </w:tcBorders>
            <w:noWrap/>
            <w:vAlign w:val="center"/>
          </w:tcPr>
          <w:p w14:paraId="48BD94D3">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c>
        <w:tc>
          <w:tcPr>
            <w:tcW w:w="1420" w:type="dxa"/>
            <w:tcBorders>
              <w:tl2br w:val="nil"/>
              <w:tr2bl w:val="nil"/>
            </w:tcBorders>
            <w:noWrap/>
            <w:vAlign w:val="center"/>
          </w:tcPr>
          <w:p w14:paraId="40FCAF25">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项目服务实施方案</w:t>
            </w:r>
          </w:p>
          <w:p w14:paraId="003936E9">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（15分)</w:t>
            </w:r>
          </w:p>
        </w:tc>
        <w:tc>
          <w:tcPr>
            <w:tcW w:w="6460" w:type="dxa"/>
            <w:tcBorders>
              <w:tl2br w:val="nil"/>
              <w:tr2bl w:val="nil"/>
            </w:tcBorders>
            <w:noWrap/>
            <w:vAlign w:val="center"/>
          </w:tcPr>
          <w:p w14:paraId="6DB2E02E">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根据供应商对本项目实际情况，阐述内容须包括但不限于以下内容：</w:t>
            </w:r>
          </w:p>
          <w:p w14:paraId="1107FD81">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技术方案设计中包括：制定详细的项目调试方案、安装实施计划</w:t>
            </w: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含项目进度表</w:t>
            </w:r>
            <w: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、项目实施安装管理方案、提供详细项目质量控制措施、安全风险管理措施。</w:t>
            </w:r>
          </w:p>
          <w:p w14:paraId="72E90DCC">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以上方案内容完整清晰明确且科学合理、规范、可操作性强内容明确具有针对性并满足采购需求的得15分，每缺少一项内容扣3分；每有一项内容不完整或未能满足采购需求的或每有一处不具有针对性或逻辑性错误且不完整的扣1.5分；扣完为止。</w:t>
            </w:r>
          </w:p>
        </w:tc>
      </w:tr>
      <w:tr w14:paraId="5927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245" w:type="dxa"/>
            <w:vMerge w:val="continue"/>
            <w:tcBorders>
              <w:tl2br w:val="nil"/>
              <w:tr2bl w:val="nil"/>
            </w:tcBorders>
            <w:noWrap/>
            <w:vAlign w:val="center"/>
          </w:tcPr>
          <w:p w14:paraId="57F91F2B">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c>
        <w:tc>
          <w:tcPr>
            <w:tcW w:w="1420" w:type="dxa"/>
            <w:tcBorders>
              <w:tl2br w:val="nil"/>
              <w:tr2bl w:val="nil"/>
            </w:tcBorders>
            <w:noWrap/>
            <w:vAlign w:val="center"/>
          </w:tcPr>
          <w:p w14:paraId="2456B61E">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售后服务</w:t>
            </w:r>
          </w:p>
          <w:p w14:paraId="6623E1F9">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（9分)</w:t>
            </w:r>
          </w:p>
        </w:tc>
        <w:tc>
          <w:tcPr>
            <w:tcW w:w="6460" w:type="dxa"/>
            <w:tcBorders>
              <w:tl2br w:val="nil"/>
              <w:tr2bl w:val="nil"/>
            </w:tcBorders>
            <w:noWrap/>
            <w:vAlign w:val="center"/>
          </w:tcPr>
          <w:p w14:paraId="244D51FD">
            <w:pPr>
              <w:numPr>
                <w:ilvl w:val="0"/>
                <w:numId w:val="7"/>
              </w:numPr>
              <w:autoSpaceDE/>
              <w:autoSpaceDN/>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能够提供售后服务，承诺所有产品发生故障时， 2小时响应，接到故障电话6小时内到达现场，一般故障72小时内解决问题，提供24小时热线电话及在线技术解答，提供承诺函得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分，承诺不全或承诺时间大于24小时的、</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证明资料不全</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或</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未</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提供承诺函均不得分。</w:t>
            </w:r>
          </w:p>
          <w:p w14:paraId="74C80184">
            <w:pPr>
              <w:numPr>
                <w:ilvl w:val="0"/>
                <w:numId w:val="7"/>
              </w:numPr>
              <w:autoSpaceDE/>
              <w:autoSpaceDN/>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售后服务承诺满足用户要求，提供售后服务方案并承诺质保期内每年不少于两次</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到达现场的</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设备检修维护的得4分。提供承诺函及方案，承诺不全或未提供方案不得分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50967921">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承诺能够提供录音技术服务和混音技术服务，售后技术服务人员需</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录音</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专业毕业，</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本科及以上学历，并提供学历证书及录音师四级及以上职称</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的得</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分，提供承诺函，承诺不全或</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未</w:t>
            </w:r>
            <w:r>
              <w:rPr>
                <w:rFonts w:hint="eastAsia" w:ascii="仿宋" w:hAnsi="仿宋" w:eastAsia="仿宋" w:cs="仿宋"/>
                <w:color w:val="000000" w:themeColor="text1"/>
                <w:kern w:val="2"/>
                <w:sz w:val="24"/>
                <w:szCs w:val="24"/>
                <w:highlight w:val="none"/>
                <w:lang w:val="ru-RU" w:eastAsia="zh-CN" w:bidi="ar-SA"/>
                <w14:textFill>
                  <w14:solidFill>
                    <w14:schemeClr w14:val="tx1"/>
                  </w14:solidFill>
                </w14:textFill>
              </w:rPr>
              <w:t>提供承诺函、未提供证书的不得分。</w:t>
            </w:r>
          </w:p>
        </w:tc>
      </w:tr>
      <w:tr w14:paraId="60F3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02" w:hRule="atLeast"/>
        </w:trPr>
        <w:tc>
          <w:tcPr>
            <w:tcW w:w="1245" w:type="dxa"/>
            <w:vMerge w:val="continue"/>
            <w:tcBorders>
              <w:tl2br w:val="nil"/>
              <w:tr2bl w:val="nil"/>
            </w:tcBorders>
            <w:noWrap/>
            <w:vAlign w:val="center"/>
          </w:tcPr>
          <w:p w14:paraId="18AC084D">
            <w:pPr>
              <w:keepNext w:val="0"/>
              <w:keepLines w:val="0"/>
              <w:pageBreakBefore w:val="0"/>
              <w:kinsoku/>
              <w:wordWrap/>
              <w:overflowPunct/>
              <w:topLinePunct w:val="0"/>
              <w:autoSpaceDE/>
              <w:autoSpaceDN/>
              <w:bidi w:val="0"/>
              <w:adjustRightInd/>
              <w:spacing w:beforeAutospacing="0" w:afterAutospacing="0" w:line="24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420" w:type="dxa"/>
            <w:tcBorders>
              <w:tl2br w:val="nil"/>
              <w:tr2bl w:val="nil"/>
            </w:tcBorders>
            <w:noWrap/>
            <w:vAlign w:val="center"/>
          </w:tcPr>
          <w:p w14:paraId="34BE69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培训方案</w:t>
            </w:r>
          </w:p>
          <w:p w14:paraId="1F16B0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（4分）</w:t>
            </w:r>
          </w:p>
        </w:tc>
        <w:tc>
          <w:tcPr>
            <w:tcW w:w="6460" w:type="dxa"/>
            <w:tcBorders>
              <w:tl2br w:val="nil"/>
              <w:tr2bl w:val="nil"/>
            </w:tcBorders>
            <w:noWrap/>
            <w:vAlign w:val="center"/>
          </w:tcPr>
          <w:p w14:paraId="061E3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培训方案，培训方案应包括：</w:t>
            </w:r>
          </w:p>
          <w:p w14:paraId="249D7F0D">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培训的时间、地点；</w:t>
            </w:r>
          </w:p>
          <w:p w14:paraId="60B1525C">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培训目标和方式；</w:t>
            </w:r>
          </w:p>
          <w:p w14:paraId="719A57C1">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培训内容、对象和措施；</w:t>
            </w:r>
          </w:p>
          <w:p w14:paraId="010AD50E">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培训人员须具备相关专业资质证书；</w:t>
            </w:r>
          </w:p>
          <w:p w14:paraId="61061CAC">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以上方案内容完整清晰明确且科学合理、可行性高具有针对性并满足采购需求的得4分，每缺少一项内容扣1分；每有一项内容不完整或未能满足采购需求的或每有一处不具有针对性或逻辑性错误且不完整的扣0.5分；扣完为止。</w:t>
            </w:r>
          </w:p>
        </w:tc>
      </w:tr>
      <w:tr w14:paraId="27FE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22" w:hRule="atLeast"/>
        </w:trPr>
        <w:tc>
          <w:tcPr>
            <w:tcW w:w="9125" w:type="dxa"/>
            <w:gridSpan w:val="3"/>
            <w:tcBorders>
              <w:tl2br w:val="nil"/>
              <w:tr2bl w:val="nil"/>
            </w:tcBorders>
            <w:noWrap/>
            <w:vAlign w:val="center"/>
          </w:tcPr>
          <w:p w14:paraId="333F319F">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注：</w:t>
            </w:r>
          </w:p>
          <w:p w14:paraId="288DB18F">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bidi="ar-SA"/>
                <w14:textFill>
                  <w14:solidFill>
                    <w14:schemeClr w14:val="tx1"/>
                  </w14:solidFill>
                </w14:textFill>
              </w:rPr>
              <w:t>1、计算过程中，算术平均值保留2位小数（百分比亦取2位小数），第三位小数四舍五入。</w:t>
            </w:r>
            <w:r>
              <w:rPr>
                <w:rFonts w:hint="eastAsia" w:ascii="仿宋" w:hAnsi="仿宋" w:eastAsia="仿宋" w:cs="仿宋"/>
                <w:color w:val="000000" w:themeColor="text1"/>
                <w:sz w:val="24"/>
                <w:szCs w:val="24"/>
                <w:highlight w:val="none"/>
                <w:lang w:bidi="ar-SA"/>
                <w14:textFill>
                  <w14:solidFill>
                    <w14:schemeClr w14:val="tx1"/>
                  </w14:solidFill>
                </w14:textFill>
              </w:rPr>
              <w:br w:type="textWrapping"/>
            </w:r>
            <w:r>
              <w:rPr>
                <w:rFonts w:hint="eastAsia" w:ascii="仿宋" w:hAnsi="仿宋" w:eastAsia="仿宋" w:cs="仿宋"/>
                <w:color w:val="000000" w:themeColor="text1"/>
                <w:sz w:val="24"/>
                <w:szCs w:val="24"/>
                <w:highlight w:val="none"/>
                <w:lang w:bidi="ar-SA"/>
                <w14:textFill>
                  <w14:solidFill>
                    <w14:schemeClr w14:val="tx1"/>
                  </w14:solidFill>
                </w14:textFill>
              </w:rPr>
              <w:t>2、投标人的最终得分为：所有评委对其评分的算术平均值。</w:t>
            </w:r>
          </w:p>
        </w:tc>
      </w:tr>
    </w:tbl>
    <w:p w14:paraId="75EF9092">
      <w:pPr>
        <w:bidi w:val="0"/>
        <w:rPr>
          <w:rFonts w:hint="eastAsia" w:ascii="仿宋" w:hAnsi="仿宋" w:eastAsia="仿宋" w:cs="仿宋"/>
          <w:color w:val="000000" w:themeColor="text1"/>
          <w:sz w:val="24"/>
          <w:szCs w:val="24"/>
          <w:highlight w:val="none"/>
          <w:lang w:val="zh-CN"/>
          <w14:textFill>
            <w14:solidFill>
              <w14:schemeClr w14:val="tx1"/>
            </w14:solidFill>
          </w14:textFill>
        </w:rPr>
      </w:pPr>
    </w:p>
    <w:p w14:paraId="140704C4">
      <w:pPr>
        <w:pStyle w:val="47"/>
        <w:rPr>
          <w:rFonts w:hint="eastAsia" w:ascii="仿宋" w:hAnsi="仿宋" w:eastAsia="仿宋" w:cs="仿宋"/>
          <w:color w:val="000000" w:themeColor="text1"/>
          <w:sz w:val="24"/>
          <w:szCs w:val="24"/>
          <w:highlight w:val="none"/>
          <w14:textFill>
            <w14:solidFill>
              <w14:schemeClr w14:val="tx1"/>
            </w14:solidFill>
          </w14:textFill>
        </w:rPr>
      </w:pPr>
    </w:p>
    <w:p w14:paraId="4AA60D4F">
      <w:pPr>
        <w:rPr>
          <w:rFonts w:hint="eastAsia" w:ascii="仿宋" w:hAnsi="仿宋" w:eastAsia="仿宋" w:cs="仿宋"/>
          <w:color w:val="000000" w:themeColor="text1"/>
          <w:sz w:val="24"/>
          <w:szCs w:val="24"/>
          <w:highlight w:val="none"/>
          <w:lang w:val="zh-CN"/>
          <w14:textFill>
            <w14:solidFill>
              <w14:schemeClr w14:val="tx1"/>
            </w14:solidFill>
          </w14:textFill>
        </w:rPr>
      </w:pPr>
    </w:p>
    <w:p w14:paraId="4975EA72">
      <w:pPr>
        <w:pStyle w:val="4"/>
        <w:spacing w:before="220" w:after="220" w:line="480" w:lineRule="auto"/>
        <w:ind w:left="420" w:firstLine="723"/>
        <w:rPr>
          <w:rFonts w:hint="eastAsia" w:ascii="仿宋" w:hAnsi="仿宋" w:eastAsia="仿宋" w:cs="仿宋"/>
          <w:color w:val="000000" w:themeColor="text1"/>
          <w:sz w:val="24"/>
          <w:szCs w:val="24"/>
          <w:highlight w:val="none"/>
          <w:lang w:val="zh-CN"/>
          <w14:textFill>
            <w14:solidFill>
              <w14:schemeClr w14:val="tx1"/>
            </w14:solidFill>
          </w14:textFill>
        </w:rPr>
        <w:sectPr>
          <w:headerReference r:id="rId7" w:type="default"/>
          <w:footerReference r:id="rId8" w:type="default"/>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bookmarkStart w:id="480" w:name="_Toc155185918"/>
      <w:bookmarkStart w:id="481" w:name="_Toc17112"/>
      <w:bookmarkStart w:id="482" w:name="_Toc3995"/>
    </w:p>
    <w:p w14:paraId="5B89C79A">
      <w:pPr>
        <w:pStyle w:val="4"/>
        <w:spacing w:before="220" w:after="220" w:line="480" w:lineRule="auto"/>
        <w:ind w:left="420" w:firstLine="723"/>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第六章 合同</w:t>
      </w:r>
      <w:bookmarkEnd w:id="480"/>
      <w:r>
        <w:rPr>
          <w:rFonts w:hint="eastAsia" w:ascii="仿宋" w:hAnsi="仿宋" w:eastAsia="仿宋" w:cs="仿宋"/>
          <w:color w:val="000000" w:themeColor="text1"/>
          <w:sz w:val="24"/>
          <w:szCs w:val="24"/>
          <w:highlight w:val="none"/>
          <w:lang w:val="zh-CN"/>
          <w14:textFill>
            <w14:solidFill>
              <w14:schemeClr w14:val="tx1"/>
            </w14:solidFill>
          </w14:textFill>
        </w:rPr>
        <w:t>草案</w:t>
      </w:r>
      <w:bookmarkEnd w:id="481"/>
    </w:p>
    <w:bookmarkEnd w:id="482"/>
    <w:p w14:paraId="133F8A52">
      <w:pPr>
        <w:wordWrap w:val="0"/>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bookmarkStart w:id="483" w:name="_Toc155185919"/>
      <w:bookmarkStart w:id="484" w:name="_Toc4770"/>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此合同书仅作为签订正式合同时的参考，正式合同书应包括本参考格式的内容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9947E13">
      <w:pPr>
        <w:wordWrap w:val="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合同编号：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14:paraId="756391D3">
      <w:pPr>
        <w:pStyle w:val="2"/>
        <w:spacing w:after="0"/>
        <w:jc w:val="center"/>
        <w:rPr>
          <w:rFonts w:hint="eastAsia" w:ascii="仿宋" w:hAnsi="仿宋" w:eastAsia="仿宋" w:cs="仿宋"/>
          <w:b/>
          <w:bCs/>
          <w:color w:val="000000" w:themeColor="text1"/>
          <w:spacing w:val="-20"/>
          <w:kern w:val="44"/>
          <w:sz w:val="48"/>
          <w:szCs w:val="48"/>
          <w:highlight w:val="none"/>
          <w14:textFill>
            <w14:solidFill>
              <w14:schemeClr w14:val="tx1"/>
            </w14:solidFill>
          </w14:textFill>
        </w:rPr>
      </w:pPr>
    </w:p>
    <w:p w14:paraId="43CF5A07">
      <w:pPr>
        <w:pStyle w:val="14"/>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spacing w:val="-20"/>
          <w:kern w:val="44"/>
          <w:sz w:val="44"/>
          <w:szCs w:val="44"/>
          <w:highlight w:val="none"/>
          <w:lang w:val="en-US" w:eastAsia="zh-CN" w:bidi="ar-SA"/>
          <w14:textFill>
            <w14:solidFill>
              <w14:schemeClr w14:val="tx1"/>
            </w14:solidFill>
          </w14:textFill>
        </w:rPr>
        <w:t>天山电影制片厂译制(进口）设备设施更新改造项目合同</w:t>
      </w:r>
    </w:p>
    <w:p w14:paraId="7F6744C1">
      <w:pPr>
        <w:snapToGrid w:val="0"/>
        <w:spacing w:afterLines="0" w:line="560" w:lineRule="exact"/>
        <w:rPr>
          <w:rFonts w:hint="eastAsia" w:ascii="仿宋" w:hAnsi="仿宋" w:eastAsia="仿宋" w:cs="仿宋"/>
          <w:color w:val="000000" w:themeColor="text1"/>
          <w:kern w:val="0"/>
          <w:sz w:val="44"/>
          <w:szCs w:val="44"/>
          <w:highlight w:val="none"/>
          <w14:textFill>
            <w14:solidFill>
              <w14:schemeClr w14:val="tx1"/>
            </w14:solidFill>
          </w14:textFill>
        </w:rPr>
      </w:pPr>
    </w:p>
    <w:p w14:paraId="019C4BA8">
      <w:pPr>
        <w:adjustRightInd w:val="0"/>
        <w:snapToGrid w:val="0"/>
        <w:spacing w:afterLines="0" w:line="560" w:lineRule="exact"/>
        <w:rPr>
          <w:rFonts w:hint="eastAsia" w:ascii="仿宋" w:hAnsi="仿宋" w:eastAsia="仿宋" w:cs="仿宋"/>
          <w:b/>
          <w:bCs/>
          <w:color w:val="000000" w:themeColor="text1"/>
          <w:sz w:val="24"/>
          <w:highlight w:val="none"/>
          <w14:textFill>
            <w14:solidFill>
              <w14:schemeClr w14:val="tx1"/>
            </w14:solidFill>
          </w14:textFill>
        </w:rPr>
      </w:pPr>
    </w:p>
    <w:p w14:paraId="5593D545">
      <w:pPr>
        <w:pStyle w:val="14"/>
        <w:spacing w:before="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692C73B6">
      <w:pPr>
        <w:spacing w:afterLines="0" w:line="560" w:lineRule="exact"/>
        <w:rPr>
          <w:rFonts w:hint="eastAsia" w:ascii="仿宋" w:hAnsi="仿宋" w:eastAsia="仿宋" w:cs="仿宋"/>
          <w:color w:val="000000" w:themeColor="text1"/>
          <w:highlight w:val="none"/>
          <w14:textFill>
            <w14:solidFill>
              <w14:schemeClr w14:val="tx1"/>
            </w14:solidFill>
          </w14:textFill>
        </w:rPr>
      </w:pPr>
    </w:p>
    <w:p w14:paraId="04399EB2">
      <w:pPr>
        <w:adjustRightInd w:val="0"/>
        <w:snapToGrid w:val="0"/>
        <w:spacing w:afterLines="0" w:line="5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37FDA40A">
      <w:pPr>
        <w:adjustRightInd w:val="0"/>
        <w:snapToGrid w:val="0"/>
        <w:spacing w:afterLines="0" w:line="5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695EC72F">
      <w:pPr>
        <w:adjustRightInd w:val="0"/>
        <w:snapToGrid w:val="0"/>
        <w:spacing w:afterLines="0" w:line="5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1AEE031E">
      <w:pPr>
        <w:adjustRightInd w:val="0"/>
        <w:snapToGrid w:val="0"/>
        <w:spacing w:afterLines="0" w:line="560" w:lineRule="exact"/>
        <w:ind w:firstLine="1273" w:firstLineChars="398"/>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委托方（甲方）：</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p>
    <w:p w14:paraId="1EAD278D">
      <w:pPr>
        <w:adjustRightInd w:val="0"/>
        <w:snapToGrid w:val="0"/>
        <w:spacing w:afterLines="0" w:line="560" w:lineRule="exact"/>
        <w:ind w:firstLine="1273" w:firstLineChars="398"/>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受托方（乙方）：</w:t>
      </w:r>
      <w:r>
        <w:rPr>
          <w:rFonts w:hint="eastAsia" w:ascii="仿宋" w:hAnsi="仿宋" w:eastAsia="仿宋" w:cs="仿宋"/>
          <w:b w:val="0"/>
          <w:color w:val="000000" w:themeColor="text1"/>
          <w:sz w:val="32"/>
          <w:szCs w:val="32"/>
          <w:highlight w:val="none"/>
          <w:u w:val="single"/>
          <w:lang w:val="en-US" w:eastAsia="zh-CN"/>
          <w14:textFill>
            <w14:solidFill>
              <w14:schemeClr w14:val="tx1"/>
            </w14:solidFill>
          </w14:textFill>
        </w:rPr>
        <w:t xml:space="preserve">                           </w:t>
      </w:r>
    </w:p>
    <w:p w14:paraId="40A572AA">
      <w:pPr>
        <w:adjustRightInd w:val="0"/>
        <w:snapToGrid w:val="0"/>
        <w:spacing w:afterLines="0" w:line="560" w:lineRule="exact"/>
        <w:rPr>
          <w:rFonts w:hint="eastAsia" w:ascii="仿宋" w:hAnsi="仿宋" w:eastAsia="仿宋" w:cs="仿宋"/>
          <w:color w:val="000000" w:themeColor="text1"/>
          <w:sz w:val="32"/>
          <w:szCs w:val="32"/>
          <w:highlight w:val="none"/>
          <w14:textFill>
            <w14:solidFill>
              <w14:schemeClr w14:val="tx1"/>
            </w14:solidFill>
          </w14:textFill>
        </w:rPr>
      </w:pPr>
    </w:p>
    <w:p w14:paraId="0C74B608">
      <w:pPr>
        <w:adjustRightInd w:val="0"/>
        <w:snapToGrid w:val="0"/>
        <w:spacing w:afterLines="0" w:line="560" w:lineRule="exact"/>
        <w:jc w:val="center"/>
        <w:rPr>
          <w:rFonts w:hint="eastAsia" w:ascii="仿宋" w:hAnsi="仿宋" w:eastAsia="仿宋" w:cs="仿宋"/>
          <w:color w:val="000000" w:themeColor="text1"/>
          <w:sz w:val="32"/>
          <w:szCs w:val="32"/>
          <w:highlight w:val="none"/>
          <w14:textFill>
            <w14:solidFill>
              <w14:schemeClr w14:val="tx1"/>
            </w14:solidFill>
          </w14:textFill>
        </w:rPr>
      </w:pPr>
    </w:p>
    <w:p w14:paraId="26B491F2">
      <w:pPr>
        <w:adjustRightInd w:val="0"/>
        <w:snapToGrid w:val="0"/>
        <w:spacing w:afterLines="0" w:line="5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签订地点：新疆  乌鲁木齐</w:t>
      </w:r>
    </w:p>
    <w:p w14:paraId="6E17D416">
      <w:pPr>
        <w:adjustRightInd w:val="0"/>
        <w:snapToGrid w:val="0"/>
        <w:spacing w:afterLines="0" w:line="5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签订时间：202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  月  日</w:t>
      </w:r>
    </w:p>
    <w:p w14:paraId="6FB6267A">
      <w:pPr>
        <w:widowControl/>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02E5B6D7">
      <w:pPr>
        <w:spacing w:line="360" w:lineRule="auto"/>
        <w:ind w:firstLine="435"/>
        <w:jc w:val="center"/>
        <w:rPr>
          <w:rFonts w:hint="eastAsia" w:ascii="仿宋" w:hAnsi="仿宋" w:eastAsia="仿宋" w:cs="仿宋"/>
          <w:b/>
          <w:bCs/>
          <w:i w:val="0"/>
          <w:iCs w:val="0"/>
          <w:color w:val="000000" w:themeColor="text1"/>
          <w:sz w:val="32"/>
          <w:szCs w:val="32"/>
          <w:highlight w:val="none"/>
          <w14:textFill>
            <w14:solidFill>
              <w14:schemeClr w14:val="tx1"/>
            </w14:solidFill>
          </w14:textFill>
        </w:rPr>
      </w:pPr>
      <w:r>
        <w:rPr>
          <w:rFonts w:hint="eastAsia" w:ascii="仿宋" w:hAnsi="仿宋" w:eastAsia="仿宋" w:cs="仿宋"/>
          <w:b/>
          <w:bCs/>
          <w:i w:val="0"/>
          <w:iCs w:val="0"/>
          <w:color w:val="000000" w:themeColor="text1"/>
          <w:sz w:val="32"/>
          <w:szCs w:val="32"/>
          <w:highlight w:val="none"/>
          <w14:textFill>
            <w14:solidFill>
              <w14:schemeClr w14:val="tx1"/>
            </w14:solidFill>
          </w14:textFill>
        </w:rPr>
        <w:t>政府采购合同</w:t>
      </w:r>
    </w:p>
    <w:p w14:paraId="31093840">
      <w:pPr>
        <w:spacing w:line="360" w:lineRule="auto"/>
        <w:ind w:firstLine="435"/>
        <w:jc w:val="center"/>
        <w:rPr>
          <w:rFonts w:hint="eastAsia" w:ascii="仿宋" w:hAnsi="仿宋" w:eastAsia="仿宋" w:cs="仿宋"/>
          <w:b/>
          <w:bCs/>
          <w:i w:val="0"/>
          <w:iCs w:val="0"/>
          <w:color w:val="000000" w:themeColor="text1"/>
          <w:sz w:val="32"/>
          <w:szCs w:val="32"/>
          <w:highlight w:val="none"/>
          <w14:textFill>
            <w14:solidFill>
              <w14:schemeClr w14:val="tx1"/>
            </w14:solidFill>
          </w14:textFill>
        </w:rPr>
      </w:pPr>
    </w:p>
    <w:p w14:paraId="65CC5FE5">
      <w:pPr>
        <w:spacing w:line="360" w:lineRule="auto"/>
        <w:ind w:firstLine="435"/>
        <w:jc w:val="left"/>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合同编号：__________</w:t>
      </w:r>
    </w:p>
    <w:p w14:paraId="1925954F">
      <w:pPr>
        <w:spacing w:line="360" w:lineRule="auto"/>
        <w:ind w:firstLine="435"/>
        <w:jc w:val="left"/>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项目编号：</w:t>
      </w:r>
    </w:p>
    <w:p w14:paraId="5B1C26D2">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项目名称：天山电影制片厂译制(进口）设备设施更新改造项目采购方式：公开招标</w:t>
      </w:r>
    </w:p>
    <w:p w14:paraId="765A361D">
      <w:pPr>
        <w:spacing w:line="360" w:lineRule="auto"/>
        <w:ind w:firstLine="435"/>
        <w:jc w:val="left"/>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甲方（采购人）：天山电影制片厂</w:t>
      </w:r>
    </w:p>
    <w:p w14:paraId="7EE63603">
      <w:pPr>
        <w:spacing w:line="360" w:lineRule="auto"/>
        <w:ind w:firstLine="435"/>
        <w:jc w:val="left"/>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乙方（成交供应商）：________________________</w:t>
      </w:r>
    </w:p>
    <w:p w14:paraId="2A1D2255">
      <w:pPr>
        <w:spacing w:line="360" w:lineRule="auto"/>
        <w:ind w:firstLine="435"/>
        <w:jc w:val="left"/>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签订地点：新疆・乌鲁木齐</w:t>
      </w:r>
    </w:p>
    <w:p w14:paraId="0507DF59">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签订时间：2026 年__月__日</w:t>
      </w:r>
    </w:p>
    <w:p w14:paraId="28861668">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甲、乙双方依据本项目招标文件、乙方响应文件、《成交通知书》及《中华人民共和国民法典》《中华人民共和国政府采购法》等法律法规，本着平等自愿、诚实信用原则，达成如下协议，共同遵守。</w:t>
      </w:r>
    </w:p>
    <w:p w14:paraId="2F302EDC">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一、项目内容及要求</w:t>
      </w:r>
    </w:p>
    <w:p w14:paraId="13006E80">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乙方负责本项目全部工作，完全满足采购文件全部技术与服务要求。</w:t>
      </w:r>
    </w:p>
    <w:p w14:paraId="2EAC832D">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乙方提供的设备、材料及服务须符合国家现行标准及采购文件约定，确保质量合格、资料真实有效，并对项目成果质量终身负责。</w:t>
      </w:r>
    </w:p>
    <w:p w14:paraId="6C89D548">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二、合同金额及结算</w:t>
      </w:r>
    </w:p>
    <w:p w14:paraId="7D5FE128">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合同总价（人民币）：大写：</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元整</w:t>
      </w:r>
      <w:r>
        <w:rPr>
          <w:rFonts w:hint="eastAsia" w:ascii="仿宋" w:hAnsi="仿宋" w:eastAsia="仿宋" w:cs="仿宋"/>
          <w:i w:val="0"/>
          <w:iCs w:val="0"/>
          <w:color w:val="000000" w:themeColor="text1"/>
          <w:sz w:val="24"/>
          <w:szCs w:val="24"/>
          <w:highlight w:val="none"/>
          <w14:textFill>
            <w14:solidFill>
              <w14:schemeClr w14:val="tx1"/>
            </w14:solidFill>
          </w14:textFill>
        </w:rPr>
        <w:t>（小写：¥</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 元），此为固定总价，包含设备费、安装费、调试费、人工费、运输费、保险费、税金、差旅费及所有不可预见费用，甲方无需额外支付任何费用。</w:t>
      </w:r>
    </w:p>
    <w:p w14:paraId="782B8057">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结算货币为人民币，乙方按甲方要求开具合法有效完税发票。</w:t>
      </w:r>
    </w:p>
    <w:p w14:paraId="243070CB">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三、履约期限、地点及验收</w:t>
      </w:r>
    </w:p>
    <w:p w14:paraId="5C3CA2B4">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履约期限：自合同签订之日起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14:textFill>
            <w14:solidFill>
              <w14:schemeClr w14:val="tx1"/>
            </w14:solidFill>
          </w14:textFill>
        </w:rPr>
        <w:t>个自然日内，完成全部设备设施供货、安装、调试及配套工作，交付甲方正常使用。</w:t>
      </w:r>
    </w:p>
    <w:p w14:paraId="6ADE4581">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履约地点：甲方指定现场。</w:t>
      </w:r>
    </w:p>
    <w:p w14:paraId="4AA87A0F">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甲方按采购文件及合同约定组织验收，验收合格出具验收文书；验收不合格的，乙方须无条件返工整改，直至合格，相关费用及损失由乙方承担。</w:t>
      </w:r>
    </w:p>
    <w:p w14:paraId="10278648">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四、付款方式</w:t>
      </w:r>
    </w:p>
    <w:p w14:paraId="7DAE5D8D">
      <w:pPr>
        <w:spacing w:line="360" w:lineRule="auto"/>
        <w:ind w:firstLine="435"/>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合同签订后</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个工作日内，甲方按政府采购程序向乙方支付</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费用</w:t>
      </w:r>
      <w:r>
        <w:rPr>
          <w:rFonts w:hint="eastAsia" w:ascii="仿宋" w:hAnsi="仿宋" w:eastAsia="仿宋" w:cs="仿宋"/>
          <w:bCs/>
          <w:color w:val="000000" w:themeColor="text1"/>
          <w:sz w:val="24"/>
          <w:szCs w:val="24"/>
          <w:highlight w:val="none"/>
          <w14:textFill>
            <w14:solidFill>
              <w14:schemeClr w14:val="tx1"/>
            </w14:solidFill>
          </w14:textFill>
        </w:rPr>
        <w:t>总额的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75%   </w:t>
      </w:r>
      <w:r>
        <w:rPr>
          <w:rFonts w:hint="eastAsia" w:ascii="仿宋" w:hAnsi="仿宋" w:eastAsia="仿宋" w:cs="仿宋"/>
          <w:bCs/>
          <w:color w:val="000000" w:themeColor="text1"/>
          <w:sz w:val="24"/>
          <w:szCs w:val="24"/>
          <w:highlight w:val="none"/>
          <w14:textFill>
            <w14:solidFill>
              <w14:schemeClr w14:val="tx1"/>
            </w14:solidFill>
          </w14:textFill>
        </w:rPr>
        <w:t>合同款项作为预付款；</w:t>
      </w:r>
      <w:r>
        <w:rPr>
          <w:rFonts w:hint="eastAsia" w:ascii="仿宋" w:hAnsi="仿宋" w:eastAsia="仿宋" w:cs="仿宋"/>
          <w:bCs/>
          <w:color w:val="000000" w:themeColor="text1"/>
          <w:sz w:val="24"/>
          <w:szCs w:val="24"/>
          <w:highlight w:val="none"/>
          <w:lang w:eastAsia="zh-CN"/>
          <w14:textFill>
            <w14:solidFill>
              <w14:schemeClr w14:val="tx1"/>
            </w14:solidFill>
          </w14:textFill>
        </w:rPr>
        <w:t>项目整体</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验收合格后支付尾款</w:t>
      </w:r>
      <w:r>
        <w:rPr>
          <w:rFonts w:hint="eastAsia" w:ascii="仿宋" w:hAnsi="仿宋" w:eastAsia="仿宋" w:cs="仿宋"/>
          <w:bCs/>
          <w:color w:val="000000" w:themeColor="text1"/>
          <w:sz w:val="24"/>
          <w:szCs w:val="24"/>
          <w:highlight w:val="none"/>
          <w14:textFill>
            <w14:solidFill>
              <w14:schemeClr w14:val="tx1"/>
            </w14:solidFill>
          </w14:textFill>
        </w:rPr>
        <w:t>。</w:t>
      </w:r>
    </w:p>
    <w:p w14:paraId="16086B24">
      <w:pPr>
        <w:spacing w:line="360" w:lineRule="auto"/>
        <w:ind w:firstLine="435"/>
        <w:jc w:val="left"/>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支付款项前，乙方应提供符合甲方记账要求的发票，否则甲方有权拒绝付款且不视为违约。</w:t>
      </w:r>
    </w:p>
    <w:p w14:paraId="04681CA2">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五、合同变更、转让与分包</w:t>
      </w:r>
    </w:p>
    <w:p w14:paraId="64224E6C">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除法定情形及双方书面协商一致外，本合同不得擅自变更、中止、终止。</w:t>
      </w:r>
    </w:p>
    <w:p w14:paraId="52B707E3">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未经甲方书面同意，乙方不得转让合同义务，不得将项目主体 / 关键性工作分包；经同意分包的，乙方对分包项目承担全部责任。</w:t>
      </w:r>
    </w:p>
    <w:p w14:paraId="3E0ED551">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六、违约责任</w:t>
      </w:r>
    </w:p>
    <w:p w14:paraId="4C3B582F">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乙方逾期交付的，每日按合同总价 2‰支付违约金；逾期超过 30 日，甲方有权解除合同，乙方退还全部已付款，并支付合同总价 10% 的违约金。</w:t>
      </w:r>
    </w:p>
    <w:p w14:paraId="0E8903C3">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乙方交付成果不符合</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合同</w:t>
      </w:r>
      <w:r>
        <w:rPr>
          <w:rFonts w:hint="eastAsia" w:ascii="仿宋" w:hAnsi="仿宋" w:eastAsia="仿宋" w:cs="仿宋"/>
          <w:i w:val="0"/>
          <w:iCs w:val="0"/>
          <w:color w:val="000000" w:themeColor="text1"/>
          <w:sz w:val="24"/>
          <w:szCs w:val="24"/>
          <w:highlight w:val="none"/>
          <w14:textFill>
            <w14:solidFill>
              <w14:schemeClr w14:val="tx1"/>
            </w14:solidFill>
          </w14:textFill>
        </w:rPr>
        <w:t>约定的</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包括但不限于</w:t>
      </w:r>
      <w:r>
        <w:rPr>
          <w:rFonts w:hint="eastAsia" w:ascii="仿宋" w:hAnsi="仿宋" w:eastAsia="仿宋" w:cs="仿宋"/>
          <w:i w:val="0"/>
          <w:iCs w:val="0"/>
          <w:color w:val="000000" w:themeColor="text1"/>
          <w:sz w:val="24"/>
          <w:szCs w:val="24"/>
          <w:highlight w:val="none"/>
          <w14:textFill>
            <w14:solidFill>
              <w14:schemeClr w14:val="tx1"/>
            </w14:solidFill>
          </w14:textFill>
        </w:rPr>
        <w:t>乙方交付</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i w:val="0"/>
          <w:iCs w:val="0"/>
          <w:color w:val="000000" w:themeColor="text1"/>
          <w:sz w:val="24"/>
          <w:szCs w:val="24"/>
          <w:highlight w:val="none"/>
          <w14:textFill>
            <w14:solidFill>
              <w14:schemeClr w14:val="tx1"/>
            </w14:solidFill>
          </w14:textFill>
        </w:rPr>
        <w:t>全部工程内容，不符合国家及行业技术标准与安全规范，未达到合同约定的设备参数、施工工艺、安装质量、系统整体运行指标；</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或其他不符合招标文件及投标文件约定的）</w:t>
      </w:r>
      <w:r>
        <w:rPr>
          <w:rFonts w:hint="eastAsia" w:ascii="仿宋" w:hAnsi="仿宋" w:eastAsia="仿宋" w:cs="仿宋"/>
          <w:i w:val="0"/>
          <w:iCs w:val="0"/>
          <w:color w:val="000000" w:themeColor="text1"/>
          <w:sz w:val="24"/>
          <w:szCs w:val="24"/>
          <w:highlight w:val="none"/>
          <w14:textFill>
            <w14:solidFill>
              <w14:schemeClr w14:val="tx1"/>
            </w14:solidFill>
          </w14:textFill>
        </w:rPr>
        <w:t>，须无偿返工整改，承担全部损失及逾期违约责任；返工 2 次仍不合格的，甲方有权解除合同，乙方退还全部已付款并支付合同总价 10% 的违约金。</w:t>
      </w:r>
    </w:p>
    <w:p w14:paraId="08E30AED">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甲方逾期付款的，每日按逾期金额参照合同签订时一年期贷款市场报价利率支付利息。</w:t>
      </w:r>
    </w:p>
    <w:p w14:paraId="10316B4C">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因甲方原因导致乙方停工、返工的，乙方不承担违约责任，工期相应顺延。</w:t>
      </w:r>
    </w:p>
    <w:p w14:paraId="3E3D8398">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乙方及乙方工作人员在安装调试</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施工</w:t>
      </w:r>
      <w:r>
        <w:rPr>
          <w:rFonts w:hint="eastAsia" w:ascii="仿宋" w:hAnsi="仿宋" w:eastAsia="仿宋" w:cs="仿宋"/>
          <w:i w:val="0"/>
          <w:iCs w:val="0"/>
          <w:color w:val="000000" w:themeColor="text1"/>
          <w:sz w:val="24"/>
          <w:szCs w:val="24"/>
          <w:highlight w:val="none"/>
          <w14:textFill>
            <w14:solidFill>
              <w14:schemeClr w14:val="tx1"/>
            </w14:solidFill>
          </w14:textFill>
        </w:rPr>
        <w:t>过程中造成安全事故，导致乙方或者其它任何第三方人身损害</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14:textFill>
            <w14:solidFill>
              <w14:schemeClr w14:val="tx1"/>
            </w14:solidFill>
          </w14:textFill>
        </w:rPr>
        <w:t>财产损失</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或安全生产行政处罚</w:t>
      </w:r>
      <w:r>
        <w:rPr>
          <w:rFonts w:hint="eastAsia" w:ascii="仿宋" w:hAnsi="仿宋" w:eastAsia="仿宋" w:cs="仿宋"/>
          <w:i w:val="0"/>
          <w:iCs w:val="0"/>
          <w:color w:val="000000" w:themeColor="text1"/>
          <w:sz w:val="24"/>
          <w:szCs w:val="24"/>
          <w:highlight w:val="none"/>
          <w14:textFill>
            <w14:solidFill>
              <w14:schemeClr w14:val="tx1"/>
            </w14:solidFill>
          </w14:textFill>
        </w:rPr>
        <w:t>的，由乙方负责</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全部法律后果</w:t>
      </w:r>
      <w:r>
        <w:rPr>
          <w:rFonts w:hint="eastAsia" w:ascii="仿宋" w:hAnsi="仿宋" w:eastAsia="仿宋" w:cs="仿宋"/>
          <w:i w:val="0"/>
          <w:iCs w:val="0"/>
          <w:color w:val="000000" w:themeColor="text1"/>
          <w:sz w:val="24"/>
          <w:szCs w:val="24"/>
          <w:highlight w:val="none"/>
          <w14:textFill>
            <w14:solidFill>
              <w14:schemeClr w14:val="tx1"/>
            </w14:solidFill>
          </w14:textFill>
        </w:rPr>
        <w:t>。</w:t>
      </w:r>
    </w:p>
    <w:p w14:paraId="0144D682">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任何一方违约，需承担守约方维权产生的律师费、诉讼费、保全费等全部费用。</w:t>
      </w:r>
    </w:p>
    <w:p w14:paraId="3D1FADE3">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七、不可抗力</w:t>
      </w:r>
    </w:p>
    <w:p w14:paraId="728397DC">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因不可抗力导致合同无法履行的，受影响方应及时通知对方并提供有效证明，双方协商延期履行或解除合同，互不承担违约责任。</w:t>
      </w:r>
    </w:p>
    <w:p w14:paraId="206B5579">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不可抗力持续超过 120 天的，双方友好协商确定合同后续履行事宜。</w:t>
      </w:r>
    </w:p>
    <w:p w14:paraId="1534BD84">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八、成果归属与保密</w:t>
      </w:r>
    </w:p>
    <w:p w14:paraId="2E2A0EBB">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项目全部成果、资料及甲方提供的原始资料所有权归甲方所有，乙方仅限本项目使用，不得泄露、转用、拷贝或向第三方提供。</w:t>
      </w:r>
    </w:p>
    <w:p w14:paraId="3E9505CA">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乙方对项目涉密信息承担终身保密责任，保密义务不因合同终止而失效。</w:t>
      </w:r>
    </w:p>
    <w:p w14:paraId="465C50B8">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九、争议解决</w:t>
      </w:r>
    </w:p>
    <w:p w14:paraId="62A2CF2A">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因本合同引起的争议，双方先行友好协商；协商不成的，向甲方所在地人民法院提起诉讼。</w:t>
      </w:r>
    </w:p>
    <w:p w14:paraId="4D31604C">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十、其他约定</w:t>
      </w:r>
    </w:p>
    <w:p w14:paraId="539B70A7">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本项目招标文件、澄清 / 变更公告、乙方响应文件、成交通知书均为本合同不可分割部分，与本合同具有同等法律效力</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，如合同履行中出现不一致的地方，按照有利于实现合同目的和有利于甲方的原则确定执行。</w:t>
      </w:r>
    </w:p>
    <w:p w14:paraId="16B349F3">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质保期按照国家相关规定及本项目招标文件约定执行。</w:t>
      </w:r>
    </w:p>
    <w:p w14:paraId="0ACCBA15">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本合同未尽事宜，按国家相关法律法规执行。</w:t>
      </w:r>
    </w:p>
    <w:p w14:paraId="013695D5">
      <w:pPr>
        <w:spacing w:line="360" w:lineRule="auto"/>
        <w:ind w:firstLine="435"/>
        <w:jc w:val="left"/>
        <w:rPr>
          <w:rFonts w:hint="eastAsia" w:ascii="仿宋" w:hAnsi="仿宋" w:eastAsia="仿宋" w:cs="仿宋"/>
          <w:b/>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十一、合同生效</w:t>
      </w:r>
    </w:p>
    <w:p w14:paraId="0E5688AA">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本合同一式  份，甲方执份、乙方执份，双方签字并加盖公章后生效，具有同等法律效力。</w:t>
      </w:r>
    </w:p>
    <w:p w14:paraId="5D1C1DE8">
      <w:pPr>
        <w:spacing w:after="160" w:line="360" w:lineRule="auto"/>
        <w:jc w:val="both"/>
        <w:rPr>
          <w:rFonts w:hint="eastAsia"/>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甲方（盖章）：</w:t>
      </w:r>
    </w:p>
    <w:p w14:paraId="7A91D13E">
      <w:pPr>
        <w:spacing w:after="160" w:line="360" w:lineRule="auto"/>
        <w:jc w:val="both"/>
        <w:rPr>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 xml:space="preserve">法定代表人或委托代理人：              </w:t>
      </w:r>
    </w:p>
    <w:p w14:paraId="76A0B3BB">
      <w:pPr>
        <w:spacing w:after="160" w:line="360" w:lineRule="auto"/>
        <w:jc w:val="both"/>
        <w:rPr>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 xml:space="preserve">开户银行：                           </w:t>
      </w:r>
    </w:p>
    <w:p w14:paraId="1E75DAEC">
      <w:pPr>
        <w:spacing w:after="160" w:line="360" w:lineRule="auto"/>
        <w:jc w:val="both"/>
        <w:rPr>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 xml:space="preserve">账号：                           </w:t>
      </w:r>
      <w:r>
        <w:rPr>
          <w:rFonts w:hint="eastAsia"/>
          <w:b/>
          <w:bCs/>
          <w:color w:val="000000" w:themeColor="text1"/>
          <w:sz w:val="24"/>
          <w:szCs w:val="24"/>
          <w:highlight w:val="none"/>
          <w14:textFill>
            <w14:solidFill>
              <w14:schemeClr w14:val="tx1"/>
            </w14:solidFill>
          </w14:textFill>
        </w:rPr>
        <w:t xml:space="preserve">     </w:t>
      </w:r>
    </w:p>
    <w:p w14:paraId="55C88647">
      <w:pPr>
        <w:spacing w:after="160" w:line="360" w:lineRule="auto"/>
        <w:jc w:val="both"/>
        <w:rPr>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 xml:space="preserve">联系电话：                            </w:t>
      </w:r>
    </w:p>
    <w:p w14:paraId="1723916F">
      <w:pP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时间：  年  月  日</w:t>
      </w:r>
      <w:r>
        <w:rPr>
          <w:rFonts w:hint="eastAsia"/>
          <w:b/>
          <w:bCs/>
          <w:color w:val="000000" w:themeColor="text1"/>
          <w:sz w:val="24"/>
          <w:szCs w:val="24"/>
          <w:highlight w:val="none"/>
          <w14:textFill>
            <w14:solidFill>
              <w14:schemeClr w14:val="tx1"/>
            </w14:solidFill>
          </w14:textFill>
        </w:rPr>
        <w:t xml:space="preserve">                    </w:t>
      </w:r>
    </w:p>
    <w:p w14:paraId="23848F1C">
      <w:pPr>
        <w:rPr>
          <w:rFonts w:hint="eastAsia"/>
          <w:b/>
          <w:bCs/>
          <w:color w:val="000000" w:themeColor="text1"/>
          <w:sz w:val="24"/>
          <w:szCs w:val="24"/>
          <w:highlight w:val="none"/>
          <w:lang w:val="zh-CN"/>
          <w14:textFill>
            <w14:solidFill>
              <w14:schemeClr w14:val="tx1"/>
            </w14:solidFill>
          </w14:textFill>
        </w:rPr>
      </w:pPr>
    </w:p>
    <w:p w14:paraId="6B3798ED">
      <w:pPr>
        <w:spacing w:after="160"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乙方（盖章）：</w:t>
      </w:r>
    </w:p>
    <w:p w14:paraId="19BBA204">
      <w:pPr>
        <w:spacing w:after="160"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法定代表人或委托代理人：</w:t>
      </w:r>
    </w:p>
    <w:p w14:paraId="4C0A34DD">
      <w:pPr>
        <w:spacing w:after="160"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开户银行：</w:t>
      </w:r>
    </w:p>
    <w:p w14:paraId="07781C95">
      <w:pPr>
        <w:spacing w:after="160"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账号：</w:t>
      </w:r>
    </w:p>
    <w:p w14:paraId="5D532689">
      <w:pPr>
        <w:spacing w:after="160" w:line="360" w:lineRule="auto"/>
        <w:jc w:val="both"/>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联系电话：</w:t>
      </w:r>
    </w:p>
    <w:p w14:paraId="39CA687F">
      <w:pPr>
        <w:spacing w:line="360" w:lineRule="auto"/>
        <w:ind w:firstLine="435"/>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时间：  年  月  日       </w:t>
      </w:r>
    </w:p>
    <w:p w14:paraId="28121537">
      <w:pPr>
        <w:pStyle w:val="3"/>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00EFA86F">
      <w:pPr>
        <w:spacing w:line="360" w:lineRule="auto"/>
        <w:jc w:val="left"/>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 </w:t>
      </w:r>
    </w:p>
    <w:p w14:paraId="706892A4">
      <w:pPr>
        <w:widowControl/>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14:paraId="7AD23A38">
      <w:pPr>
        <w:pStyle w:val="4"/>
        <w:spacing w:before="220" w:after="220" w:line="480" w:lineRule="auto"/>
        <w:ind w:left="420" w:firstLine="72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第七章 投标文件格式</w:t>
      </w:r>
      <w:bookmarkEnd w:id="483"/>
      <w:bookmarkEnd w:id="484"/>
    </w:p>
    <w:p w14:paraId="5DF7A2D6">
      <w:pPr>
        <w:ind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封面：</w:t>
      </w:r>
    </w:p>
    <w:p w14:paraId="3EAA85F2">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4754D2E1">
      <w:pPr>
        <w:autoSpaceDE w:val="0"/>
        <w:autoSpaceDN w:val="0"/>
        <w:adjustRightInd w:val="0"/>
        <w:jc w:val="center"/>
        <w:rPr>
          <w:rFonts w:hint="eastAsia" w:ascii="仿宋" w:hAnsi="仿宋" w:eastAsia="仿宋" w:cs="仿宋"/>
          <w:color w:val="000000" w:themeColor="text1"/>
          <w:sz w:val="24"/>
          <w:szCs w:val="24"/>
          <w:highlight w:val="none"/>
          <w14:textFill>
            <w14:solidFill>
              <w14:schemeClr w14:val="tx1"/>
            </w14:solidFill>
          </w14:textFill>
        </w:rPr>
      </w:pPr>
    </w:p>
    <w:p w14:paraId="4924CC34">
      <w:pPr>
        <w:pStyle w:val="5"/>
        <w:bidi w:val="0"/>
        <w:jc w:val="center"/>
        <w:rPr>
          <w:rFonts w:hint="eastAsia" w:ascii="仿宋" w:hAnsi="仿宋" w:eastAsia="仿宋" w:cs="仿宋"/>
          <w:color w:val="000000" w:themeColor="text1"/>
          <w:sz w:val="24"/>
          <w:szCs w:val="24"/>
          <w:highlight w:val="none"/>
          <w14:textFill>
            <w14:solidFill>
              <w14:schemeClr w14:val="tx1"/>
            </w14:solidFill>
          </w14:textFill>
        </w:rPr>
      </w:pPr>
      <w:bookmarkStart w:id="485" w:name="_Toc7054"/>
      <w:r>
        <w:rPr>
          <w:rFonts w:hint="eastAsia" w:ascii="仿宋" w:hAnsi="仿宋" w:eastAsia="仿宋" w:cs="仿宋"/>
          <w:color w:val="000000" w:themeColor="text1"/>
          <w:sz w:val="24"/>
          <w:szCs w:val="24"/>
          <w:highlight w:val="none"/>
          <w14:textFill>
            <w14:solidFill>
              <w14:schemeClr w14:val="tx1"/>
            </w14:solidFill>
          </w14:textFill>
        </w:rPr>
        <w:t>投 标 文 件</w:t>
      </w:r>
      <w:bookmarkEnd w:id="485"/>
    </w:p>
    <w:p w14:paraId="368650BF">
      <w:pPr>
        <w:pStyle w:val="5"/>
        <w:bidi w:val="0"/>
        <w:jc w:val="center"/>
        <w:rPr>
          <w:rFonts w:hint="eastAsia" w:ascii="仿宋" w:hAnsi="仿宋" w:eastAsia="仿宋" w:cs="仿宋"/>
          <w:color w:val="000000" w:themeColor="text1"/>
          <w:sz w:val="24"/>
          <w:szCs w:val="24"/>
          <w:highlight w:val="none"/>
          <w14:textFill>
            <w14:solidFill>
              <w14:schemeClr w14:val="tx1"/>
            </w14:solidFill>
          </w14:textFill>
        </w:rPr>
      </w:pPr>
      <w:bookmarkStart w:id="486" w:name="_Toc17826"/>
      <w:r>
        <w:rPr>
          <w:rFonts w:hint="eastAsia" w:ascii="仿宋" w:hAnsi="仿宋" w:eastAsia="仿宋" w:cs="仿宋"/>
          <w:color w:val="000000" w:themeColor="text1"/>
          <w:sz w:val="24"/>
          <w:szCs w:val="24"/>
          <w:highlight w:val="none"/>
          <w14:textFill>
            <w14:solidFill>
              <w14:schemeClr w14:val="tx1"/>
            </w14:solidFill>
          </w14:textFill>
        </w:rPr>
        <w:t>资格证明文件</w:t>
      </w:r>
      <w:bookmarkEnd w:id="486"/>
    </w:p>
    <w:p w14:paraId="35922A72">
      <w:pPr>
        <w:autoSpaceDE w:val="0"/>
        <w:autoSpaceDN w:val="0"/>
        <w:adjustRightInd w:val="0"/>
        <w:rPr>
          <w:rFonts w:hint="eastAsia" w:ascii="仿宋" w:hAnsi="仿宋" w:eastAsia="仿宋" w:cs="仿宋"/>
          <w:b/>
          <w:bCs/>
          <w:color w:val="000000" w:themeColor="text1"/>
          <w:sz w:val="24"/>
          <w:szCs w:val="24"/>
          <w:highlight w:val="none"/>
          <w14:textFill>
            <w14:solidFill>
              <w14:schemeClr w14:val="tx1"/>
            </w14:solidFill>
          </w14:textFill>
        </w:rPr>
      </w:pPr>
    </w:p>
    <w:p w14:paraId="0D3BABE0">
      <w:pPr>
        <w:autoSpaceDE w:val="0"/>
        <w:autoSpaceDN w:val="0"/>
        <w:adjustRightInd w:val="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（第XX包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如不分包，请删去本行</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D768EF5">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35B957CD">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23EAD40D">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56B8275">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AC689AE">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标</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2A6068BE">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04F41F83">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245ED135">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1EAD7F6D">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0C5F1974">
      <w:pP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br w:type="page"/>
      </w:r>
    </w:p>
    <w:p w14:paraId="08E58D16">
      <w:pPr>
        <w:rPr>
          <w:rFonts w:hint="eastAsia" w:ascii="仿宋" w:hAnsi="仿宋" w:eastAsia="仿宋" w:cs="仿宋"/>
          <w:color w:val="000000" w:themeColor="text1"/>
          <w:sz w:val="24"/>
          <w:szCs w:val="24"/>
          <w:highlight w:val="none"/>
          <w:lang w:val="zh-CN"/>
          <w14:textFill>
            <w14:solidFill>
              <w14:schemeClr w14:val="tx1"/>
            </w14:solidFill>
          </w14:textFill>
        </w:rPr>
      </w:pPr>
    </w:p>
    <w:p w14:paraId="5DA3CCBD">
      <w:pPr>
        <w:pStyle w:val="5"/>
        <w:bidi w:val="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487" w:name="_Toc24224"/>
      <w:bookmarkStart w:id="488" w:name="_Toc3692"/>
      <w:bookmarkStart w:id="489" w:name="_Toc155185927"/>
      <w:r>
        <w:rPr>
          <w:rFonts w:hint="eastAsia" w:ascii="仿宋" w:hAnsi="仿宋" w:eastAsia="仿宋" w:cs="仿宋"/>
          <w:color w:val="000000" w:themeColor="text1"/>
          <w:sz w:val="24"/>
          <w:szCs w:val="24"/>
          <w:highlight w:val="none"/>
          <w:lang w:val="en-US" w:eastAsia="zh-CN"/>
          <w14:textFill>
            <w14:solidFill>
              <w14:schemeClr w14:val="tx1"/>
            </w14:solidFill>
          </w14:textFill>
        </w:rPr>
        <w:t>一、满足《中华人民共和国政府采购法》第二十二条规定</w:t>
      </w:r>
      <w:bookmarkEnd w:id="487"/>
      <w:bookmarkEnd w:id="488"/>
    </w:p>
    <w:bookmarkEnd w:id="489"/>
    <w:p w14:paraId="4ADDE7A0">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90" w:name="_Toc163492922"/>
      <w:bookmarkStart w:id="491" w:name="_Toc15518592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（一）法人、其他组织或者自然人的证明文件</w:t>
      </w:r>
    </w:p>
    <w:p w14:paraId="0EFA33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1、投标人为企业（包括合伙企业）的，应提供有效的“营业执照”；</w:t>
      </w:r>
    </w:p>
    <w:p w14:paraId="74720B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2、投标人为事业单位的，应提供有效的“事业单位法人证书”；</w:t>
      </w:r>
    </w:p>
    <w:p w14:paraId="0426A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3、投标人为非企业机构的，应提供有效的“执业许可证”、“登记证书”等证明文件；</w:t>
      </w:r>
    </w:p>
    <w:p w14:paraId="6F5DD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4、投标人是个体工商户的，应提供有效的“个体工商户营业执照”；</w:t>
      </w:r>
    </w:p>
    <w:p w14:paraId="65D776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5、投标人是自然人的，应提供有效的自然人身份证明。</w:t>
      </w:r>
    </w:p>
    <w:p w14:paraId="165F01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14:paraId="3E29514D">
      <w:pP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br w:type="page"/>
      </w:r>
    </w:p>
    <w:bookmarkEnd w:id="490"/>
    <w:bookmarkEnd w:id="491"/>
    <w:p w14:paraId="5725EDC0">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92" w:name="_Toc143"/>
      <w:bookmarkStart w:id="493" w:name="_Toc2116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（二）政府采购供应商信用承诺函</w:t>
      </w:r>
      <w:bookmarkEnd w:id="492"/>
      <w:bookmarkEnd w:id="493"/>
    </w:p>
    <w:p w14:paraId="4994CA52">
      <w:pPr>
        <w:spacing w:line="560" w:lineRule="exac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单位名称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自然人姓名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408B65E">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统一社会信用代码</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身份证号码</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4321FD1">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负责人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FE75781">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p>
    <w:p w14:paraId="569F90DC">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我单位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本人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 xml:space="preserve">自愿参加本次政府采购活动，严格遵守《中华人民共和国政府采购法》及相关法律法规，坚守公开、公平、公正和诚实信用等原则，依法诚信经营，并郑重承诺：    </w:t>
      </w:r>
    </w:p>
    <w:p w14:paraId="7723952B">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一、我单位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本人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符合《中华人民共和国政府采购法》第二十二条规定：</w:t>
      </w:r>
    </w:p>
    <w:p w14:paraId="4EC4B6F2">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具有独立承担民事责任的能力;</w:t>
      </w:r>
    </w:p>
    <w:p w14:paraId="3A13CB5F">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（二）</w:t>
      </w:r>
      <w:r>
        <w:rPr>
          <w:rFonts w:hint="eastAsia" w:ascii="仿宋" w:hAnsi="仿宋" w:eastAsia="仿宋" w:cs="仿宋"/>
          <w:color w:val="000000" w:themeColor="text1"/>
          <w:kern w:val="0"/>
          <w:sz w:val="24"/>
          <w:szCs w:val="24"/>
          <w:highlight w:val="none"/>
          <w14:textFill>
            <w14:solidFill>
              <w14:schemeClr w14:val="tx1"/>
            </w14:solidFill>
          </w14:textFill>
        </w:rPr>
        <w:t>具有良好的商业信誉和健全的财务会计制度;</w:t>
      </w:r>
    </w:p>
    <w:p w14:paraId="052845D9">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（三）</w:t>
      </w:r>
      <w:r>
        <w:rPr>
          <w:rFonts w:hint="eastAsia" w:ascii="仿宋" w:hAnsi="仿宋" w:eastAsia="仿宋" w:cs="仿宋"/>
          <w:color w:val="000000" w:themeColor="text1"/>
          <w:kern w:val="0"/>
          <w:sz w:val="24"/>
          <w:szCs w:val="24"/>
          <w:highlight w:val="none"/>
          <w14:textFill>
            <w14:solidFill>
              <w14:schemeClr w14:val="tx1"/>
            </w14:solidFill>
          </w14:textFill>
        </w:rPr>
        <w:t>具有履行合同所必需的设备和专业技术能力;</w:t>
      </w:r>
    </w:p>
    <w:p w14:paraId="5375F23A">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（四）</w:t>
      </w:r>
      <w:r>
        <w:rPr>
          <w:rFonts w:hint="eastAsia" w:ascii="仿宋" w:hAnsi="仿宋" w:eastAsia="仿宋" w:cs="仿宋"/>
          <w:color w:val="000000" w:themeColor="text1"/>
          <w:kern w:val="0"/>
          <w:sz w:val="24"/>
          <w:szCs w:val="24"/>
          <w:highlight w:val="none"/>
          <w14:textFill>
            <w14:solidFill>
              <w14:schemeClr w14:val="tx1"/>
            </w14:solidFill>
          </w14:textFill>
        </w:rPr>
        <w:t>有依法缴纳税收和社会保障资金的良好记录;</w:t>
      </w:r>
    </w:p>
    <w:p w14:paraId="09D1353A">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（五）</w:t>
      </w:r>
      <w:r>
        <w:rPr>
          <w:rFonts w:hint="eastAsia" w:ascii="仿宋" w:hAnsi="仿宋" w:eastAsia="仿宋" w:cs="仿宋"/>
          <w:color w:val="000000" w:themeColor="text1"/>
          <w:kern w:val="0"/>
          <w:sz w:val="24"/>
          <w:szCs w:val="24"/>
          <w:highlight w:val="none"/>
          <w14:textFill>
            <w14:solidFill>
              <w14:schemeClr w14:val="tx1"/>
            </w14:solidFill>
          </w14:textFill>
        </w:rPr>
        <w:t>参加政府采购活动前三年内，在经营活动中没有重大违法记录;</w:t>
      </w:r>
    </w:p>
    <w:p w14:paraId="60D09390">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（六）</w:t>
      </w:r>
      <w:r>
        <w:rPr>
          <w:rFonts w:hint="eastAsia" w:ascii="仿宋" w:hAnsi="仿宋" w:eastAsia="仿宋" w:cs="仿宋"/>
          <w:color w:val="000000" w:themeColor="text1"/>
          <w:kern w:val="0"/>
          <w:sz w:val="24"/>
          <w:szCs w:val="24"/>
          <w:highlight w:val="none"/>
          <w14:textFill>
            <w14:solidFill>
              <w14:schemeClr w14:val="tx1"/>
            </w14:solidFill>
          </w14:textFill>
        </w:rPr>
        <w:t>符合法律、行政法规规定的其他条件。</w:t>
      </w:r>
    </w:p>
    <w:p w14:paraId="2F477FD4">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二、我单位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本人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未被列入严重违法失信名单、失信被执行人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名单</w:t>
      </w:r>
      <w:r>
        <w:rPr>
          <w:rFonts w:hint="eastAsia" w:ascii="仿宋" w:hAnsi="仿宋" w:eastAsia="仿宋" w:cs="仿宋"/>
          <w:color w:val="000000" w:themeColor="text1"/>
          <w:kern w:val="0"/>
          <w:sz w:val="24"/>
          <w:szCs w:val="24"/>
          <w:highlight w:val="none"/>
          <w14:textFill>
            <w14:solidFill>
              <w14:schemeClr w14:val="tx1"/>
            </w14:solidFill>
          </w14:textFill>
        </w:rPr>
        <w:t>、重大税收违法失信主体、政府采购严重违法失信行为记录名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单</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5EDA87A5">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三、如果本公司（本人）有幸中标（成交），在合同签订之前，采购单位有权要求本公司（本人）提供资格证明材料原件进行核验。</w:t>
      </w:r>
    </w:p>
    <w:p w14:paraId="1BBA0260">
      <w:pPr>
        <w:spacing w:line="5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四、我单位</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（本人）</w:t>
      </w:r>
      <w:r>
        <w:rPr>
          <w:rFonts w:hint="eastAsia" w:ascii="仿宋" w:hAnsi="仿宋" w:eastAsia="仿宋" w:cs="仿宋"/>
          <w:color w:val="000000" w:themeColor="text1"/>
          <w:kern w:val="0"/>
          <w:sz w:val="24"/>
          <w:szCs w:val="24"/>
          <w:highlight w:val="none"/>
          <w14:textFill>
            <w14:solidFill>
              <w14:schemeClr w14:val="tx1"/>
            </w14:solidFill>
          </w14:textFill>
        </w:rPr>
        <w:t>保证上述承诺事项的真实性。如有弄虚作假或其他违法违规行为，自愿按照规定将违背承诺行为作为失信行为记录到社会信用信息平台，并视同为“提供虚假材料谋取中标、成交”按照《</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4"/>
          <w:szCs w:val="24"/>
          <w:highlight w:val="none"/>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46BF549">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p>
    <w:p w14:paraId="773095DA">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p>
    <w:p w14:paraId="6E8F9EEB">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供应商名称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（公章）</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76E49B0C">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kern w:val="0"/>
          <w:sz w:val="24"/>
          <w:szCs w:val="24"/>
          <w:highlight w:val="none"/>
          <w14:textFill>
            <w14:solidFill>
              <w14:schemeClr w14:val="tx1"/>
            </w14:solidFill>
          </w14:textFill>
        </w:rPr>
        <w:t>负责人、本人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或授权代表</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签字或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59C9AB7D">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 年 月 日</w:t>
      </w:r>
    </w:p>
    <w:p w14:paraId="550D7789">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p>
    <w:p w14:paraId="059EF47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（三）无限制情形的承诺函 </w:t>
      </w:r>
    </w:p>
    <w:p w14:paraId="0D1BF996">
      <w:pPr>
        <w:snapToGrid w:val="0"/>
        <w:spacing w:line="360" w:lineRule="auto"/>
        <w:ind w:firstLine="576"/>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无限制情形的承诺函</w:t>
      </w:r>
    </w:p>
    <w:p w14:paraId="0D46B920">
      <w:pPr>
        <w:snapToGrid w:val="0"/>
        <w:spacing w:line="360" w:lineRule="auto"/>
        <w:ind w:firstLine="576"/>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供应商限制情形：法定代表人或者负责人为同一人或者存在控股、管理关系的两个以上供应商，不得参加同一项目的投标；除单一来源采购项目外，为采购项目提供整体设计、规范编制或者项目管理、监理、检测等服务的供应商，不得再参加该采购项目的其他采购活动。 </w:t>
      </w:r>
    </w:p>
    <w:p w14:paraId="15DBD80A">
      <w:pPr>
        <w:snapToGrid w:val="0"/>
        <w:spacing w:line="360" w:lineRule="auto"/>
        <w:ind w:firstLine="576"/>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我公司承诺，无上述限制情形。如有虚假，将依法承担相应责任。 </w:t>
      </w:r>
    </w:p>
    <w:p w14:paraId="0040B7EE">
      <w:pPr>
        <w:pStyle w:val="12"/>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p w14:paraId="33B44112">
      <w:pPr>
        <w:pStyle w:val="12"/>
        <w:rPr>
          <w:rFonts w:hint="eastAsia" w:ascii="仿宋" w:hAnsi="仿宋" w:eastAsia="仿宋" w:cs="仿宋"/>
          <w:color w:val="000000" w:themeColor="text1"/>
          <w:kern w:val="0"/>
          <w:sz w:val="24"/>
          <w:szCs w:val="24"/>
          <w:highlight w:val="none"/>
          <w:lang w:val="zh-CN" w:eastAsia="zh-CN"/>
          <w14:textFill>
            <w14:solidFill>
              <w14:schemeClr w14:val="tx1"/>
            </w14:solidFill>
          </w14:textFill>
        </w:rPr>
      </w:pPr>
    </w:p>
    <w:p w14:paraId="32E900E8">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供应商名称：（加盖公章） </w:t>
      </w:r>
    </w:p>
    <w:p w14:paraId="0DC112A6">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法定代表人或其授权委托人（签字或盖章）： </w:t>
      </w:r>
    </w:p>
    <w:p w14:paraId="673A85F9">
      <w:pPr>
        <w:keepNext w:val="0"/>
        <w:keepLines w:val="0"/>
        <w:widowControl/>
        <w:suppressLineNumbers w:val="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   期：</w:t>
      </w:r>
    </w:p>
    <w:p w14:paraId="72E14C1C">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16028537">
      <w:pPr>
        <w:pStyle w:val="5"/>
        <w:bidi w:val="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494" w:name="_Toc163492926"/>
      <w:bookmarkStart w:id="495" w:name="_Toc155185932"/>
      <w:bookmarkStart w:id="496" w:name="_Toc18617"/>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bookmarkEnd w:id="494"/>
      <w:bookmarkEnd w:id="495"/>
      <w:r>
        <w:rPr>
          <w:rFonts w:hint="eastAsia" w:ascii="仿宋" w:hAnsi="仿宋" w:eastAsia="仿宋" w:cs="仿宋"/>
          <w:color w:val="000000" w:themeColor="text1"/>
          <w:sz w:val="24"/>
          <w:szCs w:val="24"/>
          <w:highlight w:val="none"/>
          <w:lang w:val="en-US" w:eastAsia="zh-CN"/>
          <w14:textFill>
            <w14:solidFill>
              <w14:schemeClr w14:val="tx1"/>
            </w14:solidFill>
          </w14:textFill>
        </w:rPr>
        <w:t>落实政府采购政策相关证明文件</w:t>
      </w:r>
      <w:bookmarkEnd w:id="496"/>
    </w:p>
    <w:p w14:paraId="653BDA50">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97" w:name="_Toc163492938"/>
      <w:bookmarkStart w:id="498" w:name="_Toc2602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（一）节能环保产品清单及证明材料</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【如适用】</w:t>
      </w:r>
      <w:bookmarkEnd w:id="497"/>
      <w:bookmarkEnd w:id="498"/>
    </w:p>
    <w:p w14:paraId="4803AFCD">
      <w:pPr>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p>
    <w:p w14:paraId="5070F0BD">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392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8C46A9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7B761340">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1DB947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F247342">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71BEBD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5E666D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456A732">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w:t>
            </w:r>
          </w:p>
          <w:p w14:paraId="7210343B">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782676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总价</w:t>
            </w:r>
          </w:p>
          <w:p w14:paraId="50BC83E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3B0CDC7">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属强制采购或优先采购</w:t>
            </w:r>
          </w:p>
        </w:tc>
      </w:tr>
      <w:tr w14:paraId="273B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0CDEAE9">
            <w:pPr>
              <w:pStyle w:val="59"/>
              <w:numPr>
                <w:ilvl w:val="0"/>
                <w:numId w:val="9"/>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73E00AB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7F490B5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FFFF94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7883905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8" w:type="dxa"/>
            <w:tcBorders>
              <w:top w:val="single" w:color="auto" w:sz="4" w:space="0"/>
              <w:left w:val="single" w:color="auto" w:sz="4" w:space="0"/>
              <w:bottom w:val="single" w:color="auto" w:sz="4" w:space="0"/>
              <w:right w:val="single" w:color="auto" w:sz="4" w:space="0"/>
            </w:tcBorders>
            <w:vAlign w:val="center"/>
          </w:tcPr>
          <w:p w14:paraId="7B9C384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23D0880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14:paraId="10A11F0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14:paraId="468C4E6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AA6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E245B69">
            <w:pPr>
              <w:pStyle w:val="59"/>
              <w:numPr>
                <w:ilvl w:val="0"/>
                <w:numId w:val="9"/>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7064037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400A1F1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80712E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1A81460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8" w:type="dxa"/>
            <w:tcBorders>
              <w:top w:val="single" w:color="auto" w:sz="4" w:space="0"/>
              <w:left w:val="single" w:color="auto" w:sz="4" w:space="0"/>
              <w:bottom w:val="single" w:color="auto" w:sz="4" w:space="0"/>
              <w:right w:val="single" w:color="auto" w:sz="4" w:space="0"/>
            </w:tcBorders>
            <w:vAlign w:val="center"/>
          </w:tcPr>
          <w:p w14:paraId="36899C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0AE19DD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14:paraId="6505606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14:paraId="7E7665B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76D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1DEE8F3">
            <w:pPr>
              <w:pStyle w:val="59"/>
              <w:numPr>
                <w:ilvl w:val="0"/>
                <w:numId w:val="9"/>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597E8C3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972" w:type="dxa"/>
            <w:tcBorders>
              <w:top w:val="single" w:color="auto" w:sz="4" w:space="0"/>
              <w:left w:val="single" w:color="auto" w:sz="4" w:space="0"/>
              <w:bottom w:val="single" w:color="auto" w:sz="4" w:space="0"/>
              <w:right w:val="single" w:color="auto" w:sz="4" w:space="0"/>
            </w:tcBorders>
            <w:vAlign w:val="center"/>
          </w:tcPr>
          <w:p w14:paraId="54660EE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3026C6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09ACBD9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48" w:type="dxa"/>
            <w:tcBorders>
              <w:top w:val="single" w:color="auto" w:sz="4" w:space="0"/>
              <w:left w:val="single" w:color="auto" w:sz="4" w:space="0"/>
              <w:bottom w:val="single" w:color="auto" w:sz="4" w:space="0"/>
              <w:right w:val="single" w:color="auto" w:sz="4" w:space="0"/>
            </w:tcBorders>
            <w:vAlign w:val="center"/>
          </w:tcPr>
          <w:p w14:paraId="17CEF01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5F46C4B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14:paraId="4899380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vAlign w:val="center"/>
          </w:tcPr>
          <w:p w14:paraId="0296767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3DE269B9">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247B9226">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F6C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A3AB2F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54F2A52">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3A138E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制造商</w:t>
            </w:r>
          </w:p>
          <w:p w14:paraId="0743AE4B">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787F4A4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0360265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5792BD1">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4F7972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w:t>
            </w:r>
          </w:p>
          <w:p w14:paraId="51CE632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75E1E182">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总价</w:t>
            </w:r>
          </w:p>
          <w:p w14:paraId="1E6DFE0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r>
      <w:tr w14:paraId="0276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6814CB8">
            <w:pPr>
              <w:pStyle w:val="59"/>
              <w:numPr>
                <w:ilvl w:val="0"/>
                <w:numId w:val="10"/>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vAlign w:val="center"/>
          </w:tcPr>
          <w:p w14:paraId="19B142F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2" w:type="dxa"/>
            <w:tcBorders>
              <w:top w:val="single" w:color="auto" w:sz="4" w:space="0"/>
              <w:left w:val="single" w:color="auto" w:sz="4" w:space="0"/>
              <w:bottom w:val="single" w:color="auto" w:sz="4" w:space="0"/>
              <w:right w:val="single" w:color="auto" w:sz="4" w:space="0"/>
            </w:tcBorders>
            <w:vAlign w:val="center"/>
          </w:tcPr>
          <w:p w14:paraId="27CF454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09F3D6E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29783DA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0CD7F24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14:paraId="78F0B95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14" w:type="dxa"/>
            <w:tcBorders>
              <w:top w:val="single" w:color="auto" w:sz="4" w:space="0"/>
              <w:left w:val="single" w:color="auto" w:sz="4" w:space="0"/>
              <w:bottom w:val="single" w:color="auto" w:sz="4" w:space="0"/>
              <w:right w:val="single" w:color="auto" w:sz="4" w:space="0"/>
            </w:tcBorders>
            <w:vAlign w:val="center"/>
          </w:tcPr>
          <w:p w14:paraId="276FBDD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93E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FB85AA6">
            <w:pPr>
              <w:pStyle w:val="59"/>
              <w:numPr>
                <w:ilvl w:val="0"/>
                <w:numId w:val="10"/>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vAlign w:val="center"/>
          </w:tcPr>
          <w:p w14:paraId="40D594F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2" w:type="dxa"/>
            <w:tcBorders>
              <w:top w:val="single" w:color="auto" w:sz="4" w:space="0"/>
              <w:left w:val="single" w:color="auto" w:sz="4" w:space="0"/>
              <w:bottom w:val="single" w:color="auto" w:sz="4" w:space="0"/>
              <w:right w:val="single" w:color="auto" w:sz="4" w:space="0"/>
            </w:tcBorders>
            <w:vAlign w:val="center"/>
          </w:tcPr>
          <w:p w14:paraId="07E128D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148CAF9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5D2EB63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22F4E19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14:paraId="33E4D20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14" w:type="dxa"/>
            <w:tcBorders>
              <w:top w:val="single" w:color="auto" w:sz="4" w:space="0"/>
              <w:left w:val="single" w:color="auto" w:sz="4" w:space="0"/>
              <w:bottom w:val="single" w:color="auto" w:sz="4" w:space="0"/>
              <w:right w:val="single" w:color="auto" w:sz="4" w:space="0"/>
            </w:tcBorders>
            <w:vAlign w:val="center"/>
          </w:tcPr>
          <w:p w14:paraId="796945A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866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33A19FC">
            <w:pPr>
              <w:pStyle w:val="59"/>
              <w:numPr>
                <w:ilvl w:val="0"/>
                <w:numId w:val="10"/>
              </w:num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vAlign w:val="center"/>
          </w:tcPr>
          <w:p w14:paraId="5E9DD24B">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272" w:type="dxa"/>
            <w:tcBorders>
              <w:top w:val="single" w:color="auto" w:sz="4" w:space="0"/>
              <w:left w:val="single" w:color="auto" w:sz="4" w:space="0"/>
              <w:bottom w:val="single" w:color="auto" w:sz="4" w:space="0"/>
              <w:right w:val="single" w:color="auto" w:sz="4" w:space="0"/>
            </w:tcBorders>
            <w:vAlign w:val="center"/>
          </w:tcPr>
          <w:p w14:paraId="3F4C9B6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30CE820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14:paraId="6886A33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14:paraId="7DE0C5E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14:paraId="57D52BD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14" w:type="dxa"/>
            <w:tcBorders>
              <w:top w:val="single" w:color="auto" w:sz="4" w:space="0"/>
              <w:left w:val="single" w:color="auto" w:sz="4" w:space="0"/>
              <w:bottom w:val="single" w:color="auto" w:sz="4" w:space="0"/>
              <w:right w:val="single" w:color="auto" w:sz="4" w:space="0"/>
            </w:tcBorders>
            <w:vAlign w:val="center"/>
          </w:tcPr>
          <w:p w14:paraId="48814F7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0A43A26C">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272A06B3">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特别说明：投标人应将所投产品中节能、环保产品分别列入上表中，并按本招标文件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第二章</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投标人须知”</w:t>
      </w:r>
      <w:r>
        <w:rPr>
          <w:rFonts w:hint="eastAsia" w:ascii="仿宋" w:hAnsi="仿宋" w:eastAsia="仿宋" w:cs="仿宋"/>
          <w:b/>
          <w:color w:val="000000" w:themeColor="text1"/>
          <w:sz w:val="24"/>
          <w:szCs w:val="24"/>
          <w:highlight w:val="none"/>
          <w14:textFill>
            <w14:solidFill>
              <w14:schemeClr w14:val="tx1"/>
            </w14:solidFill>
          </w14:textFill>
        </w:rPr>
        <w:t>提供相关证明材料，未填写本表或未提供有效认证证书的不给予价格扣除。</w:t>
      </w:r>
    </w:p>
    <w:p w14:paraId="57AE38A1">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5F031F86">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26E4271D">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0A2B8B62">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3475ECBB">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499" w:name="_Toc163492939"/>
      <w:bookmarkStart w:id="500" w:name="_Toc8969"/>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（二）中小企业声明函</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w:t>
      </w:r>
      <w:r>
        <w:rPr>
          <w:rFonts w:hint="eastAsia" w:ascii="仿宋" w:hAnsi="仿宋" w:eastAsia="仿宋" w:cs="仿宋"/>
          <w:b w:val="0"/>
          <w:bCs w:val="0"/>
          <w:i w:val="0"/>
          <w:iCs w:val="0"/>
          <w:color w:val="000000" w:themeColor="text1"/>
          <w:kern w:val="2"/>
          <w:sz w:val="24"/>
          <w:szCs w:val="24"/>
          <w:highlight w:val="none"/>
          <w:lang w:val="en-US" w:eastAsia="zh-CN" w:bidi="ar-SA"/>
          <w14:textFill>
            <w14:solidFill>
              <w14:schemeClr w14:val="tx1"/>
            </w14:solidFill>
          </w14:textFill>
        </w:rPr>
        <w:t>如专门面向中小企业采购的项目，此函可放于此处，否则，应后置于“其他资格证明文件”</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w:t>
      </w:r>
      <w:bookmarkEnd w:id="499"/>
      <w:bookmarkEnd w:id="500"/>
    </w:p>
    <w:p w14:paraId="11DD3B31">
      <w:pPr>
        <w:pStyle w:val="4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p>
    <w:p w14:paraId="389B11DF">
      <w:pPr>
        <w:pStyle w:val="49"/>
        <w:numPr>
          <w:ilvl w:val="0"/>
          <w:numId w:val="0"/>
        </w:numPr>
        <w:ind w:left="420" w:leftChars="0" w:hanging="420" w:firstLineChars="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中小企业声明函</w:t>
      </w:r>
    </w:p>
    <w:p w14:paraId="04AFD4D7">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（单位名称）</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的</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pacing w:val="6"/>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8F7DDB8">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（标的名称） </w:t>
      </w:r>
      <w:r>
        <w:rPr>
          <w:rFonts w:hint="eastAsia" w:ascii="仿宋" w:hAnsi="仿宋" w:eastAsia="仿宋" w:cs="仿宋"/>
          <w:color w:val="000000" w:themeColor="text1"/>
          <w:spacing w:val="6"/>
          <w:sz w:val="24"/>
          <w:szCs w:val="24"/>
          <w:highlight w:val="none"/>
          <w14:textFill>
            <w14:solidFill>
              <w14:schemeClr w14:val="tx1"/>
            </w14:solidFill>
          </w14:textFill>
        </w:rPr>
        <w:t>，属于</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（采购文件中明确的所属行业）</w:t>
      </w:r>
      <w:r>
        <w:rPr>
          <w:rFonts w:hint="eastAsia" w:ascii="仿宋" w:hAnsi="仿宋" w:eastAsia="仿宋" w:cs="仿宋"/>
          <w:color w:val="000000" w:themeColor="text1"/>
          <w:spacing w:val="6"/>
          <w:sz w:val="24"/>
          <w:szCs w:val="24"/>
          <w:highlight w:val="none"/>
          <w14:textFill>
            <w14:solidFill>
              <w14:schemeClr w14:val="tx1"/>
            </w14:solidFill>
          </w14:textFill>
        </w:rPr>
        <w:t>行业 ；制造商为</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 w:val="24"/>
          <w:szCs w:val="24"/>
          <w:highlight w:val="none"/>
          <w14:textFill>
            <w14:solidFill>
              <w14:schemeClr w14:val="tx1"/>
            </w14:solidFill>
          </w14:textFill>
        </w:rPr>
        <w:t>，从业人员</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人，营业收入为</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万元，资产总额为</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万元，属于</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033F0C4B">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（标的名称） </w:t>
      </w:r>
      <w:r>
        <w:rPr>
          <w:rFonts w:hint="eastAsia" w:ascii="仿宋" w:hAnsi="仿宋" w:eastAsia="仿宋" w:cs="仿宋"/>
          <w:color w:val="000000" w:themeColor="text1"/>
          <w:spacing w:val="6"/>
          <w:sz w:val="24"/>
          <w:szCs w:val="24"/>
          <w:highlight w:val="none"/>
          <w14:textFill>
            <w14:solidFill>
              <w14:schemeClr w14:val="tx1"/>
            </w14:solidFill>
          </w14:textFill>
        </w:rPr>
        <w:t>，属于</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（采购文件中明确的所属行业）</w:t>
      </w:r>
      <w:r>
        <w:rPr>
          <w:rFonts w:hint="eastAsia" w:ascii="仿宋" w:hAnsi="仿宋" w:eastAsia="仿宋" w:cs="仿宋"/>
          <w:color w:val="000000" w:themeColor="text1"/>
          <w:spacing w:val="6"/>
          <w:sz w:val="24"/>
          <w:szCs w:val="24"/>
          <w:highlight w:val="none"/>
          <w14:textFill>
            <w14:solidFill>
              <w14:schemeClr w14:val="tx1"/>
            </w14:solidFill>
          </w14:textFill>
        </w:rPr>
        <w:t>行业 ；制造商为</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 w:val="24"/>
          <w:szCs w:val="24"/>
          <w:highlight w:val="none"/>
          <w14:textFill>
            <w14:solidFill>
              <w14:schemeClr w14:val="tx1"/>
            </w14:solidFill>
          </w14:textFill>
        </w:rPr>
        <w:t>，从业人员</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人，营业收入为</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万元，资产总额为</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万元，属于</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4C12B33B">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3477C37">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D586AD8">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本企业对上述声明内容的真实性负责。如有虚假，将依法承担相应责任。</w:t>
      </w:r>
    </w:p>
    <w:p w14:paraId="0633586F">
      <w:pPr>
        <w:ind w:right="1008" w:firstLine="4788" w:firstLineChars="1900"/>
        <w:rPr>
          <w:rFonts w:hint="eastAsia" w:ascii="仿宋" w:hAnsi="仿宋" w:eastAsia="仿宋" w:cs="仿宋"/>
          <w:color w:val="000000" w:themeColor="text1"/>
          <w:spacing w:val="6"/>
          <w:sz w:val="24"/>
          <w:szCs w:val="24"/>
          <w:highlight w:val="none"/>
          <w14:textFill>
            <w14:solidFill>
              <w14:schemeClr w14:val="tx1"/>
            </w14:solidFill>
          </w14:textFill>
        </w:rPr>
      </w:pPr>
    </w:p>
    <w:p w14:paraId="34556896">
      <w:pPr>
        <w:ind w:right="1008" w:firstLine="4284" w:firstLineChars="17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pacing w:val="6"/>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21D76FB">
      <w:pPr>
        <w:ind w:right="1008" w:firstLine="4284" w:firstLineChars="17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日期：</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 xml:space="preserve">   年  月  日</w:t>
      </w:r>
    </w:p>
    <w:p w14:paraId="53F08D68">
      <w:pPr>
        <w:ind w:firstLine="759" w:firstLineChars="300"/>
        <w:rPr>
          <w:rFonts w:hint="eastAsia" w:ascii="仿宋" w:hAnsi="仿宋" w:eastAsia="仿宋" w:cs="仿宋"/>
          <w:b/>
          <w:bCs/>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14:textFill>
            <w14:solidFill>
              <w14:schemeClr w14:val="tx1"/>
            </w14:solidFill>
          </w14:textFill>
        </w:rPr>
        <w:t>说明：1.从业人员、营业收入、资产总额填报上一年度数据，无上一年度数据的新成立企业可不填报。</w:t>
      </w:r>
    </w:p>
    <w:p w14:paraId="15DF0A0C">
      <w:pPr>
        <w:ind w:firstLine="759" w:firstLineChars="3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pacing w:val="6"/>
          <w:sz w:val="24"/>
          <w:szCs w:val="24"/>
          <w:highlight w:val="none"/>
          <w14:textFill>
            <w14:solidFill>
              <w14:schemeClr w14:val="tx1"/>
            </w14:solidFill>
          </w14:textFill>
        </w:rPr>
        <w:t>、中标的供应商的《中小微企业声明函》将作为中标结果公告一并公示</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00887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59BA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DDCDD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D3AF716">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14:paraId="0AA21A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附件1：</w:t>
      </w:r>
    </w:p>
    <w:p w14:paraId="7B94E75D">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关于印发中小企业划型标准规定的通知</w:t>
      </w:r>
    </w:p>
    <w:p w14:paraId="46B20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仿宋" w:hAnsi="仿宋" w:eastAsia="仿宋" w:cs="仿宋"/>
          <w:b w:val="0"/>
          <w:color w:val="000000" w:themeColor="text1"/>
          <w:sz w:val="24"/>
          <w:szCs w:val="24"/>
          <w:highlight w:val="none"/>
          <w14:textFill>
            <w14:solidFill>
              <w14:schemeClr w14:val="tx1"/>
            </w14:solidFill>
          </w14:textFill>
        </w:rPr>
      </w:pPr>
      <w:r>
        <w:rPr>
          <w:rStyle w:val="38"/>
          <w:rFonts w:hint="eastAsia" w:ascii="仿宋" w:hAnsi="仿宋" w:eastAsia="仿宋" w:cs="仿宋"/>
          <w:b w:val="0"/>
          <w:color w:val="000000" w:themeColor="text1"/>
          <w:sz w:val="24"/>
          <w:szCs w:val="24"/>
          <w:highlight w:val="none"/>
          <w14:textFill>
            <w14:solidFill>
              <w14:schemeClr w14:val="tx1"/>
            </w14:solidFill>
          </w14:textFill>
        </w:rPr>
        <w:t>工信部联企业〔2011〕300号</w:t>
      </w:r>
    </w:p>
    <w:p w14:paraId="320D8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仿宋" w:hAnsi="仿宋" w:eastAsia="仿宋" w:cs="仿宋"/>
          <w:b w:val="0"/>
          <w:color w:val="000000" w:themeColor="text1"/>
          <w:sz w:val="24"/>
          <w:szCs w:val="24"/>
          <w:highlight w:val="none"/>
          <w14:textFill>
            <w14:solidFill>
              <w14:schemeClr w14:val="tx1"/>
            </w14:solidFill>
          </w14:textFill>
        </w:rPr>
      </w:pPr>
    </w:p>
    <w:p w14:paraId="19F794EB">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color w:val="000000" w:themeColor="text1"/>
          <w:sz w:val="24"/>
          <w:szCs w:val="24"/>
          <w:highlight w:val="none"/>
          <w14:textFill>
            <w14:solidFill>
              <w14:schemeClr w14:val="tx1"/>
            </w14:solidFill>
          </w14:textFill>
        </w:rPr>
      </w:pPr>
      <w:r>
        <w:rPr>
          <w:rStyle w:val="38"/>
          <w:rFonts w:hint="eastAsia" w:ascii="仿宋" w:hAnsi="仿宋" w:eastAsia="仿宋" w:cs="仿宋"/>
          <w:b w:val="0"/>
          <w:color w:val="000000" w:themeColor="text1"/>
          <w:sz w:val="24"/>
          <w:szCs w:val="24"/>
          <w:highlight w:val="none"/>
          <w14:textFill>
            <w14:solidFill>
              <w14:schemeClr w14:val="tx1"/>
            </w14:solidFill>
          </w14:textFill>
        </w:rPr>
        <w:t>各省、自治区、直辖市人民政府，国务院各部委、各直属机构及有关单位：</w:t>
      </w:r>
    </w:p>
    <w:p w14:paraId="463C3A1F">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1BBFBC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工业和信息化部　国家统计局</w:t>
      </w:r>
    </w:p>
    <w:p w14:paraId="312710F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国家发展和改革委员会　财政部</w:t>
      </w:r>
    </w:p>
    <w:p w14:paraId="18E0230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二○一一年六月十八日</w:t>
      </w:r>
    </w:p>
    <w:p w14:paraId="3A103D85">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xml:space="preserve"> </w:t>
      </w:r>
    </w:p>
    <w:p w14:paraId="76049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仿宋" w:hAnsi="仿宋" w:eastAsia="仿宋" w:cs="仿宋"/>
          <w:b/>
          <w:bCs w:val="0"/>
          <w:color w:val="000000" w:themeColor="text1"/>
          <w:sz w:val="24"/>
          <w:szCs w:val="24"/>
          <w:highlight w:val="none"/>
          <w14:textFill>
            <w14:solidFill>
              <w14:schemeClr w14:val="tx1"/>
            </w14:solidFill>
          </w14:textFill>
        </w:rPr>
      </w:pPr>
      <w:r>
        <w:rPr>
          <w:rStyle w:val="38"/>
          <w:rFonts w:hint="eastAsia" w:ascii="仿宋" w:hAnsi="仿宋" w:eastAsia="仿宋" w:cs="仿宋"/>
          <w:b/>
          <w:bCs w:val="0"/>
          <w:color w:val="000000" w:themeColor="text1"/>
          <w:sz w:val="24"/>
          <w:szCs w:val="24"/>
          <w:highlight w:val="none"/>
          <w14:textFill>
            <w14:solidFill>
              <w14:schemeClr w14:val="tx1"/>
            </w14:solidFill>
          </w14:textFill>
        </w:rPr>
        <w:t>中小企业划型标准规定</w:t>
      </w:r>
    </w:p>
    <w:p w14:paraId="6D2D291F">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一、根据《中华人民共和国中小企业促进法》和《国务院关于进一步促进中小企业发展的若干意见》(国发〔2009〕36号)，制定本规定。</w:t>
      </w:r>
    </w:p>
    <w:p w14:paraId="2534854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二、中小企业划分为中型、小型、微型三种类型，具体标准根据企业从业人员、营业收入、资产总额等指标，结合行业特点制定。</w:t>
      </w:r>
    </w:p>
    <w:p w14:paraId="4B4B33C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EE3FE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四、各行业划型标准为：</w:t>
      </w:r>
    </w:p>
    <w:p w14:paraId="0FB7ABE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38E9E100">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2B9A3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D86EC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3EBC85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B0033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A1174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C10A3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5FE7A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6E668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5DB98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B32D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08A393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1378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A22EE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539BD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　　</w:t>
      </w:r>
    </w:p>
    <w:p w14:paraId="484172B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五、企业类型的划分以统计部门的统计数据为依据。</w:t>
      </w:r>
    </w:p>
    <w:p w14:paraId="616021A3">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12007E9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2FDA51D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八、本规定由工业和信息化部、国家统计局会同有关部门根据《国民经济行业分类》修订情况和企业发展变化情况适时修订。</w:t>
      </w:r>
    </w:p>
    <w:p w14:paraId="6838F8F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九、本规定由工业和信息化部、国家统计局会同有关部门负责解释。</w:t>
      </w:r>
    </w:p>
    <w:p w14:paraId="4D5688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十、本规定自发布之日起执行，原国家经贸委、原国家计委、财政部和国家统计局2003年颁布的《中小企业标准暂行规定》同时废止。</w:t>
      </w:r>
    </w:p>
    <w:p w14:paraId="07945BE3">
      <w:pPr>
        <w:rPr>
          <w:rFonts w:hint="eastAsia" w:ascii="仿宋" w:hAnsi="仿宋" w:eastAsia="仿宋" w:cs="仿宋"/>
          <w:color w:val="000000" w:themeColor="text1"/>
          <w:spacing w:val="6"/>
          <w:sz w:val="24"/>
          <w:szCs w:val="24"/>
          <w:highlight w:val="none"/>
          <w14:textFill>
            <w14:solidFill>
              <w14:schemeClr w14:val="tx1"/>
            </w14:solidFill>
          </w14:textFill>
        </w:rPr>
      </w:pPr>
    </w:p>
    <w:p w14:paraId="5036D51F">
      <w:pPr>
        <w:rPr>
          <w:rFonts w:hint="eastAsia" w:ascii="仿宋" w:hAnsi="仿宋" w:eastAsia="仿宋" w:cs="仿宋"/>
          <w:color w:val="000000" w:themeColor="text1"/>
          <w:spacing w:val="6"/>
          <w:sz w:val="24"/>
          <w:szCs w:val="24"/>
          <w:highlight w:val="none"/>
          <w14:textFill>
            <w14:solidFill>
              <w14:schemeClr w14:val="tx1"/>
            </w14:solidFill>
          </w14:textFill>
        </w:rPr>
      </w:pPr>
    </w:p>
    <w:p w14:paraId="749C8DF4">
      <w:pPr>
        <w:rPr>
          <w:rFonts w:hint="eastAsia" w:ascii="仿宋" w:hAnsi="仿宋" w:eastAsia="仿宋" w:cs="仿宋"/>
          <w:color w:val="000000" w:themeColor="text1"/>
          <w:spacing w:val="6"/>
          <w:sz w:val="24"/>
          <w:szCs w:val="24"/>
          <w:highlight w:val="none"/>
          <w14:textFill>
            <w14:solidFill>
              <w14:schemeClr w14:val="tx1"/>
            </w14:solidFill>
          </w14:textFill>
        </w:rPr>
      </w:pPr>
    </w:p>
    <w:p w14:paraId="2B660C83">
      <w:pPr>
        <w:rPr>
          <w:rFonts w:hint="eastAsia" w:ascii="仿宋" w:hAnsi="仿宋" w:eastAsia="仿宋" w:cs="仿宋"/>
          <w:color w:val="000000" w:themeColor="text1"/>
          <w:spacing w:val="6"/>
          <w:sz w:val="24"/>
          <w:szCs w:val="24"/>
          <w:highlight w:val="none"/>
          <w14:textFill>
            <w14:solidFill>
              <w14:schemeClr w14:val="tx1"/>
            </w14:solidFill>
          </w14:textFill>
        </w:rPr>
      </w:pPr>
    </w:p>
    <w:p w14:paraId="3CE10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附件2：</w:t>
      </w:r>
    </w:p>
    <w:p w14:paraId="30B45963">
      <w:pPr>
        <w:rPr>
          <w:rFonts w:hint="eastAsia" w:ascii="仿宋" w:hAnsi="仿宋" w:eastAsia="仿宋" w:cs="仿宋"/>
          <w:color w:val="000000" w:themeColor="text1"/>
          <w:spacing w:val="6"/>
          <w:sz w:val="24"/>
          <w:szCs w:val="24"/>
          <w:highlight w:val="none"/>
          <w14:textFill>
            <w14:solidFill>
              <w14:schemeClr w14:val="tx1"/>
            </w14:solidFill>
          </w14:textFill>
        </w:rPr>
      </w:pPr>
    </w:p>
    <w:p w14:paraId="1260F4AB">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关于印发《金融业企业划型标准规定》的通知</w:t>
      </w:r>
    </w:p>
    <w:p w14:paraId="1DD6AAE3">
      <w:pPr>
        <w:jc w:val="center"/>
        <w:rPr>
          <w:rStyle w:val="38"/>
          <w:rFonts w:hint="eastAsia" w:ascii="仿宋" w:hAnsi="仿宋" w:eastAsia="仿宋" w:cs="仿宋"/>
          <w:b w:val="0"/>
          <w:color w:val="000000" w:themeColor="text1"/>
          <w:sz w:val="24"/>
          <w:szCs w:val="24"/>
          <w:highlight w:val="none"/>
          <w14:textFill>
            <w14:solidFill>
              <w14:schemeClr w14:val="tx1"/>
            </w14:solidFill>
          </w14:textFill>
        </w:rPr>
      </w:pPr>
      <w:r>
        <w:rPr>
          <w:rStyle w:val="38"/>
          <w:rFonts w:hint="eastAsia" w:ascii="仿宋" w:hAnsi="仿宋" w:eastAsia="仿宋" w:cs="仿宋"/>
          <w:b w:val="0"/>
          <w:color w:val="000000" w:themeColor="text1"/>
          <w:sz w:val="24"/>
          <w:szCs w:val="24"/>
          <w:highlight w:val="none"/>
          <w14:textFill>
            <w14:solidFill>
              <w14:schemeClr w14:val="tx1"/>
            </w14:solidFill>
          </w14:textFill>
        </w:rPr>
        <w:t>银发〔2015〕309号</w:t>
      </w:r>
    </w:p>
    <w:p w14:paraId="3D49EF2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686E4D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请人民银行上海总部，各分行、营业管理部、省会（首府）城市中心支行、副省级城市中心支行会同所在省（区、市）银监局、证监局、保监局、统计局将本通知联合转发至辖内相关机构。</w:t>
      </w:r>
    </w:p>
    <w:p w14:paraId="256CFEDD">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p>
    <w:p w14:paraId="1655D3DD">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附件：金融业企业划型标准规定</w:t>
      </w:r>
    </w:p>
    <w:p w14:paraId="2830F3DB">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w:t>
      </w:r>
      <w:r>
        <w:rPr>
          <w:rStyle w:val="38"/>
          <w:rFonts w:hint="eastAsia" w:ascii="仿宋" w:hAnsi="仿宋" w:eastAsia="仿宋" w:cs="仿宋"/>
          <w:b w:val="0"/>
          <w:bCs w:val="0"/>
          <w:color w:val="000000" w:themeColor="text1"/>
          <w:sz w:val="24"/>
          <w:szCs w:val="24"/>
          <w:highlight w:val="none"/>
          <w14:textFill>
            <w14:solidFill>
              <w14:schemeClr w14:val="tx1"/>
            </w14:solidFill>
          </w14:textFill>
        </w:rPr>
        <w:t>       </w:t>
      </w:r>
      <w:r>
        <w:rPr>
          <w:rStyle w:val="38"/>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中国人民银行</w:t>
      </w:r>
    </w:p>
    <w:p w14:paraId="47927A8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中国银行业监督管理委员会</w:t>
      </w:r>
    </w:p>
    <w:p w14:paraId="38657F5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中国证券监督管理委员会</w:t>
      </w:r>
    </w:p>
    <w:p w14:paraId="41B2C93B">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中国保险监督管理委员会</w:t>
      </w:r>
    </w:p>
    <w:p w14:paraId="7A66D321">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中华人民共和国国家统计局</w:t>
      </w:r>
    </w:p>
    <w:p w14:paraId="1AB240F1">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                                                     </w:t>
      </w:r>
      <w:r>
        <w:rPr>
          <w:rStyle w:val="38"/>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r>
        <w:rPr>
          <w:rStyle w:val="38"/>
          <w:rFonts w:hint="eastAsia" w:ascii="仿宋" w:hAnsi="仿宋" w:eastAsia="仿宋" w:cs="仿宋"/>
          <w:b w:val="0"/>
          <w:bCs w:val="0"/>
          <w:color w:val="000000" w:themeColor="text1"/>
          <w:sz w:val="24"/>
          <w:szCs w:val="24"/>
          <w:highlight w:val="none"/>
          <w14:textFill>
            <w14:solidFill>
              <w14:schemeClr w14:val="tx1"/>
            </w14:solidFill>
          </w14:textFill>
        </w:rPr>
        <w:t> 2015年9月28日</w:t>
      </w:r>
    </w:p>
    <w:p w14:paraId="5C18979D">
      <w:pPr>
        <w:rPr>
          <w:rFonts w:hint="eastAsia" w:ascii="仿宋" w:hAnsi="仿宋" w:eastAsia="仿宋" w:cs="仿宋"/>
          <w:color w:val="000000" w:themeColor="text1"/>
          <w:spacing w:val="6"/>
          <w:sz w:val="24"/>
          <w:szCs w:val="24"/>
          <w:highlight w:val="none"/>
          <w14:textFill>
            <w14:solidFill>
              <w14:schemeClr w14:val="tx1"/>
            </w14:solidFill>
          </w14:textFill>
        </w:rPr>
      </w:pPr>
    </w:p>
    <w:p w14:paraId="7CC5263B">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02643539">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2BF96501">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569CA415">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712BBA6B">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761B7B74">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2CC9F8EB">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0104DA1D">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18684AC0">
      <w:pP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附件</w:t>
      </w:r>
      <w:r>
        <w:rPr>
          <w:rFonts w:hint="eastAsia" w:ascii="仿宋" w:hAnsi="仿宋" w:eastAsia="仿宋" w:cs="仿宋"/>
          <w:color w:val="000000" w:themeColor="text1"/>
          <w:spacing w:val="6"/>
          <w:sz w:val="24"/>
          <w:szCs w:val="24"/>
          <w:highlight w:val="none"/>
          <w14:textFill>
            <w14:solidFill>
              <w14:schemeClr w14:val="tx1"/>
            </w14:solidFill>
          </w14:textFill>
        </w:rPr>
        <w:t>              </w:t>
      </w:r>
    </w:p>
    <w:p w14:paraId="56E26AF3">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金融业企业划型标准规定</w:t>
      </w:r>
    </w:p>
    <w:p w14:paraId="4640090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一、根据《中华人民共和国中小企业促进法》、《国务院关于进一步促进中小企业发展的若干意见》（国发〔2009〕36号）和《国务院办公厅关于金融支持小微企业发展的实施意见》（国办发〔2013〕87号），制定本规定。</w:t>
      </w:r>
    </w:p>
    <w:p w14:paraId="2E7A7FA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二、适用范围。本规定适用于从事《国民经济行业分类》（GB/T4754-2011）中J门类（金融业）活动的企业。</w:t>
      </w:r>
    </w:p>
    <w:p w14:paraId="61E137A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4642F1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四、划型标准指标。采用一个完整会计年度中四个季度末法人并表口径的资产总额（信托公司为信托资产）平均值作为划型指标，该指标以监管部门数据为准。</w:t>
      </w:r>
    </w:p>
    <w:p w14:paraId="2FA754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五、指标标准值。依据指标标准值，将各类金融业企业划分为大、中、小、微四个规模类型，中型企业标准上限及以上的为大型企业。</w:t>
      </w:r>
    </w:p>
    <w:p w14:paraId="6E9FB17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（一）银行业存款类金融机构。资产总额40000亿元以下的为中小微型企业。其中，资产总额5000亿元及以上的为中型企业，资产总额50亿元及以上的为小型企业，资产总额50亿元以下的为微型企业。</w:t>
      </w:r>
    </w:p>
    <w:p w14:paraId="6D5E28D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（二）银行业非存款类金融机构。资产总额1000亿元以下的为中小微企业。其中，资产总额200亿元及以上的为中型企业，资产总额50亿元及以上的为小型企业，资产总额50亿元以下的为微型企业。</w:t>
      </w:r>
    </w:p>
    <w:p w14:paraId="0115CE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（三）贷款公司、小额贷款公司及典当行。资产总额1000亿元以下的为中小微型企业。其中，资产总额200亿元及以上的为中型企业，资产总额50亿元及以上的为小型企业，资产总额50亿元以下的为微型企业。</w:t>
      </w:r>
    </w:p>
    <w:p w14:paraId="47AEBC6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（四）证券业金融机构。资产总额1000亿元以下的为中小微型企业。其中，资产总额100亿元及以上的为中型企业，资产总额10亿元及以上的为小型企业，资产总额10亿元以下的为微型企业。</w:t>
      </w:r>
    </w:p>
    <w:p w14:paraId="46561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（五）保险业金融机构。资产总额5000亿元以下的为中小微型企业。其中，资产总额400亿元及以上的为中型企业，资产总额20亿元及以上的为小型企业，资产总额20亿元以下的为微型企业。</w:t>
      </w:r>
    </w:p>
    <w:p w14:paraId="7EE7E79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（六）信托公司。信托资产1000亿元以下的为中小微型企业。其中，信托资产400亿元及以上的为中型企业，信托资产20亿元及以上的为小型企业，信托资产20亿元以下的为微型企业。</w:t>
      </w:r>
    </w:p>
    <w:p w14:paraId="04CF5F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（七）金融控股公司。资产总额40000亿元以下的为中小微企业。其中，资产总额5000亿元及以上的为中型企业，资产总额50亿元及以上的为小型企业，资产总额50亿元以下的为微型企业。、</w:t>
      </w:r>
    </w:p>
    <w:p w14:paraId="5A24661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018BC4C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Style w:val="38"/>
          <w:rFonts w:hint="eastAsia" w:ascii="仿宋" w:hAnsi="仿宋" w:eastAsia="仿宋" w:cs="仿宋"/>
          <w:b w:val="0"/>
          <w:bCs w:val="0"/>
          <w:color w:val="000000" w:themeColor="text1"/>
          <w:sz w:val="24"/>
          <w:szCs w:val="24"/>
          <w:highlight w:val="none"/>
          <w14:textFill>
            <w14:solidFill>
              <w14:schemeClr w14:val="tx1"/>
            </w14:solidFill>
          </w14:textFill>
        </w:rPr>
        <w:t>方便政府部门和社会各界查询使用。</w:t>
      </w:r>
    </w:p>
    <w:p w14:paraId="726FA43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七、标准值的评估和调整。金融业企业划型标准工作组每五年对划型标准值受经济发展与通货膨胀等因素的影响程度进行评估和调整。</w:t>
      </w:r>
    </w:p>
    <w:p w14:paraId="6BAB7EF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八、本规定的中型金融业企业标准上限即为大型金融业企业下限。国务院有关部门据此进行相关数据的统计分析，不得制定与本规定不一致的金融业企业划型标准</w:t>
      </w:r>
      <w:r>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28C157C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九、融资担保公司参照本规定中“除贷款公司、小额贷款公司、典当行以外的其他金融机构”标准划型</w:t>
      </w:r>
      <w:r>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20EBAC8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十、本规定由人民银行会同银监会、证监会、保监会和统计局负责解释。</w:t>
      </w:r>
    </w:p>
    <w:p w14:paraId="4FE26FD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十一、本规定自发布之日起实施</w:t>
      </w:r>
      <w:r>
        <w:rPr>
          <w:rStyle w:val="38"/>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2962638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p>
    <w:p w14:paraId="7F8F09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仿宋" w:hAnsi="仿宋" w:eastAsia="仿宋" w:cs="仿宋"/>
          <w:b w:val="0"/>
          <w:bCs w:val="0"/>
          <w:color w:val="000000" w:themeColor="text1"/>
          <w:sz w:val="24"/>
          <w:szCs w:val="24"/>
          <w:highlight w:val="none"/>
          <w14:textFill>
            <w14:solidFill>
              <w14:schemeClr w14:val="tx1"/>
            </w14:solidFill>
          </w14:textFill>
        </w:rPr>
      </w:pPr>
      <w:r>
        <w:rPr>
          <w:rStyle w:val="38"/>
          <w:rFonts w:hint="eastAsia" w:ascii="仿宋" w:hAnsi="仿宋" w:eastAsia="仿宋" w:cs="仿宋"/>
          <w:b w:val="0"/>
          <w:bCs w:val="0"/>
          <w:color w:val="000000" w:themeColor="text1"/>
          <w:sz w:val="24"/>
          <w:szCs w:val="24"/>
          <w:highlight w:val="none"/>
          <w14:textFill>
            <w14:solidFill>
              <w14:schemeClr w14:val="tx1"/>
            </w14:solidFill>
          </w14:textFill>
        </w:rPr>
        <w:t>附:金融业企业划型标准</w:t>
      </w:r>
    </w:p>
    <w:p w14:paraId="7FD2525B">
      <w:pPr>
        <w:rPr>
          <w:rFonts w:hint="eastAsia" w:ascii="仿宋" w:hAnsi="仿宋" w:eastAsia="仿宋" w:cs="仿宋"/>
          <w:color w:val="000000" w:themeColor="text1"/>
          <w:spacing w:val="6"/>
          <w:sz w:val="24"/>
          <w:szCs w:val="24"/>
          <w:highlight w:val="none"/>
          <w14:textFill>
            <w14:solidFill>
              <w14:schemeClr w14:val="tx1"/>
            </w14:solidFill>
          </w14:textFill>
        </w:rPr>
      </w:pPr>
    </w:p>
    <w:p w14:paraId="6002CEE6">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4B149817">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7C0AF6C9">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5C6FE49E">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333D6E52">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附</w:t>
      </w:r>
    </w:p>
    <w:p w14:paraId="5E81DD22">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F3C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784CFC4">
            <w:pPr>
              <w:spacing w:line="240" w:lineRule="auto"/>
              <w:jc w:val="cente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t>行业</w:t>
            </w:r>
          </w:p>
        </w:tc>
        <w:tc>
          <w:tcPr>
            <w:tcW w:w="1817" w:type="dxa"/>
            <w:vAlign w:val="center"/>
          </w:tcPr>
          <w:p w14:paraId="330B744C">
            <w:pPr>
              <w:spacing w:line="240" w:lineRule="auto"/>
              <w:jc w:val="cente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t>类别</w:t>
            </w:r>
          </w:p>
        </w:tc>
        <w:tc>
          <w:tcPr>
            <w:tcW w:w="1143" w:type="dxa"/>
            <w:vAlign w:val="center"/>
          </w:tcPr>
          <w:p w14:paraId="7C745FFD">
            <w:pPr>
              <w:spacing w:line="240" w:lineRule="auto"/>
              <w:jc w:val="cente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t>类型</w:t>
            </w:r>
          </w:p>
        </w:tc>
        <w:tc>
          <w:tcPr>
            <w:tcW w:w="3251" w:type="dxa"/>
            <w:vAlign w:val="center"/>
          </w:tcPr>
          <w:p w14:paraId="6547E94B">
            <w:pPr>
              <w:spacing w:line="240" w:lineRule="auto"/>
              <w:jc w:val="cente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pacing w:val="6"/>
                <w:sz w:val="24"/>
                <w:szCs w:val="24"/>
                <w:highlight w:val="none"/>
                <w:vertAlign w:val="baseline"/>
                <w:lang w:val="en-US" w:eastAsia="zh-CN"/>
                <w14:textFill>
                  <w14:solidFill>
                    <w14:schemeClr w14:val="tx1"/>
                  </w14:solidFill>
                </w14:textFill>
              </w:rPr>
              <w:t>资产总额</w:t>
            </w:r>
          </w:p>
        </w:tc>
      </w:tr>
      <w:tr w14:paraId="3E53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A4512CD">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货币金融服务</w:t>
            </w:r>
          </w:p>
        </w:tc>
        <w:tc>
          <w:tcPr>
            <w:tcW w:w="1168" w:type="dxa"/>
            <w:vMerge w:val="restart"/>
            <w:vAlign w:val="center"/>
          </w:tcPr>
          <w:p w14:paraId="5F0DA776">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货币银行服务</w:t>
            </w:r>
          </w:p>
        </w:tc>
        <w:tc>
          <w:tcPr>
            <w:tcW w:w="1817" w:type="dxa"/>
            <w:vMerge w:val="restart"/>
            <w:vAlign w:val="center"/>
          </w:tcPr>
          <w:p w14:paraId="181D07FB">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银行业存款类金融机构</w:t>
            </w:r>
          </w:p>
        </w:tc>
        <w:tc>
          <w:tcPr>
            <w:tcW w:w="1143" w:type="dxa"/>
            <w:vAlign w:val="center"/>
          </w:tcPr>
          <w:p w14:paraId="4525A04A">
            <w:pPr>
              <w:spacing w:line="240" w:lineRule="auto"/>
              <w:jc w:val="cente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vAlign w:val="center"/>
          </w:tcPr>
          <w:p w14:paraId="3F1A2956">
            <w:pPr>
              <w:spacing w:line="240" w:lineRule="auto"/>
              <w:jc w:val="cente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5000亿元（含）至40000亿元</w:t>
            </w:r>
          </w:p>
        </w:tc>
      </w:tr>
      <w:tr w14:paraId="174E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323B18">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3630E0F2">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6CF411C1">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vAlign w:val="center"/>
          </w:tcPr>
          <w:p w14:paraId="08466431">
            <w:pPr>
              <w:spacing w:line="240" w:lineRule="auto"/>
              <w:jc w:val="cente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34ECA210">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50亿元（含）至5000亿元</w:t>
            </w:r>
          </w:p>
        </w:tc>
      </w:tr>
      <w:tr w14:paraId="1D5D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A861782">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72CDF5C5">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6C808F2E">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vAlign w:val="center"/>
          </w:tcPr>
          <w:p w14:paraId="6B4C92AB">
            <w:pPr>
              <w:spacing w:line="240" w:lineRule="auto"/>
              <w:jc w:val="cente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vAlign w:val="center"/>
          </w:tcPr>
          <w:p w14:paraId="59C00B98">
            <w:pPr>
              <w:spacing w:line="240" w:lineRule="auto"/>
              <w:jc w:val="center"/>
              <w:rPr>
                <w:rFonts w:hint="eastAsia" w:ascii="仿宋" w:hAnsi="仿宋" w:eastAsia="仿宋" w:cs="仿宋"/>
                <w:color w:val="000000" w:themeColor="text1"/>
                <w:spacing w:val="6"/>
                <w:sz w:val="24"/>
                <w:szCs w:val="24"/>
                <w:highlight w:val="none"/>
                <w:vertAlign w:val="baseline"/>
                <w:lang w:val="en-US"/>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50亿元以下</w:t>
            </w:r>
          </w:p>
        </w:tc>
      </w:tr>
      <w:tr w14:paraId="769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AD59078">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restart"/>
            <w:vAlign w:val="center"/>
          </w:tcPr>
          <w:p w14:paraId="3BC42690">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非货币银行服务</w:t>
            </w:r>
          </w:p>
        </w:tc>
        <w:tc>
          <w:tcPr>
            <w:tcW w:w="1817" w:type="dxa"/>
            <w:vMerge w:val="restart"/>
            <w:vAlign w:val="center"/>
          </w:tcPr>
          <w:p w14:paraId="2FD6900E">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银行业非存款类金融机构</w:t>
            </w:r>
          </w:p>
        </w:tc>
        <w:tc>
          <w:tcPr>
            <w:tcW w:w="1143" w:type="dxa"/>
            <w:shd w:val="clear" w:color="auto" w:fill="auto"/>
            <w:vAlign w:val="center"/>
          </w:tcPr>
          <w:p w14:paraId="37B0557A">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7B330A93">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200亿元（含）至1000亿元</w:t>
            </w:r>
          </w:p>
        </w:tc>
      </w:tr>
      <w:tr w14:paraId="56F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8CD2D89">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3495C443">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43824335">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28A2ED97">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5FC4E5B0">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50亿元（含）至200亿元</w:t>
            </w:r>
          </w:p>
        </w:tc>
      </w:tr>
      <w:tr w14:paraId="6C2E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88F0C6">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02654F1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31DA7B61">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2DFCA56B">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vAlign w:val="center"/>
          </w:tcPr>
          <w:p w14:paraId="1BFDEC6F">
            <w:pPr>
              <w:spacing w:line="240" w:lineRule="auto"/>
              <w:jc w:val="center"/>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50亿元以下</w:t>
            </w:r>
          </w:p>
        </w:tc>
      </w:tr>
      <w:tr w14:paraId="7C6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00EEF1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2B5FBB2B">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restart"/>
            <w:vAlign w:val="center"/>
          </w:tcPr>
          <w:p w14:paraId="76B92D0A">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贷款公司、小额贷款公司及典当行</w:t>
            </w:r>
          </w:p>
        </w:tc>
        <w:tc>
          <w:tcPr>
            <w:tcW w:w="1143" w:type="dxa"/>
            <w:shd w:val="clear" w:color="auto" w:fill="auto"/>
            <w:vAlign w:val="center"/>
          </w:tcPr>
          <w:p w14:paraId="0EB18372">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4C27B5B6">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200亿元（含）至1000亿元</w:t>
            </w:r>
          </w:p>
        </w:tc>
      </w:tr>
      <w:tr w14:paraId="58B0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26B4058">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1D074BEF">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13273B93">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47300671">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29EE8DF6">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50亿元（含）至200亿元</w:t>
            </w:r>
          </w:p>
        </w:tc>
      </w:tr>
      <w:tr w14:paraId="249D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F6206C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25AED4A3">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3DA11F6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06E7D73D">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0C825224">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50亿元以下</w:t>
            </w:r>
          </w:p>
        </w:tc>
      </w:tr>
      <w:tr w14:paraId="324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F2C7391">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资本市场服务</w:t>
            </w:r>
          </w:p>
        </w:tc>
        <w:tc>
          <w:tcPr>
            <w:tcW w:w="1817" w:type="dxa"/>
            <w:vMerge w:val="restart"/>
            <w:vAlign w:val="center"/>
          </w:tcPr>
          <w:p w14:paraId="7E207AD4">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证券业金融机构</w:t>
            </w:r>
          </w:p>
        </w:tc>
        <w:tc>
          <w:tcPr>
            <w:tcW w:w="1143" w:type="dxa"/>
            <w:shd w:val="clear" w:color="auto" w:fill="auto"/>
            <w:vAlign w:val="center"/>
          </w:tcPr>
          <w:p w14:paraId="29D8E644">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227097C7">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100亿元（含）至1000亿元</w:t>
            </w:r>
          </w:p>
        </w:tc>
      </w:tr>
      <w:tr w14:paraId="3520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3E97B92">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175B4338">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30D82CFA">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776E5E28">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10亿元（含）至100亿元</w:t>
            </w:r>
          </w:p>
        </w:tc>
      </w:tr>
      <w:tr w14:paraId="3A07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408C8F4">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6D1A6407">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24B8BABE">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7292EFD9">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10亿元以下</w:t>
            </w:r>
          </w:p>
        </w:tc>
      </w:tr>
      <w:tr w14:paraId="17AE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983FE3">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保险业</w:t>
            </w:r>
          </w:p>
        </w:tc>
        <w:tc>
          <w:tcPr>
            <w:tcW w:w="1817" w:type="dxa"/>
            <w:vMerge w:val="restart"/>
            <w:vAlign w:val="center"/>
          </w:tcPr>
          <w:p w14:paraId="77C12FC3">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保险业金融机构</w:t>
            </w:r>
          </w:p>
        </w:tc>
        <w:tc>
          <w:tcPr>
            <w:tcW w:w="1143" w:type="dxa"/>
            <w:shd w:val="clear" w:color="auto" w:fill="auto"/>
            <w:vAlign w:val="center"/>
          </w:tcPr>
          <w:p w14:paraId="4FBB4E06">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142E1445">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400亿元（含）至5000亿元</w:t>
            </w:r>
          </w:p>
        </w:tc>
      </w:tr>
      <w:tr w14:paraId="18F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155C02E">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4C5F3F9B">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6377C78A">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10218E66">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20亿元（含）至400亿元</w:t>
            </w:r>
          </w:p>
        </w:tc>
      </w:tr>
      <w:tr w14:paraId="1064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A24FC27">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2007CA7D">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5B02B2A3">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000065D2">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20亿元以下</w:t>
            </w:r>
          </w:p>
        </w:tc>
      </w:tr>
      <w:tr w14:paraId="3A08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B074B49">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其他金融业</w:t>
            </w:r>
          </w:p>
        </w:tc>
        <w:tc>
          <w:tcPr>
            <w:tcW w:w="1168" w:type="dxa"/>
            <w:vMerge w:val="restart"/>
            <w:vAlign w:val="center"/>
          </w:tcPr>
          <w:p w14:paraId="3A15CA00">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金融信托与管理服务</w:t>
            </w:r>
          </w:p>
        </w:tc>
        <w:tc>
          <w:tcPr>
            <w:tcW w:w="1817" w:type="dxa"/>
            <w:vMerge w:val="restart"/>
            <w:vAlign w:val="center"/>
          </w:tcPr>
          <w:p w14:paraId="5257B9D6">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信托公司</w:t>
            </w:r>
          </w:p>
        </w:tc>
        <w:tc>
          <w:tcPr>
            <w:tcW w:w="1143" w:type="dxa"/>
            <w:shd w:val="clear" w:color="auto" w:fill="auto"/>
            <w:vAlign w:val="center"/>
          </w:tcPr>
          <w:p w14:paraId="4B5BB6A8">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6B781B45">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400亿元（含）至1000亿元</w:t>
            </w:r>
          </w:p>
        </w:tc>
      </w:tr>
      <w:tr w14:paraId="7688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804C3D3">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2BE9E11D">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30559514">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1F75CAA7">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5D899D4D">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20亿元（含）至400亿元</w:t>
            </w:r>
          </w:p>
        </w:tc>
      </w:tr>
      <w:tr w14:paraId="4EEF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C9A1D">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07D931A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5D0AEC0F">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6AF80B6B">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40E3F14F">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20亿元以下</w:t>
            </w:r>
          </w:p>
        </w:tc>
      </w:tr>
      <w:tr w14:paraId="3F90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C1149A0">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restart"/>
            <w:vAlign w:val="center"/>
          </w:tcPr>
          <w:p w14:paraId="743C6D51">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控股公司服务</w:t>
            </w:r>
          </w:p>
        </w:tc>
        <w:tc>
          <w:tcPr>
            <w:tcW w:w="1817" w:type="dxa"/>
            <w:vMerge w:val="restart"/>
            <w:vAlign w:val="center"/>
          </w:tcPr>
          <w:p w14:paraId="50B09F4B">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金融控股公司</w:t>
            </w:r>
          </w:p>
        </w:tc>
        <w:tc>
          <w:tcPr>
            <w:tcW w:w="1143" w:type="dxa"/>
            <w:shd w:val="clear" w:color="auto" w:fill="auto"/>
            <w:vAlign w:val="center"/>
          </w:tcPr>
          <w:p w14:paraId="58487D4C">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54905F49">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5000亿元（含）至40000亿元</w:t>
            </w:r>
          </w:p>
        </w:tc>
      </w:tr>
      <w:tr w14:paraId="2F7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D8B5F0C">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0B2E7429">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2D1FF6C7">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7096A5F2">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25F07BB3">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50亿元（含）至5000亿元</w:t>
            </w:r>
          </w:p>
        </w:tc>
      </w:tr>
      <w:tr w14:paraId="707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4AB83B">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vAlign w:val="center"/>
          </w:tcPr>
          <w:p w14:paraId="22123466">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vAlign w:val="center"/>
          </w:tcPr>
          <w:p w14:paraId="7EB52A7C">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00A2898B">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1DD7618F">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50亿元以下</w:t>
            </w:r>
          </w:p>
        </w:tc>
      </w:tr>
      <w:tr w14:paraId="074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D40D9AA">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restart"/>
            <w:vAlign w:val="center"/>
          </w:tcPr>
          <w:p w14:paraId="3975E091">
            <w:pPr>
              <w:spacing w:line="240" w:lineRule="auto"/>
              <w:jc w:val="both"/>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其他未包括的金融业</w:t>
            </w:r>
          </w:p>
        </w:tc>
        <w:tc>
          <w:tcPr>
            <w:tcW w:w="1817" w:type="dxa"/>
            <w:vMerge w:val="restart"/>
            <w:vAlign w:val="center"/>
          </w:tcPr>
          <w:p w14:paraId="66F89221">
            <w:pPr>
              <w:spacing w:line="240" w:lineRule="auto"/>
              <w:jc w:val="both"/>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14:textFill>
                  <w14:solidFill>
                    <w14:schemeClr w14:val="tx1"/>
                  </w14:solidFill>
                </w14:textFill>
              </w:rPr>
              <w:t>除贷款公司、小额贷款公司、典当行以外的其他金融机构</w:t>
            </w:r>
          </w:p>
        </w:tc>
        <w:tc>
          <w:tcPr>
            <w:tcW w:w="1143" w:type="dxa"/>
            <w:shd w:val="clear" w:color="auto" w:fill="auto"/>
            <w:vAlign w:val="center"/>
          </w:tcPr>
          <w:p w14:paraId="3C157737">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中型</w:t>
            </w:r>
          </w:p>
        </w:tc>
        <w:tc>
          <w:tcPr>
            <w:tcW w:w="3251" w:type="dxa"/>
            <w:shd w:val="clear" w:color="auto" w:fill="auto"/>
            <w:vAlign w:val="center"/>
          </w:tcPr>
          <w:p w14:paraId="3961AF3E">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200亿元（含）至1000亿元</w:t>
            </w:r>
          </w:p>
        </w:tc>
      </w:tr>
      <w:tr w14:paraId="3FA6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2616BEB8">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tcPr>
          <w:p w14:paraId="30269E49">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tcPr>
          <w:p w14:paraId="62C657D2">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14CE427B">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小型</w:t>
            </w:r>
          </w:p>
        </w:tc>
        <w:tc>
          <w:tcPr>
            <w:tcW w:w="3251" w:type="dxa"/>
            <w:shd w:val="clear" w:color="auto" w:fill="auto"/>
            <w:vAlign w:val="center"/>
          </w:tcPr>
          <w:p w14:paraId="0CC79599">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50亿元（含）至200亿元</w:t>
            </w:r>
          </w:p>
        </w:tc>
      </w:tr>
      <w:tr w14:paraId="7FAC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463F7AD1">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68" w:type="dxa"/>
            <w:vMerge w:val="continue"/>
          </w:tcPr>
          <w:p w14:paraId="13455866">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817" w:type="dxa"/>
            <w:vMerge w:val="continue"/>
          </w:tcPr>
          <w:p w14:paraId="32738B09">
            <w:pPr>
              <w:spacing w:line="240" w:lineRule="auto"/>
              <w:rPr>
                <w:rFonts w:hint="eastAsia" w:ascii="仿宋" w:hAnsi="仿宋" w:eastAsia="仿宋" w:cs="仿宋"/>
                <w:color w:val="000000" w:themeColor="text1"/>
                <w:spacing w:val="6"/>
                <w:sz w:val="24"/>
                <w:szCs w:val="24"/>
                <w:highlight w:val="none"/>
                <w:vertAlign w:val="baseline"/>
                <w14:textFill>
                  <w14:solidFill>
                    <w14:schemeClr w14:val="tx1"/>
                  </w14:solidFill>
                </w14:textFill>
              </w:rPr>
            </w:pPr>
          </w:p>
        </w:tc>
        <w:tc>
          <w:tcPr>
            <w:tcW w:w="1143" w:type="dxa"/>
            <w:shd w:val="clear" w:color="auto" w:fill="auto"/>
            <w:vAlign w:val="center"/>
          </w:tcPr>
          <w:p w14:paraId="38BDB4C2">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微型</w:t>
            </w:r>
          </w:p>
        </w:tc>
        <w:tc>
          <w:tcPr>
            <w:tcW w:w="3251" w:type="dxa"/>
            <w:shd w:val="clear" w:color="auto" w:fill="auto"/>
            <w:vAlign w:val="center"/>
          </w:tcPr>
          <w:p w14:paraId="41DBD49C">
            <w:pPr>
              <w:spacing w:line="240" w:lineRule="auto"/>
              <w:jc w:val="center"/>
              <w:rPr>
                <w:rFonts w:hint="eastAsia" w:ascii="仿宋" w:hAnsi="仿宋" w:eastAsia="仿宋" w:cs="仿宋"/>
                <w:color w:val="000000" w:themeColor="text1"/>
                <w:spacing w:val="6"/>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pacing w:val="6"/>
                <w:sz w:val="24"/>
                <w:szCs w:val="24"/>
                <w:highlight w:val="none"/>
                <w:vertAlign w:val="baseline"/>
                <w:lang w:val="en-US" w:eastAsia="zh-CN"/>
                <w14:textFill>
                  <w14:solidFill>
                    <w14:schemeClr w14:val="tx1"/>
                  </w14:solidFill>
                </w14:textFill>
              </w:rPr>
              <w:t>50亿元以下</w:t>
            </w:r>
          </w:p>
        </w:tc>
      </w:tr>
    </w:tbl>
    <w:p w14:paraId="2CF95889">
      <w:pP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br w:type="page"/>
      </w:r>
    </w:p>
    <w:p w14:paraId="4773C5B2">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01" w:name="_Toc1602"/>
      <w:bookmarkStart w:id="502" w:name="_Toc16349294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（三）监狱企业证明文件</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【如适用】</w:t>
      </w:r>
      <w:bookmarkEnd w:id="501"/>
      <w:bookmarkEnd w:id="502"/>
    </w:p>
    <w:p w14:paraId="7F71762F">
      <w:pPr>
        <w:rPr>
          <w:rFonts w:hint="eastAsia" w:ascii="仿宋" w:hAnsi="仿宋" w:eastAsia="仿宋" w:cs="仿宋"/>
          <w:b/>
          <w:color w:val="000000" w:themeColor="text1"/>
          <w:sz w:val="24"/>
          <w:szCs w:val="24"/>
          <w:highlight w:val="none"/>
          <w14:textFill>
            <w14:solidFill>
              <w14:schemeClr w14:val="tx1"/>
            </w14:solidFill>
          </w14:textFill>
        </w:rPr>
      </w:pPr>
    </w:p>
    <w:p w14:paraId="68C0B48B">
      <w:pPr>
        <w:adjustRightInd w:val="0"/>
        <w:snapToGrid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【监狱企业应当提供由省级及以上监狱管理局、戒毒管理局（含新疆生产建设兵团）出具的监狱企业的证明文件，格式</w:t>
      </w:r>
      <w:r>
        <w:rPr>
          <w:rFonts w:hint="eastAsia" w:ascii="仿宋" w:hAnsi="仿宋" w:eastAsia="仿宋" w:cs="仿宋"/>
          <w:color w:val="000000" w:themeColor="text1"/>
          <w:sz w:val="24"/>
          <w:szCs w:val="24"/>
          <w:highlight w:val="none"/>
          <w:lang w:val="en-US" w:eastAsia="zh-CN"/>
          <w14:textFill>
            <w14:solidFill>
              <w14:schemeClr w14:val="tx1"/>
            </w14:solidFill>
          </w14:textFill>
        </w:rPr>
        <w:t>如下</w:t>
      </w:r>
      <w:r>
        <w:rPr>
          <w:rFonts w:hint="eastAsia" w:ascii="仿宋" w:hAnsi="仿宋" w:eastAsia="仿宋" w:cs="仿宋"/>
          <w:color w:val="000000" w:themeColor="text1"/>
          <w:sz w:val="24"/>
          <w:szCs w:val="24"/>
          <w:highlight w:val="none"/>
          <w14:textFill>
            <w14:solidFill>
              <w14:schemeClr w14:val="tx1"/>
            </w14:solidFill>
          </w14:textFill>
        </w:rPr>
        <w:t>】。</w:t>
      </w:r>
    </w:p>
    <w:p w14:paraId="4E95EE20">
      <w:pPr>
        <w:pStyle w:val="21"/>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p>
    <w:p w14:paraId="04501F0E">
      <w:pPr>
        <w:pStyle w:val="21"/>
        <w:spacing w:line="360" w:lineRule="auto"/>
        <w:jc w:val="center"/>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监狱企业证明函</w:t>
      </w:r>
    </w:p>
    <w:p w14:paraId="5353D27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5AD91F2">
      <w:pPr>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本公司郑重声明，根据财政部、司法部《关于政府采购支持监狱企业发展有关问题的通知》（财库</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2014</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68号）的规定，本公司为监狱企业。</w:t>
      </w:r>
    </w:p>
    <w:p w14:paraId="71E86187">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F6CD131">
      <w:pPr>
        <w:ind w:firstLine="4440" w:firstLineChars="1850"/>
        <w:rPr>
          <w:rFonts w:hint="eastAsia" w:ascii="仿宋" w:hAnsi="仿宋" w:eastAsia="仿宋" w:cs="仿宋"/>
          <w:color w:val="000000" w:themeColor="text1"/>
          <w:sz w:val="24"/>
          <w:szCs w:val="24"/>
          <w:highlight w:val="none"/>
          <w14:textFill>
            <w14:solidFill>
              <w14:schemeClr w14:val="tx1"/>
            </w14:solidFill>
          </w14:textFill>
        </w:rPr>
      </w:pPr>
    </w:p>
    <w:p w14:paraId="39E78086">
      <w:pPr>
        <w:ind w:firstLine="4440" w:firstLineChars="1850"/>
        <w:rPr>
          <w:rFonts w:hint="eastAsia" w:ascii="仿宋" w:hAnsi="仿宋" w:eastAsia="仿宋" w:cs="仿宋"/>
          <w:color w:val="000000" w:themeColor="text1"/>
          <w:sz w:val="24"/>
          <w:szCs w:val="24"/>
          <w:highlight w:val="none"/>
          <w14:textFill>
            <w14:solidFill>
              <w14:schemeClr w14:val="tx1"/>
            </w14:solidFill>
          </w14:textFill>
        </w:rPr>
      </w:pPr>
    </w:p>
    <w:p w14:paraId="781EE99A">
      <w:pPr>
        <w:ind w:right="1008" w:firstLine="4284" w:firstLineChars="17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pacing w:val="6"/>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067C6052">
      <w:pPr>
        <w:ind w:right="1008" w:firstLine="4284" w:firstLineChars="17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日期：</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 xml:space="preserve">   年  月  日</w:t>
      </w:r>
    </w:p>
    <w:p w14:paraId="5B8A793A">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p>
    <w:p w14:paraId="5503659D">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p>
    <w:p w14:paraId="22A6E147">
      <w:pPr>
        <w:spacing w:line="360" w:lineRule="auto"/>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省级以上监狱管理局、戒毒管理局</w:t>
      </w:r>
    </w:p>
    <w:p w14:paraId="1329D5F9">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（含新疆生产建设兵团）</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0C1C6F6A">
      <w:pPr>
        <w:ind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 xml:space="preserve">   年  月  日</w:t>
      </w:r>
    </w:p>
    <w:p w14:paraId="1FDB4E5A">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p>
    <w:p w14:paraId="432AD434">
      <w:pPr>
        <w:spacing w:line="360" w:lineRule="auto"/>
        <w:ind w:firstLine="3000" w:firstLineChars="1250"/>
        <w:rPr>
          <w:rFonts w:hint="eastAsia" w:ascii="仿宋" w:hAnsi="仿宋" w:eastAsia="仿宋" w:cs="仿宋"/>
          <w:color w:val="000000" w:themeColor="text1"/>
          <w:sz w:val="24"/>
          <w:szCs w:val="24"/>
          <w:highlight w:val="none"/>
          <w14:textFill>
            <w14:solidFill>
              <w14:schemeClr w14:val="tx1"/>
            </w14:solidFill>
          </w14:textFill>
        </w:rPr>
      </w:pPr>
    </w:p>
    <w:p w14:paraId="5C06C60A">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5484686">
      <w:pPr>
        <w:widowControl/>
        <w:spacing w:before="100" w:beforeAutospacing="1" w:after="100" w:afterAutospacing="1"/>
        <w:rPr>
          <w:rFonts w:hint="eastAsia" w:ascii="仿宋" w:hAnsi="仿宋" w:eastAsia="仿宋" w:cs="仿宋"/>
          <w:color w:val="000000" w:themeColor="text1"/>
          <w:sz w:val="24"/>
          <w:szCs w:val="24"/>
          <w:highlight w:val="none"/>
          <w14:textFill>
            <w14:solidFill>
              <w14:schemeClr w14:val="tx1"/>
            </w14:solidFill>
          </w14:textFill>
        </w:rPr>
      </w:pPr>
    </w:p>
    <w:p w14:paraId="7AD1DE5B">
      <w:pPr>
        <w:widowControl/>
        <w:spacing w:before="100" w:beforeAutospacing="1" w:after="100" w:afterAutospacing="1"/>
        <w:rPr>
          <w:rFonts w:hint="eastAsia" w:ascii="仿宋" w:hAnsi="仿宋" w:eastAsia="仿宋" w:cs="仿宋"/>
          <w:color w:val="000000" w:themeColor="text1"/>
          <w:sz w:val="24"/>
          <w:szCs w:val="24"/>
          <w:highlight w:val="none"/>
          <w14:textFill>
            <w14:solidFill>
              <w14:schemeClr w14:val="tx1"/>
            </w14:solidFill>
          </w14:textFill>
        </w:rPr>
      </w:pPr>
    </w:p>
    <w:p w14:paraId="2F4330F6">
      <w:pPr>
        <w:rPr>
          <w:rFonts w:hint="eastAsia"/>
          <w:color w:val="000000" w:themeColor="text1"/>
          <w:highlight w:val="none"/>
          <w:lang w:val="en-US" w:eastAsia="zh-CN"/>
          <w14:textFill>
            <w14:solidFill>
              <w14:schemeClr w14:val="tx1"/>
            </w14:solidFill>
          </w14:textFill>
        </w:rPr>
      </w:pPr>
      <w:bookmarkStart w:id="503" w:name="_Toc163492941"/>
    </w:p>
    <w:p w14:paraId="705A7D3C">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04" w:name="_Toc1711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（四）残疾人福利性单位声明函</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【如适用】</w:t>
      </w:r>
      <w:bookmarkEnd w:id="503"/>
      <w:bookmarkEnd w:id="504"/>
    </w:p>
    <w:p w14:paraId="36BC1BE1">
      <w:pPr>
        <w:pStyle w:val="49"/>
        <w:numPr>
          <w:ilvl w:val="0"/>
          <w:numId w:val="0"/>
        </w:numPr>
        <w:ind w:left="420" w:leftChars="0" w:hanging="420" w:firstLineChars="0"/>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4E7836CD">
      <w:pPr>
        <w:pStyle w:val="49"/>
        <w:numPr>
          <w:ilvl w:val="0"/>
          <w:numId w:val="0"/>
        </w:numPr>
        <w:ind w:left="420" w:leftChars="0" w:hanging="420" w:firstLineChars="0"/>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残疾人福利性单位声明函</w:t>
      </w:r>
    </w:p>
    <w:p w14:paraId="3AAC5FBE">
      <w:pPr>
        <w:wordWrap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CD2128D">
      <w:pPr>
        <w:wordWrap w:val="0"/>
        <w:ind w:firstLine="480" w:firstLineChars="2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 （单位名称） </w:t>
      </w:r>
      <w:r>
        <w:rPr>
          <w:rFonts w:hint="eastAsia" w:ascii="仿宋" w:hAnsi="仿宋" w:eastAsia="仿宋" w:cs="仿宋"/>
          <w:i w:val="0"/>
          <w:iCs w:val="0"/>
          <w:color w:val="000000" w:themeColor="text1"/>
          <w:sz w:val="24"/>
          <w:szCs w:val="24"/>
          <w:highlight w:val="none"/>
          <w14:textFill>
            <w14:solidFill>
              <w14:schemeClr w14:val="tx1"/>
            </w14:solidFill>
          </w14:textFill>
        </w:rPr>
        <w:t>的</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 （项目名称） </w:t>
      </w:r>
      <w:r>
        <w:rPr>
          <w:rFonts w:hint="eastAsia" w:ascii="仿宋" w:hAnsi="仿宋" w:eastAsia="仿宋" w:cs="仿宋"/>
          <w:i w:val="0"/>
          <w:iCs w:val="0"/>
          <w:color w:val="000000" w:themeColor="text1"/>
          <w:sz w:val="24"/>
          <w:szCs w:val="24"/>
          <w:highlight w:val="none"/>
          <w14:textFill>
            <w14:solidFill>
              <w14:schemeClr w14:val="tx1"/>
            </w14:solidFill>
          </w14:textFill>
        </w:rPr>
        <w:t>采购活动，提供的货物</w:t>
      </w:r>
      <w:r>
        <w:rPr>
          <w:rFonts w:hint="eastAsia" w:ascii="仿宋" w:hAnsi="仿宋" w:eastAsia="仿宋" w:cs="仿宋"/>
          <w:b/>
          <w:i w:val="0"/>
          <w:iCs w:val="0"/>
          <w:color w:val="000000" w:themeColor="text1"/>
          <w:sz w:val="24"/>
          <w:szCs w:val="24"/>
          <w:highlight w:val="none"/>
          <w14:textFill>
            <w14:solidFill>
              <w14:schemeClr w14:val="tx1"/>
            </w14:solidFill>
          </w14:textFill>
        </w:rPr>
        <w:t>全部由</w:t>
      </w:r>
      <w:r>
        <w:rPr>
          <w:rFonts w:hint="eastAsia" w:ascii="仿宋" w:hAnsi="仿宋" w:eastAsia="仿宋" w:cs="仿宋"/>
          <w:i w:val="0"/>
          <w:iCs w:val="0"/>
          <w:color w:val="000000" w:themeColor="text1"/>
          <w:sz w:val="24"/>
          <w:szCs w:val="24"/>
          <w:highlight w:val="none"/>
          <w14:textFill>
            <w14:solidFill>
              <w14:schemeClr w14:val="tx1"/>
            </w14:solidFill>
          </w14:textFill>
        </w:rPr>
        <w:t>符合政策要求的</w:t>
      </w:r>
      <w:r>
        <w:rPr>
          <w:rFonts w:hint="eastAsia" w:ascii="仿宋" w:hAnsi="仿宋" w:eastAsia="仿宋" w:cs="仿宋"/>
          <w:b/>
          <w:i w:val="0"/>
          <w:iCs w:val="0"/>
          <w:color w:val="000000" w:themeColor="text1"/>
          <w:sz w:val="24"/>
          <w:szCs w:val="24"/>
          <w:highlight w:val="none"/>
          <w14:textFill>
            <w14:solidFill>
              <w14:schemeClr w14:val="tx1"/>
            </w14:solidFill>
          </w14:textFill>
        </w:rPr>
        <w:t>残疾人福利性单位制造</w:t>
      </w:r>
      <w:r>
        <w:rPr>
          <w:rFonts w:hint="eastAsia" w:ascii="仿宋" w:hAnsi="仿宋" w:eastAsia="仿宋" w:cs="仿宋"/>
          <w:i w:val="0"/>
          <w:iCs w:val="0"/>
          <w:color w:val="000000" w:themeColor="text1"/>
          <w:sz w:val="24"/>
          <w:szCs w:val="24"/>
          <w:highlight w:val="none"/>
          <w14:textFill>
            <w14:solidFill>
              <w14:schemeClr w14:val="tx1"/>
            </w14:solidFill>
          </w14:textFill>
        </w:rPr>
        <w:t>。相关企业（含联合体中的残疾人福利性单位、签订分包意向协议</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i w:val="0"/>
          <w:iCs w:val="0"/>
          <w:color w:val="000000" w:themeColor="text1"/>
          <w:sz w:val="24"/>
          <w:szCs w:val="24"/>
          <w:highlight w:val="none"/>
          <w14:textFill>
            <w14:solidFill>
              <w14:schemeClr w14:val="tx1"/>
            </w14:solidFill>
          </w14:textFill>
        </w:rPr>
        <w:t>的残疾人福利性单位）的具体情况如下：</w:t>
      </w:r>
    </w:p>
    <w:p w14:paraId="244ECE03">
      <w:pPr>
        <w:wordWrap w:val="0"/>
        <w:ind w:firstLine="480" w:firstLineChars="2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1.</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 （标的名称） </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，制造商为 </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  （企业名称） </w:t>
      </w:r>
      <w:r>
        <w:rPr>
          <w:rFonts w:hint="eastAsia" w:ascii="仿宋" w:hAnsi="仿宋" w:eastAsia="仿宋" w:cs="仿宋"/>
          <w:i w:val="0"/>
          <w:iCs w:val="0"/>
          <w:color w:val="000000" w:themeColor="text1"/>
          <w:sz w:val="24"/>
          <w:szCs w:val="24"/>
          <w:highlight w:val="none"/>
          <w14:textFill>
            <w14:solidFill>
              <w14:schemeClr w14:val="tx1"/>
            </w14:solidFill>
          </w14:textFill>
        </w:rPr>
        <w:t>，属于残疾人福利性单位；</w:t>
      </w:r>
    </w:p>
    <w:p w14:paraId="5AA25AEC">
      <w:pPr>
        <w:wordWrap w:val="0"/>
        <w:ind w:firstLine="480" w:firstLineChars="2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2. </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（标的名称） </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，制造商为 </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 xml:space="preserve">  （企业名称） </w:t>
      </w:r>
      <w:r>
        <w:rPr>
          <w:rFonts w:hint="eastAsia" w:ascii="仿宋" w:hAnsi="仿宋" w:eastAsia="仿宋" w:cs="仿宋"/>
          <w:i w:val="0"/>
          <w:iCs w:val="0"/>
          <w:color w:val="000000" w:themeColor="text1"/>
          <w:sz w:val="24"/>
          <w:szCs w:val="24"/>
          <w:highlight w:val="none"/>
          <w14:textFill>
            <w14:solidFill>
              <w14:schemeClr w14:val="tx1"/>
            </w14:solidFill>
          </w14:textFill>
        </w:rPr>
        <w:t>，属于残疾人福利性单位；</w:t>
      </w:r>
    </w:p>
    <w:p w14:paraId="16EFE3C6">
      <w:pPr>
        <w:wordWrap w:val="0"/>
        <w:ind w:firstLine="480" w:firstLineChars="2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w:t>
      </w:r>
    </w:p>
    <w:p w14:paraId="6EB0040C">
      <w:pPr>
        <w:wordWrap w:val="0"/>
        <w:ind w:firstLine="480" w:firstLineChars="200"/>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97B1F77">
      <w:pPr>
        <w:wordWrap w:val="0"/>
        <w:ind w:left="1087" w:leftChars="200" w:hanging="607" w:hangingChars="253"/>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本企业对上述声明内容的真实性负责。如有虚假，将依法承担相应责任。</w:t>
      </w:r>
    </w:p>
    <w:p w14:paraId="14ABDC34">
      <w:pPr>
        <w:wordWrap w:val="0"/>
        <w:ind w:left="1091" w:hanging="1091" w:hangingChars="453"/>
        <w:rPr>
          <w:rFonts w:hint="eastAsia" w:ascii="仿宋" w:hAnsi="仿宋" w:eastAsia="仿宋" w:cs="仿宋"/>
          <w:bCs/>
          <w:i w:val="0"/>
          <w:iCs w:val="0"/>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sz w:val="24"/>
          <w:szCs w:val="24"/>
          <w:highlight w:val="none"/>
          <w14:textFill>
            <w14:solidFill>
              <w14:schemeClr w14:val="tx1"/>
            </w14:solidFill>
          </w14:textFill>
        </w:rPr>
        <w:t>说明：</w:t>
      </w:r>
      <w:r>
        <w:rPr>
          <w:rFonts w:hint="eastAsia" w:ascii="仿宋" w:hAnsi="仿宋" w:eastAsia="仿宋" w:cs="仿宋"/>
          <w:bCs/>
          <w:i w:val="0"/>
          <w:iCs w:val="0"/>
          <w:color w:val="000000" w:themeColor="text1"/>
          <w:sz w:val="24"/>
          <w:szCs w:val="24"/>
          <w:highlight w:val="none"/>
          <w14:textFill>
            <w14:solidFill>
              <w14:schemeClr w14:val="tx1"/>
            </w14:solidFill>
          </w14:textFill>
        </w:rPr>
        <w:t>1、</w:t>
      </w:r>
      <w:r>
        <w:rPr>
          <w:rFonts w:hint="eastAsia" w:ascii="仿宋" w:hAnsi="仿宋" w:eastAsia="仿宋" w:cs="仿宋"/>
          <w:bCs/>
          <w:i w:val="0"/>
          <w:iCs w:val="0"/>
          <w:color w:val="000000" w:themeColor="text1"/>
          <w:sz w:val="24"/>
          <w:szCs w:val="24"/>
          <w:highlight w:val="none"/>
          <w:lang w:val="zh-CN"/>
          <w14:textFill>
            <w14:solidFill>
              <w14:schemeClr w14:val="tx1"/>
            </w14:solidFill>
          </w14:textFill>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3F77575">
      <w:pPr>
        <w:wordWrap w:val="0"/>
        <w:ind w:left="1087" w:hanging="1087" w:hangingChars="4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i w:val="0"/>
          <w:iCs w:val="0"/>
          <w:color w:val="000000" w:themeColor="text1"/>
          <w:sz w:val="24"/>
          <w:szCs w:val="24"/>
          <w:highlight w:val="none"/>
          <w:lang w:val="zh-CN"/>
          <w14:textFill>
            <w14:solidFill>
              <w14:schemeClr w14:val="tx1"/>
            </w14:solidFill>
          </w14:textFill>
        </w:rPr>
        <w:t xml:space="preserve">      2、</w:t>
      </w:r>
      <w:r>
        <w:rPr>
          <w:rFonts w:hint="eastAsia" w:ascii="仿宋" w:hAnsi="仿宋" w:eastAsia="仿宋" w:cs="仿宋"/>
          <w:i w:val="0"/>
          <w:iCs w:val="0"/>
          <w:color w:val="000000" w:themeColor="text1"/>
          <w:sz w:val="24"/>
          <w:szCs w:val="24"/>
          <w:highlight w:val="none"/>
          <w14:textFill>
            <w14:solidFill>
              <w14:schemeClr w14:val="tx1"/>
            </w14:solidFill>
          </w14:textFill>
        </w:rPr>
        <w:t>以联合体形式参加的，应</w:t>
      </w:r>
      <w:r>
        <w:rPr>
          <w:rFonts w:hint="eastAsia" w:ascii="仿宋" w:hAnsi="仿宋" w:eastAsia="仿宋" w:cs="仿宋"/>
          <w:bCs/>
          <w:i w:val="0"/>
          <w:iCs w:val="0"/>
          <w:color w:val="000000" w:themeColor="text1"/>
          <w:sz w:val="24"/>
          <w:szCs w:val="24"/>
          <w:highlight w:val="none"/>
          <w:lang w:val="zh-CN"/>
          <w14:textFill>
            <w14:solidFill>
              <w14:schemeClr w14:val="tx1"/>
            </w14:solidFill>
          </w14:textFill>
        </w:rPr>
        <w:t>当</w:t>
      </w:r>
      <w:r>
        <w:rPr>
          <w:rFonts w:hint="eastAsia" w:ascii="仿宋" w:hAnsi="仿宋" w:eastAsia="仿宋" w:cs="仿宋"/>
          <w:i w:val="0"/>
          <w:iCs w:val="0"/>
          <w:color w:val="000000" w:themeColor="text1"/>
          <w:sz w:val="24"/>
          <w:szCs w:val="24"/>
          <w:highlight w:val="none"/>
          <w14:textFill>
            <w14:solidFill>
              <w14:schemeClr w14:val="tx1"/>
            </w14:solidFill>
          </w14:textFill>
        </w:rPr>
        <w:t>由联合体各方盖章。</w:t>
      </w:r>
    </w:p>
    <w:p w14:paraId="399A6D23">
      <w:pPr>
        <w:wordWrap w:val="0"/>
        <w:spacing w:before="100" w:beforeAutospacing="1" w:after="100" w:afterAutospacing="1"/>
        <w:ind w:firstLine="3316" w:firstLineChars="1382"/>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投标人</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u w:val="single"/>
          <w:lang w:val="zh-CN"/>
          <w14:textFill>
            <w14:solidFill>
              <w14:schemeClr w14:val="tx1"/>
            </w14:solidFill>
          </w14:textFill>
        </w:rPr>
        <w:t xml:space="preserve">              </w:t>
      </w:r>
    </w:p>
    <w:p w14:paraId="7A46AA0B">
      <w:pPr>
        <w:wordWrap w:val="0"/>
        <w:spacing w:before="100" w:beforeAutospacing="1" w:after="100" w:afterAutospacing="1"/>
        <w:ind w:firstLine="3316" w:firstLineChars="13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14:paraId="1A8E62DE">
      <w:pPr>
        <w:ind w:left="4620" w:firstLine="241" w:firstLineChars="100"/>
        <w:rPr>
          <w:rFonts w:hint="eastAsia" w:ascii="仿宋" w:hAnsi="仿宋" w:eastAsia="仿宋" w:cs="仿宋"/>
          <w:b/>
          <w:color w:val="000000" w:themeColor="text1"/>
          <w:sz w:val="24"/>
          <w:szCs w:val="24"/>
          <w:highlight w:val="none"/>
          <w14:textFill>
            <w14:solidFill>
              <w14:schemeClr w14:val="tx1"/>
            </w14:solidFill>
          </w14:textFill>
        </w:rPr>
      </w:pPr>
    </w:p>
    <w:p w14:paraId="7302909C">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39A3245F">
      <w:pPr>
        <w:pStyle w:val="5"/>
        <w:bidi w:val="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05" w:name="_Toc29132"/>
      <w:r>
        <w:rPr>
          <w:rFonts w:hint="eastAsia" w:ascii="仿宋" w:hAnsi="仿宋" w:eastAsia="仿宋" w:cs="仿宋"/>
          <w:color w:val="000000" w:themeColor="text1"/>
          <w:sz w:val="24"/>
          <w:szCs w:val="24"/>
          <w:highlight w:val="none"/>
          <w:lang w:val="en-US" w:eastAsia="zh-CN"/>
          <w14:textFill>
            <w14:solidFill>
              <w14:schemeClr w14:val="tx1"/>
            </w14:solidFill>
          </w14:textFill>
        </w:rPr>
        <w:t>五、不参与围标串标承诺书</w:t>
      </w:r>
      <w:bookmarkEnd w:id="505"/>
    </w:p>
    <w:p w14:paraId="03DA88DC">
      <w:pPr>
        <w:pStyle w:val="5"/>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E48ABBE">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不参与围标串标承诺书</w:t>
      </w:r>
    </w:p>
    <w:p w14:paraId="2CD7962D">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w:t>
      </w:r>
    </w:p>
    <w:p w14:paraId="516D05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本人作为经授权的投标人代表,清楚知晓我单位本项目投标活动,对以下事项作出承诺：</w:t>
      </w:r>
    </w:p>
    <w:p w14:paraId="23837F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94331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一、我单位和我本人遵循公开透明、公平竞争、公正和诚实信用的原则,依法依规参与本项目竞标。</w:t>
      </w:r>
    </w:p>
    <w:p w14:paraId="44E18C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二、我单位和我本人在本项目政府采购投标活动中,未参与围标串标。</w:t>
      </w:r>
    </w:p>
    <w:p w14:paraId="72614A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7E80B13">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81C73D3">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p>
    <w:p w14:paraId="70F9B7E5">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9538BA4">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法定代表人、负责人、本人、或授权代表</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签字或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284C3682">
      <w:pPr>
        <w:spacing w:line="560" w:lineRule="exac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 年 月 日</w:t>
      </w:r>
    </w:p>
    <w:p w14:paraId="3398BBC5">
      <w:pPr>
        <w:widowControl/>
        <w:spacing w:line="560" w:lineRule="exact"/>
        <w:ind w:firstLine="630"/>
        <w:jc w:val="left"/>
        <w:rPr>
          <w:rFonts w:hint="eastAsia" w:ascii="仿宋" w:hAnsi="仿宋" w:eastAsia="仿宋" w:cs="仿宋"/>
          <w:color w:val="000000" w:themeColor="text1"/>
          <w:kern w:val="0"/>
          <w:sz w:val="24"/>
          <w:szCs w:val="24"/>
          <w:highlight w:val="none"/>
          <w14:textFill>
            <w14:solidFill>
              <w14:schemeClr w14:val="tx1"/>
            </w14:solidFill>
          </w14:textFill>
        </w:rPr>
      </w:pPr>
    </w:p>
    <w:p w14:paraId="30C61BC1">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32EEF99">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EA150BA">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E3B89FE">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965CA99">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A16DC85">
      <w:pPr>
        <w:pStyle w:val="2"/>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94ACC49">
      <w:pPr>
        <w:pStyle w:val="5"/>
        <w:bidi w:val="0"/>
        <w:rPr>
          <w:rFonts w:hint="eastAsia" w:ascii="仿宋" w:hAnsi="仿宋" w:eastAsia="仿宋" w:cs="仿宋"/>
          <w:color w:val="000000" w:themeColor="text1"/>
          <w:sz w:val="24"/>
          <w:szCs w:val="24"/>
          <w:highlight w:val="none"/>
          <w:lang w:val="zh-CN" w:eastAsia="zh-CN"/>
          <w14:textFill>
            <w14:solidFill>
              <w14:schemeClr w14:val="tx1"/>
            </w14:solidFill>
          </w14:textFill>
        </w:rPr>
      </w:pPr>
      <w:bookmarkStart w:id="506" w:name="_Toc12419"/>
      <w:r>
        <w:rPr>
          <w:rFonts w:hint="eastAsia" w:ascii="仿宋" w:hAnsi="仿宋" w:eastAsia="仿宋" w:cs="仿宋"/>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z w:val="24"/>
          <w:szCs w:val="24"/>
          <w:highlight w:val="none"/>
          <w:lang w:val="zh-CN" w:eastAsia="zh-CN"/>
          <w14:textFill>
            <w14:solidFill>
              <w14:schemeClr w14:val="tx1"/>
            </w14:solidFill>
          </w14:textFill>
        </w:rPr>
        <w:t>其他资格证明文件</w:t>
      </w:r>
      <w:bookmarkEnd w:id="506"/>
    </w:p>
    <w:p w14:paraId="153C7635">
      <w:pPr>
        <w:pStyle w:val="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投标人认为需提供的其它相关资格证明材料</w:t>
      </w:r>
    </w:p>
    <w:p w14:paraId="592DA14E">
      <w:pPr>
        <w:pStyle w:val="47"/>
        <w:rPr>
          <w:rFonts w:hint="eastAsia" w:ascii="仿宋" w:hAnsi="仿宋" w:eastAsia="仿宋" w:cs="仿宋"/>
          <w:color w:val="000000" w:themeColor="text1"/>
          <w:sz w:val="24"/>
          <w:szCs w:val="24"/>
          <w:highlight w:val="none"/>
          <w14:textFill>
            <w14:solidFill>
              <w14:schemeClr w14:val="tx1"/>
            </w14:solidFill>
          </w14:textFill>
        </w:rPr>
      </w:pPr>
    </w:p>
    <w:p w14:paraId="35221B39">
      <w:pPr>
        <w:pStyle w:val="47"/>
        <w:rPr>
          <w:rFonts w:hint="eastAsia" w:ascii="仿宋" w:hAnsi="仿宋" w:eastAsia="仿宋" w:cs="仿宋"/>
          <w:color w:val="000000" w:themeColor="text1"/>
          <w:sz w:val="24"/>
          <w:szCs w:val="24"/>
          <w:highlight w:val="none"/>
          <w14:textFill>
            <w14:solidFill>
              <w14:schemeClr w14:val="tx1"/>
            </w14:solidFill>
          </w14:textFill>
        </w:rPr>
      </w:pPr>
    </w:p>
    <w:p w14:paraId="2F86BB95">
      <w:pPr>
        <w:pStyle w:val="47"/>
        <w:rPr>
          <w:rFonts w:hint="eastAsia" w:ascii="仿宋" w:hAnsi="仿宋" w:eastAsia="仿宋" w:cs="仿宋"/>
          <w:color w:val="000000" w:themeColor="text1"/>
          <w:sz w:val="24"/>
          <w:szCs w:val="24"/>
          <w:highlight w:val="none"/>
          <w14:textFill>
            <w14:solidFill>
              <w14:schemeClr w14:val="tx1"/>
            </w14:solidFill>
          </w14:textFill>
        </w:rPr>
      </w:pPr>
    </w:p>
    <w:p w14:paraId="26D0B235">
      <w:pPr>
        <w:pStyle w:val="47"/>
        <w:rPr>
          <w:rFonts w:hint="eastAsia" w:ascii="仿宋" w:hAnsi="仿宋" w:eastAsia="仿宋" w:cs="仿宋"/>
          <w:color w:val="000000" w:themeColor="text1"/>
          <w:sz w:val="24"/>
          <w:szCs w:val="24"/>
          <w:highlight w:val="none"/>
          <w14:textFill>
            <w14:solidFill>
              <w14:schemeClr w14:val="tx1"/>
            </w14:solidFill>
          </w14:textFill>
        </w:rPr>
      </w:pPr>
    </w:p>
    <w:p w14:paraId="31019CB2">
      <w:pPr>
        <w:pStyle w:val="47"/>
        <w:rPr>
          <w:rFonts w:hint="eastAsia" w:ascii="仿宋" w:hAnsi="仿宋" w:eastAsia="仿宋" w:cs="仿宋"/>
          <w:color w:val="000000" w:themeColor="text1"/>
          <w:sz w:val="24"/>
          <w:szCs w:val="24"/>
          <w:highlight w:val="none"/>
          <w14:textFill>
            <w14:solidFill>
              <w14:schemeClr w14:val="tx1"/>
            </w14:solidFill>
          </w14:textFill>
        </w:rPr>
      </w:pPr>
    </w:p>
    <w:p w14:paraId="02AE5F03">
      <w:pPr>
        <w:pStyle w:val="47"/>
        <w:rPr>
          <w:rFonts w:hint="eastAsia" w:ascii="仿宋" w:hAnsi="仿宋" w:eastAsia="仿宋" w:cs="仿宋"/>
          <w:color w:val="000000" w:themeColor="text1"/>
          <w:sz w:val="24"/>
          <w:szCs w:val="24"/>
          <w:highlight w:val="none"/>
          <w14:textFill>
            <w14:solidFill>
              <w14:schemeClr w14:val="tx1"/>
            </w14:solidFill>
          </w14:textFill>
        </w:rPr>
      </w:pPr>
    </w:p>
    <w:p w14:paraId="4107E091">
      <w:pPr>
        <w:pStyle w:val="47"/>
        <w:rPr>
          <w:rFonts w:hint="eastAsia" w:ascii="仿宋" w:hAnsi="仿宋" w:eastAsia="仿宋" w:cs="仿宋"/>
          <w:color w:val="000000" w:themeColor="text1"/>
          <w:sz w:val="24"/>
          <w:szCs w:val="24"/>
          <w:highlight w:val="none"/>
          <w14:textFill>
            <w14:solidFill>
              <w14:schemeClr w14:val="tx1"/>
            </w14:solidFill>
          </w14:textFill>
        </w:rPr>
      </w:pPr>
    </w:p>
    <w:p w14:paraId="03C011CC">
      <w:pPr>
        <w:pStyle w:val="47"/>
        <w:rPr>
          <w:rFonts w:hint="eastAsia" w:ascii="仿宋" w:hAnsi="仿宋" w:eastAsia="仿宋" w:cs="仿宋"/>
          <w:color w:val="000000" w:themeColor="text1"/>
          <w:sz w:val="24"/>
          <w:szCs w:val="24"/>
          <w:highlight w:val="none"/>
          <w14:textFill>
            <w14:solidFill>
              <w14:schemeClr w14:val="tx1"/>
            </w14:solidFill>
          </w14:textFill>
        </w:rPr>
      </w:pPr>
    </w:p>
    <w:p w14:paraId="19B0E11F">
      <w:pPr>
        <w:pStyle w:val="47"/>
        <w:rPr>
          <w:rFonts w:hint="eastAsia" w:ascii="仿宋" w:hAnsi="仿宋" w:eastAsia="仿宋" w:cs="仿宋"/>
          <w:color w:val="000000" w:themeColor="text1"/>
          <w:sz w:val="24"/>
          <w:szCs w:val="24"/>
          <w:highlight w:val="none"/>
          <w14:textFill>
            <w14:solidFill>
              <w14:schemeClr w14:val="tx1"/>
            </w14:solidFill>
          </w14:textFill>
        </w:rPr>
      </w:pPr>
    </w:p>
    <w:p w14:paraId="3D424FDD">
      <w:pPr>
        <w:pStyle w:val="47"/>
        <w:rPr>
          <w:rFonts w:hint="eastAsia" w:ascii="仿宋" w:hAnsi="仿宋" w:eastAsia="仿宋" w:cs="仿宋"/>
          <w:color w:val="000000" w:themeColor="text1"/>
          <w:sz w:val="24"/>
          <w:szCs w:val="24"/>
          <w:highlight w:val="none"/>
          <w14:textFill>
            <w14:solidFill>
              <w14:schemeClr w14:val="tx1"/>
            </w14:solidFill>
          </w14:textFill>
        </w:rPr>
      </w:pPr>
    </w:p>
    <w:p w14:paraId="506E118D">
      <w:pPr>
        <w:pStyle w:val="47"/>
        <w:rPr>
          <w:rFonts w:hint="eastAsia" w:ascii="仿宋" w:hAnsi="仿宋" w:eastAsia="仿宋" w:cs="仿宋"/>
          <w:color w:val="000000" w:themeColor="text1"/>
          <w:sz w:val="24"/>
          <w:szCs w:val="24"/>
          <w:highlight w:val="none"/>
          <w14:textFill>
            <w14:solidFill>
              <w14:schemeClr w14:val="tx1"/>
            </w14:solidFill>
          </w14:textFill>
        </w:rPr>
      </w:pPr>
    </w:p>
    <w:p w14:paraId="7D5D188A">
      <w:pPr>
        <w:pStyle w:val="47"/>
        <w:rPr>
          <w:rFonts w:hint="eastAsia" w:ascii="仿宋" w:hAnsi="仿宋" w:eastAsia="仿宋" w:cs="仿宋"/>
          <w:color w:val="000000" w:themeColor="text1"/>
          <w:sz w:val="24"/>
          <w:szCs w:val="24"/>
          <w:highlight w:val="none"/>
          <w14:textFill>
            <w14:solidFill>
              <w14:schemeClr w14:val="tx1"/>
            </w14:solidFill>
          </w14:textFill>
        </w:rPr>
      </w:pPr>
    </w:p>
    <w:p w14:paraId="54D347CD">
      <w:pPr>
        <w:pStyle w:val="47"/>
        <w:rPr>
          <w:rFonts w:hint="eastAsia" w:ascii="仿宋" w:hAnsi="仿宋" w:eastAsia="仿宋" w:cs="仿宋"/>
          <w:color w:val="000000" w:themeColor="text1"/>
          <w:sz w:val="24"/>
          <w:szCs w:val="24"/>
          <w:highlight w:val="none"/>
          <w14:textFill>
            <w14:solidFill>
              <w14:schemeClr w14:val="tx1"/>
            </w14:solidFill>
          </w14:textFill>
        </w:rPr>
      </w:pPr>
    </w:p>
    <w:p w14:paraId="61364F80">
      <w:pPr>
        <w:pStyle w:val="47"/>
        <w:rPr>
          <w:rFonts w:hint="eastAsia" w:ascii="仿宋" w:hAnsi="仿宋" w:eastAsia="仿宋" w:cs="仿宋"/>
          <w:color w:val="000000" w:themeColor="text1"/>
          <w:sz w:val="24"/>
          <w:szCs w:val="24"/>
          <w:highlight w:val="none"/>
          <w14:textFill>
            <w14:solidFill>
              <w14:schemeClr w14:val="tx1"/>
            </w14:solidFill>
          </w14:textFill>
        </w:rPr>
      </w:pPr>
    </w:p>
    <w:p w14:paraId="4C778B7D">
      <w:pPr>
        <w:pStyle w:val="47"/>
        <w:rPr>
          <w:rFonts w:hint="eastAsia" w:ascii="仿宋" w:hAnsi="仿宋" w:eastAsia="仿宋" w:cs="仿宋"/>
          <w:color w:val="000000" w:themeColor="text1"/>
          <w:sz w:val="24"/>
          <w:szCs w:val="24"/>
          <w:highlight w:val="none"/>
          <w14:textFill>
            <w14:solidFill>
              <w14:schemeClr w14:val="tx1"/>
            </w14:solidFill>
          </w14:textFill>
        </w:rPr>
      </w:pPr>
    </w:p>
    <w:p w14:paraId="00C29E3C">
      <w:pPr>
        <w:pStyle w:val="47"/>
        <w:rPr>
          <w:rFonts w:hint="eastAsia" w:ascii="仿宋" w:hAnsi="仿宋" w:eastAsia="仿宋" w:cs="仿宋"/>
          <w:color w:val="000000" w:themeColor="text1"/>
          <w:sz w:val="24"/>
          <w:szCs w:val="24"/>
          <w:highlight w:val="none"/>
          <w14:textFill>
            <w14:solidFill>
              <w14:schemeClr w14:val="tx1"/>
            </w14:solidFill>
          </w14:textFill>
        </w:rPr>
      </w:pPr>
    </w:p>
    <w:p w14:paraId="3F2BD045">
      <w:pPr>
        <w:pStyle w:val="47"/>
        <w:rPr>
          <w:rFonts w:hint="eastAsia" w:ascii="仿宋" w:hAnsi="仿宋" w:eastAsia="仿宋" w:cs="仿宋"/>
          <w:color w:val="000000" w:themeColor="text1"/>
          <w:sz w:val="24"/>
          <w:szCs w:val="24"/>
          <w:highlight w:val="none"/>
          <w14:textFill>
            <w14:solidFill>
              <w14:schemeClr w14:val="tx1"/>
            </w14:solidFill>
          </w14:textFill>
        </w:rPr>
      </w:pPr>
    </w:p>
    <w:p w14:paraId="4EE2F9D1">
      <w:pPr>
        <w:pStyle w:val="47"/>
        <w:rPr>
          <w:rFonts w:hint="eastAsia" w:ascii="仿宋" w:hAnsi="仿宋" w:eastAsia="仿宋" w:cs="仿宋"/>
          <w:color w:val="000000" w:themeColor="text1"/>
          <w:sz w:val="24"/>
          <w:szCs w:val="24"/>
          <w:highlight w:val="none"/>
          <w14:textFill>
            <w14:solidFill>
              <w14:schemeClr w14:val="tx1"/>
            </w14:solidFill>
          </w14:textFill>
        </w:rPr>
      </w:pPr>
    </w:p>
    <w:p w14:paraId="7AC76F7B">
      <w:pPr>
        <w:pStyle w:val="47"/>
        <w:rPr>
          <w:rFonts w:hint="eastAsia" w:ascii="仿宋" w:hAnsi="仿宋" w:eastAsia="仿宋" w:cs="仿宋"/>
          <w:color w:val="000000" w:themeColor="text1"/>
          <w:sz w:val="24"/>
          <w:szCs w:val="24"/>
          <w:highlight w:val="none"/>
          <w14:textFill>
            <w14:solidFill>
              <w14:schemeClr w14:val="tx1"/>
            </w14:solidFill>
          </w14:textFill>
        </w:rPr>
      </w:pPr>
    </w:p>
    <w:p w14:paraId="359FC28C">
      <w:pPr>
        <w:pStyle w:val="47"/>
        <w:rPr>
          <w:rFonts w:hint="eastAsia" w:ascii="仿宋" w:hAnsi="仿宋" w:eastAsia="仿宋" w:cs="仿宋"/>
          <w:color w:val="000000" w:themeColor="text1"/>
          <w:sz w:val="24"/>
          <w:szCs w:val="24"/>
          <w:highlight w:val="none"/>
          <w14:textFill>
            <w14:solidFill>
              <w14:schemeClr w14:val="tx1"/>
            </w14:solidFill>
          </w14:textFill>
        </w:rPr>
      </w:pPr>
    </w:p>
    <w:p w14:paraId="08F75D27">
      <w:pPr>
        <w:pStyle w:val="47"/>
        <w:rPr>
          <w:rFonts w:hint="eastAsia" w:ascii="仿宋" w:hAnsi="仿宋" w:eastAsia="仿宋" w:cs="仿宋"/>
          <w:color w:val="000000" w:themeColor="text1"/>
          <w:sz w:val="24"/>
          <w:szCs w:val="24"/>
          <w:highlight w:val="none"/>
          <w14:textFill>
            <w14:solidFill>
              <w14:schemeClr w14:val="tx1"/>
            </w14:solidFill>
          </w14:textFill>
        </w:rPr>
      </w:pPr>
    </w:p>
    <w:p w14:paraId="2B9D7B84">
      <w:pPr>
        <w:pStyle w:val="47"/>
        <w:rPr>
          <w:rFonts w:hint="eastAsia" w:ascii="仿宋" w:hAnsi="仿宋" w:eastAsia="仿宋" w:cs="仿宋"/>
          <w:color w:val="000000" w:themeColor="text1"/>
          <w:sz w:val="24"/>
          <w:szCs w:val="24"/>
          <w:highlight w:val="none"/>
          <w14:textFill>
            <w14:solidFill>
              <w14:schemeClr w14:val="tx1"/>
            </w14:solidFill>
          </w14:textFill>
        </w:rPr>
      </w:pPr>
    </w:p>
    <w:p w14:paraId="2419883C">
      <w:pPr>
        <w:pStyle w:val="47"/>
        <w:rPr>
          <w:rFonts w:hint="eastAsia" w:ascii="仿宋" w:hAnsi="仿宋" w:eastAsia="仿宋" w:cs="仿宋"/>
          <w:color w:val="000000" w:themeColor="text1"/>
          <w:sz w:val="24"/>
          <w:szCs w:val="24"/>
          <w:highlight w:val="none"/>
          <w14:textFill>
            <w14:solidFill>
              <w14:schemeClr w14:val="tx1"/>
            </w14:solidFill>
          </w14:textFill>
        </w:rPr>
      </w:pPr>
    </w:p>
    <w:p w14:paraId="59C217F4">
      <w:pPr>
        <w:pStyle w:val="47"/>
        <w:rPr>
          <w:rFonts w:hint="eastAsia" w:ascii="仿宋" w:hAnsi="仿宋" w:eastAsia="仿宋" w:cs="仿宋"/>
          <w:color w:val="000000" w:themeColor="text1"/>
          <w:sz w:val="24"/>
          <w:szCs w:val="24"/>
          <w:highlight w:val="none"/>
          <w14:textFill>
            <w14:solidFill>
              <w14:schemeClr w14:val="tx1"/>
            </w14:solidFill>
          </w14:textFill>
        </w:rPr>
      </w:pPr>
    </w:p>
    <w:p w14:paraId="5A8A34FE">
      <w:pPr>
        <w:pStyle w:val="47"/>
        <w:rPr>
          <w:rFonts w:hint="eastAsia" w:ascii="仿宋" w:hAnsi="仿宋" w:eastAsia="仿宋" w:cs="仿宋"/>
          <w:color w:val="000000" w:themeColor="text1"/>
          <w:sz w:val="24"/>
          <w:szCs w:val="24"/>
          <w:highlight w:val="none"/>
          <w14:textFill>
            <w14:solidFill>
              <w14:schemeClr w14:val="tx1"/>
            </w14:solidFill>
          </w14:textFill>
        </w:rPr>
      </w:pPr>
    </w:p>
    <w:p w14:paraId="193DE8D9">
      <w:pPr>
        <w:pStyle w:val="7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C8D5742">
      <w:pPr>
        <w:ind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封面：</w:t>
      </w:r>
    </w:p>
    <w:p w14:paraId="310F2AE6">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6CC697D5">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3501C5AD">
      <w:pPr>
        <w:autoSpaceDE w:val="0"/>
        <w:autoSpaceDN w:val="0"/>
        <w:adjustRightInd w:val="0"/>
        <w:jc w:val="center"/>
        <w:rPr>
          <w:rFonts w:hint="eastAsia" w:ascii="仿宋" w:hAnsi="仿宋" w:eastAsia="仿宋" w:cs="仿宋"/>
          <w:color w:val="000000" w:themeColor="text1"/>
          <w:sz w:val="24"/>
          <w:szCs w:val="24"/>
          <w:highlight w:val="none"/>
          <w14:textFill>
            <w14:solidFill>
              <w14:schemeClr w14:val="tx1"/>
            </w14:solidFill>
          </w14:textFill>
        </w:rPr>
      </w:pPr>
    </w:p>
    <w:p w14:paraId="33C70EEC">
      <w:pPr>
        <w:pStyle w:val="5"/>
        <w:bidi w:val="0"/>
        <w:jc w:val="center"/>
        <w:rPr>
          <w:rFonts w:hint="eastAsia" w:ascii="仿宋" w:hAnsi="仿宋" w:eastAsia="仿宋" w:cs="仿宋"/>
          <w:color w:val="000000" w:themeColor="text1"/>
          <w:sz w:val="24"/>
          <w:szCs w:val="24"/>
          <w:highlight w:val="none"/>
          <w14:textFill>
            <w14:solidFill>
              <w14:schemeClr w14:val="tx1"/>
            </w14:solidFill>
          </w14:textFill>
        </w:rPr>
      </w:pPr>
      <w:bookmarkStart w:id="507" w:name="_Toc25734"/>
      <w:r>
        <w:rPr>
          <w:rFonts w:hint="eastAsia" w:ascii="仿宋" w:hAnsi="仿宋" w:eastAsia="仿宋" w:cs="仿宋"/>
          <w:color w:val="000000" w:themeColor="text1"/>
          <w:sz w:val="24"/>
          <w:szCs w:val="24"/>
          <w:highlight w:val="none"/>
          <w14:textFill>
            <w14:solidFill>
              <w14:schemeClr w14:val="tx1"/>
            </w14:solidFill>
          </w14:textFill>
        </w:rPr>
        <w:t>投 标 文 件</w:t>
      </w:r>
      <w:bookmarkEnd w:id="507"/>
    </w:p>
    <w:p w14:paraId="3BAE05F9">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08" w:name="_Toc16181"/>
      <w:r>
        <w:rPr>
          <w:rFonts w:hint="eastAsia" w:ascii="仿宋" w:hAnsi="仿宋" w:eastAsia="仿宋" w:cs="仿宋"/>
          <w:color w:val="000000" w:themeColor="text1"/>
          <w:sz w:val="24"/>
          <w:szCs w:val="24"/>
          <w:highlight w:val="none"/>
          <w:lang w:val="en-US" w:eastAsia="zh-CN"/>
          <w14:textFill>
            <w14:solidFill>
              <w14:schemeClr w14:val="tx1"/>
            </w14:solidFill>
          </w14:textFill>
        </w:rPr>
        <w:t>报价文件</w:t>
      </w:r>
      <w:bookmarkEnd w:id="508"/>
    </w:p>
    <w:p w14:paraId="2B487B3A">
      <w:pPr>
        <w:autoSpaceDE w:val="0"/>
        <w:autoSpaceDN w:val="0"/>
        <w:adjustRightInd w:val="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（第XX包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如不分包，请删去本行</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1FB4237">
      <w:pPr>
        <w:pStyle w:val="5"/>
        <w:rPr>
          <w:rFonts w:hint="eastAsia" w:ascii="仿宋" w:hAnsi="仿宋" w:eastAsia="仿宋" w:cs="仿宋"/>
          <w:color w:val="000000" w:themeColor="text1"/>
          <w:sz w:val="24"/>
          <w:szCs w:val="24"/>
          <w:highlight w:val="none"/>
          <w14:textFill>
            <w14:solidFill>
              <w14:schemeClr w14:val="tx1"/>
            </w14:solidFill>
          </w14:textFill>
        </w:rPr>
      </w:pPr>
    </w:p>
    <w:p w14:paraId="5695F4B9">
      <w:pPr>
        <w:rPr>
          <w:rFonts w:hint="eastAsia" w:ascii="仿宋" w:hAnsi="仿宋" w:eastAsia="仿宋" w:cs="仿宋"/>
          <w:color w:val="000000" w:themeColor="text1"/>
          <w:sz w:val="24"/>
          <w:szCs w:val="24"/>
          <w:highlight w:val="none"/>
          <w14:textFill>
            <w14:solidFill>
              <w14:schemeClr w14:val="tx1"/>
            </w14:solidFill>
          </w14:textFill>
        </w:rPr>
      </w:pPr>
    </w:p>
    <w:p w14:paraId="05E16707">
      <w:pPr>
        <w:rPr>
          <w:rFonts w:hint="eastAsia" w:ascii="仿宋" w:hAnsi="仿宋" w:eastAsia="仿宋" w:cs="仿宋"/>
          <w:color w:val="000000" w:themeColor="text1"/>
          <w:sz w:val="24"/>
          <w:szCs w:val="24"/>
          <w:highlight w:val="none"/>
          <w14:textFill>
            <w14:solidFill>
              <w14:schemeClr w14:val="tx1"/>
            </w14:solidFill>
          </w14:textFill>
        </w:rPr>
      </w:pPr>
    </w:p>
    <w:p w14:paraId="2ADE491D">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3FFF41F6">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0379C582">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E728D2D">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BEE8D9E">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标</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7EA3EEF">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68C52151">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63B4A092">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5BC80FAC">
      <w:pP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br w:type="page"/>
      </w:r>
    </w:p>
    <w:p w14:paraId="59F85288">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B286E41">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09" w:name="_Toc13682"/>
      <w:r>
        <w:rPr>
          <w:rFonts w:hint="eastAsia" w:ascii="仿宋" w:hAnsi="仿宋" w:eastAsia="仿宋" w:cs="仿宋"/>
          <w:color w:val="000000" w:themeColor="text1"/>
          <w:sz w:val="24"/>
          <w:szCs w:val="24"/>
          <w:highlight w:val="none"/>
          <w:lang w:val="en-US" w:eastAsia="zh-CN"/>
          <w14:textFill>
            <w14:solidFill>
              <w14:schemeClr w14:val="tx1"/>
            </w14:solidFill>
          </w14:textFill>
        </w:rPr>
        <w:t>一、开标一览表</w:t>
      </w:r>
      <w:bookmarkEnd w:id="509"/>
    </w:p>
    <w:p w14:paraId="67ABDCD2">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25BC9239">
      <w:pPr>
        <w:rPr>
          <w:rFonts w:hint="eastAsia" w:ascii="仿宋" w:hAnsi="仿宋" w:eastAsia="仿宋" w:cs="仿宋"/>
          <w:b w:val="0"/>
          <w:bCs/>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t xml:space="preserve">                     </w:t>
      </w:r>
    </w:p>
    <w:p w14:paraId="2EB47DEE">
      <w:pP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zh-CN"/>
          <w14:textFill>
            <w14:solidFill>
              <w14:schemeClr w14:val="tx1"/>
            </w14:solidFill>
          </w14:textFill>
        </w:rPr>
        <w:t>项目编号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zh-CN"/>
          <w14:textFill>
            <w14:solidFill>
              <w14:schemeClr w14:val="tx1"/>
            </w14:solidFill>
          </w14:textFill>
        </w:rPr>
        <w:t>包号：</w:t>
      </w:r>
      <w: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t xml:space="preserve">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6A4D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2E5A814E">
            <w:pPr>
              <w:widowControl/>
              <w:autoSpaceDE w:val="0"/>
              <w:autoSpaceDN w:val="0"/>
              <w:spacing w:line="240" w:lineRule="auto"/>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52" w:type="dxa"/>
            <w:vAlign w:val="center"/>
          </w:tcPr>
          <w:p w14:paraId="7CB56391">
            <w:pPr>
              <w:widowControl/>
              <w:autoSpaceDE w:val="0"/>
              <w:autoSpaceDN w:val="0"/>
              <w:spacing w:line="240" w:lineRule="auto"/>
              <w:ind w:left="851" w:hanging="851"/>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tc>
        <w:tc>
          <w:tcPr>
            <w:tcW w:w="2161" w:type="dxa"/>
            <w:vAlign w:val="center"/>
          </w:tcPr>
          <w:p w14:paraId="378B7F75">
            <w:pPr>
              <w:widowControl/>
              <w:autoSpaceDE w:val="0"/>
              <w:autoSpaceDN w:val="0"/>
              <w:spacing w:line="240" w:lineRule="auto"/>
              <w:ind w:left="851" w:hanging="851"/>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交货期限</w:t>
            </w:r>
          </w:p>
        </w:tc>
        <w:tc>
          <w:tcPr>
            <w:tcW w:w="2611" w:type="dxa"/>
            <w:vAlign w:val="center"/>
          </w:tcPr>
          <w:p w14:paraId="6127F618">
            <w:pPr>
              <w:widowControl/>
              <w:autoSpaceDE w:val="0"/>
              <w:autoSpaceDN w:val="0"/>
              <w:spacing w:line="240" w:lineRule="auto"/>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备注（如有）</w:t>
            </w:r>
          </w:p>
        </w:tc>
      </w:tr>
      <w:tr w14:paraId="1461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E02B7BD">
            <w:pPr>
              <w:widowControl/>
              <w:autoSpaceDE w:val="0"/>
              <w:autoSpaceDN w:val="0"/>
              <w:spacing w:line="240" w:lineRule="auto"/>
              <w:ind w:left="851" w:hanging="851"/>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p>
        </w:tc>
        <w:tc>
          <w:tcPr>
            <w:tcW w:w="2352" w:type="dxa"/>
            <w:vAlign w:val="center"/>
          </w:tcPr>
          <w:p w14:paraId="02768C2F">
            <w:pPr>
              <w:widowControl/>
              <w:shd w:val="clear"/>
              <w:autoSpaceDE w:val="0"/>
              <w:autoSpaceDN w:val="0"/>
              <w:spacing w:line="240" w:lineRule="auto"/>
              <w:ind w:left="851" w:hanging="851"/>
              <w:jc w:val="both"/>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小写：</w:t>
            </w:r>
          </w:p>
          <w:p w14:paraId="11EA4248">
            <w:pPr>
              <w:widowControl/>
              <w:shd w:val="clear"/>
              <w:autoSpaceDE w:val="0"/>
              <w:autoSpaceDN w:val="0"/>
              <w:spacing w:line="240" w:lineRule="auto"/>
              <w:ind w:left="851" w:hanging="851"/>
              <w:jc w:val="both"/>
              <w:textAlignment w:val="bottom"/>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p>
        </w:tc>
        <w:tc>
          <w:tcPr>
            <w:tcW w:w="2161" w:type="dxa"/>
            <w:vAlign w:val="center"/>
          </w:tcPr>
          <w:p w14:paraId="1A4FB11F">
            <w:pPr>
              <w:widowControl/>
              <w:autoSpaceDE w:val="0"/>
              <w:autoSpaceDN w:val="0"/>
              <w:spacing w:line="240" w:lineRule="auto"/>
              <w:ind w:left="851" w:hanging="851"/>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p>
        </w:tc>
        <w:tc>
          <w:tcPr>
            <w:tcW w:w="2611" w:type="dxa"/>
            <w:vAlign w:val="center"/>
          </w:tcPr>
          <w:p w14:paraId="3C00B08A">
            <w:pPr>
              <w:widowControl/>
              <w:autoSpaceDE w:val="0"/>
              <w:autoSpaceDN w:val="0"/>
              <w:spacing w:line="240" w:lineRule="auto"/>
              <w:ind w:left="851" w:hanging="851"/>
              <w:jc w:val="center"/>
              <w:textAlignment w:val="bottom"/>
              <w:rPr>
                <w:rFonts w:hint="eastAsia" w:ascii="仿宋" w:hAnsi="仿宋" w:eastAsia="仿宋" w:cs="仿宋"/>
                <w:color w:val="000000" w:themeColor="text1"/>
                <w:sz w:val="24"/>
                <w:szCs w:val="24"/>
                <w:highlight w:val="none"/>
                <w14:textFill>
                  <w14:solidFill>
                    <w14:schemeClr w14:val="tx1"/>
                  </w14:solidFill>
                </w14:textFill>
              </w:rPr>
            </w:pPr>
          </w:p>
        </w:tc>
      </w:tr>
    </w:tbl>
    <w:p w14:paraId="227ED3F4">
      <w:pPr>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p>
    <w:p w14:paraId="312FE834">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0BD6A678">
      <w:pPr>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6BA0912A">
      <w:pPr>
        <w:rPr>
          <w:rFonts w:hint="eastAsia" w:ascii="仿宋" w:hAnsi="仿宋" w:eastAsia="仿宋" w:cs="仿宋"/>
          <w:color w:val="000000" w:themeColor="text1"/>
          <w:sz w:val="24"/>
          <w:szCs w:val="24"/>
          <w:highlight w:val="none"/>
          <w14:textFill>
            <w14:solidFill>
              <w14:schemeClr w14:val="tx1"/>
            </w14:solidFill>
          </w14:textFill>
        </w:rPr>
      </w:pPr>
    </w:p>
    <w:p w14:paraId="5C74E743">
      <w:pPr>
        <w:pStyle w:val="2"/>
        <w:rPr>
          <w:rFonts w:hint="eastAsia" w:ascii="仿宋" w:hAnsi="仿宋" w:eastAsia="仿宋" w:cs="仿宋"/>
          <w:color w:val="000000" w:themeColor="text1"/>
          <w:sz w:val="24"/>
          <w:szCs w:val="24"/>
          <w:highlight w:val="none"/>
          <w14:textFill>
            <w14:solidFill>
              <w14:schemeClr w14:val="tx1"/>
            </w14:solidFill>
          </w14:textFill>
        </w:rPr>
      </w:pPr>
    </w:p>
    <w:p w14:paraId="59F057F8">
      <w:pPr>
        <w:pStyle w:val="2"/>
        <w:rPr>
          <w:rFonts w:hint="eastAsia" w:ascii="仿宋" w:hAnsi="仿宋" w:eastAsia="仿宋" w:cs="仿宋"/>
          <w:color w:val="000000" w:themeColor="text1"/>
          <w:sz w:val="24"/>
          <w:szCs w:val="24"/>
          <w:highlight w:val="none"/>
          <w14:textFill>
            <w14:solidFill>
              <w14:schemeClr w14:val="tx1"/>
            </w14:solidFill>
          </w14:textFill>
        </w:rPr>
      </w:pPr>
    </w:p>
    <w:p w14:paraId="577B7A85">
      <w:pPr>
        <w:pStyle w:val="2"/>
        <w:rPr>
          <w:rFonts w:hint="eastAsia" w:ascii="仿宋" w:hAnsi="仿宋" w:eastAsia="仿宋" w:cs="仿宋"/>
          <w:color w:val="000000" w:themeColor="text1"/>
          <w:sz w:val="24"/>
          <w:szCs w:val="24"/>
          <w:highlight w:val="none"/>
          <w14:textFill>
            <w14:solidFill>
              <w14:schemeClr w14:val="tx1"/>
            </w14:solidFill>
          </w14:textFill>
        </w:rPr>
      </w:pPr>
    </w:p>
    <w:p w14:paraId="71379366">
      <w:pPr>
        <w:pStyle w:val="2"/>
        <w:rPr>
          <w:rFonts w:hint="eastAsia" w:ascii="仿宋" w:hAnsi="仿宋" w:eastAsia="仿宋" w:cs="仿宋"/>
          <w:color w:val="000000" w:themeColor="text1"/>
          <w:sz w:val="24"/>
          <w:szCs w:val="24"/>
          <w:highlight w:val="none"/>
          <w14:textFill>
            <w14:solidFill>
              <w14:schemeClr w14:val="tx1"/>
            </w14:solidFill>
          </w14:textFill>
        </w:rPr>
      </w:pPr>
    </w:p>
    <w:p w14:paraId="5BFE7646">
      <w:pPr>
        <w:spacing w:line="360" w:lineRule="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注：</w:t>
      </w:r>
    </w:p>
    <w:p w14:paraId="0D7AFE72">
      <w:pPr>
        <w:spacing w:line="360" w:lineRule="auto"/>
        <w:ind w:firstLine="43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1.此表用于开标唱标之用。</w:t>
      </w:r>
    </w:p>
    <w:p w14:paraId="34567246">
      <w:pPr>
        <w:spacing w:line="360" w:lineRule="auto"/>
        <w:ind w:firstLine="43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2.表中投标报价即为优惠后报价，并作为评审及定标依据。任何有选择或有条件的投标报价，或者表中某一包填写多个报价，均为无效报价。</w:t>
      </w:r>
    </w:p>
    <w:p w14:paraId="4BF1EA5A">
      <w:pPr>
        <w:pStyle w:val="2"/>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.表中大写与小写不一致的，以大写为准。</w:t>
      </w:r>
    </w:p>
    <w:p w14:paraId="2BD374B2">
      <w:pPr>
        <w:pStyle w:val="2"/>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8C2BFAA">
      <w:pPr>
        <w:pStyle w:val="2"/>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B4766DE">
      <w:pPr>
        <w:pStyle w:val="2"/>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501D0A5E">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2FB481BC">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10" w:name="_Toc16528"/>
      <w:r>
        <w:rPr>
          <w:rFonts w:hint="eastAsia" w:ascii="仿宋" w:hAnsi="仿宋" w:eastAsia="仿宋" w:cs="仿宋"/>
          <w:color w:val="000000" w:themeColor="text1"/>
          <w:sz w:val="24"/>
          <w:szCs w:val="24"/>
          <w:highlight w:val="none"/>
          <w:lang w:val="en-US" w:eastAsia="zh-CN"/>
          <w14:textFill>
            <w14:solidFill>
              <w14:schemeClr w14:val="tx1"/>
            </w14:solidFill>
          </w14:textFill>
        </w:rPr>
        <w:t>二、分项报价表</w:t>
      </w:r>
      <w:bookmarkEnd w:id="510"/>
    </w:p>
    <w:p w14:paraId="0B08CADF">
      <w:pPr>
        <w:spacing w:line="240" w:lineRule="auto"/>
        <w:rPr>
          <w:rFonts w:hint="eastAsia" w:ascii="仿宋" w:hAnsi="仿宋" w:eastAsia="仿宋" w:cs="仿宋"/>
          <w:b w:val="0"/>
          <w:bCs/>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t xml:space="preserve">   </w:t>
      </w:r>
    </w:p>
    <w:p w14:paraId="02D22AF1">
      <w:pPr>
        <w:spacing w:line="240" w:lineRule="auto"/>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zh-CN"/>
          <w14:textFill>
            <w14:solidFill>
              <w14:schemeClr w14:val="tx1"/>
            </w14:solidFill>
          </w14:textFill>
        </w:rPr>
        <w:t>项目编号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zh-CN"/>
          <w14:textFill>
            <w14:solidFill>
              <w14:schemeClr w14:val="tx1"/>
            </w14:solidFill>
          </w14:textFill>
        </w:rPr>
        <w:t>包号：</w:t>
      </w:r>
      <w:r>
        <w:rPr>
          <w:rFonts w:hint="eastAsia" w:ascii="仿宋" w:hAnsi="仿宋" w:eastAsia="仿宋" w:cs="仿宋"/>
          <w:b w:val="0"/>
          <w:bCs/>
          <w:color w:val="000000" w:themeColor="text1"/>
          <w:sz w:val="24"/>
          <w:szCs w:val="24"/>
          <w:highlight w:val="none"/>
          <w:u w:val="single"/>
          <w:lang w:val="zh-CN"/>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val="zh-CN"/>
          <w14:textFill>
            <w14:solidFill>
              <w14:schemeClr w14:val="tx1"/>
            </w14:solidFill>
          </w14:textFill>
        </w:rPr>
        <w:t xml:space="preserve">      </w:t>
      </w:r>
    </w:p>
    <w:tbl>
      <w:tblPr>
        <w:tblStyle w:val="3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565"/>
        <w:gridCol w:w="565"/>
        <w:gridCol w:w="548"/>
        <w:gridCol w:w="751"/>
        <w:gridCol w:w="530"/>
        <w:gridCol w:w="797"/>
        <w:gridCol w:w="540"/>
        <w:gridCol w:w="456"/>
        <w:gridCol w:w="706"/>
        <w:gridCol w:w="936"/>
        <w:gridCol w:w="489"/>
        <w:gridCol w:w="936"/>
      </w:tblGrid>
      <w:tr w14:paraId="1BDC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15" w:type="pct"/>
            <w:vAlign w:val="center"/>
          </w:tcPr>
          <w:p w14:paraId="6A05F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kern w:val="2"/>
                <w:sz w:val="24"/>
                <w:szCs w:val="24"/>
                <w:highlight w:val="none"/>
                <w14:textFill>
                  <w14:solidFill>
                    <w14:schemeClr w14:val="tx1"/>
                  </w14:solidFill>
                </w14:textFill>
              </w:rPr>
              <w:t>序号</w:t>
            </w:r>
          </w:p>
        </w:tc>
        <w:tc>
          <w:tcPr>
            <w:tcW w:w="376" w:type="pct"/>
            <w:vAlign w:val="center"/>
          </w:tcPr>
          <w:p w14:paraId="5B402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分项</w:t>
            </w:r>
            <w:r>
              <w:rPr>
                <w:rFonts w:hint="eastAsia" w:ascii="仿宋" w:hAnsi="仿宋" w:eastAsia="仿宋" w:cs="仿宋"/>
                <w:b w:val="0"/>
                <w:bCs/>
                <w:color w:val="000000" w:themeColor="text1"/>
                <w:sz w:val="24"/>
                <w:szCs w:val="24"/>
                <w:highlight w:val="none"/>
                <w14:textFill>
                  <w14:solidFill>
                    <w14:schemeClr w14:val="tx1"/>
                  </w14:solidFill>
                </w14:textFill>
              </w:rPr>
              <w:t>名称</w:t>
            </w:r>
          </w:p>
        </w:tc>
        <w:tc>
          <w:tcPr>
            <w:tcW w:w="376" w:type="pct"/>
            <w:vAlign w:val="center"/>
          </w:tcPr>
          <w:p w14:paraId="2F69C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制造商</w:t>
            </w:r>
          </w:p>
        </w:tc>
        <w:tc>
          <w:tcPr>
            <w:tcW w:w="366" w:type="pct"/>
            <w:vAlign w:val="center"/>
          </w:tcPr>
          <w:p w14:paraId="1CF30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产地/国别</w:t>
            </w:r>
          </w:p>
        </w:tc>
        <w:tc>
          <w:tcPr>
            <w:tcW w:w="488" w:type="pct"/>
            <w:vAlign w:val="center"/>
          </w:tcPr>
          <w:p w14:paraId="40715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制造商</w:t>
            </w:r>
          </w:p>
          <w:p w14:paraId="356D4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统一社会信用代码</w:t>
            </w:r>
          </w:p>
        </w:tc>
        <w:tc>
          <w:tcPr>
            <w:tcW w:w="355" w:type="pct"/>
            <w:vAlign w:val="center"/>
          </w:tcPr>
          <w:p w14:paraId="6B7EF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制造商规模</w:t>
            </w:r>
          </w:p>
        </w:tc>
        <w:tc>
          <w:tcPr>
            <w:tcW w:w="516" w:type="pct"/>
            <w:vAlign w:val="center"/>
          </w:tcPr>
          <w:p w14:paraId="34E78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en-US"/>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制造商实际控制人性别</w:t>
            </w:r>
          </w:p>
        </w:tc>
        <w:tc>
          <w:tcPr>
            <w:tcW w:w="361" w:type="pct"/>
            <w:vAlign w:val="center"/>
          </w:tcPr>
          <w:p w14:paraId="57CDF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外商投资类型</w:t>
            </w:r>
          </w:p>
        </w:tc>
        <w:tc>
          <w:tcPr>
            <w:tcW w:w="304" w:type="pct"/>
            <w:vAlign w:val="center"/>
          </w:tcPr>
          <w:p w14:paraId="6FB7E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品牌</w:t>
            </w:r>
          </w:p>
        </w:tc>
        <w:tc>
          <w:tcPr>
            <w:tcW w:w="467" w:type="pct"/>
            <w:vAlign w:val="center"/>
          </w:tcPr>
          <w:p w14:paraId="3FC1B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规格、</w:t>
            </w:r>
            <w:r>
              <w:rPr>
                <w:rFonts w:hint="eastAsia" w:ascii="仿宋" w:hAnsi="仿宋" w:eastAsia="仿宋" w:cs="仿宋"/>
                <w:b w:val="0"/>
                <w:bCs/>
                <w:color w:val="000000" w:themeColor="text1"/>
                <w:sz w:val="24"/>
                <w:szCs w:val="24"/>
                <w:highlight w:val="none"/>
                <w14:textFill>
                  <w14:solidFill>
                    <w14:schemeClr w14:val="tx1"/>
                  </w14:solidFill>
                </w14:textFill>
              </w:rPr>
              <w:t>型号</w:t>
            </w:r>
          </w:p>
        </w:tc>
        <w:tc>
          <w:tcPr>
            <w:tcW w:w="361" w:type="pct"/>
            <w:vAlign w:val="center"/>
          </w:tcPr>
          <w:p w14:paraId="6E9D85CE">
            <w:pPr>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单价</w:t>
            </w:r>
          </w:p>
          <w:p w14:paraId="71DE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（元）</w:t>
            </w:r>
          </w:p>
        </w:tc>
        <w:tc>
          <w:tcPr>
            <w:tcW w:w="325" w:type="pct"/>
            <w:vAlign w:val="center"/>
          </w:tcPr>
          <w:p w14:paraId="6954C2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数量</w:t>
            </w:r>
          </w:p>
        </w:tc>
        <w:tc>
          <w:tcPr>
            <w:tcW w:w="384" w:type="pct"/>
            <w:vAlign w:val="center"/>
          </w:tcPr>
          <w:p w14:paraId="27D9DF0E">
            <w:pPr>
              <w:spacing w:line="240" w:lineRule="auto"/>
              <w:jc w:val="cente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合价</w:t>
            </w:r>
          </w:p>
          <w:p w14:paraId="60F3F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（元）</w:t>
            </w:r>
          </w:p>
        </w:tc>
      </w:tr>
      <w:tr w14:paraId="1CDE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11B0AE24">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1</w:t>
            </w:r>
          </w:p>
        </w:tc>
        <w:tc>
          <w:tcPr>
            <w:tcW w:w="376" w:type="pct"/>
            <w:vAlign w:val="center"/>
          </w:tcPr>
          <w:p w14:paraId="3C43304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222ECF5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4970ABB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6C7E69A3">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18FD06AB">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262BF5B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68F0CAEA">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358DEED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2B0C797F">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4920D0F7">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116A9331">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121814AB">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3C5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38E477B2">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2</w:t>
            </w:r>
          </w:p>
        </w:tc>
        <w:tc>
          <w:tcPr>
            <w:tcW w:w="376" w:type="pct"/>
            <w:vAlign w:val="center"/>
          </w:tcPr>
          <w:p w14:paraId="474C952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5922067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178B5DF1">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3440C326">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03BBC30F">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3A8CE93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005CBE0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060DCEAC">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3B9A43A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1529AC47">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722890C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094E489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533F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75D11E74">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3</w:t>
            </w:r>
          </w:p>
        </w:tc>
        <w:tc>
          <w:tcPr>
            <w:tcW w:w="376" w:type="pct"/>
            <w:vAlign w:val="center"/>
          </w:tcPr>
          <w:p w14:paraId="3268761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74131AF3">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6EEDF868">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0AA4A3DF">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79642206">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07ADD26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6AEA6A48">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7E4D5E7B">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01DD8BD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25C516DF">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10AC105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0DCB94E8">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4583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5847E3FE">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4</w:t>
            </w:r>
          </w:p>
        </w:tc>
        <w:tc>
          <w:tcPr>
            <w:tcW w:w="376" w:type="pct"/>
            <w:vAlign w:val="center"/>
          </w:tcPr>
          <w:p w14:paraId="05CF18A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024209A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34F99B96">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7F732C5F">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3761906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3F6AF8C6">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2646548E">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39839DFE">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52C79D57">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251D50BA">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70291FB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7F072C78">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0808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59790556">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5</w:t>
            </w:r>
          </w:p>
        </w:tc>
        <w:tc>
          <w:tcPr>
            <w:tcW w:w="376" w:type="pct"/>
            <w:vAlign w:val="center"/>
          </w:tcPr>
          <w:p w14:paraId="3CB2DF6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331BEB9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3CBCBCB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5EBA534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1DB8D20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7A35AFB3">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14A4BCA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07204067">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7817BFF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6C0B36E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7C29F96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278EA0A1">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3771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2D454436">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6</w:t>
            </w:r>
          </w:p>
        </w:tc>
        <w:tc>
          <w:tcPr>
            <w:tcW w:w="376" w:type="pct"/>
            <w:vAlign w:val="center"/>
          </w:tcPr>
          <w:p w14:paraId="423EBEB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2A97F77E">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7081698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047DD86E">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7221ACF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149A0AAB">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186F955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14C06171">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7253DCD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107F46F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4EA19EE8">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1E54F66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5DBF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315" w:type="pct"/>
            <w:vAlign w:val="center"/>
          </w:tcPr>
          <w:p w14:paraId="26AEB53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t>…</w:t>
            </w:r>
          </w:p>
        </w:tc>
        <w:tc>
          <w:tcPr>
            <w:tcW w:w="376" w:type="pct"/>
            <w:vAlign w:val="center"/>
          </w:tcPr>
          <w:p w14:paraId="5286D70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76" w:type="pct"/>
            <w:vAlign w:val="center"/>
          </w:tcPr>
          <w:p w14:paraId="25234C65">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6" w:type="pct"/>
            <w:vAlign w:val="center"/>
          </w:tcPr>
          <w:p w14:paraId="030A18D6">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88" w:type="pct"/>
            <w:vAlign w:val="center"/>
          </w:tcPr>
          <w:p w14:paraId="2EA3997A">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55" w:type="pct"/>
            <w:vAlign w:val="center"/>
          </w:tcPr>
          <w:p w14:paraId="6674C4C2">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516" w:type="pct"/>
            <w:vAlign w:val="center"/>
          </w:tcPr>
          <w:p w14:paraId="178F7459">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1728FFBC">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04" w:type="pct"/>
            <w:vAlign w:val="center"/>
          </w:tcPr>
          <w:p w14:paraId="0D1992E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467" w:type="pct"/>
            <w:vAlign w:val="center"/>
          </w:tcPr>
          <w:p w14:paraId="3C307DC0">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61" w:type="pct"/>
            <w:vAlign w:val="center"/>
          </w:tcPr>
          <w:p w14:paraId="093B83FB">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25" w:type="pct"/>
            <w:vAlign w:val="center"/>
          </w:tcPr>
          <w:p w14:paraId="01E4979D">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c>
          <w:tcPr>
            <w:tcW w:w="384" w:type="pct"/>
            <w:vAlign w:val="center"/>
          </w:tcPr>
          <w:p w14:paraId="5AD06ECE">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r w14:paraId="6576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15" w:type="pct"/>
            <w:gridSpan w:val="12"/>
            <w:vAlign w:val="center"/>
          </w:tcPr>
          <w:p w14:paraId="0C9EE86E">
            <w:pPr>
              <w:jc w:val="cente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vertAlign w:val="baseline"/>
                <w:lang w:val="en-US" w:eastAsia="zh-CN"/>
                <w14:textFill>
                  <w14:solidFill>
                    <w14:schemeClr w14:val="tx1"/>
                  </w14:solidFill>
                </w14:textFill>
              </w:rPr>
              <w:t>总价</w:t>
            </w:r>
            <w:r>
              <w:rPr>
                <w:rFonts w:hint="eastAsia" w:ascii="仿宋" w:hAnsi="仿宋" w:eastAsia="仿宋" w:cs="仿宋"/>
                <w:b w:val="0"/>
                <w:bCs/>
                <w:color w:val="000000" w:themeColor="text1"/>
                <w:sz w:val="24"/>
                <w:szCs w:val="24"/>
                <w:highlight w:val="none"/>
                <w14:textFill>
                  <w14:solidFill>
                    <w14:schemeClr w14:val="tx1"/>
                  </w14:solidFill>
                </w14:textFill>
              </w:rPr>
              <w:t>（元）</w:t>
            </w:r>
          </w:p>
        </w:tc>
        <w:tc>
          <w:tcPr>
            <w:tcW w:w="384" w:type="pct"/>
            <w:vAlign w:val="center"/>
          </w:tcPr>
          <w:p w14:paraId="30177364">
            <w:pPr>
              <w:jc w:val="center"/>
              <w:rPr>
                <w:rFonts w:hint="eastAsia" w:ascii="仿宋" w:hAnsi="仿宋" w:eastAsia="仿宋" w:cs="仿宋"/>
                <w:b w:val="0"/>
                <w:bCs/>
                <w:color w:val="000000" w:themeColor="text1"/>
                <w:sz w:val="24"/>
                <w:szCs w:val="24"/>
                <w:highlight w:val="none"/>
                <w:u w:val="none"/>
                <w:vertAlign w:val="baseline"/>
                <w:lang w:val="zh-CN"/>
                <w14:textFill>
                  <w14:solidFill>
                    <w14:schemeClr w14:val="tx1"/>
                  </w14:solidFill>
                </w14:textFill>
              </w:rPr>
            </w:pPr>
          </w:p>
        </w:tc>
      </w:tr>
    </w:tbl>
    <w:p w14:paraId="5C1E6E0B">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71CE7B25">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2EDB5E2F">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046836D6">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1.按照本表填写的总价填写到“开标一览表”中对应的“投标报价”栏中。</w:t>
      </w:r>
    </w:p>
    <w:p w14:paraId="49F6606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.表中所列货物为对应本项目需求的全部货物及所需附件购置费、包装费、运输费、人工费、保险费、安装调试费、各种税费、资料费、售后服务费及完成项目应有的全部费用。如有漏项或缺项，</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承担全部责任。</w:t>
      </w:r>
    </w:p>
    <w:p w14:paraId="5A724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.表中须明确列出所投产品的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分项</w:t>
      </w: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制造商、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产地/国别、制造商统一社会信用代码、制造商规模、制造商所属性别、外商投资类型、</w:t>
      </w:r>
      <w:r>
        <w:rPr>
          <w:rFonts w:hint="eastAsia" w:ascii="仿宋" w:hAnsi="仿宋" w:eastAsia="仿宋" w:cs="仿宋"/>
          <w:color w:val="000000" w:themeColor="text1"/>
          <w:sz w:val="24"/>
          <w:szCs w:val="24"/>
          <w:highlight w:val="none"/>
          <w14:textFill>
            <w14:solidFill>
              <w14:schemeClr w14:val="tx1"/>
            </w14:solidFill>
          </w14:textFill>
        </w:rPr>
        <w:t>品牌、</w:t>
      </w:r>
      <w:r>
        <w:rPr>
          <w:rFonts w:hint="eastAsia" w:ascii="仿宋" w:hAnsi="仿宋" w:eastAsia="仿宋" w:cs="仿宋"/>
          <w:color w:val="000000" w:themeColor="text1"/>
          <w:sz w:val="24"/>
          <w:szCs w:val="24"/>
          <w:highlight w:val="none"/>
          <w:lang w:eastAsia="zh-CN"/>
          <w14:textFill>
            <w14:solidFill>
              <w14:schemeClr w14:val="tx1"/>
            </w14:solidFill>
          </w14:textFill>
        </w:rPr>
        <w:t>规格、</w:t>
      </w:r>
      <w:r>
        <w:rPr>
          <w:rFonts w:hint="eastAsia" w:ascii="仿宋" w:hAnsi="仿宋" w:eastAsia="仿宋" w:cs="仿宋"/>
          <w:color w:val="000000" w:themeColor="text1"/>
          <w:sz w:val="24"/>
          <w:szCs w:val="24"/>
          <w:highlight w:val="none"/>
          <w14:textFill>
            <w14:solidFill>
              <w14:schemeClr w14:val="tx1"/>
            </w14:solidFill>
          </w14:textFill>
        </w:rPr>
        <w:t>型号、</w:t>
      </w:r>
      <w:r>
        <w:rPr>
          <w:rFonts w:hint="eastAsia" w:ascii="仿宋" w:hAnsi="仿宋" w:eastAsia="仿宋" w:cs="仿宋"/>
          <w:color w:val="000000" w:themeColor="text1"/>
          <w:sz w:val="24"/>
          <w:szCs w:val="24"/>
          <w:highlight w:val="none"/>
          <w:lang w:eastAsia="zh-CN"/>
          <w14:textFill>
            <w14:solidFill>
              <w14:schemeClr w14:val="tx1"/>
            </w14:solidFill>
          </w14:textFill>
        </w:rPr>
        <w:t>单价、数量、</w:t>
      </w:r>
      <w:r>
        <w:rPr>
          <w:rFonts w:hint="eastAsia" w:ascii="仿宋" w:hAnsi="仿宋" w:eastAsia="仿宋" w:cs="仿宋"/>
          <w:color w:val="000000" w:themeColor="text1"/>
          <w:sz w:val="24"/>
          <w:szCs w:val="24"/>
          <w:highlight w:val="none"/>
          <w:lang w:val="en-US" w:eastAsia="zh-CN"/>
          <w14:textFill>
            <w14:solidFill>
              <w14:schemeClr w14:val="tx1"/>
            </w14:solidFill>
          </w14:textFill>
        </w:rPr>
        <w:t>合价等</w:t>
      </w:r>
      <w:r>
        <w:rPr>
          <w:rFonts w:hint="eastAsia" w:ascii="仿宋" w:hAnsi="仿宋" w:eastAsia="仿宋" w:cs="仿宋"/>
          <w:color w:val="000000" w:themeColor="text1"/>
          <w:sz w:val="24"/>
          <w:szCs w:val="24"/>
          <w:highlight w:val="none"/>
          <w14:textFill>
            <w14:solidFill>
              <w14:schemeClr w14:val="tx1"/>
            </w14:solidFill>
          </w14:textFill>
        </w:rPr>
        <w:t>，否则可能导致</w:t>
      </w:r>
      <w:r>
        <w:rPr>
          <w:rFonts w:hint="eastAsia" w:ascii="仿宋" w:hAnsi="仿宋" w:eastAsia="仿宋" w:cs="仿宋"/>
          <w:b/>
          <w:bCs/>
          <w:color w:val="000000" w:themeColor="text1"/>
          <w:sz w:val="24"/>
          <w:szCs w:val="24"/>
          <w:highlight w:val="none"/>
          <w14:textFill>
            <w14:solidFill>
              <w14:schemeClr w14:val="tx1"/>
            </w14:solidFill>
          </w14:textFill>
        </w:rPr>
        <w:t>响应无效</w:t>
      </w:r>
      <w:r>
        <w:rPr>
          <w:rFonts w:hint="eastAsia" w:ascii="仿宋" w:hAnsi="仿宋" w:eastAsia="仿宋" w:cs="仿宋"/>
          <w:color w:val="000000" w:themeColor="text1"/>
          <w:sz w:val="24"/>
          <w:szCs w:val="24"/>
          <w:highlight w:val="none"/>
          <w14:textFill>
            <w14:solidFill>
              <w14:schemeClr w14:val="tx1"/>
            </w14:solidFill>
          </w14:textFill>
        </w:rPr>
        <w:t>。</w:t>
      </w:r>
    </w:p>
    <w:p w14:paraId="42154EAB">
      <w:pPr>
        <w:keepNext w:val="0"/>
        <w:keepLines w:val="0"/>
        <w:widowControl/>
        <w:suppressLineNumbers w:val="0"/>
        <w:jc w:val="left"/>
        <w:rPr>
          <w:rFonts w:hint="eastAsia" w:ascii="仿宋" w:hAnsi="仿宋" w:eastAsia="仿宋" w:cs="仿宋"/>
          <w:b/>
          <w:bCs/>
          <w:i w:val="0"/>
          <w:iCs w:val="0"/>
          <w:color w:val="000000" w:themeColor="text1"/>
          <w:kern w:val="0"/>
          <w:sz w:val="24"/>
          <w:szCs w:val="24"/>
          <w:highlight w:val="none"/>
          <w:lang w:val="en-US" w:eastAsia="zh-CN" w:bidi="ar"/>
          <w14:textFill>
            <w14:solidFill>
              <w14:schemeClr w14:val="tx1"/>
            </w14:solidFill>
          </w14:textFill>
        </w:rPr>
      </w:pPr>
    </w:p>
    <w:p w14:paraId="23018907">
      <w:pPr>
        <w:keepNext w:val="0"/>
        <w:keepLines w:val="0"/>
        <w:widowControl/>
        <w:suppressLineNumbers w:val="0"/>
        <w:jc w:val="left"/>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lang w:val="en-US" w:eastAsia="zh-CN" w:bidi="ar"/>
          <w14:textFill>
            <w14:solidFill>
              <w14:schemeClr w14:val="tx1"/>
            </w14:solidFill>
          </w14:textFill>
        </w:rPr>
        <w:t>填写说明：</w:t>
      </w:r>
      <w: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t>1、“制造商规模”请填写“大型”、“中型”、“小型”、“微型”或“其他”，且不应与《中小企业声明函》或《拟分包情况说明》中内容矛盾。</w:t>
      </w:r>
    </w:p>
    <w:p w14:paraId="014304C6">
      <w:pPr>
        <w:keepNext w:val="0"/>
        <w:keepLines w:val="0"/>
        <w:widowControl/>
        <w:suppressLineNumbers w:val="0"/>
        <w:ind w:firstLine="1200" w:firstLineChars="500"/>
        <w:jc w:val="left"/>
        <w:rPr>
          <w:rFonts w:hint="eastAsia" w:ascii="仿宋" w:hAnsi="仿宋" w:eastAsia="仿宋" w:cs="仿宋"/>
          <w:b w:val="0"/>
          <w:bCs w:val="0"/>
          <w:i w:val="0"/>
          <w:i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t xml:space="preserve">2、“制造商实际控制人性别”按制造商实际控制人性别划分请填写“男”或“女”，指拥有制造商 51%以上绝对所有权的性别；绝对所有权拥有者可以是一个人，也可以是多人合计计算。 </w:t>
      </w:r>
    </w:p>
    <w:p w14:paraId="4A7AA13C">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t>3、“外商投资类型”请填写“外商单独投资”、“外商部分投资”或“内资”。</w:t>
      </w:r>
    </w:p>
    <w:p w14:paraId="566C3075">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p>
    <w:p w14:paraId="08D739DA">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p>
    <w:p w14:paraId="2F073016">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p>
    <w:p w14:paraId="211E45B0">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p>
    <w:p w14:paraId="3F33E6A5">
      <w:pPr>
        <w:spacing w:line="300" w:lineRule="auto"/>
        <w:ind w:firstLine="1200" w:firstLineChars="500"/>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p>
    <w:p w14:paraId="5A31A503">
      <w:pP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11" w:name="_Toc873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br w:type="page"/>
      </w:r>
    </w:p>
    <w:p w14:paraId="6B702DA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三、关于符合本国产品标准的声明函或财政部规定的其他</w:t>
      </w:r>
      <w:bookmarkEnd w:id="511"/>
    </w:p>
    <w:p w14:paraId="3C238CF4">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512" w:name="_Toc1437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证明文件</w:t>
      </w:r>
      <w:bookmarkEnd w:id="512"/>
    </w:p>
    <w:p w14:paraId="341CF1CA">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附件1</w:t>
      </w:r>
    </w:p>
    <w:p w14:paraId="2C63F2E0">
      <w:pPr>
        <w:keepNext w:val="0"/>
        <w:keepLines w:val="0"/>
        <w:widowControl/>
        <w:suppressLineNumbers w:val="0"/>
        <w:ind w:firstLine="482" w:firstLineChars="20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（一）关于符合本国产品标准的声明函</w:t>
      </w:r>
    </w:p>
    <w:p w14:paraId="2AC0A9DE">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89136DF">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1，生产厂为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（厂名）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2，厂址为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（生产厂址）</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的中国境内生产的组件成本占比≥</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（规定比例）</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（关键组件）</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4在中国境内生产。</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（关键工序）</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5在中国境内完成。</w:t>
      </w:r>
    </w:p>
    <w:p w14:paraId="17DB9163">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（产品名称2）</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，生产厂为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（厂名）</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，厂址为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（生产厂址）</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（产品名称2）</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的中国境内生产的组件成本占比≥</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（规定比例）</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（产品名称2）</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（关键组件）</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在中国境内生产。</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（产品名称2）</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的（关键工序）在中国境内完成。</w:t>
      </w:r>
    </w:p>
    <w:p w14:paraId="506C824A">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w:t>
      </w:r>
    </w:p>
    <w:p w14:paraId="6ECF751A">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本公司（单位）对上述声明内容的真实性负责。如有虚假，愿承担相应法律责任。</w:t>
      </w:r>
    </w:p>
    <w:p w14:paraId="6AD6CC91">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48F2E2AD">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公司（单位）名称（盖章）：　        </w:t>
      </w:r>
    </w:p>
    <w:p w14:paraId="228B2D9F">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　     年　  月　  日         </w:t>
      </w:r>
    </w:p>
    <w:p w14:paraId="23E17885">
      <w:pPr>
        <w:keepNext w:val="0"/>
        <w:keepLines w:val="0"/>
        <w:widowControl/>
        <w:suppressLineNumbers w:val="0"/>
        <w:ind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1546C236">
      <w:pPr>
        <w:keepNext w:val="0"/>
        <w:keepLines w:val="0"/>
        <w:widowControl/>
        <w:suppressLineNumbers w:val="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注：</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1.产品如有型号，请在“产品名称”栏一并填写。</w:t>
      </w:r>
    </w:p>
    <w:p w14:paraId="36F178F7">
      <w:pPr>
        <w:keepNext w:val="0"/>
        <w:keepLines w:val="0"/>
        <w:widowControl/>
        <w:suppressLineNumbers w:val="0"/>
        <w:ind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2.生产厂名与厂址应与生产厂营业执照载明的相关信息保持一致。</w:t>
      </w:r>
    </w:p>
    <w:p w14:paraId="47B8793E">
      <w:pPr>
        <w:keepNext w:val="0"/>
        <w:keepLines w:val="0"/>
        <w:widowControl/>
        <w:suppressLineNumbers w:val="0"/>
        <w:ind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3.该产品的中国境内生产的组件成本占比相关要求实施前，“规定比例”栏可不填，下同。</w:t>
      </w:r>
    </w:p>
    <w:p w14:paraId="4CAB5F98">
      <w:pPr>
        <w:keepNext w:val="0"/>
        <w:keepLines w:val="0"/>
        <w:widowControl/>
        <w:suppressLineNumbers w:val="0"/>
        <w:ind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4.该产品的关键组件要求实施前，“关键组件”栏可不填，下同。</w:t>
      </w:r>
    </w:p>
    <w:p w14:paraId="1E01E1FD">
      <w:pPr>
        <w:keepNext w:val="0"/>
        <w:keepLines w:val="0"/>
        <w:widowControl/>
        <w:suppressLineNumbers w:val="0"/>
        <w:ind w:firstLine="480" w:firstLineChars="20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5.该产品的关键工序要求实施前，“关键工序”栏可不填，下同。</w:t>
      </w:r>
    </w:p>
    <w:p w14:paraId="39980C43">
      <w:pP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br w:type="page"/>
      </w:r>
    </w:p>
    <w:p w14:paraId="3304B77B">
      <w:pP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附件2</w:t>
      </w:r>
    </w:p>
    <w:p w14:paraId="090C3101">
      <w:pPr>
        <w:jc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（二）本国产品成本占比承诺函</w:t>
      </w:r>
    </w:p>
    <w:p w14:paraId="285E7E4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79EC5241">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致:[采购人/采购代理机构名称]</w:t>
      </w:r>
    </w:p>
    <w:p w14:paraId="01A6543F">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本单位就参与[项目名称      、编号      ]政府采购项目，郑重承诺如下:</w:t>
      </w:r>
    </w:p>
    <w:p w14:paraId="0702E243">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本单位为该项目(或采购包)提供的符合本国产品标准的产品成本之和，占所提供全部产品成本之和的比例为</w:t>
      </w:r>
      <w:r>
        <w:rPr>
          <w:rFonts w:hint="eastAsia" w:ascii="仿宋" w:hAnsi="仿宋" w:eastAsia="仿宋" w:cs="仿宋"/>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%。本承诺内容真实有效，若存在虚假承诺，愿意承担相应法律责任，放弃中标(成交)资格，并接受政府采购监管部门处罚。</w:t>
      </w:r>
    </w:p>
    <w:p w14:paraId="514C2847">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118E8801">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承诺人(供应商公章):</w:t>
      </w:r>
    </w:p>
    <w:p w14:paraId="2E8F4747">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法定代表人或授权代表签字:</w:t>
      </w:r>
    </w:p>
    <w:p w14:paraId="4E7CC485">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  年  月  日</w:t>
      </w:r>
    </w:p>
    <w:p w14:paraId="48A43444">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1482FB0E">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45E255D9">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3C9C417C">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4B17CB4D">
      <w:pPr>
        <w:keepNext w:val="0"/>
        <w:keepLines w:val="0"/>
        <w:widowControl/>
        <w:suppressLineNumbers w:val="0"/>
        <w:ind w:firstLine="480" w:firstLineChars="200"/>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547398A7">
      <w:pPr>
        <w:keepNext w:val="0"/>
        <w:keepLines w:val="0"/>
        <w:widowControl/>
        <w:suppressLineNumbers w:val="0"/>
        <w:jc w:val="both"/>
        <w:rPr>
          <w:rFonts w:hint="eastAsia" w:ascii="仿宋" w:hAnsi="仿宋" w:eastAsia="仿宋" w:cs="仿宋"/>
          <w:strike w:val="0"/>
          <w:dstrike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strike w:val="0"/>
          <w:dstrike w:val="0"/>
          <w:color w:val="000000" w:themeColor="text1"/>
          <w:kern w:val="0"/>
          <w:sz w:val="24"/>
          <w:szCs w:val="24"/>
          <w:highlight w:val="none"/>
          <w:lang w:val="en-US" w:eastAsia="zh-CN" w:bidi="ar"/>
          <w14:textFill>
            <w14:solidFill>
              <w14:schemeClr w14:val="tx1"/>
            </w14:solidFill>
          </w14:textFill>
        </w:rPr>
        <w:t>注：</w:t>
      </w:r>
      <w:r>
        <w:rPr>
          <w:rFonts w:hint="eastAsia" w:ascii="仿宋" w:hAnsi="仿宋" w:eastAsia="仿宋" w:cs="仿宋"/>
          <w:strike w:val="0"/>
          <w:dstrike w:val="0"/>
          <w:color w:val="000000" w:themeColor="text1"/>
          <w:kern w:val="0"/>
          <w:sz w:val="24"/>
          <w:szCs w:val="24"/>
          <w:highlight w:val="none"/>
          <w:lang w:val="en-US" w:eastAsia="zh-CN" w:bidi="ar"/>
          <w14:textFill>
            <w14:solidFill>
              <w14:schemeClr w14:val="tx1"/>
            </w14:solidFill>
          </w14:textFill>
        </w:rPr>
        <w:t>若供应商所投产品均符合本国产品标准，且已提供《声明函》，可不填写《承诺函》。</w:t>
      </w:r>
    </w:p>
    <w:p w14:paraId="547F18CD">
      <w:pPr>
        <w:keepNext w:val="0"/>
        <w:keepLines w:val="0"/>
        <w:widowControl/>
        <w:suppressLineNumbers w:val="0"/>
        <w:jc w:val="both"/>
        <w:rPr>
          <w:rFonts w:hint="eastAsia" w:ascii="仿宋" w:hAnsi="仿宋" w:eastAsia="仿宋" w:cs="仿宋"/>
          <w:strike w:val="0"/>
          <w:dstrike w:val="0"/>
          <w:color w:val="000000" w:themeColor="text1"/>
          <w:kern w:val="0"/>
          <w:sz w:val="24"/>
          <w:szCs w:val="24"/>
          <w:highlight w:val="none"/>
          <w:lang w:val="en-US" w:eastAsia="zh-CN" w:bidi="ar"/>
          <w14:textFill>
            <w14:solidFill>
              <w14:schemeClr w14:val="tx1"/>
            </w14:solidFill>
          </w14:textFill>
        </w:rPr>
      </w:pPr>
    </w:p>
    <w:p w14:paraId="6CBEBE96">
      <w:pPr>
        <w:keepNext w:val="0"/>
        <w:keepLines w:val="0"/>
        <w:widowControl/>
        <w:suppressLineNumbers w:val="0"/>
        <w:jc w:val="both"/>
        <w:rPr>
          <w:rFonts w:hint="eastAsia" w:ascii="仿宋" w:hAnsi="仿宋" w:eastAsia="仿宋" w:cs="仿宋"/>
          <w:strike w:val="0"/>
          <w:dstrike w:val="0"/>
          <w:color w:val="000000" w:themeColor="text1"/>
          <w:kern w:val="0"/>
          <w:sz w:val="24"/>
          <w:szCs w:val="24"/>
          <w:highlight w:val="none"/>
          <w:lang w:val="en-US" w:eastAsia="zh-CN" w:bidi="ar"/>
          <w14:textFill>
            <w14:solidFill>
              <w14:schemeClr w14:val="tx1"/>
            </w14:solidFill>
          </w14:textFill>
        </w:rPr>
      </w:pPr>
    </w:p>
    <w:p w14:paraId="3F3A489A">
      <w:pPr>
        <w:keepNext w:val="0"/>
        <w:keepLines w:val="0"/>
        <w:widowControl/>
        <w:suppressLineNumbers w:val="0"/>
        <w:jc w:val="both"/>
        <w:rPr>
          <w:rFonts w:hint="eastAsia" w:ascii="仿宋" w:hAnsi="仿宋" w:eastAsia="仿宋" w:cs="仿宋"/>
          <w:strike w:val="0"/>
          <w:dstrike w:val="0"/>
          <w:color w:val="000000" w:themeColor="text1"/>
          <w:kern w:val="0"/>
          <w:sz w:val="24"/>
          <w:szCs w:val="24"/>
          <w:highlight w:val="none"/>
          <w:lang w:val="en-US" w:eastAsia="zh-CN" w:bidi="ar"/>
          <w14:textFill>
            <w14:solidFill>
              <w14:schemeClr w14:val="tx1"/>
            </w14:solidFill>
          </w14:textFill>
        </w:rPr>
      </w:pPr>
    </w:p>
    <w:p w14:paraId="3547FF89">
      <w:pP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br w:type="page"/>
      </w:r>
    </w:p>
    <w:p w14:paraId="3C097609">
      <w:pPr>
        <w:rPr>
          <w:rFonts w:hint="eastAsia" w:ascii="仿宋" w:hAnsi="仿宋" w:eastAsia="仿宋" w:cs="仿宋"/>
          <w:b w:val="0"/>
          <w:bCs w:val="0"/>
          <w:i w:val="0"/>
          <w:iCs w:val="0"/>
          <w:color w:val="000000" w:themeColor="text1"/>
          <w:kern w:val="0"/>
          <w:sz w:val="24"/>
          <w:szCs w:val="24"/>
          <w:highlight w:val="none"/>
          <w:lang w:val="en-US" w:eastAsia="zh-CN" w:bidi="ar"/>
          <w14:textFill>
            <w14:solidFill>
              <w14:schemeClr w14:val="tx1"/>
            </w14:solidFill>
          </w14:textFill>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5ADEB193">
      <w:pPr>
        <w:pStyle w:val="7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5FD6C20">
      <w:pPr>
        <w:ind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封面：</w:t>
      </w:r>
    </w:p>
    <w:p w14:paraId="02A75DB0">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3951FD8E">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7D400997">
      <w:pPr>
        <w:autoSpaceDE w:val="0"/>
        <w:autoSpaceDN w:val="0"/>
        <w:adjustRightInd w:val="0"/>
        <w:jc w:val="center"/>
        <w:rPr>
          <w:rFonts w:hint="eastAsia" w:ascii="仿宋" w:hAnsi="仿宋" w:eastAsia="仿宋" w:cs="仿宋"/>
          <w:color w:val="000000" w:themeColor="text1"/>
          <w:sz w:val="24"/>
          <w:szCs w:val="24"/>
          <w:highlight w:val="none"/>
          <w14:textFill>
            <w14:solidFill>
              <w14:schemeClr w14:val="tx1"/>
            </w14:solidFill>
          </w14:textFill>
        </w:rPr>
      </w:pPr>
    </w:p>
    <w:p w14:paraId="7B33E28C">
      <w:pPr>
        <w:pStyle w:val="5"/>
        <w:bidi w:val="0"/>
        <w:jc w:val="center"/>
        <w:rPr>
          <w:rFonts w:hint="eastAsia" w:ascii="仿宋" w:hAnsi="仿宋" w:eastAsia="仿宋" w:cs="仿宋"/>
          <w:color w:val="000000" w:themeColor="text1"/>
          <w:sz w:val="24"/>
          <w:szCs w:val="24"/>
          <w:highlight w:val="none"/>
          <w14:textFill>
            <w14:solidFill>
              <w14:schemeClr w14:val="tx1"/>
            </w14:solidFill>
          </w14:textFill>
        </w:rPr>
      </w:pPr>
      <w:bookmarkStart w:id="513" w:name="_Toc5027"/>
      <w:r>
        <w:rPr>
          <w:rFonts w:hint="eastAsia" w:ascii="仿宋" w:hAnsi="仿宋" w:eastAsia="仿宋" w:cs="仿宋"/>
          <w:color w:val="000000" w:themeColor="text1"/>
          <w:sz w:val="24"/>
          <w:szCs w:val="24"/>
          <w:highlight w:val="none"/>
          <w14:textFill>
            <w14:solidFill>
              <w14:schemeClr w14:val="tx1"/>
            </w14:solidFill>
          </w14:textFill>
        </w:rPr>
        <w:t>投 标 文 件</w:t>
      </w:r>
      <w:bookmarkEnd w:id="513"/>
    </w:p>
    <w:p w14:paraId="6A50754B">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14" w:name="_Toc17239"/>
      <w:r>
        <w:rPr>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w:t>
      </w:r>
      <w:bookmarkEnd w:id="514"/>
    </w:p>
    <w:p w14:paraId="2CEF6710">
      <w:pPr>
        <w:autoSpaceDE w:val="0"/>
        <w:autoSpaceDN w:val="0"/>
        <w:adjustRightInd w:val="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（第XX包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如不分包，请删去本行</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210C6E2">
      <w:pPr>
        <w:pStyle w:val="5"/>
        <w:rPr>
          <w:rFonts w:hint="eastAsia" w:ascii="仿宋" w:hAnsi="仿宋" w:eastAsia="仿宋" w:cs="仿宋"/>
          <w:color w:val="000000" w:themeColor="text1"/>
          <w:sz w:val="24"/>
          <w:szCs w:val="24"/>
          <w:highlight w:val="none"/>
          <w14:textFill>
            <w14:solidFill>
              <w14:schemeClr w14:val="tx1"/>
            </w14:solidFill>
          </w14:textFill>
        </w:rPr>
      </w:pPr>
    </w:p>
    <w:p w14:paraId="4A8B65A9">
      <w:pPr>
        <w:rPr>
          <w:rFonts w:hint="eastAsia" w:ascii="仿宋" w:hAnsi="仿宋" w:eastAsia="仿宋" w:cs="仿宋"/>
          <w:color w:val="000000" w:themeColor="text1"/>
          <w:sz w:val="24"/>
          <w:szCs w:val="24"/>
          <w:highlight w:val="none"/>
          <w14:textFill>
            <w14:solidFill>
              <w14:schemeClr w14:val="tx1"/>
            </w14:solidFill>
          </w14:textFill>
        </w:rPr>
      </w:pPr>
    </w:p>
    <w:p w14:paraId="68FB48CB">
      <w:pPr>
        <w:rPr>
          <w:rFonts w:hint="eastAsia" w:ascii="仿宋" w:hAnsi="仿宋" w:eastAsia="仿宋" w:cs="仿宋"/>
          <w:color w:val="000000" w:themeColor="text1"/>
          <w:sz w:val="24"/>
          <w:szCs w:val="24"/>
          <w:highlight w:val="none"/>
          <w14:textFill>
            <w14:solidFill>
              <w14:schemeClr w14:val="tx1"/>
            </w14:solidFill>
          </w14:textFill>
        </w:rPr>
      </w:pPr>
    </w:p>
    <w:p w14:paraId="1D6DD320">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2E0CFF0D">
      <w:pPr>
        <w:autoSpaceDE w:val="0"/>
        <w:autoSpaceDN w:val="0"/>
        <w:adjustRightInd w:val="0"/>
        <w:rPr>
          <w:rFonts w:hint="eastAsia" w:ascii="仿宋" w:hAnsi="仿宋" w:eastAsia="仿宋" w:cs="仿宋"/>
          <w:color w:val="000000" w:themeColor="text1"/>
          <w:sz w:val="24"/>
          <w:szCs w:val="24"/>
          <w:highlight w:val="none"/>
          <w14:textFill>
            <w14:solidFill>
              <w14:schemeClr w14:val="tx1"/>
            </w14:solidFill>
          </w14:textFill>
        </w:rPr>
      </w:pPr>
    </w:p>
    <w:p w14:paraId="440050C4">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4A6A436">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7B2E82B">
      <w:pPr>
        <w:ind w:left="420" w:leftChars="17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标</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D47A304">
      <w:pPr>
        <w:ind w:left="420" w:leftChars="175"/>
        <w:rPr>
          <w:rFonts w:hint="eastAsia" w:ascii="仿宋" w:hAnsi="仿宋" w:eastAsia="仿宋" w:cs="仿宋"/>
          <w:color w:val="000000" w:themeColor="text1"/>
          <w:sz w:val="24"/>
          <w:szCs w:val="24"/>
          <w:highlight w:val="none"/>
          <w14:textFill>
            <w14:solidFill>
              <w14:schemeClr w14:val="tx1"/>
            </w14:solidFill>
          </w14:textFill>
        </w:rPr>
      </w:pPr>
    </w:p>
    <w:p w14:paraId="09D781AB">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7FD9BE60">
      <w:pPr>
        <w:ind w:left="840" w:firstLine="420"/>
        <w:rPr>
          <w:rFonts w:hint="eastAsia" w:ascii="仿宋" w:hAnsi="仿宋" w:eastAsia="仿宋" w:cs="仿宋"/>
          <w:b/>
          <w:bCs/>
          <w:color w:val="000000" w:themeColor="text1"/>
          <w:sz w:val="24"/>
          <w:szCs w:val="24"/>
          <w:highlight w:val="none"/>
          <w14:textFill>
            <w14:solidFill>
              <w14:schemeClr w14:val="tx1"/>
            </w14:solidFill>
          </w14:textFill>
        </w:rPr>
      </w:pPr>
    </w:p>
    <w:p w14:paraId="36E356C8">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314FB751">
      <w:pP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br w:type="page"/>
      </w:r>
    </w:p>
    <w:p w14:paraId="428AC0C4">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15" w:name="_Toc109900327"/>
      <w:bookmarkStart w:id="516" w:name="_Toc109899489"/>
      <w:bookmarkStart w:id="517" w:name="_Toc3577"/>
      <w:bookmarkStart w:id="518" w:name="_Toc26340"/>
      <w:bookmarkStart w:id="519" w:name="_Toc109899908"/>
      <w:bookmarkStart w:id="520" w:name="_Toc140132831"/>
      <w:bookmarkStart w:id="521" w:name="_Toc25402"/>
      <w:bookmarkStart w:id="522" w:name="_Toc155185921"/>
      <w:r>
        <w:rPr>
          <w:rFonts w:hint="eastAsia" w:ascii="仿宋" w:hAnsi="仿宋" w:eastAsia="仿宋" w:cs="仿宋"/>
          <w:color w:val="000000" w:themeColor="text1"/>
          <w:sz w:val="24"/>
          <w:szCs w:val="24"/>
          <w:highlight w:val="none"/>
          <w:lang w:val="en-US" w:eastAsia="zh-CN"/>
          <w14:textFill>
            <w14:solidFill>
              <w14:schemeClr w14:val="tx1"/>
            </w14:solidFill>
          </w14:textFill>
        </w:rPr>
        <w:t>一、投标函</w:t>
      </w:r>
      <w:bookmarkEnd w:id="515"/>
      <w:bookmarkEnd w:id="516"/>
      <w:bookmarkEnd w:id="517"/>
      <w:bookmarkEnd w:id="518"/>
      <w:bookmarkEnd w:id="519"/>
      <w:bookmarkEnd w:id="520"/>
      <w:bookmarkEnd w:id="521"/>
      <w:bookmarkEnd w:id="522"/>
    </w:p>
    <w:p w14:paraId="11C08283">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致：（采购人）</w:t>
      </w:r>
    </w:p>
    <w:p w14:paraId="75D21358">
      <w:pPr>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w:t>
      </w:r>
      <w:r>
        <w:rPr>
          <w:rFonts w:hint="eastAsia" w:ascii="仿宋" w:hAnsi="仿宋" w:eastAsia="仿宋" w:cs="仿宋"/>
          <w:color w:val="000000" w:themeColor="text1"/>
          <w:sz w:val="24"/>
          <w:szCs w:val="24"/>
          <w:highlight w:val="none"/>
          <w:u w:val="single"/>
          <w14:textFill>
            <w14:solidFill>
              <w14:schemeClr w14:val="tx1"/>
            </w14:solidFill>
          </w14:textFill>
        </w:rPr>
        <w:t>（项目名称）（项目编号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/包号</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招标公告</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（姓名、职务）</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（投标人名称、地址）</w:t>
      </w:r>
      <w:r>
        <w:rPr>
          <w:rFonts w:hint="eastAsia" w:ascii="仿宋" w:hAnsi="仿宋" w:eastAsia="仿宋" w:cs="仿宋"/>
          <w:color w:val="000000" w:themeColor="text1"/>
          <w:sz w:val="24"/>
          <w:szCs w:val="24"/>
          <w:highlight w:val="none"/>
          <w14:textFill>
            <w14:solidFill>
              <w14:schemeClr w14:val="tx1"/>
            </w14:solidFill>
          </w14:textFill>
        </w:rPr>
        <w:t>提交下述文件</w:t>
      </w:r>
      <w:r>
        <w:rPr>
          <w:rFonts w:hint="eastAsia" w:ascii="仿宋" w:hAnsi="仿宋" w:eastAsia="仿宋" w:cs="仿宋"/>
          <w:b/>
          <w:bCs/>
          <w:color w:val="000000" w:themeColor="text1"/>
          <w:sz w:val="24"/>
          <w:szCs w:val="24"/>
          <w:highlight w:val="none"/>
          <w14:textFill>
            <w14:solidFill>
              <w14:schemeClr w14:val="tx1"/>
            </w14:solidFill>
          </w14:textFill>
        </w:rPr>
        <w:t>：</w:t>
      </w:r>
    </w:p>
    <w:p w14:paraId="7F7EC087">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文件；</w:t>
      </w:r>
    </w:p>
    <w:p w14:paraId="7F139A5B">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投标报价文件；</w:t>
      </w:r>
    </w:p>
    <w:p w14:paraId="728FEB60">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商务技术</w:t>
      </w:r>
      <w:r>
        <w:rPr>
          <w:rFonts w:hint="eastAsia" w:ascii="仿宋" w:hAnsi="仿宋" w:eastAsia="仿宋" w:cs="仿宋"/>
          <w:color w:val="000000" w:themeColor="text1"/>
          <w:sz w:val="24"/>
          <w:szCs w:val="24"/>
          <w:highlight w:val="none"/>
          <w14:textFill>
            <w14:solidFill>
              <w14:schemeClr w14:val="tx1"/>
            </w14:solidFill>
          </w14:textFill>
        </w:rPr>
        <w:t>文件。</w:t>
      </w:r>
    </w:p>
    <w:p w14:paraId="7E1F8C91">
      <w:pPr>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根据此函，签字代表宣布同意如下：</w:t>
      </w:r>
    </w:p>
    <w:p w14:paraId="0DD0EA92">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所附投标价格表中规定的应提交和交付的货物和</w:t>
      </w:r>
      <w:r>
        <w:rPr>
          <w:rFonts w:hint="eastAsia" w:ascii="仿宋" w:hAnsi="仿宋" w:eastAsia="仿宋" w:cs="仿宋"/>
          <w:color w:val="000000" w:themeColor="text1"/>
          <w:sz w:val="24"/>
          <w:szCs w:val="24"/>
          <w:highlight w:val="none"/>
          <w:lang w:val="en-US" w:eastAsia="zh-CN"/>
          <w14:textFill>
            <w14:solidFill>
              <w14:schemeClr w14:val="tx1"/>
            </w14:solidFill>
          </w14:textFill>
        </w:rPr>
        <w:t>相关</w:t>
      </w:r>
      <w:r>
        <w:rPr>
          <w:rFonts w:hint="eastAsia" w:ascii="仿宋" w:hAnsi="仿宋" w:eastAsia="仿宋" w:cs="仿宋"/>
          <w:color w:val="000000" w:themeColor="text1"/>
          <w:sz w:val="24"/>
          <w:szCs w:val="24"/>
          <w:highlight w:val="none"/>
          <w14:textFill>
            <w14:solidFill>
              <w14:schemeClr w14:val="tx1"/>
            </w14:solidFill>
          </w14:textFill>
        </w:rPr>
        <w:t xml:space="preserve">服务（如有）的投标报价为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32616A99">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我方将按招标文件的规定履行合同责任和义务。</w:t>
      </w:r>
    </w:p>
    <w:p w14:paraId="48EAFFD4">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我方已详细审查全部招标文件，包括第</w:t>
      </w:r>
      <w:r>
        <w:rPr>
          <w:rFonts w:hint="eastAsia" w:ascii="仿宋" w:hAnsi="仿宋" w:eastAsia="仿宋" w:cs="仿宋"/>
          <w:i w:val="0"/>
          <w:iCs/>
          <w:color w:val="000000" w:themeColor="text1"/>
          <w:sz w:val="24"/>
          <w:szCs w:val="24"/>
          <w:highlight w:val="none"/>
          <w:u w:val="single"/>
          <w14:textFill>
            <w14:solidFill>
              <w14:schemeClr w14:val="tx1"/>
            </w14:solidFill>
          </w14:textFill>
        </w:rPr>
        <w:t>（编号、补遗书）（如果有的话）</w:t>
      </w:r>
      <w:r>
        <w:rPr>
          <w:rFonts w:hint="eastAsia" w:ascii="仿宋" w:hAnsi="仿宋" w:eastAsia="仿宋" w:cs="仿宋"/>
          <w:color w:val="000000" w:themeColor="text1"/>
          <w:sz w:val="24"/>
          <w:szCs w:val="24"/>
          <w:highlight w:val="none"/>
          <w14:textFill>
            <w14:solidFill>
              <w14:schemeClr w14:val="tx1"/>
            </w14:solidFill>
          </w14:textFill>
        </w:rPr>
        <w:t>。我方完全理解并同意放弃对这方面有不明及误解的权力。</w:t>
      </w:r>
    </w:p>
    <w:p w14:paraId="05D05CB8">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投标有效期为自提交投标文件的截止之日起</w:t>
      </w:r>
      <w:r>
        <w:rPr>
          <w:rFonts w:hint="eastAsia" w:ascii="仿宋" w:hAnsi="仿宋" w:eastAsia="仿宋" w:cs="仿宋"/>
          <w:i/>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i w:val="0"/>
          <w:iCs/>
          <w:color w:val="000000" w:themeColor="text1"/>
          <w:sz w:val="24"/>
          <w:szCs w:val="24"/>
          <w:highlight w:val="none"/>
          <w:u w:val="single"/>
          <w14:textFill>
            <w14:solidFill>
              <w14:schemeClr w14:val="tx1"/>
            </w14:solidFill>
          </w14:textFill>
        </w:rPr>
        <w:t>（由投标人填写）</w:t>
      </w:r>
      <w:r>
        <w:rPr>
          <w:rFonts w:hint="eastAsia" w:ascii="仿宋" w:hAnsi="仿宋" w:eastAsia="仿宋" w:cs="仿宋"/>
          <w:color w:val="000000" w:themeColor="text1"/>
          <w:sz w:val="24"/>
          <w:szCs w:val="24"/>
          <w:highlight w:val="none"/>
          <w14:textFill>
            <w14:solidFill>
              <w14:schemeClr w14:val="tx1"/>
            </w14:solidFill>
          </w14:textFill>
        </w:rPr>
        <w:t>个日历天。</w:t>
      </w:r>
    </w:p>
    <w:p w14:paraId="5E1B5624">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我方同意提供按照贵方</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文件要求的与投标有关的一切数据或资料，采用综合评分法时，我方完全理解贵方不一定接受最低价的投标。</w:t>
      </w:r>
    </w:p>
    <w:p w14:paraId="4175ED2D">
      <w:pPr>
        <w:numPr>
          <w:ilvl w:val="0"/>
          <w:numId w:val="0"/>
        </w:numPr>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本项目如由中标人支付采购代理服务费，我方同意按投标人须知前附表中规定向采购代理机构支付采购代理服务费。</w:t>
      </w:r>
    </w:p>
    <w:p w14:paraId="24625D9C">
      <w:pPr>
        <w:numPr>
          <w:ilvl w:val="0"/>
          <w:numId w:val="0"/>
        </w:numPr>
        <w:snapToGrid w:val="0"/>
        <w:spacing w:line="324" w:lineRule="auto"/>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重要声明：</w:t>
      </w:r>
    </w:p>
    <w:p w14:paraId="7ED4AA84">
      <w:pPr>
        <w:snapToGrid w:val="0"/>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1）与我方单位负责人为同一人的其他单位名称：</w:t>
      </w:r>
    </w:p>
    <w:p w14:paraId="3F37CD59">
      <w:pPr>
        <w:snapToGrid w:val="0"/>
        <w:spacing w:line="324" w:lineRule="auto"/>
        <w:ind w:left="456" w:leftChars="190" w:firstLine="355" w:firstLineChars="148"/>
        <w:rPr>
          <w:rFonts w:hint="eastAsia" w:ascii="仿宋" w:hAnsi="仿宋" w:eastAsia="仿宋" w:cs="仿宋"/>
          <w:i w:val="0"/>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有，具体单位名称为：</w:t>
      </w:r>
      <w:r>
        <w:rPr>
          <w:rFonts w:hint="eastAsia" w:ascii="仿宋" w:hAnsi="仿宋" w:eastAsia="仿宋" w:cs="仿宋"/>
          <w:i w:val="0"/>
          <w:iCs/>
          <w:color w:val="000000" w:themeColor="text1"/>
          <w:sz w:val="24"/>
          <w:szCs w:val="24"/>
          <w:highlight w:val="none"/>
          <w:u w:val="single"/>
          <w14:textFill>
            <w14:solidFill>
              <w14:schemeClr w14:val="tx1"/>
            </w14:solidFill>
          </w14:textFill>
        </w:rPr>
        <w:t>（由投标人如实填写）</w:t>
      </w:r>
      <w:r>
        <w:rPr>
          <w:rFonts w:hint="eastAsia" w:ascii="仿宋" w:hAnsi="仿宋" w:eastAsia="仿宋" w:cs="仿宋"/>
          <w:i w:val="0"/>
          <w:iCs/>
          <w:color w:val="000000" w:themeColor="text1"/>
          <w:sz w:val="24"/>
          <w:szCs w:val="24"/>
          <w:highlight w:val="none"/>
          <w14:textFill>
            <w14:solidFill>
              <w14:schemeClr w14:val="tx1"/>
            </w14:solidFill>
          </w14:textFill>
        </w:rPr>
        <w:t>。</w:t>
      </w:r>
    </w:p>
    <w:p w14:paraId="562DC04A">
      <w:pPr>
        <w:snapToGrid w:val="0"/>
        <w:spacing w:line="324" w:lineRule="auto"/>
        <w:ind w:firstLine="480" w:firstLineChars="200"/>
        <w:rPr>
          <w:rFonts w:hint="eastAsia" w:ascii="仿宋" w:hAnsi="仿宋" w:eastAsia="仿宋" w:cs="仿宋"/>
          <w:i w:val="0"/>
          <w:iCs/>
          <w:color w:val="000000" w:themeColor="text1"/>
          <w:sz w:val="24"/>
          <w:szCs w:val="24"/>
          <w:highlight w:val="none"/>
          <w14:textFill>
            <w14:solidFill>
              <w14:schemeClr w14:val="tx1"/>
            </w14:solidFill>
          </w14:textFill>
        </w:rPr>
      </w:pPr>
      <w:r>
        <w:rPr>
          <w:rFonts w:hint="eastAsia" w:ascii="仿宋" w:hAnsi="仿宋" w:eastAsia="仿宋" w:cs="仿宋"/>
          <w:i w:val="0"/>
          <w:iCs/>
          <w:color w:val="000000" w:themeColor="text1"/>
          <w:sz w:val="24"/>
          <w:szCs w:val="24"/>
          <w:highlight w:val="none"/>
          <w14:textFill>
            <w14:solidFill>
              <w14:schemeClr w14:val="tx1"/>
            </w14:solidFill>
          </w14:textFill>
        </w:rPr>
        <w:t>2）与我方存在控股、管理关系的其他单位的名称：</w:t>
      </w:r>
    </w:p>
    <w:p w14:paraId="10FAF384">
      <w:pPr>
        <w:snapToGrid w:val="0"/>
        <w:spacing w:line="324" w:lineRule="auto"/>
        <w:ind w:left="456" w:leftChars="190" w:firstLine="355" w:firstLineChars="1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color w:val="000000" w:themeColor="text1"/>
          <w:sz w:val="24"/>
          <w:szCs w:val="24"/>
          <w:highlight w:val="none"/>
          <w14:textFill>
            <w14:solidFill>
              <w14:schemeClr w14:val="tx1"/>
            </w14:solidFill>
          </w14:textFill>
        </w:rPr>
        <w:t xml:space="preserve">无；□有，具体单位名称为： </w:t>
      </w:r>
      <w:r>
        <w:rPr>
          <w:rFonts w:hint="eastAsia" w:ascii="仿宋" w:hAnsi="仿宋" w:eastAsia="仿宋" w:cs="仿宋"/>
          <w:i w:val="0"/>
          <w:iCs/>
          <w:color w:val="000000" w:themeColor="text1"/>
          <w:sz w:val="24"/>
          <w:szCs w:val="24"/>
          <w:highlight w:val="none"/>
          <w:u w:val="single"/>
          <w14:textFill>
            <w14:solidFill>
              <w14:schemeClr w14:val="tx1"/>
            </w14:solidFill>
          </w14:textFill>
        </w:rPr>
        <w:t>（由投标人如实填写）</w:t>
      </w:r>
      <w:r>
        <w:rPr>
          <w:rFonts w:hint="eastAsia" w:ascii="仿宋" w:hAnsi="仿宋" w:eastAsia="仿宋" w:cs="仿宋"/>
          <w:color w:val="000000" w:themeColor="text1"/>
          <w:sz w:val="24"/>
          <w:szCs w:val="24"/>
          <w:highlight w:val="none"/>
          <w14:textFill>
            <w14:solidFill>
              <w14:schemeClr w14:val="tx1"/>
            </w14:solidFill>
          </w14:textFill>
        </w:rPr>
        <w:t>。</w:t>
      </w:r>
    </w:p>
    <w:p w14:paraId="2466C5D4">
      <w:pPr>
        <w:snapToGrid w:val="0"/>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3）参与本项目采购活动前，是否为本项目前期准备提供过整体设计、规范编制或者项目管理、监理、检测等服务：</w:t>
      </w:r>
    </w:p>
    <w:p w14:paraId="6B585436">
      <w:pPr>
        <w:snapToGrid w:val="0"/>
        <w:spacing w:line="324" w:lineRule="auto"/>
        <w:ind w:left="456" w:leftChars="190" w:firstLine="355" w:firstLineChars="14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无；□有，已提供的具体服务内容为：</w:t>
      </w: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u w:val="single"/>
          <w14:textFill>
            <w14:solidFill>
              <w14:schemeClr w14:val="tx1"/>
            </w14:solidFill>
          </w14:textFill>
        </w:rPr>
        <w:t>（由投标人如实填写）</w:t>
      </w:r>
      <w:r>
        <w:rPr>
          <w:rFonts w:hint="eastAsia" w:ascii="仿宋" w:hAnsi="仿宋" w:eastAsia="仿宋" w:cs="仿宋"/>
          <w:color w:val="000000" w:themeColor="text1"/>
          <w:sz w:val="24"/>
          <w:szCs w:val="24"/>
          <w:highlight w:val="none"/>
          <w14:textFill>
            <w14:solidFill>
              <w14:schemeClr w14:val="tx1"/>
            </w14:solidFill>
          </w14:textFill>
        </w:rPr>
        <w:t>。</w:t>
      </w:r>
    </w:p>
    <w:p w14:paraId="44CF59D3">
      <w:pPr>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（备注：以上3项声明，必须如实选择，选中项用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819E40C">
      <w:pPr>
        <w:snapToGrid w:val="0"/>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4）我方在本投标文件中所提供的全部资料均真实有效，我方承诺对其真实性负责并承担相应后果。</w:t>
      </w:r>
    </w:p>
    <w:p w14:paraId="1E4BD428">
      <w:pPr>
        <w:snapToGrid w:val="0"/>
        <w:spacing w:line="324"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bookmarkStart w:id="523" w:name="_Hlk161604053"/>
      <w:r>
        <w:rPr>
          <w:rFonts w:hint="eastAsia" w:ascii="仿宋" w:hAnsi="仿宋" w:eastAsia="仿宋" w:cs="仿宋"/>
          <w:color w:val="000000" w:themeColor="text1"/>
          <w:sz w:val="24"/>
          <w:szCs w:val="24"/>
          <w:highlight w:val="none"/>
          <w14:textFill>
            <w14:solidFill>
              <w14:schemeClr w14:val="tx1"/>
            </w14:solidFill>
          </w14:textFill>
        </w:rPr>
        <w:t>我方承诺本《投标函》的签章对本投标文件全部内容具有约束力并承担法律责任。</w:t>
      </w:r>
      <w:bookmarkEnd w:id="523"/>
    </w:p>
    <w:p w14:paraId="708E761C">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39609C4A">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0EEF6B37">
      <w:pPr>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14:paraId="03109007">
      <w:pPr>
        <w:autoSpaceDE w:val="0"/>
        <w:autoSpaceDN w:val="0"/>
        <w:adjustRightInd w:val="0"/>
        <w:snapToGrid w:val="0"/>
        <w:ind w:firstLine="480" w:firstLineChars="200"/>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p>
    <w:p w14:paraId="22F484E0">
      <w:pPr>
        <w:autoSpaceDE w:val="0"/>
        <w:autoSpaceDN w:val="0"/>
        <w:adjustRightInd w:val="0"/>
        <w:snapToGrid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  讯  地  址：</w:t>
      </w:r>
    </w:p>
    <w:p w14:paraId="3C95059E">
      <w:pPr>
        <w:autoSpaceDE w:val="0"/>
        <w:autoSpaceDN w:val="0"/>
        <w:adjustRightInd w:val="0"/>
        <w:snapToGrid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14:paraId="75061DDF">
      <w:pPr>
        <w:autoSpaceDE w:val="0"/>
        <w:autoSpaceDN w:val="0"/>
        <w:adjustRightInd w:val="0"/>
        <w:snapToGrid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14:paraId="76FA791D">
      <w:pPr>
        <w:autoSpaceDE w:val="0"/>
        <w:autoSpaceDN w:val="0"/>
        <w:adjustRightInd w:val="0"/>
        <w:snapToGrid w:val="0"/>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  权  代  表：</w:t>
      </w:r>
    </w:p>
    <w:p w14:paraId="65C967EE">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14:paraId="3A26CCDA">
      <w:pPr>
        <w:rPr>
          <w:rFonts w:hint="eastAsia" w:ascii="仿宋" w:hAnsi="仿宋" w:eastAsia="仿宋" w:cs="仿宋"/>
          <w:color w:val="000000" w:themeColor="text1"/>
          <w:sz w:val="24"/>
          <w:szCs w:val="24"/>
          <w:highlight w:val="none"/>
          <w:u w:val="single"/>
          <w14:textFill>
            <w14:solidFill>
              <w14:schemeClr w14:val="tx1"/>
            </w14:solidFill>
          </w14:textFill>
        </w:rPr>
      </w:pPr>
    </w:p>
    <w:p w14:paraId="173DCA8B">
      <w:pP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br w:type="page"/>
      </w:r>
    </w:p>
    <w:p w14:paraId="5F63261A">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24" w:name="_Toc7151"/>
      <w:bookmarkStart w:id="525" w:name="_Toc155185924"/>
      <w:r>
        <w:rPr>
          <w:rFonts w:hint="eastAsia" w:ascii="仿宋" w:hAnsi="仿宋" w:eastAsia="仿宋" w:cs="仿宋"/>
          <w:color w:val="000000" w:themeColor="text1"/>
          <w:sz w:val="24"/>
          <w:szCs w:val="24"/>
          <w:highlight w:val="none"/>
          <w:lang w:val="en-US" w:eastAsia="zh-CN"/>
          <w14:textFill>
            <w14:solidFill>
              <w14:schemeClr w14:val="tx1"/>
            </w14:solidFill>
          </w14:textFill>
        </w:rPr>
        <w:t>二、法定代表人（单位负责人）身份证明</w:t>
      </w:r>
      <w:bookmarkEnd w:id="524"/>
      <w:bookmarkEnd w:id="525"/>
    </w:p>
    <w:p w14:paraId="6616B543">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致：（采购人或采购代理机构） </w:t>
      </w:r>
    </w:p>
    <w:p w14:paraId="5A4964F9">
      <w:pPr>
        <w:spacing w:line="48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兹证明， </w:t>
      </w:r>
    </w:p>
    <w:p w14:paraId="0F10FBC1">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姓名：____性别：____年龄：____职务：____ </w:t>
      </w:r>
    </w:p>
    <w:p w14:paraId="58DC873E">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系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（投标人名称）的法定代表人（单位负责人）。 </w:t>
      </w:r>
    </w:p>
    <w:p w14:paraId="707DCA27">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附：法定代表人（单位负责人）身份证、护照等身份证明文件电子件： </w:t>
      </w:r>
    </w:p>
    <w:p w14:paraId="48644358">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4F40B275">
      <w:pPr>
        <w:rPr>
          <w:rFonts w:hint="eastAsia" w:ascii="仿宋" w:hAnsi="仿宋" w:eastAsia="仿宋" w:cs="仿宋"/>
          <w:color w:val="000000" w:themeColor="text1"/>
          <w:sz w:val="24"/>
          <w:szCs w:val="24"/>
          <w:highlight w:val="none"/>
          <w14:textFill>
            <w14:solidFill>
              <w14:schemeClr w14:val="tx1"/>
            </w14:solidFill>
          </w14:textFill>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D53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356513">
            <w:pPr>
              <w:rPr>
                <w:rFonts w:hint="eastAsia" w:ascii="仿宋" w:hAnsi="仿宋" w:eastAsia="仿宋" w:cs="仿宋"/>
                <w:color w:val="000000" w:themeColor="text1"/>
                <w:sz w:val="24"/>
                <w:szCs w:val="24"/>
                <w:highlight w:val="none"/>
                <w14:textFill>
                  <w14:solidFill>
                    <w14:schemeClr w14:val="tx1"/>
                  </w14:solidFill>
                </w14:textFill>
              </w:rPr>
            </w:pPr>
          </w:p>
        </w:tc>
      </w:tr>
    </w:tbl>
    <w:p w14:paraId="3F338F7E">
      <w:pPr>
        <w:ind w:firstLine="840" w:firstLineChars="350"/>
        <w:jc w:val="center"/>
        <w:rPr>
          <w:rFonts w:hint="eastAsia" w:ascii="仿宋" w:hAnsi="仿宋" w:eastAsia="仿宋" w:cs="仿宋"/>
          <w:color w:val="000000" w:themeColor="text1"/>
          <w:sz w:val="24"/>
          <w:szCs w:val="24"/>
          <w:highlight w:val="none"/>
          <w14:textFill>
            <w14:solidFill>
              <w14:schemeClr w14:val="tx1"/>
            </w14:solidFill>
          </w14:textFill>
        </w:rPr>
      </w:pPr>
    </w:p>
    <w:p w14:paraId="74792D9A">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：________________ </w:t>
      </w:r>
    </w:p>
    <w:p w14:paraId="2EA6EAEE">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法定代表人（单位负责人）（签字或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）：_______ </w:t>
      </w:r>
    </w:p>
    <w:p w14:paraId="29AE0212">
      <w:pPr>
        <w:keepNext w:val="0"/>
        <w:keepLines w:val="0"/>
        <w:widowControl/>
        <w:suppressLineNumbers w:val="0"/>
        <w:jc w:val="left"/>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p w14:paraId="18593AF1">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日期：_____年______月______日</w:t>
      </w:r>
    </w:p>
    <w:p w14:paraId="2A06EDF7">
      <w:pPr>
        <w:rPr>
          <w:rFonts w:hint="eastAsia" w:ascii="仿宋" w:hAnsi="仿宋" w:eastAsia="仿宋" w:cs="仿宋"/>
          <w:b/>
          <w:color w:val="000000" w:themeColor="text1"/>
          <w:sz w:val="24"/>
          <w:szCs w:val="24"/>
          <w:highlight w:val="none"/>
          <w14:textFill>
            <w14:solidFill>
              <w14:schemeClr w14:val="tx1"/>
            </w14:solidFill>
          </w14:textFill>
        </w:rPr>
      </w:pPr>
    </w:p>
    <w:p w14:paraId="7A7BB466">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54E3F354">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26" w:name="_Toc13994"/>
      <w:bookmarkStart w:id="527" w:name="_Toc155185925"/>
      <w:r>
        <w:rPr>
          <w:rFonts w:hint="eastAsia" w:ascii="仿宋" w:hAnsi="仿宋" w:eastAsia="仿宋" w:cs="仿宋"/>
          <w:color w:val="000000" w:themeColor="text1"/>
          <w:sz w:val="24"/>
          <w:szCs w:val="24"/>
          <w:highlight w:val="none"/>
          <w:lang w:val="en-US" w:eastAsia="zh-CN"/>
          <w14:textFill>
            <w14:solidFill>
              <w14:schemeClr w14:val="tx1"/>
            </w14:solidFill>
          </w14:textFill>
        </w:rPr>
        <w:t>三、授权委托书</w:t>
      </w:r>
      <w:bookmarkEnd w:id="526"/>
      <w:bookmarkEnd w:id="527"/>
    </w:p>
    <w:p w14:paraId="729FA5E6">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（姓名）</w:t>
      </w:r>
      <w:r>
        <w:rPr>
          <w:rFonts w:hint="eastAsia" w:ascii="仿宋" w:hAnsi="仿宋" w:eastAsia="仿宋" w:cs="仿宋"/>
          <w:color w:val="000000" w:themeColor="text1"/>
          <w:sz w:val="24"/>
          <w:szCs w:val="24"/>
          <w:highlight w:val="none"/>
          <w14:textFill>
            <w14:solidFill>
              <w14:schemeClr w14:val="tx1"/>
            </w14:solidFill>
          </w14:textFill>
        </w:rPr>
        <w:t>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（投标人名称）</w:t>
      </w:r>
      <w:r>
        <w:rPr>
          <w:rFonts w:hint="eastAsia" w:ascii="仿宋" w:hAnsi="仿宋" w:eastAsia="仿宋" w:cs="仿宋"/>
          <w:color w:val="000000" w:themeColor="text1"/>
          <w:sz w:val="24"/>
          <w:szCs w:val="24"/>
          <w:highlight w:val="none"/>
          <w14:textFill>
            <w14:solidFill>
              <w14:schemeClr w14:val="tx1"/>
            </w14:solidFill>
          </w14:textFill>
        </w:rPr>
        <w:t>的法定代表人（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color w:val="000000" w:themeColor="text1"/>
          <w:sz w:val="24"/>
          <w:szCs w:val="24"/>
          <w:highlight w:val="none"/>
          <w14:textFill>
            <w14:solidFill>
              <w14:schemeClr w14:val="tx1"/>
            </w14:solidFill>
          </w14:textFill>
        </w:rPr>
        <w:t>负责人），现委托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（姓名）为我方代理人。代理人根据授权，以我方名义签署、澄清</w:t>
      </w:r>
      <w:r>
        <w:rPr>
          <w:rFonts w:hint="eastAsia" w:ascii="仿宋" w:hAnsi="仿宋" w:eastAsia="仿宋" w:cs="仿宋"/>
          <w:color w:val="000000" w:themeColor="text1"/>
          <w:sz w:val="24"/>
          <w:szCs w:val="24"/>
          <w:highlight w:val="none"/>
          <w:lang w:val="en-US" w:eastAsia="zh-CN"/>
          <w14:textFill>
            <w14:solidFill>
              <w14:schemeClr w14:val="tx1"/>
            </w14:solidFill>
          </w14:textFill>
        </w:rPr>
        <w:t>确认</w:t>
      </w:r>
      <w:r>
        <w:rPr>
          <w:rFonts w:hint="eastAsia" w:ascii="仿宋" w:hAnsi="仿宋" w:eastAsia="仿宋" w:cs="仿宋"/>
          <w:color w:val="000000" w:themeColor="text1"/>
          <w:sz w:val="24"/>
          <w:szCs w:val="24"/>
          <w:highlight w:val="none"/>
          <w14:textFill>
            <w14:solidFill>
              <w14:schemeClr w14:val="tx1"/>
            </w14:solidFill>
          </w14:textFill>
        </w:rPr>
        <w:t>、说明、补正、递交、撤回、修改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（项目名称）投标文件、签订合同和处理有关事宜，其法律后果由我方承担。</w:t>
      </w:r>
    </w:p>
    <w:p w14:paraId="1983610F">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委托期限：</w:t>
      </w:r>
      <w:r>
        <w:rPr>
          <w:rFonts w:hint="eastAsia" w:ascii="仿宋" w:hAnsi="仿宋" w:eastAsia="仿宋" w:cs="仿宋"/>
          <w:color w:val="000000" w:themeColor="text1"/>
          <w:sz w:val="24"/>
          <w:szCs w:val="24"/>
          <w:highlight w:val="none"/>
          <w:lang w:val="en-US" w:eastAsia="zh-CN"/>
          <w14:textFill>
            <w14:solidFill>
              <w14:schemeClr w14:val="tx1"/>
            </w14:solidFill>
          </w14:textFill>
        </w:rPr>
        <w:t>自本授权委托书签署之日起至投标有效期届满之日止。</w:t>
      </w:r>
    </w:p>
    <w:p w14:paraId="1095E24F">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代理人无转委托权。</w:t>
      </w:r>
    </w:p>
    <w:p w14:paraId="227FF91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：________________ </w:t>
      </w:r>
    </w:p>
    <w:p w14:paraId="321CAAA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法定代表人（单位负责人）（签字或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：________________ </w:t>
      </w:r>
    </w:p>
    <w:p w14:paraId="66464D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委托代理人（签字或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盖章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：________________    联系电话：________</w:t>
      </w:r>
    </w:p>
    <w:p w14:paraId="009099D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日期：_____年______月______日 </w:t>
      </w:r>
    </w:p>
    <w:p w14:paraId="76A40123">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262D82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E4B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527" w:type="dxa"/>
          </w:tcPr>
          <w:p w14:paraId="234AEE37">
            <w:pPr>
              <w:rPr>
                <w:rFonts w:hint="eastAsia" w:ascii="仿宋" w:hAnsi="仿宋" w:eastAsia="仿宋" w:cs="仿宋"/>
                <w:color w:val="000000" w:themeColor="text1"/>
                <w:sz w:val="24"/>
                <w:szCs w:val="24"/>
                <w:highlight w:val="none"/>
                <w14:textFill>
                  <w14:solidFill>
                    <w14:schemeClr w14:val="tx1"/>
                  </w14:solidFill>
                </w14:textFill>
              </w:rPr>
            </w:pPr>
          </w:p>
        </w:tc>
      </w:tr>
    </w:tbl>
    <w:p w14:paraId="1C395292">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说明： </w:t>
      </w:r>
    </w:p>
    <w:p w14:paraId="4EAECA06">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1.若投标人为事业单位或其他组织或分支机构，则法定代表人（单位负责人）处的签署人可为单位负责人。 </w:t>
      </w:r>
    </w:p>
    <w:p w14:paraId="6E67C3C0">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2.若投标文件中签字之处均为法定代表人（单位负责人）本人签署，则可不提供本《授权委托书》，但须提供《法定代表人（单位负责人）身份证明》。 </w:t>
      </w:r>
    </w:p>
    <w:p w14:paraId="5D9660F7">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3.投标人为自然人的情形，可不提供本《授权委托书》。 </w:t>
      </w:r>
    </w:p>
    <w:p w14:paraId="64096004">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双面</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电子件。</w:t>
      </w:r>
    </w:p>
    <w:p w14:paraId="7CA07123">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3513C53B">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28" w:name="_Toc163492928"/>
      <w:bookmarkStart w:id="529" w:name="_Toc155185934"/>
      <w:bookmarkStart w:id="530" w:name="_Toc11798"/>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bookmarkEnd w:id="528"/>
      <w:bookmarkEnd w:id="529"/>
      <w:r>
        <w:rPr>
          <w:rFonts w:hint="eastAsia" w:ascii="仿宋" w:hAnsi="仿宋" w:eastAsia="仿宋" w:cs="仿宋"/>
          <w:color w:val="000000" w:themeColor="text1"/>
          <w:sz w:val="24"/>
          <w:szCs w:val="24"/>
          <w:highlight w:val="none"/>
          <w:lang w:val="zh-CN" w:eastAsia="zh-CN"/>
          <w14:textFill>
            <w14:solidFill>
              <w14:schemeClr w14:val="tx1"/>
            </w14:solidFill>
          </w14:textFill>
        </w:rPr>
        <w:t>政府采购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廉洁自律承诺书</w:t>
      </w:r>
      <w:bookmarkEnd w:id="530"/>
    </w:p>
    <w:p w14:paraId="071516BC">
      <w:pPr>
        <w:pStyle w:val="2"/>
        <w:rPr>
          <w:rFonts w:hint="eastAsia" w:ascii="仿宋" w:hAnsi="仿宋" w:eastAsia="仿宋" w:cs="仿宋"/>
          <w:color w:val="000000" w:themeColor="text1"/>
          <w:sz w:val="24"/>
          <w:szCs w:val="24"/>
          <w:highlight w:val="none"/>
          <w14:textFill>
            <w14:solidFill>
              <w14:schemeClr w14:val="tx1"/>
            </w14:solidFill>
          </w14:textFill>
        </w:rPr>
      </w:pPr>
    </w:p>
    <w:p w14:paraId="58EBB2F8">
      <w:pPr>
        <w:snapToGrid w:val="0"/>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（采购人）、（采购代理机构）</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p>
    <w:p w14:paraId="43F89BBC">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我单位响应你</w:t>
      </w:r>
      <w:r>
        <w:rPr>
          <w:rFonts w:hint="eastAsia" w:ascii="仿宋" w:hAnsi="仿宋" w:eastAsia="仿宋" w:cs="仿宋"/>
          <w:color w:val="000000" w:themeColor="text1"/>
          <w:sz w:val="24"/>
          <w:szCs w:val="24"/>
          <w:highlight w:val="none"/>
          <w14:textFill>
            <w14:solidFill>
              <w14:schemeClr w14:val="tx1"/>
            </w14:solidFill>
          </w14:textFill>
        </w:rPr>
        <w:t>单位</w:t>
      </w:r>
      <w:r>
        <w:rPr>
          <w:rFonts w:hint="eastAsia" w:ascii="仿宋" w:hAnsi="仿宋" w:eastAsia="仿宋" w:cs="仿宋"/>
          <w:color w:val="000000" w:themeColor="text1"/>
          <w:kern w:val="0"/>
          <w:sz w:val="24"/>
          <w:szCs w:val="24"/>
          <w:highlight w:val="none"/>
          <w:lang w:val="zh-CN"/>
          <w14:textFill>
            <w14:solidFill>
              <w14:schemeClr w14:val="tx1"/>
            </w14:solidFill>
          </w14:textFill>
        </w:rPr>
        <w:t>项目招标要求参加投标。在这次投标过程中和中标后，我们将严格遵守国家法律法规要求，并郑重承诺：</w:t>
      </w:r>
    </w:p>
    <w:p w14:paraId="37C57F84">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 xml:space="preserve">一、不向项目有关人员及部门赠送礼金礼物、有价证券、回扣以及中介费、介绍费、咨询费等好处费； </w:t>
      </w:r>
    </w:p>
    <w:p w14:paraId="13E550B8">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 xml:space="preserve">二、不为项目有关人员及部门报销应由你方单位或个人支付的费用； </w:t>
      </w:r>
    </w:p>
    <w:p w14:paraId="448F9BE8">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三、不向项目有关人员及部门提供有可能影响公正的宴请和健身娱乐等活动；</w:t>
      </w:r>
    </w:p>
    <w:p w14:paraId="6E71603F">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四、不为项目有关人员及部门出国（境）、旅游等提供方便；</w:t>
      </w:r>
    </w:p>
    <w:p w14:paraId="16809280">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五、不为项目有关人员个人装修住房、婚丧嫁娶、配偶子女工作安排等提供好处；</w:t>
      </w:r>
    </w:p>
    <w:p w14:paraId="35201AB1">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六、严格遵守《中华人民共和国政府采购法》《中华人民共和国政府采购法</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实施条例</w:t>
      </w:r>
      <w:r>
        <w:rPr>
          <w:rFonts w:hint="eastAsia" w:ascii="仿宋" w:hAnsi="仿宋" w:eastAsia="仿宋" w:cs="仿宋"/>
          <w:color w:val="000000" w:themeColor="text1"/>
          <w:kern w:val="0"/>
          <w:sz w:val="24"/>
          <w:szCs w:val="24"/>
          <w:highlight w:val="none"/>
          <w:lang w:val="zh-CN"/>
          <w14:textFill>
            <w14:solidFill>
              <w14:schemeClr w14:val="tx1"/>
            </w14:solidFill>
          </w14:textFill>
        </w:rPr>
        <w:t xml:space="preserve">》《中华人民共和国民法典》等法律法规，诚实守信，合法经营，坚决抵制各种违法违纪行为。 </w:t>
      </w:r>
    </w:p>
    <w:p w14:paraId="353613B2">
      <w:pPr>
        <w:autoSpaceDE w:val="0"/>
        <w:autoSpaceDN w:val="0"/>
        <w:spacing w:line="360" w:lineRule="auto"/>
        <w:ind w:left="2" w:leftChars="1" w:firstLine="480" w:firstLineChars="2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财政监管部门</w:t>
      </w:r>
      <w:r>
        <w:rPr>
          <w:rFonts w:hint="eastAsia" w:ascii="仿宋" w:hAnsi="仿宋" w:eastAsia="仿宋" w:cs="仿宋"/>
          <w:color w:val="000000" w:themeColor="text1"/>
          <w:kern w:val="0"/>
          <w:sz w:val="24"/>
          <w:szCs w:val="24"/>
          <w:highlight w:val="none"/>
          <w:lang w:val="zh-CN"/>
          <w14:textFill>
            <w14:solidFill>
              <w14:schemeClr w14:val="tx1"/>
            </w14:solidFill>
          </w14:textFill>
        </w:rPr>
        <w:t>。由此引起的相应损失均由我单位承担。</w:t>
      </w:r>
    </w:p>
    <w:p w14:paraId="70A89F81">
      <w:pPr>
        <w:autoSpaceDE w:val="0"/>
        <w:autoSpaceDN w:val="0"/>
        <w:spacing w:line="360" w:lineRule="auto"/>
        <w:ind w:left="2"/>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A27E765">
      <w:pPr>
        <w:autoSpaceDE w:val="0"/>
        <w:autoSpaceDN w:val="0"/>
        <w:spacing w:line="360" w:lineRule="auto"/>
        <w:ind w:left="2"/>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13323FBB">
      <w:pPr>
        <w:autoSpaceDE w:val="0"/>
        <w:autoSpaceDN w:val="0"/>
        <w:spacing w:line="360" w:lineRule="auto"/>
        <w:ind w:left="2"/>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ED829CD">
      <w:pPr>
        <w:autoSpaceDE w:val="0"/>
        <w:autoSpaceDN w:val="0"/>
        <w:spacing w:line="360" w:lineRule="auto"/>
        <w:ind w:left="2" w:leftChars="1" w:right="1120" w:firstLine="4560" w:firstLineChars="1900"/>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 xml:space="preserve">)：                                                                                                                                                                                                               </w:t>
      </w:r>
    </w:p>
    <w:p w14:paraId="3384FDDA">
      <w:pPr>
        <w:ind w:firstLine="4560" w:firstLineChars="1900"/>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日期</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zh-CN"/>
          <w14:textFill>
            <w14:solidFill>
              <w14:schemeClr w14:val="tx1"/>
            </w14:solidFill>
          </w14:textFill>
        </w:rPr>
        <w:t xml:space="preserve">   年   月   日</w:t>
      </w:r>
    </w:p>
    <w:p w14:paraId="0681F1D8">
      <w:pP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2995859">
      <w:pPr>
        <w:pStyle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B948A17">
      <w:pPr>
        <w:pStyle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7B79733">
      <w:pPr>
        <w:pStyle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7A4C1901">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31" w:name="_Toc20842"/>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lang w:val="zh-CN" w:eastAsia="zh-CN"/>
          <w14:textFill>
            <w14:solidFill>
              <w14:schemeClr w14:val="tx1"/>
            </w14:solidFill>
          </w14:textFill>
        </w:rPr>
        <w:t>实质性响应一览表【</w:t>
      </w:r>
      <w:r>
        <w:rPr>
          <w:rFonts w:hint="eastAsia" w:ascii="仿宋" w:hAnsi="仿宋" w:eastAsia="仿宋" w:cs="仿宋"/>
          <w:color w:val="000000" w:themeColor="text1"/>
          <w:sz w:val="24"/>
          <w:szCs w:val="24"/>
          <w:highlight w:val="none"/>
          <w:lang w:val="en-US" w:eastAsia="zh-CN"/>
          <w14:textFill>
            <w14:solidFill>
              <w14:schemeClr w14:val="tx1"/>
            </w14:solidFill>
          </w14:textFill>
        </w:rPr>
        <w:t>本表须与第五章的一致】</w:t>
      </w:r>
      <w:bookmarkEnd w:id="531"/>
    </w:p>
    <w:p w14:paraId="004251D8">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b w:val="0"/>
          <w:bCs/>
          <w:color w:val="000000" w:themeColor="text1"/>
          <w:sz w:val="24"/>
          <w:szCs w:val="24"/>
          <w:highlight w:val="none"/>
          <w14:textFill>
            <w14:solidFill>
              <w14:schemeClr w14:val="tx1"/>
            </w14:solidFill>
          </w14:textFill>
        </w:rPr>
        <w:t>须对本附表所有内容逐条响应且无负偏离，否则</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b/>
          <w:bCs w:val="0"/>
          <w:color w:val="000000" w:themeColor="text1"/>
          <w:sz w:val="24"/>
          <w:szCs w:val="24"/>
          <w:highlight w:val="none"/>
          <w14:textFill>
            <w14:solidFill>
              <w14:schemeClr w14:val="tx1"/>
            </w14:solidFill>
          </w14:textFill>
        </w:rPr>
        <w:t>投标无效</w:t>
      </w:r>
      <w:r>
        <w:rPr>
          <w:rFonts w:hint="eastAsia" w:ascii="仿宋" w:hAnsi="仿宋" w:eastAsia="仿宋" w:cs="仿宋"/>
          <w:b w:val="0"/>
          <w:bCs/>
          <w:color w:val="000000" w:themeColor="text1"/>
          <w:sz w:val="24"/>
          <w:szCs w:val="24"/>
          <w:highlight w:val="none"/>
          <w14:textFill>
            <w14:solidFill>
              <w14:schemeClr w14:val="tx1"/>
            </w14:solidFill>
          </w14:textFill>
        </w:rPr>
        <w:t>）</w:t>
      </w:r>
    </w:p>
    <w:p w14:paraId="219C9420">
      <w:pPr>
        <w:pStyle w:val="29"/>
        <w:rPr>
          <w:rFonts w:hint="eastAsia" w:ascii="仿宋" w:hAnsi="仿宋" w:eastAsia="仿宋" w:cs="仿宋"/>
          <w:color w:val="000000" w:themeColor="text1"/>
          <w:sz w:val="24"/>
          <w:szCs w:val="24"/>
          <w:highlight w:val="none"/>
          <w14:textFill>
            <w14:solidFill>
              <w14:schemeClr w14:val="tx1"/>
            </w14:solidFill>
          </w14:textFill>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937"/>
        <w:gridCol w:w="3642"/>
        <w:gridCol w:w="1902"/>
        <w:gridCol w:w="899"/>
      </w:tblGrid>
      <w:tr w14:paraId="7344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26" w:type="pct"/>
            <w:vMerge w:val="restart"/>
            <w:noWrap w:val="0"/>
            <w:vAlign w:val="center"/>
          </w:tcPr>
          <w:p w14:paraId="538F1F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178" w:type="pct"/>
            <w:gridSpan w:val="2"/>
            <w:noWrap w:val="0"/>
            <w:vAlign w:val="center"/>
          </w:tcPr>
          <w:p w14:paraId="6E26348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文件要求的实质性响应内容</w:t>
            </w:r>
          </w:p>
        </w:tc>
        <w:tc>
          <w:tcPr>
            <w:tcW w:w="1083" w:type="pct"/>
            <w:vMerge w:val="restart"/>
            <w:noWrap w:val="0"/>
            <w:vAlign w:val="center"/>
          </w:tcPr>
          <w:p w14:paraId="3F378A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具体内容</w:t>
            </w:r>
          </w:p>
        </w:tc>
        <w:tc>
          <w:tcPr>
            <w:tcW w:w="511" w:type="pct"/>
            <w:vMerge w:val="restart"/>
            <w:noWrap w:val="0"/>
            <w:vAlign w:val="center"/>
          </w:tcPr>
          <w:p w14:paraId="025A618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5474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1FA0EC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3" w:type="pct"/>
            <w:noWrap w:val="0"/>
            <w:vAlign w:val="center"/>
          </w:tcPr>
          <w:p w14:paraId="7CE49A1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实质性要求</w:t>
            </w:r>
          </w:p>
        </w:tc>
        <w:tc>
          <w:tcPr>
            <w:tcW w:w="2074" w:type="pct"/>
            <w:noWrap w:val="0"/>
            <w:vAlign w:val="center"/>
          </w:tcPr>
          <w:p w14:paraId="1D87ED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招标文件中的规定</w:t>
            </w:r>
          </w:p>
        </w:tc>
        <w:tc>
          <w:tcPr>
            <w:tcW w:w="1083" w:type="pct"/>
            <w:vMerge w:val="continue"/>
            <w:noWrap w:val="0"/>
            <w:vAlign w:val="center"/>
          </w:tcPr>
          <w:p w14:paraId="32D20D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vMerge w:val="continue"/>
            <w:noWrap w:val="0"/>
            <w:vAlign w:val="center"/>
          </w:tcPr>
          <w:p w14:paraId="636BE8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724A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A69DBC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103" w:type="pct"/>
            <w:shd w:val="clear" w:color="auto" w:fill="auto"/>
            <w:noWrap w:val="0"/>
            <w:vAlign w:val="center"/>
          </w:tcPr>
          <w:p w14:paraId="6E58EF1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2074" w:type="pct"/>
            <w:shd w:val="clear" w:color="auto" w:fill="auto"/>
            <w:noWrap w:val="0"/>
            <w:vAlign w:val="center"/>
          </w:tcPr>
          <w:p w14:paraId="771D1FD3">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083" w:type="pct"/>
            <w:noWrap w:val="0"/>
            <w:vAlign w:val="center"/>
          </w:tcPr>
          <w:p w14:paraId="1D0E517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274C37B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391C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6BEC16B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103" w:type="pct"/>
            <w:shd w:val="clear" w:color="auto" w:fill="auto"/>
            <w:noWrap w:val="0"/>
            <w:vAlign w:val="center"/>
          </w:tcPr>
          <w:p w14:paraId="300DDA5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2074" w:type="pct"/>
            <w:shd w:val="clear" w:color="auto" w:fill="auto"/>
            <w:noWrap w:val="0"/>
            <w:vAlign w:val="center"/>
          </w:tcPr>
          <w:p w14:paraId="5E5AFB03">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083" w:type="pct"/>
            <w:noWrap w:val="0"/>
            <w:vAlign w:val="center"/>
          </w:tcPr>
          <w:p w14:paraId="0B67845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0B7D05A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288A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5DDA8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103" w:type="pct"/>
            <w:shd w:val="clear" w:color="auto" w:fill="auto"/>
            <w:noWrap w:val="0"/>
            <w:vAlign w:val="center"/>
          </w:tcPr>
          <w:p w14:paraId="3077C5C2">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2074" w:type="pct"/>
            <w:shd w:val="clear" w:color="auto" w:fill="auto"/>
            <w:noWrap w:val="0"/>
            <w:vAlign w:val="center"/>
          </w:tcPr>
          <w:p w14:paraId="0D86C61D">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083" w:type="pct"/>
            <w:noWrap w:val="0"/>
            <w:vAlign w:val="center"/>
          </w:tcPr>
          <w:p w14:paraId="3E7DD8F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112DDA3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37F3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5E1194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103" w:type="pct"/>
            <w:shd w:val="clear" w:color="auto" w:fill="auto"/>
            <w:noWrap w:val="0"/>
            <w:vAlign w:val="center"/>
          </w:tcPr>
          <w:p w14:paraId="179F7582">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2074" w:type="pct"/>
            <w:shd w:val="clear" w:color="auto" w:fill="auto"/>
            <w:noWrap w:val="0"/>
            <w:vAlign w:val="center"/>
          </w:tcPr>
          <w:p w14:paraId="39D27C39">
            <w:pPr>
              <w:pStyle w:val="5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083" w:type="pct"/>
            <w:noWrap w:val="0"/>
            <w:vAlign w:val="center"/>
          </w:tcPr>
          <w:p w14:paraId="1D6DB6F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759EEAC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332C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9E7766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1103" w:type="pct"/>
            <w:noWrap w:val="0"/>
            <w:vAlign w:val="center"/>
          </w:tcPr>
          <w:p w14:paraId="0C7707D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p>
        </w:tc>
        <w:tc>
          <w:tcPr>
            <w:tcW w:w="2074" w:type="pct"/>
            <w:noWrap w:val="0"/>
            <w:vAlign w:val="center"/>
          </w:tcPr>
          <w:p w14:paraId="5E58BA0B">
            <w:pPr>
              <w:pStyle w:val="8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tc>
        <w:tc>
          <w:tcPr>
            <w:tcW w:w="1083" w:type="pct"/>
            <w:noWrap w:val="0"/>
            <w:vAlign w:val="center"/>
          </w:tcPr>
          <w:p w14:paraId="4DBDB17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6F77ED0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31D9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E26FD9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1103" w:type="pct"/>
            <w:noWrap w:val="0"/>
            <w:vAlign w:val="center"/>
          </w:tcPr>
          <w:p w14:paraId="41161B5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p>
        </w:tc>
        <w:tc>
          <w:tcPr>
            <w:tcW w:w="2074" w:type="pct"/>
            <w:noWrap w:val="0"/>
            <w:vAlign w:val="center"/>
          </w:tcPr>
          <w:p w14:paraId="75AD50A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083" w:type="pct"/>
            <w:noWrap w:val="0"/>
            <w:vAlign w:val="center"/>
          </w:tcPr>
          <w:p w14:paraId="6D4B113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75E0C97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10C3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0AD11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1103" w:type="pct"/>
            <w:noWrap w:val="0"/>
            <w:vAlign w:val="center"/>
          </w:tcPr>
          <w:p w14:paraId="3DBF951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p>
        </w:tc>
        <w:tc>
          <w:tcPr>
            <w:tcW w:w="2074" w:type="pct"/>
            <w:noWrap w:val="0"/>
            <w:vAlign w:val="center"/>
          </w:tcPr>
          <w:p w14:paraId="691B884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083" w:type="pct"/>
            <w:noWrap w:val="0"/>
            <w:vAlign w:val="center"/>
          </w:tcPr>
          <w:p w14:paraId="4440F9C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2395412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41D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9032C8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03" w:type="pct"/>
            <w:shd w:val="clear" w:color="auto" w:fill="auto"/>
            <w:noWrap w:val="0"/>
            <w:vAlign w:val="center"/>
          </w:tcPr>
          <w:p w14:paraId="428DF3E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p>
        </w:tc>
        <w:tc>
          <w:tcPr>
            <w:tcW w:w="2074" w:type="pct"/>
            <w:noWrap w:val="0"/>
            <w:vAlign w:val="center"/>
          </w:tcPr>
          <w:p w14:paraId="7FA376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083" w:type="pct"/>
            <w:noWrap w:val="0"/>
            <w:vAlign w:val="center"/>
          </w:tcPr>
          <w:p w14:paraId="72FCA67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11" w:type="pct"/>
            <w:noWrap w:val="0"/>
            <w:vAlign w:val="center"/>
          </w:tcPr>
          <w:p w14:paraId="1E663E4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14:paraId="55CC2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DB51A8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7C82A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4D9AD7C8">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32" w:name="_Toc26965"/>
      <w:r>
        <w:rPr>
          <w:rFonts w:hint="eastAsia" w:ascii="仿宋" w:hAnsi="仿宋" w:eastAsia="仿宋" w:cs="仿宋"/>
          <w:color w:val="000000" w:themeColor="text1"/>
          <w:sz w:val="24"/>
          <w:szCs w:val="24"/>
          <w:highlight w:val="none"/>
          <w:lang w:val="en-US" w:eastAsia="zh-CN"/>
          <w14:textFill>
            <w14:solidFill>
              <w14:schemeClr w14:val="tx1"/>
            </w14:solidFill>
          </w14:textFill>
        </w:rPr>
        <w:t>六、商务响应偏离表</w:t>
      </w:r>
      <w:bookmarkEnd w:id="532"/>
    </w:p>
    <w:p w14:paraId="567C82D7">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项目名称：                                         </w:t>
      </w:r>
    </w:p>
    <w:p w14:paraId="352A2F3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329"/>
        <w:gridCol w:w="1673"/>
        <w:gridCol w:w="1820"/>
        <w:gridCol w:w="1820"/>
      </w:tblGrid>
      <w:tr w14:paraId="165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94BCBC6">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395" w:type="pct"/>
            <w:vAlign w:val="center"/>
          </w:tcPr>
          <w:p w14:paraId="39638B4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招标文件的商务条款</w:t>
            </w:r>
          </w:p>
        </w:tc>
        <w:tc>
          <w:tcPr>
            <w:tcW w:w="1002" w:type="pct"/>
            <w:vAlign w:val="center"/>
          </w:tcPr>
          <w:p w14:paraId="795107D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投标文件的响应内容</w:t>
            </w:r>
          </w:p>
        </w:tc>
        <w:tc>
          <w:tcPr>
            <w:tcW w:w="1090" w:type="pct"/>
            <w:vAlign w:val="center"/>
          </w:tcPr>
          <w:p w14:paraId="487C84C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响应情况</w:t>
            </w:r>
          </w:p>
        </w:tc>
        <w:tc>
          <w:tcPr>
            <w:tcW w:w="1090" w:type="pct"/>
            <w:vAlign w:val="center"/>
          </w:tcPr>
          <w:p w14:paraId="36A7279A">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说明及索引</w:t>
            </w:r>
          </w:p>
        </w:tc>
      </w:tr>
      <w:tr w14:paraId="0AF1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4FDF06B">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395" w:type="pct"/>
            <w:vAlign w:val="center"/>
          </w:tcPr>
          <w:p w14:paraId="284ABCEC">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02" w:type="pct"/>
            <w:vAlign w:val="center"/>
          </w:tcPr>
          <w:p w14:paraId="665A9B5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90" w:type="pct"/>
            <w:vAlign w:val="center"/>
          </w:tcPr>
          <w:p w14:paraId="2C7872A6">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响应/偏离</w:t>
            </w:r>
          </w:p>
        </w:tc>
        <w:tc>
          <w:tcPr>
            <w:tcW w:w="1090" w:type="pct"/>
            <w:vAlign w:val="center"/>
          </w:tcPr>
          <w:p w14:paraId="609B18A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A96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D62BE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395" w:type="pct"/>
            <w:vAlign w:val="center"/>
          </w:tcPr>
          <w:p w14:paraId="2249981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02" w:type="pct"/>
            <w:vAlign w:val="center"/>
          </w:tcPr>
          <w:p w14:paraId="502456B1">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90" w:type="pct"/>
            <w:vAlign w:val="center"/>
          </w:tcPr>
          <w:p w14:paraId="631D732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5D12FCC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795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F4FC64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395" w:type="pct"/>
            <w:vAlign w:val="center"/>
          </w:tcPr>
          <w:p w14:paraId="175D928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02" w:type="pct"/>
            <w:vAlign w:val="center"/>
          </w:tcPr>
          <w:p w14:paraId="29C3E3E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90" w:type="pct"/>
            <w:vAlign w:val="center"/>
          </w:tcPr>
          <w:p w14:paraId="36196F9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3FDA593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853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DB4231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2F6BEF7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15F5955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5430EF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529AE59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92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5363E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157729B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5285969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4296093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C1D91A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C28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B03CF3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4AABB80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38B73BE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3C52342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3D67806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E72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217130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5587784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0C2AF38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F98AB6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79B1CB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44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20E8E8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680B83C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430BE4A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17F58EC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72B9D08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CE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10450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6F71929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2089C80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21167AB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2859D8A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AF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CCDAF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00C971E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00B3D03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3DCBDE4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401FF25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FC6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C05555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32EE8BC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31BCE4A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23BB3DC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72024B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4E0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9680C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551B66D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78B8662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87C617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6C7D04B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FA2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C31C8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95" w:type="pct"/>
            <w:vAlign w:val="center"/>
          </w:tcPr>
          <w:p w14:paraId="4A96A5F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02" w:type="pct"/>
            <w:vAlign w:val="center"/>
          </w:tcPr>
          <w:p w14:paraId="4B60870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3CF2E4E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90" w:type="pct"/>
            <w:vAlign w:val="center"/>
          </w:tcPr>
          <w:p w14:paraId="7E75B53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1F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8B85DD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395" w:type="pct"/>
            <w:vAlign w:val="center"/>
          </w:tcPr>
          <w:p w14:paraId="5F244F4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02" w:type="pct"/>
            <w:vAlign w:val="center"/>
          </w:tcPr>
          <w:p w14:paraId="240D538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90" w:type="pct"/>
            <w:vAlign w:val="center"/>
          </w:tcPr>
          <w:p w14:paraId="70EB2FC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90" w:type="pct"/>
            <w:vAlign w:val="center"/>
          </w:tcPr>
          <w:p w14:paraId="069D637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77855371">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761A51DC">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注：投标人应按照招标文件“第三章 采购需求”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中的商务要求</w:t>
      </w:r>
      <w:r>
        <w:rPr>
          <w:rFonts w:hint="eastAsia" w:ascii="仿宋" w:hAnsi="仿宋" w:eastAsia="仿宋" w:cs="仿宋"/>
          <w:color w:val="000000" w:themeColor="text1"/>
          <w:sz w:val="24"/>
          <w:szCs w:val="24"/>
          <w:highlight w:val="none"/>
          <w14:textFill>
            <w14:solidFill>
              <w14:schemeClr w14:val="tx1"/>
            </w14:solidFill>
          </w14:textFill>
        </w:rPr>
        <w:t>填写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“响应/偏离”应据实填写“响应”、“正偏离”或“负偏离”</w:t>
      </w:r>
      <w:r>
        <w:rPr>
          <w:rFonts w:hint="eastAsia" w:ascii="仿宋" w:hAnsi="仿宋" w:eastAsia="仿宋" w:cs="仿宋"/>
          <w:color w:val="000000" w:themeColor="text1"/>
          <w:sz w:val="24"/>
          <w:szCs w:val="24"/>
          <w:highlight w:val="none"/>
          <w14:textFill>
            <w14:solidFill>
              <w14:schemeClr w14:val="tx1"/>
            </w14:solidFill>
          </w14:textFill>
        </w:rPr>
        <w:t>。</w:t>
      </w:r>
    </w:p>
    <w:p w14:paraId="295E65DD">
      <w:pPr>
        <w:rPr>
          <w:rFonts w:hint="eastAsia" w:ascii="仿宋" w:hAnsi="仿宋" w:eastAsia="仿宋" w:cs="仿宋"/>
          <w:color w:val="000000" w:themeColor="text1"/>
          <w:sz w:val="24"/>
          <w:szCs w:val="24"/>
          <w:highlight w:val="none"/>
          <w14:textFill>
            <w14:solidFill>
              <w14:schemeClr w14:val="tx1"/>
            </w14:solidFill>
          </w14:textFill>
        </w:rPr>
      </w:pPr>
    </w:p>
    <w:p w14:paraId="33A6D99D">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00D006FF">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424533A">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14:paraId="522EAFE5">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2D3487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59BABDAC">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33" w:name="_Toc32716"/>
      <w:r>
        <w:rPr>
          <w:rFonts w:hint="eastAsia" w:ascii="仿宋" w:hAnsi="仿宋" w:eastAsia="仿宋" w:cs="仿宋"/>
          <w:color w:val="000000" w:themeColor="text1"/>
          <w:sz w:val="24"/>
          <w:szCs w:val="24"/>
          <w:highlight w:val="none"/>
          <w:lang w:val="en-US" w:eastAsia="zh-CN"/>
          <w14:textFill>
            <w14:solidFill>
              <w14:schemeClr w14:val="tx1"/>
            </w14:solidFill>
          </w14:textFill>
        </w:rPr>
        <w:t>七、业绩证明文件</w:t>
      </w:r>
      <w:bookmarkEnd w:id="533"/>
    </w:p>
    <w:p w14:paraId="67A2B16B">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color w:val="000000" w:themeColor="text1"/>
          <w:sz w:val="24"/>
          <w:szCs w:val="24"/>
          <w:highlight w:val="none"/>
          <w14:textFill>
            <w14:solidFill>
              <w14:schemeClr w14:val="tx1"/>
            </w14:solidFill>
          </w14:textFill>
        </w:rPr>
        <w:instrText xml:space="preserve"> LINK Word.Document.8 "D:\\音乐厅\\4通用设备\\招标文件\\音乐厅空调设备招标文件v1.0.doc" "OLE_LINK8" \r  \* MERGEFORMAT </w:instrText>
      </w:r>
      <w:r>
        <w:rPr>
          <w:rFonts w:hint="eastAsia" w:ascii="仿宋" w:hAnsi="仿宋" w:eastAsia="仿宋" w:cs="仿宋"/>
          <w:bCs/>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xml:space="preserve">项目名称：                                         </w:t>
      </w:r>
    </w:p>
    <w:p w14:paraId="42F39C70">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1FB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CAEA857">
            <w:pPr>
              <w:jc w:val="center"/>
              <w:rPr>
                <w:rFonts w:hint="eastAsia" w:ascii="仿宋" w:hAnsi="仿宋" w:eastAsia="仿宋" w:cs="仿宋"/>
                <w:color w:val="000000" w:themeColor="text1"/>
                <w:sz w:val="24"/>
                <w:szCs w:val="24"/>
                <w:highlight w:val="none"/>
                <w14:textFill>
                  <w14:solidFill>
                    <w14:schemeClr w14:val="tx1"/>
                  </w14:solidFill>
                </w14:textFill>
              </w:rPr>
            </w:pPr>
            <w:bookmarkStart w:id="534" w:name="_Hlk46779239"/>
            <w:r>
              <w:rPr>
                <w:rFonts w:hint="eastAsia" w:ascii="仿宋" w:hAnsi="仿宋" w:eastAsia="仿宋" w:cs="仿宋"/>
                <w:color w:val="000000" w:themeColor="text1"/>
                <w:sz w:val="24"/>
                <w:szCs w:val="24"/>
                <w:highlight w:val="none"/>
                <w14:textFill>
                  <w14:solidFill>
                    <w14:schemeClr w14:val="tx1"/>
                  </w14:solidFill>
                </w14:textFill>
              </w:rPr>
              <w:t>序号</w:t>
            </w:r>
          </w:p>
        </w:tc>
        <w:tc>
          <w:tcPr>
            <w:tcW w:w="1080" w:type="dxa"/>
            <w:vAlign w:val="center"/>
          </w:tcPr>
          <w:p w14:paraId="4DA46E27">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完成时间</w:t>
            </w:r>
          </w:p>
        </w:tc>
        <w:tc>
          <w:tcPr>
            <w:tcW w:w="1248" w:type="dxa"/>
            <w:vAlign w:val="center"/>
          </w:tcPr>
          <w:p w14:paraId="70F105B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129" w:type="dxa"/>
            <w:vAlign w:val="center"/>
          </w:tcPr>
          <w:p w14:paraId="24A1A27B">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标的</w:t>
            </w:r>
            <w:r>
              <w:rPr>
                <w:rFonts w:hint="eastAsia" w:ascii="仿宋" w:hAnsi="仿宋" w:eastAsia="仿宋" w:cs="仿宋"/>
                <w:color w:val="000000" w:themeColor="text1"/>
                <w:sz w:val="24"/>
                <w:szCs w:val="24"/>
                <w:highlight w:val="none"/>
                <w14:textFill>
                  <w14:solidFill>
                    <w14:schemeClr w14:val="tx1"/>
                  </w14:solidFill>
                </w14:textFill>
              </w:rPr>
              <w:t>内容</w:t>
            </w:r>
          </w:p>
        </w:tc>
        <w:tc>
          <w:tcPr>
            <w:tcW w:w="1283" w:type="dxa"/>
            <w:vAlign w:val="center"/>
          </w:tcPr>
          <w:p w14:paraId="092C43C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名称</w:t>
            </w:r>
          </w:p>
        </w:tc>
        <w:tc>
          <w:tcPr>
            <w:tcW w:w="1368" w:type="dxa"/>
            <w:vAlign w:val="center"/>
          </w:tcPr>
          <w:p w14:paraId="45DF9084">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中标（成交）金额</w:t>
            </w:r>
          </w:p>
        </w:tc>
        <w:tc>
          <w:tcPr>
            <w:tcW w:w="960" w:type="dxa"/>
            <w:vAlign w:val="center"/>
          </w:tcPr>
          <w:p w14:paraId="34CC530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1176" w:type="dxa"/>
            <w:vAlign w:val="center"/>
          </w:tcPr>
          <w:p w14:paraId="32849D32">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r>
      <w:tr w14:paraId="765F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9104FF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080" w:type="dxa"/>
            <w:vAlign w:val="center"/>
          </w:tcPr>
          <w:p w14:paraId="356B3D1B">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3F370DBD">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77812CE9">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47BADF09">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67CDEC4D">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7B97DCC1">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2663ED03">
            <w:pPr>
              <w:rPr>
                <w:rFonts w:hint="eastAsia" w:ascii="仿宋" w:hAnsi="仿宋" w:eastAsia="仿宋" w:cs="仿宋"/>
                <w:color w:val="000000" w:themeColor="text1"/>
                <w:sz w:val="24"/>
                <w:szCs w:val="24"/>
                <w:highlight w:val="none"/>
                <w14:textFill>
                  <w14:solidFill>
                    <w14:schemeClr w14:val="tx1"/>
                  </w14:solidFill>
                </w14:textFill>
              </w:rPr>
            </w:pPr>
          </w:p>
        </w:tc>
      </w:tr>
      <w:tr w14:paraId="5CE6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F256B60">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080" w:type="dxa"/>
            <w:vAlign w:val="center"/>
          </w:tcPr>
          <w:p w14:paraId="5000179A">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69BD1A4B">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46ED8D3F">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40005147">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09CAB137">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7783DC68">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1685C65C">
            <w:pPr>
              <w:rPr>
                <w:rFonts w:hint="eastAsia" w:ascii="仿宋" w:hAnsi="仿宋" w:eastAsia="仿宋" w:cs="仿宋"/>
                <w:color w:val="000000" w:themeColor="text1"/>
                <w:sz w:val="24"/>
                <w:szCs w:val="24"/>
                <w:highlight w:val="none"/>
                <w14:textFill>
                  <w14:solidFill>
                    <w14:schemeClr w14:val="tx1"/>
                  </w14:solidFill>
                </w14:textFill>
              </w:rPr>
            </w:pPr>
          </w:p>
        </w:tc>
      </w:tr>
      <w:tr w14:paraId="1FA8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3B9CA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080" w:type="dxa"/>
            <w:vAlign w:val="center"/>
          </w:tcPr>
          <w:p w14:paraId="26364A16">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7653FA82">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4831176E">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35B1D779">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4E0261C3">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7CDC977E">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06900F6C">
            <w:pPr>
              <w:rPr>
                <w:rFonts w:hint="eastAsia" w:ascii="仿宋" w:hAnsi="仿宋" w:eastAsia="仿宋" w:cs="仿宋"/>
                <w:color w:val="000000" w:themeColor="text1"/>
                <w:sz w:val="24"/>
                <w:szCs w:val="24"/>
                <w:highlight w:val="none"/>
                <w14:textFill>
                  <w14:solidFill>
                    <w14:schemeClr w14:val="tx1"/>
                  </w14:solidFill>
                </w14:textFill>
              </w:rPr>
            </w:pPr>
          </w:p>
        </w:tc>
      </w:tr>
      <w:tr w14:paraId="57E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678011F">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080" w:type="dxa"/>
            <w:vAlign w:val="center"/>
          </w:tcPr>
          <w:p w14:paraId="14A96A1A">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70C373B2">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04FE1729">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60EC65A1">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4997EC6C">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67FED5C3">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4E582951">
            <w:pPr>
              <w:rPr>
                <w:rFonts w:hint="eastAsia" w:ascii="仿宋" w:hAnsi="仿宋" w:eastAsia="仿宋" w:cs="仿宋"/>
                <w:color w:val="000000" w:themeColor="text1"/>
                <w:sz w:val="24"/>
                <w:szCs w:val="24"/>
                <w:highlight w:val="none"/>
                <w14:textFill>
                  <w14:solidFill>
                    <w14:schemeClr w14:val="tx1"/>
                  </w14:solidFill>
                </w14:textFill>
              </w:rPr>
            </w:pPr>
          </w:p>
        </w:tc>
      </w:tr>
      <w:tr w14:paraId="4A2C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45A8C6">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1080" w:type="dxa"/>
            <w:vAlign w:val="center"/>
          </w:tcPr>
          <w:p w14:paraId="1A79145C">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52B1CD07">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70CFF619">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2E68663C">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51D772D8">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747032C8">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2B9C6858">
            <w:pPr>
              <w:rPr>
                <w:rFonts w:hint="eastAsia" w:ascii="仿宋" w:hAnsi="仿宋" w:eastAsia="仿宋" w:cs="仿宋"/>
                <w:color w:val="000000" w:themeColor="text1"/>
                <w:sz w:val="24"/>
                <w:szCs w:val="24"/>
                <w:highlight w:val="none"/>
                <w14:textFill>
                  <w14:solidFill>
                    <w14:schemeClr w14:val="tx1"/>
                  </w14:solidFill>
                </w14:textFill>
              </w:rPr>
            </w:pPr>
          </w:p>
        </w:tc>
      </w:tr>
      <w:tr w14:paraId="59CA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6E9EBB5">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80" w:type="dxa"/>
            <w:vAlign w:val="center"/>
          </w:tcPr>
          <w:p w14:paraId="01DEFBA8">
            <w:pPr>
              <w:rPr>
                <w:rFonts w:hint="eastAsia" w:ascii="仿宋" w:hAnsi="仿宋" w:eastAsia="仿宋" w:cs="仿宋"/>
                <w:color w:val="000000" w:themeColor="text1"/>
                <w:sz w:val="24"/>
                <w:szCs w:val="24"/>
                <w:highlight w:val="none"/>
                <w14:textFill>
                  <w14:solidFill>
                    <w14:schemeClr w14:val="tx1"/>
                  </w14:solidFill>
                </w14:textFill>
              </w:rPr>
            </w:pPr>
          </w:p>
        </w:tc>
        <w:tc>
          <w:tcPr>
            <w:tcW w:w="1248" w:type="dxa"/>
            <w:vAlign w:val="center"/>
          </w:tcPr>
          <w:p w14:paraId="011B46C0">
            <w:pPr>
              <w:rPr>
                <w:rFonts w:hint="eastAsia" w:ascii="仿宋" w:hAnsi="仿宋" w:eastAsia="仿宋" w:cs="仿宋"/>
                <w:color w:val="000000" w:themeColor="text1"/>
                <w:sz w:val="24"/>
                <w:szCs w:val="24"/>
                <w:highlight w:val="none"/>
                <w14:textFill>
                  <w14:solidFill>
                    <w14:schemeClr w14:val="tx1"/>
                  </w14:solidFill>
                </w14:textFill>
              </w:rPr>
            </w:pPr>
          </w:p>
        </w:tc>
        <w:tc>
          <w:tcPr>
            <w:tcW w:w="1129" w:type="dxa"/>
            <w:vAlign w:val="center"/>
          </w:tcPr>
          <w:p w14:paraId="4193E86F">
            <w:pPr>
              <w:rPr>
                <w:rFonts w:hint="eastAsia" w:ascii="仿宋" w:hAnsi="仿宋" w:eastAsia="仿宋" w:cs="仿宋"/>
                <w:color w:val="000000" w:themeColor="text1"/>
                <w:sz w:val="24"/>
                <w:szCs w:val="24"/>
                <w:highlight w:val="none"/>
                <w14:textFill>
                  <w14:solidFill>
                    <w14:schemeClr w14:val="tx1"/>
                  </w14:solidFill>
                </w14:textFill>
              </w:rPr>
            </w:pPr>
          </w:p>
        </w:tc>
        <w:tc>
          <w:tcPr>
            <w:tcW w:w="1283" w:type="dxa"/>
            <w:vAlign w:val="center"/>
          </w:tcPr>
          <w:p w14:paraId="4AE3CC4A">
            <w:pPr>
              <w:rPr>
                <w:rFonts w:hint="eastAsia" w:ascii="仿宋" w:hAnsi="仿宋" w:eastAsia="仿宋" w:cs="仿宋"/>
                <w:color w:val="000000" w:themeColor="text1"/>
                <w:sz w:val="24"/>
                <w:szCs w:val="24"/>
                <w:highlight w:val="none"/>
                <w14:textFill>
                  <w14:solidFill>
                    <w14:schemeClr w14:val="tx1"/>
                  </w14:solidFill>
                </w14:textFill>
              </w:rPr>
            </w:pPr>
          </w:p>
        </w:tc>
        <w:tc>
          <w:tcPr>
            <w:tcW w:w="1368" w:type="dxa"/>
            <w:vAlign w:val="center"/>
          </w:tcPr>
          <w:p w14:paraId="78694935">
            <w:pPr>
              <w:rPr>
                <w:rFonts w:hint="eastAsia" w:ascii="仿宋" w:hAnsi="仿宋" w:eastAsia="仿宋" w:cs="仿宋"/>
                <w:color w:val="000000" w:themeColor="text1"/>
                <w:sz w:val="24"/>
                <w:szCs w:val="24"/>
                <w:highlight w:val="none"/>
                <w14:textFill>
                  <w14:solidFill>
                    <w14:schemeClr w14:val="tx1"/>
                  </w14:solidFill>
                </w14:textFill>
              </w:rPr>
            </w:pPr>
          </w:p>
        </w:tc>
        <w:tc>
          <w:tcPr>
            <w:tcW w:w="960" w:type="dxa"/>
            <w:vAlign w:val="center"/>
          </w:tcPr>
          <w:p w14:paraId="673E5F0B">
            <w:pPr>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34B85119">
            <w:pPr>
              <w:rPr>
                <w:rFonts w:hint="eastAsia" w:ascii="仿宋" w:hAnsi="仿宋" w:eastAsia="仿宋" w:cs="仿宋"/>
                <w:color w:val="000000" w:themeColor="text1"/>
                <w:sz w:val="24"/>
                <w:szCs w:val="24"/>
                <w:highlight w:val="none"/>
                <w14:textFill>
                  <w14:solidFill>
                    <w14:schemeClr w14:val="tx1"/>
                  </w14:solidFill>
                </w14:textFill>
              </w:rPr>
            </w:pPr>
          </w:p>
        </w:tc>
      </w:tr>
      <w:bookmarkEnd w:id="534"/>
    </w:tbl>
    <w:p w14:paraId="3D2CC5D6">
      <w:pPr>
        <w:rPr>
          <w:rFonts w:hint="eastAsia" w:ascii="仿宋" w:hAnsi="仿宋" w:eastAsia="仿宋" w:cs="仿宋"/>
          <w:color w:val="000000" w:themeColor="text1"/>
          <w:sz w:val="24"/>
          <w:szCs w:val="24"/>
          <w:highlight w:val="none"/>
          <w14:textFill>
            <w14:solidFill>
              <w14:schemeClr w14:val="tx1"/>
            </w14:solidFill>
          </w14:textFill>
        </w:rPr>
      </w:pPr>
    </w:p>
    <w:p w14:paraId="40015352">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注：投标人须按</w:t>
      </w:r>
      <w:r>
        <w:rPr>
          <w:rFonts w:hint="eastAsia" w:ascii="仿宋" w:hAnsi="仿宋" w:eastAsia="仿宋" w:cs="仿宋"/>
          <w:color w:val="000000" w:themeColor="text1"/>
          <w:sz w:val="24"/>
          <w:szCs w:val="24"/>
          <w:highlight w:val="none"/>
          <w:lang w:val="en-US" w:eastAsia="zh-CN"/>
          <w14:textFill>
            <w14:solidFill>
              <w14:schemeClr w14:val="tx1"/>
            </w14:solidFill>
          </w14:textFill>
        </w:rPr>
        <w:t>相关要求</w:t>
      </w:r>
      <w:r>
        <w:rPr>
          <w:rFonts w:hint="eastAsia" w:ascii="仿宋" w:hAnsi="仿宋" w:eastAsia="仿宋" w:cs="仿宋"/>
          <w:color w:val="000000" w:themeColor="text1"/>
          <w:sz w:val="24"/>
          <w:szCs w:val="24"/>
          <w:highlight w:val="none"/>
          <w14:textFill>
            <w14:solidFill>
              <w14:schemeClr w14:val="tx1"/>
            </w14:solidFill>
          </w14:textFill>
        </w:rPr>
        <w:t>提供相应的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中标（成交）通知书、采购合同等</w:t>
      </w:r>
      <w:r>
        <w:rPr>
          <w:rFonts w:hint="eastAsia" w:ascii="仿宋" w:hAnsi="仿宋" w:eastAsia="仿宋" w:cs="仿宋"/>
          <w:color w:val="000000" w:themeColor="text1"/>
          <w:sz w:val="24"/>
          <w:szCs w:val="24"/>
          <w:highlight w:val="none"/>
          <w14:textFill>
            <w14:solidFill>
              <w14:schemeClr w14:val="tx1"/>
            </w14:solidFill>
          </w14:textFill>
        </w:rPr>
        <w:t>业绩证明资料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证明文件详见商务技术评审标准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01DE81D3">
      <w:pPr>
        <w:widowControl/>
        <w:spacing w:before="100" w:beforeAutospacing="1" w:after="100" w:afterAutospacing="1"/>
        <w:rPr>
          <w:rFonts w:hint="eastAsia" w:ascii="仿宋" w:hAnsi="仿宋" w:eastAsia="仿宋" w:cs="仿宋"/>
          <w:color w:val="000000" w:themeColor="text1"/>
          <w:sz w:val="24"/>
          <w:szCs w:val="24"/>
          <w:highlight w:val="none"/>
          <w14:textFill>
            <w14:solidFill>
              <w14:schemeClr w14:val="tx1"/>
            </w14:solidFill>
          </w14:textFill>
        </w:rPr>
      </w:pPr>
    </w:p>
    <w:p w14:paraId="41E5E8AB">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EC25FF4">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14:paraId="4F8CBD46">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4835F9CF">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35" w:name="_Toc13809"/>
      <w:r>
        <w:rPr>
          <w:rFonts w:hint="eastAsia" w:ascii="仿宋" w:hAnsi="仿宋" w:eastAsia="仿宋" w:cs="仿宋"/>
          <w:color w:val="000000" w:themeColor="text1"/>
          <w:sz w:val="24"/>
          <w:szCs w:val="24"/>
          <w:highlight w:val="none"/>
          <w:lang w:val="en-US" w:eastAsia="zh-CN"/>
          <w14:textFill>
            <w14:solidFill>
              <w14:schemeClr w14:val="tx1"/>
            </w14:solidFill>
          </w14:textFill>
        </w:rPr>
        <w:t>八、拟派项目团队</w:t>
      </w:r>
      <w:bookmarkEnd w:id="535"/>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023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180F037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267" w:type="dxa"/>
            <w:vAlign w:val="center"/>
          </w:tcPr>
          <w:p w14:paraId="0C0DB65A">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团队成员</w:t>
            </w:r>
          </w:p>
          <w:p w14:paraId="0ACB8F37">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296" w:type="dxa"/>
            <w:tcBorders>
              <w:right w:val="single" w:color="auto" w:sz="4" w:space="0"/>
            </w:tcBorders>
            <w:vAlign w:val="center"/>
          </w:tcPr>
          <w:p w14:paraId="71FD17B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工作单位</w:t>
            </w:r>
          </w:p>
        </w:tc>
        <w:tc>
          <w:tcPr>
            <w:tcW w:w="1080" w:type="dxa"/>
            <w:tcBorders>
              <w:left w:val="single" w:color="auto" w:sz="4" w:space="0"/>
            </w:tcBorders>
            <w:vAlign w:val="center"/>
          </w:tcPr>
          <w:p w14:paraId="4B3E6DFC">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w:t>
            </w:r>
          </w:p>
        </w:tc>
        <w:tc>
          <w:tcPr>
            <w:tcW w:w="804" w:type="dxa"/>
            <w:tcBorders>
              <w:left w:val="single" w:color="auto" w:sz="4" w:space="0"/>
            </w:tcBorders>
            <w:vAlign w:val="center"/>
          </w:tcPr>
          <w:p w14:paraId="6CE52DED">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860" w:type="dxa"/>
            <w:vAlign w:val="center"/>
          </w:tcPr>
          <w:p w14:paraId="712CFD14">
            <w:pPr>
              <w:pStyle w:val="5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资格证书（岗位证书）名称及编号</w:t>
            </w:r>
          </w:p>
        </w:tc>
        <w:tc>
          <w:tcPr>
            <w:tcW w:w="1356" w:type="dxa"/>
            <w:vAlign w:val="center"/>
          </w:tcPr>
          <w:p w14:paraId="638EB1C2">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在团队中职务（岗位）</w:t>
            </w:r>
          </w:p>
        </w:tc>
        <w:tc>
          <w:tcPr>
            <w:tcW w:w="816" w:type="dxa"/>
            <w:vAlign w:val="center"/>
          </w:tcPr>
          <w:p w14:paraId="4D21A597">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自有/外聘</w:t>
            </w:r>
          </w:p>
        </w:tc>
      </w:tr>
      <w:tr w14:paraId="57B0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772E87C">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36" w:name="_Toc100090784"/>
            <w:bookmarkStart w:id="537" w:name="_Toc99533292"/>
            <w:r>
              <w:rPr>
                <w:rFonts w:hint="eastAsia" w:ascii="仿宋" w:hAnsi="仿宋" w:eastAsia="仿宋" w:cs="仿宋"/>
                <w:color w:val="000000" w:themeColor="text1"/>
                <w:sz w:val="24"/>
                <w:szCs w:val="24"/>
                <w:highlight w:val="none"/>
                <w14:textFill>
                  <w14:solidFill>
                    <w14:schemeClr w14:val="tx1"/>
                  </w14:solidFill>
                </w14:textFill>
              </w:rPr>
              <w:t>1</w:t>
            </w:r>
            <w:bookmarkEnd w:id="536"/>
            <w:bookmarkEnd w:id="537"/>
          </w:p>
        </w:tc>
        <w:tc>
          <w:tcPr>
            <w:tcW w:w="1267" w:type="dxa"/>
            <w:vAlign w:val="center"/>
          </w:tcPr>
          <w:p w14:paraId="2BF689F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3811DD9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3F64164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554A00D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50C0B86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33DC5A4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341589C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618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723D8F">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38" w:name="_Toc100090785"/>
            <w:bookmarkStart w:id="539" w:name="_Toc99533293"/>
            <w:r>
              <w:rPr>
                <w:rFonts w:hint="eastAsia" w:ascii="仿宋" w:hAnsi="仿宋" w:eastAsia="仿宋" w:cs="仿宋"/>
                <w:color w:val="000000" w:themeColor="text1"/>
                <w:sz w:val="24"/>
                <w:szCs w:val="24"/>
                <w:highlight w:val="none"/>
                <w14:textFill>
                  <w14:solidFill>
                    <w14:schemeClr w14:val="tx1"/>
                  </w14:solidFill>
                </w14:textFill>
              </w:rPr>
              <w:t>2</w:t>
            </w:r>
            <w:bookmarkEnd w:id="538"/>
            <w:bookmarkEnd w:id="539"/>
          </w:p>
        </w:tc>
        <w:tc>
          <w:tcPr>
            <w:tcW w:w="1267" w:type="dxa"/>
            <w:vAlign w:val="center"/>
          </w:tcPr>
          <w:p w14:paraId="421B90C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53A5DF0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1A1F8A4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6BD9B76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3BDEF9B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30D8126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2E34409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D1B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0F4CB81">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40" w:name="_Toc100090786"/>
            <w:bookmarkStart w:id="541" w:name="_Toc99533294"/>
            <w:r>
              <w:rPr>
                <w:rFonts w:hint="eastAsia" w:ascii="仿宋" w:hAnsi="仿宋" w:eastAsia="仿宋" w:cs="仿宋"/>
                <w:color w:val="000000" w:themeColor="text1"/>
                <w:sz w:val="24"/>
                <w:szCs w:val="24"/>
                <w:highlight w:val="none"/>
                <w14:textFill>
                  <w14:solidFill>
                    <w14:schemeClr w14:val="tx1"/>
                  </w14:solidFill>
                </w14:textFill>
              </w:rPr>
              <w:t>3</w:t>
            </w:r>
            <w:bookmarkEnd w:id="540"/>
            <w:bookmarkEnd w:id="541"/>
          </w:p>
        </w:tc>
        <w:tc>
          <w:tcPr>
            <w:tcW w:w="1267" w:type="dxa"/>
            <w:vAlign w:val="center"/>
          </w:tcPr>
          <w:p w14:paraId="5F6DB9A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3B649A2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5BC15B2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1D77948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69E7B8C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1CB7CC8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359C888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A6B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D678D0">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42" w:name="_Toc100090787"/>
            <w:bookmarkStart w:id="543" w:name="_Toc99533295"/>
            <w:r>
              <w:rPr>
                <w:rFonts w:hint="eastAsia" w:ascii="仿宋" w:hAnsi="仿宋" w:eastAsia="仿宋" w:cs="仿宋"/>
                <w:color w:val="000000" w:themeColor="text1"/>
                <w:sz w:val="24"/>
                <w:szCs w:val="24"/>
                <w:highlight w:val="none"/>
                <w14:textFill>
                  <w14:solidFill>
                    <w14:schemeClr w14:val="tx1"/>
                  </w14:solidFill>
                </w14:textFill>
              </w:rPr>
              <w:t>4</w:t>
            </w:r>
            <w:bookmarkEnd w:id="542"/>
            <w:bookmarkEnd w:id="543"/>
          </w:p>
        </w:tc>
        <w:tc>
          <w:tcPr>
            <w:tcW w:w="1267" w:type="dxa"/>
            <w:vAlign w:val="center"/>
          </w:tcPr>
          <w:p w14:paraId="4B3FB1B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14EBFC6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6619A83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3D1D1EB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2B75812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2B9ED3A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4A23DE4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187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017B5BB">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44" w:name="_Toc100090788"/>
            <w:bookmarkStart w:id="545" w:name="_Toc99533296"/>
            <w:r>
              <w:rPr>
                <w:rFonts w:hint="eastAsia" w:ascii="仿宋" w:hAnsi="仿宋" w:eastAsia="仿宋" w:cs="仿宋"/>
                <w:color w:val="000000" w:themeColor="text1"/>
                <w:sz w:val="24"/>
                <w:szCs w:val="24"/>
                <w:highlight w:val="none"/>
                <w14:textFill>
                  <w14:solidFill>
                    <w14:schemeClr w14:val="tx1"/>
                  </w14:solidFill>
                </w14:textFill>
              </w:rPr>
              <w:t>5</w:t>
            </w:r>
            <w:bookmarkEnd w:id="544"/>
            <w:bookmarkEnd w:id="545"/>
          </w:p>
        </w:tc>
        <w:tc>
          <w:tcPr>
            <w:tcW w:w="1267" w:type="dxa"/>
            <w:vAlign w:val="center"/>
          </w:tcPr>
          <w:p w14:paraId="4D25F87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736B3F2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74D18C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1307712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4B45AD9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7BD6EE9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34EACA1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165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5B00876">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46" w:name="_Toc99533297"/>
            <w:bookmarkStart w:id="547" w:name="_Toc100090789"/>
            <w:r>
              <w:rPr>
                <w:rFonts w:hint="eastAsia" w:ascii="仿宋" w:hAnsi="仿宋" w:eastAsia="仿宋" w:cs="仿宋"/>
                <w:color w:val="000000" w:themeColor="text1"/>
                <w:sz w:val="24"/>
                <w:szCs w:val="24"/>
                <w:highlight w:val="none"/>
                <w14:textFill>
                  <w14:solidFill>
                    <w14:schemeClr w14:val="tx1"/>
                  </w14:solidFill>
                </w14:textFill>
              </w:rPr>
              <w:t>6</w:t>
            </w:r>
            <w:bookmarkEnd w:id="546"/>
            <w:bookmarkEnd w:id="547"/>
          </w:p>
        </w:tc>
        <w:tc>
          <w:tcPr>
            <w:tcW w:w="1267" w:type="dxa"/>
            <w:vAlign w:val="center"/>
          </w:tcPr>
          <w:p w14:paraId="0A9D22B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15D4759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2435064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7BF4965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1105891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2301D5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5668725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1D4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CE6DDD">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48" w:name="_Toc99533298"/>
            <w:bookmarkStart w:id="549" w:name="_Toc100090790"/>
            <w:r>
              <w:rPr>
                <w:rFonts w:hint="eastAsia" w:ascii="仿宋" w:hAnsi="仿宋" w:eastAsia="仿宋" w:cs="仿宋"/>
                <w:color w:val="000000" w:themeColor="text1"/>
                <w:sz w:val="24"/>
                <w:szCs w:val="24"/>
                <w:highlight w:val="none"/>
                <w14:textFill>
                  <w14:solidFill>
                    <w14:schemeClr w14:val="tx1"/>
                  </w14:solidFill>
                </w14:textFill>
              </w:rPr>
              <w:t>7</w:t>
            </w:r>
            <w:bookmarkEnd w:id="548"/>
            <w:bookmarkEnd w:id="549"/>
          </w:p>
        </w:tc>
        <w:tc>
          <w:tcPr>
            <w:tcW w:w="1267" w:type="dxa"/>
            <w:vAlign w:val="center"/>
          </w:tcPr>
          <w:p w14:paraId="1785EF1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20C789E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4CDD687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2086922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0D3F010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6E3E49B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52EEAC1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813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FCBA98">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50" w:name="_Toc99533299"/>
            <w:bookmarkStart w:id="551" w:name="_Toc100090791"/>
            <w:r>
              <w:rPr>
                <w:rFonts w:hint="eastAsia" w:ascii="仿宋" w:hAnsi="仿宋" w:eastAsia="仿宋" w:cs="仿宋"/>
                <w:color w:val="000000" w:themeColor="text1"/>
                <w:sz w:val="24"/>
                <w:szCs w:val="24"/>
                <w:highlight w:val="none"/>
                <w14:textFill>
                  <w14:solidFill>
                    <w14:schemeClr w14:val="tx1"/>
                  </w14:solidFill>
                </w14:textFill>
              </w:rPr>
              <w:t>8</w:t>
            </w:r>
            <w:bookmarkEnd w:id="550"/>
            <w:bookmarkEnd w:id="551"/>
          </w:p>
        </w:tc>
        <w:tc>
          <w:tcPr>
            <w:tcW w:w="1267" w:type="dxa"/>
            <w:vAlign w:val="center"/>
          </w:tcPr>
          <w:p w14:paraId="3B20D15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0B689CB9">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5EED891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461A7F4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7383214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6E28441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0ED445D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775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EA17B31">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52" w:name="_Toc100090792"/>
            <w:bookmarkStart w:id="553" w:name="_Toc99533300"/>
            <w:r>
              <w:rPr>
                <w:rFonts w:hint="eastAsia" w:ascii="仿宋" w:hAnsi="仿宋" w:eastAsia="仿宋" w:cs="仿宋"/>
                <w:color w:val="000000" w:themeColor="text1"/>
                <w:sz w:val="24"/>
                <w:szCs w:val="24"/>
                <w:highlight w:val="none"/>
                <w14:textFill>
                  <w14:solidFill>
                    <w14:schemeClr w14:val="tx1"/>
                  </w14:solidFill>
                </w14:textFill>
              </w:rPr>
              <w:t>9</w:t>
            </w:r>
            <w:bookmarkEnd w:id="552"/>
            <w:bookmarkEnd w:id="553"/>
          </w:p>
        </w:tc>
        <w:tc>
          <w:tcPr>
            <w:tcW w:w="1267" w:type="dxa"/>
            <w:vAlign w:val="center"/>
          </w:tcPr>
          <w:p w14:paraId="5FC0E8B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4725C07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1592090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31EDC4E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35C0E84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219EF18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0794442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424B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5D6CDAF4">
            <w:pPr>
              <w:pStyle w:val="59"/>
              <w:jc w:val="center"/>
              <w:rPr>
                <w:rFonts w:hint="eastAsia" w:ascii="仿宋" w:hAnsi="仿宋" w:eastAsia="仿宋" w:cs="仿宋"/>
                <w:color w:val="000000" w:themeColor="text1"/>
                <w:sz w:val="24"/>
                <w:szCs w:val="24"/>
                <w:highlight w:val="none"/>
                <w14:textFill>
                  <w14:solidFill>
                    <w14:schemeClr w14:val="tx1"/>
                  </w14:solidFill>
                </w14:textFill>
              </w:rPr>
            </w:pPr>
            <w:bookmarkStart w:id="554" w:name="_Toc99533301"/>
            <w:bookmarkStart w:id="555" w:name="_Toc100090793"/>
            <w:r>
              <w:rPr>
                <w:rFonts w:hint="eastAsia" w:ascii="仿宋" w:hAnsi="仿宋" w:eastAsia="仿宋" w:cs="仿宋"/>
                <w:color w:val="000000" w:themeColor="text1"/>
                <w:sz w:val="24"/>
                <w:szCs w:val="24"/>
                <w:highlight w:val="none"/>
                <w14:textFill>
                  <w14:solidFill>
                    <w14:schemeClr w14:val="tx1"/>
                  </w14:solidFill>
                </w14:textFill>
              </w:rPr>
              <w:t>10</w:t>
            </w:r>
            <w:bookmarkEnd w:id="554"/>
            <w:bookmarkEnd w:id="555"/>
          </w:p>
        </w:tc>
        <w:tc>
          <w:tcPr>
            <w:tcW w:w="1267" w:type="dxa"/>
            <w:vAlign w:val="center"/>
          </w:tcPr>
          <w:p w14:paraId="3E03191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96" w:type="dxa"/>
            <w:tcBorders>
              <w:right w:val="single" w:color="auto" w:sz="4" w:space="0"/>
            </w:tcBorders>
            <w:vAlign w:val="center"/>
          </w:tcPr>
          <w:p w14:paraId="756B8E7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left w:val="single" w:color="auto" w:sz="4" w:space="0"/>
            </w:tcBorders>
            <w:vAlign w:val="center"/>
          </w:tcPr>
          <w:p w14:paraId="5176B18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14:paraId="6939D4D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60" w:type="dxa"/>
            <w:vAlign w:val="center"/>
          </w:tcPr>
          <w:p w14:paraId="7E24A77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56" w:type="dxa"/>
            <w:vAlign w:val="center"/>
          </w:tcPr>
          <w:p w14:paraId="130F79B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16" w:type="dxa"/>
            <w:vAlign w:val="center"/>
          </w:tcPr>
          <w:p w14:paraId="789C40D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4BDC3A98">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507A3D92">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56" w:name="_Toc10837"/>
      <w:r>
        <w:rPr>
          <w:rFonts w:hint="eastAsia" w:ascii="仿宋" w:hAnsi="仿宋" w:eastAsia="仿宋" w:cs="仿宋"/>
          <w:color w:val="000000" w:themeColor="text1"/>
          <w:sz w:val="24"/>
          <w:szCs w:val="24"/>
          <w:highlight w:val="none"/>
          <w:lang w:val="en-US" w:eastAsia="zh-CN"/>
          <w14:textFill>
            <w14:solidFill>
              <w14:schemeClr w14:val="tx1"/>
            </w14:solidFill>
          </w14:textFill>
        </w:rPr>
        <w:t>九、技术响应偏离表</w:t>
      </w:r>
      <w:bookmarkEnd w:id="556"/>
    </w:p>
    <w:p w14:paraId="48717428">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项目名称：                                         </w:t>
      </w:r>
    </w:p>
    <w:p w14:paraId="5ED995B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zh-CN"/>
          <w14:textFill>
            <w14:solidFill>
              <w14:schemeClr w14:val="tx1"/>
            </w14:solidFill>
          </w14:textFill>
        </w:rPr>
        <w:t>包号</w:t>
      </w:r>
      <w:r>
        <w:rPr>
          <w:rFonts w:hint="eastAsia" w:ascii="仿宋" w:hAnsi="仿宋" w:eastAsia="仿宋" w:cs="仿宋"/>
          <w:color w:val="000000" w:themeColor="text1"/>
          <w:sz w:val="24"/>
          <w:szCs w:val="24"/>
          <w:highlight w:val="none"/>
          <w14:textFill>
            <w14:solidFill>
              <w14:schemeClr w14:val="tx1"/>
            </w14:solidFill>
          </w14:textFill>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16"/>
        <w:gridCol w:w="1705"/>
        <w:gridCol w:w="2093"/>
        <w:gridCol w:w="1877"/>
      </w:tblGrid>
      <w:tr w14:paraId="508D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9372739">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159" w:type="pct"/>
            <w:vAlign w:val="center"/>
          </w:tcPr>
          <w:p w14:paraId="3BE616D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招标文件技术</w:t>
            </w:r>
          </w:p>
          <w:p w14:paraId="37863F4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要求条款</w:t>
            </w:r>
          </w:p>
        </w:tc>
        <w:tc>
          <w:tcPr>
            <w:tcW w:w="1031" w:type="pct"/>
            <w:vAlign w:val="center"/>
          </w:tcPr>
          <w:p w14:paraId="2D0EE38F">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投标文件内容</w:t>
            </w:r>
          </w:p>
          <w:p w14:paraId="095DBFB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对应简述</w:t>
            </w:r>
          </w:p>
        </w:tc>
        <w:tc>
          <w:tcPr>
            <w:tcW w:w="1265" w:type="pct"/>
            <w:vAlign w:val="center"/>
          </w:tcPr>
          <w:p w14:paraId="3C701471">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响应情况</w:t>
            </w:r>
          </w:p>
        </w:tc>
        <w:tc>
          <w:tcPr>
            <w:tcW w:w="1135" w:type="pct"/>
            <w:vAlign w:val="center"/>
          </w:tcPr>
          <w:p w14:paraId="65AF79F4">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证明资料</w:t>
            </w:r>
            <w:r>
              <w:rPr>
                <w:rFonts w:hint="eastAsia" w:ascii="仿宋" w:hAnsi="仿宋" w:eastAsia="仿宋" w:cs="仿宋"/>
                <w:color w:val="000000" w:themeColor="text1"/>
                <w:sz w:val="24"/>
                <w:szCs w:val="24"/>
                <w:highlight w:val="none"/>
                <w14:textFill>
                  <w14:solidFill>
                    <w14:schemeClr w14:val="tx1"/>
                  </w14:solidFill>
                </w14:textFill>
              </w:rPr>
              <w:t>及索引</w:t>
            </w:r>
          </w:p>
        </w:tc>
      </w:tr>
      <w:tr w14:paraId="080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8A3BAE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159" w:type="pct"/>
            <w:vAlign w:val="center"/>
          </w:tcPr>
          <w:p w14:paraId="09B9A6E7">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31" w:type="pct"/>
            <w:vAlign w:val="center"/>
          </w:tcPr>
          <w:p w14:paraId="47235B6F">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265" w:type="pct"/>
            <w:vAlign w:val="center"/>
          </w:tcPr>
          <w:p w14:paraId="4AF859A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响应/正偏离/负偏离</w:t>
            </w:r>
          </w:p>
        </w:tc>
        <w:tc>
          <w:tcPr>
            <w:tcW w:w="1135" w:type="pct"/>
            <w:vAlign w:val="center"/>
          </w:tcPr>
          <w:p w14:paraId="0EE5FF7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80E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3D42BAAE">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159" w:type="pct"/>
            <w:vAlign w:val="center"/>
          </w:tcPr>
          <w:p w14:paraId="58E70A25">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31" w:type="pct"/>
            <w:vAlign w:val="center"/>
          </w:tcPr>
          <w:p w14:paraId="38C9B4F1">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265" w:type="pct"/>
            <w:vAlign w:val="center"/>
          </w:tcPr>
          <w:p w14:paraId="417D4D46">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响应/正偏离/负偏离</w:t>
            </w:r>
          </w:p>
        </w:tc>
        <w:tc>
          <w:tcPr>
            <w:tcW w:w="1135" w:type="pct"/>
            <w:vAlign w:val="center"/>
          </w:tcPr>
          <w:p w14:paraId="028E7B9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F46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CF71EA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10FEC3E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4B4CE47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634A5C86">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02CDF13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A1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75C50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06ADA98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602F7DC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2E5CC4A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5AE6F24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F4C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774854D">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5B5C7F8F">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4AB9624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71B93DD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180A790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A9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B38875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150BF13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49288D0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6FE16F0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787EB3A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828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4244F0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2B5F538A">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622173CB">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52698D7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543A3E6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A7B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785A0D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63B63EBE">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1488AC41">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0154FE6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4BD269B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476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01182B7">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440B6C1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51DEA488">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07DB8FEC">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756A732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E5A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14F1982">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9" w:type="pct"/>
            <w:vAlign w:val="center"/>
          </w:tcPr>
          <w:p w14:paraId="3A5EE6C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31" w:type="pct"/>
            <w:vAlign w:val="center"/>
          </w:tcPr>
          <w:p w14:paraId="2F614FC3">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5" w:type="pct"/>
            <w:vAlign w:val="center"/>
          </w:tcPr>
          <w:p w14:paraId="2E370415">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5" w:type="pct"/>
            <w:vAlign w:val="center"/>
          </w:tcPr>
          <w:p w14:paraId="49DE6FF0">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E0F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6F6A07D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159" w:type="pct"/>
            <w:vAlign w:val="center"/>
          </w:tcPr>
          <w:p w14:paraId="50547E68">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031" w:type="pct"/>
            <w:vAlign w:val="center"/>
          </w:tcPr>
          <w:p w14:paraId="28A2AE37">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265" w:type="pct"/>
            <w:vAlign w:val="center"/>
          </w:tcPr>
          <w:p w14:paraId="1D520613">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135" w:type="pct"/>
            <w:vAlign w:val="center"/>
          </w:tcPr>
          <w:p w14:paraId="2C4A1324">
            <w:pPr>
              <w:pStyle w:val="59"/>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4C14D895">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94116ED">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说明：投标人应按照招标文件“第三章 采购需求”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中的技术要求</w:t>
      </w:r>
      <w:r>
        <w:rPr>
          <w:rFonts w:hint="eastAsia" w:ascii="仿宋" w:hAnsi="仿宋" w:eastAsia="仿宋" w:cs="仿宋"/>
          <w:color w:val="000000" w:themeColor="text1"/>
          <w:sz w:val="24"/>
          <w:szCs w:val="24"/>
          <w:highlight w:val="none"/>
          <w14:textFill>
            <w14:solidFill>
              <w14:schemeClr w14:val="tx1"/>
            </w14:solidFill>
          </w14:textFill>
        </w:rPr>
        <w:t>填写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“响应/正偏离/负偏离”应据实填写“响应”、“正偏离”或“负偏离”</w:t>
      </w:r>
      <w:r>
        <w:rPr>
          <w:rFonts w:hint="eastAsia" w:ascii="仿宋" w:hAnsi="仿宋" w:eastAsia="仿宋" w:cs="仿宋"/>
          <w:color w:val="000000" w:themeColor="text1"/>
          <w:sz w:val="24"/>
          <w:szCs w:val="24"/>
          <w:highlight w:val="none"/>
          <w14:textFill>
            <w14:solidFill>
              <w14:schemeClr w14:val="tx1"/>
            </w14:solidFill>
          </w14:textFill>
        </w:rPr>
        <w:t>。</w:t>
      </w:r>
    </w:p>
    <w:p w14:paraId="2E8DD3B4">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3C74BDD0">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16A91C6E">
      <w:pPr>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14:paraId="7CE75620">
      <w:pPr>
        <w:ind w:firstLine="420"/>
        <w:rPr>
          <w:rFonts w:hint="eastAsia" w:ascii="仿宋" w:hAnsi="仿宋" w:eastAsia="仿宋" w:cs="仿宋"/>
          <w:color w:val="000000" w:themeColor="text1"/>
          <w:sz w:val="24"/>
          <w:szCs w:val="24"/>
          <w:highlight w:val="none"/>
          <w14:textFill>
            <w14:solidFill>
              <w14:schemeClr w14:val="tx1"/>
            </w14:solidFill>
          </w14:textFill>
        </w:rPr>
      </w:pPr>
    </w:p>
    <w:p w14:paraId="2E1E8C56">
      <w:pPr>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备注：投标人在本表中须标注产品实际参数数值，照搬照抄采购文件参数、不注明实际数值者</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视为未响应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6BDEDF4F">
      <w:pPr>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AB83E27">
      <w:pPr>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F40066A">
      <w:pPr>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6C9768A">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57" w:name="_Toc15970"/>
      <w:r>
        <w:rPr>
          <w:rFonts w:hint="eastAsia" w:ascii="仿宋" w:hAnsi="仿宋" w:eastAsia="仿宋" w:cs="仿宋"/>
          <w:color w:val="000000" w:themeColor="text1"/>
          <w:sz w:val="24"/>
          <w:szCs w:val="24"/>
          <w:highlight w:val="none"/>
          <w:lang w:val="en-US" w:eastAsia="zh-CN"/>
          <w14:textFill>
            <w14:solidFill>
              <w14:schemeClr w14:val="tx1"/>
            </w14:solidFill>
          </w14:textFill>
        </w:rPr>
        <w:t>十、技术方案</w:t>
      </w:r>
      <w:bookmarkEnd w:id="557"/>
    </w:p>
    <w:p w14:paraId="1890E68C">
      <w:pPr>
        <w:pStyle w:val="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投标人应按照招标文件的要求，提供详细的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供货及相关</w:t>
      </w:r>
      <w:r>
        <w:rPr>
          <w:rFonts w:hint="eastAsia" w:ascii="仿宋" w:hAnsi="仿宋" w:eastAsia="仿宋" w:cs="仿宋"/>
          <w:color w:val="000000" w:themeColor="text1"/>
          <w:sz w:val="24"/>
          <w:szCs w:val="24"/>
          <w:highlight w:val="none"/>
          <w14:textFill>
            <w14:solidFill>
              <w14:schemeClr w14:val="tx1"/>
            </w14:solidFill>
          </w14:textFill>
        </w:rPr>
        <w:t>服务方案，包括文字描述或图表显示。格式自拟。</w:t>
      </w:r>
    </w:p>
    <w:p w14:paraId="202FF637">
      <w:pPr>
        <w:pStyle w:val="4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10AE1D28">
      <w:pPr>
        <w:ind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46EA9A5">
      <w:pPr>
        <w:pStyle w:val="5"/>
        <w:bidi w:val="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558" w:name="_Toc19835"/>
      <w:r>
        <w:rPr>
          <w:rFonts w:hint="eastAsia" w:ascii="仿宋" w:hAnsi="仿宋" w:eastAsia="仿宋" w:cs="仿宋"/>
          <w:color w:val="000000" w:themeColor="text1"/>
          <w:sz w:val="24"/>
          <w:szCs w:val="24"/>
          <w:highlight w:val="none"/>
          <w:lang w:val="en-US" w:eastAsia="zh-CN"/>
          <w14:textFill>
            <w14:solidFill>
              <w14:schemeClr w14:val="tx1"/>
            </w14:solidFill>
          </w14:textFill>
        </w:rPr>
        <w:t>十一、其他文件</w:t>
      </w:r>
      <w:bookmarkEnd w:id="558"/>
    </w:p>
    <w:p w14:paraId="4650B8C1">
      <w:pPr>
        <w:pStyle w:val="47"/>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招标文件要求提供的其它商务</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技术资料和证明材料；</w:t>
      </w:r>
    </w:p>
    <w:p w14:paraId="5B269201">
      <w:pPr>
        <w:pStyle w:val="47"/>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0"/>
        <w:gridCol w:w="4568"/>
      </w:tblGrid>
      <w:tr w14:paraId="7007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661" w:type="dxa"/>
            <w:vAlign w:val="center"/>
          </w:tcPr>
          <w:p w14:paraId="05E53713">
            <w:pPr>
              <w:keepNext w:val="0"/>
              <w:keepLines w:val="0"/>
              <w:widowControl/>
              <w:suppressLineNumbers w:val="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供应商名称</w:t>
            </w:r>
          </w:p>
        </w:tc>
        <w:tc>
          <w:tcPr>
            <w:tcW w:w="4661" w:type="dxa"/>
            <w:vAlign w:val="center"/>
          </w:tcPr>
          <w:p w14:paraId="60CF8CF1">
            <w:pPr>
              <w:keepNext w:val="0"/>
              <w:keepLines w:val="0"/>
              <w:widowControl/>
              <w:suppressLineNumbers w:val="0"/>
              <w:jc w:val="cente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外商投资类型</w:t>
            </w:r>
          </w:p>
        </w:tc>
      </w:tr>
      <w:tr w14:paraId="57D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2A6BC160">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4661" w:type="dxa"/>
          </w:tcPr>
          <w:p w14:paraId="78EDA0D6">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47B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4A2221F2">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4661" w:type="dxa"/>
          </w:tcPr>
          <w:p w14:paraId="39167F5B">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58AC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6305035B">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4661" w:type="dxa"/>
          </w:tcPr>
          <w:p w14:paraId="5B21BE29">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4390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686726CF">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4661" w:type="dxa"/>
          </w:tcPr>
          <w:p w14:paraId="4D0F7A9D">
            <w:pPr>
              <w:pStyle w:val="47"/>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bl>
    <w:p w14:paraId="5B2957AB">
      <w:pPr>
        <w:keepNext w:val="0"/>
        <w:keepLines w:val="0"/>
        <w:widowControl/>
        <w:suppressLineNumbers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注：1.供应商如为联合体，则应填写联合体各成员信息。 </w:t>
      </w:r>
    </w:p>
    <w:p w14:paraId="5F76E822">
      <w:pPr>
        <w:pStyle w:val="47"/>
        <w:ind w:left="0" w:leftChars="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2.“外商投资类型”请填写“外商单独投资”、“外商部分投资”或“内资”。</w:t>
      </w:r>
    </w:p>
    <w:p w14:paraId="103F8BFC">
      <w:pPr>
        <w:pStyle w:val="47"/>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572CB2F">
      <w:pPr>
        <w:pStyle w:val="47"/>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1.2其它商务、技术资料和证明材料</w:t>
      </w:r>
    </w:p>
    <w:p w14:paraId="0F57D1A6">
      <w:pPr>
        <w:pStyle w:val="47"/>
        <w:ind w:left="0" w:leftChars="0" w:firstLine="0" w:firstLineChars="0"/>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DD394B6">
      <w:pPr>
        <w:pStyle w:val="47"/>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投标人认为需要提供的其它商务</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技术资料和说明。</w:t>
      </w:r>
    </w:p>
    <w:p w14:paraId="74E96C6E">
      <w:pPr>
        <w:pStyle w:val="47"/>
        <w:rPr>
          <w:rFonts w:hint="eastAsia" w:ascii="仿宋" w:hAnsi="仿宋" w:eastAsia="仿宋" w:cs="仿宋"/>
          <w:color w:val="000000" w:themeColor="text1"/>
          <w:sz w:val="24"/>
          <w:szCs w:val="24"/>
          <w:highlight w:val="none"/>
          <w14:textFill>
            <w14:solidFill>
              <w14:schemeClr w14:val="tx1"/>
            </w14:solidFill>
          </w14:textFill>
        </w:rPr>
      </w:pPr>
    </w:p>
    <w:p w14:paraId="4BA0F1C9">
      <w:pPr>
        <w:pStyle w:val="47"/>
        <w:rPr>
          <w:rFonts w:hint="eastAsia" w:ascii="仿宋" w:hAnsi="仿宋" w:eastAsia="仿宋" w:cs="仿宋"/>
          <w:color w:val="000000" w:themeColor="text1"/>
          <w:sz w:val="24"/>
          <w:szCs w:val="24"/>
          <w:highlight w:val="none"/>
          <w:lang w:val="en-US" w:eastAsia="zh-CN"/>
          <w14:textFill>
            <w14:solidFill>
              <w14:schemeClr w14:val="tx1"/>
            </w14:solidFill>
          </w14:textFill>
        </w:rPr>
      </w:pPr>
    </w:p>
    <w:sectPr>
      <w:headerReference r:id="rId9" w:type="default"/>
      <w:footerReference r:id="rId10" w:type="default"/>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宋体-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281A">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98"/>
                            <w:showingPlcHdr/>
                          </w:sdtPr>
                          <w:sdtContent>
                            <w:p w14:paraId="32D88E45">
                              <w:pPr>
                                <w:pStyle w:val="23"/>
                                <w:jc w:val="center"/>
                                <w:rPr>
                                  <w:rFonts w:hint="eastAsia"/>
                                </w:rPr>
                              </w:pPr>
                              <w:r>
                                <w:rPr>
                                  <w:rFonts w:hint="eastAsia"/>
                                </w:rPr>
                                <w:t xml:space="preserve">     </w:t>
                              </w:r>
                            </w:p>
                          </w:sdtContent>
                        </w:sdt>
                        <w:p w14:paraId="659A4F3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53298"/>
                      <w:showingPlcHdr/>
                    </w:sdtPr>
                    <w:sdtContent>
                      <w:p w14:paraId="32D88E45">
                        <w:pPr>
                          <w:pStyle w:val="23"/>
                          <w:jc w:val="center"/>
                          <w:rPr>
                            <w:rFonts w:hint="eastAsia"/>
                          </w:rPr>
                        </w:pPr>
                        <w:r>
                          <w:rPr>
                            <w:rFonts w:hint="eastAsia"/>
                          </w:rPr>
                          <w:t xml:space="preserve">     </w:t>
                        </w:r>
                      </w:p>
                    </w:sdtContent>
                  </w:sdt>
                  <w:p w14:paraId="659A4F3B">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7AFE">
    <w:pPr>
      <w:pStyle w:val="23"/>
      <w:bidi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E2168">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6E2168">
                    <w:pPr>
                      <w:pStyle w:val="2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083"/>
                            <w:showingPlcHdr/>
                          </w:sdtPr>
                          <w:sdtContent>
                            <w:p w14:paraId="6B7DA409">
                              <w:pPr>
                                <w:pStyle w:val="23"/>
                                <w:jc w:val="center"/>
                              </w:pPr>
                              <w:r>
                                <w:rPr>
                                  <w:rFonts w:hint="eastAsia"/>
                                  <w:lang w:eastAsia="zh-CN"/>
                                </w:rPr>
                                <w:t xml:space="preserve">     </w:t>
                              </w:r>
                            </w:p>
                          </w:sdtContent>
                        </w:sdt>
                        <w:p w14:paraId="1B40263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0083"/>
                      <w:showingPlcHdr/>
                    </w:sdtPr>
                    <w:sdtContent>
                      <w:p w14:paraId="6B7DA409">
                        <w:pPr>
                          <w:pStyle w:val="23"/>
                          <w:jc w:val="center"/>
                        </w:pPr>
                        <w:r>
                          <w:rPr>
                            <w:rFonts w:hint="eastAsia"/>
                            <w:lang w:eastAsia="zh-CN"/>
                          </w:rPr>
                          <w:t xml:space="preserve">     </w:t>
                        </w:r>
                      </w:p>
                    </w:sdtContent>
                  </w:sdt>
                  <w:p w14:paraId="1B40263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0333">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62"/>
                          </w:sdtPr>
                          <w:sdtContent>
                            <w:p w14:paraId="556A143C">
                              <w:pPr>
                                <w:pStyle w:val="2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C64C7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sdt>
                    <w:sdtPr>
                      <w:id w:val="147466662"/>
                    </w:sdtPr>
                    <w:sdtContent>
                      <w:p w14:paraId="556A143C">
                        <w:pPr>
                          <w:pStyle w:val="2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C64C77"/>
                </w:txbxContent>
              </v:textbox>
            </v:shape>
          </w:pict>
        </mc:Fallback>
      </mc:AlternateContent>
    </w:r>
  </w:p>
  <w:p w14:paraId="7A12494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2837">
    <w:pPr>
      <w:pStyle w:val="23"/>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02CA7E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578FD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02CA7E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578FD5">
                    <w:pPr>
                      <w:rPr>
                        <w:rFonts w:hint="eastAsia"/>
                      </w:rPr>
                    </w:pPr>
                  </w:p>
                </w:txbxContent>
              </v:textbox>
            </v:shape>
          </w:pict>
        </mc:Fallback>
      </mc:AlternateContent>
    </w:r>
  </w:p>
  <w:p w14:paraId="1F677DCB">
    <w:pPr>
      <w:pStyle w:val="2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7E6A">
    <w:pPr>
      <w:pStyle w:val="2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79BFB">
    <w:pPr>
      <w:pStyle w:val="25"/>
      <w:rPr>
        <w:rFonts w:hint="eastAsia"/>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9"/>
      <w:lvlText w:val="%1."/>
      <w:lvlJc w:val="left"/>
      <w:pPr>
        <w:tabs>
          <w:tab w:val="left" w:pos="780"/>
        </w:tabs>
        <w:ind w:left="780" w:hanging="360"/>
      </w:pPr>
    </w:lvl>
  </w:abstractNum>
  <w:abstractNum w:abstractNumId="1">
    <w:nsid w:val="A1AA03B5"/>
    <w:multiLevelType w:val="singleLevel"/>
    <w:tmpl w:val="A1AA03B5"/>
    <w:lvl w:ilvl="0" w:tentative="0">
      <w:start w:val="1"/>
      <w:numFmt w:val="decimal"/>
      <w:pStyle w:val="28"/>
      <w:lvlText w:val="%1."/>
      <w:lvlJc w:val="left"/>
      <w:pPr>
        <w:tabs>
          <w:tab w:val="left" w:pos="2040"/>
        </w:tabs>
        <w:ind w:left="2040" w:hanging="360"/>
      </w:pPr>
    </w:lvl>
  </w:abstractNum>
  <w:abstractNum w:abstractNumId="2">
    <w:nsid w:val="A844721A"/>
    <w:multiLevelType w:val="singleLevel"/>
    <w:tmpl w:val="A844721A"/>
    <w:lvl w:ilvl="0" w:tentative="0">
      <w:start w:val="1"/>
      <w:numFmt w:val="decimal"/>
      <w:suff w:val="nothing"/>
      <w:lvlText w:val="%1、"/>
      <w:lvlJc w:val="left"/>
    </w:lvl>
  </w:abstractNum>
  <w:abstractNum w:abstractNumId="3">
    <w:nsid w:val="E5B49B02"/>
    <w:multiLevelType w:val="singleLevel"/>
    <w:tmpl w:val="E5B49B02"/>
    <w:lvl w:ilvl="0" w:tentative="0">
      <w:start w:val="1"/>
      <w:numFmt w:val="decimal"/>
      <w:suff w:val="nothing"/>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090165"/>
    <w:multiLevelType w:val="multilevel"/>
    <w:tmpl w:val="25090165"/>
    <w:lvl w:ilvl="0" w:tentative="0">
      <w:start w:val="1"/>
      <w:numFmt w:val="none"/>
      <w:suff w:val="nothing"/>
      <w:lvlText w:val=""/>
      <w:lvlJc w:val="left"/>
    </w:lvl>
    <w:lvl w:ilvl="1" w:tentative="0">
      <w:start w:val="1"/>
      <w:numFmt w:val="none"/>
      <w:pStyle w:val="95"/>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6">
    <w:nsid w:val="28583BA1"/>
    <w:multiLevelType w:val="singleLevel"/>
    <w:tmpl w:val="28583BA1"/>
    <w:lvl w:ilvl="0" w:tentative="0">
      <w:start w:val="1"/>
      <w:numFmt w:val="decimal"/>
      <w:lvlText w:val="%1."/>
      <w:lvlJc w:val="left"/>
      <w:pPr>
        <w:tabs>
          <w:tab w:val="left" w:pos="312"/>
        </w:tabs>
      </w:pPr>
    </w:lvl>
  </w:abstractNum>
  <w:abstractNum w:abstractNumId="7">
    <w:nsid w:val="335756DA"/>
    <w:multiLevelType w:val="singleLevel"/>
    <w:tmpl w:val="335756DA"/>
    <w:lvl w:ilvl="0" w:tentative="0">
      <w:start w:val="3"/>
      <w:numFmt w:val="chineseCounting"/>
      <w:suff w:val="space"/>
      <w:lvlText w:val="第%1章"/>
      <w:lvlJc w:val="left"/>
      <w:rPr>
        <w:rFonts w:hint="eastAsia"/>
      </w:rPr>
    </w:lvl>
  </w:abstractNum>
  <w:abstractNum w:abstractNumId="8">
    <w:nsid w:val="447B6378"/>
    <w:multiLevelType w:val="multilevel"/>
    <w:tmpl w:val="447B6378"/>
    <w:lvl w:ilvl="0" w:tentative="0">
      <w:start w:val="1"/>
      <w:numFmt w:val="decimal"/>
      <w:pStyle w:val="4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8"/>
  </w:num>
  <w:num w:numId="4">
    <w:abstractNumId w:val="5"/>
  </w:num>
  <w:num w:numId="5">
    <w:abstractNumId w:val="6"/>
  </w:num>
  <w:num w:numId="6">
    <w:abstractNumId w:val="7"/>
  </w:num>
  <w:num w:numId="7">
    <w:abstractNumId w:val="2"/>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2A27"/>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0799"/>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D78A9"/>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56165"/>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6F03"/>
    <w:rsid w:val="00687DD5"/>
    <w:rsid w:val="006923C3"/>
    <w:rsid w:val="006937E9"/>
    <w:rsid w:val="00693EF9"/>
    <w:rsid w:val="006947A5"/>
    <w:rsid w:val="006A1A11"/>
    <w:rsid w:val="006A2C75"/>
    <w:rsid w:val="006A4105"/>
    <w:rsid w:val="006B0C84"/>
    <w:rsid w:val="006B543B"/>
    <w:rsid w:val="006B6FFD"/>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2428"/>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7765E"/>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0314"/>
    <w:rsid w:val="00A22235"/>
    <w:rsid w:val="00A22F7B"/>
    <w:rsid w:val="00A23801"/>
    <w:rsid w:val="00A2554C"/>
    <w:rsid w:val="00A33652"/>
    <w:rsid w:val="00A3798C"/>
    <w:rsid w:val="00A42866"/>
    <w:rsid w:val="00A461C1"/>
    <w:rsid w:val="00A46B5C"/>
    <w:rsid w:val="00A50D6E"/>
    <w:rsid w:val="00A51DD8"/>
    <w:rsid w:val="00A647EA"/>
    <w:rsid w:val="00A6623E"/>
    <w:rsid w:val="00A736C6"/>
    <w:rsid w:val="00A82472"/>
    <w:rsid w:val="00A83F1F"/>
    <w:rsid w:val="00A8416F"/>
    <w:rsid w:val="00AA0223"/>
    <w:rsid w:val="00AB28B8"/>
    <w:rsid w:val="00AB3B77"/>
    <w:rsid w:val="00AC57B7"/>
    <w:rsid w:val="00AC73C5"/>
    <w:rsid w:val="00AC755C"/>
    <w:rsid w:val="00AD0E13"/>
    <w:rsid w:val="00AD1F86"/>
    <w:rsid w:val="00AD5ABF"/>
    <w:rsid w:val="00AF45C5"/>
    <w:rsid w:val="00AF5667"/>
    <w:rsid w:val="00B05DD5"/>
    <w:rsid w:val="00B107E9"/>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B3B"/>
    <w:rsid w:val="00C32F79"/>
    <w:rsid w:val="00C33FD2"/>
    <w:rsid w:val="00C35271"/>
    <w:rsid w:val="00C4036A"/>
    <w:rsid w:val="00C50E28"/>
    <w:rsid w:val="00C62934"/>
    <w:rsid w:val="00C64428"/>
    <w:rsid w:val="00C74D6F"/>
    <w:rsid w:val="00C842DE"/>
    <w:rsid w:val="00C902FB"/>
    <w:rsid w:val="00C965AE"/>
    <w:rsid w:val="00CA0AED"/>
    <w:rsid w:val="00CA66E6"/>
    <w:rsid w:val="00CB1103"/>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A69E8"/>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B9A"/>
    <w:rsid w:val="00E54AF9"/>
    <w:rsid w:val="00E5624E"/>
    <w:rsid w:val="00E601D4"/>
    <w:rsid w:val="00E64C88"/>
    <w:rsid w:val="00E7179D"/>
    <w:rsid w:val="00E74832"/>
    <w:rsid w:val="00E75B90"/>
    <w:rsid w:val="00E81B04"/>
    <w:rsid w:val="00E820C5"/>
    <w:rsid w:val="00E87550"/>
    <w:rsid w:val="00E9413F"/>
    <w:rsid w:val="00E973D2"/>
    <w:rsid w:val="00EC7C64"/>
    <w:rsid w:val="00ED00D6"/>
    <w:rsid w:val="00EE26DC"/>
    <w:rsid w:val="00EE3FF1"/>
    <w:rsid w:val="00EE5816"/>
    <w:rsid w:val="00EF3D7E"/>
    <w:rsid w:val="00EF7C9F"/>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25FE6"/>
    <w:rsid w:val="013E61E2"/>
    <w:rsid w:val="0145465E"/>
    <w:rsid w:val="01463E7F"/>
    <w:rsid w:val="014F4893"/>
    <w:rsid w:val="01541EA9"/>
    <w:rsid w:val="01580C56"/>
    <w:rsid w:val="016F3D72"/>
    <w:rsid w:val="0176597C"/>
    <w:rsid w:val="01781929"/>
    <w:rsid w:val="01877B89"/>
    <w:rsid w:val="019E3125"/>
    <w:rsid w:val="01AC75F0"/>
    <w:rsid w:val="01D0068D"/>
    <w:rsid w:val="01D775B9"/>
    <w:rsid w:val="02026E30"/>
    <w:rsid w:val="02093566"/>
    <w:rsid w:val="020B6A0C"/>
    <w:rsid w:val="02132174"/>
    <w:rsid w:val="02186A33"/>
    <w:rsid w:val="0224187C"/>
    <w:rsid w:val="023130F5"/>
    <w:rsid w:val="024737BC"/>
    <w:rsid w:val="024C2B81"/>
    <w:rsid w:val="026E6F9B"/>
    <w:rsid w:val="028604AE"/>
    <w:rsid w:val="029D33DC"/>
    <w:rsid w:val="02AD3196"/>
    <w:rsid w:val="02AE1145"/>
    <w:rsid w:val="02C44E0D"/>
    <w:rsid w:val="02DA63DE"/>
    <w:rsid w:val="02ED7EC0"/>
    <w:rsid w:val="03200295"/>
    <w:rsid w:val="03305FFE"/>
    <w:rsid w:val="035E2B6B"/>
    <w:rsid w:val="0361440A"/>
    <w:rsid w:val="036D7252"/>
    <w:rsid w:val="03773C2D"/>
    <w:rsid w:val="03802AE2"/>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D07A99"/>
    <w:rsid w:val="04E67986"/>
    <w:rsid w:val="04EB042F"/>
    <w:rsid w:val="04F01EE9"/>
    <w:rsid w:val="04F574FF"/>
    <w:rsid w:val="04F72882"/>
    <w:rsid w:val="04FC1324"/>
    <w:rsid w:val="04FF212C"/>
    <w:rsid w:val="05131110"/>
    <w:rsid w:val="051673B8"/>
    <w:rsid w:val="05235E1B"/>
    <w:rsid w:val="052D0A47"/>
    <w:rsid w:val="052E656D"/>
    <w:rsid w:val="053E0EA6"/>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4A73D7"/>
    <w:rsid w:val="06587D46"/>
    <w:rsid w:val="067032E2"/>
    <w:rsid w:val="067E3A29"/>
    <w:rsid w:val="06856661"/>
    <w:rsid w:val="069114AA"/>
    <w:rsid w:val="06AB431A"/>
    <w:rsid w:val="06AE7966"/>
    <w:rsid w:val="06B07B82"/>
    <w:rsid w:val="06DD649D"/>
    <w:rsid w:val="06EC66E0"/>
    <w:rsid w:val="06F04422"/>
    <w:rsid w:val="07020C1A"/>
    <w:rsid w:val="07060306"/>
    <w:rsid w:val="0709089A"/>
    <w:rsid w:val="071C5217"/>
    <w:rsid w:val="071D4AEC"/>
    <w:rsid w:val="07210A39"/>
    <w:rsid w:val="072242D3"/>
    <w:rsid w:val="072440CC"/>
    <w:rsid w:val="0737795B"/>
    <w:rsid w:val="073F4A62"/>
    <w:rsid w:val="07442078"/>
    <w:rsid w:val="076C53FA"/>
    <w:rsid w:val="076D22AC"/>
    <w:rsid w:val="0784404A"/>
    <w:rsid w:val="078608E3"/>
    <w:rsid w:val="07941252"/>
    <w:rsid w:val="07A25DD3"/>
    <w:rsid w:val="07A64AE1"/>
    <w:rsid w:val="07B55348"/>
    <w:rsid w:val="07EA70C4"/>
    <w:rsid w:val="07F0083A"/>
    <w:rsid w:val="080D2DB2"/>
    <w:rsid w:val="08687FE8"/>
    <w:rsid w:val="08935065"/>
    <w:rsid w:val="08997D8A"/>
    <w:rsid w:val="08A76D63"/>
    <w:rsid w:val="08AD2074"/>
    <w:rsid w:val="08BB45BC"/>
    <w:rsid w:val="08C2594B"/>
    <w:rsid w:val="08C6368D"/>
    <w:rsid w:val="08D306C7"/>
    <w:rsid w:val="08D538D0"/>
    <w:rsid w:val="08D77648"/>
    <w:rsid w:val="08E04023"/>
    <w:rsid w:val="08E51639"/>
    <w:rsid w:val="08EE4992"/>
    <w:rsid w:val="08F74D9C"/>
    <w:rsid w:val="090452B8"/>
    <w:rsid w:val="09077801"/>
    <w:rsid w:val="091C32AD"/>
    <w:rsid w:val="09212671"/>
    <w:rsid w:val="0926010A"/>
    <w:rsid w:val="093F51ED"/>
    <w:rsid w:val="09664528"/>
    <w:rsid w:val="09970B85"/>
    <w:rsid w:val="09975029"/>
    <w:rsid w:val="09AC1C5B"/>
    <w:rsid w:val="09AD03A9"/>
    <w:rsid w:val="09CA4996"/>
    <w:rsid w:val="09CE174C"/>
    <w:rsid w:val="09DE4B40"/>
    <w:rsid w:val="09E613EC"/>
    <w:rsid w:val="09EA6F07"/>
    <w:rsid w:val="09F23B8C"/>
    <w:rsid w:val="09FE29B2"/>
    <w:rsid w:val="0A1C108A"/>
    <w:rsid w:val="0A2148F3"/>
    <w:rsid w:val="0A391C3C"/>
    <w:rsid w:val="0A3D172D"/>
    <w:rsid w:val="0A3E680D"/>
    <w:rsid w:val="0A544CC8"/>
    <w:rsid w:val="0A5C00B8"/>
    <w:rsid w:val="0A831432"/>
    <w:rsid w:val="0A9A6B7F"/>
    <w:rsid w:val="0A9B6453"/>
    <w:rsid w:val="0AAB338B"/>
    <w:rsid w:val="0AAF1EFF"/>
    <w:rsid w:val="0ABF0394"/>
    <w:rsid w:val="0AD84599"/>
    <w:rsid w:val="0B05734A"/>
    <w:rsid w:val="0B0E131B"/>
    <w:rsid w:val="0B0F299D"/>
    <w:rsid w:val="0B115FB9"/>
    <w:rsid w:val="0B1A381C"/>
    <w:rsid w:val="0B352404"/>
    <w:rsid w:val="0B386398"/>
    <w:rsid w:val="0B490402"/>
    <w:rsid w:val="0B536D2E"/>
    <w:rsid w:val="0B5C2086"/>
    <w:rsid w:val="0B6727D9"/>
    <w:rsid w:val="0B674587"/>
    <w:rsid w:val="0B6B4077"/>
    <w:rsid w:val="0B6E5916"/>
    <w:rsid w:val="0B745622"/>
    <w:rsid w:val="0B76679F"/>
    <w:rsid w:val="0B7F5D75"/>
    <w:rsid w:val="0B8A683F"/>
    <w:rsid w:val="0BB24C22"/>
    <w:rsid w:val="0BCA5242"/>
    <w:rsid w:val="0BE45BD8"/>
    <w:rsid w:val="0BF202F5"/>
    <w:rsid w:val="0BFE313E"/>
    <w:rsid w:val="0C02649C"/>
    <w:rsid w:val="0C05627A"/>
    <w:rsid w:val="0C0A3890"/>
    <w:rsid w:val="0C1E6205"/>
    <w:rsid w:val="0C28640C"/>
    <w:rsid w:val="0C3C5A14"/>
    <w:rsid w:val="0C41302A"/>
    <w:rsid w:val="0C5A4DAC"/>
    <w:rsid w:val="0C760F26"/>
    <w:rsid w:val="0C874EE1"/>
    <w:rsid w:val="0C88488C"/>
    <w:rsid w:val="0C8A677F"/>
    <w:rsid w:val="0CA44B82"/>
    <w:rsid w:val="0CC04897"/>
    <w:rsid w:val="0CD520F0"/>
    <w:rsid w:val="0CD67C16"/>
    <w:rsid w:val="0CD81BE1"/>
    <w:rsid w:val="0D0C53E6"/>
    <w:rsid w:val="0D0E73B0"/>
    <w:rsid w:val="0D1C7D1F"/>
    <w:rsid w:val="0D2210AE"/>
    <w:rsid w:val="0D2766C4"/>
    <w:rsid w:val="0D6B6E82"/>
    <w:rsid w:val="0D83072A"/>
    <w:rsid w:val="0D9D0734"/>
    <w:rsid w:val="0DA90E87"/>
    <w:rsid w:val="0DAF0B93"/>
    <w:rsid w:val="0DB241E0"/>
    <w:rsid w:val="0DB74AC1"/>
    <w:rsid w:val="0DBD4932"/>
    <w:rsid w:val="0DC14423"/>
    <w:rsid w:val="0DC7542B"/>
    <w:rsid w:val="0DC83A03"/>
    <w:rsid w:val="0DCD1019"/>
    <w:rsid w:val="0DE10B00"/>
    <w:rsid w:val="0DEC6F86"/>
    <w:rsid w:val="0DEF71E2"/>
    <w:rsid w:val="0DFA67E4"/>
    <w:rsid w:val="0E0D58BA"/>
    <w:rsid w:val="0E0F1632"/>
    <w:rsid w:val="0E214EC1"/>
    <w:rsid w:val="0E342E47"/>
    <w:rsid w:val="0E3A7BC7"/>
    <w:rsid w:val="0E460DCC"/>
    <w:rsid w:val="0E464928"/>
    <w:rsid w:val="0E651252"/>
    <w:rsid w:val="0E653000"/>
    <w:rsid w:val="0E6D45AA"/>
    <w:rsid w:val="0E72396F"/>
    <w:rsid w:val="0E796AAB"/>
    <w:rsid w:val="0E7C0027"/>
    <w:rsid w:val="0E7F6315"/>
    <w:rsid w:val="0E8D07A9"/>
    <w:rsid w:val="0E9543D1"/>
    <w:rsid w:val="0EA33B28"/>
    <w:rsid w:val="0EB208AB"/>
    <w:rsid w:val="0EB36461"/>
    <w:rsid w:val="0EB45D35"/>
    <w:rsid w:val="0EB94FDD"/>
    <w:rsid w:val="0EBD75FE"/>
    <w:rsid w:val="0EC35F79"/>
    <w:rsid w:val="0EC817E1"/>
    <w:rsid w:val="0ECA5559"/>
    <w:rsid w:val="0ED53B2A"/>
    <w:rsid w:val="0EF600FC"/>
    <w:rsid w:val="0F096081"/>
    <w:rsid w:val="0F1B5913"/>
    <w:rsid w:val="0F2442A2"/>
    <w:rsid w:val="0F3D21CF"/>
    <w:rsid w:val="0F4C0664"/>
    <w:rsid w:val="0F5A5835"/>
    <w:rsid w:val="0F6D4AA3"/>
    <w:rsid w:val="0F7816D8"/>
    <w:rsid w:val="0F817C7F"/>
    <w:rsid w:val="0F9D4A1B"/>
    <w:rsid w:val="0FA54772"/>
    <w:rsid w:val="0FA638D0"/>
    <w:rsid w:val="0FAB538A"/>
    <w:rsid w:val="0FD33C3D"/>
    <w:rsid w:val="0FD83350"/>
    <w:rsid w:val="0FE8213B"/>
    <w:rsid w:val="0FF52AA9"/>
    <w:rsid w:val="10047D52"/>
    <w:rsid w:val="10150A56"/>
    <w:rsid w:val="10240C99"/>
    <w:rsid w:val="102723E9"/>
    <w:rsid w:val="102B64CB"/>
    <w:rsid w:val="1030763E"/>
    <w:rsid w:val="104E5D16"/>
    <w:rsid w:val="10615A49"/>
    <w:rsid w:val="107240FA"/>
    <w:rsid w:val="107439CE"/>
    <w:rsid w:val="1090632E"/>
    <w:rsid w:val="109220A6"/>
    <w:rsid w:val="109B71AD"/>
    <w:rsid w:val="10A92DD3"/>
    <w:rsid w:val="10AF4A06"/>
    <w:rsid w:val="10B62239"/>
    <w:rsid w:val="10BD54A5"/>
    <w:rsid w:val="10C55FD8"/>
    <w:rsid w:val="10C85AC8"/>
    <w:rsid w:val="10E256B3"/>
    <w:rsid w:val="11036B00"/>
    <w:rsid w:val="11082369"/>
    <w:rsid w:val="11164A85"/>
    <w:rsid w:val="112B6C40"/>
    <w:rsid w:val="11357D2A"/>
    <w:rsid w:val="113849FC"/>
    <w:rsid w:val="113A4C18"/>
    <w:rsid w:val="11457119"/>
    <w:rsid w:val="1147614B"/>
    <w:rsid w:val="116E48C1"/>
    <w:rsid w:val="11785740"/>
    <w:rsid w:val="11845E93"/>
    <w:rsid w:val="11867E5D"/>
    <w:rsid w:val="11A2456B"/>
    <w:rsid w:val="11AE5258"/>
    <w:rsid w:val="11B30526"/>
    <w:rsid w:val="11DA1F57"/>
    <w:rsid w:val="11DF30C9"/>
    <w:rsid w:val="11FA6155"/>
    <w:rsid w:val="12130FC5"/>
    <w:rsid w:val="122C2F5A"/>
    <w:rsid w:val="12371157"/>
    <w:rsid w:val="12483364"/>
    <w:rsid w:val="12573F56"/>
    <w:rsid w:val="127001C5"/>
    <w:rsid w:val="12771554"/>
    <w:rsid w:val="127759F8"/>
    <w:rsid w:val="127A0C92"/>
    <w:rsid w:val="127A45D5"/>
    <w:rsid w:val="127F48AC"/>
    <w:rsid w:val="129E4D32"/>
    <w:rsid w:val="12AD766B"/>
    <w:rsid w:val="12B91B6C"/>
    <w:rsid w:val="12BA7692"/>
    <w:rsid w:val="12BC165D"/>
    <w:rsid w:val="12CC5D44"/>
    <w:rsid w:val="12DE7825"/>
    <w:rsid w:val="12E3308D"/>
    <w:rsid w:val="12EF558E"/>
    <w:rsid w:val="1300693C"/>
    <w:rsid w:val="13021765"/>
    <w:rsid w:val="13037AFF"/>
    <w:rsid w:val="132D2C84"/>
    <w:rsid w:val="13453400"/>
    <w:rsid w:val="13456351"/>
    <w:rsid w:val="134C0C32"/>
    <w:rsid w:val="137B79E1"/>
    <w:rsid w:val="137D0DEC"/>
    <w:rsid w:val="13833F28"/>
    <w:rsid w:val="13A03104"/>
    <w:rsid w:val="13E62E35"/>
    <w:rsid w:val="14065285"/>
    <w:rsid w:val="140C2170"/>
    <w:rsid w:val="143F42F3"/>
    <w:rsid w:val="144731A8"/>
    <w:rsid w:val="1457788F"/>
    <w:rsid w:val="14717C9A"/>
    <w:rsid w:val="147F2942"/>
    <w:rsid w:val="14AF7789"/>
    <w:rsid w:val="14BF5434"/>
    <w:rsid w:val="14D50D33"/>
    <w:rsid w:val="14EF1875"/>
    <w:rsid w:val="14F50E56"/>
    <w:rsid w:val="151E65FF"/>
    <w:rsid w:val="152030DE"/>
    <w:rsid w:val="1537321C"/>
    <w:rsid w:val="154020D1"/>
    <w:rsid w:val="15A840F3"/>
    <w:rsid w:val="15AC59B8"/>
    <w:rsid w:val="15C9656A"/>
    <w:rsid w:val="15FB249C"/>
    <w:rsid w:val="15FF3D3A"/>
    <w:rsid w:val="1602382A"/>
    <w:rsid w:val="16565924"/>
    <w:rsid w:val="16640041"/>
    <w:rsid w:val="16646293"/>
    <w:rsid w:val="16685D83"/>
    <w:rsid w:val="167C182F"/>
    <w:rsid w:val="167D1103"/>
    <w:rsid w:val="167D2FDD"/>
    <w:rsid w:val="168B406D"/>
    <w:rsid w:val="169052DA"/>
    <w:rsid w:val="16A86180"/>
    <w:rsid w:val="16AE5760"/>
    <w:rsid w:val="16AE750E"/>
    <w:rsid w:val="16B40FC8"/>
    <w:rsid w:val="16BE3BF5"/>
    <w:rsid w:val="16C46D32"/>
    <w:rsid w:val="16D84122"/>
    <w:rsid w:val="16E1737A"/>
    <w:rsid w:val="16E3540A"/>
    <w:rsid w:val="16E442B3"/>
    <w:rsid w:val="170B4961"/>
    <w:rsid w:val="170F3BE3"/>
    <w:rsid w:val="1711641B"/>
    <w:rsid w:val="1719707D"/>
    <w:rsid w:val="17215F32"/>
    <w:rsid w:val="172872C1"/>
    <w:rsid w:val="17457E73"/>
    <w:rsid w:val="174C1201"/>
    <w:rsid w:val="174F6F43"/>
    <w:rsid w:val="176821F4"/>
    <w:rsid w:val="17710C68"/>
    <w:rsid w:val="177C760C"/>
    <w:rsid w:val="177E1C86"/>
    <w:rsid w:val="179B7A92"/>
    <w:rsid w:val="17A20A2C"/>
    <w:rsid w:val="17AD77C6"/>
    <w:rsid w:val="17CB7119"/>
    <w:rsid w:val="17D2722C"/>
    <w:rsid w:val="17FA5AE5"/>
    <w:rsid w:val="17FB49D5"/>
    <w:rsid w:val="18041ADC"/>
    <w:rsid w:val="181D494B"/>
    <w:rsid w:val="182E6B59"/>
    <w:rsid w:val="18700F1F"/>
    <w:rsid w:val="187C5B16"/>
    <w:rsid w:val="189246B5"/>
    <w:rsid w:val="18A706B9"/>
    <w:rsid w:val="18A84B5D"/>
    <w:rsid w:val="18C272A1"/>
    <w:rsid w:val="18CB43A7"/>
    <w:rsid w:val="18DA283C"/>
    <w:rsid w:val="18F733EE"/>
    <w:rsid w:val="18F90F15"/>
    <w:rsid w:val="19197809"/>
    <w:rsid w:val="192D6E10"/>
    <w:rsid w:val="1934019F"/>
    <w:rsid w:val="19373862"/>
    <w:rsid w:val="19520625"/>
    <w:rsid w:val="19526877"/>
    <w:rsid w:val="195E2798"/>
    <w:rsid w:val="19764CB1"/>
    <w:rsid w:val="19C57049"/>
    <w:rsid w:val="19D2300F"/>
    <w:rsid w:val="1A0214BE"/>
    <w:rsid w:val="1A0E5C74"/>
    <w:rsid w:val="1A197394"/>
    <w:rsid w:val="1A22449B"/>
    <w:rsid w:val="1A352420"/>
    <w:rsid w:val="1A512FD2"/>
    <w:rsid w:val="1A5D54D3"/>
    <w:rsid w:val="1A5F124B"/>
    <w:rsid w:val="1A6124EF"/>
    <w:rsid w:val="1A710493"/>
    <w:rsid w:val="1AB33908"/>
    <w:rsid w:val="1AC574FA"/>
    <w:rsid w:val="1ADA2FC8"/>
    <w:rsid w:val="1AE259D8"/>
    <w:rsid w:val="1AE35507"/>
    <w:rsid w:val="1AEB2ADF"/>
    <w:rsid w:val="1B3E3557"/>
    <w:rsid w:val="1B636B19"/>
    <w:rsid w:val="1B663C15"/>
    <w:rsid w:val="1B6805D3"/>
    <w:rsid w:val="1B7E1468"/>
    <w:rsid w:val="1B825739"/>
    <w:rsid w:val="1B83540D"/>
    <w:rsid w:val="1BC17CE4"/>
    <w:rsid w:val="1BCC0B62"/>
    <w:rsid w:val="1BDD4B1E"/>
    <w:rsid w:val="1BE718C7"/>
    <w:rsid w:val="1C146065"/>
    <w:rsid w:val="1C4032FE"/>
    <w:rsid w:val="1C406E5A"/>
    <w:rsid w:val="1C495921"/>
    <w:rsid w:val="1C4C57FF"/>
    <w:rsid w:val="1C744D56"/>
    <w:rsid w:val="1C7A6810"/>
    <w:rsid w:val="1C7B7E93"/>
    <w:rsid w:val="1C8C6544"/>
    <w:rsid w:val="1C9C6787"/>
    <w:rsid w:val="1CA05B4B"/>
    <w:rsid w:val="1CA23671"/>
    <w:rsid w:val="1CA90EA4"/>
    <w:rsid w:val="1CAA6093"/>
    <w:rsid w:val="1CD770EC"/>
    <w:rsid w:val="1CE43C8A"/>
    <w:rsid w:val="1D04257E"/>
    <w:rsid w:val="1D183933"/>
    <w:rsid w:val="1D1B3B0E"/>
    <w:rsid w:val="1D210A3A"/>
    <w:rsid w:val="1D214EDE"/>
    <w:rsid w:val="1D4A4435"/>
    <w:rsid w:val="1D4B7301"/>
    <w:rsid w:val="1D524C10"/>
    <w:rsid w:val="1D61177E"/>
    <w:rsid w:val="1D7E7C3A"/>
    <w:rsid w:val="1D8D4321"/>
    <w:rsid w:val="1D9C27B6"/>
    <w:rsid w:val="1DAA4ED3"/>
    <w:rsid w:val="1DB55626"/>
    <w:rsid w:val="1DC53ABB"/>
    <w:rsid w:val="1DC835AB"/>
    <w:rsid w:val="1DDC7057"/>
    <w:rsid w:val="1DE2466D"/>
    <w:rsid w:val="1E206F43"/>
    <w:rsid w:val="1E214A6A"/>
    <w:rsid w:val="1E2F7187"/>
    <w:rsid w:val="1E340C41"/>
    <w:rsid w:val="1E401394"/>
    <w:rsid w:val="1E4E3AB1"/>
    <w:rsid w:val="1E51534F"/>
    <w:rsid w:val="1E5310C7"/>
    <w:rsid w:val="1E5F6569"/>
    <w:rsid w:val="1E6908EA"/>
    <w:rsid w:val="1E766B63"/>
    <w:rsid w:val="1E9B2A6E"/>
    <w:rsid w:val="1EAC07D7"/>
    <w:rsid w:val="1EBA1146"/>
    <w:rsid w:val="1EC45B21"/>
    <w:rsid w:val="1EC73863"/>
    <w:rsid w:val="1ED63AA6"/>
    <w:rsid w:val="1EDF295B"/>
    <w:rsid w:val="1F046865"/>
    <w:rsid w:val="1F0A70F1"/>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1D2953"/>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B33E4"/>
    <w:rsid w:val="20EF2BFD"/>
    <w:rsid w:val="210112AE"/>
    <w:rsid w:val="212F12B7"/>
    <w:rsid w:val="214E2A84"/>
    <w:rsid w:val="21817CF9"/>
    <w:rsid w:val="21884BA0"/>
    <w:rsid w:val="21930314"/>
    <w:rsid w:val="219519F6"/>
    <w:rsid w:val="2197576F"/>
    <w:rsid w:val="21A659B2"/>
    <w:rsid w:val="21B55BF5"/>
    <w:rsid w:val="21BA320B"/>
    <w:rsid w:val="21BE68A2"/>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02467A"/>
    <w:rsid w:val="23250B58"/>
    <w:rsid w:val="23411E36"/>
    <w:rsid w:val="234D0B5D"/>
    <w:rsid w:val="235C6C70"/>
    <w:rsid w:val="23614286"/>
    <w:rsid w:val="23CC5B62"/>
    <w:rsid w:val="23CD510E"/>
    <w:rsid w:val="2401358C"/>
    <w:rsid w:val="24170DE9"/>
    <w:rsid w:val="243472A5"/>
    <w:rsid w:val="2440076D"/>
    <w:rsid w:val="24A563F4"/>
    <w:rsid w:val="24B228BF"/>
    <w:rsid w:val="24B71C84"/>
    <w:rsid w:val="24C15199"/>
    <w:rsid w:val="24CE288D"/>
    <w:rsid w:val="24E84399"/>
    <w:rsid w:val="24EF7670"/>
    <w:rsid w:val="24F46A34"/>
    <w:rsid w:val="25034EC9"/>
    <w:rsid w:val="251946ED"/>
    <w:rsid w:val="253A4D8F"/>
    <w:rsid w:val="25777D91"/>
    <w:rsid w:val="25781413"/>
    <w:rsid w:val="257858B7"/>
    <w:rsid w:val="258506D6"/>
    <w:rsid w:val="258B383C"/>
    <w:rsid w:val="259455FA"/>
    <w:rsid w:val="259719F3"/>
    <w:rsid w:val="25AB17E9"/>
    <w:rsid w:val="25AD5EB4"/>
    <w:rsid w:val="25AF752A"/>
    <w:rsid w:val="25BF5294"/>
    <w:rsid w:val="25C2759F"/>
    <w:rsid w:val="25C63DCF"/>
    <w:rsid w:val="25C74149"/>
    <w:rsid w:val="25DC7BF4"/>
    <w:rsid w:val="25DE267C"/>
    <w:rsid w:val="25E46AA9"/>
    <w:rsid w:val="25E66CC5"/>
    <w:rsid w:val="25FA62CC"/>
    <w:rsid w:val="26143832"/>
    <w:rsid w:val="262275D1"/>
    <w:rsid w:val="263712CE"/>
    <w:rsid w:val="26487037"/>
    <w:rsid w:val="264B4D7A"/>
    <w:rsid w:val="264D464E"/>
    <w:rsid w:val="264D6D44"/>
    <w:rsid w:val="26644EA7"/>
    <w:rsid w:val="266A3452"/>
    <w:rsid w:val="26867B60"/>
    <w:rsid w:val="26977FBF"/>
    <w:rsid w:val="26AF355A"/>
    <w:rsid w:val="26B13852"/>
    <w:rsid w:val="26B50445"/>
    <w:rsid w:val="26DA55FB"/>
    <w:rsid w:val="26DC11F6"/>
    <w:rsid w:val="26EC191F"/>
    <w:rsid w:val="26F251F5"/>
    <w:rsid w:val="26F43825"/>
    <w:rsid w:val="2705317A"/>
    <w:rsid w:val="270C62B7"/>
    <w:rsid w:val="271E5FEA"/>
    <w:rsid w:val="272673B8"/>
    <w:rsid w:val="272F7095"/>
    <w:rsid w:val="276B56D3"/>
    <w:rsid w:val="276E687B"/>
    <w:rsid w:val="27802801"/>
    <w:rsid w:val="278A123C"/>
    <w:rsid w:val="279F537D"/>
    <w:rsid w:val="27A02EA3"/>
    <w:rsid w:val="27CB7F20"/>
    <w:rsid w:val="27D52B4D"/>
    <w:rsid w:val="27D843EB"/>
    <w:rsid w:val="27E56B08"/>
    <w:rsid w:val="27E775DD"/>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6B525F"/>
    <w:rsid w:val="28757E8C"/>
    <w:rsid w:val="287E4F92"/>
    <w:rsid w:val="28887BBF"/>
    <w:rsid w:val="289C5AAF"/>
    <w:rsid w:val="289D2544"/>
    <w:rsid w:val="28AB1AFF"/>
    <w:rsid w:val="28CB21A2"/>
    <w:rsid w:val="28E62B38"/>
    <w:rsid w:val="28E82D54"/>
    <w:rsid w:val="28ED2118"/>
    <w:rsid w:val="28F96D0F"/>
    <w:rsid w:val="290335AA"/>
    <w:rsid w:val="290B7A2E"/>
    <w:rsid w:val="292A6EC8"/>
    <w:rsid w:val="292D460E"/>
    <w:rsid w:val="293B10D5"/>
    <w:rsid w:val="293D4E4D"/>
    <w:rsid w:val="293E2974"/>
    <w:rsid w:val="2944442E"/>
    <w:rsid w:val="294550C5"/>
    <w:rsid w:val="29493E9D"/>
    <w:rsid w:val="294F2293"/>
    <w:rsid w:val="29606D8E"/>
    <w:rsid w:val="2964062C"/>
    <w:rsid w:val="296A19BB"/>
    <w:rsid w:val="29787C34"/>
    <w:rsid w:val="29927747"/>
    <w:rsid w:val="299407E6"/>
    <w:rsid w:val="29A46C7B"/>
    <w:rsid w:val="29A749BD"/>
    <w:rsid w:val="29B42C36"/>
    <w:rsid w:val="29C9048F"/>
    <w:rsid w:val="29CB06AB"/>
    <w:rsid w:val="29F577DB"/>
    <w:rsid w:val="2A0108B7"/>
    <w:rsid w:val="2A04596B"/>
    <w:rsid w:val="2A0E67EA"/>
    <w:rsid w:val="2A133E00"/>
    <w:rsid w:val="2A1536D4"/>
    <w:rsid w:val="2A184A3C"/>
    <w:rsid w:val="2A1A0CEB"/>
    <w:rsid w:val="2A202079"/>
    <w:rsid w:val="2A30050E"/>
    <w:rsid w:val="2A3B6D1B"/>
    <w:rsid w:val="2A411154"/>
    <w:rsid w:val="2A506E02"/>
    <w:rsid w:val="2A526D38"/>
    <w:rsid w:val="2A6428AE"/>
    <w:rsid w:val="2A732242"/>
    <w:rsid w:val="2A77613D"/>
    <w:rsid w:val="2A88659C"/>
    <w:rsid w:val="2A954815"/>
    <w:rsid w:val="2AB7478C"/>
    <w:rsid w:val="2AD0584D"/>
    <w:rsid w:val="2AD510B6"/>
    <w:rsid w:val="2AEE4B12"/>
    <w:rsid w:val="2AFE685E"/>
    <w:rsid w:val="2B027774"/>
    <w:rsid w:val="2B05679C"/>
    <w:rsid w:val="2B0D0850"/>
    <w:rsid w:val="2B116592"/>
    <w:rsid w:val="2B122D8D"/>
    <w:rsid w:val="2B167945"/>
    <w:rsid w:val="2B193698"/>
    <w:rsid w:val="2B1C4F36"/>
    <w:rsid w:val="2B2160A9"/>
    <w:rsid w:val="2B3202B6"/>
    <w:rsid w:val="2B361B54"/>
    <w:rsid w:val="2B367DA6"/>
    <w:rsid w:val="2B400C25"/>
    <w:rsid w:val="2B4714A0"/>
    <w:rsid w:val="2B606BD1"/>
    <w:rsid w:val="2B6C5576"/>
    <w:rsid w:val="2B717030"/>
    <w:rsid w:val="2B74267D"/>
    <w:rsid w:val="2B7663F5"/>
    <w:rsid w:val="2B795EE5"/>
    <w:rsid w:val="2B93739B"/>
    <w:rsid w:val="2B994370"/>
    <w:rsid w:val="2BA50A88"/>
    <w:rsid w:val="2BB60EE7"/>
    <w:rsid w:val="2BC034DB"/>
    <w:rsid w:val="2BEF4305"/>
    <w:rsid w:val="2C077995"/>
    <w:rsid w:val="2C235EB7"/>
    <w:rsid w:val="2C2B5431"/>
    <w:rsid w:val="2C3C763E"/>
    <w:rsid w:val="2C610E53"/>
    <w:rsid w:val="2C624BCB"/>
    <w:rsid w:val="2C646B95"/>
    <w:rsid w:val="2C6646BB"/>
    <w:rsid w:val="2C83526D"/>
    <w:rsid w:val="2C9A0B92"/>
    <w:rsid w:val="2C9F3729"/>
    <w:rsid w:val="2CB73169"/>
    <w:rsid w:val="2CE47D2A"/>
    <w:rsid w:val="2CED0939"/>
    <w:rsid w:val="2CED6B8B"/>
    <w:rsid w:val="2CF27CFD"/>
    <w:rsid w:val="2CF75313"/>
    <w:rsid w:val="2CFA3055"/>
    <w:rsid w:val="2D012636"/>
    <w:rsid w:val="2D016C6B"/>
    <w:rsid w:val="2D0B5263"/>
    <w:rsid w:val="2D0D2D89"/>
    <w:rsid w:val="2D12214D"/>
    <w:rsid w:val="2D2B1461"/>
    <w:rsid w:val="2D2D1B91"/>
    <w:rsid w:val="2D377E06"/>
    <w:rsid w:val="2D404F0C"/>
    <w:rsid w:val="2D5B3AF4"/>
    <w:rsid w:val="2D686979"/>
    <w:rsid w:val="2D8D7A26"/>
    <w:rsid w:val="2DA2135E"/>
    <w:rsid w:val="2DB9081B"/>
    <w:rsid w:val="2DCB59DC"/>
    <w:rsid w:val="2DCB70CE"/>
    <w:rsid w:val="2DCE2518"/>
    <w:rsid w:val="2DD218DC"/>
    <w:rsid w:val="2DDB69E3"/>
    <w:rsid w:val="2DEF7457"/>
    <w:rsid w:val="2E045F3A"/>
    <w:rsid w:val="2E093AD9"/>
    <w:rsid w:val="2E2A34C6"/>
    <w:rsid w:val="2E426A62"/>
    <w:rsid w:val="2E6C48D9"/>
    <w:rsid w:val="2E786928"/>
    <w:rsid w:val="2E8F4F19"/>
    <w:rsid w:val="2EA63495"/>
    <w:rsid w:val="2EB57234"/>
    <w:rsid w:val="2ED7364E"/>
    <w:rsid w:val="2EE63891"/>
    <w:rsid w:val="2EF1304D"/>
    <w:rsid w:val="2EF35FAE"/>
    <w:rsid w:val="2EFA6A37"/>
    <w:rsid w:val="2F167CA6"/>
    <w:rsid w:val="2F1A353B"/>
    <w:rsid w:val="2F2372C7"/>
    <w:rsid w:val="2F452CAE"/>
    <w:rsid w:val="2F5D70AC"/>
    <w:rsid w:val="2F807931"/>
    <w:rsid w:val="2F8B61E7"/>
    <w:rsid w:val="2FA14FB2"/>
    <w:rsid w:val="2FA36C75"/>
    <w:rsid w:val="2FBE036A"/>
    <w:rsid w:val="2FFD0E93"/>
    <w:rsid w:val="2FFF187F"/>
    <w:rsid w:val="30233EB0"/>
    <w:rsid w:val="302428C3"/>
    <w:rsid w:val="30297EDA"/>
    <w:rsid w:val="302C5C1C"/>
    <w:rsid w:val="303074BA"/>
    <w:rsid w:val="30405223"/>
    <w:rsid w:val="30646A43"/>
    <w:rsid w:val="306929CC"/>
    <w:rsid w:val="306B405E"/>
    <w:rsid w:val="30832D34"/>
    <w:rsid w:val="30872E52"/>
    <w:rsid w:val="308C4B30"/>
    <w:rsid w:val="30A75681"/>
    <w:rsid w:val="30C714A1"/>
    <w:rsid w:val="30DB4046"/>
    <w:rsid w:val="30F41419"/>
    <w:rsid w:val="30FC114A"/>
    <w:rsid w:val="310149B3"/>
    <w:rsid w:val="310D77FB"/>
    <w:rsid w:val="310E0E7D"/>
    <w:rsid w:val="314A68DF"/>
    <w:rsid w:val="31556AAC"/>
    <w:rsid w:val="315620B8"/>
    <w:rsid w:val="31676710"/>
    <w:rsid w:val="316867E0"/>
    <w:rsid w:val="317C228B"/>
    <w:rsid w:val="317F1D7B"/>
    <w:rsid w:val="31841AC8"/>
    <w:rsid w:val="319E0453"/>
    <w:rsid w:val="31A72925"/>
    <w:rsid w:val="31A737AC"/>
    <w:rsid w:val="31A87524"/>
    <w:rsid w:val="31B00187"/>
    <w:rsid w:val="31CB6D6E"/>
    <w:rsid w:val="31D200FD"/>
    <w:rsid w:val="31D677DA"/>
    <w:rsid w:val="31E64732"/>
    <w:rsid w:val="31EA5447"/>
    <w:rsid w:val="32140715"/>
    <w:rsid w:val="32230959"/>
    <w:rsid w:val="324059AE"/>
    <w:rsid w:val="326351F9"/>
    <w:rsid w:val="327D078A"/>
    <w:rsid w:val="3284589B"/>
    <w:rsid w:val="32933D30"/>
    <w:rsid w:val="32B31CDC"/>
    <w:rsid w:val="32C75788"/>
    <w:rsid w:val="32CC7242"/>
    <w:rsid w:val="32E165BD"/>
    <w:rsid w:val="32FA3DAF"/>
    <w:rsid w:val="330864CC"/>
    <w:rsid w:val="332925DE"/>
    <w:rsid w:val="33465DB3"/>
    <w:rsid w:val="334F40FB"/>
    <w:rsid w:val="33641229"/>
    <w:rsid w:val="337B243F"/>
    <w:rsid w:val="338673F1"/>
    <w:rsid w:val="339D48A3"/>
    <w:rsid w:val="33BF2903"/>
    <w:rsid w:val="33CF6FEA"/>
    <w:rsid w:val="33EA3E24"/>
    <w:rsid w:val="33F64577"/>
    <w:rsid w:val="33FB1B8D"/>
    <w:rsid w:val="34056568"/>
    <w:rsid w:val="342A06C4"/>
    <w:rsid w:val="34525525"/>
    <w:rsid w:val="346040E6"/>
    <w:rsid w:val="34932B45"/>
    <w:rsid w:val="34945B3E"/>
    <w:rsid w:val="34A0589E"/>
    <w:rsid w:val="34A67F96"/>
    <w:rsid w:val="34AB66CA"/>
    <w:rsid w:val="34B0508B"/>
    <w:rsid w:val="34B1049E"/>
    <w:rsid w:val="34DF440A"/>
    <w:rsid w:val="34E502E4"/>
    <w:rsid w:val="34E90678"/>
    <w:rsid w:val="34F605A6"/>
    <w:rsid w:val="350031D3"/>
    <w:rsid w:val="350A581B"/>
    <w:rsid w:val="352275ED"/>
    <w:rsid w:val="352E7D40"/>
    <w:rsid w:val="35426A60"/>
    <w:rsid w:val="35571045"/>
    <w:rsid w:val="35586B6B"/>
    <w:rsid w:val="355A1520"/>
    <w:rsid w:val="355E7319"/>
    <w:rsid w:val="35673B29"/>
    <w:rsid w:val="35690D78"/>
    <w:rsid w:val="35B144E6"/>
    <w:rsid w:val="35CE6E2D"/>
    <w:rsid w:val="35DB7EC8"/>
    <w:rsid w:val="35E328D9"/>
    <w:rsid w:val="35EE2046"/>
    <w:rsid w:val="35F41640"/>
    <w:rsid w:val="361C403D"/>
    <w:rsid w:val="362A0508"/>
    <w:rsid w:val="363F207D"/>
    <w:rsid w:val="364652E8"/>
    <w:rsid w:val="36603F29"/>
    <w:rsid w:val="36653C36"/>
    <w:rsid w:val="366A4DA8"/>
    <w:rsid w:val="36853990"/>
    <w:rsid w:val="36897924"/>
    <w:rsid w:val="369116D0"/>
    <w:rsid w:val="36941E25"/>
    <w:rsid w:val="3699568D"/>
    <w:rsid w:val="369D7CA6"/>
    <w:rsid w:val="369F7E9A"/>
    <w:rsid w:val="36B67FED"/>
    <w:rsid w:val="36C46BAE"/>
    <w:rsid w:val="36CC15BF"/>
    <w:rsid w:val="370B340B"/>
    <w:rsid w:val="370E607B"/>
    <w:rsid w:val="37112969"/>
    <w:rsid w:val="37180CA8"/>
    <w:rsid w:val="372907BF"/>
    <w:rsid w:val="37294C63"/>
    <w:rsid w:val="373830F8"/>
    <w:rsid w:val="374D6BA3"/>
    <w:rsid w:val="375647D6"/>
    <w:rsid w:val="377A726D"/>
    <w:rsid w:val="377E4FAF"/>
    <w:rsid w:val="37893954"/>
    <w:rsid w:val="37971BCD"/>
    <w:rsid w:val="3799423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D4DF1"/>
    <w:rsid w:val="39036257"/>
    <w:rsid w:val="390F1199"/>
    <w:rsid w:val="390F717B"/>
    <w:rsid w:val="392A6A70"/>
    <w:rsid w:val="39367F12"/>
    <w:rsid w:val="394538AA"/>
    <w:rsid w:val="39495149"/>
    <w:rsid w:val="394D5E49"/>
    <w:rsid w:val="39553AED"/>
    <w:rsid w:val="3986014B"/>
    <w:rsid w:val="39993E51"/>
    <w:rsid w:val="39AD02F7"/>
    <w:rsid w:val="39B5458C"/>
    <w:rsid w:val="39B60304"/>
    <w:rsid w:val="39C26CD1"/>
    <w:rsid w:val="39DA2245"/>
    <w:rsid w:val="39DA3FF3"/>
    <w:rsid w:val="39DF3CFF"/>
    <w:rsid w:val="39E307C0"/>
    <w:rsid w:val="39E81075"/>
    <w:rsid w:val="39F41E0B"/>
    <w:rsid w:val="39F71049"/>
    <w:rsid w:val="39F71BDE"/>
    <w:rsid w:val="3A013C75"/>
    <w:rsid w:val="3A06128C"/>
    <w:rsid w:val="3A12378C"/>
    <w:rsid w:val="3A13448F"/>
    <w:rsid w:val="3A2928AB"/>
    <w:rsid w:val="3A2B6F44"/>
    <w:rsid w:val="3A322081"/>
    <w:rsid w:val="3A331955"/>
    <w:rsid w:val="3A361B71"/>
    <w:rsid w:val="3A456E52"/>
    <w:rsid w:val="3A463AB7"/>
    <w:rsid w:val="3A4B6C9E"/>
    <w:rsid w:val="3A631110"/>
    <w:rsid w:val="3A7C32FC"/>
    <w:rsid w:val="3AA27194"/>
    <w:rsid w:val="3AA3362E"/>
    <w:rsid w:val="3AC70A1B"/>
    <w:rsid w:val="3AD66EB0"/>
    <w:rsid w:val="3AE31593"/>
    <w:rsid w:val="3AEA64B7"/>
    <w:rsid w:val="3AF92B9E"/>
    <w:rsid w:val="3AFA0DF0"/>
    <w:rsid w:val="3B0D158D"/>
    <w:rsid w:val="3B236ECD"/>
    <w:rsid w:val="3B337E5E"/>
    <w:rsid w:val="3B343BD6"/>
    <w:rsid w:val="3B3C653D"/>
    <w:rsid w:val="3B475C89"/>
    <w:rsid w:val="3B497682"/>
    <w:rsid w:val="3B49769C"/>
    <w:rsid w:val="3B53405D"/>
    <w:rsid w:val="3B691AD2"/>
    <w:rsid w:val="3B6E533A"/>
    <w:rsid w:val="3B7F30A4"/>
    <w:rsid w:val="3B8561E0"/>
    <w:rsid w:val="3B8B1A48"/>
    <w:rsid w:val="3B9A415A"/>
    <w:rsid w:val="3BA2244B"/>
    <w:rsid w:val="3BAB6D3A"/>
    <w:rsid w:val="3BAF9E8C"/>
    <w:rsid w:val="3BB07701"/>
    <w:rsid w:val="3BB1191E"/>
    <w:rsid w:val="3BB2349B"/>
    <w:rsid w:val="3BB865B6"/>
    <w:rsid w:val="3BBF7944"/>
    <w:rsid w:val="3BC346CA"/>
    <w:rsid w:val="3BC82C9D"/>
    <w:rsid w:val="3BEE1F9C"/>
    <w:rsid w:val="3C0D4B53"/>
    <w:rsid w:val="3C2105FF"/>
    <w:rsid w:val="3C372D23"/>
    <w:rsid w:val="3C4340D1"/>
    <w:rsid w:val="3C447E49"/>
    <w:rsid w:val="3C4B380F"/>
    <w:rsid w:val="3C4D430D"/>
    <w:rsid w:val="3C4F6F1A"/>
    <w:rsid w:val="3C511E12"/>
    <w:rsid w:val="3C5F2ED5"/>
    <w:rsid w:val="3C97441D"/>
    <w:rsid w:val="3CA408E8"/>
    <w:rsid w:val="3CA64660"/>
    <w:rsid w:val="3CB55331"/>
    <w:rsid w:val="3CBD0327"/>
    <w:rsid w:val="3CC14C1F"/>
    <w:rsid w:val="3CD0758C"/>
    <w:rsid w:val="3CDE6FFD"/>
    <w:rsid w:val="3CE55188"/>
    <w:rsid w:val="3CE77152"/>
    <w:rsid w:val="3CF56BC9"/>
    <w:rsid w:val="3D0A4BEF"/>
    <w:rsid w:val="3D1F37E4"/>
    <w:rsid w:val="3D211F38"/>
    <w:rsid w:val="3D235CB1"/>
    <w:rsid w:val="3D31113A"/>
    <w:rsid w:val="3D37175C"/>
    <w:rsid w:val="3D452426"/>
    <w:rsid w:val="3D695DB9"/>
    <w:rsid w:val="3D762284"/>
    <w:rsid w:val="3D864BBD"/>
    <w:rsid w:val="3DAD2770"/>
    <w:rsid w:val="3DDD67A7"/>
    <w:rsid w:val="3DE23DBE"/>
    <w:rsid w:val="3E18158D"/>
    <w:rsid w:val="3E1A70B4"/>
    <w:rsid w:val="3E213095"/>
    <w:rsid w:val="3E22515D"/>
    <w:rsid w:val="3E330175"/>
    <w:rsid w:val="3E4741E8"/>
    <w:rsid w:val="3E655E3A"/>
    <w:rsid w:val="3E667746"/>
    <w:rsid w:val="3E885B96"/>
    <w:rsid w:val="3E8E35FE"/>
    <w:rsid w:val="3EB43064"/>
    <w:rsid w:val="3EB92D70"/>
    <w:rsid w:val="3ECD4126"/>
    <w:rsid w:val="3EDC080D"/>
    <w:rsid w:val="3EF1250A"/>
    <w:rsid w:val="3F0C66A8"/>
    <w:rsid w:val="3F163D1F"/>
    <w:rsid w:val="3F281CA4"/>
    <w:rsid w:val="3F2B709E"/>
    <w:rsid w:val="3F4500E9"/>
    <w:rsid w:val="3F450160"/>
    <w:rsid w:val="3F4C14EF"/>
    <w:rsid w:val="3F692622"/>
    <w:rsid w:val="3F7153F9"/>
    <w:rsid w:val="3F720A50"/>
    <w:rsid w:val="3F8D0F4F"/>
    <w:rsid w:val="3F917849"/>
    <w:rsid w:val="3F9B0612"/>
    <w:rsid w:val="3F9D1D4A"/>
    <w:rsid w:val="3FA241A2"/>
    <w:rsid w:val="3FAA4467"/>
    <w:rsid w:val="3FAC01DF"/>
    <w:rsid w:val="3FAE0AED"/>
    <w:rsid w:val="3FB4343D"/>
    <w:rsid w:val="3FD85478"/>
    <w:rsid w:val="3FF96BAB"/>
    <w:rsid w:val="40155D85"/>
    <w:rsid w:val="403A57EB"/>
    <w:rsid w:val="404B3E9C"/>
    <w:rsid w:val="4061546E"/>
    <w:rsid w:val="4079067E"/>
    <w:rsid w:val="407A652F"/>
    <w:rsid w:val="4093139F"/>
    <w:rsid w:val="4093314D"/>
    <w:rsid w:val="409343AF"/>
    <w:rsid w:val="409A0980"/>
    <w:rsid w:val="40AC655D"/>
    <w:rsid w:val="40D75730"/>
    <w:rsid w:val="40E63BC5"/>
    <w:rsid w:val="40FA4F7A"/>
    <w:rsid w:val="41114F25"/>
    <w:rsid w:val="41326D3A"/>
    <w:rsid w:val="41362456"/>
    <w:rsid w:val="413C37E5"/>
    <w:rsid w:val="41487F61"/>
    <w:rsid w:val="414A5F02"/>
    <w:rsid w:val="415648A7"/>
    <w:rsid w:val="415A71E1"/>
    <w:rsid w:val="41630D72"/>
    <w:rsid w:val="419B675D"/>
    <w:rsid w:val="419F484B"/>
    <w:rsid w:val="41AA69A0"/>
    <w:rsid w:val="41B15F81"/>
    <w:rsid w:val="41C31810"/>
    <w:rsid w:val="41E225DE"/>
    <w:rsid w:val="41F8595E"/>
    <w:rsid w:val="420C600C"/>
    <w:rsid w:val="42100EF9"/>
    <w:rsid w:val="4214206C"/>
    <w:rsid w:val="421B164C"/>
    <w:rsid w:val="421B789E"/>
    <w:rsid w:val="422246E7"/>
    <w:rsid w:val="422B5D33"/>
    <w:rsid w:val="42312D26"/>
    <w:rsid w:val="42454372"/>
    <w:rsid w:val="42573796"/>
    <w:rsid w:val="426E5C20"/>
    <w:rsid w:val="42786A9F"/>
    <w:rsid w:val="42870A90"/>
    <w:rsid w:val="428B67D2"/>
    <w:rsid w:val="428E0070"/>
    <w:rsid w:val="42943344"/>
    <w:rsid w:val="42975177"/>
    <w:rsid w:val="42B850ED"/>
    <w:rsid w:val="42C615B8"/>
    <w:rsid w:val="42D77C69"/>
    <w:rsid w:val="42EB2B81"/>
    <w:rsid w:val="42FC322C"/>
    <w:rsid w:val="43046BE3"/>
    <w:rsid w:val="43171E14"/>
    <w:rsid w:val="4329542D"/>
    <w:rsid w:val="43484F88"/>
    <w:rsid w:val="435C1F1C"/>
    <w:rsid w:val="435F121D"/>
    <w:rsid w:val="437216C9"/>
    <w:rsid w:val="4385588B"/>
    <w:rsid w:val="4387343D"/>
    <w:rsid w:val="43882D11"/>
    <w:rsid w:val="43884ABF"/>
    <w:rsid w:val="438C2802"/>
    <w:rsid w:val="43911BC6"/>
    <w:rsid w:val="43972F54"/>
    <w:rsid w:val="439E42E3"/>
    <w:rsid w:val="43A124B3"/>
    <w:rsid w:val="43A538C3"/>
    <w:rsid w:val="43AC15BA"/>
    <w:rsid w:val="43BB4E95"/>
    <w:rsid w:val="43C55D14"/>
    <w:rsid w:val="43D85A47"/>
    <w:rsid w:val="43DE0B83"/>
    <w:rsid w:val="43E97C54"/>
    <w:rsid w:val="43F839F3"/>
    <w:rsid w:val="43F9776B"/>
    <w:rsid w:val="43FE7DDE"/>
    <w:rsid w:val="44022AC4"/>
    <w:rsid w:val="44044A8E"/>
    <w:rsid w:val="44236B1E"/>
    <w:rsid w:val="44244662"/>
    <w:rsid w:val="443B62A1"/>
    <w:rsid w:val="444158E6"/>
    <w:rsid w:val="44564BBE"/>
    <w:rsid w:val="44641089"/>
    <w:rsid w:val="446948F1"/>
    <w:rsid w:val="44C11AA6"/>
    <w:rsid w:val="44D04970"/>
    <w:rsid w:val="44D0671E"/>
    <w:rsid w:val="44D426B2"/>
    <w:rsid w:val="44E346A3"/>
    <w:rsid w:val="44E67CEF"/>
    <w:rsid w:val="44F3240C"/>
    <w:rsid w:val="45110AAC"/>
    <w:rsid w:val="45123CB8"/>
    <w:rsid w:val="451A208F"/>
    <w:rsid w:val="45350C77"/>
    <w:rsid w:val="45415D40"/>
    <w:rsid w:val="45435142"/>
    <w:rsid w:val="45451DF1"/>
    <w:rsid w:val="45490111"/>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B0F67"/>
    <w:rsid w:val="46E14C12"/>
    <w:rsid w:val="470D3C59"/>
    <w:rsid w:val="472B0583"/>
    <w:rsid w:val="472B1462"/>
    <w:rsid w:val="473B0E1B"/>
    <w:rsid w:val="473F27FF"/>
    <w:rsid w:val="47565A99"/>
    <w:rsid w:val="476017C6"/>
    <w:rsid w:val="476B0980"/>
    <w:rsid w:val="47745A86"/>
    <w:rsid w:val="477A0BC3"/>
    <w:rsid w:val="477E4B57"/>
    <w:rsid w:val="47811F51"/>
    <w:rsid w:val="47833F1C"/>
    <w:rsid w:val="478E2D76"/>
    <w:rsid w:val="47A65E5C"/>
    <w:rsid w:val="47AB6FCE"/>
    <w:rsid w:val="47B71E17"/>
    <w:rsid w:val="47E67FE2"/>
    <w:rsid w:val="47F0014A"/>
    <w:rsid w:val="481903DC"/>
    <w:rsid w:val="486C0E54"/>
    <w:rsid w:val="48740AF8"/>
    <w:rsid w:val="487B247F"/>
    <w:rsid w:val="48907EB9"/>
    <w:rsid w:val="48A57EC2"/>
    <w:rsid w:val="48B5518F"/>
    <w:rsid w:val="48B56357"/>
    <w:rsid w:val="48B955C2"/>
    <w:rsid w:val="48B9571B"/>
    <w:rsid w:val="48BA396D"/>
    <w:rsid w:val="48D60D33"/>
    <w:rsid w:val="48F30C2D"/>
    <w:rsid w:val="48F86243"/>
    <w:rsid w:val="490177EE"/>
    <w:rsid w:val="49025314"/>
    <w:rsid w:val="490270C2"/>
    <w:rsid w:val="490D6193"/>
    <w:rsid w:val="490E1F0B"/>
    <w:rsid w:val="491E16EA"/>
    <w:rsid w:val="49284D7B"/>
    <w:rsid w:val="492B090F"/>
    <w:rsid w:val="4932003B"/>
    <w:rsid w:val="49382AE4"/>
    <w:rsid w:val="49417BEA"/>
    <w:rsid w:val="4968786D"/>
    <w:rsid w:val="496F0BFB"/>
    <w:rsid w:val="49734B65"/>
    <w:rsid w:val="49843F7B"/>
    <w:rsid w:val="498E0956"/>
    <w:rsid w:val="49911DC2"/>
    <w:rsid w:val="499A718B"/>
    <w:rsid w:val="49B52386"/>
    <w:rsid w:val="49D64C6B"/>
    <w:rsid w:val="49DF11B1"/>
    <w:rsid w:val="49EC3FFA"/>
    <w:rsid w:val="49F72751"/>
    <w:rsid w:val="4A1B668D"/>
    <w:rsid w:val="4A1E3C56"/>
    <w:rsid w:val="4A1E617D"/>
    <w:rsid w:val="4A280647"/>
    <w:rsid w:val="4A3B69AF"/>
    <w:rsid w:val="4A421E6C"/>
    <w:rsid w:val="4A6D5C3F"/>
    <w:rsid w:val="4A730023"/>
    <w:rsid w:val="4A8833F8"/>
    <w:rsid w:val="4A8A619F"/>
    <w:rsid w:val="4AA2290B"/>
    <w:rsid w:val="4AD46AF0"/>
    <w:rsid w:val="4ADF76BB"/>
    <w:rsid w:val="4AE1272C"/>
    <w:rsid w:val="4AE25C20"/>
    <w:rsid w:val="4B125FF6"/>
    <w:rsid w:val="4B1A06F3"/>
    <w:rsid w:val="4B2B2900"/>
    <w:rsid w:val="4B3F45FD"/>
    <w:rsid w:val="4B4614E8"/>
    <w:rsid w:val="4B6C4CC7"/>
    <w:rsid w:val="4B7D0C82"/>
    <w:rsid w:val="4B8057E5"/>
    <w:rsid w:val="4B816E56"/>
    <w:rsid w:val="4B86202E"/>
    <w:rsid w:val="4B8B339F"/>
    <w:rsid w:val="4B92472D"/>
    <w:rsid w:val="4BA97CC9"/>
    <w:rsid w:val="4BD016F9"/>
    <w:rsid w:val="4BE61ECF"/>
    <w:rsid w:val="4BED57B8"/>
    <w:rsid w:val="4BF47196"/>
    <w:rsid w:val="4C0575F5"/>
    <w:rsid w:val="4C0D46FC"/>
    <w:rsid w:val="4C2B503E"/>
    <w:rsid w:val="4C312198"/>
    <w:rsid w:val="4C3253A4"/>
    <w:rsid w:val="4C4023DB"/>
    <w:rsid w:val="4C481290"/>
    <w:rsid w:val="4C5C4D3B"/>
    <w:rsid w:val="4C63273B"/>
    <w:rsid w:val="4C787DC7"/>
    <w:rsid w:val="4C8449BE"/>
    <w:rsid w:val="4C987D10"/>
    <w:rsid w:val="4CA4286F"/>
    <w:rsid w:val="4CA94424"/>
    <w:rsid w:val="4CAA3CF8"/>
    <w:rsid w:val="4CB15087"/>
    <w:rsid w:val="4CBE77A4"/>
    <w:rsid w:val="4CD62D3F"/>
    <w:rsid w:val="4CE0771A"/>
    <w:rsid w:val="4CF051AC"/>
    <w:rsid w:val="4D0C050F"/>
    <w:rsid w:val="4D240145"/>
    <w:rsid w:val="4D275349"/>
    <w:rsid w:val="4D331F40"/>
    <w:rsid w:val="4D3B0DF4"/>
    <w:rsid w:val="4D7A191D"/>
    <w:rsid w:val="4D7F6F33"/>
    <w:rsid w:val="4D8409ED"/>
    <w:rsid w:val="4D9549A9"/>
    <w:rsid w:val="4D9D16E6"/>
    <w:rsid w:val="4DB017E2"/>
    <w:rsid w:val="4DB82445"/>
    <w:rsid w:val="4DBA03C6"/>
    <w:rsid w:val="4DC25072"/>
    <w:rsid w:val="4DC96400"/>
    <w:rsid w:val="4DDE0C3E"/>
    <w:rsid w:val="4DE106CB"/>
    <w:rsid w:val="4DEB281B"/>
    <w:rsid w:val="4DF01BDF"/>
    <w:rsid w:val="4E10402F"/>
    <w:rsid w:val="4E121B55"/>
    <w:rsid w:val="4E2B2C17"/>
    <w:rsid w:val="4E2F2707"/>
    <w:rsid w:val="4E4B78DC"/>
    <w:rsid w:val="4E505C68"/>
    <w:rsid w:val="4E573A0C"/>
    <w:rsid w:val="4E5C1022"/>
    <w:rsid w:val="4E7335F7"/>
    <w:rsid w:val="4E760336"/>
    <w:rsid w:val="4E7C16C5"/>
    <w:rsid w:val="4E833C34"/>
    <w:rsid w:val="4EAC6FD6"/>
    <w:rsid w:val="4EB250E6"/>
    <w:rsid w:val="4EBE1CDD"/>
    <w:rsid w:val="4EC05A55"/>
    <w:rsid w:val="4ECA0682"/>
    <w:rsid w:val="4ECD0674"/>
    <w:rsid w:val="4EE47996"/>
    <w:rsid w:val="4EE74D90"/>
    <w:rsid w:val="4EEF633A"/>
    <w:rsid w:val="4EFB083B"/>
    <w:rsid w:val="4F1D6A04"/>
    <w:rsid w:val="4F2935FA"/>
    <w:rsid w:val="4F495A4B"/>
    <w:rsid w:val="4F4977F9"/>
    <w:rsid w:val="4F587A3C"/>
    <w:rsid w:val="4F6C6BDA"/>
    <w:rsid w:val="4F7E394E"/>
    <w:rsid w:val="4F7F2029"/>
    <w:rsid w:val="4F870321"/>
    <w:rsid w:val="4F9071D6"/>
    <w:rsid w:val="4F9547EC"/>
    <w:rsid w:val="4FD933F3"/>
    <w:rsid w:val="4FDD43E5"/>
    <w:rsid w:val="4FE6773D"/>
    <w:rsid w:val="4FF43AC5"/>
    <w:rsid w:val="4FF77255"/>
    <w:rsid w:val="4FFE4A87"/>
    <w:rsid w:val="50106568"/>
    <w:rsid w:val="501222E0"/>
    <w:rsid w:val="501F0559"/>
    <w:rsid w:val="50226E86"/>
    <w:rsid w:val="5023629C"/>
    <w:rsid w:val="502954C6"/>
    <w:rsid w:val="503A5393"/>
    <w:rsid w:val="503F29AA"/>
    <w:rsid w:val="5043249A"/>
    <w:rsid w:val="505521CD"/>
    <w:rsid w:val="50827466"/>
    <w:rsid w:val="50A078EC"/>
    <w:rsid w:val="50B679A2"/>
    <w:rsid w:val="50C94598"/>
    <w:rsid w:val="50D21A70"/>
    <w:rsid w:val="50D457E8"/>
    <w:rsid w:val="50D70E34"/>
    <w:rsid w:val="50D75B0C"/>
    <w:rsid w:val="50FB4B23"/>
    <w:rsid w:val="51163F32"/>
    <w:rsid w:val="51183927"/>
    <w:rsid w:val="512128DC"/>
    <w:rsid w:val="51226553"/>
    <w:rsid w:val="514E7348"/>
    <w:rsid w:val="51516E38"/>
    <w:rsid w:val="515E50B1"/>
    <w:rsid w:val="519A433C"/>
    <w:rsid w:val="51AE366B"/>
    <w:rsid w:val="51D823BF"/>
    <w:rsid w:val="51DF0427"/>
    <w:rsid w:val="51E363F6"/>
    <w:rsid w:val="51E657D3"/>
    <w:rsid w:val="51E67581"/>
    <w:rsid w:val="51F83758"/>
    <w:rsid w:val="520B3E30"/>
    <w:rsid w:val="521A547C"/>
    <w:rsid w:val="521F6F37"/>
    <w:rsid w:val="5246001F"/>
    <w:rsid w:val="52972F71"/>
    <w:rsid w:val="52A77A3F"/>
    <w:rsid w:val="52B0193D"/>
    <w:rsid w:val="52BC29D7"/>
    <w:rsid w:val="52C8312A"/>
    <w:rsid w:val="52D675F5"/>
    <w:rsid w:val="52D7336D"/>
    <w:rsid w:val="52DB5A27"/>
    <w:rsid w:val="52DD4E28"/>
    <w:rsid w:val="52DE4AD3"/>
    <w:rsid w:val="52E70521"/>
    <w:rsid w:val="52EA12F3"/>
    <w:rsid w:val="52FB52AE"/>
    <w:rsid w:val="52FE08FA"/>
    <w:rsid w:val="53035F10"/>
    <w:rsid w:val="531F04EC"/>
    <w:rsid w:val="532145E9"/>
    <w:rsid w:val="53220A8C"/>
    <w:rsid w:val="532E2213"/>
    <w:rsid w:val="533026AA"/>
    <w:rsid w:val="533E15B5"/>
    <w:rsid w:val="53430609"/>
    <w:rsid w:val="53463C13"/>
    <w:rsid w:val="53487DC7"/>
    <w:rsid w:val="534C78B7"/>
    <w:rsid w:val="534D3630"/>
    <w:rsid w:val="538057C2"/>
    <w:rsid w:val="53807561"/>
    <w:rsid w:val="5382152B"/>
    <w:rsid w:val="538708F0"/>
    <w:rsid w:val="538B237F"/>
    <w:rsid w:val="538E7D0E"/>
    <w:rsid w:val="53A56FC8"/>
    <w:rsid w:val="53A90C2B"/>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F2448F"/>
    <w:rsid w:val="54F24FCC"/>
    <w:rsid w:val="55052414"/>
    <w:rsid w:val="550D2661"/>
    <w:rsid w:val="550F3292"/>
    <w:rsid w:val="552A3C28"/>
    <w:rsid w:val="55563AD1"/>
    <w:rsid w:val="555D2250"/>
    <w:rsid w:val="558722C8"/>
    <w:rsid w:val="55A03EEB"/>
    <w:rsid w:val="55A429D4"/>
    <w:rsid w:val="55AC6D33"/>
    <w:rsid w:val="55AD03B6"/>
    <w:rsid w:val="55BD221A"/>
    <w:rsid w:val="55C027DF"/>
    <w:rsid w:val="55CE2806"/>
    <w:rsid w:val="55D63DB0"/>
    <w:rsid w:val="55DB3175"/>
    <w:rsid w:val="55E203BD"/>
    <w:rsid w:val="55EE4C56"/>
    <w:rsid w:val="55F61D5C"/>
    <w:rsid w:val="56051FA0"/>
    <w:rsid w:val="56222B52"/>
    <w:rsid w:val="562A1B91"/>
    <w:rsid w:val="562B40FC"/>
    <w:rsid w:val="562B5B9A"/>
    <w:rsid w:val="56331D5B"/>
    <w:rsid w:val="5637484F"/>
    <w:rsid w:val="5640122A"/>
    <w:rsid w:val="56570A4D"/>
    <w:rsid w:val="565E627F"/>
    <w:rsid w:val="568A7075"/>
    <w:rsid w:val="56AB7BA5"/>
    <w:rsid w:val="56AF3861"/>
    <w:rsid w:val="56B85264"/>
    <w:rsid w:val="56BF4844"/>
    <w:rsid w:val="56C9121F"/>
    <w:rsid w:val="56CA56C3"/>
    <w:rsid w:val="56CF0F2B"/>
    <w:rsid w:val="56DC53F6"/>
    <w:rsid w:val="571406EC"/>
    <w:rsid w:val="5714693E"/>
    <w:rsid w:val="572B2C78"/>
    <w:rsid w:val="573B3383"/>
    <w:rsid w:val="573F67D1"/>
    <w:rsid w:val="575C2093"/>
    <w:rsid w:val="57691AA6"/>
    <w:rsid w:val="576D604E"/>
    <w:rsid w:val="57706229"/>
    <w:rsid w:val="578C2978"/>
    <w:rsid w:val="57BE4AFC"/>
    <w:rsid w:val="57C2639A"/>
    <w:rsid w:val="57CE11E3"/>
    <w:rsid w:val="57CF2865"/>
    <w:rsid w:val="57E07028"/>
    <w:rsid w:val="57E207EA"/>
    <w:rsid w:val="57EC78BB"/>
    <w:rsid w:val="57F549C2"/>
    <w:rsid w:val="580764A3"/>
    <w:rsid w:val="58260F8E"/>
    <w:rsid w:val="582C5F09"/>
    <w:rsid w:val="582E7647"/>
    <w:rsid w:val="586C6306"/>
    <w:rsid w:val="58737694"/>
    <w:rsid w:val="587F072F"/>
    <w:rsid w:val="588673C8"/>
    <w:rsid w:val="58BA1767"/>
    <w:rsid w:val="59134897"/>
    <w:rsid w:val="59215342"/>
    <w:rsid w:val="5928001D"/>
    <w:rsid w:val="592941F7"/>
    <w:rsid w:val="592A3C50"/>
    <w:rsid w:val="593212FE"/>
    <w:rsid w:val="594026BD"/>
    <w:rsid w:val="59460076"/>
    <w:rsid w:val="59515D8A"/>
    <w:rsid w:val="5955323E"/>
    <w:rsid w:val="595C637A"/>
    <w:rsid w:val="5960477C"/>
    <w:rsid w:val="596B66F6"/>
    <w:rsid w:val="596C2A61"/>
    <w:rsid w:val="596F6178"/>
    <w:rsid w:val="597E2795"/>
    <w:rsid w:val="59821EFA"/>
    <w:rsid w:val="59A5674B"/>
    <w:rsid w:val="59AD4E28"/>
    <w:rsid w:val="59BA27FE"/>
    <w:rsid w:val="59BD150F"/>
    <w:rsid w:val="59BE0DE3"/>
    <w:rsid w:val="59C53F20"/>
    <w:rsid w:val="59D535F0"/>
    <w:rsid w:val="59DE1485"/>
    <w:rsid w:val="59FD5DAF"/>
    <w:rsid w:val="5A0228E9"/>
    <w:rsid w:val="5A146C55"/>
    <w:rsid w:val="5A151F73"/>
    <w:rsid w:val="5A582FE6"/>
    <w:rsid w:val="5AA77AC9"/>
    <w:rsid w:val="5AA91A93"/>
    <w:rsid w:val="5ABE4B07"/>
    <w:rsid w:val="5AC226A1"/>
    <w:rsid w:val="5AC266B1"/>
    <w:rsid w:val="5AEE74A6"/>
    <w:rsid w:val="5AFA409D"/>
    <w:rsid w:val="5AFA5E4B"/>
    <w:rsid w:val="5B307ABF"/>
    <w:rsid w:val="5B321A89"/>
    <w:rsid w:val="5B32273E"/>
    <w:rsid w:val="5B353327"/>
    <w:rsid w:val="5B386973"/>
    <w:rsid w:val="5B4602DF"/>
    <w:rsid w:val="5B4A6DD2"/>
    <w:rsid w:val="5B57329D"/>
    <w:rsid w:val="5B6065F6"/>
    <w:rsid w:val="5B6F6839"/>
    <w:rsid w:val="5B751975"/>
    <w:rsid w:val="5B765E19"/>
    <w:rsid w:val="5B8147BE"/>
    <w:rsid w:val="5B920779"/>
    <w:rsid w:val="5B9462A0"/>
    <w:rsid w:val="5B977B3E"/>
    <w:rsid w:val="5BB249CA"/>
    <w:rsid w:val="5BB74B2C"/>
    <w:rsid w:val="5BBB382C"/>
    <w:rsid w:val="5BCC1E57"/>
    <w:rsid w:val="5BD41E6E"/>
    <w:rsid w:val="5BE9F092"/>
    <w:rsid w:val="5BEA2363"/>
    <w:rsid w:val="5BEA5EBF"/>
    <w:rsid w:val="5BF64864"/>
    <w:rsid w:val="5BFE0221"/>
    <w:rsid w:val="5C2C64D8"/>
    <w:rsid w:val="5C3A6E47"/>
    <w:rsid w:val="5C3B1922"/>
    <w:rsid w:val="5C3B6943"/>
    <w:rsid w:val="5C537F09"/>
    <w:rsid w:val="5C5477DD"/>
    <w:rsid w:val="5C5E2B95"/>
    <w:rsid w:val="5C7408F7"/>
    <w:rsid w:val="5C9A5B38"/>
    <w:rsid w:val="5C9C18B0"/>
    <w:rsid w:val="5CA17B70"/>
    <w:rsid w:val="5CA40764"/>
    <w:rsid w:val="5CAB5170"/>
    <w:rsid w:val="5CBD5382"/>
    <w:rsid w:val="5CBF4E17"/>
    <w:rsid w:val="5CC93D27"/>
    <w:rsid w:val="5CD32DF8"/>
    <w:rsid w:val="5CE62B2B"/>
    <w:rsid w:val="5D05770F"/>
    <w:rsid w:val="5D0C07A2"/>
    <w:rsid w:val="5D290C69"/>
    <w:rsid w:val="5D92680F"/>
    <w:rsid w:val="5DA0717E"/>
    <w:rsid w:val="5DA64068"/>
    <w:rsid w:val="5DB42C29"/>
    <w:rsid w:val="5DBB5D65"/>
    <w:rsid w:val="5DBD1FCA"/>
    <w:rsid w:val="5DD15589"/>
    <w:rsid w:val="5DEF65CC"/>
    <w:rsid w:val="5DF00669"/>
    <w:rsid w:val="5DF17973"/>
    <w:rsid w:val="5E033D19"/>
    <w:rsid w:val="5E192A8C"/>
    <w:rsid w:val="5E1A3862"/>
    <w:rsid w:val="5E1C432A"/>
    <w:rsid w:val="5E257683"/>
    <w:rsid w:val="5E282CCF"/>
    <w:rsid w:val="5E451AD3"/>
    <w:rsid w:val="5E4D0988"/>
    <w:rsid w:val="5E510478"/>
    <w:rsid w:val="5E714676"/>
    <w:rsid w:val="5E804DD8"/>
    <w:rsid w:val="5E8425FB"/>
    <w:rsid w:val="5E8C6F99"/>
    <w:rsid w:val="5E8E347A"/>
    <w:rsid w:val="5E9B5041"/>
    <w:rsid w:val="5EAE344E"/>
    <w:rsid w:val="5ECF75EF"/>
    <w:rsid w:val="5ED54C05"/>
    <w:rsid w:val="5EF2352E"/>
    <w:rsid w:val="5EF57055"/>
    <w:rsid w:val="5EF763C6"/>
    <w:rsid w:val="5F0059FA"/>
    <w:rsid w:val="5F08322C"/>
    <w:rsid w:val="5F097F64"/>
    <w:rsid w:val="5F3C4C84"/>
    <w:rsid w:val="5F4E6765"/>
    <w:rsid w:val="5F5D7160"/>
    <w:rsid w:val="5F7206A6"/>
    <w:rsid w:val="5F7408C2"/>
    <w:rsid w:val="5F772720"/>
    <w:rsid w:val="5F887EC9"/>
    <w:rsid w:val="5F893C41"/>
    <w:rsid w:val="5F8B79B9"/>
    <w:rsid w:val="5FB23198"/>
    <w:rsid w:val="5FCA5045"/>
    <w:rsid w:val="5FD70E51"/>
    <w:rsid w:val="5FEF7F48"/>
    <w:rsid w:val="5FF217E7"/>
    <w:rsid w:val="5FF27A39"/>
    <w:rsid w:val="5FF76DFD"/>
    <w:rsid w:val="5FFE1F39"/>
    <w:rsid w:val="5FFE7970"/>
    <w:rsid w:val="60060FEE"/>
    <w:rsid w:val="602A0F80"/>
    <w:rsid w:val="60462E90"/>
    <w:rsid w:val="60536729"/>
    <w:rsid w:val="608368E3"/>
    <w:rsid w:val="608F7035"/>
    <w:rsid w:val="60A30D33"/>
    <w:rsid w:val="60A96349"/>
    <w:rsid w:val="60C2740B"/>
    <w:rsid w:val="60D94755"/>
    <w:rsid w:val="60F021CA"/>
    <w:rsid w:val="60F829A0"/>
    <w:rsid w:val="611834CF"/>
    <w:rsid w:val="61530A39"/>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66B3F"/>
    <w:rsid w:val="628C1A7E"/>
    <w:rsid w:val="629B7F14"/>
    <w:rsid w:val="62A96AD4"/>
    <w:rsid w:val="62B2525D"/>
    <w:rsid w:val="62B66AFB"/>
    <w:rsid w:val="62C0797A"/>
    <w:rsid w:val="62D43685"/>
    <w:rsid w:val="62FB09B2"/>
    <w:rsid w:val="62FB3087"/>
    <w:rsid w:val="62FE04A2"/>
    <w:rsid w:val="6315416A"/>
    <w:rsid w:val="631D29EB"/>
    <w:rsid w:val="633C6169"/>
    <w:rsid w:val="63500CFE"/>
    <w:rsid w:val="637A3FCD"/>
    <w:rsid w:val="637F15E3"/>
    <w:rsid w:val="63822EAD"/>
    <w:rsid w:val="638D70D8"/>
    <w:rsid w:val="63A6297A"/>
    <w:rsid w:val="63B70D7D"/>
    <w:rsid w:val="63CC1E35"/>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2491C"/>
    <w:rsid w:val="65237AC1"/>
    <w:rsid w:val="653378DF"/>
    <w:rsid w:val="653603C7"/>
    <w:rsid w:val="65362175"/>
    <w:rsid w:val="656767D3"/>
    <w:rsid w:val="65801643"/>
    <w:rsid w:val="65864EAB"/>
    <w:rsid w:val="6598698C"/>
    <w:rsid w:val="659F5D29"/>
    <w:rsid w:val="65A13CC9"/>
    <w:rsid w:val="65A666EB"/>
    <w:rsid w:val="65CC099C"/>
    <w:rsid w:val="65E120E1"/>
    <w:rsid w:val="65FD9B6B"/>
    <w:rsid w:val="660D737A"/>
    <w:rsid w:val="661A38C3"/>
    <w:rsid w:val="661E2CB4"/>
    <w:rsid w:val="662A7F2C"/>
    <w:rsid w:val="6632293D"/>
    <w:rsid w:val="664E603D"/>
    <w:rsid w:val="66660838"/>
    <w:rsid w:val="666F1DE3"/>
    <w:rsid w:val="667016B7"/>
    <w:rsid w:val="667B3FDC"/>
    <w:rsid w:val="667F2833"/>
    <w:rsid w:val="66A870A3"/>
    <w:rsid w:val="66AD46B9"/>
    <w:rsid w:val="66C1550E"/>
    <w:rsid w:val="66C739CD"/>
    <w:rsid w:val="66CD4D5B"/>
    <w:rsid w:val="66DD6797"/>
    <w:rsid w:val="66F66060"/>
    <w:rsid w:val="66F67E0E"/>
    <w:rsid w:val="670818F0"/>
    <w:rsid w:val="671D183F"/>
    <w:rsid w:val="67293782"/>
    <w:rsid w:val="672D0AAC"/>
    <w:rsid w:val="673646AF"/>
    <w:rsid w:val="673D2719"/>
    <w:rsid w:val="675114E9"/>
    <w:rsid w:val="675863D3"/>
    <w:rsid w:val="6796514D"/>
    <w:rsid w:val="679703E1"/>
    <w:rsid w:val="67A17496"/>
    <w:rsid w:val="67A965FC"/>
    <w:rsid w:val="67D839B8"/>
    <w:rsid w:val="67F73C8E"/>
    <w:rsid w:val="681151C8"/>
    <w:rsid w:val="68182006"/>
    <w:rsid w:val="681C1AF7"/>
    <w:rsid w:val="683926A8"/>
    <w:rsid w:val="68466B73"/>
    <w:rsid w:val="685272C6"/>
    <w:rsid w:val="68537CAF"/>
    <w:rsid w:val="68541290"/>
    <w:rsid w:val="685F3791"/>
    <w:rsid w:val="686674E3"/>
    <w:rsid w:val="68725BBA"/>
    <w:rsid w:val="68757459"/>
    <w:rsid w:val="687A4A6F"/>
    <w:rsid w:val="688616AA"/>
    <w:rsid w:val="688C5099"/>
    <w:rsid w:val="68953657"/>
    <w:rsid w:val="68B735CD"/>
    <w:rsid w:val="68C1444C"/>
    <w:rsid w:val="68C47A98"/>
    <w:rsid w:val="68E51EE8"/>
    <w:rsid w:val="68EA5751"/>
    <w:rsid w:val="68F570FB"/>
    <w:rsid w:val="69196036"/>
    <w:rsid w:val="69227DA0"/>
    <w:rsid w:val="692C243B"/>
    <w:rsid w:val="6942733B"/>
    <w:rsid w:val="69456E2B"/>
    <w:rsid w:val="69531548"/>
    <w:rsid w:val="6958192F"/>
    <w:rsid w:val="696F3EA8"/>
    <w:rsid w:val="69731BEA"/>
    <w:rsid w:val="69765236"/>
    <w:rsid w:val="69790883"/>
    <w:rsid w:val="697A2F79"/>
    <w:rsid w:val="69935DE8"/>
    <w:rsid w:val="69A47FF6"/>
    <w:rsid w:val="69A87C65"/>
    <w:rsid w:val="69BB70ED"/>
    <w:rsid w:val="69CA3FC5"/>
    <w:rsid w:val="69EE301F"/>
    <w:rsid w:val="69FB1963"/>
    <w:rsid w:val="6A024D1C"/>
    <w:rsid w:val="6A2E3922"/>
    <w:rsid w:val="6A3F35DF"/>
    <w:rsid w:val="6A5D1F52"/>
    <w:rsid w:val="6A5EE8EA"/>
    <w:rsid w:val="6A7C062B"/>
    <w:rsid w:val="6AA25BA0"/>
    <w:rsid w:val="6AA3205B"/>
    <w:rsid w:val="6AAB0F10"/>
    <w:rsid w:val="6AAD2EDA"/>
    <w:rsid w:val="6AB8548E"/>
    <w:rsid w:val="6ABC577D"/>
    <w:rsid w:val="6ACD70D8"/>
    <w:rsid w:val="6AD05313"/>
    <w:rsid w:val="6AE12B83"/>
    <w:rsid w:val="6AE42367"/>
    <w:rsid w:val="6AFE7291"/>
    <w:rsid w:val="6B054AC4"/>
    <w:rsid w:val="6B106FC5"/>
    <w:rsid w:val="6B225676"/>
    <w:rsid w:val="6B295AA1"/>
    <w:rsid w:val="6B3A462E"/>
    <w:rsid w:val="6B422808"/>
    <w:rsid w:val="6B476E8A"/>
    <w:rsid w:val="6B4B5217"/>
    <w:rsid w:val="6B680BAF"/>
    <w:rsid w:val="6B744C1D"/>
    <w:rsid w:val="6B8A1717"/>
    <w:rsid w:val="6B8C6F93"/>
    <w:rsid w:val="6BC56001"/>
    <w:rsid w:val="6BCC7390"/>
    <w:rsid w:val="6BD36970"/>
    <w:rsid w:val="6BD526E8"/>
    <w:rsid w:val="6BE648F5"/>
    <w:rsid w:val="6C092392"/>
    <w:rsid w:val="6C17069E"/>
    <w:rsid w:val="6C2225DD"/>
    <w:rsid w:val="6C260EF8"/>
    <w:rsid w:val="6C2830FF"/>
    <w:rsid w:val="6C373268"/>
    <w:rsid w:val="6C5850C7"/>
    <w:rsid w:val="6C5B73FB"/>
    <w:rsid w:val="6C5D448C"/>
    <w:rsid w:val="6C6B0957"/>
    <w:rsid w:val="6C832144"/>
    <w:rsid w:val="6C861C34"/>
    <w:rsid w:val="6C8934D3"/>
    <w:rsid w:val="6C89702F"/>
    <w:rsid w:val="6C9C18EB"/>
    <w:rsid w:val="6C9F78C6"/>
    <w:rsid w:val="6CCC0C7C"/>
    <w:rsid w:val="6CCD7863"/>
    <w:rsid w:val="6CD504C6"/>
    <w:rsid w:val="6CD52274"/>
    <w:rsid w:val="6CDD364E"/>
    <w:rsid w:val="6CF46B9E"/>
    <w:rsid w:val="6CF92406"/>
    <w:rsid w:val="6CFC3CA5"/>
    <w:rsid w:val="6D140FEE"/>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A4841"/>
    <w:rsid w:val="6E443B55"/>
    <w:rsid w:val="6E4E0530"/>
    <w:rsid w:val="6E5B2C4D"/>
    <w:rsid w:val="6E5F44EB"/>
    <w:rsid w:val="6E6164B5"/>
    <w:rsid w:val="6E6236E7"/>
    <w:rsid w:val="6E6935BC"/>
    <w:rsid w:val="6E91041D"/>
    <w:rsid w:val="6E9F4B86"/>
    <w:rsid w:val="6EAE5472"/>
    <w:rsid w:val="6EB02F99"/>
    <w:rsid w:val="6EB8556A"/>
    <w:rsid w:val="6EBC36EB"/>
    <w:rsid w:val="6EDC5B3C"/>
    <w:rsid w:val="6EDE1649"/>
    <w:rsid w:val="6EEE586F"/>
    <w:rsid w:val="6F064E06"/>
    <w:rsid w:val="6F094457"/>
    <w:rsid w:val="6F155FCF"/>
    <w:rsid w:val="6F176B74"/>
    <w:rsid w:val="6F360C58"/>
    <w:rsid w:val="6F4D5330"/>
    <w:rsid w:val="6F636421"/>
    <w:rsid w:val="6F6B5112"/>
    <w:rsid w:val="6F6E6EC3"/>
    <w:rsid w:val="6F7264A0"/>
    <w:rsid w:val="6F765F90"/>
    <w:rsid w:val="6F9401C4"/>
    <w:rsid w:val="6FB915A7"/>
    <w:rsid w:val="6FC14D32"/>
    <w:rsid w:val="6FCD1928"/>
    <w:rsid w:val="6FD902CD"/>
    <w:rsid w:val="6FDE58E3"/>
    <w:rsid w:val="6FE0340A"/>
    <w:rsid w:val="6FE61F3E"/>
    <w:rsid w:val="6FF9428D"/>
    <w:rsid w:val="70161521"/>
    <w:rsid w:val="702F613F"/>
    <w:rsid w:val="703244E4"/>
    <w:rsid w:val="705636CC"/>
    <w:rsid w:val="70D31B19"/>
    <w:rsid w:val="70DF1913"/>
    <w:rsid w:val="70E77189"/>
    <w:rsid w:val="70EC561D"/>
    <w:rsid w:val="70FD0CB3"/>
    <w:rsid w:val="711E0B5E"/>
    <w:rsid w:val="712A5284"/>
    <w:rsid w:val="7130216F"/>
    <w:rsid w:val="713C4FB8"/>
    <w:rsid w:val="714F2ED1"/>
    <w:rsid w:val="716526A5"/>
    <w:rsid w:val="71687AE4"/>
    <w:rsid w:val="718F158B"/>
    <w:rsid w:val="71956476"/>
    <w:rsid w:val="71A004FF"/>
    <w:rsid w:val="71C50B09"/>
    <w:rsid w:val="71C8684B"/>
    <w:rsid w:val="71DC40A5"/>
    <w:rsid w:val="71E03B95"/>
    <w:rsid w:val="71E116BB"/>
    <w:rsid w:val="71F615DC"/>
    <w:rsid w:val="71FE04BF"/>
    <w:rsid w:val="720C0F00"/>
    <w:rsid w:val="720F7FD6"/>
    <w:rsid w:val="72121874"/>
    <w:rsid w:val="7229553C"/>
    <w:rsid w:val="72323CC5"/>
    <w:rsid w:val="724B2077"/>
    <w:rsid w:val="72644ED3"/>
    <w:rsid w:val="72691DDC"/>
    <w:rsid w:val="726F4F19"/>
    <w:rsid w:val="726F7FB0"/>
    <w:rsid w:val="729D3834"/>
    <w:rsid w:val="72A46970"/>
    <w:rsid w:val="72B50B7E"/>
    <w:rsid w:val="72C139C6"/>
    <w:rsid w:val="72C62D8B"/>
    <w:rsid w:val="72D57833"/>
    <w:rsid w:val="72DC25AE"/>
    <w:rsid w:val="72FC49FE"/>
    <w:rsid w:val="732C6762"/>
    <w:rsid w:val="732D2E0A"/>
    <w:rsid w:val="732E0930"/>
    <w:rsid w:val="73335F46"/>
    <w:rsid w:val="73373C88"/>
    <w:rsid w:val="733E4E7F"/>
    <w:rsid w:val="7358775B"/>
    <w:rsid w:val="735C7C30"/>
    <w:rsid w:val="73634FBB"/>
    <w:rsid w:val="73661E78"/>
    <w:rsid w:val="73697BBA"/>
    <w:rsid w:val="7375030D"/>
    <w:rsid w:val="73775E2C"/>
    <w:rsid w:val="738A025C"/>
    <w:rsid w:val="73B61051"/>
    <w:rsid w:val="73BB6668"/>
    <w:rsid w:val="73C365CB"/>
    <w:rsid w:val="73E95EE8"/>
    <w:rsid w:val="73EA4857"/>
    <w:rsid w:val="73F6144E"/>
    <w:rsid w:val="73F97190"/>
    <w:rsid w:val="74085625"/>
    <w:rsid w:val="74185868"/>
    <w:rsid w:val="742023C5"/>
    <w:rsid w:val="744C3764"/>
    <w:rsid w:val="74534AF2"/>
    <w:rsid w:val="74766D79"/>
    <w:rsid w:val="747E57F8"/>
    <w:rsid w:val="748D1686"/>
    <w:rsid w:val="749F732A"/>
    <w:rsid w:val="74E3095E"/>
    <w:rsid w:val="74F040EF"/>
    <w:rsid w:val="74FE4ADF"/>
    <w:rsid w:val="751122B7"/>
    <w:rsid w:val="75157FF9"/>
    <w:rsid w:val="75360DBC"/>
    <w:rsid w:val="75387844"/>
    <w:rsid w:val="753A6E5F"/>
    <w:rsid w:val="75487079"/>
    <w:rsid w:val="75535B40"/>
    <w:rsid w:val="756920F3"/>
    <w:rsid w:val="756B5E6B"/>
    <w:rsid w:val="756D0E75"/>
    <w:rsid w:val="756D573F"/>
    <w:rsid w:val="75866801"/>
    <w:rsid w:val="758807CB"/>
    <w:rsid w:val="759F78C3"/>
    <w:rsid w:val="75BA64AB"/>
    <w:rsid w:val="75E35A02"/>
    <w:rsid w:val="75EA3234"/>
    <w:rsid w:val="761B5373"/>
    <w:rsid w:val="761C1BAE"/>
    <w:rsid w:val="762027B2"/>
    <w:rsid w:val="7630676D"/>
    <w:rsid w:val="76312C11"/>
    <w:rsid w:val="763224E5"/>
    <w:rsid w:val="76361FD5"/>
    <w:rsid w:val="76505878"/>
    <w:rsid w:val="767945B8"/>
    <w:rsid w:val="76794AF8"/>
    <w:rsid w:val="76850C08"/>
    <w:rsid w:val="76BB24DB"/>
    <w:rsid w:val="76C84BF7"/>
    <w:rsid w:val="76D11CFE"/>
    <w:rsid w:val="76D67314"/>
    <w:rsid w:val="76E23F0B"/>
    <w:rsid w:val="76FC6DDC"/>
    <w:rsid w:val="771E576F"/>
    <w:rsid w:val="772E2227"/>
    <w:rsid w:val="77302EC9"/>
    <w:rsid w:val="7731279D"/>
    <w:rsid w:val="77533CC6"/>
    <w:rsid w:val="775748F9"/>
    <w:rsid w:val="7760252B"/>
    <w:rsid w:val="776058DA"/>
    <w:rsid w:val="77626DFA"/>
    <w:rsid w:val="777032C5"/>
    <w:rsid w:val="777803CC"/>
    <w:rsid w:val="777D1E86"/>
    <w:rsid w:val="779276DF"/>
    <w:rsid w:val="77B70517"/>
    <w:rsid w:val="77BB032D"/>
    <w:rsid w:val="77E043E3"/>
    <w:rsid w:val="77EB7A4D"/>
    <w:rsid w:val="77F40160"/>
    <w:rsid w:val="781140FE"/>
    <w:rsid w:val="781C4DFD"/>
    <w:rsid w:val="78342545"/>
    <w:rsid w:val="78412EB3"/>
    <w:rsid w:val="785030F6"/>
    <w:rsid w:val="78550E5C"/>
    <w:rsid w:val="78632E2A"/>
    <w:rsid w:val="78654DF4"/>
    <w:rsid w:val="78782D79"/>
    <w:rsid w:val="787B0173"/>
    <w:rsid w:val="787D0429"/>
    <w:rsid w:val="788A2F6A"/>
    <w:rsid w:val="78AA6CAB"/>
    <w:rsid w:val="78B24F5D"/>
    <w:rsid w:val="78CF676B"/>
    <w:rsid w:val="78EF46BD"/>
    <w:rsid w:val="790740FD"/>
    <w:rsid w:val="791660EE"/>
    <w:rsid w:val="791D122B"/>
    <w:rsid w:val="791F31F5"/>
    <w:rsid w:val="79265756"/>
    <w:rsid w:val="7936673D"/>
    <w:rsid w:val="793F5645"/>
    <w:rsid w:val="794511BD"/>
    <w:rsid w:val="794A5D98"/>
    <w:rsid w:val="794C38BE"/>
    <w:rsid w:val="794E7636"/>
    <w:rsid w:val="79892D64"/>
    <w:rsid w:val="798E037A"/>
    <w:rsid w:val="79960FDD"/>
    <w:rsid w:val="79986B03"/>
    <w:rsid w:val="79997202"/>
    <w:rsid w:val="799E680F"/>
    <w:rsid w:val="79F03FD5"/>
    <w:rsid w:val="7A010B4C"/>
    <w:rsid w:val="7A036672"/>
    <w:rsid w:val="7A1B3962"/>
    <w:rsid w:val="7A2111EE"/>
    <w:rsid w:val="7A2F56B9"/>
    <w:rsid w:val="7A466CDA"/>
    <w:rsid w:val="7A4B1521"/>
    <w:rsid w:val="7A6D48C0"/>
    <w:rsid w:val="7A7268AA"/>
    <w:rsid w:val="7A765096"/>
    <w:rsid w:val="7A8D418E"/>
    <w:rsid w:val="7A974046"/>
    <w:rsid w:val="7AA045E2"/>
    <w:rsid w:val="7AAD65DE"/>
    <w:rsid w:val="7AC35E02"/>
    <w:rsid w:val="7AC53928"/>
    <w:rsid w:val="7AC878BC"/>
    <w:rsid w:val="7ACA7190"/>
    <w:rsid w:val="7AD65B35"/>
    <w:rsid w:val="7AEF309B"/>
    <w:rsid w:val="7AFD2AA0"/>
    <w:rsid w:val="7AFD57B8"/>
    <w:rsid w:val="7AFE6CB3"/>
    <w:rsid w:val="7AFF1FD8"/>
    <w:rsid w:val="7B007056"/>
    <w:rsid w:val="7B02692A"/>
    <w:rsid w:val="7B2368A0"/>
    <w:rsid w:val="7B4707E1"/>
    <w:rsid w:val="7B494559"/>
    <w:rsid w:val="7B627C76"/>
    <w:rsid w:val="7B705F89"/>
    <w:rsid w:val="7B735A7A"/>
    <w:rsid w:val="7B887EC5"/>
    <w:rsid w:val="7B914152"/>
    <w:rsid w:val="7BAE0860"/>
    <w:rsid w:val="7BB17EFC"/>
    <w:rsid w:val="7BC60184"/>
    <w:rsid w:val="7BD5403F"/>
    <w:rsid w:val="7BE349AD"/>
    <w:rsid w:val="7BE73A8B"/>
    <w:rsid w:val="7BE7D052"/>
    <w:rsid w:val="7BEC3136"/>
    <w:rsid w:val="7BEE6EAE"/>
    <w:rsid w:val="7BF07750"/>
    <w:rsid w:val="7BF3D8DC"/>
    <w:rsid w:val="7BF471EA"/>
    <w:rsid w:val="7C011556"/>
    <w:rsid w:val="7C18217D"/>
    <w:rsid w:val="7C3051CE"/>
    <w:rsid w:val="7C3C40BE"/>
    <w:rsid w:val="7C507B69"/>
    <w:rsid w:val="7C596A1E"/>
    <w:rsid w:val="7C5E2286"/>
    <w:rsid w:val="7C701FB9"/>
    <w:rsid w:val="7C72188D"/>
    <w:rsid w:val="7C817D22"/>
    <w:rsid w:val="7C9772D8"/>
    <w:rsid w:val="7CB9570E"/>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E16C74"/>
    <w:rsid w:val="7DE247F1"/>
    <w:rsid w:val="7DED1B13"/>
    <w:rsid w:val="7DF34C50"/>
    <w:rsid w:val="7DF36BEC"/>
    <w:rsid w:val="7E0D00F2"/>
    <w:rsid w:val="7E105802"/>
    <w:rsid w:val="7E1A21DD"/>
    <w:rsid w:val="7E486D4A"/>
    <w:rsid w:val="7E5845A0"/>
    <w:rsid w:val="7E5F22E5"/>
    <w:rsid w:val="7E7654DB"/>
    <w:rsid w:val="7E7C7B82"/>
    <w:rsid w:val="7E7D055C"/>
    <w:rsid w:val="7E960CC1"/>
    <w:rsid w:val="7EA36676"/>
    <w:rsid w:val="7EAD12A3"/>
    <w:rsid w:val="7EB702F4"/>
    <w:rsid w:val="7ED625A7"/>
    <w:rsid w:val="7EDA196C"/>
    <w:rsid w:val="7EE54599"/>
    <w:rsid w:val="7EE56707"/>
    <w:rsid w:val="7EED715E"/>
    <w:rsid w:val="7EF42A2E"/>
    <w:rsid w:val="7EF46ED2"/>
    <w:rsid w:val="7EFD7F37"/>
    <w:rsid w:val="7F0A41C4"/>
    <w:rsid w:val="7F2271E4"/>
    <w:rsid w:val="7F2D7CEE"/>
    <w:rsid w:val="7F313C82"/>
    <w:rsid w:val="7F4A61E1"/>
    <w:rsid w:val="7F596D35"/>
    <w:rsid w:val="7F5FF6FB"/>
    <w:rsid w:val="7F625BE9"/>
    <w:rsid w:val="7F6DF8F2"/>
    <w:rsid w:val="7F967F89"/>
    <w:rsid w:val="7F9935D5"/>
    <w:rsid w:val="7FA51F7A"/>
    <w:rsid w:val="7FB073FA"/>
    <w:rsid w:val="7FB328E9"/>
    <w:rsid w:val="7FB36445"/>
    <w:rsid w:val="7FD30895"/>
    <w:rsid w:val="7FD3649E"/>
    <w:rsid w:val="7FDBF23C"/>
    <w:rsid w:val="7FDD1714"/>
    <w:rsid w:val="7FE231CE"/>
    <w:rsid w:val="7FFA22C6"/>
    <w:rsid w:val="7FFD4BBD"/>
    <w:rsid w:val="8BE665C7"/>
    <w:rsid w:val="ABCBDF36"/>
    <w:rsid w:val="B6EF143F"/>
    <w:rsid w:val="B7FF51D8"/>
    <w:rsid w:val="BFBF41B0"/>
    <w:rsid w:val="CBBC2935"/>
    <w:rsid w:val="CFE233EA"/>
    <w:rsid w:val="DFF766A0"/>
    <w:rsid w:val="E5FF30DD"/>
    <w:rsid w:val="F5FDFF24"/>
    <w:rsid w:val="FA2E720F"/>
    <w:rsid w:val="FABE80FD"/>
    <w:rsid w:val="FDBFA6A4"/>
    <w:rsid w:val="FE7F3762"/>
    <w:rsid w:val="FEBF42C4"/>
    <w:rsid w:val="FFBD61B4"/>
    <w:rsid w:val="FFFE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link w:val="48"/>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5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55"/>
    <w:unhideWhenUsed/>
    <w:qFormat/>
    <w:uiPriority w:val="9"/>
    <w:pPr>
      <w:keepNext/>
      <w:keepLines/>
      <w:spacing w:before="260" w:after="260" w:line="416" w:lineRule="auto"/>
      <w:outlineLvl w:val="2"/>
    </w:pPr>
    <w:rPr>
      <w:b/>
      <w:bCs/>
      <w:sz w:val="30"/>
      <w:szCs w:val="32"/>
    </w:rPr>
  </w:style>
  <w:style w:type="paragraph" w:styleId="7">
    <w:name w:val="heading 4"/>
    <w:basedOn w:val="1"/>
    <w:next w:val="1"/>
    <w:link w:val="56"/>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9"/>
    <w:next w:val="10"/>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7"/>
    <w:qFormat/>
    <w:uiPriority w:val="99"/>
    <w:pPr>
      <w:spacing w:after="120" w:line="240" w:lineRule="auto"/>
      <w:jc w:val="both"/>
    </w:pPr>
    <w:rPr>
      <w:rFonts w:eastAsiaTheme="minorEastAsia"/>
      <w:sz w:val="21"/>
      <w:szCs w:val="24"/>
    </w:rPr>
  </w:style>
  <w:style w:type="paragraph" w:styleId="3">
    <w:name w:val="Body Text First Indent"/>
    <w:basedOn w:val="2"/>
    <w:qFormat/>
    <w:uiPriority w:val="0"/>
    <w:pPr>
      <w:ind w:firstLine="420" w:firstLineChars="100"/>
    </w:pPr>
    <w:rPr>
      <w:rFonts w:ascii="Times New Roman" w:hAnsi="Times New Roman" w:cs="Times New Roman"/>
    </w:rPr>
  </w:style>
  <w:style w:type="paragraph" w:styleId="9">
    <w:name w:val="List Number 2"/>
    <w:basedOn w:val="1"/>
    <w:semiHidden/>
    <w:unhideWhenUsed/>
    <w:qFormat/>
    <w:uiPriority w:val="99"/>
    <w:pPr>
      <w:numPr>
        <w:ilvl w:val="0"/>
        <w:numId w:val="1"/>
      </w:numPr>
    </w:pPr>
  </w:style>
  <w:style w:type="paragraph" w:styleId="10">
    <w:name w:val="Normal (Web)"/>
    <w:basedOn w:val="1"/>
    <w:qFormat/>
    <w:uiPriority w:val="99"/>
    <w:pPr>
      <w:widowControl/>
      <w:spacing w:before="100" w:beforeAutospacing="1" w:after="100" w:afterAutospacing="1"/>
    </w:pPr>
    <w:rPr>
      <w:rFonts w:cs="宋体"/>
      <w:color w:val="000000"/>
      <w:kern w:val="0"/>
      <w:szCs w:val="24"/>
    </w:r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Normal Indent"/>
    <w:basedOn w:val="1"/>
    <w:unhideWhenUsed/>
    <w:qFormat/>
    <w:uiPriority w:val="0"/>
    <w:pPr>
      <w:ind w:firstLine="420" w:firstLineChars="200"/>
    </w:pPr>
    <w:rPr>
      <w:rFonts w:ascii="Calibri" w:hAnsi="Calibri"/>
    </w:rPr>
  </w:style>
  <w:style w:type="paragraph" w:styleId="13">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4">
    <w:name w:val="toa heading"/>
    <w:basedOn w:val="1"/>
    <w:next w:val="1"/>
    <w:qFormat/>
    <w:uiPriority w:val="0"/>
    <w:pPr>
      <w:spacing w:before="120"/>
    </w:pPr>
    <w:rPr>
      <w:rFonts w:ascii="Cambria" w:hAnsi="Cambria"/>
      <w:sz w:val="28"/>
    </w:rPr>
  </w:style>
  <w:style w:type="paragraph" w:styleId="15">
    <w:name w:val="annotation text"/>
    <w:basedOn w:val="1"/>
    <w:link w:val="53"/>
    <w:qFormat/>
    <w:uiPriority w:val="0"/>
    <w:pPr>
      <w:spacing w:line="240" w:lineRule="auto"/>
    </w:pPr>
    <w:rPr>
      <w:rFonts w:eastAsiaTheme="minorEastAsia"/>
      <w:sz w:val="21"/>
      <w:szCs w:val="24"/>
    </w:rPr>
  </w:style>
  <w:style w:type="paragraph" w:styleId="16">
    <w:name w:val="index 6"/>
    <w:basedOn w:val="1"/>
    <w:next w:val="1"/>
    <w:qFormat/>
    <w:uiPriority w:val="0"/>
    <w:pPr>
      <w:ind w:left="2100"/>
    </w:pPr>
  </w:style>
  <w:style w:type="paragraph" w:styleId="17">
    <w:name w:val="Body Text Indent"/>
    <w:basedOn w:val="1"/>
    <w:unhideWhenUsed/>
    <w:qFormat/>
    <w:uiPriority w:val="0"/>
    <w:pPr>
      <w:ind w:firstLine="630"/>
    </w:pPr>
    <w:rPr>
      <w:rFonts w:eastAsia="仿宋_GB2312"/>
      <w:kern w:val="0"/>
      <w:sz w:val="32"/>
      <w:szCs w:val="20"/>
    </w:rPr>
  </w:style>
  <w:style w:type="paragraph" w:styleId="18">
    <w:name w:val="Block Text"/>
    <w:basedOn w:val="1"/>
    <w:qFormat/>
    <w:uiPriority w:val="0"/>
    <w:pPr>
      <w:spacing w:after="120" w:afterLines="0"/>
      <w:ind w:left="700" w:leftChars="700" w:right="700" w:rightChars="700"/>
    </w:pPr>
    <w:rPr>
      <w:szCs w:val="21"/>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51"/>
    <w:unhideWhenUsed/>
    <w:qFormat/>
    <w:uiPriority w:val="99"/>
    <w:pPr>
      <w:tabs>
        <w:tab w:val="center" w:pos="4153"/>
        <w:tab w:val="right" w:pos="8306"/>
      </w:tabs>
      <w:snapToGrid w:val="0"/>
      <w:spacing w:line="240" w:lineRule="auto"/>
    </w:pPr>
    <w:rPr>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5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spacing w:before="120" w:after="120"/>
    </w:pPr>
    <w:rPr>
      <w:rFonts w:asciiTheme="minorHAnsi" w:eastAsiaTheme="minorHAnsi"/>
      <w:b/>
      <w:bCs/>
      <w:caps/>
      <w:sz w:val="20"/>
      <w:szCs w:val="20"/>
    </w:rPr>
  </w:style>
  <w:style w:type="paragraph" w:styleId="27">
    <w:name w:val="toc 4"/>
    <w:basedOn w:val="1"/>
    <w:next w:val="1"/>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pPr>
    <w:rPr>
      <w:kern w:val="0"/>
      <w:sz w:val="20"/>
      <w:szCs w:val="20"/>
      <w:lang w:val="de-DE"/>
    </w:rPr>
  </w:style>
  <w:style w:type="paragraph" w:styleId="30">
    <w:name w:val="toc 6"/>
    <w:basedOn w:val="1"/>
    <w:next w:val="1"/>
    <w:unhideWhenUsed/>
    <w:qFormat/>
    <w:uiPriority w:val="39"/>
    <w:pPr>
      <w:ind w:left="1200"/>
    </w:pPr>
    <w:rPr>
      <w:rFonts w:asciiTheme="minorHAnsi" w:eastAsiaTheme="minorHAnsi"/>
      <w:sz w:val="18"/>
      <w:szCs w:val="18"/>
    </w:rPr>
  </w:style>
  <w:style w:type="paragraph" w:styleId="31">
    <w:name w:val="toc 2"/>
    <w:basedOn w:val="1"/>
    <w:next w:val="1"/>
    <w:unhideWhenUsed/>
    <w:qFormat/>
    <w:uiPriority w:val="39"/>
    <w:pPr>
      <w:ind w:left="240"/>
    </w:pPr>
    <w:rPr>
      <w:rFonts w:asciiTheme="minorHAnsi" w:eastAsiaTheme="minorHAnsi"/>
      <w:smallCaps/>
      <w:sz w:val="20"/>
      <w:szCs w:val="20"/>
    </w:rPr>
  </w:style>
  <w:style w:type="paragraph" w:styleId="32">
    <w:name w:val="toc 9"/>
    <w:basedOn w:val="1"/>
    <w:next w:val="1"/>
    <w:unhideWhenUsed/>
    <w:qFormat/>
    <w:uiPriority w:val="39"/>
    <w:pPr>
      <w:ind w:left="1920"/>
    </w:pPr>
    <w:rPr>
      <w:rFonts w:asciiTheme="minorHAnsi" w:eastAsiaTheme="minorHAnsi"/>
      <w:sz w:val="18"/>
      <w:szCs w:val="18"/>
    </w:rPr>
  </w:style>
  <w:style w:type="paragraph" w:styleId="33">
    <w:name w:val="annotation subject"/>
    <w:basedOn w:val="15"/>
    <w:next w:val="15"/>
    <w:link w:val="61"/>
    <w:semiHidden/>
    <w:unhideWhenUsed/>
    <w:qFormat/>
    <w:uiPriority w:val="99"/>
    <w:pPr>
      <w:spacing w:line="360" w:lineRule="auto"/>
    </w:pPr>
    <w:rPr>
      <w:rFonts w:eastAsia="宋体"/>
      <w:b/>
      <w:bCs/>
      <w:sz w:val="24"/>
      <w:szCs w:val="22"/>
    </w:rPr>
  </w:style>
  <w:style w:type="paragraph" w:styleId="34">
    <w:name w:val="Body Text First Indent 2"/>
    <w:basedOn w:val="17"/>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basedOn w:val="37"/>
    <w:qFormat/>
    <w:uiPriority w:val="0"/>
    <w:rPr>
      <w:sz w:val="21"/>
      <w:szCs w:val="21"/>
    </w:rPr>
  </w:style>
  <w:style w:type="character" w:styleId="42">
    <w:name w:val="HTML Sample"/>
    <w:basedOn w:val="37"/>
    <w:qFormat/>
    <w:uiPriority w:val="0"/>
    <w:rPr>
      <w:rFonts w:ascii="Courier New" w:hAnsi="Courier New"/>
    </w:rPr>
  </w:style>
  <w:style w:type="paragraph" w:customStyle="1" w:styleId="43">
    <w:name w:val="正文_0"/>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正文缩进2"/>
    <w:basedOn w:val="1"/>
    <w:qFormat/>
    <w:uiPriority w:val="0"/>
    <w:pPr>
      <w:wordWrap w:val="0"/>
      <w:ind w:firstLine="480"/>
    </w:pPr>
    <w:rPr>
      <w:iCs/>
      <w:shd w:val="clear" w:color="auto" w:fill="FFFFFF" w:themeFill="background1"/>
      <w:lang w:val="zh-CN"/>
    </w:rPr>
  </w:style>
  <w:style w:type="character" w:customStyle="1" w:styleId="48">
    <w:name w:val="标题 1 字符"/>
    <w:basedOn w:val="37"/>
    <w:link w:val="4"/>
    <w:qFormat/>
    <w:uiPriority w:val="9"/>
    <w:rPr>
      <w:rFonts w:eastAsia="黑体"/>
      <w:b/>
      <w:bCs/>
      <w:kern w:val="44"/>
      <w:sz w:val="44"/>
      <w:szCs w:val="44"/>
    </w:rPr>
  </w:style>
  <w:style w:type="paragraph" w:styleId="49">
    <w:name w:val="List Paragraph"/>
    <w:basedOn w:val="1"/>
    <w:qFormat/>
    <w:uiPriority w:val="34"/>
    <w:pPr>
      <w:numPr>
        <w:ilvl w:val="0"/>
        <w:numId w:val="3"/>
      </w:numPr>
    </w:pPr>
  </w:style>
  <w:style w:type="character" w:customStyle="1" w:styleId="50">
    <w:name w:val="页眉 字符"/>
    <w:basedOn w:val="37"/>
    <w:link w:val="25"/>
    <w:qFormat/>
    <w:uiPriority w:val="99"/>
    <w:rPr>
      <w:rFonts w:eastAsia="宋体"/>
      <w:sz w:val="18"/>
      <w:szCs w:val="18"/>
    </w:rPr>
  </w:style>
  <w:style w:type="character" w:customStyle="1" w:styleId="51">
    <w:name w:val="页脚 字符"/>
    <w:basedOn w:val="37"/>
    <w:link w:val="23"/>
    <w:qFormat/>
    <w:uiPriority w:val="99"/>
    <w:rPr>
      <w:rFonts w:eastAsia="宋体"/>
      <w:sz w:val="18"/>
      <w:szCs w:val="18"/>
    </w:rPr>
  </w:style>
  <w:style w:type="character" w:customStyle="1" w:styleId="52">
    <w:name w:val="标题 2 字符"/>
    <w:basedOn w:val="37"/>
    <w:link w:val="5"/>
    <w:qFormat/>
    <w:uiPriority w:val="0"/>
    <w:rPr>
      <w:rFonts w:eastAsia="宋体" w:asciiTheme="majorHAnsi" w:hAnsiTheme="majorHAnsi" w:cstheme="majorBidi"/>
      <w:b/>
      <w:bCs/>
      <w:sz w:val="32"/>
      <w:szCs w:val="32"/>
    </w:rPr>
  </w:style>
  <w:style w:type="character" w:customStyle="1" w:styleId="53">
    <w:name w:val="批注文字 字符"/>
    <w:basedOn w:val="37"/>
    <w:link w:val="15"/>
    <w:qFormat/>
    <w:uiPriority w:val="0"/>
    <w:rPr>
      <w:szCs w:val="24"/>
    </w:rPr>
  </w:style>
  <w:style w:type="paragraph" w:customStyle="1" w:styleId="54">
    <w:name w:val="Char1 Char Char Char"/>
    <w:basedOn w:val="1"/>
    <w:qFormat/>
    <w:uiPriority w:val="0"/>
    <w:pPr>
      <w:adjustRightInd w:val="0"/>
      <w:jc w:val="both"/>
    </w:pPr>
    <w:rPr>
      <w:rFonts w:ascii="Times New Roman" w:hAnsi="Times New Roman" w:cs="Times New Roman"/>
      <w:kern w:val="0"/>
      <w:szCs w:val="20"/>
    </w:rPr>
  </w:style>
  <w:style w:type="character" w:customStyle="1" w:styleId="55">
    <w:name w:val="标题 3 字符"/>
    <w:basedOn w:val="37"/>
    <w:link w:val="6"/>
    <w:qFormat/>
    <w:uiPriority w:val="9"/>
    <w:rPr>
      <w:rFonts w:eastAsia="宋体"/>
      <w:b/>
      <w:bCs/>
      <w:sz w:val="30"/>
      <w:szCs w:val="32"/>
    </w:rPr>
  </w:style>
  <w:style w:type="character" w:customStyle="1" w:styleId="56">
    <w:name w:val="标题 4 字符"/>
    <w:basedOn w:val="37"/>
    <w:link w:val="7"/>
    <w:qFormat/>
    <w:uiPriority w:val="9"/>
    <w:rPr>
      <w:rFonts w:eastAsia="宋体" w:asciiTheme="majorHAnsi" w:hAnsiTheme="majorHAnsi" w:cstheme="majorBidi"/>
      <w:b/>
      <w:bCs/>
      <w:sz w:val="28"/>
      <w:szCs w:val="28"/>
    </w:rPr>
  </w:style>
  <w:style w:type="character" w:customStyle="1" w:styleId="57">
    <w:name w:val="正文文本 字符"/>
    <w:basedOn w:val="37"/>
    <w:link w:val="2"/>
    <w:qFormat/>
    <w:uiPriority w:val="99"/>
    <w:rPr>
      <w:szCs w:val="24"/>
    </w:rPr>
  </w:style>
  <w:style w:type="paragraph" w:customStyle="1" w:styleId="58">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9">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60">
    <w:name w:val="未处理的提及1"/>
    <w:basedOn w:val="37"/>
    <w:semiHidden/>
    <w:unhideWhenUsed/>
    <w:qFormat/>
    <w:uiPriority w:val="99"/>
    <w:rPr>
      <w:color w:val="605E5C"/>
      <w:shd w:val="clear" w:color="auto" w:fill="E1DFDD"/>
    </w:rPr>
  </w:style>
  <w:style w:type="character" w:customStyle="1" w:styleId="61">
    <w:name w:val="批注主题 字符"/>
    <w:basedOn w:val="53"/>
    <w:link w:val="33"/>
    <w:semiHidden/>
    <w:qFormat/>
    <w:uiPriority w:val="99"/>
    <w:rPr>
      <w:rFonts w:ascii="宋体" w:hAnsi="宋体" w:cstheme="minorBidi"/>
      <w:b/>
      <w:bCs/>
      <w:kern w:val="2"/>
      <w:sz w:val="24"/>
      <w:szCs w:val="22"/>
    </w:rPr>
  </w:style>
  <w:style w:type="character" w:customStyle="1" w:styleId="62">
    <w:name w:val="未处理的提及2"/>
    <w:basedOn w:val="37"/>
    <w:semiHidden/>
    <w:unhideWhenUsed/>
    <w:qFormat/>
    <w:uiPriority w:val="99"/>
    <w:rPr>
      <w:color w:val="605E5C"/>
      <w:shd w:val="clear" w:color="auto" w:fill="E1DFDD"/>
    </w:rPr>
  </w:style>
  <w:style w:type="paragraph" w:customStyle="1" w:styleId="63">
    <w:name w:val="正文_2"/>
    <w:next w:val="64"/>
    <w:qFormat/>
    <w:uiPriority w:val="0"/>
    <w:pPr>
      <w:widowControl w:val="0"/>
      <w:jc w:val="both"/>
    </w:pPr>
    <w:rPr>
      <w:rFonts w:ascii="Calibri" w:hAnsi="Calibri" w:eastAsia="宋体" w:cs="Times New Roman"/>
      <w:lang w:val="en-US" w:eastAsia="zh-CN" w:bidi="ar-SA"/>
    </w:rPr>
  </w:style>
  <w:style w:type="paragraph" w:customStyle="1" w:styleId="64">
    <w:name w:val="正文文本_1"/>
    <w:basedOn w:val="65"/>
    <w:qFormat/>
    <w:uiPriority w:val="0"/>
    <w:rPr>
      <w:rFonts w:ascii="Times New Roman" w:hAnsi="Times New Roman" w:eastAsia="黑体" w:cs="Times New Roman"/>
      <w:sz w:val="36"/>
    </w:rPr>
  </w:style>
  <w:style w:type="paragraph" w:customStyle="1" w:styleId="65">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正文_1"/>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
    <w:basedOn w:val="6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9">
    <w:name w:val="正文_2_0_0"/>
    <w:qFormat/>
    <w:uiPriority w:val="99"/>
    <w:pPr>
      <w:widowControl w:val="0"/>
      <w:jc w:val="both"/>
    </w:pPr>
    <w:rPr>
      <w:rFonts w:ascii="Calibri" w:hAnsi="Calibri" w:eastAsia="宋体" w:cs="Times New Roman"/>
      <w:lang w:val="en-US" w:eastAsia="zh-CN" w:bidi="ar-SA"/>
    </w:rPr>
  </w:style>
  <w:style w:type="paragraph" w:customStyle="1" w:styleId="7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71">
    <w:name w:val="Normal Indent1"/>
    <w:basedOn w:val="1"/>
    <w:qFormat/>
    <w:uiPriority w:val="0"/>
    <w:pPr>
      <w:ind w:firstLine="420" w:firstLineChars="200"/>
    </w:p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Normal_22"/>
    <w:qFormat/>
    <w:uiPriority w:val="0"/>
    <w:rPr>
      <w:rFonts w:ascii="Times New Roman" w:hAnsi="Times New Roman" w:eastAsia="Times New Roman" w:cs="Times New Roman"/>
      <w:sz w:val="24"/>
      <w:szCs w:val="24"/>
      <w:lang w:val="en-US" w:eastAsia="zh-CN" w:bidi="ar-SA"/>
    </w:rPr>
  </w:style>
  <w:style w:type="paragraph" w:customStyle="1" w:styleId="7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正文_0_0_0 Char"/>
    <w:link w:val="76"/>
    <w:qFormat/>
    <w:locked/>
    <w:uiPriority w:val="0"/>
    <w:rPr>
      <w:rFonts w:ascii="Calibri" w:hAnsi="Calibri" w:cs="Calibri"/>
      <w:kern w:val="2"/>
      <w:sz w:val="28"/>
      <w:szCs w:val="22"/>
      <w:lang w:val="en-US" w:eastAsia="zh-CN" w:bidi="ar-SA"/>
    </w:rPr>
  </w:style>
  <w:style w:type="paragraph" w:customStyle="1" w:styleId="76">
    <w:name w:val="正文_0_0_0_0_0"/>
    <w:link w:val="7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7">
    <w:name w:val="正文文本_0_1"/>
    <w:basedOn w:val="78"/>
    <w:qFormat/>
    <w:uiPriority w:val="99"/>
    <w:pPr>
      <w:spacing w:after="120"/>
    </w:pPr>
    <w:rPr>
      <w:kern w:val="0"/>
      <w:sz w:val="24"/>
      <w:szCs w:val="20"/>
    </w:rPr>
  </w:style>
  <w:style w:type="paragraph" w:customStyle="1" w:styleId="7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Table Paragraph_1"/>
    <w:basedOn w:val="78"/>
    <w:qFormat/>
    <w:uiPriority w:val="0"/>
    <w:pPr>
      <w:jc w:val="left"/>
    </w:pPr>
    <w:rPr>
      <w:kern w:val="0"/>
      <w:sz w:val="22"/>
      <w:lang w:eastAsia="en-US"/>
    </w:rPr>
  </w:style>
  <w:style w:type="paragraph" w:customStyle="1" w:styleId="8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11"/>
    <w:qFormat/>
    <w:uiPriority w:val="0"/>
    <w:pPr>
      <w:widowControl w:val="0"/>
      <w:jc w:val="both"/>
    </w:pPr>
    <w:rPr>
      <w:rFonts w:ascii="Calibri" w:hAnsi="Calibri" w:eastAsia="宋体" w:cs="Times New Roman"/>
      <w:lang w:val="en-US" w:eastAsia="zh-CN" w:bidi="ar-SA"/>
    </w:rPr>
  </w:style>
  <w:style w:type="paragraph" w:customStyle="1" w:styleId="82">
    <w:name w:val="列出段落1"/>
    <w:basedOn w:val="1"/>
    <w:qFormat/>
    <w:uiPriority w:val="0"/>
    <w:pPr>
      <w:ind w:firstLine="420" w:firstLineChars="200"/>
    </w:pPr>
    <w:rPr>
      <w:szCs w:val="21"/>
    </w:rPr>
  </w:style>
  <w:style w:type="paragraph" w:customStyle="1" w:styleId="83">
    <w:name w:val="xl31"/>
    <w:basedOn w:val="1"/>
    <w:qFormat/>
    <w:uiPriority w:val="0"/>
    <w:pPr>
      <w:widowControl/>
      <w:spacing w:before="100" w:beforeAutospacing="1" w:after="100" w:afterAutospacing="1"/>
      <w:jc w:val="center"/>
    </w:pPr>
    <w:rPr>
      <w:b/>
      <w:bCs/>
      <w:kern w:val="0"/>
      <w:sz w:val="28"/>
      <w:szCs w:val="28"/>
    </w:rPr>
  </w:style>
  <w:style w:type="paragraph" w:customStyle="1" w:styleId="84">
    <w:name w:val="正文2"/>
    <w:basedOn w:val="1"/>
    <w:qFormat/>
    <w:uiPriority w:val="0"/>
    <w:pPr>
      <w:spacing w:before="156"/>
      <w:ind w:firstLine="510" w:firstLineChars="200"/>
    </w:pPr>
    <w:rPr>
      <w:szCs w:val="20"/>
    </w:rPr>
  </w:style>
  <w:style w:type="paragraph" w:customStyle="1" w:styleId="85">
    <w:name w:val="Char Char Char Char Char Char Char1 Char"/>
    <w:basedOn w:val="1"/>
    <w:qFormat/>
    <w:uiPriority w:val="0"/>
    <w:rPr>
      <w:rFonts w:ascii="Arial" w:hAnsi="Arial" w:cs="Arial"/>
    </w:rPr>
  </w:style>
  <w:style w:type="paragraph" w:customStyle="1" w:styleId="86">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8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缩进1"/>
    <w:basedOn w:val="1"/>
    <w:qFormat/>
    <w:uiPriority w:val="0"/>
    <w:pPr>
      <w:ind w:firstLine="420"/>
    </w:pPr>
  </w:style>
  <w:style w:type="paragraph" w:customStyle="1" w:styleId="89">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90">
    <w:name w:val="Table Paragraph"/>
    <w:basedOn w:val="1"/>
    <w:qFormat/>
    <w:uiPriority w:val="1"/>
    <w:rPr>
      <w:rFonts w:ascii="宋体" w:hAnsi="宋体" w:eastAsia="宋体" w:cs="宋体"/>
      <w:lang w:val="en-US" w:eastAsia="zh-CN" w:bidi="ar-SA"/>
    </w:rPr>
  </w:style>
  <w:style w:type="table" w:customStyle="1" w:styleId="91">
    <w:name w:val="Table Normal"/>
    <w:unhideWhenUsed/>
    <w:qFormat/>
    <w:uiPriority w:val="0"/>
    <w:tblPr>
      <w:tblCellMar>
        <w:top w:w="0" w:type="dxa"/>
        <w:left w:w="0" w:type="dxa"/>
        <w:bottom w:w="0" w:type="dxa"/>
        <w:right w:w="0" w:type="dxa"/>
      </w:tblCellMar>
    </w:tblPr>
  </w:style>
  <w:style w:type="character" w:customStyle="1" w:styleId="92">
    <w:name w:val="font101"/>
    <w:basedOn w:val="37"/>
    <w:qFormat/>
    <w:uiPriority w:val="0"/>
    <w:rPr>
      <w:rFonts w:hint="eastAsia" w:ascii="宋体" w:hAnsi="宋体" w:eastAsia="宋体" w:cs="宋体"/>
      <w:b/>
      <w:color w:val="000000"/>
      <w:sz w:val="32"/>
      <w:szCs w:val="32"/>
      <w:u w:val="none"/>
    </w:rPr>
  </w:style>
  <w:style w:type="paragraph" w:customStyle="1" w:styleId="93">
    <w:name w:val=" 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94">
    <w:name w:val="Table Text"/>
    <w:basedOn w:val="1"/>
    <w:semiHidden/>
    <w:qFormat/>
    <w:uiPriority w:val="0"/>
    <w:rPr>
      <w:rFonts w:ascii="宋体" w:hAnsi="宋体" w:eastAsia="宋体" w:cs="宋体"/>
      <w:sz w:val="28"/>
      <w:szCs w:val="28"/>
      <w:lang w:val="en-US" w:eastAsia="en-US" w:bidi="ar-SA"/>
    </w:rPr>
  </w:style>
  <w:style w:type="paragraph" w:customStyle="1" w:styleId="95">
    <w:name w:val="Heading 21"/>
    <w:basedOn w:val="1"/>
    <w:next w:val="1"/>
    <w:qFormat/>
    <w:uiPriority w:val="0"/>
    <w:pPr>
      <w:widowControl/>
      <w:numPr>
        <w:ilvl w:val="1"/>
        <w:numId w:val="4"/>
      </w:numPr>
      <w:spacing w:before="280" w:after="280"/>
      <w:jc w:val="left"/>
      <w:outlineLvl w:val="1"/>
    </w:pPr>
    <w:rPr>
      <w:rFonts w:ascii="宋体;SimSun" w:hAnsi="宋体;SimSun" w:cs="宋体;SimSun"/>
      <w:b/>
      <w:bCs/>
      <w:kern w:val="0"/>
      <w:sz w:val="36"/>
      <w:szCs w:val="36"/>
    </w:rPr>
  </w:style>
  <w:style w:type="paragraph" w:customStyle="1" w:styleId="96">
    <w:name w:val="Header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7">
    <w:name w:val="font112"/>
    <w:basedOn w:val="37"/>
    <w:qFormat/>
    <w:uiPriority w:val="0"/>
    <w:rPr>
      <w:rFonts w:hint="eastAsia" w:ascii="宋体" w:hAnsi="宋体" w:eastAsia="宋体" w:cs="宋体"/>
      <w:color w:val="FF0000"/>
      <w:sz w:val="22"/>
      <w:szCs w:val="22"/>
      <w:u w:val="none"/>
    </w:rPr>
  </w:style>
  <w:style w:type="character" w:customStyle="1" w:styleId="98">
    <w:name w:val="font41"/>
    <w:basedOn w:val="37"/>
    <w:qFormat/>
    <w:uiPriority w:val="0"/>
    <w:rPr>
      <w:rFonts w:hint="eastAsia" w:ascii="宋体" w:hAnsi="宋体" w:eastAsia="宋体" w:cs="宋体"/>
      <w:color w:val="000000"/>
      <w:sz w:val="22"/>
      <w:szCs w:val="22"/>
      <w:u w:val="none"/>
    </w:rPr>
  </w:style>
  <w:style w:type="character" w:customStyle="1" w:styleId="99">
    <w:name w:val="font181"/>
    <w:basedOn w:val="37"/>
    <w:qFormat/>
    <w:uiPriority w:val="0"/>
    <w:rPr>
      <w:rFonts w:hint="eastAsia" w:ascii="宋体" w:hAnsi="宋体" w:eastAsia="宋体" w:cs="宋体"/>
      <w:color w:val="FF0000"/>
      <w:sz w:val="22"/>
      <w:szCs w:val="22"/>
      <w:u w:val="none"/>
    </w:rPr>
  </w:style>
  <w:style w:type="character" w:customStyle="1" w:styleId="100">
    <w:name w:val="font141"/>
    <w:basedOn w:val="37"/>
    <w:qFormat/>
    <w:uiPriority w:val="0"/>
    <w:rPr>
      <w:rFonts w:hint="eastAsia" w:ascii="宋体" w:hAnsi="宋体" w:eastAsia="宋体" w:cs="宋体"/>
      <w:color w:val="00000A"/>
      <w:sz w:val="22"/>
      <w:szCs w:val="22"/>
      <w:u w:val="none"/>
    </w:rPr>
  </w:style>
  <w:style w:type="paragraph" w:customStyle="1" w:styleId="101">
    <w:name w:val="无间隔1"/>
    <w:qFormat/>
    <w:uiPriority w:val="99"/>
    <w:pPr>
      <w:widowControl w:val="0"/>
      <w:spacing w:after="200" w:line="276" w:lineRule="auto"/>
      <w:jc w:val="both"/>
    </w:pPr>
    <w:rPr>
      <w:rFonts w:ascii="Times New Roman" w:hAnsi="Times New Roman" w:eastAsia="黑体" w:cs="Times New Roman"/>
      <w:sz w:val="18"/>
      <w:szCs w:val="18"/>
      <w:lang w:val="en-US" w:eastAsia="en-US" w:bidi="en-US"/>
    </w:rPr>
  </w:style>
  <w:style w:type="character" w:customStyle="1" w:styleId="102">
    <w:name w:val="font132"/>
    <w:basedOn w:val="37"/>
    <w:qFormat/>
    <w:uiPriority w:val="0"/>
    <w:rPr>
      <w:rFonts w:hint="default" w:ascii="Times New Roman" w:hAnsi="Times New Roman" w:cs="Times New Roman"/>
      <w:b/>
      <w:bCs/>
      <w:color w:val="000000"/>
      <w:sz w:val="18"/>
      <w:szCs w:val="18"/>
      <w:u w:val="none"/>
    </w:rPr>
  </w:style>
  <w:style w:type="character" w:customStyle="1" w:styleId="103">
    <w:name w:val="font111"/>
    <w:basedOn w:val="37"/>
    <w:qFormat/>
    <w:uiPriority w:val="0"/>
    <w:rPr>
      <w:rFonts w:hint="default" w:ascii="PingFang SC" w:hAnsi="PingFang SC" w:eastAsia="PingFang SC" w:cs="PingFang SC"/>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6517</Words>
  <Characters>7238</Characters>
  <Lines>453</Lines>
  <Paragraphs>127</Paragraphs>
  <TotalTime>27</TotalTime>
  <ScaleCrop>false</ScaleCrop>
  <LinksUpToDate>false</LinksUpToDate>
  <CharactersWithSpaces>7644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2025-03-06T11:06:00Z</dcterms:created>
  <dc:creator>admin</dc:creator>
  <cp:lastModifiedBy>暮紫如月</cp:lastModifiedBy>
  <cp:lastPrinted>2025-04-20T10:11:00Z</cp:lastPrinted>
  <dcterms:modified xsi:type="dcterms:W3CDTF">2026-05-22T07:55:01Z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E12B06365D3F4ED9AB490EAAFB5570C2_13</vt:lpwstr>
  </property>
  <property fmtid="{D5CDD505-2E9C-101B-9397-08002B2CF9AE}" pid="4" name="KSOTemplateDocerSaveRecord">
    <vt:lpwstr>eyJoZGlkIjoiNWIyN2E4YWQyMzVkNDA1ZTY1ZDE2M2M3MmVjZTZkMDMiLCJ1c2VySWQiOiI0ODAzNDIyMzAifQ==</vt:lpwstr>
  </property>
</Properties>
</file>