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6EE028">
      <w:pPr>
        <w:shd w:val="clear"/>
        <w:ind w:firstLine="442"/>
        <w:jc w:val="center"/>
        <w:rPr>
          <w:rFonts w:hint="eastAsia" w:ascii="宋体" w:hAnsi="宋体" w:cs="宋体"/>
          <w:b/>
          <w:bCs/>
          <w:color w:val="auto"/>
          <w:sz w:val="44"/>
          <w:szCs w:val="44"/>
          <w:highlight w:val="none"/>
        </w:rPr>
      </w:pPr>
    </w:p>
    <w:p w14:paraId="5868F644">
      <w:pPr>
        <w:shd w:val="clear"/>
        <w:ind w:firstLine="442"/>
        <w:jc w:val="center"/>
        <w:rPr>
          <w:rFonts w:hint="eastAsia" w:ascii="宋体" w:hAnsi="宋体" w:cs="宋体"/>
          <w:b/>
          <w:bCs/>
          <w:color w:val="auto"/>
          <w:sz w:val="72"/>
          <w:szCs w:val="72"/>
          <w:highlight w:val="none"/>
        </w:rPr>
      </w:pPr>
    </w:p>
    <w:p w14:paraId="29804C87">
      <w:pPr>
        <w:shd w:val="clear"/>
        <w:ind w:firstLine="442"/>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浙江大学医学院附属第四医院</w:t>
      </w:r>
    </w:p>
    <w:p w14:paraId="7744CE75">
      <w:pPr>
        <w:shd w:val="clear"/>
        <w:ind w:firstLine="442"/>
        <w:jc w:val="center"/>
        <w:rPr>
          <w:rFonts w:hint="eastAsia" w:ascii="宋体" w:hAnsi="宋体" w:cs="宋体"/>
          <w:b/>
          <w:bCs/>
          <w:color w:val="auto"/>
          <w:sz w:val="72"/>
          <w:szCs w:val="72"/>
          <w:highlight w:val="none"/>
        </w:rPr>
      </w:pPr>
    </w:p>
    <w:p w14:paraId="6BF073C6">
      <w:pPr>
        <w:shd w:val="clear"/>
        <w:ind w:firstLine="442"/>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放射安全防护技术服务</w:t>
      </w:r>
    </w:p>
    <w:p w14:paraId="4504E968">
      <w:pPr>
        <w:shd w:val="clear"/>
        <w:tabs>
          <w:tab w:val="center" w:pos="4677"/>
          <w:tab w:val="left" w:pos="7365"/>
        </w:tabs>
        <w:jc w:val="center"/>
        <w:rPr>
          <w:rFonts w:hint="eastAsia" w:ascii="宋体" w:hAnsi="宋体" w:cs="宋体"/>
          <w:b/>
          <w:bCs/>
          <w:color w:val="auto"/>
          <w:sz w:val="36"/>
          <w:szCs w:val="36"/>
          <w:highlight w:val="none"/>
        </w:rPr>
      </w:pPr>
    </w:p>
    <w:p w14:paraId="784340D5">
      <w:pPr>
        <w:shd w:val="clear"/>
        <w:tabs>
          <w:tab w:val="center" w:pos="4677"/>
          <w:tab w:val="left" w:pos="7365"/>
        </w:tabs>
        <w:jc w:val="center"/>
        <w:rPr>
          <w:rFonts w:hint="eastAsia" w:ascii="宋体" w:hAnsi="宋体" w:cs="宋体"/>
          <w:b/>
          <w:bCs/>
          <w:color w:val="auto"/>
          <w:sz w:val="36"/>
          <w:szCs w:val="36"/>
          <w:highlight w:val="none"/>
        </w:rPr>
      </w:pPr>
    </w:p>
    <w:p w14:paraId="6220E74C">
      <w:pPr>
        <w:shd w:val="clear"/>
        <w:tabs>
          <w:tab w:val="center" w:pos="4677"/>
          <w:tab w:val="left" w:pos="7365"/>
        </w:tabs>
        <w:jc w:val="center"/>
        <w:rPr>
          <w:rFonts w:hint="eastAsia" w:ascii="宋体" w:hAnsi="宋体" w:cs="宋体"/>
          <w:color w:val="auto"/>
          <w:sz w:val="52"/>
          <w:highlight w:val="none"/>
        </w:rPr>
      </w:pPr>
      <w:r>
        <w:rPr>
          <w:rFonts w:hint="eastAsia" w:ascii="宋体" w:hAnsi="宋体" w:cs="宋体"/>
          <w:b/>
          <w:bCs/>
          <w:color w:val="auto"/>
          <w:sz w:val="72"/>
          <w:highlight w:val="none"/>
        </w:rPr>
        <w:t>招标文件</w:t>
      </w:r>
    </w:p>
    <w:p w14:paraId="353C35D1">
      <w:pPr>
        <w:shd w:val="clear"/>
        <w:jc w:val="center"/>
        <w:rPr>
          <w:rFonts w:hint="eastAsia" w:ascii="宋体" w:hAnsi="宋体" w:cs="宋体"/>
          <w:b/>
          <w:bCs/>
          <w:color w:val="auto"/>
          <w:sz w:val="32"/>
          <w:highlight w:val="none"/>
        </w:rPr>
      </w:pPr>
    </w:p>
    <w:p w14:paraId="3ADE0E63">
      <w:pPr>
        <w:shd w:val="clear"/>
        <w:jc w:val="center"/>
        <w:rPr>
          <w:rFonts w:hint="eastAsia" w:ascii="宋体" w:hAnsi="宋体" w:cs="宋体"/>
          <w:b/>
          <w:bCs/>
          <w:color w:val="auto"/>
          <w:sz w:val="32"/>
          <w:highlight w:val="none"/>
        </w:rPr>
      </w:pPr>
    </w:p>
    <w:p w14:paraId="318598C9">
      <w:pPr>
        <w:shd w:val="clear"/>
        <w:jc w:val="center"/>
        <w:rPr>
          <w:rFonts w:hint="eastAsia" w:ascii="宋体" w:hAnsi="宋体" w:cs="宋体"/>
          <w:b/>
          <w:bCs/>
          <w:color w:val="auto"/>
          <w:sz w:val="32"/>
          <w:highlight w:val="none"/>
        </w:rPr>
      </w:pPr>
    </w:p>
    <w:p w14:paraId="46820981">
      <w:pPr>
        <w:shd w:val="clear"/>
        <w:jc w:val="center"/>
        <w:rPr>
          <w:rFonts w:hint="eastAsia" w:ascii="宋体" w:hAnsi="宋体" w:eastAsia="宋体" w:cs="宋体"/>
          <w:b/>
          <w:bCs/>
          <w:color w:val="auto"/>
          <w:sz w:val="32"/>
          <w:highlight w:val="none"/>
          <w:u w:val="single"/>
          <w:lang w:eastAsia="zh-CN"/>
        </w:rPr>
      </w:pPr>
      <w:r>
        <w:rPr>
          <w:rFonts w:hint="eastAsia" w:ascii="宋体" w:hAnsi="宋体" w:cs="宋体"/>
          <w:b/>
          <w:bCs/>
          <w:color w:val="auto"/>
          <w:sz w:val="32"/>
          <w:highlight w:val="none"/>
        </w:rPr>
        <w:t>采购编号：</w:t>
      </w:r>
      <w:bookmarkStart w:id="52" w:name="_GoBack"/>
      <w:r>
        <w:rPr>
          <w:rFonts w:hint="eastAsia" w:ascii="宋体" w:hAnsi="宋体" w:cs="宋体"/>
          <w:b/>
          <w:color w:val="auto"/>
          <w:sz w:val="32"/>
          <w:highlight w:val="none"/>
          <w:lang w:eastAsia="zh-CN"/>
        </w:rPr>
        <w:t>330782260529180000011-QSZBYW260080ZFGK</w:t>
      </w:r>
      <w:bookmarkEnd w:id="52"/>
    </w:p>
    <w:p w14:paraId="50ACD43B">
      <w:pPr>
        <w:shd w:val="clear"/>
        <w:jc w:val="center"/>
        <w:rPr>
          <w:rFonts w:hint="eastAsia" w:ascii="宋体" w:hAnsi="宋体" w:cs="宋体"/>
          <w:b/>
          <w:bCs/>
          <w:color w:val="auto"/>
          <w:sz w:val="32"/>
          <w:highlight w:val="none"/>
        </w:rPr>
      </w:pPr>
    </w:p>
    <w:p w14:paraId="6B3B2021">
      <w:pPr>
        <w:shd w:val="clear"/>
        <w:jc w:val="center"/>
        <w:rPr>
          <w:rFonts w:hint="eastAsia" w:ascii="宋体" w:hAnsi="宋体" w:cs="宋体"/>
          <w:b/>
          <w:bCs/>
          <w:color w:val="auto"/>
          <w:sz w:val="36"/>
          <w:highlight w:val="none"/>
        </w:rPr>
      </w:pPr>
    </w:p>
    <w:p w14:paraId="7C26B3CD">
      <w:pPr>
        <w:shd w:val="clear"/>
        <w:rPr>
          <w:rFonts w:hint="eastAsia" w:ascii="宋体" w:hAnsi="宋体" w:cs="宋体"/>
          <w:color w:val="auto"/>
          <w:highlight w:val="none"/>
        </w:rPr>
      </w:pPr>
    </w:p>
    <w:p w14:paraId="7252260C">
      <w:pPr>
        <w:pStyle w:val="13"/>
        <w:shd w:val="clear"/>
        <w:rPr>
          <w:rFonts w:hint="eastAsia"/>
          <w:color w:val="auto"/>
          <w:highlight w:val="none"/>
        </w:rPr>
      </w:pPr>
    </w:p>
    <w:p w14:paraId="0C10A6FE">
      <w:pPr>
        <w:shd w:val="clear"/>
        <w:jc w:val="center"/>
        <w:rPr>
          <w:rFonts w:hint="eastAsia" w:ascii="宋体" w:hAnsi="宋体" w:cs="宋体"/>
          <w:b/>
          <w:bCs/>
          <w:color w:val="auto"/>
          <w:sz w:val="36"/>
          <w:highlight w:val="none"/>
        </w:rPr>
      </w:pPr>
    </w:p>
    <w:p w14:paraId="52FBF72D">
      <w:pPr>
        <w:shd w:val="clear"/>
        <w:jc w:val="center"/>
        <w:rPr>
          <w:rFonts w:hint="eastAsia" w:ascii="宋体" w:hAnsi="宋体" w:cs="宋体"/>
          <w:b/>
          <w:bCs/>
          <w:color w:val="auto"/>
          <w:sz w:val="36"/>
          <w:highlight w:val="none"/>
        </w:rPr>
      </w:pPr>
    </w:p>
    <w:p w14:paraId="3E98D9C5">
      <w:pPr>
        <w:shd w:val="clear"/>
        <w:jc w:val="center"/>
        <w:rPr>
          <w:rFonts w:hint="eastAsia" w:ascii="宋体" w:hAnsi="宋体" w:cs="宋体"/>
          <w:b/>
          <w:bCs/>
          <w:color w:val="auto"/>
          <w:sz w:val="36"/>
          <w:highlight w:val="none"/>
        </w:rPr>
      </w:pPr>
      <w:r>
        <w:rPr>
          <w:rFonts w:hint="eastAsia" w:ascii="宋体" w:hAnsi="宋体" w:cs="宋体"/>
          <w:b/>
          <w:bCs/>
          <w:color w:val="auto"/>
          <w:sz w:val="36"/>
          <w:highlight w:val="none"/>
        </w:rPr>
        <w:t>浙江大学医学院附属第四医院</w:t>
      </w:r>
    </w:p>
    <w:p w14:paraId="35C639FB">
      <w:pPr>
        <w:shd w:val="clear"/>
        <w:jc w:val="center"/>
        <w:rPr>
          <w:rFonts w:hint="eastAsia" w:ascii="宋体" w:hAnsi="宋体" w:cs="宋体"/>
          <w:b/>
          <w:bCs/>
          <w:color w:val="auto"/>
          <w:sz w:val="36"/>
          <w:highlight w:val="none"/>
        </w:rPr>
      </w:pPr>
      <w:r>
        <w:rPr>
          <w:rFonts w:hint="eastAsia" w:ascii="宋体" w:hAnsi="宋体" w:cs="宋体"/>
          <w:b/>
          <w:bCs/>
          <w:color w:val="auto"/>
          <w:sz w:val="36"/>
          <w:highlight w:val="none"/>
        </w:rPr>
        <w:t>浙江求是招标代理有限公司</w:t>
      </w:r>
    </w:p>
    <w:p w14:paraId="06059AC3">
      <w:pPr>
        <w:shd w:val="clear"/>
        <w:jc w:val="center"/>
        <w:rPr>
          <w:rFonts w:hint="eastAsia" w:ascii="宋体" w:hAnsi="宋体" w:cs="宋体"/>
          <w:b/>
          <w:color w:val="auto"/>
          <w:sz w:val="36"/>
          <w:highlight w:val="none"/>
        </w:rPr>
      </w:pPr>
      <w:r>
        <w:rPr>
          <w:rFonts w:hint="eastAsia" w:ascii="宋体" w:hAnsi="宋体" w:cs="宋体"/>
          <w:b/>
          <w:bCs/>
          <w:color w:val="auto"/>
          <w:sz w:val="36"/>
          <w:highlight w:val="none"/>
        </w:rPr>
        <w:t>2026年</w:t>
      </w:r>
      <w:r>
        <w:rPr>
          <w:rFonts w:hint="eastAsia" w:ascii="宋体" w:hAnsi="宋体" w:cs="宋体"/>
          <w:b/>
          <w:bCs/>
          <w:color w:val="auto"/>
          <w:sz w:val="36"/>
          <w:highlight w:val="none"/>
          <w:lang w:val="en-US" w:eastAsia="zh-CN"/>
        </w:rPr>
        <w:t>4</w:t>
      </w:r>
      <w:r>
        <w:rPr>
          <w:rFonts w:hint="eastAsia" w:ascii="宋体" w:hAnsi="宋体" w:cs="宋体"/>
          <w:b/>
          <w:bCs/>
          <w:color w:val="auto"/>
          <w:sz w:val="36"/>
          <w:highlight w:val="none"/>
        </w:rPr>
        <w:t>月</w:t>
      </w:r>
    </w:p>
    <w:p w14:paraId="6E468E9F">
      <w:pPr>
        <w:shd w:val="clear"/>
        <w:rPr>
          <w:rFonts w:hint="eastAsia" w:ascii="宋体" w:hAnsi="宋体" w:cs="宋体"/>
          <w:b/>
          <w:color w:val="auto"/>
          <w:sz w:val="44"/>
          <w:szCs w:val="44"/>
          <w:highlight w:val="none"/>
        </w:rPr>
      </w:pPr>
    </w:p>
    <w:p w14:paraId="5783DACA">
      <w:pPr>
        <w:pStyle w:val="5"/>
        <w:shd w:val="clear"/>
        <w:rPr>
          <w:rFonts w:hint="eastAsia" w:ascii="宋体" w:hAnsi="宋体" w:cs="宋体"/>
          <w:color w:val="auto"/>
          <w:highlight w:val="none"/>
        </w:rPr>
        <w:sectPr>
          <w:headerReference r:id="rId3" w:type="default"/>
          <w:footerReference r:id="rId5" w:type="default"/>
          <w:headerReference r:id="rId4" w:type="even"/>
          <w:footerReference r:id="rId6" w:type="even"/>
          <w:pgSz w:w="12240" w:h="15840"/>
          <w:pgMar w:top="873" w:right="1134" w:bottom="1157" w:left="1134" w:header="720" w:footer="720" w:gutter="0"/>
          <w:cols w:space="720" w:num="1"/>
          <w:titlePg/>
          <w:docGrid w:linePitch="312" w:charSpace="0"/>
        </w:sectPr>
      </w:pPr>
    </w:p>
    <w:p w14:paraId="7922F7C7">
      <w:pPr>
        <w:pStyle w:val="15"/>
        <w:shd w:val="clear"/>
        <w:spacing w:before="120" w:after="120" w:line="360" w:lineRule="auto"/>
        <w:ind w:firstLine="883" w:firstLineChars="200"/>
        <w:jc w:val="center"/>
        <w:rPr>
          <w:rFonts w:hint="eastAsia" w:hAnsi="宋体" w:cs="宋体"/>
          <w:b/>
          <w:color w:val="auto"/>
          <w:sz w:val="44"/>
          <w:szCs w:val="44"/>
          <w:highlight w:val="none"/>
        </w:rPr>
      </w:pPr>
      <w:r>
        <w:rPr>
          <w:rFonts w:hint="eastAsia" w:hAnsi="宋体" w:cs="宋体"/>
          <w:b/>
          <w:color w:val="auto"/>
          <w:sz w:val="44"/>
          <w:szCs w:val="44"/>
          <w:highlight w:val="none"/>
        </w:rPr>
        <w:t>招标文件目录</w:t>
      </w:r>
    </w:p>
    <w:p w14:paraId="15AE3C69">
      <w:pPr>
        <w:pStyle w:val="21"/>
        <w:shd w:val="clear"/>
        <w:rPr>
          <w:rFonts w:hint="eastAsia" w:ascii="宋体" w:hAnsi="宋体" w:cs="宋体"/>
          <w:b/>
          <w:color w:val="auto"/>
          <w:highlight w:val="none"/>
        </w:rPr>
      </w:pPr>
    </w:p>
    <w:p w14:paraId="1E3EE9AA">
      <w:pPr>
        <w:pStyle w:val="21"/>
        <w:shd w:val="clear"/>
        <w:rPr>
          <w:rFonts w:hint="eastAsia" w:ascii="宋体" w:hAnsi="宋体" w:cs="宋体"/>
          <w:b/>
          <w:bCs/>
          <w:color w:val="auto"/>
          <w:sz w:val="21"/>
          <w:highlight w:val="none"/>
        </w:rPr>
      </w:pPr>
      <w:r>
        <w:rPr>
          <w:rFonts w:hint="eastAsia" w:ascii="宋体" w:hAnsi="宋体" w:cs="宋体"/>
          <w:b/>
          <w:color w:val="auto"/>
          <w:highlight w:val="none"/>
        </w:rPr>
        <w:fldChar w:fldCharType="begin"/>
      </w:r>
      <w:r>
        <w:rPr>
          <w:rFonts w:hint="eastAsia" w:ascii="宋体" w:hAnsi="宋体" w:cs="宋体"/>
          <w:b/>
          <w:color w:val="auto"/>
          <w:highlight w:val="none"/>
        </w:rPr>
        <w:instrText xml:space="preserve"> TOC \o "1-3" \h \z \u </w:instrText>
      </w:r>
      <w:r>
        <w:rPr>
          <w:rFonts w:hint="eastAsia" w:ascii="宋体" w:hAnsi="宋体" w:cs="宋体"/>
          <w:b/>
          <w:color w:val="auto"/>
          <w:highlight w:val="none"/>
        </w:rPr>
        <w:fldChar w:fldCharType="separate"/>
      </w:r>
      <w:r>
        <w:rPr>
          <w:rFonts w:hint="eastAsia" w:ascii="宋体" w:hAnsi="宋体" w:cs="宋体"/>
          <w:color w:val="auto"/>
          <w:highlight w:val="none"/>
        </w:rPr>
        <w:fldChar w:fldCharType="begin"/>
      </w:r>
      <w:r>
        <w:rPr>
          <w:rFonts w:ascii="宋体" w:hAnsi="宋体" w:cs="宋体"/>
          <w:color w:val="auto"/>
          <w:highlight w:val="none"/>
        </w:rPr>
        <w:instrText xml:space="preserve">HYPERLINK "../../../Documents and Settings/Administrator/Application Data/Foxmail/FoxmailTemp(26)/动植物招标文件（新版）.doc" \l "_Toc362250684#_Toc362250684"</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第一章　采购公告</w:t>
      </w:r>
      <w:r>
        <w:rPr>
          <w:rFonts w:hint="eastAsia" w:ascii="宋体" w:hAnsi="宋体" w:cs="宋体"/>
          <w:color w:val="auto"/>
          <w:highlight w:val="none"/>
        </w:rPr>
        <w:fldChar w:fldCharType="end"/>
      </w:r>
    </w:p>
    <w:p w14:paraId="30DE8D1A">
      <w:pPr>
        <w:pStyle w:val="21"/>
        <w:shd w:val="clear"/>
        <w:rPr>
          <w:rStyle w:val="36"/>
          <w:rFonts w:hint="eastAsia" w:ascii="宋体" w:hAnsi="宋体" w:cs="宋体"/>
          <w:color w:val="auto"/>
          <w:highlight w:val="none"/>
        </w:rPr>
      </w:pPr>
    </w:p>
    <w:p w14:paraId="03DDB554">
      <w:pPr>
        <w:pStyle w:val="21"/>
        <w:shd w:val="clear"/>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ascii="宋体" w:hAnsi="宋体" w:cs="宋体"/>
          <w:color w:val="auto"/>
          <w:highlight w:val="none"/>
        </w:rPr>
        <w:instrText xml:space="preserve">HYPERLINK "../../../Documents and Settings/Administrator/Application Data/Foxmail/FoxmailTemp(26)/动植物招标文件（新版）.doc" \l "_Toc362250685#_Toc362250685"</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第二章　投标须知和投标须知前附表</w:t>
      </w:r>
      <w:r>
        <w:rPr>
          <w:rFonts w:hint="eastAsia" w:ascii="宋体" w:hAnsi="宋体" w:cs="宋体"/>
          <w:color w:val="auto"/>
          <w:highlight w:val="none"/>
        </w:rPr>
        <w:fldChar w:fldCharType="end"/>
      </w:r>
    </w:p>
    <w:p w14:paraId="7FC41A29">
      <w:pPr>
        <w:pStyle w:val="21"/>
        <w:shd w:val="clear"/>
        <w:rPr>
          <w:rStyle w:val="36"/>
          <w:rFonts w:hint="eastAsia" w:ascii="宋体" w:hAnsi="宋体" w:cs="宋体"/>
          <w:color w:val="auto"/>
          <w:highlight w:val="none"/>
        </w:rPr>
      </w:pPr>
    </w:p>
    <w:p w14:paraId="1CB83F5E">
      <w:pPr>
        <w:pStyle w:val="21"/>
        <w:shd w:val="clear"/>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ascii="宋体" w:hAnsi="宋体" w:cs="宋体"/>
          <w:color w:val="auto"/>
          <w:highlight w:val="none"/>
        </w:rPr>
        <w:instrText xml:space="preserve">HYPERLINK "../../../Documents and Settings/Administrator/Application Data/Foxmail/FoxmailTemp(26)/动植物招标文件（新版）.doc" \l "_Toc362250692#_Toc362250692"</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第三章  招标项目内容及技术要求</w:t>
      </w:r>
      <w:r>
        <w:rPr>
          <w:rFonts w:hint="eastAsia" w:ascii="宋体" w:hAnsi="宋体" w:cs="宋体"/>
          <w:color w:val="auto"/>
          <w:highlight w:val="none"/>
        </w:rPr>
        <w:fldChar w:fldCharType="end"/>
      </w:r>
    </w:p>
    <w:p w14:paraId="537078EB">
      <w:pPr>
        <w:pStyle w:val="21"/>
        <w:shd w:val="clear"/>
        <w:tabs>
          <w:tab w:val="left" w:pos="1260"/>
        </w:tabs>
        <w:rPr>
          <w:rStyle w:val="36"/>
          <w:rFonts w:hint="eastAsia" w:ascii="宋体" w:hAnsi="宋体" w:cs="宋体"/>
          <w:color w:val="auto"/>
          <w:highlight w:val="none"/>
        </w:rPr>
      </w:pPr>
    </w:p>
    <w:p w14:paraId="60F7A959">
      <w:pPr>
        <w:pStyle w:val="21"/>
        <w:shd w:val="clear"/>
        <w:tabs>
          <w:tab w:val="left" w:pos="1020"/>
        </w:tabs>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ascii="宋体" w:hAnsi="宋体" w:cs="宋体"/>
          <w:color w:val="auto"/>
          <w:highlight w:val="none"/>
        </w:rPr>
        <w:instrText xml:space="preserve">HYPERLINK "../../../Documents and Settings/Administrator/Application Data/Foxmail/FoxmailTemp(26)/动植物招标文件（新版）.doc" \l "_Toc362250703#_Toc362250703"</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第四章</w:t>
      </w:r>
      <w:r>
        <w:rPr>
          <w:rStyle w:val="36"/>
          <w:rFonts w:hint="eastAsia" w:ascii="宋体" w:hAnsi="宋体" w:cs="宋体"/>
          <w:b/>
          <w:bCs/>
          <w:color w:val="auto"/>
          <w:sz w:val="21"/>
          <w:highlight w:val="none"/>
          <w:u w:val="none"/>
        </w:rPr>
        <w:tab/>
      </w:r>
      <w:r>
        <w:rPr>
          <w:rStyle w:val="36"/>
          <w:rFonts w:hint="eastAsia" w:ascii="宋体" w:hAnsi="宋体" w:cs="宋体"/>
          <w:color w:val="auto"/>
          <w:highlight w:val="none"/>
        </w:rPr>
        <w:t>开标、评标和定标须知</w:t>
      </w:r>
      <w:r>
        <w:rPr>
          <w:rFonts w:hint="eastAsia" w:ascii="宋体" w:hAnsi="宋体" w:cs="宋体"/>
          <w:color w:val="auto"/>
          <w:highlight w:val="none"/>
        </w:rPr>
        <w:fldChar w:fldCharType="end"/>
      </w:r>
    </w:p>
    <w:p w14:paraId="194670F9">
      <w:pPr>
        <w:pStyle w:val="21"/>
        <w:shd w:val="clear"/>
        <w:rPr>
          <w:rStyle w:val="36"/>
          <w:rFonts w:hint="eastAsia" w:ascii="宋体" w:hAnsi="宋体" w:cs="宋体"/>
          <w:color w:val="auto"/>
          <w:highlight w:val="none"/>
        </w:rPr>
      </w:pPr>
    </w:p>
    <w:p w14:paraId="66ED1070">
      <w:pPr>
        <w:pStyle w:val="21"/>
        <w:shd w:val="clear"/>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ascii="宋体" w:hAnsi="宋体" w:cs="宋体"/>
          <w:color w:val="auto"/>
          <w:highlight w:val="none"/>
        </w:rPr>
        <w:instrText xml:space="preserve">HYPERLINK "../../../Documents and Settings/Administrator/Application Data/Foxmail/FoxmailTemp(26)/动植物招标文件（新版）.doc" \l "_Toc362250707#_Toc362250707"</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第五章  投标文件的有效性</w:t>
      </w:r>
      <w:r>
        <w:rPr>
          <w:rFonts w:hint="eastAsia" w:ascii="宋体" w:hAnsi="宋体" w:cs="宋体"/>
          <w:color w:val="auto"/>
          <w:highlight w:val="none"/>
        </w:rPr>
        <w:fldChar w:fldCharType="end"/>
      </w:r>
    </w:p>
    <w:p w14:paraId="4E33E29B">
      <w:pPr>
        <w:pStyle w:val="21"/>
        <w:shd w:val="clear"/>
        <w:rPr>
          <w:rStyle w:val="36"/>
          <w:rFonts w:hint="eastAsia" w:ascii="宋体" w:hAnsi="宋体" w:cs="宋体"/>
          <w:color w:val="auto"/>
          <w:highlight w:val="none"/>
        </w:rPr>
      </w:pPr>
    </w:p>
    <w:p w14:paraId="740D34C4">
      <w:pPr>
        <w:pStyle w:val="21"/>
        <w:shd w:val="clear"/>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ascii="宋体" w:hAnsi="宋体" w:cs="宋体"/>
          <w:color w:val="auto"/>
          <w:highlight w:val="none"/>
        </w:rPr>
        <w:instrText xml:space="preserve">HYPERLINK "../../../Documents and Settings/Administrator/Application Data/Foxmail/FoxmailTemp(26)/动植物招标文件（新版）.doc" \l "_Toc362250708#_Toc362250708"</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第六章  评标办法</w:t>
      </w:r>
      <w:r>
        <w:rPr>
          <w:rFonts w:hint="eastAsia" w:ascii="宋体" w:hAnsi="宋体" w:cs="宋体"/>
          <w:color w:val="auto"/>
          <w:highlight w:val="none"/>
        </w:rPr>
        <w:fldChar w:fldCharType="end"/>
      </w:r>
    </w:p>
    <w:p w14:paraId="0689E16B">
      <w:pPr>
        <w:pStyle w:val="21"/>
        <w:shd w:val="clear"/>
        <w:rPr>
          <w:rStyle w:val="36"/>
          <w:rFonts w:hint="eastAsia" w:ascii="宋体" w:hAnsi="宋体" w:cs="宋体"/>
          <w:color w:val="auto"/>
          <w:highlight w:val="none"/>
        </w:rPr>
      </w:pPr>
    </w:p>
    <w:p w14:paraId="7E9FA7B5">
      <w:pPr>
        <w:pStyle w:val="21"/>
        <w:shd w:val="clear"/>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ascii="宋体" w:hAnsi="宋体" w:cs="宋体"/>
          <w:color w:val="auto"/>
          <w:highlight w:val="none"/>
        </w:rPr>
        <w:instrText xml:space="preserve">HYPERLINK "../../../Documents and Settings/Administrator/Application Data/Foxmail/FoxmailTemp(26)/动植物招标文件（新版）.doc" \l "_Toc362250711#_Toc362250711"</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第七章  合同主要条款</w:t>
      </w:r>
      <w:r>
        <w:rPr>
          <w:rFonts w:hint="eastAsia" w:ascii="宋体" w:hAnsi="宋体" w:cs="宋体"/>
          <w:color w:val="auto"/>
          <w:highlight w:val="none"/>
        </w:rPr>
        <w:fldChar w:fldCharType="end"/>
      </w:r>
    </w:p>
    <w:p w14:paraId="086D990A">
      <w:pPr>
        <w:pStyle w:val="21"/>
        <w:shd w:val="clear"/>
        <w:rPr>
          <w:rStyle w:val="36"/>
          <w:rFonts w:hint="eastAsia" w:ascii="宋体" w:hAnsi="宋体" w:cs="宋体"/>
          <w:color w:val="auto"/>
          <w:highlight w:val="none"/>
        </w:rPr>
      </w:pPr>
    </w:p>
    <w:p w14:paraId="7D59CC81">
      <w:pPr>
        <w:pStyle w:val="21"/>
        <w:shd w:val="clear"/>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ascii="宋体" w:hAnsi="宋体" w:cs="宋体"/>
          <w:color w:val="auto"/>
          <w:highlight w:val="none"/>
        </w:rPr>
        <w:instrText xml:space="preserve">HYPERLINK "../../../Documents and Settings/Administrator/Application Data/Foxmail/FoxmailTemp(26)/动植物招标文件（新版）.doc" \l "_Toc362250712#_Toc362250712"</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第八章  投标文件部分格式</w:t>
      </w:r>
      <w:r>
        <w:rPr>
          <w:rFonts w:hint="eastAsia" w:ascii="宋体" w:hAnsi="宋体" w:cs="宋体"/>
          <w:color w:val="auto"/>
          <w:highlight w:val="none"/>
        </w:rPr>
        <w:fldChar w:fldCharType="end"/>
      </w:r>
    </w:p>
    <w:p w14:paraId="448252FD">
      <w:pPr>
        <w:shd w:val="clear"/>
        <w:rPr>
          <w:rFonts w:hint="eastAsia" w:ascii="宋体" w:hAnsi="宋体" w:cs="宋体"/>
          <w:color w:val="auto"/>
          <w:highlight w:val="none"/>
        </w:rPr>
      </w:pPr>
      <w:r>
        <w:rPr>
          <w:rFonts w:hint="eastAsia" w:ascii="宋体" w:hAnsi="宋体" w:cs="宋体"/>
          <w:b/>
          <w:color w:val="auto"/>
          <w:szCs w:val="30"/>
          <w:highlight w:val="none"/>
        </w:rPr>
        <w:fldChar w:fldCharType="end"/>
      </w:r>
    </w:p>
    <w:p w14:paraId="09DD2EA3">
      <w:pPr>
        <w:shd w:val="clear"/>
        <w:rPr>
          <w:rFonts w:hint="eastAsia" w:ascii="宋体" w:hAnsi="宋体" w:cs="宋体"/>
          <w:color w:val="auto"/>
          <w:highlight w:val="none"/>
        </w:rPr>
      </w:pPr>
    </w:p>
    <w:p w14:paraId="790820F7">
      <w:pPr>
        <w:shd w:val="clear"/>
        <w:rPr>
          <w:rFonts w:hint="eastAsia" w:ascii="宋体" w:hAnsi="宋体" w:cs="宋体"/>
          <w:color w:val="auto"/>
          <w:highlight w:val="none"/>
        </w:rPr>
      </w:pPr>
    </w:p>
    <w:p w14:paraId="0593012F">
      <w:pPr>
        <w:shd w:val="clear"/>
        <w:rPr>
          <w:rFonts w:hint="eastAsia" w:ascii="宋体" w:hAnsi="宋体" w:cs="宋体"/>
          <w:color w:val="auto"/>
          <w:highlight w:val="none"/>
        </w:rPr>
      </w:pPr>
    </w:p>
    <w:p w14:paraId="0B9E1568">
      <w:pPr>
        <w:shd w:val="clear"/>
        <w:rPr>
          <w:rFonts w:hint="eastAsia" w:ascii="宋体" w:hAnsi="宋体" w:cs="宋体"/>
          <w:color w:val="auto"/>
          <w:highlight w:val="none"/>
        </w:rPr>
      </w:pPr>
    </w:p>
    <w:p w14:paraId="3DD5AEE5">
      <w:pPr>
        <w:shd w:val="clear"/>
        <w:rPr>
          <w:rFonts w:hint="eastAsia" w:ascii="宋体" w:hAnsi="宋体" w:cs="宋体"/>
          <w:color w:val="auto"/>
          <w:highlight w:val="none"/>
        </w:rPr>
      </w:pPr>
    </w:p>
    <w:p w14:paraId="187FE604">
      <w:pPr>
        <w:shd w:val="clear"/>
        <w:rPr>
          <w:rFonts w:hint="eastAsia" w:ascii="宋体" w:hAnsi="宋体" w:cs="宋体"/>
          <w:color w:val="auto"/>
          <w:highlight w:val="none"/>
        </w:rPr>
      </w:pPr>
    </w:p>
    <w:p w14:paraId="7C865543">
      <w:pPr>
        <w:shd w:val="clear"/>
        <w:rPr>
          <w:rFonts w:hint="eastAsia" w:ascii="宋体" w:hAnsi="宋体" w:cs="宋体"/>
          <w:color w:val="auto"/>
          <w:highlight w:val="none"/>
        </w:rPr>
      </w:pPr>
    </w:p>
    <w:p w14:paraId="6FBA08D6">
      <w:pPr>
        <w:shd w:val="clear"/>
        <w:rPr>
          <w:rFonts w:hint="eastAsia" w:ascii="宋体" w:hAnsi="宋体" w:cs="宋体"/>
          <w:color w:val="auto"/>
          <w:highlight w:val="none"/>
        </w:rPr>
      </w:pPr>
    </w:p>
    <w:p w14:paraId="048D8B73">
      <w:pPr>
        <w:shd w:val="clear"/>
        <w:rPr>
          <w:rFonts w:hint="eastAsia" w:ascii="宋体" w:hAnsi="宋体" w:cs="宋体"/>
          <w:color w:val="auto"/>
          <w:highlight w:val="none"/>
        </w:rPr>
      </w:pPr>
    </w:p>
    <w:p w14:paraId="32A62D45">
      <w:pPr>
        <w:shd w:val="clear"/>
        <w:rPr>
          <w:rFonts w:hint="eastAsia" w:ascii="宋体" w:hAnsi="宋体" w:cs="宋体"/>
          <w:color w:val="auto"/>
          <w:highlight w:val="none"/>
        </w:rPr>
      </w:pPr>
    </w:p>
    <w:p w14:paraId="6D3E0825">
      <w:pPr>
        <w:shd w:val="clear"/>
        <w:rPr>
          <w:rFonts w:hint="eastAsia" w:ascii="宋体" w:hAnsi="宋体" w:cs="宋体"/>
          <w:color w:val="auto"/>
          <w:highlight w:val="none"/>
        </w:rPr>
      </w:pPr>
    </w:p>
    <w:p w14:paraId="0EBF32C9">
      <w:pPr>
        <w:shd w:val="clear"/>
        <w:rPr>
          <w:rFonts w:hint="eastAsia" w:ascii="宋体" w:hAnsi="宋体" w:cs="宋体"/>
          <w:color w:val="auto"/>
          <w:highlight w:val="none"/>
        </w:rPr>
      </w:pPr>
    </w:p>
    <w:p w14:paraId="6E5EC7D3">
      <w:pPr>
        <w:shd w:val="clear"/>
        <w:rPr>
          <w:rFonts w:hint="eastAsia" w:ascii="宋体" w:hAnsi="宋体" w:cs="宋体"/>
          <w:color w:val="auto"/>
          <w:highlight w:val="none"/>
        </w:rPr>
      </w:pPr>
    </w:p>
    <w:p w14:paraId="094C547C">
      <w:pPr>
        <w:shd w:val="clear"/>
        <w:rPr>
          <w:rFonts w:hint="eastAsia" w:ascii="宋体" w:hAnsi="宋体" w:cs="宋体"/>
          <w:color w:val="auto"/>
          <w:highlight w:val="none"/>
        </w:rPr>
      </w:pPr>
    </w:p>
    <w:p w14:paraId="146BA519">
      <w:pPr>
        <w:pStyle w:val="2"/>
        <w:shd w:val="clear"/>
        <w:spacing w:before="0" w:after="0" w:line="360" w:lineRule="exact"/>
        <w:jc w:val="center"/>
        <w:rPr>
          <w:rFonts w:hint="eastAsia" w:ascii="宋体" w:hAnsi="宋体" w:cs="宋体"/>
          <w:color w:val="auto"/>
          <w:sz w:val="36"/>
          <w:highlight w:val="none"/>
        </w:rPr>
        <w:sectPr>
          <w:headerReference r:id="rId7" w:type="default"/>
          <w:footerReference r:id="rId8" w:type="default"/>
          <w:pgSz w:w="12240" w:h="15840"/>
          <w:pgMar w:top="1134" w:right="1134" w:bottom="1134" w:left="1418" w:header="851" w:footer="737" w:gutter="0"/>
          <w:pgNumType w:start="0"/>
          <w:cols w:space="720" w:num="1"/>
          <w:titlePg/>
          <w:docGrid w:linePitch="312" w:charSpace="0"/>
        </w:sectPr>
      </w:pPr>
    </w:p>
    <w:p w14:paraId="6B89DB7E">
      <w:pPr>
        <w:shd w:val="clear"/>
        <w:rPr>
          <w:rFonts w:hint="eastAsia" w:ascii="宋体" w:hAnsi="宋体" w:cs="宋体"/>
          <w:color w:val="auto"/>
          <w:highlight w:val="none"/>
        </w:rPr>
      </w:pPr>
    </w:p>
    <w:p w14:paraId="023F8069">
      <w:pPr>
        <w:pStyle w:val="2"/>
        <w:shd w:val="clear"/>
        <w:spacing w:before="0" w:after="0" w:line="360" w:lineRule="auto"/>
        <w:jc w:val="center"/>
        <w:rPr>
          <w:rFonts w:hint="eastAsia" w:ascii="宋体" w:hAnsi="宋体" w:cs="宋体"/>
          <w:color w:val="auto"/>
          <w:sz w:val="36"/>
          <w:szCs w:val="36"/>
          <w:highlight w:val="none"/>
        </w:rPr>
      </w:pPr>
      <w:r>
        <w:rPr>
          <w:rFonts w:hint="eastAsia" w:ascii="宋体" w:hAnsi="宋体" w:cs="宋体"/>
          <w:color w:val="auto"/>
          <w:sz w:val="36"/>
          <w:highlight w:val="none"/>
        </w:rPr>
        <w:t>第一章　</w:t>
      </w:r>
      <w:r>
        <w:rPr>
          <w:rFonts w:hint="eastAsia" w:ascii="宋体" w:hAnsi="宋体" w:cs="宋体"/>
          <w:color w:val="auto"/>
          <w:sz w:val="36"/>
          <w:szCs w:val="36"/>
          <w:highlight w:val="none"/>
        </w:rPr>
        <w:t>采购公告</w:t>
      </w:r>
    </w:p>
    <w:p w14:paraId="219B8F79">
      <w:pPr>
        <w:shd w:val="clear"/>
        <w:spacing w:line="360" w:lineRule="auto"/>
        <w:ind w:firstLine="600" w:firstLineChars="250"/>
        <w:jc w:val="left"/>
        <w:rPr>
          <w:rFonts w:hint="eastAsia" w:ascii="宋体" w:hAnsi="宋体" w:cs="宋体"/>
          <w:b/>
          <w:bCs/>
          <w:color w:val="auto"/>
          <w:sz w:val="24"/>
          <w:highlight w:val="none"/>
        </w:rPr>
      </w:pPr>
      <w:bookmarkStart w:id="0" w:name="OLE_LINK6"/>
      <w:r>
        <w:rPr>
          <w:rFonts w:hint="eastAsia" w:ascii="宋体" w:hAnsi="宋体" w:cs="宋体"/>
          <w:color w:val="auto"/>
          <w:sz w:val="24"/>
          <w:highlight w:val="none"/>
        </w:rPr>
        <w:t>根据《中华人民共和国政府采购法》等有关规定，浙江求是招标代理有限公司受</w:t>
      </w:r>
      <w:r>
        <w:rPr>
          <w:rFonts w:hint="eastAsia" w:ascii="宋体" w:hAnsi="宋体" w:cs="宋体"/>
          <w:color w:val="auto"/>
          <w:kern w:val="0"/>
          <w:sz w:val="24"/>
          <w:highlight w:val="none"/>
        </w:rPr>
        <w:t>浙江大学医学院附属第四医院</w:t>
      </w:r>
      <w:r>
        <w:rPr>
          <w:rFonts w:hint="eastAsia" w:ascii="宋体" w:hAnsi="宋体" w:cs="宋体"/>
          <w:color w:val="auto"/>
          <w:sz w:val="24"/>
          <w:highlight w:val="none"/>
        </w:rPr>
        <w:t>的委托，</w:t>
      </w:r>
      <w:r>
        <w:rPr>
          <w:rFonts w:hint="eastAsia" w:ascii="宋体" w:hAnsi="宋体" w:cs="宋体"/>
          <w:color w:val="auto"/>
          <w:kern w:val="0"/>
          <w:sz w:val="24"/>
          <w:highlight w:val="none"/>
        </w:rPr>
        <w:t>就浙江大学医学院附属第四医院放射安全防护技术服务</w:t>
      </w:r>
      <w:r>
        <w:rPr>
          <w:rFonts w:hint="eastAsia" w:ascii="宋体" w:hAnsi="宋体" w:cs="宋体"/>
          <w:color w:val="auto"/>
          <w:sz w:val="24"/>
          <w:highlight w:val="none"/>
        </w:rPr>
        <w:t>进行</w:t>
      </w:r>
      <w:r>
        <w:rPr>
          <w:rFonts w:hint="eastAsia" w:ascii="宋体" w:hAnsi="宋体" w:cs="宋体"/>
          <w:bCs/>
          <w:color w:val="auto"/>
          <w:sz w:val="24"/>
          <w:highlight w:val="none"/>
          <w:u w:val="single"/>
        </w:rPr>
        <w:t>公开招标</w:t>
      </w:r>
      <w:r>
        <w:rPr>
          <w:rFonts w:hint="eastAsia" w:ascii="宋体" w:hAnsi="宋体" w:cs="宋体"/>
          <w:color w:val="auto"/>
          <w:sz w:val="24"/>
          <w:highlight w:val="none"/>
        </w:rPr>
        <w:t>采购，欢迎国内合格的投标人参加投标。</w:t>
      </w:r>
    </w:p>
    <w:p w14:paraId="485DD871">
      <w:pPr>
        <w:pStyle w:val="15"/>
        <w:shd w:val="clear"/>
        <w:adjustRightInd w:val="0"/>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一、项目基本情况</w:t>
      </w:r>
    </w:p>
    <w:p w14:paraId="3A347089">
      <w:pPr>
        <w:pStyle w:val="15"/>
        <w:shd w:val="clear"/>
        <w:spacing w:line="360" w:lineRule="auto"/>
        <w:ind w:firstLine="482" w:firstLineChars="200"/>
        <w:rPr>
          <w:rFonts w:hint="eastAsia" w:hAnsi="宋体" w:eastAsia="宋体" w:cs="宋体"/>
          <w:color w:val="auto"/>
          <w:sz w:val="24"/>
          <w:szCs w:val="24"/>
          <w:highlight w:val="none"/>
          <w:lang w:eastAsia="zh-CN"/>
        </w:rPr>
      </w:pPr>
      <w:r>
        <w:rPr>
          <w:rFonts w:hint="eastAsia" w:hAnsi="宋体" w:cs="宋体"/>
          <w:b/>
          <w:color w:val="auto"/>
          <w:sz w:val="24"/>
          <w:szCs w:val="24"/>
          <w:highlight w:val="none"/>
        </w:rPr>
        <w:t>1.采购项目编号：</w:t>
      </w:r>
      <w:r>
        <w:rPr>
          <w:rFonts w:hint="eastAsia" w:hAnsi="宋体" w:cs="宋体"/>
          <w:color w:val="auto"/>
          <w:sz w:val="24"/>
          <w:szCs w:val="24"/>
          <w:highlight w:val="none"/>
          <w:lang w:eastAsia="zh-CN"/>
        </w:rPr>
        <w:t>330782260529180000011-QSZBYW260080ZFGK</w:t>
      </w:r>
    </w:p>
    <w:p w14:paraId="60BACD09">
      <w:pPr>
        <w:shd w:val="clear"/>
        <w:tabs>
          <w:tab w:val="left" w:pos="284"/>
          <w:tab w:val="left" w:pos="720"/>
          <w:tab w:val="left" w:pos="851"/>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2.项目名称：</w:t>
      </w:r>
      <w:r>
        <w:rPr>
          <w:rFonts w:hint="eastAsia" w:ascii="宋体" w:hAnsi="宋体" w:cs="宋体"/>
          <w:color w:val="auto"/>
          <w:kern w:val="0"/>
          <w:sz w:val="24"/>
          <w:highlight w:val="none"/>
        </w:rPr>
        <w:t>浙江大学医学院附属第四医院放射安全防护技术服务</w:t>
      </w:r>
    </w:p>
    <w:p w14:paraId="22B79D0A">
      <w:pPr>
        <w:shd w:val="clear"/>
        <w:tabs>
          <w:tab w:val="left" w:pos="284"/>
          <w:tab w:val="left" w:pos="720"/>
          <w:tab w:val="left" w:pos="851"/>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3.项目预算：</w:t>
      </w:r>
      <w:r>
        <w:rPr>
          <w:rFonts w:hint="eastAsia" w:ascii="宋体" w:hAnsi="宋体" w:cs="宋体"/>
          <w:bCs/>
          <w:color w:val="auto"/>
          <w:sz w:val="24"/>
          <w:highlight w:val="none"/>
        </w:rPr>
        <w:t>800000元，最高限价：800000元</w:t>
      </w:r>
    </w:p>
    <w:p w14:paraId="30DAE60B">
      <w:pPr>
        <w:shd w:val="clear"/>
        <w:tabs>
          <w:tab w:val="left" w:pos="284"/>
          <w:tab w:val="left" w:pos="720"/>
          <w:tab w:val="left" w:pos="851"/>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4.采购需求：</w:t>
      </w:r>
    </w:p>
    <w:tbl>
      <w:tblPr>
        <w:tblStyle w:val="30"/>
        <w:tblW w:w="48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50"/>
        <w:gridCol w:w="811"/>
        <w:gridCol w:w="843"/>
        <w:gridCol w:w="1349"/>
        <w:gridCol w:w="1376"/>
        <w:gridCol w:w="2571"/>
      </w:tblGrid>
      <w:tr w14:paraId="477B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86" w:type="pct"/>
            <w:noWrap w:val="0"/>
            <w:vAlign w:val="center"/>
          </w:tcPr>
          <w:p w14:paraId="6A9D8796">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1010" w:type="pct"/>
            <w:noWrap w:val="0"/>
            <w:vAlign w:val="center"/>
          </w:tcPr>
          <w:p w14:paraId="3E13E537">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sz w:val="24"/>
                <w:szCs w:val="24"/>
                <w:highlight w:val="none"/>
              </w:rPr>
              <w:t>标项内容</w:t>
            </w:r>
          </w:p>
        </w:tc>
        <w:tc>
          <w:tcPr>
            <w:tcW w:w="420" w:type="pct"/>
            <w:noWrap w:val="0"/>
            <w:vAlign w:val="center"/>
          </w:tcPr>
          <w:p w14:paraId="2A469410">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sz w:val="24"/>
                <w:szCs w:val="24"/>
                <w:highlight w:val="none"/>
              </w:rPr>
              <w:t>数量</w:t>
            </w:r>
          </w:p>
        </w:tc>
        <w:tc>
          <w:tcPr>
            <w:tcW w:w="437" w:type="pct"/>
            <w:noWrap w:val="0"/>
            <w:vAlign w:val="center"/>
          </w:tcPr>
          <w:p w14:paraId="6070CCB7">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sz w:val="24"/>
                <w:szCs w:val="24"/>
                <w:highlight w:val="none"/>
              </w:rPr>
              <w:t>单位</w:t>
            </w:r>
          </w:p>
        </w:tc>
        <w:tc>
          <w:tcPr>
            <w:tcW w:w="699" w:type="pct"/>
            <w:noWrap w:val="0"/>
            <w:vAlign w:val="center"/>
          </w:tcPr>
          <w:p w14:paraId="4DCA6804">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sz w:val="24"/>
                <w:szCs w:val="24"/>
                <w:highlight w:val="none"/>
              </w:rPr>
              <w:t>预算金额</w:t>
            </w:r>
          </w:p>
        </w:tc>
        <w:tc>
          <w:tcPr>
            <w:tcW w:w="713" w:type="pct"/>
            <w:noWrap w:val="0"/>
            <w:vAlign w:val="center"/>
          </w:tcPr>
          <w:p w14:paraId="53311AA9">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sz w:val="24"/>
                <w:szCs w:val="24"/>
                <w:highlight w:val="none"/>
              </w:rPr>
              <w:t>最高限价</w:t>
            </w:r>
          </w:p>
        </w:tc>
        <w:tc>
          <w:tcPr>
            <w:tcW w:w="1332" w:type="pct"/>
            <w:noWrap w:val="0"/>
            <w:vAlign w:val="center"/>
          </w:tcPr>
          <w:p w14:paraId="1A0E2818">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sz w:val="24"/>
                <w:szCs w:val="24"/>
                <w:highlight w:val="none"/>
              </w:rPr>
              <w:t>简要服务描述</w:t>
            </w:r>
          </w:p>
        </w:tc>
      </w:tr>
      <w:tr w14:paraId="0D87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386" w:type="pct"/>
            <w:noWrap w:val="0"/>
            <w:vAlign w:val="center"/>
          </w:tcPr>
          <w:p w14:paraId="61DBC19A">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1010" w:type="pct"/>
            <w:noWrap w:val="0"/>
            <w:vAlign w:val="center"/>
          </w:tcPr>
          <w:p w14:paraId="7CF3EE06">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kern w:val="0"/>
                <w:sz w:val="24"/>
                <w:highlight w:val="none"/>
              </w:rPr>
              <w:t>放射安全防护技术服务</w:t>
            </w:r>
          </w:p>
        </w:tc>
        <w:tc>
          <w:tcPr>
            <w:tcW w:w="420" w:type="pct"/>
            <w:noWrap w:val="0"/>
            <w:vAlign w:val="center"/>
          </w:tcPr>
          <w:p w14:paraId="3CB0D462">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437" w:type="pct"/>
            <w:noWrap w:val="0"/>
            <w:vAlign w:val="center"/>
          </w:tcPr>
          <w:p w14:paraId="4F2CC426">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sz w:val="24"/>
                <w:szCs w:val="24"/>
                <w:highlight w:val="none"/>
              </w:rPr>
              <w:t>项</w:t>
            </w:r>
          </w:p>
        </w:tc>
        <w:tc>
          <w:tcPr>
            <w:tcW w:w="699" w:type="pct"/>
            <w:noWrap w:val="0"/>
            <w:vAlign w:val="center"/>
          </w:tcPr>
          <w:p w14:paraId="68176A18">
            <w:pPr>
              <w:pStyle w:val="15"/>
              <w:shd w:val="clear"/>
              <w:adjustRightInd w:val="0"/>
              <w:snapToGrid w:val="0"/>
              <w:jc w:val="center"/>
              <w:rPr>
                <w:rFonts w:hint="eastAsia" w:hAnsi="宋体" w:cs="宋体"/>
                <w:color w:val="auto"/>
                <w:sz w:val="24"/>
                <w:szCs w:val="24"/>
                <w:highlight w:val="none"/>
              </w:rPr>
            </w:pPr>
            <w:r>
              <w:rPr>
                <w:rFonts w:hint="eastAsia" w:hAnsi="宋体" w:cs="宋体"/>
                <w:bCs/>
                <w:color w:val="auto"/>
                <w:sz w:val="24"/>
                <w:highlight w:val="none"/>
              </w:rPr>
              <w:t>800000</w:t>
            </w:r>
            <w:r>
              <w:rPr>
                <w:rFonts w:hint="eastAsia" w:hAnsi="宋体" w:cs="宋体"/>
                <w:color w:val="auto"/>
                <w:sz w:val="24"/>
                <w:szCs w:val="24"/>
                <w:highlight w:val="none"/>
              </w:rPr>
              <w:t>元</w:t>
            </w:r>
          </w:p>
        </w:tc>
        <w:tc>
          <w:tcPr>
            <w:tcW w:w="713" w:type="pct"/>
            <w:noWrap w:val="0"/>
            <w:vAlign w:val="center"/>
          </w:tcPr>
          <w:p w14:paraId="4318A868">
            <w:pPr>
              <w:pStyle w:val="15"/>
              <w:shd w:val="clear"/>
              <w:adjustRightInd w:val="0"/>
              <w:snapToGrid w:val="0"/>
              <w:jc w:val="center"/>
              <w:rPr>
                <w:rFonts w:hint="eastAsia" w:hAnsi="宋体" w:cs="宋体"/>
                <w:color w:val="auto"/>
                <w:sz w:val="24"/>
                <w:szCs w:val="24"/>
                <w:highlight w:val="none"/>
              </w:rPr>
            </w:pPr>
            <w:r>
              <w:rPr>
                <w:rFonts w:hint="eastAsia" w:hAnsi="宋体" w:cs="宋体"/>
                <w:bCs/>
                <w:color w:val="auto"/>
                <w:sz w:val="24"/>
                <w:highlight w:val="none"/>
              </w:rPr>
              <w:t>800000</w:t>
            </w:r>
            <w:r>
              <w:rPr>
                <w:rFonts w:hint="eastAsia" w:hAnsi="宋体" w:cs="宋体"/>
                <w:color w:val="auto"/>
                <w:sz w:val="24"/>
                <w:szCs w:val="24"/>
                <w:highlight w:val="none"/>
              </w:rPr>
              <w:t>元</w:t>
            </w:r>
          </w:p>
        </w:tc>
        <w:tc>
          <w:tcPr>
            <w:tcW w:w="1332" w:type="pct"/>
            <w:noWrap w:val="0"/>
            <w:vAlign w:val="center"/>
          </w:tcPr>
          <w:p w14:paraId="4C97882E">
            <w:pPr>
              <w:pStyle w:val="15"/>
              <w:shd w:val="clear"/>
              <w:adjustRightInd w:val="0"/>
              <w:snapToGrid w:val="0"/>
              <w:jc w:val="center"/>
              <w:rPr>
                <w:rFonts w:hint="eastAsia" w:hAnsi="宋体" w:cs="宋体"/>
                <w:color w:val="auto"/>
                <w:sz w:val="24"/>
                <w:szCs w:val="24"/>
                <w:highlight w:val="none"/>
              </w:rPr>
            </w:pPr>
            <w:r>
              <w:rPr>
                <w:rFonts w:hint="eastAsia" w:hAnsi="宋体" w:cs="宋体"/>
                <w:color w:val="auto"/>
                <w:kern w:val="0"/>
                <w:sz w:val="24"/>
                <w:highlight w:val="none"/>
              </w:rPr>
              <w:t>放射安全防护技术服务，3年，</w:t>
            </w:r>
            <w:r>
              <w:rPr>
                <w:rFonts w:hint="eastAsia" w:hAnsi="宋体" w:cs="宋体"/>
                <w:color w:val="auto"/>
                <w:sz w:val="24"/>
                <w:szCs w:val="24"/>
                <w:highlight w:val="none"/>
              </w:rPr>
              <w:t>详见《第三章招标项目要求》</w:t>
            </w:r>
          </w:p>
        </w:tc>
      </w:tr>
    </w:tbl>
    <w:p w14:paraId="59080DD0">
      <w:pPr>
        <w:shd w:val="clear"/>
        <w:tabs>
          <w:tab w:val="left" w:pos="284"/>
          <w:tab w:val="left" w:pos="720"/>
          <w:tab w:val="left" w:pos="851"/>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二、投标人的资格要求：</w:t>
      </w:r>
    </w:p>
    <w:p w14:paraId="691BBCF7">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1.符合《中华人民共和国政府采购法》第二十二条投标人应当具备的条件；</w:t>
      </w:r>
    </w:p>
    <w:p w14:paraId="48468A7B">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2.投标人自2023年1月1日起到中标公告期结束前无行贿犯罪记录。</w:t>
      </w:r>
    </w:p>
    <w:p w14:paraId="2972C643">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失信主体、政府采购严重违法失信行为记录名单的。</w:t>
      </w:r>
    </w:p>
    <w:p w14:paraId="31CA779B">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4.根据《浙江省公共信用信息管理条例》第二十六条的规定，未列入严重失信名单的（查询结果以开标当日网站页面显示为准）；</w:t>
      </w:r>
    </w:p>
    <w:p w14:paraId="7049150D">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单位负责人为同一人或者存在直接控股、管理关系的不同供应商，不得参加同一合同项（同一标项）下的政府采购活动；为采购项目提供整体设计、规范编制或者项目管理、监理、检测等服务的供应商，不得再参加该采购项目的其他采购活动。</w:t>
      </w:r>
    </w:p>
    <w:p w14:paraId="038F6420">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6.公益一类事业单位不属于政府购买服务的承接主体，不得参与承接购买服务采购项目。</w:t>
      </w:r>
    </w:p>
    <w:p w14:paraId="6E428CE7">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7.本项目不接受联合体投标。</w:t>
      </w:r>
    </w:p>
    <w:p w14:paraId="2BE31295">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落实政府采购政策需满足的资格要求：专门面向中小企业，服务全部由符合政策要求的中小企业承接，提供中小企业声明函（中小企业是指满足《政府采购促进中小企业发展管理办法》（财库〔2020〕46号）规定的企业，投标人属于依据国务院批准的中小企业划分标</w:t>
      </w:r>
      <w:r>
        <w:rPr>
          <w:rFonts w:hint="eastAsia" w:ascii="宋体" w:hAnsi="宋体" w:cs="宋体"/>
          <w:color w:val="auto"/>
          <w:sz w:val="24"/>
          <w:szCs w:val="24"/>
          <w:highlight w:val="none"/>
        </w:rPr>
        <w:t>准确定的中型企业、小型企业和微型企业，但与大企业的负责人为同一人，或者与大企业存在直接控股、管理关系的</w:t>
      </w:r>
      <w:r>
        <w:rPr>
          <w:rFonts w:hint="eastAsia" w:ascii="宋体" w:hAnsi="宋体" w:cs="宋体"/>
          <w:color w:val="auto"/>
          <w:sz w:val="24"/>
          <w:szCs w:val="24"/>
          <w:highlight w:val="none"/>
        </w:rPr>
        <w:t>除外）。</w:t>
      </w:r>
    </w:p>
    <w:p w14:paraId="2FA2EAC8">
      <w:pPr>
        <w:pStyle w:val="8"/>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9.本项目的特定资格要求：具备有效的《放射卫生技术服务机构资质证书》（技术服务范围包含：放射诊疗建设项目职业病危害放射防护评价、放射卫生防护检测）。</w:t>
      </w:r>
    </w:p>
    <w:p w14:paraId="401434C9">
      <w:pPr>
        <w:shd w:val="clear"/>
        <w:snapToGrid w:val="0"/>
        <w:spacing w:line="360" w:lineRule="auto"/>
        <w:rPr>
          <w:rFonts w:hint="eastAsia" w:ascii="宋体" w:hAnsi="宋体" w:cs="宋体"/>
          <w:color w:val="auto"/>
          <w:sz w:val="24"/>
          <w:highlight w:val="none"/>
        </w:rPr>
      </w:pPr>
      <w:r>
        <w:rPr>
          <w:rFonts w:hint="eastAsia" w:ascii="宋体" w:hAnsi="宋体" w:cs="宋体"/>
          <w:b/>
          <w:color w:val="auto"/>
          <w:sz w:val="24"/>
          <w:highlight w:val="none"/>
        </w:rPr>
        <w:t>三、招标文件获取时间和方式：</w:t>
      </w:r>
    </w:p>
    <w:p w14:paraId="3B986B23">
      <w:pPr>
        <w:shd w:val="clea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1.时间：投标方可在招标文件公告期内获取招标文件，招标文件获取截止时间之后至投标截止前潜在投标人仍可获取招标文件，如对招标文件有疑问的，答疑时间按招标文件规定执行。获取招标文件：免费）。</w:t>
      </w:r>
    </w:p>
    <w:p w14:paraId="589F0557">
      <w:pPr>
        <w:shd w:val="clea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2.地点：浙江政府采购网（http://zfcg.czt.zj.gov.cn/）</w:t>
      </w:r>
    </w:p>
    <w:p w14:paraId="51DB03A7">
      <w:pPr>
        <w:shd w:val="clea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3.方式：投标方请在浙江政府采购网上登录并依照要求免费获取招标文件。</w:t>
      </w:r>
    </w:p>
    <w:p w14:paraId="4B37C7E8">
      <w:pPr>
        <w:shd w:val="clea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四、投标截止时间及地点：</w:t>
      </w:r>
    </w:p>
    <w:p w14:paraId="44BB0D7C">
      <w:pPr>
        <w:shd w:val="clea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1.提交投标文件截止时间：2026年</w:t>
      </w:r>
      <w:r>
        <w:rPr>
          <w:rFonts w:hint="eastAsia" w:ascii="宋体" w:hAnsi="宋体" w:cs="宋体"/>
          <w:color w:val="auto"/>
          <w:sz w:val="24"/>
          <w:highlight w:val="none"/>
          <w:lang w:eastAsia="zh-CN"/>
        </w:rPr>
        <w:t>5月14日</w:t>
      </w:r>
      <w:r>
        <w:rPr>
          <w:rFonts w:hint="eastAsia" w:ascii="宋体" w:hAnsi="宋体" w:cs="宋体"/>
          <w:color w:val="auto"/>
          <w:sz w:val="24"/>
          <w:highlight w:val="none"/>
        </w:rPr>
        <w:t>14:00（北京时间）</w:t>
      </w:r>
    </w:p>
    <w:p w14:paraId="57B9774D">
      <w:pPr>
        <w:shd w:val="clea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2.投标地点：登录政采云账号，并上传电子加密标书至“政采云”平台，</w:t>
      </w:r>
      <w:r>
        <w:rPr>
          <w:rFonts w:hint="eastAsia" w:ascii="宋体" w:hAnsi="宋体" w:cs="宋体"/>
          <w:b/>
          <w:color w:val="auto"/>
          <w:sz w:val="24"/>
          <w:highlight w:val="none"/>
        </w:rPr>
        <w:t>逾期或未上传成功的将导致无法投标或投标无效</w:t>
      </w:r>
      <w:r>
        <w:rPr>
          <w:rFonts w:hint="eastAsia" w:ascii="宋体" w:hAnsi="宋体" w:cs="宋体"/>
          <w:color w:val="auto"/>
          <w:sz w:val="24"/>
          <w:highlight w:val="none"/>
        </w:rPr>
        <w:t>。</w:t>
      </w:r>
    </w:p>
    <w:p w14:paraId="0C20D6BF">
      <w:pPr>
        <w:shd w:val="clea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开标时间</w:t>
      </w:r>
      <w:r>
        <w:rPr>
          <w:rFonts w:hint="eastAsia" w:ascii="宋体" w:hAnsi="宋体" w:cs="宋体"/>
          <w:color w:val="auto"/>
          <w:sz w:val="24"/>
          <w:highlight w:val="none"/>
        </w:rPr>
        <w:t>：2026年</w:t>
      </w:r>
      <w:r>
        <w:rPr>
          <w:rFonts w:hint="eastAsia" w:ascii="宋体" w:hAnsi="宋体" w:cs="宋体"/>
          <w:color w:val="auto"/>
          <w:sz w:val="24"/>
          <w:highlight w:val="none"/>
          <w:lang w:eastAsia="zh-CN"/>
        </w:rPr>
        <w:t>5月14日</w:t>
      </w:r>
      <w:r>
        <w:rPr>
          <w:rFonts w:hint="eastAsia" w:ascii="宋体" w:hAnsi="宋体" w:cs="宋体"/>
          <w:color w:val="auto"/>
          <w:sz w:val="24"/>
          <w:highlight w:val="none"/>
        </w:rPr>
        <w:t>14:00；</w:t>
      </w:r>
    </w:p>
    <w:p w14:paraId="6FBE8A03">
      <w:pPr>
        <w:shd w:val="clea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color w:val="auto"/>
          <w:sz w:val="24"/>
          <w:highlight w:val="none"/>
        </w:rPr>
        <w:t>开标地点</w:t>
      </w:r>
      <w:r>
        <w:rPr>
          <w:rFonts w:hint="eastAsia" w:ascii="宋体" w:hAnsi="宋体" w:cs="宋体"/>
          <w:color w:val="auto"/>
          <w:sz w:val="24"/>
          <w:highlight w:val="none"/>
        </w:rPr>
        <w:t>：义乌市望道路300号政务服务中心四楼电子开标室。</w:t>
      </w:r>
    </w:p>
    <w:p w14:paraId="43AC51A8">
      <w:pPr>
        <w:shd w:val="clea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开标时间后1小时内（2026年</w:t>
      </w:r>
      <w:r>
        <w:rPr>
          <w:rFonts w:hint="eastAsia" w:ascii="宋体" w:hAnsi="宋体" w:cs="宋体"/>
          <w:b/>
          <w:color w:val="auto"/>
          <w:sz w:val="24"/>
          <w:highlight w:val="none"/>
          <w:lang w:eastAsia="zh-CN"/>
        </w:rPr>
        <w:t>5月14日</w:t>
      </w:r>
      <w:r>
        <w:rPr>
          <w:rFonts w:hint="eastAsia" w:ascii="宋体" w:hAnsi="宋体" w:cs="宋体"/>
          <w:b/>
          <w:color w:val="auto"/>
          <w:sz w:val="24"/>
          <w:highlight w:val="none"/>
        </w:rPr>
        <w:t>15:00前）投标人可以登录“政采云”平台，用“项目采购－开标评标”功能进行解密投标文件</w:t>
      </w:r>
      <w:r>
        <w:rPr>
          <w:rFonts w:hint="eastAsia" w:ascii="宋体" w:hAnsi="宋体" w:cs="宋体"/>
          <w:color w:val="auto"/>
          <w:sz w:val="24"/>
          <w:highlight w:val="none"/>
        </w:rPr>
        <w:t>。</w:t>
      </w:r>
    </w:p>
    <w:p w14:paraId="656C98EC">
      <w:pPr>
        <w:pStyle w:val="15"/>
        <w:shd w:val="clear"/>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备注：为确保采购项目顺利实施，避免因政采云上电子投标文件解密失败导致投标方投标无效，投标方可在2026年</w:t>
      </w:r>
      <w:r>
        <w:rPr>
          <w:rFonts w:hint="eastAsia" w:hAnsi="宋体" w:cs="宋体"/>
          <w:color w:val="auto"/>
          <w:sz w:val="24"/>
          <w:szCs w:val="24"/>
          <w:highlight w:val="none"/>
          <w:lang w:eastAsia="zh-CN"/>
        </w:rPr>
        <w:t>5月14日</w:t>
      </w:r>
      <w:r>
        <w:rPr>
          <w:rFonts w:hint="eastAsia" w:hAnsi="宋体" w:cs="宋体"/>
          <w:color w:val="auto"/>
          <w:sz w:val="24"/>
          <w:szCs w:val="24"/>
          <w:highlight w:val="none"/>
        </w:rPr>
        <w:t>15:00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投标方自行保管，如政采云上电子投标文件出现解密失败情况（开标当日14:00-15:00期间进行解密），投标方可按照自身意愿确认是否同意提供加密密码解密传送至浙江求是招标代理有限公司邮箱（qszbyw@qszb.net）的备份文件，并以备份文件作为替代电子投标文件，如投标方未按照规定时间（2026年</w:t>
      </w:r>
      <w:r>
        <w:rPr>
          <w:rFonts w:hint="eastAsia" w:hAnsi="宋体" w:cs="宋体"/>
          <w:color w:val="auto"/>
          <w:sz w:val="24"/>
          <w:szCs w:val="24"/>
          <w:highlight w:val="none"/>
          <w:lang w:eastAsia="zh-CN"/>
        </w:rPr>
        <w:t>5月14日</w:t>
      </w:r>
      <w:r>
        <w:rPr>
          <w:rFonts w:hint="eastAsia" w:hAnsi="宋体" w:cs="宋体"/>
          <w:color w:val="auto"/>
          <w:sz w:val="24"/>
          <w:szCs w:val="24"/>
          <w:highlight w:val="none"/>
        </w:rPr>
        <w:t>14:00前）及要求提供有效备份文件，同时政采云上投标文件解密失败的，将导致投标无效。</w:t>
      </w:r>
    </w:p>
    <w:p w14:paraId="7C3DA22C">
      <w:pPr>
        <w:pStyle w:val="15"/>
        <w:shd w:val="clear"/>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投标方不需要在开标当天，到达开标现场对电子投标文件进行解密。</w:t>
      </w:r>
    </w:p>
    <w:p w14:paraId="25E7D904">
      <w:pPr>
        <w:numPr>
          <w:ilvl w:val="0"/>
          <w:numId w:val="2"/>
        </w:numPr>
        <w:shd w:val="clea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公告期限：</w:t>
      </w:r>
      <w:r>
        <w:rPr>
          <w:rFonts w:hint="eastAsia" w:ascii="宋体" w:hAnsi="宋体" w:cs="宋体"/>
          <w:bCs/>
          <w:color w:val="auto"/>
          <w:sz w:val="24"/>
          <w:highlight w:val="none"/>
        </w:rPr>
        <w:t>自本公告发布之日起5个工作日。</w:t>
      </w:r>
    </w:p>
    <w:p w14:paraId="2235D4C6">
      <w:pPr>
        <w:shd w:val="clea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1FDC1F6B">
      <w:pPr>
        <w:pStyle w:val="231"/>
        <w:shd w:val="clear"/>
        <w:snapToGrid w:val="0"/>
        <w:spacing w:line="360" w:lineRule="auto"/>
        <w:ind w:firstLine="480"/>
        <w:rPr>
          <w:rFonts w:hint="eastAsia" w:cs="宋体"/>
          <w:color w:val="auto"/>
          <w:sz w:val="24"/>
          <w:szCs w:val="24"/>
          <w:highlight w:val="none"/>
        </w:rPr>
      </w:pPr>
      <w:bookmarkStart w:id="1" w:name="_Hlk92271231"/>
      <w:r>
        <w:rPr>
          <w:rFonts w:hint="eastAsia" w:cs="宋体"/>
          <w:color w:val="auto"/>
          <w:sz w:val="24"/>
          <w:szCs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1EAC44F">
      <w:pPr>
        <w:pStyle w:val="231"/>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项目采购-询问质疑投诉-投诉列表。</w:t>
      </w:r>
    </w:p>
    <w:p w14:paraId="1C31A503">
      <w:pPr>
        <w:pStyle w:val="231"/>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8F6DACA">
      <w:pPr>
        <w:pStyle w:val="231"/>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4.投标与开标注意事项：</w:t>
      </w:r>
    </w:p>
    <w:p w14:paraId="73373973">
      <w:pPr>
        <w:pStyle w:val="231"/>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①本项目实行网上投标，获取文件后投标人即可参投，投标人在投标截止时间之前上传电子投标文件。投标人参与投标，需自行承担投标一切费用。</w:t>
      </w:r>
    </w:p>
    <w:p w14:paraId="0D1692E1">
      <w:pPr>
        <w:pStyle w:val="231"/>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②标前准备：各投标人应在开标前确保成为浙江政府采购网正式注册入库投标人，并完成CA数字证书办理。【办理流程详见电子投标工具链接，（目前“政采云”平台仅支持浙江汇信或天谷CA锁，个体工商户投标仅支持浙江汇信CA锁），申领操作流程】。因未注册入库、未办理CA数字证书等原因造成无法投标或投标失败等后果由投标人自行承担。</w:t>
      </w:r>
    </w:p>
    <w:p w14:paraId="3F9479DA">
      <w:pPr>
        <w:pStyle w:val="231"/>
        <w:shd w:val="clear"/>
        <w:wordWrap w:val="0"/>
        <w:snapToGrid w:val="0"/>
        <w:spacing w:line="360" w:lineRule="auto"/>
        <w:ind w:firstLine="482"/>
        <w:rPr>
          <w:rFonts w:hint="eastAsia" w:cs="宋体"/>
          <w:color w:val="auto"/>
          <w:sz w:val="24"/>
          <w:szCs w:val="24"/>
          <w:highlight w:val="none"/>
        </w:rPr>
      </w:pPr>
      <w:r>
        <w:rPr>
          <w:rFonts w:hint="eastAsia" w:cs="宋体"/>
          <w:color w:val="auto"/>
          <w:sz w:val="24"/>
          <w:szCs w:val="24"/>
          <w:highlight w:val="none"/>
        </w:rPr>
        <w:t>③投标文件制作：投标人通过“政采云”平台电子投标工具制作投标文件，电子投标工具请投标人自行前往浙江政府采购网下载并安装，投标文件制作具体流程详见“政采云投标人项目采购－电子招投标操作指南”（请投标人登录政采云平台政府采购电子卖场后，点击链接https://service.zcygov.cn/#/knowledges/CW1EtGwBFdiHxlNd6I3m/6IMVAG0BFdiHxlNdQ8Na）以获取最新操作指南。</w:t>
      </w:r>
    </w:p>
    <w:p w14:paraId="2C5ECE9B">
      <w:pPr>
        <w:pStyle w:val="231"/>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5.其他事项：</w:t>
      </w:r>
      <w:bookmarkStart w:id="2" w:name="_Hlk92271331"/>
    </w:p>
    <w:p w14:paraId="37A37FDD">
      <w:pPr>
        <w:pStyle w:val="15"/>
        <w:shd w:val="clear"/>
        <w:wordWrap w:val="0"/>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需要落实的政府采购政策：包括促进中小企业发展等。详见招标文件的第三章-采购项目需要落实的政府采购政策。</w:t>
      </w:r>
      <w:bookmarkEnd w:id="1"/>
      <w:bookmarkEnd w:id="2"/>
    </w:p>
    <w:p w14:paraId="4A558AA5">
      <w:pPr>
        <w:shd w:val="clear"/>
        <w:snapToGrid w:val="0"/>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七、对本次招标提出询问、质疑、投诉，请按以下方式联系：</w:t>
      </w:r>
    </w:p>
    <w:p w14:paraId="3CA96D75">
      <w:pPr>
        <w:shd w:val="clea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1.采购人信息</w:t>
      </w:r>
    </w:p>
    <w:p w14:paraId="3A2111AC">
      <w:pPr>
        <w:pStyle w:val="15"/>
        <w:shd w:val="clear"/>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名  称：浙江大学医学院附属第四医院</w:t>
      </w:r>
    </w:p>
    <w:p w14:paraId="01BDD30C">
      <w:pPr>
        <w:pStyle w:val="15"/>
        <w:shd w:val="clear"/>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地  址：浙江省义乌市商城大道N1号</w:t>
      </w:r>
    </w:p>
    <w:p w14:paraId="57D71049">
      <w:pPr>
        <w:pStyle w:val="15"/>
        <w:shd w:val="clear"/>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项目联系人：黄老师</w:t>
      </w:r>
    </w:p>
    <w:p w14:paraId="4E2E1811">
      <w:pPr>
        <w:pStyle w:val="15"/>
        <w:shd w:val="clear"/>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项目联系方式：0579-89935102</w:t>
      </w:r>
    </w:p>
    <w:p w14:paraId="033AFF94">
      <w:pPr>
        <w:pStyle w:val="15"/>
        <w:shd w:val="clear"/>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质疑联系人：楼樱红</w:t>
      </w:r>
    </w:p>
    <w:p w14:paraId="6E6864C1">
      <w:pPr>
        <w:pStyle w:val="15"/>
        <w:shd w:val="clear"/>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质疑联系方式：0579-89935102</w:t>
      </w:r>
    </w:p>
    <w:p w14:paraId="398C38A0">
      <w:pPr>
        <w:shd w:val="clear"/>
        <w:spacing w:line="44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2.采购代理机构信息</w:t>
      </w:r>
    </w:p>
    <w:p w14:paraId="1C5D3BD0">
      <w:pPr>
        <w:pStyle w:val="15"/>
        <w:shd w:val="clear"/>
        <w:adjustRightInd w:val="0"/>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名    称： 浙江求是招标代理有限公司 　　　　　　　　　　　</w:t>
      </w:r>
    </w:p>
    <w:p w14:paraId="123B5C42">
      <w:pPr>
        <w:pStyle w:val="15"/>
        <w:shd w:val="clear"/>
        <w:adjustRightInd w:val="0"/>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地    址：杭州市西湖区玉古路173号中田大厦21楼</w:t>
      </w:r>
    </w:p>
    <w:p w14:paraId="6B751D86">
      <w:pPr>
        <w:pStyle w:val="15"/>
        <w:shd w:val="clear"/>
        <w:adjustRightInd w:val="0"/>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传    真：/</w:t>
      </w:r>
    </w:p>
    <w:p w14:paraId="0C8C9204">
      <w:pPr>
        <w:pStyle w:val="15"/>
        <w:shd w:val="clear"/>
        <w:adjustRightInd w:val="0"/>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项目联系人（询问）：李港辉</w:t>
      </w:r>
    </w:p>
    <w:p w14:paraId="35933450">
      <w:pPr>
        <w:pStyle w:val="15"/>
        <w:shd w:val="clear"/>
        <w:adjustRightInd w:val="0"/>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项目联系方式（询问）：0579-85872866</w:t>
      </w:r>
    </w:p>
    <w:p w14:paraId="60121449">
      <w:pPr>
        <w:pStyle w:val="15"/>
        <w:shd w:val="clear"/>
        <w:adjustRightInd w:val="0"/>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质疑联系人：周安琪</w:t>
      </w:r>
    </w:p>
    <w:p w14:paraId="4C03CEEF">
      <w:pPr>
        <w:pStyle w:val="15"/>
        <w:shd w:val="clear"/>
        <w:adjustRightInd w:val="0"/>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质疑联系方式：0571-81110356</w:t>
      </w:r>
    </w:p>
    <w:p w14:paraId="45A6856E">
      <w:pPr>
        <w:pStyle w:val="15"/>
        <w:shd w:val="clear"/>
        <w:adjustRightInd w:val="0"/>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质疑邮箱：jdkh@qszb.net</w:t>
      </w:r>
    </w:p>
    <w:p w14:paraId="615DD4BF">
      <w:pPr>
        <w:shd w:val="clear"/>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3.同级政府采购监督管理部门</w:t>
      </w:r>
    </w:p>
    <w:p w14:paraId="643DA043">
      <w:pPr>
        <w:pStyle w:val="15"/>
        <w:shd w:val="clear"/>
        <w:adjustRightInd w:val="0"/>
        <w:snapToGrid w:val="0"/>
        <w:spacing w:line="440" w:lineRule="exact"/>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名  称：义乌市财政局</w:t>
      </w:r>
    </w:p>
    <w:p w14:paraId="056222DF">
      <w:pPr>
        <w:pStyle w:val="15"/>
        <w:shd w:val="clear"/>
        <w:adjustRightInd w:val="0"/>
        <w:snapToGrid w:val="0"/>
        <w:spacing w:line="440" w:lineRule="exact"/>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地  址：义乌市望道路300号4楼</w:t>
      </w:r>
    </w:p>
    <w:p w14:paraId="42F5DC8B">
      <w:pPr>
        <w:pStyle w:val="15"/>
        <w:shd w:val="clear"/>
        <w:adjustRightInd w:val="0"/>
        <w:snapToGrid w:val="0"/>
        <w:spacing w:line="440" w:lineRule="exact"/>
        <w:ind w:firstLine="480" w:firstLineChars="200"/>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rPr>
        <w:t>联系人 ：</w:t>
      </w:r>
      <w:r>
        <w:rPr>
          <w:rFonts w:hint="eastAsia" w:hAnsi="宋体" w:eastAsia="宋体" w:cs="宋体"/>
          <w:color w:val="auto"/>
          <w:sz w:val="24"/>
          <w:szCs w:val="24"/>
          <w:highlight w:val="none"/>
          <w:lang w:val="en-US" w:eastAsia="zh-CN"/>
        </w:rPr>
        <w:t>郭先生</w:t>
      </w:r>
    </w:p>
    <w:p w14:paraId="33B1536E">
      <w:pPr>
        <w:pStyle w:val="15"/>
        <w:shd w:val="clear"/>
        <w:adjustRightInd w:val="0"/>
        <w:snapToGrid w:val="0"/>
        <w:spacing w:line="440" w:lineRule="exact"/>
        <w:ind w:firstLine="480" w:firstLineChars="200"/>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rPr>
        <w:t>监督投诉电话：0579-899150</w:t>
      </w:r>
      <w:r>
        <w:rPr>
          <w:rFonts w:hint="eastAsia" w:hAnsi="宋体" w:eastAsia="宋体" w:cs="宋体"/>
          <w:color w:val="auto"/>
          <w:sz w:val="24"/>
          <w:szCs w:val="24"/>
          <w:highlight w:val="none"/>
          <w:lang w:val="en-US" w:eastAsia="zh-CN"/>
        </w:rPr>
        <w:t>58</w:t>
      </w:r>
    </w:p>
    <w:bookmarkEnd w:id="0"/>
    <w:p w14:paraId="7E74900A">
      <w:pPr>
        <w:pStyle w:val="2"/>
        <w:shd w:val="clear"/>
        <w:spacing w:before="0" w:after="0" w:line="240" w:lineRule="auto"/>
        <w:jc w:val="center"/>
        <w:rPr>
          <w:rFonts w:hint="eastAsia" w:ascii="宋体" w:hAnsi="宋体" w:cs="宋体"/>
          <w:color w:val="auto"/>
          <w:sz w:val="36"/>
          <w:highlight w:val="none"/>
        </w:rPr>
      </w:pPr>
      <w:r>
        <w:rPr>
          <w:rFonts w:hint="eastAsia" w:ascii="宋体" w:hAnsi="宋体" w:cs="宋体"/>
          <w:b w:val="0"/>
          <w:bCs w:val="0"/>
          <w:color w:val="auto"/>
          <w:kern w:val="2"/>
          <w:sz w:val="21"/>
          <w:szCs w:val="24"/>
          <w:highlight w:val="none"/>
        </w:rPr>
        <w:br w:type="page"/>
      </w:r>
      <w:r>
        <w:rPr>
          <w:rFonts w:hint="eastAsia" w:ascii="宋体" w:hAnsi="宋体" w:cs="宋体"/>
          <w:color w:val="auto"/>
          <w:sz w:val="36"/>
          <w:highlight w:val="none"/>
        </w:rPr>
        <w:t>第二章　</w:t>
      </w:r>
      <w:r>
        <w:rPr>
          <w:rFonts w:hint="eastAsia" w:ascii="宋体" w:hAnsi="宋体" w:cs="宋体"/>
          <w:color w:val="auto"/>
          <w:sz w:val="36"/>
          <w:szCs w:val="36"/>
          <w:highlight w:val="none"/>
        </w:rPr>
        <w:t>投标须知和投标须知前附表</w:t>
      </w:r>
    </w:p>
    <w:p w14:paraId="2C72F0D6">
      <w:pPr>
        <w:shd w:val="clear"/>
        <w:spacing w:line="360" w:lineRule="auto"/>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投标须知前附表</w:t>
      </w:r>
    </w:p>
    <w:tbl>
      <w:tblPr>
        <w:tblStyle w:val="30"/>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20"/>
        <w:gridCol w:w="7310"/>
      </w:tblGrid>
      <w:tr w14:paraId="7F18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949487">
            <w:pPr>
              <w:shd w:val="clear"/>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709C123B">
            <w:pPr>
              <w:shd w:val="clear"/>
              <w:jc w:val="center"/>
              <w:rPr>
                <w:rFonts w:hint="eastAsia" w:ascii="宋体" w:hAnsi="宋体" w:cs="宋体"/>
                <w:b/>
                <w:color w:val="auto"/>
                <w:sz w:val="24"/>
                <w:highlight w:val="none"/>
              </w:rPr>
            </w:pPr>
            <w:r>
              <w:rPr>
                <w:rFonts w:hint="eastAsia" w:ascii="宋体" w:hAnsi="宋体" w:cs="宋体"/>
                <w:b/>
                <w:color w:val="auto"/>
                <w:sz w:val="24"/>
                <w:highlight w:val="none"/>
              </w:rPr>
              <w:t>内容规定</w:t>
            </w:r>
          </w:p>
        </w:tc>
      </w:tr>
      <w:tr w14:paraId="57A3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4C32BEC">
            <w:pPr>
              <w:shd w:val="clear"/>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4418C67">
            <w:pPr>
              <w:shd w:val="clea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ED68ED5">
            <w:pPr>
              <w:shd w:val="clear"/>
              <w:spacing w:line="300" w:lineRule="exact"/>
              <w:rPr>
                <w:rFonts w:hint="eastAsia" w:ascii="宋体" w:hAnsi="宋体" w:cs="宋体"/>
                <w:color w:val="auto"/>
                <w:sz w:val="24"/>
                <w:highlight w:val="none"/>
              </w:rPr>
            </w:pPr>
            <w:r>
              <w:rPr>
                <w:rFonts w:hint="eastAsia" w:ascii="宋体" w:hAnsi="宋体" w:cs="宋体"/>
                <w:color w:val="auto"/>
                <w:sz w:val="24"/>
                <w:highlight w:val="none"/>
              </w:rPr>
              <w:t>浙江大学医学院附属第四医院放射安全防护技术服务</w:t>
            </w:r>
          </w:p>
        </w:tc>
      </w:tr>
      <w:tr w14:paraId="686F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B10799F">
            <w:pPr>
              <w:shd w:val="clea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AC1FBAA">
            <w:pPr>
              <w:shd w:val="clear"/>
              <w:jc w:val="center"/>
              <w:rPr>
                <w:rFonts w:hint="eastAsia" w:ascii="宋体" w:hAnsi="宋体" w:cs="宋体"/>
                <w:color w:val="auto"/>
                <w:sz w:val="24"/>
                <w:highlight w:val="none"/>
              </w:rPr>
            </w:pPr>
            <w:r>
              <w:rPr>
                <w:rFonts w:hint="eastAsia" w:ascii="宋体" w:hAnsi="宋体" w:cs="宋体"/>
                <w:color w:val="auto"/>
                <w:sz w:val="24"/>
                <w:highlight w:val="none"/>
              </w:rPr>
              <w:t>招标方式</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34D6841C">
            <w:pPr>
              <w:shd w:val="clear"/>
              <w:rPr>
                <w:rFonts w:hint="eastAsia" w:ascii="宋体" w:hAnsi="宋体" w:cs="宋体"/>
                <w:color w:val="auto"/>
                <w:sz w:val="24"/>
                <w:highlight w:val="none"/>
              </w:rPr>
            </w:pPr>
            <w:r>
              <w:rPr>
                <w:rFonts w:hint="eastAsia" w:ascii="宋体" w:hAnsi="宋体" w:cs="宋体"/>
                <w:color w:val="auto"/>
                <w:sz w:val="24"/>
                <w:highlight w:val="none"/>
              </w:rPr>
              <w:t>公开招标</w:t>
            </w:r>
          </w:p>
        </w:tc>
      </w:tr>
      <w:tr w14:paraId="59E5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32D14E7">
            <w:pPr>
              <w:shd w:val="clea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7CD5C1B">
            <w:pPr>
              <w:shd w:val="clear"/>
              <w:jc w:val="center"/>
              <w:rPr>
                <w:rFonts w:hint="eastAsia" w:ascii="宋体" w:hAnsi="宋体" w:cs="宋体"/>
                <w:color w:val="auto"/>
                <w:sz w:val="24"/>
                <w:highlight w:val="none"/>
              </w:rPr>
            </w:pPr>
            <w:r>
              <w:rPr>
                <w:rFonts w:hint="eastAsia" w:ascii="宋体" w:hAnsi="宋体" w:cs="宋体"/>
                <w:color w:val="auto"/>
                <w:sz w:val="24"/>
                <w:highlight w:val="none"/>
              </w:rPr>
              <w:t>投标方资格要求</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133D0AA6">
            <w:pPr>
              <w:shd w:val="clea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详见采购公告</w:t>
            </w:r>
          </w:p>
        </w:tc>
      </w:tr>
      <w:tr w14:paraId="06B7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DB09821">
            <w:pPr>
              <w:shd w:val="clea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E4F0A23">
            <w:pPr>
              <w:shd w:val="clear"/>
              <w:jc w:val="center"/>
              <w:rPr>
                <w:rFonts w:hint="eastAsia" w:ascii="宋体" w:hAnsi="宋体" w:cs="宋体"/>
                <w:color w:val="auto"/>
                <w:sz w:val="24"/>
                <w:highlight w:val="none"/>
              </w:rPr>
            </w:pPr>
            <w:r>
              <w:rPr>
                <w:rFonts w:hint="eastAsia" w:ascii="宋体" w:hAnsi="宋体" w:cs="宋体"/>
                <w:color w:val="auto"/>
                <w:sz w:val="24"/>
                <w:highlight w:val="none"/>
              </w:rPr>
              <w:t>合同履约期限</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95C9A2A">
            <w:pPr>
              <w:shd w:val="clear"/>
              <w:rPr>
                <w:rFonts w:ascii="宋体" w:hAnsi="宋体" w:cs="宋体"/>
                <w:color w:val="auto"/>
                <w:sz w:val="24"/>
                <w:highlight w:val="none"/>
              </w:rPr>
            </w:pPr>
            <w:r>
              <w:rPr>
                <w:rFonts w:hint="eastAsia" w:ascii="宋体" w:hAnsi="宋体" w:cs="宋体"/>
                <w:color w:val="auto"/>
                <w:sz w:val="24"/>
                <w:highlight w:val="none"/>
              </w:rPr>
              <w:t>3年或合同实际结算金额达到预算金额（以先到者为准）</w:t>
            </w:r>
          </w:p>
        </w:tc>
      </w:tr>
      <w:tr w14:paraId="079F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13F9162">
            <w:pPr>
              <w:shd w:val="clea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14962D5">
            <w:pPr>
              <w:shd w:val="clear"/>
              <w:jc w:val="center"/>
              <w:rPr>
                <w:rFonts w:hint="eastAsia" w:ascii="宋体" w:hAnsi="宋体" w:cs="宋体"/>
                <w:color w:val="auto"/>
                <w:sz w:val="24"/>
                <w:highlight w:val="none"/>
              </w:rPr>
            </w:pPr>
            <w:r>
              <w:rPr>
                <w:rFonts w:hint="eastAsia" w:ascii="宋体" w:hAnsi="宋体" w:cs="宋体"/>
                <w:color w:val="auto"/>
                <w:sz w:val="24"/>
                <w:highlight w:val="none"/>
              </w:rPr>
              <w:t>招标文件获取时间和地点</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648A8087">
            <w:pPr>
              <w:shd w:val="clear"/>
              <w:rPr>
                <w:rFonts w:hint="eastAsia"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color w:val="auto"/>
                <w:kern w:val="0"/>
                <w:sz w:val="24"/>
                <w:highlight w:val="none"/>
              </w:rPr>
              <w:t>采购公告</w:t>
            </w:r>
          </w:p>
        </w:tc>
      </w:tr>
      <w:tr w14:paraId="2DA8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AA18D11">
            <w:pPr>
              <w:shd w:val="clea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621195B">
            <w:pPr>
              <w:shd w:val="clear"/>
              <w:jc w:val="center"/>
              <w:rPr>
                <w:rFonts w:hint="eastAsia" w:ascii="宋体" w:hAnsi="宋体" w:cs="宋体"/>
                <w:color w:val="auto"/>
                <w:sz w:val="24"/>
                <w:highlight w:val="none"/>
              </w:rPr>
            </w:pPr>
            <w:r>
              <w:rPr>
                <w:rFonts w:hint="eastAsia" w:ascii="宋体" w:hAnsi="宋体" w:cs="宋体"/>
                <w:color w:val="auto"/>
                <w:sz w:val="24"/>
                <w:highlight w:val="none"/>
              </w:rPr>
              <w:t>现场踏勘时间</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1E8DCD13">
            <w:pPr>
              <w:shd w:val="clear"/>
              <w:rPr>
                <w:rFonts w:hint="eastAsia" w:ascii="宋体" w:hAnsi="宋体" w:cs="宋体"/>
                <w:color w:val="auto"/>
                <w:sz w:val="24"/>
                <w:highlight w:val="none"/>
              </w:rPr>
            </w:pPr>
            <w:r>
              <w:rPr>
                <w:rFonts w:hint="eastAsia" w:ascii="宋体" w:hAnsi="宋体" w:cs="宋体"/>
                <w:color w:val="auto"/>
                <w:sz w:val="24"/>
                <w:highlight w:val="none"/>
              </w:rPr>
              <w:t>采购人不统一组织投标方前往项目实施场地踏勘，根据项目实际投标需求，投标方可自行前往项目实施场地进行现场踏勘，以获取编制投标文件所需资料，如投标方因未现场踏勘原因导致投标文件出现错误或遗漏的，由投标方自行承担责任。</w:t>
            </w:r>
          </w:p>
        </w:tc>
      </w:tr>
      <w:tr w14:paraId="544E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C1D92FE">
            <w:pPr>
              <w:shd w:val="clea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8E3E7AF">
            <w:pPr>
              <w:shd w:val="clear"/>
              <w:jc w:val="center"/>
              <w:rPr>
                <w:rFonts w:hint="eastAsia" w:ascii="宋体" w:hAnsi="宋体" w:cs="宋体"/>
                <w:color w:val="auto"/>
                <w:sz w:val="24"/>
                <w:highlight w:val="none"/>
              </w:rPr>
            </w:pPr>
            <w:r>
              <w:rPr>
                <w:rFonts w:hint="eastAsia" w:ascii="宋体" w:hAnsi="宋体" w:cs="宋体"/>
                <w:color w:val="auto"/>
                <w:sz w:val="24"/>
                <w:highlight w:val="none"/>
              </w:rPr>
              <w:t>招标答疑截止时间</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5FFB7D9A">
            <w:pPr>
              <w:shd w:val="clear"/>
              <w:rPr>
                <w:rFonts w:hint="eastAsia" w:ascii="宋体" w:hAnsi="宋体" w:cs="宋体"/>
                <w:color w:val="auto"/>
                <w:sz w:val="24"/>
                <w:highlight w:val="none"/>
              </w:rPr>
            </w:pPr>
            <w:r>
              <w:rPr>
                <w:rFonts w:hint="eastAsia" w:ascii="宋体" w:hAnsi="宋体" w:cs="宋体"/>
                <w:color w:val="auto"/>
                <w:sz w:val="24"/>
                <w:highlight w:val="none"/>
              </w:rPr>
              <w:t>答疑与澄清：投标人如认为招标文件表述不清晰、存在歧视性、排他性或者其他违法内容的，可以自获取采购文件之日或者招标文件公告期限届满之日（公告期限届满后获取招标文件的，以公告期限届满之日为准）起7个工作日内，以书面递交或传真形式要求招标方作出书面解释、澄清或者向招标方提出书面质疑；本项目不组织答疑会；招标方的答疑内容和书面澄清（更正）文件是招标文件的组成部分，无论是招标方根据需要主动对招标文件进行必要澄清（更正），或是根据投标人的要求对招标文件作出澄清（更正），招标方的答疑内容（招标文件内容如有需修改的）和澄清（更正）文件均会在浙江省政府采购网（ http://zfcg.czt.zj.gov.cn/ ）上统一以公告的形式发布，投标人在投标截止时间前应充分关注该网上发布的信息，如因投标人未及时关注网上发布的信息而导致的一切投标后果由投标人自行承担。</w:t>
            </w:r>
          </w:p>
        </w:tc>
      </w:tr>
      <w:tr w14:paraId="31AA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C4E63B9">
            <w:pPr>
              <w:shd w:val="clea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242F2E8">
            <w:pPr>
              <w:shd w:val="clear"/>
              <w:rPr>
                <w:rFonts w:hint="eastAsia" w:ascii="宋体" w:hAnsi="宋体" w:cs="宋体"/>
                <w:color w:val="auto"/>
                <w:sz w:val="24"/>
                <w:highlight w:val="none"/>
              </w:rPr>
            </w:pPr>
            <w:r>
              <w:rPr>
                <w:rFonts w:hint="eastAsia" w:ascii="宋体" w:hAnsi="宋体" w:cs="宋体"/>
                <w:color w:val="auto"/>
                <w:sz w:val="24"/>
                <w:highlight w:val="none"/>
              </w:rPr>
              <w:t>是否接受联合体投标</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22A01668">
            <w:pPr>
              <w:shd w:val="clear"/>
              <w:rPr>
                <w:rFonts w:hint="eastAsia" w:ascii="宋体" w:hAnsi="宋体" w:cs="宋体"/>
                <w:color w:val="auto"/>
                <w:sz w:val="24"/>
                <w:highlight w:val="none"/>
              </w:rPr>
            </w:pPr>
            <w:r>
              <w:rPr>
                <w:rFonts w:hint="eastAsia" w:ascii="宋体" w:hAnsi="宋体" w:cs="宋体"/>
                <w:color w:val="auto"/>
                <w:sz w:val="24"/>
                <w:highlight w:val="none"/>
              </w:rPr>
              <w:t>不允许联合体投标。</w:t>
            </w:r>
          </w:p>
        </w:tc>
      </w:tr>
      <w:tr w14:paraId="7F56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99A35ED">
            <w:pPr>
              <w:shd w:val="clear"/>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74D92AD">
            <w:pPr>
              <w:shd w:val="clear"/>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2E395042">
            <w:pPr>
              <w:shd w:val="clear"/>
              <w:rPr>
                <w:rFonts w:hint="eastAsia" w:ascii="宋体" w:hAnsi="宋体" w:cs="宋体"/>
                <w:color w:val="auto"/>
                <w:sz w:val="24"/>
                <w:highlight w:val="none"/>
              </w:rPr>
            </w:pPr>
            <w:r>
              <w:rPr>
                <w:rFonts w:hint="eastAsia" w:ascii="宋体" w:hAnsi="宋体" w:cs="宋体"/>
                <w:color w:val="auto"/>
                <w:sz w:val="24"/>
                <w:highlight w:val="none"/>
              </w:rPr>
              <w:t>自开标之日起60天（日历天）</w:t>
            </w:r>
          </w:p>
        </w:tc>
      </w:tr>
      <w:tr w14:paraId="703C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C52933C">
            <w:pPr>
              <w:shd w:val="clear"/>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12BB933">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上传电子投标文件时间</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5DB24681">
            <w:pPr>
              <w:shd w:val="clear"/>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投标人应于2026年</w:t>
            </w:r>
            <w:r>
              <w:rPr>
                <w:rFonts w:hint="eastAsia" w:ascii="宋体" w:hAnsi="宋体" w:cs="宋体"/>
                <w:b/>
                <w:color w:val="auto"/>
                <w:sz w:val="24"/>
                <w:highlight w:val="none"/>
                <w:lang w:eastAsia="zh-CN"/>
              </w:rPr>
              <w:t>5月14日</w:t>
            </w:r>
            <w:r>
              <w:rPr>
                <w:rFonts w:hint="eastAsia" w:ascii="宋体" w:hAnsi="宋体" w:cs="宋体"/>
                <w:b/>
                <w:color w:val="auto"/>
                <w:sz w:val="24"/>
                <w:highlight w:val="none"/>
              </w:rPr>
              <w:t>14:00前在“政采云”平台上自行加密上传电子投标文件，逾期上传或未按要求上传的投标文件将予以拒收。</w:t>
            </w:r>
          </w:p>
        </w:tc>
      </w:tr>
      <w:tr w14:paraId="08B6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AE9AD23">
            <w:pPr>
              <w:shd w:val="clear"/>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46D28C0">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开标时间和地点</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5ACE3567">
            <w:pPr>
              <w:shd w:val="clear"/>
              <w:spacing w:line="400" w:lineRule="exact"/>
              <w:rPr>
                <w:rFonts w:hint="eastAsia" w:ascii="宋体" w:hAnsi="宋体" w:cs="宋体"/>
                <w:color w:val="auto"/>
                <w:sz w:val="24"/>
                <w:highlight w:val="none"/>
              </w:rPr>
            </w:pPr>
            <w:r>
              <w:rPr>
                <w:rFonts w:hint="eastAsia" w:ascii="宋体" w:hAnsi="宋体" w:cs="宋体"/>
                <w:color w:val="auto"/>
                <w:sz w:val="24"/>
                <w:highlight w:val="none"/>
              </w:rPr>
              <w:t>开标时间：2026年</w:t>
            </w:r>
            <w:r>
              <w:rPr>
                <w:rFonts w:hint="eastAsia" w:ascii="宋体" w:hAnsi="宋体" w:cs="宋体"/>
                <w:color w:val="auto"/>
                <w:sz w:val="24"/>
                <w:highlight w:val="none"/>
                <w:lang w:eastAsia="zh-CN"/>
              </w:rPr>
              <w:t>5月14日</w:t>
            </w:r>
            <w:r>
              <w:rPr>
                <w:rFonts w:hint="eastAsia" w:ascii="宋体" w:hAnsi="宋体" w:cs="宋体"/>
                <w:color w:val="auto"/>
                <w:sz w:val="24"/>
                <w:highlight w:val="none"/>
              </w:rPr>
              <w:t>14:00</w:t>
            </w:r>
          </w:p>
          <w:p w14:paraId="3D21C6EC">
            <w:pPr>
              <w:shd w:val="clear"/>
              <w:spacing w:line="400" w:lineRule="exact"/>
              <w:rPr>
                <w:rFonts w:hint="eastAsia" w:ascii="宋体" w:hAnsi="宋体" w:cs="宋体"/>
                <w:color w:val="auto"/>
                <w:sz w:val="24"/>
                <w:highlight w:val="none"/>
              </w:rPr>
            </w:pPr>
            <w:r>
              <w:rPr>
                <w:rFonts w:hint="eastAsia" w:ascii="宋体" w:hAnsi="宋体" w:cs="宋体"/>
                <w:color w:val="auto"/>
                <w:sz w:val="24"/>
                <w:highlight w:val="none"/>
              </w:rPr>
              <w:t>开标地点：义乌市望道路300号义乌市政务服务中心大楼4楼电子开标室</w:t>
            </w:r>
          </w:p>
          <w:p w14:paraId="048B1E8D">
            <w:pPr>
              <w:shd w:val="clear"/>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开标时间后1小时内（2026年</w:t>
            </w:r>
            <w:r>
              <w:rPr>
                <w:rFonts w:hint="eastAsia" w:ascii="宋体" w:hAnsi="宋体" w:cs="宋体"/>
                <w:b/>
                <w:color w:val="auto"/>
                <w:sz w:val="24"/>
                <w:highlight w:val="none"/>
                <w:lang w:eastAsia="zh-CN"/>
              </w:rPr>
              <w:t>5月14日</w:t>
            </w:r>
            <w:r>
              <w:rPr>
                <w:rFonts w:hint="eastAsia" w:ascii="宋体" w:hAnsi="宋体" w:cs="宋体"/>
                <w:b/>
                <w:color w:val="auto"/>
                <w:sz w:val="24"/>
                <w:highlight w:val="none"/>
              </w:rPr>
              <w:t>15:00前）投标人可以登录“政采云”平台，用“项目采购－开标评标”功能进行解密投标文件。若投标人在规定时间内无法解密或解密失败，将导致投标无效或失败。</w:t>
            </w:r>
          </w:p>
          <w:p w14:paraId="33051C08">
            <w:pPr>
              <w:pStyle w:val="15"/>
              <w:shd w:val="clear"/>
              <w:adjustRightInd w:val="0"/>
              <w:snapToGrid w:val="0"/>
              <w:spacing w:line="360" w:lineRule="exact"/>
              <w:rPr>
                <w:rFonts w:hint="eastAsia" w:hAnsi="宋体" w:cs="宋体"/>
                <w:color w:val="auto"/>
                <w:kern w:val="0"/>
                <w:sz w:val="24"/>
                <w:szCs w:val="24"/>
                <w:highlight w:val="none"/>
                <w:u w:val="single"/>
              </w:rPr>
            </w:pPr>
            <w:r>
              <w:rPr>
                <w:rFonts w:hint="eastAsia" w:hAnsi="宋体" w:cs="宋体"/>
                <w:color w:val="auto"/>
                <w:kern w:val="0"/>
                <w:sz w:val="24"/>
                <w:szCs w:val="24"/>
                <w:highlight w:val="none"/>
                <w:u w:val="single"/>
              </w:rPr>
              <w:t>备注：为确保采购项目顺利实施，避免因政采云上电子投标文件解密失败导致投标方投标无效，投标方可在2026年</w:t>
            </w:r>
            <w:r>
              <w:rPr>
                <w:rFonts w:hint="eastAsia" w:hAnsi="宋体" w:cs="宋体"/>
                <w:color w:val="auto"/>
                <w:kern w:val="0"/>
                <w:sz w:val="24"/>
                <w:szCs w:val="24"/>
                <w:highlight w:val="none"/>
                <w:u w:val="single"/>
                <w:lang w:eastAsia="zh-CN"/>
              </w:rPr>
              <w:t>5月14日</w:t>
            </w:r>
            <w:r>
              <w:rPr>
                <w:rFonts w:hint="eastAsia" w:hAnsi="宋体" w:cs="宋体"/>
                <w:color w:val="auto"/>
                <w:kern w:val="0"/>
                <w:sz w:val="24"/>
                <w:szCs w:val="24"/>
                <w:highlight w:val="none"/>
                <w:u w:val="single"/>
              </w:rPr>
              <w:t>14:00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投标方自行保管，如政采云上电子投标文件出现解密失败情况（开标当日14:00-15:00期间进行解密），投标方可按照自身意愿确认是否同意提供加密密码解密传送至浙江求是招标代理有限公司邮箱（qszbyw@qszb.net）的备份文件，并以备份文件作为替代电子投标文件，如投标方未按照规定时间（2026年</w:t>
            </w:r>
            <w:r>
              <w:rPr>
                <w:rFonts w:hint="eastAsia" w:hAnsi="宋体" w:cs="宋体"/>
                <w:color w:val="auto"/>
                <w:kern w:val="0"/>
                <w:sz w:val="24"/>
                <w:szCs w:val="24"/>
                <w:highlight w:val="none"/>
                <w:u w:val="single"/>
                <w:lang w:eastAsia="zh-CN"/>
              </w:rPr>
              <w:t>5月14日</w:t>
            </w:r>
            <w:r>
              <w:rPr>
                <w:rFonts w:hint="eastAsia" w:hAnsi="宋体" w:cs="宋体"/>
                <w:color w:val="auto"/>
                <w:kern w:val="0"/>
                <w:sz w:val="24"/>
                <w:szCs w:val="24"/>
                <w:highlight w:val="none"/>
                <w:u w:val="single"/>
              </w:rPr>
              <w:t>14:00前）及要求提供有效备份文件，同时政采云上投标文件解密失败的，将导致投标无效。</w:t>
            </w:r>
          </w:p>
          <w:p w14:paraId="7FEC87D2">
            <w:pPr>
              <w:pStyle w:val="15"/>
              <w:shd w:val="clear"/>
              <w:adjustRightInd w:val="0"/>
              <w:snapToGrid w:val="0"/>
              <w:spacing w:line="360" w:lineRule="exact"/>
              <w:ind w:firstLine="482" w:firstLineChars="200"/>
              <w:rPr>
                <w:rFonts w:hint="eastAsia" w:hAnsi="宋体" w:cs="宋体"/>
                <w:b/>
                <w:color w:val="auto"/>
                <w:kern w:val="0"/>
                <w:sz w:val="24"/>
                <w:szCs w:val="24"/>
                <w:highlight w:val="none"/>
                <w:u w:val="single"/>
              </w:rPr>
            </w:pPr>
            <w:r>
              <w:rPr>
                <w:rFonts w:hint="eastAsia" w:hAnsi="宋体" w:cs="宋体"/>
                <w:b/>
                <w:color w:val="auto"/>
                <w:kern w:val="0"/>
                <w:sz w:val="24"/>
                <w:szCs w:val="24"/>
                <w:highlight w:val="none"/>
                <w:u w:val="single"/>
              </w:rPr>
              <w:t>投标方无需在开标当天到达开标现场对电子投标进行解密，可在公司办公场地在规定时间内对电子投标文件进行解密。</w:t>
            </w:r>
          </w:p>
        </w:tc>
      </w:tr>
      <w:tr w14:paraId="64CC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FE4DF01">
            <w:pPr>
              <w:shd w:val="clear"/>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8E06BAA">
            <w:pPr>
              <w:shd w:val="clear"/>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639B9837">
            <w:pPr>
              <w:shd w:val="clear"/>
              <w:rPr>
                <w:rFonts w:hint="eastAsia" w:ascii="宋体" w:hAnsi="宋体" w:cs="宋体"/>
                <w:color w:val="auto"/>
                <w:sz w:val="24"/>
                <w:highlight w:val="none"/>
              </w:rPr>
            </w:pPr>
            <w:r>
              <w:rPr>
                <w:rFonts w:hint="eastAsia" w:ascii="宋体" w:hAnsi="宋体" w:cs="宋体"/>
                <w:color w:val="auto"/>
                <w:sz w:val="24"/>
                <w:highlight w:val="none"/>
              </w:rPr>
              <w:t>无</w:t>
            </w:r>
          </w:p>
        </w:tc>
      </w:tr>
      <w:tr w14:paraId="58B4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3206110">
            <w:pPr>
              <w:shd w:val="clear"/>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5CA8A6A">
            <w:pPr>
              <w:shd w:val="clear"/>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5A89A063">
            <w:pPr>
              <w:shd w:val="clear"/>
              <w:rPr>
                <w:rFonts w:hint="eastAsia" w:ascii="宋体" w:hAnsi="宋体" w:cs="宋体"/>
                <w:color w:val="auto"/>
                <w:sz w:val="24"/>
                <w:highlight w:val="none"/>
              </w:rPr>
            </w:pPr>
            <w:r>
              <w:rPr>
                <w:rFonts w:hint="eastAsia" w:ascii="宋体" w:hAnsi="宋体" w:cs="宋体"/>
                <w:color w:val="auto"/>
                <w:sz w:val="24"/>
                <w:highlight w:val="none"/>
              </w:rPr>
              <w:t>无</w:t>
            </w:r>
          </w:p>
        </w:tc>
      </w:tr>
      <w:tr w14:paraId="4790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1B54435">
            <w:pPr>
              <w:shd w:val="clear"/>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541E679">
            <w:pPr>
              <w:shd w:val="clear"/>
              <w:jc w:val="center"/>
              <w:rPr>
                <w:rFonts w:hint="eastAsia" w:ascii="宋体" w:hAnsi="宋体" w:cs="宋体"/>
                <w:color w:val="auto"/>
                <w:sz w:val="24"/>
                <w:highlight w:val="none"/>
              </w:rPr>
            </w:pPr>
            <w:r>
              <w:rPr>
                <w:rFonts w:hint="eastAsia" w:ascii="宋体" w:hAnsi="宋体" w:cs="宋体"/>
                <w:color w:val="auto"/>
                <w:sz w:val="24"/>
                <w:highlight w:val="none"/>
              </w:rPr>
              <w:t>评标办法</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A54F751">
            <w:pPr>
              <w:shd w:val="clear"/>
              <w:rPr>
                <w:rFonts w:hint="eastAsia" w:ascii="宋体" w:hAnsi="宋体" w:cs="宋体"/>
                <w:color w:val="auto"/>
                <w:sz w:val="24"/>
                <w:highlight w:val="none"/>
              </w:rPr>
            </w:pPr>
            <w:r>
              <w:rPr>
                <w:rFonts w:hint="eastAsia" w:ascii="宋体" w:hAnsi="宋体" w:cs="宋体"/>
                <w:color w:val="auto"/>
                <w:sz w:val="24"/>
                <w:highlight w:val="none"/>
              </w:rPr>
              <w:t>综合评分法</w:t>
            </w:r>
          </w:p>
        </w:tc>
      </w:tr>
      <w:tr w14:paraId="3117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6A6B56C">
            <w:pPr>
              <w:shd w:val="clear"/>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586CF92">
            <w:pPr>
              <w:shd w:val="clear"/>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02213FB5">
            <w:pPr>
              <w:shd w:val="clear"/>
              <w:rPr>
                <w:rFonts w:hint="eastAsia" w:ascii="宋体" w:hAnsi="宋体" w:cs="宋体"/>
                <w:color w:val="auto"/>
                <w:sz w:val="24"/>
                <w:highlight w:val="none"/>
              </w:rPr>
            </w:pPr>
            <w:r>
              <w:rPr>
                <w:rFonts w:hint="eastAsia" w:ascii="宋体" w:hAnsi="宋体" w:cs="宋体"/>
                <w:color w:val="auto"/>
                <w:sz w:val="24"/>
                <w:highlight w:val="none"/>
              </w:rPr>
              <w:t>详见第三章招标项目具体要求</w:t>
            </w:r>
          </w:p>
        </w:tc>
      </w:tr>
      <w:tr w14:paraId="2295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5CC37A3">
            <w:pPr>
              <w:shd w:val="clear"/>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D58C13E">
            <w:pPr>
              <w:shd w:val="clear"/>
              <w:jc w:val="center"/>
              <w:rPr>
                <w:rFonts w:hint="eastAsia" w:ascii="宋体" w:hAnsi="宋体" w:cs="宋体"/>
                <w:color w:val="auto"/>
                <w:sz w:val="24"/>
                <w:highlight w:val="none"/>
              </w:rPr>
            </w:pPr>
            <w:r>
              <w:rPr>
                <w:rFonts w:hint="eastAsia" w:ascii="宋体" w:hAnsi="宋体" w:cs="宋体"/>
                <w:color w:val="auto"/>
                <w:sz w:val="24"/>
                <w:highlight w:val="none"/>
              </w:rPr>
              <w:t>其他</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54513B9">
            <w:pPr>
              <w:shd w:val="clea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（1）本项目设有最高限价，投标报价超过最高限价的，其投标均为无效标。</w:t>
            </w:r>
          </w:p>
          <w:p w14:paraId="12F535A2">
            <w:pPr>
              <w:shd w:val="clear"/>
              <w:spacing w:line="400" w:lineRule="exact"/>
              <w:rPr>
                <w:rFonts w:hint="eastAsia" w:ascii="宋体" w:hAnsi="宋体" w:cs="宋体"/>
                <w:color w:val="auto"/>
                <w:sz w:val="24"/>
                <w:highlight w:val="none"/>
              </w:rPr>
            </w:pPr>
            <w:r>
              <w:rPr>
                <w:rFonts w:hint="eastAsia" w:ascii="宋体" w:hAnsi="宋体" w:cs="宋体"/>
                <w:color w:val="auto"/>
                <w:sz w:val="24"/>
                <w:highlight w:val="none"/>
              </w:rPr>
              <w:t>（2）招标文件中要求投标人在制作投标文件时，提供的复印件必须根据评审细则对评审的内容复印完整、清晰可辨，否则在评审时以最不利于投标人原则评审。</w:t>
            </w:r>
          </w:p>
        </w:tc>
      </w:tr>
      <w:tr w14:paraId="3115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AB5D8A6">
            <w:pPr>
              <w:shd w:val="clea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98EA9C5">
            <w:pPr>
              <w:shd w:val="clear"/>
              <w:snapToGrid w:val="0"/>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信用记录</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5EFACE77">
            <w:pPr>
              <w:shd w:val="clear"/>
              <w:snapToGrid w:val="0"/>
              <w:rPr>
                <w:rFonts w:hint="eastAsia" w:ascii="宋体" w:hAnsi="宋体" w:cs="宋体"/>
                <w:color w:val="auto"/>
                <w:sz w:val="24"/>
                <w:highlight w:val="none"/>
              </w:rPr>
            </w:pPr>
            <w:r>
              <w:rPr>
                <w:rFonts w:hint="eastAsia" w:ascii="宋体" w:hAnsi="宋体" w:cs="宋体"/>
                <w:color w:val="auto"/>
                <w:sz w:val="24"/>
                <w:highlight w:val="none"/>
              </w:rPr>
              <w:t>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信用中国”（www.creditchina.gov.cn）、中国政府采购网（www.ccgp.gov.cn）列入失信被执行人、重大税收违法失信主体、政府采购严重违法失信行为记录名单的。</w:t>
            </w:r>
          </w:p>
          <w:p w14:paraId="4F4453B5">
            <w:pPr>
              <w:pStyle w:val="50"/>
              <w:shd w:val="clear"/>
              <w:spacing w:line="240" w:lineRule="auto"/>
              <w:rPr>
                <w:rFonts w:hint="eastAsia" w:ascii="宋体" w:hAnsi="宋体" w:cs="宋体"/>
                <w:color w:val="auto"/>
                <w:highlight w:val="none"/>
                <w:lang w:val="en-US"/>
              </w:rPr>
            </w:pPr>
            <w:r>
              <w:rPr>
                <w:rFonts w:hint="eastAsia" w:ascii="宋体" w:hAnsi="宋体" w:cs="宋体"/>
                <w:color w:val="auto"/>
                <w:highlight w:val="none"/>
                <w:lang w:val="en-US"/>
              </w:rPr>
              <w:t>根据《浙江省公共信用信息管理条例》第二十六条的规定，未列入严重失信名单的（查询结果以开标当日网站页面显示为准）。</w:t>
            </w:r>
          </w:p>
        </w:tc>
      </w:tr>
      <w:tr w14:paraId="7641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150DE22">
            <w:pPr>
              <w:shd w:val="clea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2114201">
            <w:pPr>
              <w:shd w:val="clear"/>
              <w:snapToGrid w:val="0"/>
              <w:jc w:val="left"/>
              <w:rPr>
                <w:rFonts w:hint="eastAsia" w:ascii="宋体" w:hAnsi="宋体" w:cs="宋体"/>
                <w:color w:val="auto"/>
                <w:sz w:val="24"/>
                <w:highlight w:val="none"/>
              </w:rPr>
            </w:pPr>
            <w:r>
              <w:rPr>
                <w:rFonts w:hint="eastAsia" w:ascii="宋体" w:hAnsi="宋体" w:cs="宋体"/>
                <w:color w:val="auto"/>
                <w:sz w:val="24"/>
                <w:highlight w:val="none"/>
              </w:rPr>
              <w:t>政府采购节能环保产品</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29D537F">
            <w:pPr>
              <w:widowControl/>
              <w:shd w:val="clear"/>
              <w:jc w:val="left"/>
              <w:rPr>
                <w:rFonts w:hint="eastAsia" w:ascii="宋体" w:hAnsi="宋体" w:cs="宋体"/>
                <w:color w:val="auto"/>
                <w:sz w:val="24"/>
                <w:highlight w:val="none"/>
              </w:rPr>
            </w:pPr>
            <w:r>
              <w:rPr>
                <w:rFonts w:hint="eastAsia" w:ascii="宋体" w:hAnsi="宋体" w:cs="宋体"/>
                <w:color w:val="auto"/>
                <w:sz w:val="24"/>
                <w:highlight w:val="none"/>
              </w:rPr>
              <w:t>1.根据财政部 发展改革委 生态环境部 市场监管总局关于调整优化节能产品、环境标志产品政府采购执行机制的通知财库〔2019〕9号文件要求，投标方所投产品如属于节能产品政府采购品目清单或环境标志产品政府采购品目清单内的，投标人所投的相应产品须在中国政府采购网节能清单查询目录（http://www.ccgp.gov.cn/search/jnqdchaxun.htm）或环保清单查询目录（http://www.ccgp.gov.cn/search/hbqdchaxun.htm）中可查询到。</w:t>
            </w:r>
          </w:p>
          <w:p w14:paraId="3BADAC8D">
            <w:pPr>
              <w:shd w:val="clear"/>
              <w:snapToGrid w:val="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招标需求中要求提供的产品属于节能产品政府采购品目清单中强制采购的，投标人须提供该清单内产品，否则其投标将作为无效标处理。</w:t>
            </w:r>
          </w:p>
        </w:tc>
      </w:tr>
      <w:tr w14:paraId="3C76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DCDE487">
            <w:pPr>
              <w:shd w:val="clea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19</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87F5D57">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中小企业优惠措施</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6197EF27">
            <w:pPr>
              <w:shd w:val="clear"/>
              <w:jc w:val="left"/>
              <w:rPr>
                <w:rFonts w:hint="eastAsia" w:ascii="宋体" w:hAnsi="宋体" w:cs="宋体"/>
                <w:color w:val="auto"/>
                <w:sz w:val="24"/>
                <w:highlight w:val="none"/>
              </w:rPr>
            </w:pPr>
            <w:r>
              <w:rPr>
                <w:rFonts w:hint="eastAsia" w:ascii="宋体" w:hAnsi="宋体" w:cs="宋体"/>
                <w:color w:val="auto"/>
                <w:sz w:val="24"/>
                <w:highlight w:val="none"/>
              </w:rPr>
              <w:t>（1）项目属性：服务类</w:t>
            </w:r>
          </w:p>
          <w:p w14:paraId="7A2A9CC6">
            <w:pPr>
              <w:shd w:val="clear"/>
              <w:jc w:val="left"/>
              <w:rPr>
                <w:rFonts w:hint="eastAsia" w:ascii="宋体" w:hAnsi="宋体" w:cs="宋体"/>
                <w:color w:val="auto"/>
                <w:sz w:val="24"/>
                <w:highlight w:val="none"/>
              </w:rPr>
            </w:pPr>
            <w:r>
              <w:rPr>
                <w:rFonts w:hint="eastAsia" w:ascii="宋体" w:hAnsi="宋体" w:cs="宋体"/>
                <w:color w:val="auto"/>
                <w:sz w:val="24"/>
                <w:highlight w:val="none"/>
              </w:rPr>
              <w:t>（2）本项目所属行业：其他未列明行业。</w:t>
            </w:r>
          </w:p>
          <w:p w14:paraId="0890C784">
            <w:pPr>
              <w:shd w:val="clear"/>
              <w:jc w:val="left"/>
              <w:rPr>
                <w:rFonts w:hint="eastAsia" w:ascii="宋体" w:hAnsi="宋体" w:cs="宋体"/>
                <w:color w:val="auto"/>
                <w:sz w:val="24"/>
                <w:highlight w:val="none"/>
              </w:rPr>
            </w:pPr>
            <w:r>
              <w:rPr>
                <w:rFonts w:hint="eastAsia" w:ascii="宋体" w:hAnsi="宋体" w:cs="宋体"/>
                <w:color w:val="auto"/>
                <w:sz w:val="24"/>
                <w:highlight w:val="none"/>
              </w:rPr>
              <w:t>（3）本项目属于预留份额专门面向中小企业采购的项目。</w:t>
            </w:r>
          </w:p>
          <w:p w14:paraId="611BEB28">
            <w:pPr>
              <w:shd w:val="clear"/>
              <w:jc w:val="left"/>
              <w:rPr>
                <w:rFonts w:hint="eastAsia" w:ascii="宋体" w:hAnsi="宋体" w:cs="宋体"/>
                <w:color w:val="auto"/>
                <w:sz w:val="24"/>
                <w:highlight w:val="none"/>
              </w:rPr>
            </w:pPr>
            <w:r>
              <w:rPr>
                <w:rFonts w:hint="eastAsia" w:ascii="宋体" w:hAnsi="宋体" w:cs="宋体"/>
                <w:color w:val="auto"/>
                <w:sz w:val="24"/>
                <w:highlight w:val="none"/>
              </w:rPr>
              <w:t>（4）根据财库〔2020〕46号《政府采购促进中小企业发展管理办法》的相关规定，预留份额专门面向中小企业采购的采购项目或采购标段，享受中小企业扶持政策的投标人应当在投标文件中提供《中小企业声明函》；</w:t>
            </w:r>
          </w:p>
          <w:p w14:paraId="0D62C1CE">
            <w:pPr>
              <w:shd w:val="clear"/>
              <w:jc w:val="left"/>
              <w:rPr>
                <w:rFonts w:hint="eastAsia" w:ascii="宋体" w:hAnsi="宋体" w:cs="宋体"/>
                <w:color w:val="auto"/>
                <w:sz w:val="24"/>
                <w:highlight w:val="none"/>
              </w:rPr>
            </w:pPr>
            <w:r>
              <w:rPr>
                <w:rFonts w:hint="eastAsia" w:ascii="宋体" w:hAnsi="宋体" w:cs="宋体"/>
                <w:color w:val="auto"/>
                <w:sz w:val="24"/>
                <w:highlight w:val="none"/>
              </w:rPr>
              <w:t>（5）根据财库〔2017〕141号的相关规定，在政府采购活动中，残疾人福利性单位视同小型、微型企业。属于享受政府采购支持政策的残疾人福利性单位，应满足财库〔2017〕141号文件第一条的规定，并在投标文件中提供残疾人福利性单位声明函。</w:t>
            </w:r>
          </w:p>
          <w:p w14:paraId="3654F64E">
            <w:pPr>
              <w:shd w:val="clear"/>
              <w:jc w:val="left"/>
              <w:rPr>
                <w:rFonts w:hint="eastAsia" w:ascii="宋体" w:hAnsi="宋体" w:cs="宋体"/>
                <w:color w:val="auto"/>
                <w:sz w:val="24"/>
                <w:highlight w:val="none"/>
              </w:rPr>
            </w:pPr>
            <w:r>
              <w:rPr>
                <w:rFonts w:hint="eastAsia" w:ascii="宋体" w:hAnsi="宋体" w:cs="宋体"/>
                <w:color w:val="auto"/>
                <w:sz w:val="24"/>
                <w:highlight w:val="none"/>
              </w:rPr>
              <w:t>（6）根据财库〔2014〕68号的相关规定，在政府采购活动中，监狱企业视同小型、微型企业，并在投标文件中提供由省级以上监狱管理局、戒毒管理局（含新疆生产建设兵团）出具的属于监狱企业的说明文件。</w:t>
            </w:r>
          </w:p>
          <w:p w14:paraId="4CF71CD1">
            <w:pPr>
              <w:shd w:val="clear"/>
              <w:jc w:val="left"/>
              <w:rPr>
                <w:rFonts w:hint="eastAsia" w:ascii="宋体" w:hAnsi="宋体" w:cs="宋体"/>
                <w:color w:val="auto"/>
                <w:sz w:val="24"/>
                <w:highlight w:val="none"/>
              </w:rPr>
            </w:pPr>
            <w:r>
              <w:rPr>
                <w:rFonts w:hint="eastAsia" w:ascii="宋体" w:hAnsi="宋体" w:cs="宋体"/>
                <w:color w:val="auto"/>
                <w:sz w:val="24"/>
                <w:highlight w:val="none"/>
              </w:rPr>
              <w:t>(注：未提供以上材料的，均不得参与本项目投标）。</w:t>
            </w:r>
          </w:p>
        </w:tc>
      </w:tr>
      <w:tr w14:paraId="2476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044A2E0">
            <w:pPr>
              <w:shd w:val="clea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5B2BB04">
            <w:pPr>
              <w:shd w:val="clear"/>
              <w:snapToGrid w:val="0"/>
              <w:jc w:val="center"/>
              <w:rPr>
                <w:rFonts w:hint="eastAsia" w:ascii="宋体" w:hAnsi="宋体" w:cs="宋体"/>
                <w:color w:val="auto"/>
                <w:sz w:val="24"/>
                <w:highlight w:val="none"/>
              </w:rPr>
            </w:pPr>
            <w:r>
              <w:rPr>
                <w:rFonts w:hint="eastAsia" w:ascii="宋体" w:hAnsi="宋体" w:cs="宋体"/>
                <w:color w:val="auto"/>
                <w:sz w:val="24"/>
                <w:highlight w:val="none"/>
              </w:rPr>
              <w:t>信用融资</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0FD177F4">
            <w:pPr>
              <w:shd w:val="clear"/>
              <w:snapToGrid w:val="0"/>
              <w:jc w:val="left"/>
              <w:rPr>
                <w:rFonts w:hint="eastAsia" w:ascii="宋体" w:hAnsi="宋体" w:cs="宋体"/>
                <w:color w:val="auto"/>
                <w:sz w:val="24"/>
                <w:highlight w:val="none"/>
              </w:rPr>
            </w:pPr>
            <w:r>
              <w:rPr>
                <w:rFonts w:hint="eastAsia" w:ascii="宋体" w:hAnsi="宋体" w:cs="宋体"/>
                <w:color w:val="auto"/>
                <w:sz w:val="24"/>
                <w:highlight w:val="none"/>
              </w:rPr>
              <w:t>为支持和促进中小企业发展，进一步发挥政府采购政策功能，根据《浙江省财政厅关于进一步发挥政府采购政策 功能全力推动经济稳进提质的通知》（浙财采监〔2022〕3号），供应商若有融资意向，登录政府采购云平台“金融支撑”栏目进行查询，查看各相关银行服务方案。</w:t>
            </w:r>
          </w:p>
        </w:tc>
      </w:tr>
      <w:tr w14:paraId="4D53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6621AAF">
            <w:pPr>
              <w:shd w:val="clea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13D11D3">
            <w:pPr>
              <w:shd w:val="clear"/>
              <w:jc w:val="center"/>
              <w:rPr>
                <w:rFonts w:hint="eastAsia" w:ascii="宋体" w:hAnsi="宋体" w:cs="宋体"/>
                <w:color w:val="auto"/>
                <w:sz w:val="24"/>
                <w:highlight w:val="none"/>
              </w:rPr>
            </w:pPr>
            <w:r>
              <w:rPr>
                <w:rFonts w:hint="eastAsia" w:ascii="宋体" w:hAnsi="宋体" w:cs="宋体"/>
                <w:color w:val="auto"/>
                <w:sz w:val="24"/>
                <w:highlight w:val="none"/>
              </w:rPr>
              <w:t>失信行为处理</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5E5F1C1A">
            <w:pPr>
              <w:shd w:val="clear"/>
              <w:rPr>
                <w:rFonts w:hint="eastAsia" w:ascii="宋体" w:hAnsi="宋体" w:cs="宋体"/>
                <w:color w:val="auto"/>
                <w:sz w:val="24"/>
                <w:highlight w:val="none"/>
              </w:rPr>
            </w:pPr>
            <w:r>
              <w:rPr>
                <w:rFonts w:hint="eastAsia" w:ascii="宋体" w:hAnsi="宋体" w:cs="宋体"/>
                <w:color w:val="auto"/>
                <w:sz w:val="24"/>
                <w:highlight w:val="none"/>
              </w:rPr>
              <w:t>投标人发生下列情况之一时，除严格依法依规进行处理外，还将通报市信用管理部门，列入严重失信名单：</w:t>
            </w:r>
          </w:p>
          <w:p w14:paraId="7A308523">
            <w:pPr>
              <w:shd w:val="clear"/>
              <w:rPr>
                <w:rFonts w:hint="eastAsia" w:ascii="宋体" w:hAnsi="宋体" w:cs="宋体"/>
                <w:color w:val="auto"/>
                <w:sz w:val="24"/>
                <w:highlight w:val="none"/>
              </w:rPr>
            </w:pPr>
            <w:r>
              <w:rPr>
                <w:rFonts w:hint="eastAsia" w:ascii="宋体" w:hAnsi="宋体" w:cs="宋体"/>
                <w:color w:val="auto"/>
                <w:sz w:val="24"/>
                <w:highlight w:val="none"/>
              </w:rPr>
              <w:t>（1）投标人在规定的投标有效期内撤回投标或放弃中标的；</w:t>
            </w:r>
          </w:p>
          <w:p w14:paraId="3FF2AB5A">
            <w:pPr>
              <w:shd w:val="clear"/>
              <w:rPr>
                <w:rFonts w:hint="eastAsia" w:ascii="宋体" w:hAnsi="宋体" w:cs="宋体"/>
                <w:color w:val="auto"/>
                <w:sz w:val="24"/>
                <w:highlight w:val="none"/>
              </w:rPr>
            </w:pPr>
            <w:r>
              <w:rPr>
                <w:rFonts w:hint="eastAsia" w:ascii="宋体" w:hAnsi="宋体" w:cs="宋体"/>
                <w:color w:val="auto"/>
                <w:sz w:val="24"/>
                <w:highlight w:val="none"/>
              </w:rPr>
              <w:t>（2）有意串标或提供虚假材料者的；</w:t>
            </w:r>
          </w:p>
          <w:p w14:paraId="5B2BDF64">
            <w:pPr>
              <w:shd w:val="clear"/>
              <w:rPr>
                <w:rFonts w:hint="eastAsia" w:ascii="宋体" w:hAnsi="宋体" w:cs="宋体"/>
                <w:color w:val="auto"/>
                <w:sz w:val="24"/>
                <w:highlight w:val="none"/>
              </w:rPr>
            </w:pPr>
            <w:r>
              <w:rPr>
                <w:rFonts w:hint="eastAsia" w:ascii="宋体" w:hAnsi="宋体" w:cs="宋体"/>
                <w:color w:val="auto"/>
                <w:sz w:val="24"/>
                <w:highlight w:val="none"/>
              </w:rPr>
              <w:t>（3）中标人在收到中标通知书后，因自身原因不能在投标有效期内和采购人签订合同。</w:t>
            </w:r>
          </w:p>
          <w:p w14:paraId="644D63E5">
            <w:pPr>
              <w:shd w:val="clear"/>
              <w:rPr>
                <w:rFonts w:hint="eastAsia" w:ascii="宋体" w:hAnsi="宋体" w:cs="宋体"/>
                <w:color w:val="auto"/>
                <w:sz w:val="24"/>
                <w:highlight w:val="none"/>
              </w:rPr>
            </w:pPr>
            <w:r>
              <w:rPr>
                <w:rFonts w:hint="eastAsia" w:ascii="宋体" w:hAnsi="宋体" w:cs="宋体"/>
                <w:color w:val="auto"/>
                <w:sz w:val="24"/>
                <w:highlight w:val="none"/>
              </w:rPr>
              <w:t>（4）中标人未在规定时间缴纳招标代理费的。</w:t>
            </w:r>
          </w:p>
          <w:p w14:paraId="4C0AB674">
            <w:pPr>
              <w:shd w:val="clear"/>
              <w:rPr>
                <w:rFonts w:hint="eastAsia" w:ascii="宋体" w:hAnsi="宋体" w:cs="宋体"/>
                <w:color w:val="auto"/>
                <w:sz w:val="24"/>
                <w:highlight w:val="none"/>
              </w:rPr>
            </w:pPr>
            <w:r>
              <w:rPr>
                <w:rFonts w:hint="eastAsia" w:ascii="宋体" w:hAnsi="宋体" w:cs="宋体"/>
                <w:color w:val="auto"/>
                <w:sz w:val="24"/>
                <w:highlight w:val="none"/>
              </w:rPr>
              <w:t>（5）中标投标人在标后履约过程中未按合同约定的期限和要求履约的。</w:t>
            </w:r>
          </w:p>
          <w:p w14:paraId="1D31670C">
            <w:pPr>
              <w:shd w:val="clear"/>
              <w:rPr>
                <w:rFonts w:hint="eastAsia" w:ascii="宋体" w:hAnsi="宋体" w:cs="宋体"/>
                <w:color w:val="auto"/>
                <w:sz w:val="24"/>
                <w:highlight w:val="none"/>
              </w:rPr>
            </w:pPr>
            <w:r>
              <w:rPr>
                <w:rFonts w:hint="eastAsia" w:ascii="宋体" w:hAnsi="宋体" w:cs="宋体"/>
                <w:color w:val="auto"/>
                <w:sz w:val="24"/>
                <w:highlight w:val="none"/>
              </w:rPr>
              <w:t>（6）因中标投标人原因在标后履约过程中擅自终止合同的。</w:t>
            </w:r>
          </w:p>
          <w:p w14:paraId="29C09CE8">
            <w:pPr>
              <w:shd w:val="clear"/>
              <w:rPr>
                <w:rFonts w:hint="eastAsia" w:ascii="宋体" w:hAnsi="宋体" w:cs="宋体"/>
                <w:color w:val="auto"/>
                <w:sz w:val="24"/>
                <w:highlight w:val="none"/>
              </w:rPr>
            </w:pPr>
            <w:r>
              <w:rPr>
                <w:rFonts w:hint="eastAsia" w:ascii="宋体" w:hAnsi="宋体" w:cs="宋体"/>
                <w:color w:val="auto"/>
                <w:sz w:val="24"/>
                <w:highlight w:val="none"/>
              </w:rPr>
              <w:t>（7）不符合招标文件要求的其他失信行为。</w:t>
            </w:r>
          </w:p>
        </w:tc>
      </w:tr>
      <w:tr w14:paraId="2ED4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6CB93AE">
            <w:pPr>
              <w:shd w:val="clear"/>
              <w:spacing w:line="38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02822EF">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其他政府采购政策</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B0292D2">
            <w:pPr>
              <w:pStyle w:val="15"/>
              <w:shd w:val="clear"/>
              <w:spacing w:line="288" w:lineRule="auto"/>
              <w:jc w:val="left"/>
              <w:rPr>
                <w:rFonts w:hint="eastAsia" w:hAnsi="宋体" w:cs="宋体"/>
                <w:color w:val="auto"/>
                <w:sz w:val="24"/>
                <w:highlight w:val="none"/>
              </w:rPr>
            </w:pPr>
            <w:r>
              <w:rPr>
                <w:rFonts w:hint="eastAsia" w:hAnsi="宋体" w:cs="宋体"/>
                <w:color w:val="auto"/>
                <w:sz w:val="24"/>
                <w:highlight w:val="none"/>
              </w:rPr>
              <w:t>投标产品为省级以上主管部门认定的首台套产品（装备）、首批次新材料、首版次软件，自纳入《省推广应用指导目录》起三年内参加政府采购活动，视同已具备相应销售业绩，业绩分为满分。提供相关的材料。</w:t>
            </w:r>
          </w:p>
        </w:tc>
      </w:tr>
    </w:tbl>
    <w:p w14:paraId="014325FD">
      <w:pPr>
        <w:shd w:val="clear"/>
        <w:spacing w:line="360" w:lineRule="auto"/>
        <w:ind w:firstLine="240" w:firstLineChars="100"/>
        <w:jc w:val="center"/>
        <w:rPr>
          <w:rFonts w:hint="eastAsia" w:ascii="宋体" w:hAnsi="宋体" w:cs="宋体"/>
          <w:b/>
          <w:color w:val="auto"/>
          <w:sz w:val="36"/>
          <w:szCs w:val="36"/>
          <w:highlight w:val="none"/>
        </w:rPr>
      </w:pPr>
      <w:r>
        <w:rPr>
          <w:rFonts w:hint="eastAsia" w:ascii="宋体" w:hAnsi="宋体" w:cs="宋体"/>
          <w:color w:val="auto"/>
          <w:sz w:val="24"/>
          <w:highlight w:val="none"/>
        </w:rPr>
        <w:t>注：投标人须知前附表内容与本招标文件后述内容不一致的，以投标须知前附表为准。</w:t>
      </w:r>
      <w:r>
        <w:rPr>
          <w:rFonts w:hint="eastAsia" w:ascii="宋体" w:hAnsi="宋体" w:cs="宋体"/>
          <w:color w:val="auto"/>
          <w:highlight w:val="none"/>
        </w:rPr>
        <w:br w:type="page"/>
      </w:r>
      <w:r>
        <w:rPr>
          <w:rFonts w:hint="eastAsia" w:ascii="宋体" w:hAnsi="宋体" w:cs="宋体"/>
          <w:b/>
          <w:color w:val="auto"/>
          <w:sz w:val="36"/>
          <w:szCs w:val="36"/>
          <w:highlight w:val="none"/>
        </w:rPr>
        <w:t>投标须知</w:t>
      </w:r>
    </w:p>
    <w:p w14:paraId="257C84DA">
      <w:pPr>
        <w:pStyle w:val="3"/>
        <w:shd w:val="clear"/>
        <w:spacing w:before="0" w:after="0" w:line="360" w:lineRule="auto"/>
        <w:rPr>
          <w:rFonts w:hint="eastAsia" w:ascii="宋体" w:hAnsi="宋体" w:eastAsia="宋体" w:cs="宋体"/>
          <w:color w:val="auto"/>
          <w:sz w:val="24"/>
          <w:szCs w:val="24"/>
          <w:highlight w:val="none"/>
        </w:rPr>
      </w:pPr>
      <w:bookmarkStart w:id="3" w:name="_Toc274303229"/>
      <w:bookmarkStart w:id="4" w:name="_Toc362250687"/>
      <w:r>
        <w:rPr>
          <w:rFonts w:hint="eastAsia" w:ascii="宋体" w:hAnsi="宋体" w:eastAsia="宋体" w:cs="宋体"/>
          <w:color w:val="auto"/>
          <w:sz w:val="24"/>
          <w:szCs w:val="24"/>
          <w:highlight w:val="none"/>
        </w:rPr>
        <w:t>一、说明</w:t>
      </w:r>
      <w:bookmarkEnd w:id="3"/>
      <w:bookmarkEnd w:id="4"/>
    </w:p>
    <w:p w14:paraId="317E66A4">
      <w:pPr>
        <w:pStyle w:val="13"/>
        <w:shd w:val="clea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1.适用范围</w:t>
      </w:r>
    </w:p>
    <w:p w14:paraId="628D6D2E">
      <w:pPr>
        <w:pStyle w:val="13"/>
        <w:shd w:val="clear"/>
        <w:spacing w:line="36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1.1 本招标文件仅适用于本次招标采购所叙述的货物和服务项目。</w:t>
      </w:r>
    </w:p>
    <w:p w14:paraId="7F955E6E">
      <w:pPr>
        <w:pStyle w:val="13"/>
        <w:shd w:val="clea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2.定义</w:t>
      </w:r>
    </w:p>
    <w:p w14:paraId="5F0A3B31">
      <w:pPr>
        <w:pStyle w:val="15"/>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2.1采购人：系指浙江大学医学院附属第四医院。</w:t>
      </w:r>
    </w:p>
    <w:p w14:paraId="06963E5B">
      <w:pPr>
        <w:pStyle w:val="15"/>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2.2招标代理机构：系指浙江求是招标代理有限公司。</w:t>
      </w:r>
    </w:p>
    <w:p w14:paraId="0009FE69">
      <w:pPr>
        <w:shd w:val="clear"/>
        <w:spacing w:line="360" w:lineRule="auto"/>
        <w:ind w:firstLine="435"/>
        <w:rPr>
          <w:rFonts w:hint="eastAsia" w:ascii="宋体" w:hAnsi="宋体" w:cs="宋体"/>
          <w:color w:val="auto"/>
          <w:sz w:val="24"/>
          <w:highlight w:val="none"/>
        </w:rPr>
      </w:pPr>
      <w:r>
        <w:rPr>
          <w:rFonts w:hint="eastAsia" w:ascii="宋体" w:hAnsi="宋体" w:cs="宋体"/>
          <w:color w:val="auto"/>
          <w:sz w:val="24"/>
          <w:highlight w:val="none"/>
        </w:rPr>
        <w:t>2.3投标人：系指符合采购公告要求的投标人。</w:t>
      </w:r>
    </w:p>
    <w:p w14:paraId="5744929A">
      <w:pPr>
        <w:shd w:val="clear"/>
        <w:spacing w:line="360" w:lineRule="auto"/>
        <w:ind w:firstLine="435"/>
        <w:rPr>
          <w:rFonts w:hint="eastAsia" w:ascii="宋体" w:hAnsi="宋体" w:cs="宋体"/>
          <w:color w:val="auto"/>
          <w:sz w:val="24"/>
          <w:highlight w:val="none"/>
        </w:rPr>
      </w:pPr>
      <w:r>
        <w:rPr>
          <w:rFonts w:hint="eastAsia" w:ascii="宋体" w:hAnsi="宋体" w:cs="宋体"/>
          <w:color w:val="auto"/>
          <w:sz w:val="24"/>
          <w:highlight w:val="none"/>
        </w:rPr>
        <w:t>2.4服务：系指招标文件规定投标人须承担的劳务及其他类似的服务。</w:t>
      </w:r>
    </w:p>
    <w:p w14:paraId="00841B9B">
      <w:pPr>
        <w:shd w:val="clear"/>
        <w:spacing w:line="360" w:lineRule="auto"/>
        <w:ind w:firstLine="435"/>
        <w:rPr>
          <w:rFonts w:hint="eastAsia" w:ascii="宋体" w:hAnsi="宋体" w:cs="宋体"/>
          <w:color w:val="auto"/>
          <w:sz w:val="24"/>
          <w:highlight w:val="none"/>
        </w:rPr>
      </w:pPr>
      <w:r>
        <w:rPr>
          <w:rFonts w:hint="eastAsia" w:ascii="宋体" w:hAnsi="宋体" w:cs="宋体"/>
          <w:color w:val="auto"/>
          <w:sz w:val="24"/>
          <w:highlight w:val="none"/>
        </w:rPr>
        <w:t>2.5货物：系指按招标文件规定投标人须向采购人提供的一切材料、货物、机械、仪器仪表、工具及其他有关技术资料和文字材料。</w:t>
      </w:r>
    </w:p>
    <w:p w14:paraId="7CCD6253">
      <w:pPr>
        <w:shd w:val="clear"/>
        <w:spacing w:line="360" w:lineRule="auto"/>
        <w:ind w:firstLine="435"/>
        <w:rPr>
          <w:rFonts w:hint="eastAsia" w:ascii="宋体" w:hAnsi="宋体" w:cs="宋体"/>
          <w:color w:val="auto"/>
          <w:sz w:val="24"/>
          <w:highlight w:val="none"/>
        </w:rPr>
      </w:pPr>
      <w:r>
        <w:rPr>
          <w:rFonts w:hint="eastAsia" w:ascii="宋体" w:hAnsi="宋体" w:cs="宋体"/>
          <w:color w:val="auto"/>
          <w:sz w:val="24"/>
          <w:highlight w:val="none"/>
        </w:rPr>
        <w:t>2.6甲方：即采购人，在招投标阶段称为采购人，在签订和执行合同阶段称为甲方。</w:t>
      </w:r>
    </w:p>
    <w:p w14:paraId="5CAC4DC0">
      <w:pPr>
        <w:shd w:val="clear"/>
        <w:spacing w:line="360" w:lineRule="auto"/>
        <w:ind w:firstLine="435"/>
        <w:rPr>
          <w:rFonts w:hint="eastAsia" w:ascii="宋体" w:hAnsi="宋体" w:cs="宋体"/>
          <w:color w:val="auto"/>
          <w:sz w:val="24"/>
          <w:highlight w:val="none"/>
        </w:rPr>
      </w:pPr>
      <w:r>
        <w:rPr>
          <w:rFonts w:hint="eastAsia" w:ascii="宋体" w:hAnsi="宋体" w:cs="宋体"/>
          <w:color w:val="auto"/>
          <w:sz w:val="24"/>
          <w:highlight w:val="none"/>
        </w:rPr>
        <w:t>2.7乙方：在招投标阶段称为投标人，中标后在签订和执行合同阶段称为乙方。</w:t>
      </w:r>
    </w:p>
    <w:p w14:paraId="0E182022">
      <w:pPr>
        <w:shd w:val="clear"/>
        <w:spacing w:line="360" w:lineRule="auto"/>
        <w:ind w:firstLine="435"/>
        <w:rPr>
          <w:rFonts w:hint="eastAsia" w:ascii="宋体" w:hAnsi="宋体" w:cs="宋体"/>
          <w:color w:val="auto"/>
          <w:sz w:val="24"/>
          <w:highlight w:val="none"/>
        </w:rPr>
      </w:pPr>
      <w:r>
        <w:rPr>
          <w:rFonts w:hint="eastAsia" w:ascii="宋体" w:hAnsi="宋体" w:cs="宋体"/>
          <w:color w:val="auto"/>
          <w:sz w:val="24"/>
          <w:highlight w:val="none"/>
        </w:rPr>
        <w:t>2.8“原产地”是指货物开采、生长或生产或提供有关服务的来源地。</w:t>
      </w:r>
    </w:p>
    <w:p w14:paraId="3398FA56">
      <w:pPr>
        <w:shd w:val="clear"/>
        <w:spacing w:line="360" w:lineRule="auto"/>
        <w:ind w:firstLine="435"/>
        <w:rPr>
          <w:rFonts w:hint="eastAsia" w:ascii="宋体" w:hAnsi="宋体" w:cs="宋体"/>
          <w:color w:val="auto"/>
          <w:sz w:val="24"/>
          <w:highlight w:val="none"/>
        </w:rPr>
      </w:pPr>
      <w:r>
        <w:rPr>
          <w:rFonts w:hint="eastAsia" w:ascii="宋体" w:hAnsi="宋体" w:cs="宋体"/>
          <w:color w:val="auto"/>
          <w:sz w:val="24"/>
          <w:highlight w:val="none"/>
        </w:rPr>
        <w:t>2.9中小企业（含中型、小型、微型）：符合中小企业划分标准（工信部联企业〔2011〕300号）的企业。</w:t>
      </w:r>
    </w:p>
    <w:p w14:paraId="4D5AD6C8">
      <w:pPr>
        <w:shd w:val="clear"/>
        <w:spacing w:line="360" w:lineRule="auto"/>
        <w:ind w:firstLine="435"/>
        <w:rPr>
          <w:rFonts w:hint="eastAsia" w:ascii="宋体" w:hAnsi="宋体" w:cs="宋体"/>
          <w:color w:val="auto"/>
          <w:sz w:val="24"/>
          <w:highlight w:val="none"/>
        </w:rPr>
      </w:pPr>
      <w:r>
        <w:rPr>
          <w:rFonts w:hint="eastAsia" w:ascii="宋体" w:hAnsi="宋体" w:cs="宋体"/>
          <w:color w:val="auto"/>
          <w:sz w:val="24"/>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58AA28">
      <w:pPr>
        <w:shd w:val="clear"/>
        <w:spacing w:line="360" w:lineRule="auto"/>
        <w:ind w:firstLine="435"/>
        <w:rPr>
          <w:rFonts w:hint="eastAsia" w:ascii="宋体" w:hAnsi="宋体" w:cs="宋体"/>
          <w:color w:val="auto"/>
          <w:sz w:val="24"/>
          <w:highlight w:val="none"/>
        </w:rPr>
      </w:pPr>
      <w:r>
        <w:rPr>
          <w:rFonts w:hint="eastAsia" w:ascii="宋体" w:hAnsi="宋体" w:cs="宋体"/>
          <w:color w:val="auto"/>
          <w:sz w:val="24"/>
          <w:highlight w:val="none"/>
        </w:rPr>
        <w:t>2.11残疾人福利性单位：符合《财政部、民政部、中国残疾人联合会关于促进残疾人就业政府采购政策的通知》（财库〔2017〕141号）的规定单位。</w:t>
      </w:r>
    </w:p>
    <w:p w14:paraId="3F67AB97">
      <w:pPr>
        <w:shd w:val="clear"/>
        <w:spacing w:line="360" w:lineRule="auto"/>
        <w:ind w:firstLine="435"/>
        <w:rPr>
          <w:rFonts w:hint="eastAsia" w:ascii="宋体" w:hAnsi="宋体" w:cs="宋体"/>
          <w:color w:val="auto"/>
          <w:sz w:val="24"/>
          <w:highlight w:val="none"/>
        </w:rPr>
      </w:pPr>
      <w:r>
        <w:rPr>
          <w:rFonts w:hint="eastAsia" w:ascii="宋体" w:hAnsi="宋体" w:cs="宋体"/>
          <w:color w:val="auto"/>
          <w:sz w:val="24"/>
          <w:highlight w:val="none"/>
        </w:rPr>
        <w:t>2.12 “★”标记系指必须满足不能负偏离或必须应答的条款。</w:t>
      </w:r>
    </w:p>
    <w:p w14:paraId="5E7147FE">
      <w:pPr>
        <w:pStyle w:val="13"/>
        <w:shd w:val="clea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3.合格的投标人</w:t>
      </w:r>
    </w:p>
    <w:p w14:paraId="6657917B">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3.1符合《中华人民共和国政府采购法》第二十二条投标人应当具备的条件；</w:t>
      </w:r>
    </w:p>
    <w:p w14:paraId="69BAF2B9">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3.2投标人自2023年1月1日起到中标公告期结束前无行贿犯罪记录。</w:t>
      </w:r>
    </w:p>
    <w:p w14:paraId="6758EB72">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失信主体、政府采购严重违法失信行为记录名单的。</w:t>
      </w:r>
    </w:p>
    <w:p w14:paraId="500B7C82">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3.4根据《浙江省公共信用信息管理条例》第二十六条的规定，未列入严重失信名单的（查询结果以开标当日网站页面显示为准）；</w:t>
      </w:r>
    </w:p>
    <w:p w14:paraId="655A0AD6">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单位负责人为同一人或者存在直接控股、管理关系的不同供应商，不得参加同一合同项（同一标项）下的政府采购活动；为采购项目提供整体设计、规范编制或者项目管理、监理、检测等服务的供应商，不得再参加该采购项目的其他采购活动。</w:t>
      </w:r>
    </w:p>
    <w:p w14:paraId="55EAA399">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3.6公益一类事业单位不属于政府购买服务的承接主体，不得参与承接购买服务采购项目。</w:t>
      </w:r>
    </w:p>
    <w:p w14:paraId="47BA3DAE">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3.7本项目不允许联合体投标。</w:t>
      </w:r>
    </w:p>
    <w:p w14:paraId="13D9F4C8">
      <w:pPr>
        <w:pStyle w:val="7"/>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落实政府采购政策需满足的资格要求：专门面向中小企业，服务全部由符合政策要求的中小企业承接，提供中小企业声明函；（中小企业是指满足《政府采购促进中小企业发展管理办法》（财库〔2020〕46号）规定的企业，投标人属于依据国务院批准的中小企业划分标准确定的中型企业、小型企业和微型企业，但与大企业的负责人为同一人，或者与大企业存在直接控股、管理关系的除外）。</w:t>
      </w:r>
    </w:p>
    <w:p w14:paraId="517E5273">
      <w:pPr>
        <w:pStyle w:val="8"/>
        <w:shd w:val="clear"/>
        <w:rPr>
          <w:rFonts w:hint="eastAsia" w:ascii="宋体" w:hAnsi="宋体" w:cs="宋体"/>
          <w:color w:val="auto"/>
          <w:sz w:val="24"/>
          <w:highlight w:val="none"/>
        </w:rPr>
      </w:pPr>
      <w:r>
        <w:rPr>
          <w:rFonts w:hint="eastAsia" w:ascii="宋体" w:hAnsi="宋体" w:cs="宋体"/>
          <w:color w:val="auto"/>
          <w:sz w:val="24"/>
          <w:highlight w:val="none"/>
        </w:rPr>
        <w:t>3.9本项目的特定资格要求：具备有效的《放射卫生技术服务机构资质证书》</w:t>
      </w:r>
      <w:r>
        <w:rPr>
          <w:rFonts w:hint="eastAsia" w:ascii="宋体" w:hAnsi="宋体" w:cs="宋体"/>
          <w:color w:val="auto"/>
          <w:sz w:val="24"/>
          <w:highlight w:val="none"/>
        </w:rPr>
        <w:t>（技术服务范围包含：放射诊疗建设项目职业病危害放射防护评价、放射卫生防护检测）</w:t>
      </w:r>
      <w:r>
        <w:rPr>
          <w:rFonts w:hint="eastAsia" w:ascii="宋体" w:hAnsi="宋体" w:cs="宋体"/>
          <w:color w:val="auto"/>
          <w:sz w:val="24"/>
          <w:highlight w:val="none"/>
        </w:rPr>
        <w:t>。</w:t>
      </w:r>
    </w:p>
    <w:p w14:paraId="649D3FCF">
      <w:pPr>
        <w:pStyle w:val="13"/>
        <w:shd w:val="clea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3.10符合采购公告中要求的条件。</w:t>
      </w:r>
    </w:p>
    <w:p w14:paraId="74EEE0B7">
      <w:pPr>
        <w:pStyle w:val="15"/>
        <w:shd w:val="clear"/>
        <w:spacing w:line="360" w:lineRule="auto"/>
        <w:ind w:firstLine="482" w:firstLineChars="200"/>
        <w:rPr>
          <w:rFonts w:hint="eastAsia" w:hAnsi="宋体" w:cs="宋体"/>
          <w:color w:val="auto"/>
          <w:sz w:val="24"/>
          <w:highlight w:val="none"/>
        </w:rPr>
      </w:pPr>
      <w:r>
        <w:rPr>
          <w:rFonts w:hint="eastAsia" w:hAnsi="宋体" w:cs="宋体"/>
          <w:b/>
          <w:color w:val="auto"/>
          <w:sz w:val="24"/>
          <w:highlight w:val="none"/>
        </w:rPr>
        <w:t>4.保证</w:t>
      </w:r>
    </w:p>
    <w:p w14:paraId="461E1C35">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4.1投标方应保证所提交给招标机构和采购人的资料和数据是真实的。</w:t>
      </w:r>
    </w:p>
    <w:p w14:paraId="29B4E76D">
      <w:pPr>
        <w:pStyle w:val="15"/>
        <w:shd w:val="clear"/>
        <w:spacing w:line="360" w:lineRule="auto"/>
        <w:ind w:firstLine="482" w:firstLineChars="200"/>
        <w:rPr>
          <w:rFonts w:hint="eastAsia" w:hAnsi="宋体" w:cs="宋体"/>
          <w:b/>
          <w:color w:val="auto"/>
          <w:sz w:val="24"/>
          <w:highlight w:val="none"/>
        </w:rPr>
      </w:pPr>
      <w:r>
        <w:rPr>
          <w:rFonts w:hint="eastAsia" w:hAnsi="宋体" w:cs="宋体"/>
          <w:b/>
          <w:color w:val="auto"/>
          <w:sz w:val="24"/>
          <w:highlight w:val="none"/>
        </w:rPr>
        <w:t>5.招标投标费用</w:t>
      </w:r>
    </w:p>
    <w:p w14:paraId="2C940A1D">
      <w:pPr>
        <w:pStyle w:val="15"/>
        <w:shd w:val="clear"/>
        <w:spacing w:line="360" w:lineRule="auto"/>
        <w:ind w:firstLine="480" w:firstLineChars="200"/>
        <w:rPr>
          <w:rFonts w:hint="eastAsia" w:hAnsi="宋体" w:cs="宋体"/>
          <w:b/>
          <w:color w:val="auto"/>
          <w:sz w:val="24"/>
          <w:highlight w:val="none"/>
        </w:rPr>
      </w:pPr>
      <w:r>
        <w:rPr>
          <w:rFonts w:hint="eastAsia" w:hAnsi="宋体" w:cs="宋体"/>
          <w:color w:val="auto"/>
          <w:sz w:val="24"/>
          <w:highlight w:val="none"/>
        </w:rPr>
        <w:t>5.1不论投标过程中的做法和结果如何，投标人应承担所有与投标有关的全部费用。采购人和采购代理机构在任何情况下均无义务和责任承担上述这些费用。</w:t>
      </w:r>
    </w:p>
    <w:p w14:paraId="0740F693">
      <w:pPr>
        <w:pStyle w:val="15"/>
        <w:shd w:val="clear"/>
        <w:spacing w:line="360" w:lineRule="auto"/>
        <w:ind w:firstLine="480"/>
        <w:rPr>
          <w:rFonts w:hint="eastAsia" w:hAnsi="宋体" w:cs="宋体"/>
          <w:b/>
          <w:color w:val="auto"/>
          <w:sz w:val="24"/>
          <w:highlight w:val="none"/>
        </w:rPr>
      </w:pPr>
      <w:r>
        <w:rPr>
          <w:rFonts w:hint="eastAsia" w:hAnsi="宋体" w:cs="宋体"/>
          <w:b/>
          <w:color w:val="auto"/>
          <w:sz w:val="24"/>
          <w:highlight w:val="none"/>
        </w:rPr>
        <w:t xml:space="preserve">6.现场勘查 </w:t>
      </w:r>
    </w:p>
    <w:p w14:paraId="5313AF03">
      <w:pPr>
        <w:pStyle w:val="15"/>
        <w:shd w:val="clear"/>
        <w:spacing w:line="360" w:lineRule="auto"/>
        <w:ind w:firstLine="480"/>
        <w:rPr>
          <w:rFonts w:hint="eastAsia" w:hAnsi="宋体" w:cs="宋体"/>
          <w:color w:val="auto"/>
          <w:sz w:val="24"/>
          <w:highlight w:val="none"/>
        </w:rPr>
      </w:pPr>
      <w:r>
        <w:rPr>
          <w:rFonts w:hint="eastAsia" w:hAnsi="宋体" w:cs="宋体"/>
          <w:color w:val="auto"/>
          <w:sz w:val="24"/>
          <w:highlight w:val="none"/>
        </w:rPr>
        <w:t>6.1采购人不统一组织投标方前往项目实施场地踏勘，根据项目实际投标需求，投标方可自行前往项目实施场地进行现场踏勘，以获取编制投标文件所需资料，如投标方因未现场踏勘原因导致投标文件出现错误或遗漏的，由投标方自行承担责任。</w:t>
      </w:r>
    </w:p>
    <w:p w14:paraId="2FCDD1CB">
      <w:pPr>
        <w:pStyle w:val="15"/>
        <w:shd w:val="clear"/>
        <w:spacing w:line="360" w:lineRule="auto"/>
        <w:ind w:firstLine="480"/>
        <w:rPr>
          <w:rFonts w:hint="eastAsia" w:hAnsi="宋体" w:cs="宋体"/>
          <w:color w:val="auto"/>
          <w:sz w:val="24"/>
          <w:highlight w:val="none"/>
        </w:rPr>
      </w:pPr>
      <w:r>
        <w:rPr>
          <w:rFonts w:hint="eastAsia" w:hAnsi="宋体" w:cs="宋体"/>
          <w:color w:val="auto"/>
          <w:sz w:val="24"/>
          <w:highlight w:val="none"/>
        </w:rPr>
        <w:t>6.2投标人在考察过程中发生的各类事件及所发生的各项费用，均由投标人自行承担。采购人和代理机构概不负责。</w:t>
      </w:r>
    </w:p>
    <w:p w14:paraId="66F15ABC">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6.3采购人向投标人提供的有关现场的数据和资料，是采购人现有的能被投标人利用的资料，采购人对投标人据此做出的任何推论、理解和结论不负责任。</w:t>
      </w:r>
    </w:p>
    <w:p w14:paraId="59EE395A">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6.4现场踏勘完毕，将认为投标人已了解现场情况，并充分理解了为之所承担的风险、义务和责任。</w:t>
      </w:r>
    </w:p>
    <w:p w14:paraId="1DAA0FDA">
      <w:pPr>
        <w:shd w:val="clea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7.联合体投标</w:t>
      </w:r>
    </w:p>
    <w:p w14:paraId="070247BB">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不接受联合体投标。</w:t>
      </w:r>
    </w:p>
    <w:p w14:paraId="22DF637D">
      <w:pPr>
        <w:pStyle w:val="3"/>
        <w:shd w:val="clear"/>
        <w:spacing w:before="0" w:after="0" w:line="360" w:lineRule="auto"/>
        <w:rPr>
          <w:rFonts w:hint="eastAsia" w:ascii="宋体" w:hAnsi="宋体" w:eastAsia="宋体" w:cs="宋体"/>
          <w:color w:val="auto"/>
          <w:sz w:val="24"/>
          <w:szCs w:val="24"/>
          <w:highlight w:val="none"/>
        </w:rPr>
      </w:pPr>
      <w:bookmarkStart w:id="5" w:name="_Toc274303230"/>
      <w:bookmarkStart w:id="6" w:name="_Toc362250688"/>
      <w:r>
        <w:rPr>
          <w:rFonts w:hint="eastAsia" w:ascii="宋体" w:hAnsi="宋体" w:eastAsia="宋体" w:cs="宋体"/>
          <w:color w:val="auto"/>
          <w:sz w:val="24"/>
          <w:szCs w:val="24"/>
          <w:highlight w:val="none"/>
        </w:rPr>
        <w:t>二、招标文件</w:t>
      </w:r>
      <w:bookmarkEnd w:id="5"/>
      <w:bookmarkEnd w:id="6"/>
    </w:p>
    <w:p w14:paraId="1FC55269">
      <w:pPr>
        <w:shd w:val="clea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8.招标文件的组成</w:t>
      </w:r>
    </w:p>
    <w:p w14:paraId="076D3AE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8.1招标文件包括下列内容：</w:t>
      </w:r>
    </w:p>
    <w:p w14:paraId="78548F7F">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第一章  采购公告</w:t>
      </w:r>
    </w:p>
    <w:p w14:paraId="4ABF954B">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第二章  投标须知和投标须知前附表</w:t>
      </w:r>
    </w:p>
    <w:p w14:paraId="7A4789D1">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第三章  招标项目要求</w:t>
      </w:r>
    </w:p>
    <w:p w14:paraId="257F884B">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第四章  开标、评标和定标</w:t>
      </w:r>
    </w:p>
    <w:p w14:paraId="577FA716">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第五章  投标文件的有效性</w:t>
      </w:r>
    </w:p>
    <w:p w14:paraId="0594C637">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第六章  评标办法</w:t>
      </w:r>
    </w:p>
    <w:p w14:paraId="22ADDF46">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第七章  合同主要条款</w:t>
      </w:r>
    </w:p>
    <w:p w14:paraId="57446B05">
      <w:pPr>
        <w:shd w:val="clear"/>
        <w:adjustRightInd w:val="0"/>
        <w:snapToGrid w:val="0"/>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第八章  投标文件部分格式</w:t>
      </w:r>
    </w:p>
    <w:p w14:paraId="2F94B39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8.2除8.1内容外，采购人在提交投标文件截止时间前，以书面形式（或网站发布）发出的对招标文件的澄清或修改内容，均为招标文件的组成部分，对采购人和投标人起约束作用。</w:t>
      </w:r>
    </w:p>
    <w:p w14:paraId="70897287">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8.3上述所列8.1及8.2条内容均以书面文件为准，采购人（招标代理机构）的任何工作人员对投标人所作的任何口头解释、介绍、答复，对采购人和投标人无任何约束力。</w:t>
      </w:r>
    </w:p>
    <w:p w14:paraId="062D667A">
      <w:pPr>
        <w:shd w:val="clear"/>
        <w:spacing w:line="360" w:lineRule="auto"/>
        <w:ind w:firstLine="480" w:firstLineChars="200"/>
        <w:rPr>
          <w:rFonts w:hint="eastAsia" w:ascii="宋体" w:hAnsi="宋体" w:cs="宋体"/>
          <w:b/>
          <w:bCs/>
          <w:color w:val="auto"/>
          <w:sz w:val="24"/>
          <w:highlight w:val="none"/>
          <w:shd w:val="pct10" w:color="auto" w:fill="FFFFFF"/>
        </w:rPr>
      </w:pPr>
      <w:r>
        <w:rPr>
          <w:rFonts w:hint="eastAsia" w:ascii="宋体" w:hAnsi="宋体" w:cs="宋体"/>
          <w:color w:val="auto"/>
          <w:sz w:val="24"/>
          <w:highlight w:val="none"/>
        </w:rPr>
        <w:t>8.4</w:t>
      </w:r>
      <w:r>
        <w:rPr>
          <w:rFonts w:hint="eastAsia" w:ascii="宋体" w:hAnsi="宋体" w:cs="宋体"/>
          <w:b/>
          <w:bCs/>
          <w:color w:val="auto"/>
          <w:sz w:val="24"/>
          <w:highlight w:val="none"/>
        </w:rPr>
        <w:t>投标人应认真阅读投标须知、合同条件、规定格式、项目要求、报价要求等招标文件所有的内容。如果投标人的投标文件不能符合招标文件的要求，责任由投标人自负。实质上不响应招标文件要求的投标文件将被拒绝。</w:t>
      </w:r>
    </w:p>
    <w:p w14:paraId="1B206291">
      <w:pPr>
        <w:pStyle w:val="50"/>
        <w:shd w:val="clear"/>
        <w:rPr>
          <w:rFonts w:hint="eastAsia" w:ascii="宋体" w:hAnsi="宋体" w:cs="宋体"/>
          <w:color w:val="auto"/>
          <w:highlight w:val="none"/>
        </w:rPr>
      </w:pPr>
      <w:r>
        <w:rPr>
          <w:rFonts w:hint="eastAsia" w:ascii="宋体" w:hAnsi="宋体" w:cs="宋体"/>
          <w:color w:val="auto"/>
          <w:highlight w:val="none"/>
          <w:lang w:val="en-US"/>
        </w:rPr>
        <w:t>8</w:t>
      </w:r>
      <w:r>
        <w:rPr>
          <w:rFonts w:hint="eastAsia" w:ascii="宋体" w:hAnsi="宋体" w:cs="宋体"/>
          <w:color w:val="auto"/>
          <w:highlight w:val="none"/>
        </w:rPr>
        <w:t>.5招标方在政采云系统上设定的内容与招标文件的内容不一致的，以招标文件的内容为准。</w:t>
      </w:r>
    </w:p>
    <w:p w14:paraId="7F053079">
      <w:pPr>
        <w:shd w:val="clea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9.招标文件的澄清</w:t>
      </w:r>
    </w:p>
    <w:p w14:paraId="57151058">
      <w:pPr>
        <w:shd w:val="clear"/>
        <w:spacing w:line="360" w:lineRule="auto"/>
        <w:ind w:firstLine="480" w:firstLineChars="200"/>
        <w:textAlignment w:val="baseline"/>
        <w:rPr>
          <w:rFonts w:hint="eastAsia" w:ascii="宋体" w:hAnsi="宋体" w:cs="宋体"/>
          <w:color w:val="auto"/>
          <w:sz w:val="24"/>
          <w:szCs w:val="20"/>
          <w:highlight w:val="none"/>
        </w:rPr>
      </w:pPr>
      <w:r>
        <w:rPr>
          <w:rFonts w:hint="eastAsia" w:ascii="宋体" w:hAnsi="宋体" w:cs="宋体"/>
          <w:color w:val="auto"/>
          <w:sz w:val="24"/>
          <w:szCs w:val="20"/>
          <w:highlight w:val="none"/>
        </w:rPr>
        <w:t>9.1投标人若对招标文件有任何疑问，应于前附表规定的时间以书面形式送（传真）至浙江求是招标代理有限公司（浙江省义乌市稠江街道杨村路288号高层次人才创业园B幢507室）向采购人和代理机构提出。</w:t>
      </w:r>
    </w:p>
    <w:p w14:paraId="6DF267EF">
      <w:pPr>
        <w:shd w:val="clear"/>
        <w:spacing w:line="360" w:lineRule="auto"/>
        <w:ind w:firstLine="480" w:firstLineChars="200"/>
        <w:textAlignment w:val="baseline"/>
        <w:rPr>
          <w:rFonts w:hint="eastAsia" w:ascii="宋体" w:hAnsi="宋体" w:cs="宋体"/>
          <w:color w:val="auto"/>
          <w:sz w:val="24"/>
          <w:szCs w:val="20"/>
          <w:highlight w:val="none"/>
        </w:rPr>
      </w:pPr>
      <w:r>
        <w:rPr>
          <w:rFonts w:hint="eastAsia" w:ascii="宋体" w:hAnsi="宋体" w:cs="宋体"/>
          <w:color w:val="auto"/>
          <w:sz w:val="24"/>
          <w:szCs w:val="20"/>
          <w:highlight w:val="none"/>
        </w:rPr>
        <w:t>9.2</w:t>
      </w:r>
      <w:r>
        <w:rPr>
          <w:rFonts w:hint="eastAsia" w:ascii="宋体" w:hAnsi="宋体" w:cs="宋体"/>
          <w:color w:val="auto"/>
          <w:sz w:val="24"/>
          <w:highlight w:val="none"/>
        </w:rPr>
        <w:t>无论是采购人根据需要主动对招标文件进行必要澄清，或是根据投标人的要求对招标文件作出澄清，采购人的澄清文件会在浙江省政府采购网（http://zfcg.czt.zj.gov.cn/）上统一以公告的形式发布，同时政采云系统会向所有已按招标文件规定方式获取招标文件的潜在投标人发送更正提醒信息，潜在投标人请自行到浙江省政府采购网上下载澄清（更正）文件，如因投标人未及时关注网上发布的信息而导致的一切投标后果由投标人自行承担</w:t>
      </w:r>
      <w:r>
        <w:rPr>
          <w:rFonts w:hint="eastAsia" w:ascii="宋体" w:hAnsi="宋体" w:cs="宋体"/>
          <w:color w:val="auto"/>
          <w:sz w:val="24"/>
          <w:szCs w:val="20"/>
          <w:highlight w:val="none"/>
        </w:rPr>
        <w:t>。</w:t>
      </w:r>
    </w:p>
    <w:p w14:paraId="3437D8D1">
      <w:pPr>
        <w:shd w:val="clear"/>
        <w:spacing w:line="360" w:lineRule="auto"/>
        <w:ind w:firstLine="480" w:firstLineChars="200"/>
        <w:textAlignment w:val="baseline"/>
        <w:rPr>
          <w:rFonts w:hint="eastAsia" w:ascii="宋体" w:hAnsi="宋体" w:cs="宋体"/>
          <w:color w:val="auto"/>
          <w:sz w:val="24"/>
          <w:szCs w:val="20"/>
          <w:highlight w:val="none"/>
        </w:rPr>
      </w:pPr>
      <w:r>
        <w:rPr>
          <w:rFonts w:hint="eastAsia" w:ascii="宋体" w:hAnsi="宋体" w:cs="宋体"/>
          <w:color w:val="auto"/>
          <w:sz w:val="24"/>
          <w:szCs w:val="20"/>
          <w:highlight w:val="none"/>
        </w:rPr>
        <w:t>9.3投标人在前附表规定时间未提交疑问的，视作默认对本次招标过程中招标文件无异议，采购人对其提出的问题可以不作解释。</w:t>
      </w:r>
    </w:p>
    <w:p w14:paraId="7236D804">
      <w:pPr>
        <w:shd w:val="clear"/>
        <w:spacing w:line="360" w:lineRule="auto"/>
        <w:ind w:firstLine="480" w:firstLineChars="200"/>
        <w:textAlignment w:val="baseline"/>
        <w:rPr>
          <w:rFonts w:hint="eastAsia" w:ascii="宋体" w:hAnsi="宋体" w:cs="宋体"/>
          <w:color w:val="auto"/>
          <w:sz w:val="24"/>
          <w:szCs w:val="20"/>
          <w:highlight w:val="none"/>
        </w:rPr>
      </w:pPr>
      <w:r>
        <w:rPr>
          <w:rFonts w:hint="eastAsia" w:ascii="宋体" w:hAnsi="宋体" w:cs="宋体"/>
          <w:color w:val="auto"/>
          <w:sz w:val="24"/>
          <w:szCs w:val="20"/>
          <w:highlight w:val="none"/>
        </w:rPr>
        <w:t>9.4招标文件澄清、修改、补充等内容均以公告形式明确的内容为准。当招标文件、招标文件的澄清、修改、补充等在同一内容的表述上不一致时，以最后发出的公告文件为准。</w:t>
      </w:r>
    </w:p>
    <w:p w14:paraId="5755C92D">
      <w:pPr>
        <w:shd w:val="clear"/>
        <w:spacing w:line="360" w:lineRule="auto"/>
        <w:ind w:firstLine="480" w:firstLineChars="200"/>
        <w:textAlignment w:val="baseline"/>
        <w:rPr>
          <w:rFonts w:hint="eastAsia" w:ascii="宋体" w:hAnsi="宋体" w:cs="宋体"/>
          <w:color w:val="auto"/>
          <w:sz w:val="24"/>
          <w:szCs w:val="20"/>
          <w:highlight w:val="none"/>
        </w:rPr>
      </w:pPr>
      <w:r>
        <w:rPr>
          <w:rFonts w:hint="eastAsia" w:ascii="宋体" w:hAnsi="宋体" w:cs="宋体"/>
          <w:color w:val="auto"/>
          <w:sz w:val="24"/>
          <w:szCs w:val="20"/>
          <w:highlight w:val="none"/>
        </w:rPr>
        <w:t>9.5采购人及招标代理机构工作人员向投标人所作的任何口头答复或电话通知一律无效。</w:t>
      </w:r>
    </w:p>
    <w:p w14:paraId="5275B431">
      <w:pPr>
        <w:shd w:val="clear"/>
        <w:spacing w:line="360" w:lineRule="auto"/>
        <w:ind w:firstLine="480" w:firstLineChars="200"/>
        <w:textAlignment w:val="baseline"/>
        <w:rPr>
          <w:rFonts w:hint="eastAsia" w:ascii="宋体" w:hAnsi="宋体" w:cs="宋体"/>
          <w:color w:val="auto"/>
          <w:spacing w:val="-4"/>
          <w:sz w:val="24"/>
          <w:highlight w:val="none"/>
        </w:rPr>
      </w:pPr>
      <w:r>
        <w:rPr>
          <w:rFonts w:hint="eastAsia" w:ascii="宋体" w:hAnsi="宋体" w:cs="宋体"/>
          <w:color w:val="auto"/>
          <w:sz w:val="24"/>
          <w:szCs w:val="20"/>
          <w:highlight w:val="none"/>
        </w:rPr>
        <w:t>9.6投标人应仔细阅读和检查招标文件的全部内容。如发现缺页或附件不全，应及时向采购人提出，以便补齐。如有疑问，应在投标人须知前附表规定的方式及时间前以书面或传真形式要求澄清问题的文件，要求采购人对招标文件予以澄清。否则，由此引起的损失由投标人自己承担</w:t>
      </w:r>
      <w:r>
        <w:rPr>
          <w:rFonts w:hint="eastAsia" w:ascii="宋体" w:hAnsi="宋体" w:cs="宋体"/>
          <w:color w:val="auto"/>
          <w:spacing w:val="-4"/>
          <w:sz w:val="24"/>
          <w:highlight w:val="none"/>
        </w:rPr>
        <w:t>。</w:t>
      </w:r>
    </w:p>
    <w:p w14:paraId="0B753D0F">
      <w:pPr>
        <w:pStyle w:val="3"/>
        <w:shd w:val="clear"/>
        <w:spacing w:before="0" w:after="0" w:line="360" w:lineRule="auto"/>
        <w:rPr>
          <w:rFonts w:hint="eastAsia" w:ascii="宋体" w:hAnsi="宋体" w:eastAsia="宋体" w:cs="宋体"/>
          <w:color w:val="auto"/>
          <w:sz w:val="24"/>
          <w:szCs w:val="24"/>
          <w:highlight w:val="none"/>
        </w:rPr>
      </w:pPr>
      <w:bookmarkStart w:id="7" w:name="_Toc274303231"/>
      <w:bookmarkStart w:id="8" w:name="_Toc362250689"/>
      <w:r>
        <w:rPr>
          <w:rFonts w:hint="eastAsia" w:ascii="宋体" w:hAnsi="宋体" w:eastAsia="宋体" w:cs="宋体"/>
          <w:color w:val="auto"/>
          <w:sz w:val="24"/>
          <w:szCs w:val="24"/>
          <w:highlight w:val="none"/>
        </w:rPr>
        <w:t>三、投标文件</w:t>
      </w:r>
      <w:bookmarkEnd w:id="7"/>
      <w:bookmarkEnd w:id="8"/>
    </w:p>
    <w:p w14:paraId="71270970">
      <w:pPr>
        <w:shd w:val="clea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10.</w:t>
      </w:r>
      <w:r>
        <w:rPr>
          <w:rFonts w:hint="eastAsia" w:ascii="宋体" w:hAnsi="宋体" w:cs="宋体"/>
          <w:b/>
          <w:bCs/>
          <w:color w:val="auto"/>
          <w:sz w:val="24"/>
          <w:highlight w:val="none"/>
        </w:rPr>
        <w:t>投标文件的语言及度量衡单位</w:t>
      </w:r>
    </w:p>
    <w:p w14:paraId="07A834F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10.1投标文件和与投标有关的所有文件均应使用中文。</w:t>
      </w:r>
    </w:p>
    <w:p w14:paraId="3BEB4FCA">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10.2除工程规范另有规定外，投标文件使用的度量衡单位，均采用中华人民共和国法定计量单位。</w:t>
      </w:r>
    </w:p>
    <w:p w14:paraId="4301A884">
      <w:pPr>
        <w:shd w:val="clear"/>
        <w:spacing w:line="360" w:lineRule="auto"/>
        <w:ind w:firstLine="482" w:firstLineChars="200"/>
        <w:rPr>
          <w:rFonts w:hint="eastAsia" w:ascii="宋体" w:hAnsi="宋体" w:cs="宋体"/>
          <w:color w:val="auto"/>
          <w:kern w:val="0"/>
          <w:sz w:val="24"/>
          <w:highlight w:val="none"/>
        </w:rPr>
      </w:pPr>
      <w:r>
        <w:rPr>
          <w:rFonts w:hint="eastAsia" w:ascii="宋体" w:hAnsi="宋体" w:cs="宋体"/>
          <w:b/>
          <w:bCs/>
          <w:color w:val="auto"/>
          <w:sz w:val="24"/>
          <w:highlight w:val="none"/>
        </w:rPr>
        <w:t>11.对投标文件的要求</w:t>
      </w:r>
    </w:p>
    <w:p w14:paraId="5AD6171D">
      <w:pPr>
        <w:pStyle w:val="26"/>
        <w:shd w:val="clear"/>
        <w:spacing w:after="0" w:line="360" w:lineRule="auto"/>
        <w:jc w:val="left"/>
        <w:textAlignment w:val="baseline"/>
        <w:rPr>
          <w:rFonts w:hint="eastAsia" w:ascii="宋体" w:hAnsi="宋体" w:cs="宋体"/>
          <w:color w:val="auto"/>
          <w:kern w:val="0"/>
          <w:sz w:val="24"/>
          <w:highlight w:val="none"/>
        </w:rPr>
      </w:pP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11.1投标人应仔细阅读招标文件，了解招标文件的要求，在完全了解招标项目的要求后，编制投标文件。</w:t>
      </w:r>
    </w:p>
    <w:p w14:paraId="15DC505D">
      <w:pPr>
        <w:pStyle w:val="13"/>
        <w:shd w:val="clear"/>
        <w:spacing w:line="360" w:lineRule="auto"/>
        <w:ind w:firstLine="480" w:firstLineChars="200"/>
        <w:jc w:val="left"/>
        <w:rPr>
          <w:rFonts w:hint="eastAsia" w:ascii="宋体" w:hAnsi="宋体" w:cs="宋体"/>
          <w:color w:val="auto"/>
          <w:kern w:val="0"/>
          <w:highlight w:val="none"/>
        </w:rPr>
      </w:pPr>
      <w:r>
        <w:rPr>
          <w:rFonts w:hint="eastAsia" w:ascii="宋体" w:hAnsi="宋体" w:cs="宋体"/>
          <w:color w:val="auto"/>
          <w:kern w:val="0"/>
          <w:highlight w:val="none"/>
        </w:rPr>
        <w:t>11.2编制投标文件时，投标人对招标文件中的各个要求须逐项逐条作出实质性回答，</w:t>
      </w:r>
      <w:r>
        <w:rPr>
          <w:rFonts w:hint="eastAsia" w:ascii="宋体" w:hAnsi="宋体" w:cs="宋体"/>
          <w:color w:val="auto"/>
          <w:highlight w:val="none"/>
        </w:rPr>
        <w:t>若有偏离的均应在采购需求偏离表中提出。</w:t>
      </w:r>
      <w:r>
        <w:rPr>
          <w:rFonts w:hint="eastAsia" w:ascii="宋体" w:hAnsi="宋体" w:cs="宋体"/>
          <w:color w:val="auto"/>
          <w:kern w:val="0"/>
          <w:highlight w:val="none"/>
        </w:rPr>
        <w:t>顺序编号清楚，可用描述性文字及说明材料（说明材料必须加盖公章或授权代表签章）。</w:t>
      </w:r>
    </w:p>
    <w:p w14:paraId="6DB5C280">
      <w:pPr>
        <w:shd w:val="clea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11.3 在招标文件对商务技术要求中，投标人必须充分应答和满足用户的强制性的需求，如“★”等，否则将导致废标。</w:t>
      </w:r>
    </w:p>
    <w:p w14:paraId="5671F552">
      <w:pPr>
        <w:shd w:val="clear"/>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11.4</w:t>
      </w:r>
      <w:r>
        <w:rPr>
          <w:rFonts w:hint="eastAsia" w:ascii="宋体" w:hAnsi="宋体" w:cs="宋体"/>
          <w:bCs/>
          <w:color w:val="auto"/>
          <w:sz w:val="24"/>
          <w:highlight w:val="none"/>
        </w:rPr>
        <w:t>投标人应提供证明其拟提供的货物及其辅助服务的合格性及符合招标文件规定的文件，作为其投标文件的一部分。</w:t>
      </w:r>
    </w:p>
    <w:p w14:paraId="62BC1A0B">
      <w:pPr>
        <w:shd w:val="clea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11.5</w:t>
      </w:r>
      <w:r>
        <w:rPr>
          <w:rFonts w:hint="eastAsia" w:ascii="宋体" w:hAnsi="宋体" w:cs="宋体"/>
          <w:color w:val="auto"/>
          <w:sz w:val="24"/>
          <w:highlight w:val="none"/>
        </w:rPr>
        <w:t>编制的投标文件对招标文件中有关条款未提出异议的，均被视为接受和同意。</w:t>
      </w:r>
    </w:p>
    <w:p w14:paraId="63FD7F61">
      <w:pPr>
        <w:shd w:val="clea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12.投标文件的组成</w:t>
      </w:r>
    </w:p>
    <w:p w14:paraId="33F48230">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招标文件中“投标文件部分格式”所列的内容、格式及其投标人认为有必要提供的其他文件。</w:t>
      </w:r>
    </w:p>
    <w:p w14:paraId="7C5D4477">
      <w:pPr>
        <w:shd w:val="clea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★12.2 递交的投标文件应分为资格响应文件、商务技术响应文件和报价响应文件，资格响应文件、商务技术响应文件为除报价响应文件外的所有内容，电子投标文件中所有加盖公章均采用CA签章。</w:t>
      </w:r>
      <w:r>
        <w:rPr>
          <w:rFonts w:hint="eastAsia" w:ascii="宋体" w:hAnsi="宋体" w:cs="宋体"/>
          <w:b/>
          <w:color w:val="auto"/>
          <w:sz w:val="24"/>
          <w:highlight w:val="none"/>
          <w:u w:val="single"/>
        </w:rPr>
        <w:t>资格响应文件、商务技术响应文件不得含投标报价，否则作无效标处理</w:t>
      </w:r>
      <w:r>
        <w:rPr>
          <w:rFonts w:hint="eastAsia" w:ascii="宋体" w:hAnsi="宋体" w:cs="宋体"/>
          <w:color w:val="auto"/>
          <w:sz w:val="24"/>
          <w:highlight w:val="none"/>
        </w:rPr>
        <w:t>。</w:t>
      </w:r>
    </w:p>
    <w:p w14:paraId="76A9E512">
      <w:pPr>
        <w:pStyle w:val="15"/>
        <w:shd w:val="clear"/>
        <w:spacing w:line="360" w:lineRule="auto"/>
        <w:ind w:firstLine="477" w:firstLineChars="198"/>
        <w:rPr>
          <w:rFonts w:hint="eastAsia" w:hAnsi="宋体" w:cs="宋体"/>
          <w:color w:val="auto"/>
          <w:sz w:val="24"/>
          <w:highlight w:val="none"/>
        </w:rPr>
      </w:pPr>
      <w:r>
        <w:rPr>
          <w:rFonts w:hint="eastAsia" w:hAnsi="宋体" w:cs="宋体"/>
          <w:b/>
          <w:bCs/>
          <w:color w:val="auto"/>
          <w:sz w:val="24"/>
          <w:szCs w:val="24"/>
          <w:highlight w:val="none"/>
        </w:rPr>
        <w:t>12.3资格响应文件：</w:t>
      </w:r>
    </w:p>
    <w:p w14:paraId="3EBD5606">
      <w:pPr>
        <w:pStyle w:val="26"/>
        <w:shd w:val="clear"/>
        <w:spacing w:after="0" w:line="360"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（1）有效的法人或者其他组织的营业执照等文件，自然人的身份证</w:t>
      </w:r>
    </w:p>
    <w:p w14:paraId="31063381">
      <w:pPr>
        <w:pStyle w:val="26"/>
        <w:shd w:val="clear"/>
        <w:spacing w:after="0" w:line="360"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（2）符合参加政府采购活动应当具备的一般条件的承诺函</w:t>
      </w:r>
    </w:p>
    <w:p w14:paraId="2E59C798">
      <w:pPr>
        <w:pStyle w:val="21"/>
        <w:shd w:val="clear"/>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（3）具备有效的《放射卫生技术服务机构资质证书》</w:t>
      </w:r>
      <w:r>
        <w:rPr>
          <w:rFonts w:hint="eastAsia" w:ascii="宋体" w:hAnsi="宋体" w:cs="宋体"/>
          <w:color w:val="auto"/>
          <w:highlight w:val="none"/>
        </w:rPr>
        <w:t>（技术服务范围包含：放射诊疗建设项目职业病危害放射防护评价、放射卫生防护检测）</w:t>
      </w:r>
    </w:p>
    <w:p w14:paraId="7C045EF6">
      <w:pPr>
        <w:pStyle w:val="21"/>
        <w:shd w:val="clear"/>
        <w:ind w:firstLine="480" w:firstLineChars="200"/>
        <w:rPr>
          <w:rFonts w:hint="eastAsia" w:ascii="宋体" w:hAnsi="宋体" w:cs="宋体"/>
          <w:color w:val="auto"/>
          <w:highlight w:val="none"/>
        </w:rPr>
      </w:pPr>
      <w:r>
        <w:rPr>
          <w:rFonts w:hint="eastAsia" w:ascii="宋体" w:hAnsi="宋体" w:cs="宋体"/>
          <w:color w:val="auto"/>
          <w:kern w:val="0"/>
          <w:highlight w:val="none"/>
        </w:rPr>
        <w:t>（4</w:t>
      </w:r>
      <w:r>
        <w:rPr>
          <w:rFonts w:hint="eastAsia" w:ascii="宋体" w:hAnsi="宋体" w:cs="宋体"/>
          <w:color w:val="auto"/>
          <w:highlight w:val="none"/>
        </w:rPr>
        <w:t>）中小企业声明函</w:t>
      </w:r>
    </w:p>
    <w:p w14:paraId="6043276D">
      <w:pPr>
        <w:pStyle w:val="21"/>
        <w:shd w:val="clear"/>
        <w:ind w:firstLine="480" w:firstLineChars="200"/>
        <w:rPr>
          <w:rFonts w:hint="eastAsia" w:ascii="宋体" w:hAnsi="宋体" w:cs="宋体"/>
          <w:color w:val="auto"/>
          <w:highlight w:val="none"/>
        </w:rPr>
      </w:pPr>
      <w:r>
        <w:rPr>
          <w:rFonts w:hint="eastAsia" w:ascii="宋体" w:hAnsi="宋体" w:cs="宋体"/>
          <w:color w:val="auto"/>
          <w:highlight w:val="none"/>
        </w:rPr>
        <w:t>（5）属于监狱企业的证明文件（若属于监狱企业）</w:t>
      </w:r>
    </w:p>
    <w:p w14:paraId="453934EB">
      <w:pPr>
        <w:pStyle w:val="21"/>
        <w:shd w:val="clear"/>
        <w:ind w:firstLine="480" w:firstLineChars="200"/>
        <w:rPr>
          <w:rFonts w:hint="eastAsia" w:ascii="宋体" w:hAnsi="宋体" w:cs="宋体"/>
          <w:color w:val="auto"/>
          <w:highlight w:val="none"/>
        </w:rPr>
      </w:pPr>
      <w:r>
        <w:rPr>
          <w:rFonts w:hint="eastAsia" w:ascii="宋体" w:hAnsi="宋体" w:cs="宋体"/>
          <w:color w:val="auto"/>
          <w:highlight w:val="none"/>
        </w:rPr>
        <w:t>（6）残疾人福利性单位声明函（若属于残疾人福利性单位）</w:t>
      </w:r>
    </w:p>
    <w:p w14:paraId="6BCEEDE3">
      <w:pPr>
        <w:pStyle w:val="15"/>
        <w:shd w:val="clear"/>
        <w:spacing w:line="360" w:lineRule="auto"/>
        <w:ind w:firstLine="241" w:firstLineChars="100"/>
        <w:rPr>
          <w:rFonts w:hint="eastAsia" w:hAnsi="宋体" w:cs="宋体"/>
          <w:b/>
          <w:bCs/>
          <w:color w:val="auto"/>
          <w:sz w:val="24"/>
          <w:highlight w:val="none"/>
        </w:rPr>
      </w:pPr>
      <w:r>
        <w:rPr>
          <w:rFonts w:hint="eastAsia" w:hAnsi="宋体" w:cs="宋体"/>
          <w:b/>
          <w:bCs/>
          <w:color w:val="auto"/>
          <w:sz w:val="24"/>
          <w:highlight w:val="none"/>
        </w:rPr>
        <w:t>12.4商务技术响应文件：</w:t>
      </w:r>
    </w:p>
    <w:p w14:paraId="666612A4">
      <w:pPr>
        <w:pStyle w:val="15"/>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（1）授权委托书/法定代表人（单位负责人、自然人本人）身份证</w:t>
      </w:r>
    </w:p>
    <w:p w14:paraId="6EA2AE95">
      <w:pPr>
        <w:pStyle w:val="15"/>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（2）投标人类似合同实施情况一览表</w:t>
      </w:r>
    </w:p>
    <w:p w14:paraId="7FB1DCF1">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（3）采购需求偏离表</w:t>
      </w:r>
    </w:p>
    <w:p w14:paraId="09ABA078">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（4）项目整体实施方案</w:t>
      </w:r>
    </w:p>
    <w:p w14:paraId="1ABA9D08">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（5）人员技术力量投入情况</w:t>
      </w:r>
    </w:p>
    <w:p w14:paraId="4625E11A">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（6）应急预案</w:t>
      </w:r>
    </w:p>
    <w:p w14:paraId="35EFA2CE">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（7）售后服务及质量保障</w:t>
      </w:r>
    </w:p>
    <w:p w14:paraId="3BB3F6D0">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★（8）义乌市政府采购项目投标承诺书</w:t>
      </w:r>
    </w:p>
    <w:p w14:paraId="54A1F801">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（9）投标人认为须提供的其他资料</w:t>
      </w:r>
    </w:p>
    <w:p w14:paraId="05057C93">
      <w:pPr>
        <w:pStyle w:val="15"/>
        <w:shd w:val="clear"/>
        <w:spacing w:line="360"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12.5报价响应文件：</w:t>
      </w:r>
    </w:p>
    <w:p w14:paraId="2863B313">
      <w:pPr>
        <w:pStyle w:val="15"/>
        <w:shd w:val="clear"/>
        <w:spacing w:line="360" w:lineRule="auto"/>
        <w:ind w:firstLine="475" w:firstLineChars="198"/>
        <w:rPr>
          <w:rFonts w:hint="eastAsia" w:hAnsi="宋体" w:cs="宋体"/>
          <w:color w:val="auto"/>
          <w:sz w:val="24"/>
          <w:highlight w:val="none"/>
        </w:rPr>
      </w:pPr>
      <w:r>
        <w:rPr>
          <w:rFonts w:hint="eastAsia" w:hAnsi="宋体" w:cs="宋体"/>
          <w:color w:val="auto"/>
          <w:sz w:val="24"/>
          <w:highlight w:val="none"/>
        </w:rPr>
        <w:t>（1）投标函</w:t>
      </w:r>
    </w:p>
    <w:p w14:paraId="3A2AFE63">
      <w:pPr>
        <w:pStyle w:val="15"/>
        <w:shd w:val="clear"/>
        <w:spacing w:line="360" w:lineRule="auto"/>
        <w:ind w:firstLine="475" w:firstLineChars="198"/>
        <w:rPr>
          <w:rFonts w:hint="eastAsia" w:hAnsi="宋体" w:cs="宋体"/>
          <w:color w:val="auto"/>
          <w:sz w:val="24"/>
          <w:highlight w:val="none"/>
        </w:rPr>
      </w:pPr>
      <w:r>
        <w:rPr>
          <w:rFonts w:hint="eastAsia" w:hAnsi="宋体" w:cs="宋体"/>
          <w:color w:val="auto"/>
          <w:sz w:val="24"/>
          <w:highlight w:val="none"/>
        </w:rPr>
        <w:t>（2）开标一览表</w:t>
      </w:r>
    </w:p>
    <w:p w14:paraId="69F63174">
      <w:pPr>
        <w:pStyle w:val="15"/>
        <w:shd w:val="clear"/>
        <w:spacing w:line="360" w:lineRule="auto"/>
        <w:ind w:firstLine="475" w:firstLineChars="198"/>
        <w:rPr>
          <w:rFonts w:hint="eastAsia" w:hAnsi="宋体" w:cs="宋体"/>
          <w:color w:val="auto"/>
          <w:sz w:val="24"/>
          <w:highlight w:val="none"/>
        </w:rPr>
      </w:pPr>
      <w:r>
        <w:rPr>
          <w:rFonts w:hint="eastAsia" w:hAnsi="宋体" w:cs="宋体"/>
          <w:color w:val="auto"/>
          <w:sz w:val="24"/>
          <w:highlight w:val="none"/>
        </w:rPr>
        <w:t>（3）报价情况说明（如有）</w:t>
      </w:r>
    </w:p>
    <w:p w14:paraId="2398FBB2">
      <w:pPr>
        <w:pStyle w:val="13"/>
        <w:shd w:val="clear"/>
        <w:spacing w:line="360" w:lineRule="auto"/>
        <w:ind w:firstLine="480" w:firstLineChars="200"/>
        <w:rPr>
          <w:rFonts w:hint="eastAsia" w:ascii="宋体" w:hAnsi="宋体" w:cs="宋体"/>
          <w:b/>
          <w:bCs/>
          <w:color w:val="auto"/>
          <w:highlight w:val="none"/>
        </w:rPr>
      </w:pPr>
      <w:r>
        <w:rPr>
          <w:rFonts w:hint="eastAsia" w:ascii="宋体" w:hAnsi="宋体" w:cs="宋体"/>
          <w:color w:val="auto"/>
          <w:highlight w:val="none"/>
        </w:rPr>
        <w:t>13.投标人资格的有关说明资料</w:t>
      </w:r>
    </w:p>
    <w:p w14:paraId="0588595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13.1投标人应提交说明其有资格参加投标和中标后有能力履行合同的文件，并作为其投标文件的一部分。</w:t>
      </w:r>
    </w:p>
    <w:p w14:paraId="0EDAFF73">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 投标人提交的合格性的说明文件应使采购人满意，投标人在投标时应是符合条件的投标人。</w:t>
      </w:r>
    </w:p>
    <w:p w14:paraId="7D60E9DF">
      <w:pPr>
        <w:pStyle w:val="15"/>
        <w:shd w:val="clear"/>
        <w:spacing w:line="360" w:lineRule="auto"/>
        <w:ind w:firstLine="472" w:firstLineChars="196"/>
        <w:rPr>
          <w:rFonts w:hint="eastAsia" w:hAnsi="宋体" w:cs="宋体"/>
          <w:b/>
          <w:bCs/>
          <w:color w:val="auto"/>
          <w:sz w:val="24"/>
          <w:highlight w:val="none"/>
        </w:rPr>
      </w:pPr>
      <w:r>
        <w:rPr>
          <w:rFonts w:hint="eastAsia" w:hAnsi="宋体" w:cs="宋体"/>
          <w:b/>
          <w:bCs/>
          <w:color w:val="auto"/>
          <w:sz w:val="24"/>
          <w:highlight w:val="none"/>
        </w:rPr>
        <w:t>14.报价要求</w:t>
      </w:r>
    </w:p>
    <w:p w14:paraId="64C7AD09">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14.1投标人应根据国家的有关规定和</w:t>
      </w:r>
      <w:r>
        <w:rPr>
          <w:rFonts w:hint="eastAsia" w:hAnsi="宋体" w:cs="宋体"/>
          <w:b/>
          <w:color w:val="auto"/>
          <w:sz w:val="24"/>
          <w:highlight w:val="none"/>
        </w:rPr>
        <w:t>招标文件要求</w:t>
      </w:r>
      <w:r>
        <w:rPr>
          <w:rFonts w:hint="eastAsia" w:hAnsi="宋体" w:cs="宋体"/>
          <w:color w:val="auto"/>
          <w:sz w:val="24"/>
          <w:highlight w:val="none"/>
        </w:rPr>
        <w:t>并结合企业的实际情况进行报价。报价以人民币为结算货币，</w:t>
      </w:r>
      <w:bookmarkStart w:id="9" w:name="_Toc283797901"/>
      <w:r>
        <w:rPr>
          <w:rFonts w:hint="eastAsia" w:hAnsi="宋体" w:cs="宋体"/>
          <w:color w:val="auto"/>
          <w:sz w:val="24"/>
          <w:highlight w:val="none"/>
        </w:rPr>
        <w:t>投标报价包括人工费、收集费、运送费、储存费，处置费、装卸费、税金、利润、政策性文件规定及合同包含的所有风险责任等完成本项目的所有费用，如有漏项，视同已包含在其总项目中，合同总价不予调整。</w:t>
      </w:r>
    </w:p>
    <w:p w14:paraId="73533734">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14.2中标后，</w:t>
      </w:r>
      <w:r>
        <w:rPr>
          <w:rFonts w:hint="eastAsia" w:hAnsi="宋体" w:cs="宋体"/>
          <w:b/>
          <w:color w:val="auto"/>
          <w:sz w:val="24"/>
          <w:highlight w:val="none"/>
        </w:rPr>
        <w:t>中标人所填写的单价在合同实施期间不因市场变化因素而变动；</w:t>
      </w:r>
      <w:r>
        <w:rPr>
          <w:rFonts w:hint="eastAsia" w:hAnsi="宋体" w:cs="宋体"/>
          <w:color w:val="auto"/>
          <w:sz w:val="24"/>
          <w:highlight w:val="none"/>
        </w:rPr>
        <w:t>投标人在计算报价时应考虑一定的风险系数。</w:t>
      </w:r>
    </w:p>
    <w:p w14:paraId="6309166E">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14.3投标人应按招标文件规定的报价格式进行投标报价。投标人对每项货物、服务只允许有一个报价，采购人不接受任何有选择性的报价。</w:t>
      </w:r>
    </w:p>
    <w:p w14:paraId="27BDC18E">
      <w:pPr>
        <w:pStyle w:val="15"/>
        <w:shd w:val="clear"/>
        <w:spacing w:line="360" w:lineRule="auto"/>
        <w:ind w:firstLine="480"/>
        <w:rPr>
          <w:rFonts w:hint="eastAsia" w:hAnsi="宋体" w:cs="宋体"/>
          <w:color w:val="auto"/>
          <w:sz w:val="24"/>
          <w:highlight w:val="none"/>
        </w:rPr>
      </w:pPr>
      <w:r>
        <w:rPr>
          <w:rFonts w:hint="eastAsia" w:hAnsi="宋体" w:cs="宋体"/>
          <w:color w:val="auto"/>
          <w:sz w:val="24"/>
          <w:highlight w:val="none"/>
        </w:rPr>
        <w:t>14.4</w:t>
      </w:r>
      <w:r>
        <w:rPr>
          <w:rFonts w:hint="eastAsia" w:hAnsi="宋体" w:cs="宋体"/>
          <w:color w:val="auto"/>
          <w:spacing w:val="-8"/>
          <w:sz w:val="24"/>
          <w:highlight w:val="none"/>
        </w:rPr>
        <w:t>采购人不接受低于成本的投标报价，也不接受招标项目范围内的捐赠。</w:t>
      </w:r>
    </w:p>
    <w:p w14:paraId="7E03ECA6">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14.5投标人按照上述要求编制投标报价。一旦确认某一投标人中标，除合同规定的可调整内容外，中标人不得要求追加任何费用。</w:t>
      </w:r>
    </w:p>
    <w:p w14:paraId="53BEAA8E">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14.6须由中标单位开具正式发票。</w:t>
      </w:r>
    </w:p>
    <w:p w14:paraId="29DAD11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14.7招标文件中规定由投标人承担并支付的相关费用在投标报价时应一并考虑。</w:t>
      </w:r>
    </w:p>
    <w:p w14:paraId="646E318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14.8投标人应按招标文件以及规定的格式及内容填写报价等相关表格。对没有填报的费用，招标人将不予支付，并认为此项费用已包含在投标总价中。</w:t>
      </w:r>
    </w:p>
    <w:p w14:paraId="356595D0">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14.9对同一种货物或工作内容只允许有一个报价，有选择的报价将不予接受。</w:t>
      </w:r>
    </w:p>
    <w:p w14:paraId="6FE5896F">
      <w:pPr>
        <w:shd w:val="clea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15.投标文件格式</w:t>
      </w:r>
    </w:p>
    <w:p w14:paraId="17DAEE95">
      <w:pPr>
        <w:shd w:val="clea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15.1</w:t>
      </w:r>
      <w:r>
        <w:rPr>
          <w:rFonts w:hint="eastAsia" w:ascii="宋体" w:hAnsi="宋体" w:cs="宋体"/>
          <w:color w:val="auto"/>
          <w:sz w:val="24"/>
          <w:highlight w:val="none"/>
        </w:rPr>
        <w:t>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5318AB43">
      <w:pPr>
        <w:pStyle w:val="15"/>
        <w:shd w:val="clear"/>
        <w:spacing w:line="360"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16.投标文件编制要求</w:t>
      </w:r>
    </w:p>
    <w:p w14:paraId="634631A7">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16.1投标人应根据电子投标操作指南按本招标文件规定的格式和顺序编制电子投标文件并进行关联定位。</w:t>
      </w:r>
    </w:p>
    <w:p w14:paraId="051960B9">
      <w:pPr>
        <w:pStyle w:val="15"/>
        <w:shd w:val="clear"/>
        <w:spacing w:line="360" w:lineRule="auto"/>
        <w:ind w:firstLine="480" w:firstLineChars="200"/>
        <w:rPr>
          <w:rFonts w:hint="eastAsia" w:hAnsi="宋体" w:cs="宋体"/>
          <w:color w:val="auto"/>
          <w:spacing w:val="-4"/>
          <w:sz w:val="24"/>
          <w:highlight w:val="none"/>
        </w:rPr>
      </w:pPr>
      <w:r>
        <w:rPr>
          <w:rFonts w:hint="eastAsia" w:hAnsi="宋体" w:cs="宋体"/>
          <w:color w:val="auto"/>
          <w:sz w:val="24"/>
          <w:highlight w:val="none"/>
        </w:rPr>
        <w:t>16.2由于未按招标文件的规定要求编制投标文件，导致评审小组作出的对投标方的误判，责任由投标方自己承担</w:t>
      </w:r>
      <w:r>
        <w:rPr>
          <w:rFonts w:hint="eastAsia" w:hAnsi="宋体" w:cs="宋体"/>
          <w:color w:val="auto"/>
          <w:spacing w:val="-4"/>
          <w:sz w:val="24"/>
          <w:highlight w:val="none"/>
        </w:rPr>
        <w:t>。</w:t>
      </w:r>
    </w:p>
    <w:p w14:paraId="0404B87D">
      <w:pPr>
        <w:pStyle w:val="15"/>
        <w:shd w:val="clear"/>
        <w:spacing w:line="360"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17.投标保证金：无</w:t>
      </w:r>
    </w:p>
    <w:p w14:paraId="38368DD9">
      <w:pPr>
        <w:pStyle w:val="15"/>
        <w:shd w:val="clear"/>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18.投标人发生下列情况之一时，将按失信行为上报义乌市信用管理部门：</w:t>
      </w:r>
    </w:p>
    <w:p w14:paraId="62F12912">
      <w:pPr>
        <w:pStyle w:val="15"/>
        <w:shd w:val="clear"/>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（1）投标人在规定的投标有效期内撤回投标或放弃中标的；</w:t>
      </w:r>
    </w:p>
    <w:p w14:paraId="09BD9ED3">
      <w:pPr>
        <w:pStyle w:val="15"/>
        <w:shd w:val="clear"/>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（2）有意串标或提供虚假材料者的；</w:t>
      </w:r>
    </w:p>
    <w:p w14:paraId="7363925B">
      <w:pPr>
        <w:pStyle w:val="15"/>
        <w:shd w:val="clear"/>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（3）中标人在收到中标通知书后，因自身原因不能在投标有效期内和采购人签订合同。</w:t>
      </w:r>
    </w:p>
    <w:p w14:paraId="577C39F3">
      <w:pPr>
        <w:pStyle w:val="15"/>
        <w:shd w:val="clear"/>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（4）中标人未在规定时间缴纳招标代理费的。</w:t>
      </w:r>
    </w:p>
    <w:p w14:paraId="243DD34B">
      <w:pPr>
        <w:pStyle w:val="15"/>
        <w:shd w:val="clear"/>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（5）中标投标人在标后履约过程中未按合同约定的期限和要求履约的。</w:t>
      </w:r>
    </w:p>
    <w:p w14:paraId="396C56D9">
      <w:pPr>
        <w:pStyle w:val="15"/>
        <w:shd w:val="clear"/>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（6）因中标投标人原因在标后履约过程中擅自终止合同的。</w:t>
      </w:r>
    </w:p>
    <w:p w14:paraId="2DD24140">
      <w:pPr>
        <w:pStyle w:val="15"/>
        <w:shd w:val="clear"/>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（7）不符合招标文件要求的其他失信行为。</w:t>
      </w:r>
    </w:p>
    <w:p w14:paraId="73B8C8F9">
      <w:pPr>
        <w:pStyle w:val="15"/>
        <w:shd w:val="clear"/>
        <w:spacing w:line="360" w:lineRule="auto"/>
        <w:ind w:firstLine="482" w:firstLineChars="200"/>
        <w:rPr>
          <w:rFonts w:hint="eastAsia" w:hAnsi="宋体" w:cs="宋体"/>
          <w:b/>
          <w:color w:val="auto"/>
          <w:kern w:val="0"/>
          <w:sz w:val="24"/>
          <w:highlight w:val="none"/>
        </w:rPr>
      </w:pPr>
      <w:r>
        <w:rPr>
          <w:rFonts w:hint="eastAsia" w:hAnsi="宋体" w:cs="宋体"/>
          <w:b/>
          <w:color w:val="auto"/>
          <w:kern w:val="0"/>
          <w:sz w:val="24"/>
          <w:highlight w:val="none"/>
        </w:rPr>
        <w:t>19.采购代理服务费</w:t>
      </w:r>
    </w:p>
    <w:p w14:paraId="40A5D745">
      <w:pPr>
        <w:pStyle w:val="15"/>
        <w:shd w:val="clear"/>
        <w:spacing w:line="360" w:lineRule="auto"/>
        <w:ind w:firstLine="480" w:firstLineChars="200"/>
        <w:rPr>
          <w:rFonts w:hint="eastAsia" w:hAnsi="宋体" w:cs="宋体"/>
          <w:color w:val="auto"/>
          <w:sz w:val="24"/>
          <w:szCs w:val="24"/>
          <w:highlight w:val="none"/>
        </w:rPr>
      </w:pPr>
      <w:r>
        <w:rPr>
          <w:rFonts w:hint="eastAsia" w:hAnsi="宋体" w:cs="宋体"/>
          <w:color w:val="auto"/>
          <w:kern w:val="0"/>
          <w:sz w:val="24"/>
          <w:highlight w:val="none"/>
        </w:rPr>
        <w:t>19.1采购代理服务费（差额累进法）：</w:t>
      </w:r>
      <w:r>
        <w:rPr>
          <w:rFonts w:hint="eastAsia" w:hAnsi="宋体" w:cs="宋体"/>
          <w:color w:val="auto"/>
          <w:sz w:val="24"/>
          <w:szCs w:val="24"/>
          <w:highlight w:val="none"/>
        </w:rPr>
        <w:t>具体详见下表。</w:t>
      </w:r>
    </w:p>
    <w:tbl>
      <w:tblPr>
        <w:tblStyle w:val="30"/>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4075"/>
        <w:gridCol w:w="5823"/>
      </w:tblGrid>
      <w:tr w14:paraId="56224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9" w:hRule="atLeast"/>
          <w:jc w:val="center"/>
        </w:trPr>
        <w:tc>
          <w:tcPr>
            <w:tcW w:w="2058" w:type="pct"/>
            <w:noWrap w:val="0"/>
            <w:tcMar>
              <w:top w:w="0" w:type="dxa"/>
              <w:left w:w="108" w:type="dxa"/>
              <w:bottom w:w="0" w:type="dxa"/>
              <w:right w:w="108" w:type="dxa"/>
            </w:tcMar>
            <w:vAlign w:val="center"/>
          </w:tcPr>
          <w:p w14:paraId="31F227A0">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中标金额（万元）</w:t>
            </w:r>
          </w:p>
        </w:tc>
        <w:tc>
          <w:tcPr>
            <w:tcW w:w="2941" w:type="pct"/>
            <w:noWrap w:val="0"/>
            <w:tcMar>
              <w:top w:w="0" w:type="dxa"/>
              <w:left w:w="108" w:type="dxa"/>
              <w:bottom w:w="0" w:type="dxa"/>
              <w:right w:w="108" w:type="dxa"/>
            </w:tcMar>
            <w:vAlign w:val="center"/>
          </w:tcPr>
          <w:p w14:paraId="5DD2BC13">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收费标准（费率，%）</w:t>
            </w:r>
          </w:p>
        </w:tc>
      </w:tr>
      <w:tr w14:paraId="18C02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1" w:hRule="atLeast"/>
          <w:jc w:val="center"/>
        </w:trPr>
        <w:tc>
          <w:tcPr>
            <w:tcW w:w="2058" w:type="pct"/>
            <w:noWrap w:val="0"/>
            <w:tcMar>
              <w:top w:w="0" w:type="dxa"/>
              <w:left w:w="108" w:type="dxa"/>
              <w:bottom w:w="0" w:type="dxa"/>
              <w:right w:w="108" w:type="dxa"/>
            </w:tcMar>
            <w:vAlign w:val="center"/>
          </w:tcPr>
          <w:p w14:paraId="684C8F2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100以下</w:t>
            </w:r>
          </w:p>
        </w:tc>
        <w:tc>
          <w:tcPr>
            <w:tcW w:w="2941" w:type="pct"/>
            <w:noWrap w:val="0"/>
            <w:tcMar>
              <w:top w:w="0" w:type="dxa"/>
              <w:left w:w="108" w:type="dxa"/>
              <w:bottom w:w="0" w:type="dxa"/>
              <w:right w:w="108" w:type="dxa"/>
            </w:tcMar>
            <w:vAlign w:val="center"/>
          </w:tcPr>
          <w:p w14:paraId="0C2B64A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1.02（不足叁仟元按叁仟元收取）</w:t>
            </w:r>
          </w:p>
        </w:tc>
      </w:tr>
      <w:tr w14:paraId="2D9868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1" w:hRule="atLeast"/>
          <w:jc w:val="center"/>
        </w:trPr>
        <w:tc>
          <w:tcPr>
            <w:tcW w:w="2058" w:type="pct"/>
            <w:noWrap w:val="0"/>
            <w:tcMar>
              <w:top w:w="0" w:type="dxa"/>
              <w:left w:w="108" w:type="dxa"/>
              <w:bottom w:w="0" w:type="dxa"/>
              <w:right w:w="108" w:type="dxa"/>
            </w:tcMar>
            <w:vAlign w:val="center"/>
          </w:tcPr>
          <w:p w14:paraId="613C7BAC">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100-500</w:t>
            </w:r>
          </w:p>
        </w:tc>
        <w:tc>
          <w:tcPr>
            <w:tcW w:w="2941" w:type="pct"/>
            <w:noWrap w:val="0"/>
            <w:tcMar>
              <w:top w:w="0" w:type="dxa"/>
              <w:left w:w="108" w:type="dxa"/>
              <w:bottom w:w="0" w:type="dxa"/>
              <w:right w:w="108" w:type="dxa"/>
            </w:tcMar>
            <w:vAlign w:val="center"/>
          </w:tcPr>
          <w:p w14:paraId="476B02C8">
            <w:pPr>
              <w:shd w:val="clear"/>
              <w:jc w:val="center"/>
              <w:rPr>
                <w:rFonts w:ascii="宋体" w:hAnsi="宋体" w:cs="宋体"/>
                <w:color w:val="auto"/>
                <w:szCs w:val="21"/>
                <w:highlight w:val="none"/>
              </w:rPr>
            </w:pPr>
            <w:r>
              <w:rPr>
                <w:rFonts w:hint="eastAsia" w:ascii="宋体" w:hAnsi="宋体" w:cs="宋体"/>
                <w:color w:val="auto"/>
                <w:szCs w:val="21"/>
                <w:highlight w:val="none"/>
              </w:rPr>
              <w:t>0.544</w:t>
            </w:r>
          </w:p>
        </w:tc>
      </w:tr>
    </w:tbl>
    <w:p w14:paraId="015F56C9">
      <w:pPr>
        <w:widowControl/>
        <w:shd w:val="clear"/>
        <w:spacing w:line="360" w:lineRule="auto"/>
        <w:ind w:firstLine="480" w:firstLineChars="200"/>
        <w:jc w:val="left"/>
        <w:rPr>
          <w:rFonts w:hint="eastAsia" w:ascii="宋体" w:hAnsi="宋体" w:cs="宋体"/>
          <w:color w:val="auto"/>
          <w:sz w:val="24"/>
          <w:szCs w:val="22"/>
          <w:highlight w:val="none"/>
        </w:rPr>
      </w:pPr>
      <w:r>
        <w:rPr>
          <w:rFonts w:hint="eastAsia" w:ascii="宋体" w:hAnsi="宋体" w:cs="宋体"/>
          <w:color w:val="auto"/>
          <w:kern w:val="0"/>
          <w:sz w:val="24"/>
          <w:highlight w:val="none"/>
        </w:rPr>
        <w:t>19.2</w:t>
      </w:r>
      <w:r>
        <w:rPr>
          <w:rFonts w:hint="eastAsia" w:ascii="宋体" w:hAnsi="宋体" w:cs="宋体"/>
          <w:color w:val="auto"/>
          <w:sz w:val="24"/>
          <w:highlight w:val="none"/>
        </w:rPr>
        <w:t>采购代理服务费由</w:t>
      </w:r>
      <w:r>
        <w:rPr>
          <w:rFonts w:hint="eastAsia" w:ascii="宋体" w:hAnsi="宋体" w:cs="宋体"/>
          <w:color w:val="auto"/>
          <w:sz w:val="24"/>
          <w:highlight w:val="none"/>
          <w:u w:val="single"/>
        </w:rPr>
        <w:t>中标人</w:t>
      </w:r>
      <w:r>
        <w:rPr>
          <w:rFonts w:hint="eastAsia" w:ascii="宋体" w:hAnsi="宋体" w:cs="宋体"/>
          <w:color w:val="auto"/>
          <w:sz w:val="24"/>
          <w:highlight w:val="none"/>
        </w:rPr>
        <w:t>缴纳，可用银行汇票、电汇、银行本票、现金等方式支付，</w:t>
      </w:r>
      <w:r>
        <w:rPr>
          <w:rFonts w:hint="eastAsia" w:ascii="宋体" w:hAnsi="宋体" w:cs="宋体"/>
          <w:color w:val="auto"/>
          <w:sz w:val="24"/>
          <w:szCs w:val="22"/>
          <w:highlight w:val="none"/>
        </w:rPr>
        <w:t>未按规定时间缴纳代理服务费的，将按失信行为上报义乌市信用管理部门。</w:t>
      </w:r>
    </w:p>
    <w:p w14:paraId="0050B8DC">
      <w:pPr>
        <w:shd w:val="clear"/>
        <w:tabs>
          <w:tab w:val="left" w:pos="3440"/>
        </w:tabs>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20.投标有效期</w:t>
      </w:r>
      <w:r>
        <w:rPr>
          <w:rFonts w:hint="eastAsia" w:ascii="宋体" w:hAnsi="宋体" w:cs="宋体"/>
          <w:b/>
          <w:bCs/>
          <w:color w:val="auto"/>
          <w:sz w:val="24"/>
          <w:highlight w:val="none"/>
        </w:rPr>
        <w:tab/>
      </w:r>
    </w:p>
    <w:p w14:paraId="55A8B4EC">
      <w:pPr>
        <w:shd w:val="clea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20.1 投标文件从开标之日起，投标有效期为60天。</w:t>
      </w:r>
    </w:p>
    <w:p w14:paraId="66316C97">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20.2 特殊情况下，在原投标有效期截止之前，采购人可要求投标人同意延长有效期，这种要求与答复均应以书面形式提交。</w:t>
      </w:r>
    </w:p>
    <w:p w14:paraId="2EDEA643">
      <w:pPr>
        <w:pStyle w:val="3"/>
        <w:shd w:val="clear"/>
        <w:spacing w:before="0" w:after="0" w:line="360" w:lineRule="auto"/>
        <w:rPr>
          <w:rFonts w:hint="eastAsia" w:ascii="宋体" w:hAnsi="宋体" w:eastAsia="宋体" w:cs="宋体"/>
          <w:color w:val="auto"/>
          <w:sz w:val="24"/>
          <w:szCs w:val="24"/>
          <w:highlight w:val="none"/>
        </w:rPr>
      </w:pPr>
      <w:bookmarkStart w:id="10" w:name="_Toc274303232"/>
      <w:bookmarkStart w:id="11" w:name="_Toc362250690"/>
      <w:r>
        <w:rPr>
          <w:rFonts w:hint="eastAsia" w:ascii="宋体" w:hAnsi="宋体" w:eastAsia="宋体" w:cs="宋体"/>
          <w:color w:val="auto"/>
          <w:sz w:val="24"/>
          <w:szCs w:val="24"/>
          <w:highlight w:val="none"/>
        </w:rPr>
        <w:t>四、投标文件的递交</w:t>
      </w:r>
      <w:bookmarkEnd w:id="10"/>
      <w:bookmarkEnd w:id="11"/>
    </w:p>
    <w:p w14:paraId="18FA826B">
      <w:pPr>
        <w:shd w:val="clear"/>
        <w:tabs>
          <w:tab w:val="left" w:pos="31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21.电子投标文件上传的地点和截止时间</w:t>
      </w:r>
    </w:p>
    <w:p w14:paraId="03C68954">
      <w:pPr>
        <w:shd w:val="clear"/>
        <w:tabs>
          <w:tab w:val="left" w:pos="31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投标人应于2026年</w:t>
      </w:r>
      <w:r>
        <w:rPr>
          <w:rFonts w:hint="eastAsia" w:ascii="宋体" w:hAnsi="宋体" w:cs="宋体"/>
          <w:color w:val="auto"/>
          <w:sz w:val="24"/>
          <w:highlight w:val="none"/>
          <w:lang w:eastAsia="zh-CN"/>
        </w:rPr>
        <w:t>5月14日</w:t>
      </w:r>
      <w:r>
        <w:rPr>
          <w:rFonts w:hint="eastAsia" w:ascii="宋体" w:hAnsi="宋体" w:cs="宋体"/>
          <w:color w:val="auto"/>
          <w:sz w:val="24"/>
          <w:highlight w:val="none"/>
        </w:rPr>
        <w:t>14:00前在“政采云”平台上自行加密上传电子投标文件，逾期上传或未按要求上传的投标文件将予以拒收。</w:t>
      </w:r>
    </w:p>
    <w:p w14:paraId="0C7DEDF8">
      <w:pPr>
        <w:shd w:val="clear"/>
        <w:tabs>
          <w:tab w:val="left" w:pos="31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22.迟交的投标文件</w:t>
      </w:r>
    </w:p>
    <w:p w14:paraId="0F2C7B81">
      <w:pPr>
        <w:shd w:val="clear"/>
        <w:tabs>
          <w:tab w:val="left" w:pos="31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招标方在规定的投标截止时间以后“政采云”平台将不接收投标文件。</w:t>
      </w:r>
    </w:p>
    <w:p w14:paraId="099E7D9F">
      <w:pPr>
        <w:shd w:val="clear"/>
        <w:tabs>
          <w:tab w:val="left" w:pos="31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23.投标文件解密</w:t>
      </w:r>
    </w:p>
    <w:p w14:paraId="799A8271">
      <w:pPr>
        <w:shd w:val="clear"/>
        <w:tabs>
          <w:tab w:val="left" w:pos="31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开标时间后1小时内（2026年</w:t>
      </w:r>
      <w:r>
        <w:rPr>
          <w:rFonts w:hint="eastAsia" w:ascii="宋体" w:hAnsi="宋体" w:cs="宋体"/>
          <w:color w:val="auto"/>
          <w:sz w:val="24"/>
          <w:highlight w:val="none"/>
          <w:lang w:eastAsia="zh-CN"/>
        </w:rPr>
        <w:t>5月14日</w:t>
      </w:r>
      <w:r>
        <w:rPr>
          <w:rFonts w:hint="eastAsia" w:ascii="宋体" w:hAnsi="宋体" w:cs="宋体"/>
          <w:color w:val="auto"/>
          <w:sz w:val="24"/>
          <w:highlight w:val="none"/>
        </w:rPr>
        <w:t>15:00前）投标人可以登录“政采云”平台，用“项目采购－开标评标”功能进行解密投标文件。若投标人在规定时间内（2026年</w:t>
      </w:r>
      <w:r>
        <w:rPr>
          <w:rFonts w:hint="eastAsia" w:ascii="宋体" w:hAnsi="宋体" w:cs="宋体"/>
          <w:color w:val="auto"/>
          <w:sz w:val="24"/>
          <w:highlight w:val="none"/>
          <w:lang w:eastAsia="zh-CN"/>
        </w:rPr>
        <w:t>5月14日</w:t>
      </w:r>
      <w:r>
        <w:rPr>
          <w:rFonts w:hint="eastAsia" w:ascii="宋体" w:hAnsi="宋体" w:cs="宋体"/>
          <w:color w:val="auto"/>
          <w:sz w:val="24"/>
          <w:highlight w:val="none"/>
        </w:rPr>
        <w:t>15:00前）无法解密或解密失败，将导致投标无效或失败。</w:t>
      </w:r>
    </w:p>
    <w:p w14:paraId="14738864">
      <w:pPr>
        <w:shd w:val="clear"/>
        <w:tabs>
          <w:tab w:val="left" w:pos="31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备注：为确保采购项目顺利实施，避免因政采云上电子投标文件解密失败导致投标方投标无效，投标方可在2026年</w:t>
      </w:r>
      <w:r>
        <w:rPr>
          <w:rFonts w:hint="eastAsia" w:ascii="宋体" w:hAnsi="宋体" w:cs="宋体"/>
          <w:color w:val="auto"/>
          <w:sz w:val="24"/>
          <w:highlight w:val="none"/>
          <w:u w:val="single"/>
          <w:lang w:eastAsia="zh-CN"/>
        </w:rPr>
        <w:t>5月14日</w:t>
      </w:r>
      <w:r>
        <w:rPr>
          <w:rFonts w:hint="eastAsia" w:ascii="宋体" w:hAnsi="宋体" w:cs="宋体"/>
          <w:color w:val="auto"/>
          <w:sz w:val="24"/>
          <w:highlight w:val="none"/>
          <w:u w:val="single"/>
        </w:rPr>
        <w:t>14:00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投标方自行保管，如政采云上电子投标文件出现解密失败情况（开标当日14:00-15:00期间进行解密），投标方可按照自身意愿确认是否同意提供加密密码解密传送至浙江求是招标代理有限公司邮箱（qszbyw@qszb.net）的备份文件，并以备份文件作为替代电子投标文件，如投标方未按照规定时间（2026年</w:t>
      </w:r>
      <w:r>
        <w:rPr>
          <w:rFonts w:hint="eastAsia" w:ascii="宋体" w:hAnsi="宋体" w:cs="宋体"/>
          <w:color w:val="auto"/>
          <w:sz w:val="24"/>
          <w:highlight w:val="none"/>
          <w:u w:val="single"/>
          <w:lang w:eastAsia="zh-CN"/>
        </w:rPr>
        <w:t>5月14日</w:t>
      </w:r>
      <w:r>
        <w:rPr>
          <w:rFonts w:hint="eastAsia" w:ascii="宋体" w:hAnsi="宋体" w:cs="宋体"/>
          <w:color w:val="auto"/>
          <w:sz w:val="24"/>
          <w:highlight w:val="none"/>
          <w:u w:val="single"/>
        </w:rPr>
        <w:t>14:00前）及要求提供有效备份文件，同时政采云上投标文件解密失败的，将导致投标无效</w:t>
      </w:r>
      <w:r>
        <w:rPr>
          <w:rFonts w:hint="eastAsia" w:ascii="宋体" w:hAnsi="宋体" w:cs="宋体"/>
          <w:color w:val="auto"/>
          <w:sz w:val="24"/>
          <w:highlight w:val="none"/>
        </w:rPr>
        <w:t>。</w:t>
      </w:r>
    </w:p>
    <w:p w14:paraId="4396FBE2">
      <w:pPr>
        <w:shd w:val="clear"/>
        <w:tabs>
          <w:tab w:val="left" w:pos="315"/>
        </w:tabs>
        <w:spacing w:line="360" w:lineRule="auto"/>
        <w:ind w:firstLine="482" w:firstLineChars="200"/>
        <w:rPr>
          <w:rFonts w:hint="eastAsia" w:ascii="宋体" w:hAnsi="宋体" w:cs="宋体"/>
          <w:b/>
          <w:bCs/>
          <w:color w:val="auto"/>
          <w:sz w:val="24"/>
          <w:highlight w:val="none"/>
        </w:rPr>
      </w:pPr>
      <w:r>
        <w:rPr>
          <w:rFonts w:hint="eastAsia" w:ascii="宋体" w:hAnsi="宋体" w:cs="宋体"/>
          <w:b/>
          <w:color w:val="auto"/>
          <w:sz w:val="24"/>
          <w:highlight w:val="none"/>
        </w:rPr>
        <w:t>24.</w:t>
      </w:r>
      <w:r>
        <w:rPr>
          <w:rFonts w:hint="eastAsia" w:ascii="宋体" w:hAnsi="宋体" w:cs="宋体"/>
          <w:b/>
          <w:bCs/>
          <w:color w:val="auto"/>
          <w:sz w:val="24"/>
          <w:highlight w:val="none"/>
        </w:rPr>
        <w:t>投标文件的补充、修改与撤回</w:t>
      </w:r>
    </w:p>
    <w:p w14:paraId="13E39FF5">
      <w:pPr>
        <w:pStyle w:val="15"/>
        <w:shd w:val="clea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24.1投标人在提交投标文件以后，在规定的投标截止时间之前，可以重新补充修改或撤回已上传的投标文件，补充、修改的内容为投标文件的组成部分。</w:t>
      </w:r>
    </w:p>
    <w:p w14:paraId="626DAED3">
      <w:pPr>
        <w:pStyle w:val="15"/>
        <w:shd w:val="clea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24.2在投标截止时间之后，投标人不得对其投标做任何修改。</w:t>
      </w:r>
    </w:p>
    <w:p w14:paraId="245E82CF">
      <w:pPr>
        <w:pStyle w:val="15"/>
        <w:shd w:val="clear"/>
        <w:spacing w:line="360" w:lineRule="auto"/>
        <w:ind w:firstLine="480"/>
        <w:rPr>
          <w:rFonts w:hint="eastAsia" w:hAnsi="宋体" w:cs="宋体"/>
          <w:color w:val="auto"/>
          <w:spacing w:val="-8"/>
          <w:sz w:val="24"/>
          <w:szCs w:val="24"/>
          <w:highlight w:val="none"/>
        </w:rPr>
      </w:pPr>
      <w:r>
        <w:rPr>
          <w:rFonts w:hint="eastAsia" w:hAnsi="宋体" w:cs="宋体"/>
          <w:color w:val="auto"/>
          <w:sz w:val="24"/>
          <w:szCs w:val="24"/>
          <w:highlight w:val="none"/>
        </w:rPr>
        <w:t>24.3从投标截止时间至投标人在投标书格式中确定的投标有效期期满这段时间内，投标人不得撤回其投标</w:t>
      </w:r>
      <w:r>
        <w:rPr>
          <w:rFonts w:hint="eastAsia" w:hAnsi="宋体" w:cs="宋体"/>
          <w:color w:val="auto"/>
          <w:spacing w:val="-6"/>
          <w:sz w:val="24"/>
          <w:szCs w:val="24"/>
          <w:highlight w:val="none"/>
        </w:rPr>
        <w:t>。</w:t>
      </w:r>
    </w:p>
    <w:p w14:paraId="32B0AB4A">
      <w:pPr>
        <w:pStyle w:val="3"/>
        <w:shd w:val="clear"/>
        <w:spacing w:before="0" w:after="0" w:line="360" w:lineRule="auto"/>
        <w:rPr>
          <w:rFonts w:hint="eastAsia" w:ascii="宋体" w:hAnsi="宋体" w:eastAsia="宋体" w:cs="宋体"/>
          <w:color w:val="auto"/>
          <w:sz w:val="24"/>
          <w:szCs w:val="24"/>
          <w:highlight w:val="none"/>
        </w:rPr>
      </w:pPr>
      <w:bookmarkStart w:id="12" w:name="_Toc362250691"/>
      <w:bookmarkStart w:id="13" w:name="_Toc274303233"/>
      <w:r>
        <w:rPr>
          <w:rFonts w:hint="eastAsia" w:ascii="宋体" w:hAnsi="宋体" w:eastAsia="宋体" w:cs="宋体"/>
          <w:color w:val="auto"/>
          <w:sz w:val="24"/>
          <w:szCs w:val="24"/>
          <w:highlight w:val="none"/>
        </w:rPr>
        <w:t>五、其他</w:t>
      </w:r>
      <w:bookmarkEnd w:id="12"/>
      <w:bookmarkEnd w:id="13"/>
    </w:p>
    <w:p w14:paraId="4225FE94">
      <w:pPr>
        <w:shd w:val="clea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25.本招标文件解释权归采购人。</w:t>
      </w:r>
    </w:p>
    <w:p w14:paraId="116050B1">
      <w:pPr>
        <w:shd w:val="clear"/>
        <w:rPr>
          <w:rFonts w:hint="eastAsia" w:ascii="宋体" w:hAnsi="宋体" w:cs="宋体"/>
          <w:color w:val="auto"/>
          <w:highlight w:val="none"/>
        </w:rPr>
      </w:pPr>
    </w:p>
    <w:p w14:paraId="66949B65">
      <w:pPr>
        <w:numPr>
          <w:ilvl w:val="0"/>
          <w:numId w:val="3"/>
        </w:numPr>
        <w:shd w:val="clear"/>
        <w:snapToGrid w:val="0"/>
        <w:spacing w:line="360" w:lineRule="auto"/>
        <w:outlineLvl w:val="0"/>
        <w:rPr>
          <w:rFonts w:hint="eastAsia" w:ascii="宋体" w:hAnsi="宋体" w:cs="宋体"/>
          <w:b/>
          <w:color w:val="auto"/>
          <w:sz w:val="32"/>
          <w:szCs w:val="32"/>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w:t>
      </w:r>
      <w:r>
        <w:rPr>
          <w:rFonts w:hint="eastAsia" w:ascii="宋体" w:hAnsi="宋体" w:cs="宋体"/>
          <w:b/>
          <w:color w:val="auto"/>
          <w:sz w:val="32"/>
          <w:szCs w:val="32"/>
          <w:highlight w:val="none"/>
        </w:rPr>
        <w:t>招标项目内容及技术要求</w:t>
      </w:r>
    </w:p>
    <w:bookmarkEnd w:id="9"/>
    <w:p w14:paraId="6F6B4A09">
      <w:pPr>
        <w:shd w:val="clear"/>
        <w:adjustRightInd w:val="0"/>
        <w:snapToGrid w:val="0"/>
        <w:spacing w:line="288" w:lineRule="auto"/>
        <w:outlineLvl w:val="1"/>
        <w:rPr>
          <w:rFonts w:hint="eastAsia" w:ascii="宋体" w:hAnsi="宋体" w:cs="宋体"/>
          <w:b/>
          <w:color w:val="auto"/>
          <w:szCs w:val="21"/>
          <w:highlight w:val="none"/>
        </w:rPr>
      </w:pPr>
      <w:bookmarkStart w:id="14" w:name="_Toc362250703"/>
      <w:bookmarkStart w:id="15" w:name="_Toc226973000"/>
      <w:bookmarkStart w:id="16" w:name="_Toc274303251"/>
      <w:r>
        <w:rPr>
          <w:rFonts w:hint="eastAsia" w:ascii="宋体" w:hAnsi="宋体" w:cs="宋体"/>
          <w:b/>
          <w:color w:val="auto"/>
          <w:szCs w:val="21"/>
          <w:highlight w:val="none"/>
        </w:rPr>
        <w:t>一、为落实政府采购政策需满足的要求</w:t>
      </w:r>
    </w:p>
    <w:tbl>
      <w:tblPr>
        <w:tblStyle w:val="3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084"/>
        <w:gridCol w:w="5760"/>
      </w:tblGrid>
      <w:tr w14:paraId="4EEE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3CDE92F0">
            <w:pPr>
              <w:shd w:val="clear"/>
              <w:jc w:val="center"/>
              <w:rPr>
                <w:rFonts w:hint="eastAsia" w:ascii="宋体" w:hAnsi="宋体" w:cs="宋体"/>
                <w:b/>
                <w:bCs/>
                <w:color w:val="auto"/>
                <w:szCs w:val="21"/>
                <w:highlight w:val="none"/>
              </w:rPr>
            </w:pPr>
            <w:bookmarkStart w:id="17" w:name="_Hlk45005599"/>
            <w:r>
              <w:rPr>
                <w:rFonts w:hint="eastAsia" w:ascii="宋体" w:hAnsi="宋体" w:cs="宋体"/>
                <w:b/>
                <w:bCs/>
                <w:color w:val="auto"/>
                <w:szCs w:val="21"/>
                <w:highlight w:val="none"/>
              </w:rPr>
              <w:t>序号</w:t>
            </w:r>
          </w:p>
        </w:tc>
        <w:tc>
          <w:tcPr>
            <w:tcW w:w="3084" w:type="dxa"/>
            <w:noWrap w:val="0"/>
            <w:vAlign w:val="center"/>
          </w:tcPr>
          <w:p w14:paraId="50C5CD65">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政策名称</w:t>
            </w:r>
          </w:p>
        </w:tc>
        <w:tc>
          <w:tcPr>
            <w:tcW w:w="5760" w:type="dxa"/>
            <w:noWrap w:val="0"/>
            <w:vAlign w:val="center"/>
          </w:tcPr>
          <w:p w14:paraId="7FDF7102">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内容</w:t>
            </w:r>
          </w:p>
        </w:tc>
      </w:tr>
      <w:tr w14:paraId="635C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64CDE4BD">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3084" w:type="dxa"/>
            <w:noWrap w:val="0"/>
            <w:vAlign w:val="center"/>
          </w:tcPr>
          <w:p w14:paraId="6098B3D3">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政府采购促进中小企业发展</w:t>
            </w:r>
          </w:p>
        </w:tc>
        <w:tc>
          <w:tcPr>
            <w:tcW w:w="5760" w:type="dxa"/>
            <w:noWrap w:val="0"/>
            <w:vAlign w:val="center"/>
          </w:tcPr>
          <w:p w14:paraId="0DAC1165">
            <w:pPr>
              <w:shd w:val="clear"/>
              <w:rPr>
                <w:rFonts w:hint="eastAsia" w:ascii="宋体" w:hAnsi="宋体" w:cs="宋体"/>
                <w:color w:val="auto"/>
                <w:szCs w:val="21"/>
                <w:highlight w:val="none"/>
              </w:rPr>
            </w:pPr>
            <w:r>
              <w:rPr>
                <w:rFonts w:hint="eastAsia" w:ascii="宋体" w:hAnsi="宋体" w:cs="宋体"/>
                <w:color w:val="auto"/>
                <w:szCs w:val="21"/>
                <w:highlight w:val="none"/>
              </w:rPr>
              <w:t>提供材料详见招标文件第八章“投标文件部分格式”</w:t>
            </w:r>
          </w:p>
          <w:p w14:paraId="29EAF86E">
            <w:pPr>
              <w:shd w:val="clear"/>
              <w:rPr>
                <w:rFonts w:hint="eastAsia" w:ascii="宋体" w:hAnsi="宋体" w:cs="宋体"/>
                <w:b/>
                <w:bCs/>
                <w:color w:val="auto"/>
                <w:szCs w:val="21"/>
                <w:highlight w:val="none"/>
              </w:rPr>
            </w:pPr>
            <w:r>
              <w:rPr>
                <w:rFonts w:hint="eastAsia" w:ascii="宋体" w:hAnsi="宋体" w:cs="宋体"/>
                <w:color w:val="auto"/>
                <w:szCs w:val="21"/>
                <w:highlight w:val="none"/>
              </w:rPr>
              <w:t>本项目属性为服务，采购标的对应的中小企业划分标准所属行业为</w:t>
            </w:r>
            <w:r>
              <w:rPr>
                <w:rFonts w:hint="eastAsia" w:ascii="宋体" w:hAnsi="宋体" w:cs="宋体"/>
                <w:b/>
                <w:bCs/>
                <w:color w:val="auto"/>
                <w:szCs w:val="21"/>
                <w:highlight w:val="none"/>
              </w:rPr>
              <w:t>其他未列明行业。</w:t>
            </w:r>
          </w:p>
          <w:p w14:paraId="684DFC43">
            <w:pPr>
              <w:shd w:val="clear"/>
              <w:rPr>
                <w:rFonts w:hint="eastAsia" w:ascii="宋体" w:hAnsi="宋体" w:cs="宋体"/>
                <w:color w:val="auto"/>
                <w:szCs w:val="21"/>
                <w:highlight w:val="none"/>
              </w:rPr>
            </w:pPr>
            <w:r>
              <w:rPr>
                <w:rFonts w:hint="eastAsia" w:ascii="宋体" w:hAnsi="宋体" w:cs="宋体"/>
                <w:b/>
                <w:bCs/>
                <w:color w:val="auto"/>
                <w:szCs w:val="21"/>
                <w:highlight w:val="none"/>
              </w:rPr>
              <w:t>中小企业划型标准：从业人员300人以下的为中小微型企业。其中，从业人员100人及以上的为中型企业；从业人员10人及以上的为小型企业；从业人员10人以下的为微型企业。</w:t>
            </w:r>
          </w:p>
        </w:tc>
      </w:tr>
      <w:tr w14:paraId="54D6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03990101">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2</w:t>
            </w:r>
          </w:p>
        </w:tc>
        <w:tc>
          <w:tcPr>
            <w:tcW w:w="3084" w:type="dxa"/>
            <w:noWrap w:val="0"/>
            <w:vAlign w:val="center"/>
          </w:tcPr>
          <w:p w14:paraId="2F0CCEFE">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政府采购支持监狱企业发展</w:t>
            </w:r>
          </w:p>
        </w:tc>
        <w:tc>
          <w:tcPr>
            <w:tcW w:w="5760" w:type="dxa"/>
            <w:noWrap w:val="0"/>
            <w:vAlign w:val="center"/>
          </w:tcPr>
          <w:p w14:paraId="586FCB80">
            <w:pPr>
              <w:shd w:val="clear"/>
              <w:rPr>
                <w:rFonts w:hint="eastAsia" w:ascii="宋体" w:hAnsi="宋体" w:cs="宋体"/>
                <w:color w:val="auto"/>
                <w:szCs w:val="21"/>
                <w:highlight w:val="none"/>
              </w:rPr>
            </w:pPr>
            <w:r>
              <w:rPr>
                <w:rFonts w:hint="eastAsia" w:ascii="宋体" w:hAnsi="宋体" w:cs="宋体"/>
                <w:color w:val="auto"/>
                <w:szCs w:val="21"/>
                <w:highlight w:val="none"/>
              </w:rPr>
              <w:t>视同小微企业，提供材料详见招标文件第八章“投标文件部分格式”。</w:t>
            </w:r>
          </w:p>
        </w:tc>
      </w:tr>
      <w:tr w14:paraId="259A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13C43123">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3</w:t>
            </w:r>
          </w:p>
        </w:tc>
        <w:tc>
          <w:tcPr>
            <w:tcW w:w="3084" w:type="dxa"/>
            <w:noWrap w:val="0"/>
            <w:vAlign w:val="center"/>
          </w:tcPr>
          <w:p w14:paraId="4952F8A7">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政府采购促进残疾人就业</w:t>
            </w:r>
          </w:p>
        </w:tc>
        <w:tc>
          <w:tcPr>
            <w:tcW w:w="5760" w:type="dxa"/>
            <w:noWrap w:val="0"/>
            <w:vAlign w:val="center"/>
          </w:tcPr>
          <w:p w14:paraId="0AF01A92">
            <w:pPr>
              <w:shd w:val="clear"/>
              <w:rPr>
                <w:rFonts w:hint="eastAsia" w:ascii="宋体" w:hAnsi="宋体" w:cs="宋体"/>
                <w:color w:val="auto"/>
                <w:szCs w:val="21"/>
                <w:highlight w:val="none"/>
              </w:rPr>
            </w:pPr>
            <w:r>
              <w:rPr>
                <w:rFonts w:hint="eastAsia" w:ascii="宋体" w:hAnsi="宋体" w:cs="宋体"/>
                <w:color w:val="auto"/>
                <w:szCs w:val="21"/>
                <w:highlight w:val="none"/>
              </w:rPr>
              <w:t>视同小微企业，提供材料详见招标文件第八章“投标文件部分格式”。</w:t>
            </w:r>
          </w:p>
        </w:tc>
      </w:tr>
      <w:bookmarkEnd w:id="17"/>
    </w:tbl>
    <w:p w14:paraId="317B4D7F">
      <w:pPr>
        <w:shd w:val="clear"/>
        <w:adjustRightInd w:val="0"/>
        <w:snapToGrid w:val="0"/>
        <w:spacing w:line="288" w:lineRule="auto"/>
        <w:rPr>
          <w:rFonts w:hint="eastAsia" w:ascii="宋体" w:hAnsi="宋体" w:cs="宋体"/>
          <w:b/>
          <w:color w:val="auto"/>
          <w:spacing w:val="-4"/>
          <w:szCs w:val="21"/>
          <w:highlight w:val="none"/>
        </w:rPr>
      </w:pPr>
    </w:p>
    <w:p w14:paraId="4FA75FDD">
      <w:pPr>
        <w:shd w:val="clear"/>
        <w:adjustRightInd w:val="0"/>
        <w:snapToGrid w:val="0"/>
        <w:spacing w:line="288" w:lineRule="auto"/>
        <w:outlineLvl w:val="1"/>
        <w:rPr>
          <w:rFonts w:hint="eastAsia" w:ascii="宋体" w:hAnsi="宋体" w:cs="宋体"/>
          <w:b/>
          <w:color w:val="auto"/>
          <w:szCs w:val="21"/>
          <w:highlight w:val="none"/>
        </w:rPr>
      </w:pPr>
      <w:r>
        <w:rPr>
          <w:rFonts w:hint="eastAsia" w:ascii="宋体" w:hAnsi="宋体" w:cs="宋体"/>
          <w:b/>
          <w:color w:val="auto"/>
          <w:szCs w:val="21"/>
          <w:highlight w:val="none"/>
        </w:rPr>
        <w:t>二、采购资金的支付方式、时间、条件</w:t>
      </w:r>
    </w:p>
    <w:tbl>
      <w:tblPr>
        <w:tblStyle w:val="30"/>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3"/>
        <w:gridCol w:w="7255"/>
      </w:tblGrid>
      <w:tr w14:paraId="4EDA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0C231F84">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支付方式</w:t>
            </w:r>
          </w:p>
        </w:tc>
        <w:tc>
          <w:tcPr>
            <w:tcW w:w="7255" w:type="dxa"/>
            <w:tcBorders>
              <w:top w:val="single" w:color="auto" w:sz="4" w:space="0"/>
              <w:left w:val="single" w:color="auto" w:sz="4" w:space="0"/>
              <w:bottom w:val="single" w:color="auto" w:sz="4" w:space="0"/>
              <w:right w:val="single" w:color="auto" w:sz="4" w:space="0"/>
            </w:tcBorders>
            <w:noWrap w:val="0"/>
            <w:vAlign w:val="center"/>
          </w:tcPr>
          <w:p w14:paraId="6086210C">
            <w:pPr>
              <w:shd w:val="clear"/>
              <w:rPr>
                <w:rFonts w:hint="eastAsia" w:ascii="宋体" w:hAnsi="宋体" w:cs="宋体"/>
                <w:color w:val="auto"/>
                <w:szCs w:val="21"/>
                <w:highlight w:val="none"/>
              </w:rPr>
            </w:pPr>
            <w:r>
              <w:rPr>
                <w:rFonts w:hint="eastAsia" w:ascii="宋体" w:hAnsi="宋体" w:cs="宋体"/>
                <w:color w:val="auto"/>
                <w:szCs w:val="21"/>
                <w:highlight w:val="none"/>
              </w:rPr>
              <w:t>银行转账</w:t>
            </w:r>
          </w:p>
        </w:tc>
      </w:tr>
      <w:tr w14:paraId="13271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1"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774ABA7C">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支付时间及条件</w:t>
            </w:r>
          </w:p>
        </w:tc>
        <w:tc>
          <w:tcPr>
            <w:tcW w:w="7255" w:type="dxa"/>
            <w:tcBorders>
              <w:top w:val="single" w:color="auto" w:sz="4" w:space="0"/>
              <w:left w:val="single" w:color="auto" w:sz="4" w:space="0"/>
              <w:bottom w:val="single" w:color="auto" w:sz="4" w:space="0"/>
              <w:right w:val="single" w:color="auto" w:sz="4" w:space="0"/>
            </w:tcBorders>
            <w:noWrap w:val="0"/>
            <w:vAlign w:val="center"/>
          </w:tcPr>
          <w:p w14:paraId="70683BAA">
            <w:pPr>
              <w:shd w:val="clear"/>
              <w:rPr>
                <w:rFonts w:hint="eastAsia" w:ascii="宋体" w:hAnsi="宋体" w:cs="宋体"/>
                <w:color w:val="auto"/>
                <w:szCs w:val="21"/>
                <w:highlight w:val="none"/>
              </w:rPr>
            </w:pPr>
            <w:r>
              <w:rPr>
                <w:rFonts w:hint="eastAsia" w:ascii="宋体" w:hAnsi="宋体" w:cs="宋体"/>
                <w:color w:val="auto"/>
                <w:szCs w:val="21"/>
                <w:highlight w:val="none"/>
              </w:rPr>
              <w:t>（1）在合同生效以及具备实施条件后7个工作日内，采购人向中标人支付合同总价的30%作为预付款。服务费按月结算（优先从预付款中抵扣，直到抵扣完为止），采购人在次月支付当月服务费给中标人。</w:t>
            </w:r>
          </w:p>
          <w:p w14:paraId="60483F27">
            <w:pPr>
              <w:shd w:val="clear"/>
              <w:rPr>
                <w:rFonts w:hint="eastAsia" w:ascii="宋体" w:hAnsi="宋体" w:cs="宋体"/>
                <w:color w:val="auto"/>
                <w:szCs w:val="21"/>
                <w:highlight w:val="none"/>
              </w:rPr>
            </w:pPr>
            <w:r>
              <w:rPr>
                <w:rFonts w:hint="eastAsia" w:ascii="宋体" w:hAnsi="宋体" w:cs="宋体"/>
                <w:color w:val="auto"/>
                <w:szCs w:val="21"/>
                <w:highlight w:val="none"/>
              </w:rPr>
              <w:t>（2）中标人在收款之前，应向采购人提供等额、合法、有效的税务发票，采购人凭发票付款。如中标人未按约定提供发票的，采购人有权拒绝付款，直至收到中标人提交的相应发票为止，在此情况下，采购人不承担逾期付款违约责任。</w:t>
            </w:r>
          </w:p>
          <w:p w14:paraId="64197A28">
            <w:pPr>
              <w:shd w:val="clear"/>
              <w:rPr>
                <w:rFonts w:hint="eastAsia" w:ascii="宋体" w:hAnsi="宋体" w:cs="宋体"/>
                <w:color w:val="auto"/>
                <w:szCs w:val="21"/>
                <w:highlight w:val="none"/>
              </w:rPr>
            </w:pPr>
            <w:r>
              <w:rPr>
                <w:rFonts w:hint="eastAsia" w:ascii="宋体" w:hAnsi="宋体" w:cs="宋体"/>
                <w:color w:val="auto"/>
                <w:szCs w:val="21"/>
                <w:highlight w:val="none"/>
              </w:rPr>
              <w:t>注：在签订合同时，中标方明确表示无需预付款或者主动要求降低预付款比例的，采购单位可不支付或减少预付款支付比例。</w:t>
            </w:r>
          </w:p>
        </w:tc>
      </w:tr>
      <w:tr w14:paraId="57F7B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66BF8426">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履约保证金</w:t>
            </w:r>
          </w:p>
        </w:tc>
        <w:tc>
          <w:tcPr>
            <w:tcW w:w="7255" w:type="dxa"/>
            <w:tcBorders>
              <w:top w:val="single" w:color="auto" w:sz="4" w:space="0"/>
              <w:left w:val="single" w:color="auto" w:sz="4" w:space="0"/>
              <w:bottom w:val="single" w:color="auto" w:sz="4" w:space="0"/>
              <w:right w:val="single" w:color="auto" w:sz="4" w:space="0"/>
            </w:tcBorders>
            <w:noWrap w:val="0"/>
            <w:vAlign w:val="center"/>
          </w:tcPr>
          <w:p w14:paraId="3477FFD9">
            <w:pPr>
              <w:shd w:val="clear"/>
              <w:rPr>
                <w:rFonts w:hint="eastAsia" w:ascii="宋体" w:hAnsi="宋体" w:cs="宋体"/>
                <w:color w:val="auto"/>
                <w:szCs w:val="21"/>
                <w:highlight w:val="none"/>
              </w:rPr>
            </w:pPr>
            <w:r>
              <w:rPr>
                <w:rFonts w:hint="eastAsia" w:ascii="宋体" w:hAnsi="宋体" w:cs="宋体"/>
                <w:color w:val="auto"/>
                <w:szCs w:val="21"/>
                <w:highlight w:val="none"/>
              </w:rPr>
              <w:t>无</w:t>
            </w:r>
          </w:p>
        </w:tc>
      </w:tr>
    </w:tbl>
    <w:p w14:paraId="00FA3521">
      <w:pPr>
        <w:shd w:val="clear"/>
        <w:adjustRightInd w:val="0"/>
        <w:snapToGrid w:val="0"/>
        <w:spacing w:line="288" w:lineRule="auto"/>
        <w:rPr>
          <w:rFonts w:hint="eastAsia" w:ascii="宋体" w:hAnsi="宋体" w:cs="宋体"/>
          <w:color w:val="auto"/>
          <w:spacing w:val="-4"/>
          <w:szCs w:val="21"/>
          <w:highlight w:val="none"/>
        </w:rPr>
      </w:pPr>
    </w:p>
    <w:p w14:paraId="359533B6">
      <w:pPr>
        <w:numPr>
          <w:ilvl w:val="0"/>
          <w:numId w:val="4"/>
        </w:numPr>
        <w:shd w:val="clear"/>
        <w:adjustRightInd w:val="0"/>
        <w:snapToGrid w:val="0"/>
        <w:spacing w:line="288" w:lineRule="auto"/>
        <w:outlineLvl w:val="1"/>
        <w:rPr>
          <w:rFonts w:hint="eastAsia" w:ascii="宋体" w:hAnsi="宋体" w:cs="宋体"/>
          <w:b/>
          <w:color w:val="auto"/>
          <w:szCs w:val="21"/>
          <w:highlight w:val="none"/>
        </w:rPr>
      </w:pPr>
      <w:r>
        <w:rPr>
          <w:rFonts w:hint="eastAsia" w:ascii="宋体" w:hAnsi="宋体" w:cs="宋体"/>
          <w:b/>
          <w:color w:val="auto"/>
          <w:szCs w:val="21"/>
          <w:highlight w:val="none"/>
        </w:rPr>
        <w:t>服务要求</w:t>
      </w:r>
    </w:p>
    <w:p w14:paraId="539DA9E6">
      <w:pPr>
        <w:shd w:val="clear"/>
        <w:adjustRightInd w:val="0"/>
        <w:snapToGrid w:val="0"/>
        <w:spacing w:line="360" w:lineRule="auto"/>
        <w:ind w:firstLine="422" w:firstLineChars="200"/>
        <w:rPr>
          <w:rFonts w:hint="eastAsia" w:ascii="宋体" w:hAnsi="宋体" w:cs="宋体"/>
          <w:b/>
          <w:bCs/>
          <w:color w:val="auto"/>
          <w:szCs w:val="21"/>
          <w:highlight w:val="none"/>
        </w:rPr>
      </w:pPr>
      <w:bookmarkStart w:id="18" w:name="_Hlk92271413"/>
      <w:r>
        <w:rPr>
          <w:rFonts w:hint="eastAsia" w:ascii="宋体" w:hAnsi="宋体" w:cs="宋体"/>
          <w:b/>
          <w:bCs/>
          <w:color w:val="auto"/>
          <w:szCs w:val="21"/>
          <w:highlight w:val="none"/>
        </w:rPr>
        <w:t>1.需执行的国家相关标准、行业标准、地方标准或者其他标准、规范：</w:t>
      </w:r>
    </w:p>
    <w:p w14:paraId="7E272F5A">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（1）《放射诊疗管理规定》（中华人民共和国卫生部令第 46 号）</w:t>
      </w:r>
    </w:p>
    <w:p w14:paraId="187A9F46">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（2）《浙江省放射诊疗许可证发放管理程序》（浙卫发［2007］99 号）</w:t>
      </w:r>
    </w:p>
    <w:p w14:paraId="5DAAB0EA">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（3）《中华人民共和国职业病防治法》（中华人民共和国主席令第 60 号）</w:t>
      </w:r>
    </w:p>
    <w:p w14:paraId="224BA18C">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（4）《放射性同位素与射线装置安全和防护条例》（中华人民共和国国务院令第 449 号）</w:t>
      </w:r>
    </w:p>
    <w:p w14:paraId="512F48FE">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（5）《放射诊疗管理规定》（中华人民共和国卫生部令第 46 号）</w:t>
      </w:r>
    </w:p>
    <w:p w14:paraId="4A042AE4">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（6）《建设项目职业病危害分类管理办法》（中华人民共和国卫生部令第 49 号）</w:t>
      </w:r>
    </w:p>
    <w:p w14:paraId="230952F2">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（7）《放射工作人员职业健康管理办法》（中华人民共和国卫生部令第 55 号）</w:t>
      </w:r>
    </w:p>
    <w:p w14:paraId="67679587">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（8）《放射诊断放射防护要求》（GBZ130-2020）</w:t>
      </w:r>
    </w:p>
    <w:p w14:paraId="03C59C95">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（9）《电离辐射防护与辐射源安全基本标准》（GB18871-2002）</w:t>
      </w:r>
    </w:p>
    <w:p w14:paraId="28A86B9C">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（10）《医用 X 射线诊断卫生防护标准》（GBZ130-2002）</w:t>
      </w:r>
    </w:p>
    <w:p w14:paraId="4821B147">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（11）《医用 X 射线诊断卫生防护监测规范》（GBZ138-2002）</w:t>
      </w:r>
    </w:p>
    <w:p w14:paraId="75D8C282">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（12）《医用 X 射线诊断设备影像质量控制检测规范》（WS/T189-1999）</w:t>
      </w:r>
    </w:p>
    <w:p w14:paraId="11EA51AA">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（13）《医用加速器卫生防护标准》GBZ126-2002</w:t>
      </w:r>
    </w:p>
    <w:p w14:paraId="691CEB92">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（14）《医用电子加速器性能和试验方法》GB15213-1994</w:t>
      </w:r>
    </w:p>
    <w:p w14:paraId="0DC3D715">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（15）《X 射线计算机断层摄影装置影像质量保证检测规范》GB/T 17589—1998</w:t>
      </w:r>
    </w:p>
    <w:p w14:paraId="3BEFC5A6">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（16）《X 射线衍射仪和荧光分析仪卫生防护标准》GBZ115-2002</w:t>
      </w:r>
    </w:p>
    <w:p w14:paraId="01D65990">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（17）《工业 X 射线探伤放射卫生防护标准》GBZ117-2006</w:t>
      </w:r>
    </w:p>
    <w:p w14:paraId="753F1EBE">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（18）《医用加速器卫生防护标准》GBZ126-2002</w:t>
      </w:r>
    </w:p>
    <w:p w14:paraId="1EE12C8A">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（19）《X 射线行李包检查系统卫生防护标准》GBZ127-2002</w:t>
      </w:r>
    </w:p>
    <w:p w14:paraId="6FA654E0">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（20）《医用 X 射线治疗卫生防护标准》GBZ131-2002</w:t>
      </w:r>
    </w:p>
    <w:p w14:paraId="4353C42A">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（21）《集装箱检查系统放射卫生防护标准》GBZ143-2002</w:t>
      </w:r>
    </w:p>
    <w:p w14:paraId="422396D7">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（22）《密封放射源及密封 γ 放射源容器的放设卫生防护标准》GBZ114-20</w:t>
      </w:r>
    </w:p>
    <w:p w14:paraId="4556D483">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（23）《临床核医学放射卫生防护标准》GBZ120-2006</w:t>
      </w:r>
    </w:p>
    <w:p w14:paraId="0A73938E">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（24）《后装 γ 源近距离治疗卫生防护标准》GBZ121-2002</w:t>
      </w:r>
    </w:p>
    <w:p w14:paraId="7AF4B75C">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（25）《密封 γ 放射源容器卫生防护标准》GBZ135-2006</w:t>
      </w:r>
    </w:p>
    <w:p w14:paraId="045ED249">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（26）《含密闭源仪表的卫生防护监测规范》GBZ137-2002</w:t>
      </w:r>
    </w:p>
    <w:p w14:paraId="2F9CADFD">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（27）《γ 射线工业 CT 放射卫生防护标准》GBZ175-2006</w:t>
      </w:r>
    </w:p>
    <w:p w14:paraId="7D984A58">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（28）《工业 γ 射线探伤卫生防护标准》GBZ132-2002</w:t>
      </w:r>
    </w:p>
    <w:p w14:paraId="25F59762">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（29）《γ 射线和电子束辐照装置防护检测规范》GBZ 141-2002</w:t>
      </w:r>
    </w:p>
    <w:p w14:paraId="26AB2FE2">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（30）《电离辐射防护与辐射源安全基本标准》（GB18871-2002）《操作非密封源的辐射防护规定》（GB11930-2010）；</w:t>
      </w:r>
    </w:p>
    <w:p w14:paraId="5270F921">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（31）《放射性废物管理规定》（GB14500-2002）；</w:t>
      </w:r>
    </w:p>
    <w:p w14:paraId="3F12D86A">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（32）《临床核医学放射卫生防护标准》（GBZ120-2006）；</w:t>
      </w:r>
    </w:p>
    <w:p w14:paraId="0D251AE9">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（33）《医用放射性废物的卫生防护管理》（GBZ 133-2009）；</w:t>
      </w:r>
    </w:p>
    <w:p w14:paraId="37B5220F">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（34）《医疗机构水污染物排放标准》（GB18466-2005）</w:t>
      </w:r>
    </w:p>
    <w:p w14:paraId="2935E06B">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（35）《电子加速器放射治疗放射防护要求》（ GBZ126-2011）；</w:t>
      </w:r>
    </w:p>
    <w:p w14:paraId="2AAC5A5F">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（36）《放射治疗机房的辐射屏蔽规范第 1 部份：一般原则》（GBZ/T 201.1－2007）；</w:t>
      </w:r>
    </w:p>
    <w:p w14:paraId="5D0F76F7">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（37）《放射治疗机房的辐射屏蔽规范第 2 部分：电子直线加速器放射治疗机房》（GBZ/T 201.2－2011）；</w:t>
      </w:r>
    </w:p>
    <w:p w14:paraId="0AE25908">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（38）《X 射线计算机断层摄影放射防护要求》（GBZ165-2012）。</w:t>
      </w:r>
    </w:p>
    <w:p w14:paraId="31259D63">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上述标准、规范如有最新版本按最新版本执行。本项目涉及内容未提及的，有强制性标准的执行国家强制性标准，无的统一执行最新相关标准、规范；</w:t>
      </w:r>
      <w:bookmarkEnd w:id="18"/>
    </w:p>
    <w:p w14:paraId="1FB0AFB5">
      <w:pPr>
        <w:shd w:val="clea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2.需实现的功能或者目标</w:t>
      </w:r>
      <w:r>
        <w:rPr>
          <w:rFonts w:hint="eastAsia" w:ascii="宋体" w:hAnsi="宋体" w:cs="宋体"/>
          <w:b/>
          <w:bCs/>
          <w:color w:val="auto"/>
          <w:spacing w:val="-4"/>
          <w:szCs w:val="21"/>
          <w:highlight w:val="none"/>
        </w:rPr>
        <w:t>及需满足的服务要求：</w:t>
      </w:r>
    </w:p>
    <w:p w14:paraId="75CFA2B1">
      <w:pPr>
        <w:shd w:val="clear"/>
        <w:spacing w:line="360" w:lineRule="auto"/>
        <w:ind w:firstLine="422" w:firstLineChars="200"/>
        <w:textAlignment w:val="baseline"/>
        <w:rPr>
          <w:rFonts w:hint="eastAsia" w:ascii="宋体" w:hAnsi="宋体" w:cs="宋体"/>
          <w:b/>
          <w:bCs/>
          <w:color w:val="auto"/>
          <w:szCs w:val="21"/>
          <w:highlight w:val="none"/>
        </w:rPr>
      </w:pPr>
      <w:r>
        <w:rPr>
          <w:rFonts w:hint="eastAsia" w:ascii="宋体" w:hAnsi="宋体" w:cs="宋体"/>
          <w:b/>
          <w:color w:val="auto"/>
          <w:szCs w:val="21"/>
          <w:highlight w:val="none"/>
        </w:rPr>
        <w:t>2.1</w:t>
      </w:r>
      <w:r>
        <w:rPr>
          <w:rFonts w:hint="eastAsia" w:ascii="宋体" w:hAnsi="宋体" w:cs="宋体"/>
          <w:b/>
          <w:bCs/>
          <w:color w:val="auto"/>
          <w:szCs w:val="21"/>
          <w:highlight w:val="none"/>
        </w:rPr>
        <w:t>项目概况：</w:t>
      </w:r>
    </w:p>
    <w:p w14:paraId="4E0F06EF">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（1）项目地址：浙江大学医学院附属第四医院</w:t>
      </w:r>
    </w:p>
    <w:p w14:paraId="57EC5276">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（2）采购内容：放射诊疗项目预评、控评、环评、验收、年度检测及个人剂量服务</w:t>
      </w:r>
    </w:p>
    <w:p w14:paraId="2D415745">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（3）承包方式：投标人对本项目要求的全部工作、质量、安全、文明服务等实行全面承包。</w:t>
      </w:r>
    </w:p>
    <w:p w14:paraId="31801714">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（4）投标人在填报报价时应自行踏勘了解的作业现场情况，并结合供应商经验和企业实力，确定合理、</w:t>
      </w:r>
      <w:r>
        <w:rPr>
          <w:rFonts w:hint="eastAsia" w:ascii="宋体" w:hAnsi="宋体" w:cs="宋体"/>
          <w:color w:val="auto"/>
          <w:szCs w:val="21"/>
          <w:highlight w:val="none"/>
        </w:rPr>
        <w:t>灵活的服务计划等。</w:t>
      </w:r>
    </w:p>
    <w:p w14:paraId="20BF1F71">
      <w:pPr>
        <w:shd w:val="clea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2.2服务期限：</w:t>
      </w:r>
    </w:p>
    <w:p w14:paraId="49439644">
      <w:pPr>
        <w:shd w:val="clea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3年或合同实际结算金额达到预算金额（以先到者为准）。</w:t>
      </w:r>
    </w:p>
    <w:p w14:paraId="05309709">
      <w:pPr>
        <w:shd w:val="clear"/>
        <w:spacing w:line="360" w:lineRule="auto"/>
        <w:ind w:firstLine="422" w:firstLineChars="2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2.2服务内容及要求：</w:t>
      </w:r>
    </w:p>
    <w:p w14:paraId="0FB8B730">
      <w:pPr>
        <w:shd w:val="clear"/>
        <w:spacing w:line="360" w:lineRule="auto"/>
        <w:ind w:firstLine="422" w:firstLineChars="200"/>
        <w:textAlignment w:val="baseline"/>
        <w:rPr>
          <w:b/>
          <w:bCs/>
          <w:color w:val="auto"/>
          <w:highlight w:val="none"/>
        </w:rPr>
      </w:pPr>
      <w:r>
        <w:rPr>
          <w:rFonts w:hint="eastAsia" w:ascii="宋体" w:hAnsi="宋体" w:cs="宋体"/>
          <w:b/>
          <w:bCs/>
          <w:color w:val="auto"/>
          <w:szCs w:val="21"/>
          <w:highlight w:val="none"/>
        </w:rPr>
        <w:t>2.2.1服务内容</w:t>
      </w:r>
    </w:p>
    <w:p w14:paraId="215FECF4">
      <w:pPr>
        <w:shd w:val="clea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（1）职业病危害放射防护预评价内容</w:t>
      </w:r>
    </w:p>
    <w:p w14:paraId="6B6C95E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贯彻落实《中华人民共和国职业病防治法》和《放射诊疗建设项目卫生审查管理规定》相关要求，新建、扩建、改建放射诊疗建设项目可能产生职业病危害的，医疗机构在可行性论证阶段应当向相应的卫生计生行政部门提交职业病危害预评价报告，申请进行建设项目卫生审查。对建设项目的放射防护设施进行评价，预防、控制辐射危害，论证建设项目在放射性职业病防治方面的可行性，为建设单位改进和完善放射防护设计、安全防护措施和放射卫生管理提供指导性建议，保障放射工作人员和公众的健康与安全。</w:t>
      </w:r>
    </w:p>
    <w:p w14:paraId="23AB3D20">
      <w:pPr>
        <w:shd w:val="clea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（2）职业病危害控制效果放射防护评价内容</w:t>
      </w:r>
    </w:p>
    <w:p w14:paraId="2BAC34A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贯彻实施《中华人民共和国职业病防治法》和《放射诊疗建设项目卫生审查管理规定》要求，建设项目在竣工验收前，建设单位应当进行职业病危害控制效果评价。对建设项目放射防护设施和防护管理措施进行核实评价，以确定其在控制职业照射和防止潜在照射，保障相关人员职业健康与放射防护安全等方面的有效性、适宜性。</w:t>
      </w:r>
    </w:p>
    <w:p w14:paraId="0A0C1354">
      <w:pPr>
        <w:shd w:val="clea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（3）射线装置及核技术应用环境影响评价内容</w:t>
      </w:r>
    </w:p>
    <w:p w14:paraId="75E6F9C7">
      <w:pPr>
        <w:widowControl/>
        <w:shd w:val="clear"/>
        <w:spacing w:line="360" w:lineRule="auto"/>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根据《中华人民共和国环境保护法》、《中华人民共和国环境影响评价法》、《建设项目环境保护管理条例》要求：国家根据建设项目对环境的影响程度，对建设项目的环境影响评价实行分类管理。建设单位应当按照相关规定组织编制环境影响报告书、环境影响报告表或者填报环境影响登记表。根据委托方提供的项目基本情况、图纸、人员资料、相关管理制度对相关项目进行现场调查、环境本底检测、分析，从环境保护、放射卫生学、辐射防护等角度分析评价。根据国家相关的法律法规编制环境影响报告，依据环评核算出的墙体厚度提出必要的电离辐射防护措施，将相关机房周边的电离辐射水平降低到标准范围之内。</w:t>
      </w:r>
    </w:p>
    <w:p w14:paraId="2C509181">
      <w:pPr>
        <w:shd w:val="clea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（4）放射诊疗设备防护性能及工作场所防护检测内容</w:t>
      </w:r>
    </w:p>
    <w:p w14:paraId="69E16315">
      <w:pPr>
        <w:shd w:val="clea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主要针对放射诊疗设备的放射防护性能及工作场所进行检测（包括验收检测、状态检测、稳定性检测），如医用加速器、CT、牙科机等放射诊疗设备的放射防护性能检测与检测，让使用单位了解所使用仪器的相关性能，保护受检者和放射工作人员免受不必要的照射，所检项目均通过计量认证。</w:t>
      </w:r>
    </w:p>
    <w:p w14:paraId="281A38FF">
      <w:pPr>
        <w:shd w:val="clear"/>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（5）环保验收监测服务</w:t>
      </w:r>
    </w:p>
    <w:p w14:paraId="6A7229F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1）验收内容</w:t>
      </w:r>
    </w:p>
    <w:p w14:paraId="1CDBCF1B">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简要介绍评价的主要内容，包括项目总体情况、工程基本情况、污染源分析、辐射监测、环评及环评批复要求落实情况、辐射环境监测结果、环保检查结果和验收监测结论及要求等。</w:t>
      </w:r>
    </w:p>
    <w:p w14:paraId="34D6677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2）验收范围：</w:t>
      </w:r>
    </w:p>
    <w:p w14:paraId="2AC9BD3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环评报告表对应射线装置的验收工作。</w:t>
      </w:r>
    </w:p>
    <w:p w14:paraId="73E1E69A">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3）验收目的</w:t>
      </w:r>
    </w:p>
    <w:p w14:paraId="4BE7334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检查项目环境影响评价制度、环境保护“三同时”制度、辐射安全许可制度执行情况。检查环评文件及环评批复文件要求的各项辐射防护设施的实际建设、管理、运行状况及各项辐射防护措施的落实情况。通过现场监测及对监测结果的分析评价，明确项目是否符合辐射防护相关标准，在此基础上，分析各项辐射防护设施和措施的有效性；针对存在的问题，提出改进措施或建议。</w:t>
      </w:r>
    </w:p>
    <w:p w14:paraId="6C0F5863">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4）验收目标</w:t>
      </w:r>
    </w:p>
    <w:p w14:paraId="1DFCE03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通过现场监测和现场核查，编制完成环境保护竣工验收监测表，为环境保护行政主管门部审管提供依据，为建设单位日常管理提供依据。</w:t>
      </w:r>
    </w:p>
    <w:p w14:paraId="33D51936">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（6）个人剂量服务</w:t>
      </w:r>
    </w:p>
    <w:p w14:paraId="56CB79E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放射工作人员职业健康管理办法》第十一条：放射工作单位应当按照本办法和国家有关标准、规范的要求，安排本单位的放射工作人员接受个人剂量监测，并遵守下列规定：（一）外照射个人剂量监测周期一般为30天，最长不应超过90天；内照射个人剂量监测周期按照有关标准执行。需对全院放射从业人员进行个人剂量监测并出具符合法律法规要求的监测报告。</w:t>
      </w:r>
    </w:p>
    <w:p w14:paraId="586480D6">
      <w:pPr>
        <w:shd w:val="clea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2.2.2服务要求</w:t>
      </w:r>
    </w:p>
    <w:p w14:paraId="50F24A1D">
      <w:pPr>
        <w:shd w:val="clea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技术及</w:t>
      </w:r>
      <w:r>
        <w:rPr>
          <w:rFonts w:hint="eastAsia" w:ascii="宋体" w:hAnsi="宋体" w:cs="宋体"/>
          <w:b/>
          <w:color w:val="auto"/>
          <w:sz w:val="24"/>
          <w:highlight w:val="none"/>
        </w:rPr>
        <w:t>人员配置要求</w:t>
      </w:r>
    </w:p>
    <w:p w14:paraId="5B4D56E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①拟派技术人员的应具有放射卫生技术服务资格证书；其余专业的负责人具有相应的执业资格证书。</w:t>
      </w:r>
    </w:p>
    <w:p w14:paraId="7ABC66AA">
      <w:pPr>
        <w:shd w:val="clear"/>
        <w:spacing w:line="360" w:lineRule="auto"/>
        <w:ind w:firstLine="480" w:firstLineChars="200"/>
        <w:rPr>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②</w:t>
      </w:r>
      <w:r>
        <w:rPr>
          <w:rFonts w:hint="eastAsia" w:ascii="宋体" w:hAnsi="宋体"/>
          <w:color w:val="auto"/>
          <w:sz w:val="24"/>
          <w:highlight w:val="none"/>
        </w:rPr>
        <w:t>供应商已在国家生态环境部的环境影响评价信用平台登记；</w:t>
      </w:r>
      <w:bookmarkStart w:id="19" w:name="OLE_LINK3"/>
      <w:r>
        <w:rPr>
          <w:rFonts w:hint="eastAsia" w:ascii="宋体" w:hAnsi="宋体"/>
          <w:color w:val="auto"/>
          <w:sz w:val="24"/>
          <w:highlight w:val="none"/>
        </w:rPr>
        <w:t>具备1名及以上注册环评工程师</w:t>
      </w:r>
      <w:bookmarkEnd w:id="19"/>
      <w:r>
        <w:rPr>
          <w:rFonts w:hint="eastAsia" w:ascii="宋体" w:hAnsi="宋体"/>
          <w:color w:val="auto"/>
          <w:sz w:val="24"/>
          <w:highlight w:val="none"/>
        </w:rPr>
        <w:t>且在国家生态环境部的环境影响评价信用平台登记（提供</w:t>
      </w:r>
      <w:r>
        <w:rPr>
          <w:rFonts w:hint="eastAsia" w:ascii="宋体" w:hAnsi="宋体"/>
          <w:color w:val="auto"/>
          <w:sz w:val="24"/>
          <w:highlight w:val="none"/>
          <w:lang w:val="en-US" w:eastAsia="zh-CN"/>
        </w:rPr>
        <w:t>平台查询截图及人员证书等</w:t>
      </w:r>
      <w:r>
        <w:rPr>
          <w:rFonts w:hint="eastAsia" w:ascii="宋体" w:hAnsi="宋体"/>
          <w:color w:val="auto"/>
          <w:sz w:val="24"/>
          <w:highlight w:val="none"/>
        </w:rPr>
        <w:t>相关佐证资料）。</w:t>
      </w:r>
    </w:p>
    <w:p w14:paraId="4BBDE7FE">
      <w:pPr>
        <w:shd w:val="clea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（2）检测要求</w:t>
      </w:r>
    </w:p>
    <w:p w14:paraId="663312B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rPr>
        <w:t>投标人具有检验检测机构资质认定证书CMA证书。</w:t>
      </w:r>
    </w:p>
    <w:p w14:paraId="48356CA0">
      <w:pPr>
        <w:shd w:val="clea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（3）服务成果要求</w:t>
      </w:r>
    </w:p>
    <w:p w14:paraId="16631316">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①根据甲方提供的技术资料，研究该项目有关文件，现场踏勘，分析该项目的建设对环境可能带来的影响，得出评价结论，并提出相应的对策措施，编写项目环境影响评价报告及</w:t>
      </w:r>
      <w:r>
        <w:rPr>
          <w:rFonts w:hint="eastAsia" w:ascii="宋体" w:hAnsi="宋体" w:cs="宋体"/>
          <w:color w:val="auto"/>
          <w:kern w:val="24"/>
          <w:sz w:val="24"/>
          <w:highlight w:val="none"/>
        </w:rPr>
        <w:t>职业病危害预评</w:t>
      </w:r>
      <w:r>
        <w:rPr>
          <w:rFonts w:hint="eastAsia" w:ascii="宋体" w:hAnsi="宋体"/>
          <w:color w:val="auto"/>
          <w:sz w:val="24"/>
          <w:highlight w:val="none"/>
        </w:rPr>
        <w:t>报告。</w:t>
      </w:r>
    </w:p>
    <w:p w14:paraId="3139497E">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②协调、参加项目环境影响评价报告书（表）及</w:t>
      </w:r>
      <w:r>
        <w:rPr>
          <w:rFonts w:hint="eastAsia" w:ascii="宋体" w:hAnsi="宋体" w:cs="宋体"/>
          <w:color w:val="auto"/>
          <w:kern w:val="24"/>
          <w:sz w:val="24"/>
          <w:highlight w:val="none"/>
        </w:rPr>
        <w:t>职业病危害预评</w:t>
      </w:r>
      <w:r>
        <w:rPr>
          <w:rFonts w:hint="eastAsia" w:ascii="宋体" w:hAnsi="宋体"/>
          <w:color w:val="auto"/>
          <w:sz w:val="24"/>
          <w:highlight w:val="none"/>
        </w:rPr>
        <w:t>报告的评审会。</w:t>
      </w:r>
    </w:p>
    <w:p w14:paraId="6EBCE226">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③负责按照专家评审意见和评估机构的评估报告要求对项目环境影响评价报告书（表)及</w:t>
      </w:r>
      <w:r>
        <w:rPr>
          <w:rFonts w:hint="eastAsia" w:ascii="宋体" w:hAnsi="宋体" w:cs="宋体"/>
          <w:color w:val="auto"/>
          <w:kern w:val="24"/>
          <w:sz w:val="24"/>
          <w:highlight w:val="none"/>
        </w:rPr>
        <w:t>职业病危害预评</w:t>
      </w:r>
      <w:r>
        <w:rPr>
          <w:rFonts w:hint="eastAsia" w:ascii="宋体" w:hAnsi="宋体"/>
          <w:color w:val="auto"/>
          <w:sz w:val="24"/>
          <w:highlight w:val="none"/>
        </w:rPr>
        <w:t>报告进行修改。</w:t>
      </w:r>
    </w:p>
    <w:p w14:paraId="03716DC2">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④对成果资料和甲方提供的所有资料负有保密责任。未经甲方同意，不得提供给与本项目无关的任何单位及个人使用。</w:t>
      </w:r>
    </w:p>
    <w:p w14:paraId="3F4E8C8A">
      <w:pPr>
        <w:shd w:val="clear"/>
        <w:autoSpaceDE w:val="0"/>
        <w:autoSpaceDN w:val="0"/>
        <w:adjustRightIn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（4）服务</w:t>
      </w:r>
      <w:r>
        <w:rPr>
          <w:rFonts w:ascii="宋体" w:hAnsi="宋体"/>
          <w:b/>
          <w:bCs/>
          <w:color w:val="auto"/>
          <w:sz w:val="24"/>
          <w:highlight w:val="none"/>
        </w:rPr>
        <w:t>方案要求</w:t>
      </w:r>
    </w:p>
    <w:p w14:paraId="7DB1B72D">
      <w:pPr>
        <w:shd w:val="clear"/>
        <w:autoSpaceDE w:val="0"/>
        <w:autoSpaceDN w:val="0"/>
        <w:adjustRightInd w:val="0"/>
        <w:spacing w:line="360" w:lineRule="auto"/>
        <w:ind w:firstLine="480" w:firstLineChars="200"/>
        <w:rPr>
          <w:rFonts w:hint="eastAsia" w:ascii="宋体" w:hAnsi="宋体" w:cs="宋体"/>
          <w:color w:val="auto"/>
          <w:kern w:val="24"/>
          <w:sz w:val="24"/>
          <w:highlight w:val="none"/>
        </w:rPr>
      </w:pPr>
      <w:r>
        <w:rPr>
          <w:rFonts w:hint="eastAsia" w:ascii="宋体" w:hAnsi="宋体" w:cs="宋体"/>
          <w:color w:val="auto"/>
          <w:kern w:val="24"/>
          <w:sz w:val="24"/>
          <w:highlight w:val="none"/>
        </w:rPr>
        <w:t>①根据本项目的内容，配备相应的检测设备（</w:t>
      </w:r>
      <w:r>
        <w:rPr>
          <w:rFonts w:hint="eastAsia"/>
          <w:color w:val="auto"/>
          <w:sz w:val="24"/>
          <w:highlight w:val="none"/>
        </w:rPr>
        <w:t>提供设备的品牌，型号，具体性能参数</w:t>
      </w:r>
      <w:r>
        <w:rPr>
          <w:rFonts w:hint="eastAsia" w:ascii="宋体" w:hAnsi="宋体" w:cs="宋体"/>
          <w:color w:val="auto"/>
          <w:kern w:val="24"/>
          <w:sz w:val="24"/>
          <w:highlight w:val="none"/>
        </w:rPr>
        <w:t>）；</w:t>
      </w:r>
    </w:p>
    <w:p w14:paraId="3B3291C5">
      <w:pPr>
        <w:shd w:val="clear"/>
        <w:autoSpaceDE w:val="0"/>
        <w:autoSpaceDN w:val="0"/>
        <w:adjustRightInd w:val="0"/>
        <w:spacing w:line="360" w:lineRule="auto"/>
        <w:ind w:firstLine="480" w:firstLineChars="200"/>
        <w:rPr>
          <w:rFonts w:hint="eastAsia" w:ascii="宋体" w:hAnsi="宋体" w:cs="宋体"/>
          <w:color w:val="auto"/>
          <w:kern w:val="24"/>
          <w:sz w:val="24"/>
          <w:highlight w:val="none"/>
        </w:rPr>
      </w:pPr>
      <w:r>
        <w:rPr>
          <w:rFonts w:hint="eastAsia" w:ascii="宋体" w:hAnsi="宋体" w:cs="宋体"/>
          <w:color w:val="auto"/>
          <w:kern w:val="24"/>
          <w:sz w:val="24"/>
          <w:highlight w:val="none"/>
        </w:rPr>
        <w:t>②根据本项目的内容，提供相应的实验室配置（废水检测需提供实验室检测）；</w:t>
      </w:r>
    </w:p>
    <w:p w14:paraId="10655C80">
      <w:pPr>
        <w:shd w:val="clear"/>
        <w:autoSpaceDE w:val="0"/>
        <w:autoSpaceDN w:val="0"/>
        <w:adjustRightInd w:val="0"/>
        <w:spacing w:line="360" w:lineRule="auto"/>
        <w:ind w:firstLine="480" w:firstLineChars="200"/>
        <w:rPr>
          <w:rFonts w:hint="eastAsia" w:ascii="宋体" w:hAnsi="宋体" w:cs="宋体"/>
          <w:color w:val="auto"/>
          <w:kern w:val="24"/>
          <w:sz w:val="24"/>
          <w:highlight w:val="none"/>
        </w:rPr>
      </w:pPr>
      <w:r>
        <w:rPr>
          <w:rFonts w:hint="eastAsia" w:ascii="宋体" w:hAnsi="宋体" w:cs="宋体"/>
          <w:color w:val="auto"/>
          <w:kern w:val="24"/>
          <w:sz w:val="24"/>
          <w:highlight w:val="none"/>
        </w:rPr>
        <w:t>③提供射线装置及核技术应用环境影响评价服务方案；</w:t>
      </w:r>
    </w:p>
    <w:p w14:paraId="3046ADD8">
      <w:pPr>
        <w:shd w:val="clear"/>
        <w:autoSpaceDE w:val="0"/>
        <w:autoSpaceDN w:val="0"/>
        <w:adjustRightInd w:val="0"/>
        <w:spacing w:line="360" w:lineRule="auto"/>
        <w:ind w:firstLine="480" w:firstLineChars="200"/>
        <w:rPr>
          <w:rFonts w:hint="eastAsia" w:ascii="宋体" w:hAnsi="宋体" w:cs="宋体"/>
          <w:color w:val="auto"/>
          <w:kern w:val="24"/>
          <w:sz w:val="24"/>
          <w:highlight w:val="none"/>
        </w:rPr>
      </w:pPr>
      <w:r>
        <w:rPr>
          <w:rFonts w:hint="eastAsia" w:ascii="宋体" w:hAnsi="宋体" w:cs="宋体"/>
          <w:color w:val="auto"/>
          <w:kern w:val="24"/>
          <w:sz w:val="24"/>
          <w:highlight w:val="none"/>
        </w:rPr>
        <w:t>④放射设备职业病危害预评价服务方案；</w:t>
      </w:r>
    </w:p>
    <w:p w14:paraId="76388318">
      <w:pPr>
        <w:shd w:val="clear"/>
        <w:autoSpaceDE w:val="0"/>
        <w:autoSpaceDN w:val="0"/>
        <w:adjustRightInd w:val="0"/>
        <w:spacing w:line="360" w:lineRule="auto"/>
        <w:ind w:firstLine="480" w:firstLineChars="200"/>
        <w:rPr>
          <w:rFonts w:hint="eastAsia" w:ascii="宋体" w:hAnsi="宋体" w:cs="宋体"/>
          <w:color w:val="auto"/>
          <w:kern w:val="24"/>
          <w:sz w:val="24"/>
          <w:highlight w:val="none"/>
        </w:rPr>
      </w:pPr>
      <w:r>
        <w:rPr>
          <w:rFonts w:hint="eastAsia" w:ascii="宋体" w:hAnsi="宋体" w:cs="宋体"/>
          <w:color w:val="auto"/>
          <w:kern w:val="24"/>
          <w:sz w:val="24"/>
          <w:highlight w:val="none"/>
        </w:rPr>
        <w:t>⑤提供针对各项评价服务工作的计划及进度安排；</w:t>
      </w:r>
    </w:p>
    <w:p w14:paraId="123840E2">
      <w:pPr>
        <w:shd w:val="clear"/>
        <w:autoSpaceDE w:val="0"/>
        <w:autoSpaceDN w:val="0"/>
        <w:adjustRightInd w:val="0"/>
        <w:spacing w:line="360" w:lineRule="auto"/>
        <w:ind w:firstLine="480" w:firstLineChars="200"/>
        <w:rPr>
          <w:rFonts w:hint="eastAsia" w:ascii="宋体" w:hAnsi="宋体" w:cs="宋体"/>
          <w:color w:val="auto"/>
          <w:kern w:val="24"/>
          <w:sz w:val="24"/>
          <w:highlight w:val="none"/>
        </w:rPr>
      </w:pPr>
      <w:r>
        <w:rPr>
          <w:rFonts w:hint="eastAsia" w:ascii="宋体" w:hAnsi="宋体" w:cs="宋体"/>
          <w:color w:val="auto"/>
          <w:kern w:val="24"/>
          <w:sz w:val="24"/>
          <w:highlight w:val="none"/>
        </w:rPr>
        <w:t>⑥提供对本项目评价服务工作的质量保证措施；</w:t>
      </w:r>
    </w:p>
    <w:p w14:paraId="54FC7EF6">
      <w:pPr>
        <w:shd w:val="clear"/>
        <w:autoSpaceDE w:val="0"/>
        <w:autoSpaceDN w:val="0"/>
        <w:adjustRightInd w:val="0"/>
        <w:spacing w:line="360" w:lineRule="auto"/>
        <w:ind w:firstLine="480" w:firstLineChars="200"/>
        <w:rPr>
          <w:rFonts w:hint="eastAsia" w:ascii="宋体" w:hAnsi="宋体"/>
          <w:b/>
          <w:bCs/>
          <w:color w:val="auto"/>
          <w:sz w:val="24"/>
          <w:highlight w:val="none"/>
        </w:rPr>
      </w:pPr>
      <w:r>
        <w:rPr>
          <w:rFonts w:hint="eastAsia" w:ascii="宋体" w:hAnsi="宋体" w:cs="宋体"/>
          <w:color w:val="auto"/>
          <w:kern w:val="24"/>
          <w:sz w:val="24"/>
          <w:highlight w:val="none"/>
        </w:rPr>
        <w:t>⑦提供针对实施过程中紧急或特殊情况的应急响应方案。</w:t>
      </w:r>
    </w:p>
    <w:p w14:paraId="35102C22">
      <w:pPr>
        <w:shd w:val="clear"/>
        <w:spacing w:line="360" w:lineRule="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w:t>
      </w:r>
      <w:r>
        <w:rPr>
          <w:rFonts w:hint="eastAsia" w:ascii="宋体" w:hAnsi="宋体" w:cs="宋体"/>
          <w:b/>
          <w:color w:val="auto"/>
          <w:sz w:val="24"/>
          <w:highlight w:val="none"/>
        </w:rPr>
        <w:t>四、报价要求</w:t>
      </w:r>
    </w:p>
    <w:p w14:paraId="22C15C8D">
      <w:pPr>
        <w:shd w:val="clea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职业病危害放射防护预评价、职业病危害控制效果放射防护评价、辐射水平检测、质量控制检测、环境影响评价、环保验收、放射工作人员外照个人剂量检测：在浙江省卫生监督协会职业健康分会发布的《关于印发2017年度浙江省放射卫生技术服务机构信誉评级质量评分标准的通知》 “附件4：浙江省放射卫生技术服务机构服务参考价格表”中的“四 建设项目职业病危害评价”的基础上填报综合结算率，数量按实结算。</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为完成全部工作所需的一切费用的包干报价，包括但不限于编制评价报告（检测报告）、设备和工器具使用费、专家评审费及通过相关部门评估所需全部费用。</w:t>
      </w:r>
      <w:r>
        <w:rPr>
          <w:rFonts w:hint="eastAsia" w:ascii="宋体" w:hAnsi="宋体" w:cs="宋体"/>
          <w:color w:val="auto"/>
          <w:sz w:val="24"/>
          <w:highlight w:val="none"/>
          <w:lang w:val="en-US" w:eastAsia="zh-CN"/>
        </w:rPr>
        <w:t>本项目结算率最高限价：55%，超过结算率最高限价，投标无效。</w:t>
      </w:r>
    </w:p>
    <w:p w14:paraId="548F968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例：如综合结算率填报的是</w:t>
      </w:r>
      <w:r>
        <w:rPr>
          <w:rFonts w:hint="eastAsia" w:ascii="宋体" w:hAnsi="宋体" w:cs="宋体"/>
          <w:color w:val="auto"/>
          <w:sz w:val="24"/>
          <w:highlight w:val="none"/>
          <w:lang w:val="en-US" w:eastAsia="zh-CN"/>
        </w:rPr>
        <w:t>55</w:t>
      </w:r>
      <w:r>
        <w:rPr>
          <w:rFonts w:hint="eastAsia" w:ascii="宋体" w:hAnsi="宋体" w:cs="宋体"/>
          <w:color w:val="auto"/>
          <w:sz w:val="24"/>
          <w:highlight w:val="none"/>
        </w:rPr>
        <w:t>%，即：职业病危害放射防护预评价、职业病危害控制效果放射防护评价、辐射水平检测、质量控制检测、环境影响评价、环保验收、放射工作人员外照个人剂量检测的费用按《关于印发2017年度浙江省放射卫生技术服务机构信誉评级质量评分标准的通知》 “附件4：浙江省放射卫生技术服务机构服务参考价格表”中的“四 建设项目职业病危害评价”的</w:t>
      </w:r>
      <w:r>
        <w:rPr>
          <w:rFonts w:hint="eastAsia" w:ascii="宋体" w:hAnsi="宋体" w:cs="宋体"/>
          <w:color w:val="auto"/>
          <w:sz w:val="24"/>
          <w:highlight w:val="none"/>
          <w:lang w:val="en-US" w:eastAsia="zh-CN"/>
        </w:rPr>
        <w:t>55</w:t>
      </w:r>
      <w:r>
        <w:rPr>
          <w:rFonts w:hint="eastAsia" w:ascii="宋体" w:hAnsi="宋体" w:cs="宋体"/>
          <w:color w:val="auto"/>
          <w:sz w:val="24"/>
          <w:highlight w:val="none"/>
        </w:rPr>
        <w:t>%计费。</w:t>
      </w:r>
    </w:p>
    <w:tbl>
      <w:tblPr>
        <w:tblStyle w:val="30"/>
        <w:tblW w:w="50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2060"/>
        <w:gridCol w:w="1239"/>
        <w:gridCol w:w="1322"/>
        <w:gridCol w:w="974"/>
        <w:gridCol w:w="1020"/>
        <w:gridCol w:w="909"/>
        <w:gridCol w:w="1127"/>
      </w:tblGrid>
      <w:tr w14:paraId="41A4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9" w:type="pct"/>
            <w:vMerge w:val="restart"/>
            <w:noWrap w:val="0"/>
            <w:vAlign w:val="center"/>
          </w:tcPr>
          <w:p w14:paraId="6E738309">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分类</w:t>
            </w:r>
          </w:p>
        </w:tc>
        <w:tc>
          <w:tcPr>
            <w:tcW w:w="1024" w:type="pct"/>
            <w:vMerge w:val="restart"/>
            <w:noWrap w:val="0"/>
            <w:vAlign w:val="center"/>
          </w:tcPr>
          <w:p w14:paraId="1C226927">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设备</w:t>
            </w:r>
          </w:p>
        </w:tc>
        <w:tc>
          <w:tcPr>
            <w:tcW w:w="3276" w:type="pct"/>
            <w:gridSpan w:val="6"/>
            <w:noWrap w:val="0"/>
            <w:vAlign w:val="center"/>
          </w:tcPr>
          <w:p w14:paraId="398A16D8">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报价基准单价（元/次/台）</w:t>
            </w:r>
          </w:p>
        </w:tc>
      </w:tr>
      <w:tr w14:paraId="471E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99" w:type="pct"/>
            <w:vMerge w:val="continue"/>
            <w:noWrap w:val="0"/>
            <w:vAlign w:val="center"/>
          </w:tcPr>
          <w:p w14:paraId="42DB5BE1">
            <w:pPr>
              <w:shd w:val="clear"/>
              <w:jc w:val="center"/>
              <w:rPr>
                <w:rFonts w:hint="eastAsia" w:ascii="宋体" w:hAnsi="宋体" w:cs="宋体"/>
                <w:color w:val="auto"/>
                <w:szCs w:val="21"/>
                <w:highlight w:val="none"/>
              </w:rPr>
            </w:pPr>
          </w:p>
        </w:tc>
        <w:tc>
          <w:tcPr>
            <w:tcW w:w="1024" w:type="pct"/>
            <w:vMerge w:val="continue"/>
            <w:noWrap w:val="0"/>
            <w:vAlign w:val="center"/>
          </w:tcPr>
          <w:p w14:paraId="43A66A2B">
            <w:pPr>
              <w:shd w:val="clear"/>
              <w:jc w:val="center"/>
              <w:rPr>
                <w:rFonts w:hint="eastAsia" w:ascii="宋体" w:hAnsi="宋体" w:cs="宋体"/>
                <w:color w:val="auto"/>
                <w:szCs w:val="21"/>
                <w:highlight w:val="none"/>
              </w:rPr>
            </w:pPr>
          </w:p>
        </w:tc>
        <w:tc>
          <w:tcPr>
            <w:tcW w:w="616" w:type="pct"/>
            <w:noWrap w:val="0"/>
            <w:vAlign w:val="center"/>
          </w:tcPr>
          <w:p w14:paraId="7C89992D">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职业病危害放射防护预评价</w:t>
            </w:r>
          </w:p>
        </w:tc>
        <w:tc>
          <w:tcPr>
            <w:tcW w:w="657" w:type="pct"/>
            <w:noWrap w:val="0"/>
            <w:vAlign w:val="center"/>
          </w:tcPr>
          <w:p w14:paraId="30230CB1">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职业病危害控制效果放射防护评价</w:t>
            </w:r>
          </w:p>
        </w:tc>
        <w:tc>
          <w:tcPr>
            <w:tcW w:w="484" w:type="pct"/>
            <w:noWrap w:val="0"/>
            <w:vAlign w:val="center"/>
          </w:tcPr>
          <w:p w14:paraId="0F4CFA84">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辐射水平检测</w:t>
            </w:r>
          </w:p>
        </w:tc>
        <w:tc>
          <w:tcPr>
            <w:tcW w:w="507" w:type="pct"/>
            <w:noWrap w:val="0"/>
            <w:vAlign w:val="center"/>
          </w:tcPr>
          <w:p w14:paraId="52774201">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质量控制检测</w:t>
            </w:r>
          </w:p>
        </w:tc>
        <w:tc>
          <w:tcPr>
            <w:tcW w:w="452" w:type="pct"/>
            <w:noWrap w:val="0"/>
            <w:vAlign w:val="center"/>
          </w:tcPr>
          <w:p w14:paraId="41FAE1A5">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环境影响评价</w:t>
            </w:r>
          </w:p>
        </w:tc>
        <w:tc>
          <w:tcPr>
            <w:tcW w:w="557" w:type="pct"/>
            <w:noWrap w:val="0"/>
            <w:vAlign w:val="center"/>
          </w:tcPr>
          <w:p w14:paraId="0D63EEE9">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环保验收</w:t>
            </w:r>
          </w:p>
        </w:tc>
      </w:tr>
      <w:tr w14:paraId="392E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restart"/>
            <w:noWrap w:val="0"/>
            <w:vAlign w:val="center"/>
          </w:tcPr>
          <w:p w14:paraId="0FBDFBE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核医学</w:t>
            </w:r>
          </w:p>
        </w:tc>
        <w:tc>
          <w:tcPr>
            <w:tcW w:w="1024" w:type="pct"/>
            <w:noWrap w:val="0"/>
            <w:vAlign w:val="center"/>
          </w:tcPr>
          <w:p w14:paraId="0F9BBD1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ECT</w:t>
            </w:r>
          </w:p>
        </w:tc>
        <w:tc>
          <w:tcPr>
            <w:tcW w:w="616" w:type="pct"/>
            <w:noWrap w:val="0"/>
            <w:vAlign w:val="center"/>
          </w:tcPr>
          <w:p w14:paraId="16819DB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45000</w:t>
            </w:r>
          </w:p>
        </w:tc>
        <w:tc>
          <w:tcPr>
            <w:tcW w:w="657" w:type="pct"/>
            <w:noWrap w:val="0"/>
            <w:vAlign w:val="center"/>
          </w:tcPr>
          <w:p w14:paraId="0DCDEE1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60000</w:t>
            </w:r>
          </w:p>
        </w:tc>
        <w:tc>
          <w:tcPr>
            <w:tcW w:w="484" w:type="pct"/>
            <w:vMerge w:val="restart"/>
            <w:noWrap w:val="0"/>
            <w:vAlign w:val="center"/>
          </w:tcPr>
          <w:p w14:paraId="2EDBD683">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1800</w:t>
            </w:r>
          </w:p>
        </w:tc>
        <w:tc>
          <w:tcPr>
            <w:tcW w:w="507" w:type="pct"/>
            <w:noWrap w:val="0"/>
            <w:vAlign w:val="center"/>
          </w:tcPr>
          <w:p w14:paraId="564E49E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18000</w:t>
            </w:r>
          </w:p>
        </w:tc>
        <w:tc>
          <w:tcPr>
            <w:tcW w:w="452" w:type="pct"/>
            <w:noWrap w:val="0"/>
            <w:vAlign w:val="center"/>
          </w:tcPr>
          <w:p w14:paraId="417B534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45000</w:t>
            </w:r>
          </w:p>
        </w:tc>
        <w:tc>
          <w:tcPr>
            <w:tcW w:w="557" w:type="pct"/>
            <w:noWrap w:val="0"/>
            <w:vAlign w:val="center"/>
          </w:tcPr>
          <w:p w14:paraId="10668F4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60000</w:t>
            </w:r>
          </w:p>
        </w:tc>
      </w:tr>
      <w:tr w14:paraId="02BB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continue"/>
            <w:noWrap w:val="0"/>
            <w:vAlign w:val="center"/>
          </w:tcPr>
          <w:p w14:paraId="025D7067">
            <w:pPr>
              <w:shd w:val="clear"/>
              <w:jc w:val="center"/>
              <w:rPr>
                <w:rFonts w:hint="eastAsia" w:ascii="宋体" w:hAnsi="宋体" w:cs="宋体"/>
                <w:color w:val="auto"/>
                <w:szCs w:val="21"/>
                <w:highlight w:val="none"/>
              </w:rPr>
            </w:pPr>
          </w:p>
        </w:tc>
        <w:tc>
          <w:tcPr>
            <w:tcW w:w="1024" w:type="pct"/>
            <w:noWrap w:val="0"/>
            <w:vAlign w:val="center"/>
          </w:tcPr>
          <w:p w14:paraId="41401C6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PET-CT</w:t>
            </w:r>
          </w:p>
        </w:tc>
        <w:tc>
          <w:tcPr>
            <w:tcW w:w="616" w:type="pct"/>
            <w:noWrap w:val="0"/>
            <w:vAlign w:val="center"/>
          </w:tcPr>
          <w:p w14:paraId="1ECF432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50000</w:t>
            </w:r>
          </w:p>
        </w:tc>
        <w:tc>
          <w:tcPr>
            <w:tcW w:w="657" w:type="pct"/>
            <w:noWrap w:val="0"/>
            <w:vAlign w:val="center"/>
          </w:tcPr>
          <w:p w14:paraId="66BEBBE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75000</w:t>
            </w:r>
          </w:p>
        </w:tc>
        <w:tc>
          <w:tcPr>
            <w:tcW w:w="484" w:type="pct"/>
            <w:vMerge w:val="continue"/>
            <w:noWrap w:val="0"/>
            <w:vAlign w:val="center"/>
          </w:tcPr>
          <w:p w14:paraId="75FB0294">
            <w:pPr>
              <w:shd w:val="clear"/>
              <w:jc w:val="center"/>
              <w:rPr>
                <w:rFonts w:hint="eastAsia" w:ascii="宋体" w:hAnsi="宋体" w:cs="宋体"/>
                <w:color w:val="auto"/>
                <w:szCs w:val="21"/>
                <w:highlight w:val="none"/>
              </w:rPr>
            </w:pPr>
          </w:p>
        </w:tc>
        <w:tc>
          <w:tcPr>
            <w:tcW w:w="507" w:type="pct"/>
            <w:noWrap w:val="0"/>
            <w:vAlign w:val="center"/>
          </w:tcPr>
          <w:p w14:paraId="3D75134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25000</w:t>
            </w:r>
          </w:p>
        </w:tc>
        <w:tc>
          <w:tcPr>
            <w:tcW w:w="452" w:type="pct"/>
            <w:noWrap w:val="0"/>
            <w:vAlign w:val="center"/>
          </w:tcPr>
          <w:p w14:paraId="298113C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50000</w:t>
            </w:r>
          </w:p>
        </w:tc>
        <w:tc>
          <w:tcPr>
            <w:tcW w:w="557" w:type="pct"/>
            <w:noWrap w:val="0"/>
            <w:vAlign w:val="center"/>
          </w:tcPr>
          <w:p w14:paraId="5057720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75000</w:t>
            </w:r>
          </w:p>
        </w:tc>
      </w:tr>
      <w:tr w14:paraId="2067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continue"/>
            <w:noWrap w:val="0"/>
            <w:vAlign w:val="center"/>
          </w:tcPr>
          <w:p w14:paraId="09F28E40">
            <w:pPr>
              <w:shd w:val="clear"/>
              <w:jc w:val="center"/>
              <w:rPr>
                <w:rFonts w:hint="eastAsia" w:ascii="宋体" w:hAnsi="宋体" w:cs="宋体"/>
                <w:color w:val="auto"/>
                <w:szCs w:val="21"/>
                <w:highlight w:val="none"/>
              </w:rPr>
            </w:pPr>
          </w:p>
        </w:tc>
        <w:tc>
          <w:tcPr>
            <w:tcW w:w="1024" w:type="pct"/>
            <w:noWrap w:val="0"/>
            <w:vAlign w:val="center"/>
          </w:tcPr>
          <w:p w14:paraId="55F310D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其他核医学</w:t>
            </w:r>
          </w:p>
        </w:tc>
        <w:tc>
          <w:tcPr>
            <w:tcW w:w="616" w:type="pct"/>
            <w:noWrap w:val="0"/>
            <w:vAlign w:val="center"/>
          </w:tcPr>
          <w:p w14:paraId="5CE9323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30000</w:t>
            </w:r>
          </w:p>
        </w:tc>
        <w:tc>
          <w:tcPr>
            <w:tcW w:w="657" w:type="pct"/>
            <w:noWrap w:val="0"/>
            <w:vAlign w:val="center"/>
          </w:tcPr>
          <w:p w14:paraId="722CC1A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40000</w:t>
            </w:r>
          </w:p>
        </w:tc>
        <w:tc>
          <w:tcPr>
            <w:tcW w:w="484" w:type="pct"/>
            <w:vMerge w:val="continue"/>
            <w:noWrap w:val="0"/>
            <w:vAlign w:val="center"/>
          </w:tcPr>
          <w:p w14:paraId="3B5F9FD6">
            <w:pPr>
              <w:shd w:val="clear"/>
              <w:jc w:val="center"/>
              <w:rPr>
                <w:rFonts w:hint="eastAsia" w:ascii="宋体" w:hAnsi="宋体" w:cs="宋体"/>
                <w:color w:val="auto"/>
                <w:szCs w:val="21"/>
                <w:highlight w:val="none"/>
              </w:rPr>
            </w:pPr>
          </w:p>
        </w:tc>
        <w:tc>
          <w:tcPr>
            <w:tcW w:w="507" w:type="pct"/>
            <w:noWrap w:val="0"/>
            <w:vAlign w:val="center"/>
          </w:tcPr>
          <w:p w14:paraId="4FA7C4C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452" w:type="pct"/>
            <w:noWrap w:val="0"/>
            <w:vAlign w:val="center"/>
          </w:tcPr>
          <w:p w14:paraId="4F9963F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30000</w:t>
            </w:r>
          </w:p>
        </w:tc>
        <w:tc>
          <w:tcPr>
            <w:tcW w:w="557" w:type="pct"/>
            <w:noWrap w:val="0"/>
            <w:vAlign w:val="center"/>
          </w:tcPr>
          <w:p w14:paraId="0E36297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40000</w:t>
            </w:r>
          </w:p>
        </w:tc>
      </w:tr>
      <w:tr w14:paraId="0C5D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99" w:type="pct"/>
            <w:vMerge w:val="restart"/>
            <w:noWrap w:val="0"/>
            <w:vAlign w:val="center"/>
          </w:tcPr>
          <w:p w14:paraId="730122A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放射治疗</w:t>
            </w:r>
          </w:p>
        </w:tc>
        <w:tc>
          <w:tcPr>
            <w:tcW w:w="1024" w:type="pct"/>
            <w:noWrap w:val="0"/>
            <w:vAlign w:val="center"/>
          </w:tcPr>
          <w:p w14:paraId="033113A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电子加速器</w:t>
            </w:r>
          </w:p>
          <w:p w14:paraId="120BCED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（不含电子线）</w:t>
            </w:r>
          </w:p>
        </w:tc>
        <w:tc>
          <w:tcPr>
            <w:tcW w:w="616" w:type="pct"/>
            <w:vMerge w:val="restart"/>
            <w:noWrap w:val="0"/>
            <w:vAlign w:val="center"/>
          </w:tcPr>
          <w:p w14:paraId="5190FAEC">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45000</w:t>
            </w:r>
          </w:p>
        </w:tc>
        <w:tc>
          <w:tcPr>
            <w:tcW w:w="657" w:type="pct"/>
            <w:vMerge w:val="restart"/>
            <w:noWrap w:val="0"/>
            <w:vAlign w:val="center"/>
          </w:tcPr>
          <w:p w14:paraId="265A582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60000</w:t>
            </w:r>
          </w:p>
        </w:tc>
        <w:tc>
          <w:tcPr>
            <w:tcW w:w="484" w:type="pct"/>
            <w:vMerge w:val="restart"/>
            <w:noWrap w:val="0"/>
            <w:vAlign w:val="center"/>
          </w:tcPr>
          <w:p w14:paraId="005C5C0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1800</w:t>
            </w:r>
          </w:p>
        </w:tc>
        <w:tc>
          <w:tcPr>
            <w:tcW w:w="507" w:type="pct"/>
            <w:noWrap w:val="0"/>
            <w:vAlign w:val="center"/>
          </w:tcPr>
          <w:p w14:paraId="0C03E62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15000</w:t>
            </w:r>
          </w:p>
        </w:tc>
        <w:tc>
          <w:tcPr>
            <w:tcW w:w="452" w:type="pct"/>
            <w:vMerge w:val="restart"/>
            <w:noWrap w:val="0"/>
            <w:vAlign w:val="center"/>
          </w:tcPr>
          <w:p w14:paraId="61DF139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45000</w:t>
            </w:r>
          </w:p>
        </w:tc>
        <w:tc>
          <w:tcPr>
            <w:tcW w:w="557" w:type="pct"/>
            <w:vMerge w:val="restart"/>
            <w:noWrap w:val="0"/>
            <w:vAlign w:val="center"/>
          </w:tcPr>
          <w:p w14:paraId="6589DBC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60000</w:t>
            </w:r>
          </w:p>
        </w:tc>
      </w:tr>
      <w:tr w14:paraId="1D82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699" w:type="pct"/>
            <w:vMerge w:val="continue"/>
            <w:noWrap w:val="0"/>
            <w:vAlign w:val="center"/>
          </w:tcPr>
          <w:p w14:paraId="7C0B7461">
            <w:pPr>
              <w:shd w:val="clear"/>
              <w:jc w:val="center"/>
              <w:rPr>
                <w:rFonts w:hint="eastAsia" w:ascii="宋体" w:hAnsi="宋体" w:cs="宋体"/>
                <w:color w:val="auto"/>
                <w:szCs w:val="21"/>
                <w:highlight w:val="none"/>
              </w:rPr>
            </w:pPr>
          </w:p>
        </w:tc>
        <w:tc>
          <w:tcPr>
            <w:tcW w:w="1024" w:type="pct"/>
            <w:noWrap w:val="0"/>
            <w:vAlign w:val="center"/>
          </w:tcPr>
          <w:p w14:paraId="3FCEC44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电子加速器</w:t>
            </w:r>
          </w:p>
          <w:p w14:paraId="403B5E7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（含电子线）</w:t>
            </w:r>
          </w:p>
        </w:tc>
        <w:tc>
          <w:tcPr>
            <w:tcW w:w="616" w:type="pct"/>
            <w:vMerge w:val="continue"/>
            <w:noWrap w:val="0"/>
            <w:vAlign w:val="center"/>
          </w:tcPr>
          <w:p w14:paraId="0633CD47">
            <w:pPr>
              <w:shd w:val="clear"/>
              <w:jc w:val="center"/>
              <w:rPr>
                <w:rFonts w:hint="eastAsia" w:ascii="宋体" w:hAnsi="宋体" w:cs="宋体"/>
                <w:color w:val="auto"/>
                <w:szCs w:val="21"/>
                <w:highlight w:val="none"/>
              </w:rPr>
            </w:pPr>
          </w:p>
        </w:tc>
        <w:tc>
          <w:tcPr>
            <w:tcW w:w="657" w:type="pct"/>
            <w:vMerge w:val="continue"/>
            <w:noWrap w:val="0"/>
            <w:vAlign w:val="center"/>
          </w:tcPr>
          <w:p w14:paraId="37A66664">
            <w:pPr>
              <w:shd w:val="clear"/>
              <w:jc w:val="center"/>
              <w:rPr>
                <w:rFonts w:hint="eastAsia" w:ascii="宋体" w:hAnsi="宋体" w:cs="宋体"/>
                <w:color w:val="auto"/>
                <w:szCs w:val="21"/>
                <w:highlight w:val="none"/>
              </w:rPr>
            </w:pPr>
          </w:p>
        </w:tc>
        <w:tc>
          <w:tcPr>
            <w:tcW w:w="484" w:type="pct"/>
            <w:vMerge w:val="continue"/>
            <w:noWrap w:val="0"/>
            <w:vAlign w:val="center"/>
          </w:tcPr>
          <w:p w14:paraId="7A957B5C">
            <w:pPr>
              <w:shd w:val="clear"/>
              <w:jc w:val="center"/>
              <w:rPr>
                <w:rFonts w:hint="eastAsia" w:ascii="宋体" w:hAnsi="宋体" w:cs="宋体"/>
                <w:color w:val="auto"/>
                <w:szCs w:val="21"/>
                <w:highlight w:val="none"/>
              </w:rPr>
            </w:pPr>
          </w:p>
        </w:tc>
        <w:tc>
          <w:tcPr>
            <w:tcW w:w="507" w:type="pct"/>
            <w:noWrap w:val="0"/>
            <w:vAlign w:val="center"/>
          </w:tcPr>
          <w:p w14:paraId="1E13B0A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18000</w:t>
            </w:r>
          </w:p>
        </w:tc>
        <w:tc>
          <w:tcPr>
            <w:tcW w:w="452" w:type="pct"/>
            <w:vMerge w:val="continue"/>
            <w:noWrap w:val="0"/>
            <w:vAlign w:val="center"/>
          </w:tcPr>
          <w:p w14:paraId="549674F7">
            <w:pPr>
              <w:shd w:val="clear"/>
              <w:jc w:val="center"/>
              <w:rPr>
                <w:rFonts w:hint="eastAsia" w:ascii="宋体" w:hAnsi="宋体" w:cs="宋体"/>
                <w:color w:val="auto"/>
                <w:szCs w:val="21"/>
                <w:highlight w:val="none"/>
              </w:rPr>
            </w:pPr>
          </w:p>
        </w:tc>
        <w:tc>
          <w:tcPr>
            <w:tcW w:w="557" w:type="pct"/>
            <w:vMerge w:val="continue"/>
            <w:noWrap w:val="0"/>
            <w:vAlign w:val="center"/>
          </w:tcPr>
          <w:p w14:paraId="7E0BE640">
            <w:pPr>
              <w:shd w:val="clear"/>
              <w:jc w:val="center"/>
              <w:rPr>
                <w:rFonts w:hint="eastAsia" w:ascii="宋体" w:hAnsi="宋体" w:cs="宋体"/>
                <w:color w:val="auto"/>
                <w:szCs w:val="21"/>
                <w:highlight w:val="none"/>
              </w:rPr>
            </w:pPr>
          </w:p>
        </w:tc>
      </w:tr>
      <w:tr w14:paraId="7248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continue"/>
            <w:noWrap w:val="0"/>
            <w:vAlign w:val="center"/>
          </w:tcPr>
          <w:p w14:paraId="12ED9486">
            <w:pPr>
              <w:shd w:val="clear"/>
              <w:jc w:val="center"/>
              <w:rPr>
                <w:rFonts w:hint="eastAsia" w:ascii="宋体" w:hAnsi="宋体" w:cs="宋体"/>
                <w:color w:val="auto"/>
                <w:szCs w:val="21"/>
                <w:highlight w:val="none"/>
              </w:rPr>
            </w:pPr>
          </w:p>
        </w:tc>
        <w:tc>
          <w:tcPr>
            <w:tcW w:w="1024" w:type="pct"/>
            <w:noWrap w:val="0"/>
            <w:vAlign w:val="center"/>
          </w:tcPr>
          <w:p w14:paraId="1109722C">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钴-60远距离治疗</w:t>
            </w:r>
          </w:p>
        </w:tc>
        <w:tc>
          <w:tcPr>
            <w:tcW w:w="616" w:type="pct"/>
            <w:noWrap w:val="0"/>
            <w:vAlign w:val="center"/>
          </w:tcPr>
          <w:p w14:paraId="2885593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40000</w:t>
            </w:r>
          </w:p>
        </w:tc>
        <w:tc>
          <w:tcPr>
            <w:tcW w:w="657" w:type="pct"/>
            <w:noWrap w:val="0"/>
            <w:vAlign w:val="center"/>
          </w:tcPr>
          <w:p w14:paraId="0BD93B6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60000</w:t>
            </w:r>
          </w:p>
        </w:tc>
        <w:tc>
          <w:tcPr>
            <w:tcW w:w="484" w:type="pct"/>
            <w:vMerge w:val="continue"/>
            <w:noWrap w:val="0"/>
            <w:vAlign w:val="center"/>
          </w:tcPr>
          <w:p w14:paraId="1829C654">
            <w:pPr>
              <w:shd w:val="clear"/>
              <w:jc w:val="center"/>
              <w:rPr>
                <w:rFonts w:hint="eastAsia" w:ascii="宋体" w:hAnsi="宋体" w:cs="宋体"/>
                <w:color w:val="auto"/>
                <w:szCs w:val="21"/>
                <w:highlight w:val="none"/>
              </w:rPr>
            </w:pPr>
          </w:p>
        </w:tc>
        <w:tc>
          <w:tcPr>
            <w:tcW w:w="507" w:type="pct"/>
            <w:noWrap w:val="0"/>
            <w:vAlign w:val="center"/>
          </w:tcPr>
          <w:p w14:paraId="721CD24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20000</w:t>
            </w:r>
          </w:p>
        </w:tc>
        <w:tc>
          <w:tcPr>
            <w:tcW w:w="452" w:type="pct"/>
            <w:noWrap w:val="0"/>
            <w:vAlign w:val="center"/>
          </w:tcPr>
          <w:p w14:paraId="29594C9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40000</w:t>
            </w:r>
          </w:p>
        </w:tc>
        <w:tc>
          <w:tcPr>
            <w:tcW w:w="557" w:type="pct"/>
            <w:noWrap w:val="0"/>
            <w:vAlign w:val="center"/>
          </w:tcPr>
          <w:p w14:paraId="656E32D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60000</w:t>
            </w:r>
          </w:p>
        </w:tc>
      </w:tr>
      <w:tr w14:paraId="0AA2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continue"/>
            <w:noWrap w:val="0"/>
            <w:vAlign w:val="center"/>
          </w:tcPr>
          <w:p w14:paraId="12C8FDFD">
            <w:pPr>
              <w:shd w:val="clear"/>
              <w:jc w:val="center"/>
              <w:rPr>
                <w:rFonts w:hint="eastAsia" w:ascii="宋体" w:hAnsi="宋体" w:cs="宋体"/>
                <w:color w:val="auto"/>
                <w:szCs w:val="21"/>
                <w:highlight w:val="none"/>
              </w:rPr>
            </w:pPr>
          </w:p>
        </w:tc>
        <w:tc>
          <w:tcPr>
            <w:tcW w:w="1024" w:type="pct"/>
            <w:noWrap w:val="0"/>
            <w:vAlign w:val="center"/>
          </w:tcPr>
          <w:p w14:paraId="6825F87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后装治疗</w:t>
            </w:r>
          </w:p>
        </w:tc>
        <w:tc>
          <w:tcPr>
            <w:tcW w:w="616" w:type="pct"/>
            <w:noWrap w:val="0"/>
            <w:vAlign w:val="center"/>
          </w:tcPr>
          <w:p w14:paraId="28C23BC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40000</w:t>
            </w:r>
          </w:p>
        </w:tc>
        <w:tc>
          <w:tcPr>
            <w:tcW w:w="657" w:type="pct"/>
            <w:noWrap w:val="0"/>
            <w:vAlign w:val="center"/>
          </w:tcPr>
          <w:p w14:paraId="0CA71FC3">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50000</w:t>
            </w:r>
          </w:p>
        </w:tc>
        <w:tc>
          <w:tcPr>
            <w:tcW w:w="484" w:type="pct"/>
            <w:vMerge w:val="continue"/>
            <w:noWrap w:val="0"/>
            <w:vAlign w:val="center"/>
          </w:tcPr>
          <w:p w14:paraId="3DCC1273">
            <w:pPr>
              <w:shd w:val="clear"/>
              <w:jc w:val="center"/>
              <w:rPr>
                <w:rFonts w:hint="eastAsia" w:ascii="宋体" w:hAnsi="宋体" w:cs="宋体"/>
                <w:color w:val="auto"/>
                <w:szCs w:val="21"/>
                <w:highlight w:val="none"/>
              </w:rPr>
            </w:pPr>
          </w:p>
        </w:tc>
        <w:tc>
          <w:tcPr>
            <w:tcW w:w="507" w:type="pct"/>
            <w:noWrap w:val="0"/>
            <w:vAlign w:val="center"/>
          </w:tcPr>
          <w:p w14:paraId="3A19BF7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10000</w:t>
            </w:r>
          </w:p>
        </w:tc>
        <w:tc>
          <w:tcPr>
            <w:tcW w:w="452" w:type="pct"/>
            <w:noWrap w:val="0"/>
            <w:vAlign w:val="center"/>
          </w:tcPr>
          <w:p w14:paraId="1EC9588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40000</w:t>
            </w:r>
          </w:p>
        </w:tc>
        <w:tc>
          <w:tcPr>
            <w:tcW w:w="557" w:type="pct"/>
            <w:noWrap w:val="0"/>
            <w:vAlign w:val="center"/>
          </w:tcPr>
          <w:p w14:paraId="366E07E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50000</w:t>
            </w:r>
          </w:p>
        </w:tc>
      </w:tr>
      <w:tr w14:paraId="0EDD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continue"/>
            <w:noWrap w:val="0"/>
            <w:vAlign w:val="center"/>
          </w:tcPr>
          <w:p w14:paraId="7C419B23">
            <w:pPr>
              <w:shd w:val="clear"/>
              <w:jc w:val="center"/>
              <w:rPr>
                <w:rFonts w:hint="eastAsia" w:ascii="宋体" w:hAnsi="宋体" w:cs="宋体"/>
                <w:color w:val="auto"/>
                <w:szCs w:val="21"/>
                <w:highlight w:val="none"/>
              </w:rPr>
            </w:pPr>
          </w:p>
        </w:tc>
        <w:tc>
          <w:tcPr>
            <w:tcW w:w="1024" w:type="pct"/>
            <w:noWrap w:val="0"/>
            <w:vAlign w:val="center"/>
          </w:tcPr>
          <w:p w14:paraId="46A0B46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γ刀治疗</w:t>
            </w:r>
          </w:p>
        </w:tc>
        <w:tc>
          <w:tcPr>
            <w:tcW w:w="616" w:type="pct"/>
            <w:noWrap w:val="0"/>
            <w:vAlign w:val="center"/>
          </w:tcPr>
          <w:p w14:paraId="7317635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50000</w:t>
            </w:r>
          </w:p>
        </w:tc>
        <w:tc>
          <w:tcPr>
            <w:tcW w:w="657" w:type="pct"/>
            <w:noWrap w:val="0"/>
            <w:vAlign w:val="center"/>
          </w:tcPr>
          <w:p w14:paraId="5AAB297C">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70000</w:t>
            </w:r>
          </w:p>
        </w:tc>
        <w:tc>
          <w:tcPr>
            <w:tcW w:w="484" w:type="pct"/>
            <w:vMerge w:val="continue"/>
            <w:noWrap w:val="0"/>
            <w:vAlign w:val="center"/>
          </w:tcPr>
          <w:p w14:paraId="6CFAAA44">
            <w:pPr>
              <w:shd w:val="clear"/>
              <w:jc w:val="center"/>
              <w:rPr>
                <w:rFonts w:hint="eastAsia" w:ascii="宋体" w:hAnsi="宋体" w:cs="宋体"/>
                <w:color w:val="auto"/>
                <w:szCs w:val="21"/>
                <w:highlight w:val="none"/>
              </w:rPr>
            </w:pPr>
          </w:p>
        </w:tc>
        <w:tc>
          <w:tcPr>
            <w:tcW w:w="507" w:type="pct"/>
            <w:noWrap w:val="0"/>
            <w:vAlign w:val="center"/>
          </w:tcPr>
          <w:p w14:paraId="566C536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12000</w:t>
            </w:r>
          </w:p>
        </w:tc>
        <w:tc>
          <w:tcPr>
            <w:tcW w:w="452" w:type="pct"/>
            <w:noWrap w:val="0"/>
            <w:vAlign w:val="center"/>
          </w:tcPr>
          <w:p w14:paraId="7010FCB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50000</w:t>
            </w:r>
          </w:p>
        </w:tc>
        <w:tc>
          <w:tcPr>
            <w:tcW w:w="557" w:type="pct"/>
            <w:noWrap w:val="0"/>
            <w:vAlign w:val="center"/>
          </w:tcPr>
          <w:p w14:paraId="43E7206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70000</w:t>
            </w:r>
          </w:p>
        </w:tc>
      </w:tr>
      <w:tr w14:paraId="301F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noWrap w:val="0"/>
            <w:vAlign w:val="center"/>
          </w:tcPr>
          <w:p w14:paraId="11B15BE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介入放射学</w:t>
            </w:r>
          </w:p>
        </w:tc>
        <w:tc>
          <w:tcPr>
            <w:tcW w:w="1024" w:type="pct"/>
            <w:noWrap w:val="0"/>
            <w:vAlign w:val="center"/>
          </w:tcPr>
          <w:p w14:paraId="1E74B5B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DSA</w:t>
            </w:r>
          </w:p>
        </w:tc>
        <w:tc>
          <w:tcPr>
            <w:tcW w:w="616" w:type="pct"/>
            <w:noWrap w:val="0"/>
            <w:vAlign w:val="center"/>
          </w:tcPr>
          <w:p w14:paraId="4E0086A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10000</w:t>
            </w:r>
          </w:p>
        </w:tc>
        <w:tc>
          <w:tcPr>
            <w:tcW w:w="657" w:type="pct"/>
            <w:noWrap w:val="0"/>
            <w:vAlign w:val="center"/>
          </w:tcPr>
          <w:p w14:paraId="1376AE9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15000</w:t>
            </w:r>
          </w:p>
        </w:tc>
        <w:tc>
          <w:tcPr>
            <w:tcW w:w="484" w:type="pct"/>
            <w:noWrap w:val="0"/>
            <w:vAlign w:val="center"/>
          </w:tcPr>
          <w:p w14:paraId="1075979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800</w:t>
            </w:r>
          </w:p>
        </w:tc>
        <w:tc>
          <w:tcPr>
            <w:tcW w:w="507" w:type="pct"/>
            <w:noWrap w:val="0"/>
            <w:vAlign w:val="center"/>
          </w:tcPr>
          <w:p w14:paraId="5CD0E91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2000</w:t>
            </w:r>
          </w:p>
        </w:tc>
        <w:tc>
          <w:tcPr>
            <w:tcW w:w="452" w:type="pct"/>
            <w:noWrap w:val="0"/>
            <w:vAlign w:val="center"/>
          </w:tcPr>
          <w:p w14:paraId="7FB628B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40000</w:t>
            </w:r>
          </w:p>
        </w:tc>
        <w:tc>
          <w:tcPr>
            <w:tcW w:w="557" w:type="pct"/>
            <w:noWrap w:val="0"/>
            <w:vAlign w:val="center"/>
          </w:tcPr>
          <w:p w14:paraId="247542F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60000</w:t>
            </w:r>
          </w:p>
        </w:tc>
      </w:tr>
      <w:tr w14:paraId="4AC0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restart"/>
            <w:noWrap w:val="0"/>
            <w:vAlign w:val="center"/>
          </w:tcPr>
          <w:p w14:paraId="099BF9D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影像诊断</w:t>
            </w:r>
          </w:p>
        </w:tc>
        <w:tc>
          <w:tcPr>
            <w:tcW w:w="1024" w:type="pct"/>
            <w:noWrap w:val="0"/>
            <w:vAlign w:val="center"/>
          </w:tcPr>
          <w:p w14:paraId="6B4B158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牙科X射线诊断设备</w:t>
            </w:r>
          </w:p>
        </w:tc>
        <w:tc>
          <w:tcPr>
            <w:tcW w:w="616" w:type="pct"/>
            <w:noWrap w:val="0"/>
            <w:vAlign w:val="center"/>
          </w:tcPr>
          <w:p w14:paraId="3FFDA28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6000</w:t>
            </w:r>
          </w:p>
        </w:tc>
        <w:tc>
          <w:tcPr>
            <w:tcW w:w="657" w:type="pct"/>
            <w:noWrap w:val="0"/>
            <w:vAlign w:val="center"/>
          </w:tcPr>
          <w:p w14:paraId="4E067A9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8000</w:t>
            </w:r>
          </w:p>
        </w:tc>
        <w:tc>
          <w:tcPr>
            <w:tcW w:w="484" w:type="pct"/>
            <w:noWrap w:val="0"/>
            <w:vAlign w:val="center"/>
          </w:tcPr>
          <w:p w14:paraId="21CBEB7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600</w:t>
            </w:r>
          </w:p>
        </w:tc>
        <w:tc>
          <w:tcPr>
            <w:tcW w:w="507" w:type="pct"/>
            <w:noWrap w:val="0"/>
            <w:vAlign w:val="center"/>
          </w:tcPr>
          <w:p w14:paraId="2F347AE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1200</w:t>
            </w:r>
          </w:p>
        </w:tc>
        <w:tc>
          <w:tcPr>
            <w:tcW w:w="452" w:type="pct"/>
            <w:noWrap w:val="0"/>
            <w:vAlign w:val="center"/>
          </w:tcPr>
          <w:p w14:paraId="599E3ACC">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557" w:type="pct"/>
            <w:noWrap w:val="0"/>
            <w:vAlign w:val="center"/>
          </w:tcPr>
          <w:p w14:paraId="204D1483">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r>
      <w:tr w14:paraId="2C6B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continue"/>
            <w:noWrap w:val="0"/>
            <w:vAlign w:val="center"/>
          </w:tcPr>
          <w:p w14:paraId="26856210">
            <w:pPr>
              <w:shd w:val="clear"/>
              <w:jc w:val="center"/>
              <w:rPr>
                <w:rFonts w:hint="eastAsia" w:ascii="宋体" w:hAnsi="宋体" w:cs="宋体"/>
                <w:color w:val="auto"/>
                <w:szCs w:val="21"/>
                <w:highlight w:val="none"/>
              </w:rPr>
            </w:pPr>
          </w:p>
        </w:tc>
        <w:tc>
          <w:tcPr>
            <w:tcW w:w="1024" w:type="pct"/>
            <w:noWrap w:val="0"/>
            <w:vAlign w:val="center"/>
          </w:tcPr>
          <w:p w14:paraId="0C4439E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CT</w:t>
            </w:r>
          </w:p>
        </w:tc>
        <w:tc>
          <w:tcPr>
            <w:tcW w:w="616" w:type="pct"/>
            <w:noWrap w:val="0"/>
            <w:vAlign w:val="center"/>
          </w:tcPr>
          <w:p w14:paraId="2C67971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12000</w:t>
            </w:r>
          </w:p>
        </w:tc>
        <w:tc>
          <w:tcPr>
            <w:tcW w:w="657" w:type="pct"/>
            <w:noWrap w:val="0"/>
            <w:vAlign w:val="center"/>
          </w:tcPr>
          <w:p w14:paraId="6850DA5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15000</w:t>
            </w:r>
          </w:p>
        </w:tc>
        <w:tc>
          <w:tcPr>
            <w:tcW w:w="484" w:type="pct"/>
            <w:noWrap w:val="0"/>
            <w:vAlign w:val="center"/>
          </w:tcPr>
          <w:p w14:paraId="75703383">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1000</w:t>
            </w:r>
          </w:p>
        </w:tc>
        <w:tc>
          <w:tcPr>
            <w:tcW w:w="507" w:type="pct"/>
            <w:noWrap w:val="0"/>
            <w:vAlign w:val="center"/>
          </w:tcPr>
          <w:p w14:paraId="00A4CC7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3000</w:t>
            </w:r>
          </w:p>
        </w:tc>
        <w:tc>
          <w:tcPr>
            <w:tcW w:w="452" w:type="pct"/>
            <w:noWrap w:val="0"/>
            <w:vAlign w:val="center"/>
          </w:tcPr>
          <w:p w14:paraId="4EA5AA4A">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557" w:type="pct"/>
            <w:noWrap w:val="0"/>
            <w:vAlign w:val="center"/>
          </w:tcPr>
          <w:p w14:paraId="70BBF9AA">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r>
      <w:tr w14:paraId="3D82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continue"/>
            <w:noWrap w:val="0"/>
            <w:vAlign w:val="center"/>
          </w:tcPr>
          <w:p w14:paraId="7F2359D7">
            <w:pPr>
              <w:shd w:val="clear"/>
              <w:jc w:val="center"/>
              <w:rPr>
                <w:rFonts w:hint="eastAsia" w:ascii="宋体" w:hAnsi="宋体" w:cs="宋体"/>
                <w:color w:val="auto"/>
                <w:szCs w:val="21"/>
                <w:highlight w:val="none"/>
              </w:rPr>
            </w:pPr>
          </w:p>
        </w:tc>
        <w:tc>
          <w:tcPr>
            <w:tcW w:w="1024" w:type="pct"/>
            <w:noWrap w:val="0"/>
            <w:vAlign w:val="center"/>
          </w:tcPr>
          <w:p w14:paraId="7D94A4D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CR（含专用项目）</w:t>
            </w:r>
          </w:p>
        </w:tc>
        <w:tc>
          <w:tcPr>
            <w:tcW w:w="616" w:type="pct"/>
            <w:vMerge w:val="restart"/>
            <w:noWrap w:val="0"/>
            <w:vAlign w:val="center"/>
          </w:tcPr>
          <w:p w14:paraId="289E6AB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8000</w:t>
            </w:r>
          </w:p>
        </w:tc>
        <w:tc>
          <w:tcPr>
            <w:tcW w:w="657" w:type="pct"/>
            <w:vMerge w:val="restart"/>
            <w:noWrap w:val="0"/>
            <w:vAlign w:val="center"/>
          </w:tcPr>
          <w:p w14:paraId="1534D18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10000</w:t>
            </w:r>
          </w:p>
        </w:tc>
        <w:tc>
          <w:tcPr>
            <w:tcW w:w="484" w:type="pct"/>
            <w:vMerge w:val="restart"/>
            <w:noWrap w:val="0"/>
            <w:vAlign w:val="center"/>
          </w:tcPr>
          <w:p w14:paraId="4551C25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800</w:t>
            </w:r>
          </w:p>
        </w:tc>
        <w:tc>
          <w:tcPr>
            <w:tcW w:w="507" w:type="pct"/>
            <w:noWrap w:val="0"/>
            <w:vAlign w:val="center"/>
          </w:tcPr>
          <w:p w14:paraId="106D80C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2500</w:t>
            </w:r>
          </w:p>
        </w:tc>
        <w:tc>
          <w:tcPr>
            <w:tcW w:w="452" w:type="pct"/>
            <w:vMerge w:val="restart"/>
            <w:noWrap w:val="0"/>
            <w:vAlign w:val="center"/>
          </w:tcPr>
          <w:p w14:paraId="61CB6040">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557" w:type="pct"/>
            <w:vMerge w:val="restart"/>
            <w:noWrap w:val="0"/>
            <w:vAlign w:val="center"/>
          </w:tcPr>
          <w:p w14:paraId="13A3C839">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r>
      <w:tr w14:paraId="360C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continue"/>
            <w:noWrap w:val="0"/>
            <w:vAlign w:val="center"/>
          </w:tcPr>
          <w:p w14:paraId="758AA547">
            <w:pPr>
              <w:shd w:val="clear"/>
              <w:jc w:val="center"/>
              <w:rPr>
                <w:rFonts w:hint="eastAsia" w:ascii="宋体" w:hAnsi="宋体" w:cs="宋体"/>
                <w:color w:val="auto"/>
                <w:szCs w:val="21"/>
                <w:highlight w:val="none"/>
              </w:rPr>
            </w:pPr>
          </w:p>
        </w:tc>
        <w:tc>
          <w:tcPr>
            <w:tcW w:w="1024" w:type="pct"/>
            <w:noWrap w:val="0"/>
            <w:vAlign w:val="center"/>
          </w:tcPr>
          <w:p w14:paraId="3BF3740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DR（含专用项目）</w:t>
            </w:r>
          </w:p>
        </w:tc>
        <w:tc>
          <w:tcPr>
            <w:tcW w:w="616" w:type="pct"/>
            <w:vMerge w:val="continue"/>
            <w:noWrap w:val="0"/>
            <w:vAlign w:val="center"/>
          </w:tcPr>
          <w:p w14:paraId="7CF360AA">
            <w:pPr>
              <w:shd w:val="clear"/>
              <w:jc w:val="center"/>
              <w:rPr>
                <w:rFonts w:hint="eastAsia" w:ascii="宋体" w:hAnsi="宋体" w:cs="宋体"/>
                <w:color w:val="auto"/>
                <w:szCs w:val="21"/>
                <w:highlight w:val="none"/>
              </w:rPr>
            </w:pPr>
          </w:p>
        </w:tc>
        <w:tc>
          <w:tcPr>
            <w:tcW w:w="657" w:type="pct"/>
            <w:vMerge w:val="continue"/>
            <w:noWrap w:val="0"/>
            <w:vAlign w:val="center"/>
          </w:tcPr>
          <w:p w14:paraId="4398021F">
            <w:pPr>
              <w:shd w:val="clear"/>
              <w:jc w:val="center"/>
              <w:rPr>
                <w:rFonts w:hint="eastAsia" w:ascii="宋体" w:hAnsi="宋体" w:cs="宋体"/>
                <w:color w:val="auto"/>
                <w:szCs w:val="21"/>
                <w:highlight w:val="none"/>
              </w:rPr>
            </w:pPr>
          </w:p>
        </w:tc>
        <w:tc>
          <w:tcPr>
            <w:tcW w:w="484" w:type="pct"/>
            <w:vMerge w:val="continue"/>
            <w:noWrap w:val="0"/>
            <w:vAlign w:val="center"/>
          </w:tcPr>
          <w:p w14:paraId="3D1AAD11">
            <w:pPr>
              <w:shd w:val="clear"/>
              <w:jc w:val="center"/>
              <w:rPr>
                <w:rFonts w:hint="eastAsia" w:ascii="宋体" w:hAnsi="宋体" w:cs="宋体"/>
                <w:color w:val="auto"/>
                <w:szCs w:val="21"/>
                <w:highlight w:val="none"/>
              </w:rPr>
            </w:pPr>
          </w:p>
        </w:tc>
        <w:tc>
          <w:tcPr>
            <w:tcW w:w="507" w:type="pct"/>
            <w:noWrap w:val="0"/>
            <w:vAlign w:val="center"/>
          </w:tcPr>
          <w:p w14:paraId="5A6DBBC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2500</w:t>
            </w:r>
          </w:p>
        </w:tc>
        <w:tc>
          <w:tcPr>
            <w:tcW w:w="452" w:type="pct"/>
            <w:vMerge w:val="continue"/>
            <w:noWrap w:val="0"/>
            <w:vAlign w:val="center"/>
          </w:tcPr>
          <w:p w14:paraId="60722ED4">
            <w:pPr>
              <w:shd w:val="clear"/>
              <w:jc w:val="center"/>
              <w:rPr>
                <w:rFonts w:hint="eastAsia" w:ascii="宋体" w:hAnsi="宋体" w:cs="宋体"/>
                <w:color w:val="auto"/>
                <w:szCs w:val="21"/>
                <w:highlight w:val="none"/>
              </w:rPr>
            </w:pPr>
          </w:p>
        </w:tc>
        <w:tc>
          <w:tcPr>
            <w:tcW w:w="557" w:type="pct"/>
            <w:vMerge w:val="continue"/>
            <w:noWrap w:val="0"/>
            <w:vAlign w:val="center"/>
          </w:tcPr>
          <w:p w14:paraId="6B25058E">
            <w:pPr>
              <w:shd w:val="clear"/>
              <w:jc w:val="center"/>
              <w:rPr>
                <w:rFonts w:hint="eastAsia" w:ascii="宋体" w:hAnsi="宋体" w:cs="宋体"/>
                <w:color w:val="auto"/>
                <w:szCs w:val="21"/>
                <w:highlight w:val="none"/>
              </w:rPr>
            </w:pPr>
          </w:p>
        </w:tc>
      </w:tr>
      <w:tr w14:paraId="141C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continue"/>
            <w:noWrap w:val="0"/>
            <w:vAlign w:val="center"/>
          </w:tcPr>
          <w:p w14:paraId="7125AEDE">
            <w:pPr>
              <w:shd w:val="clear"/>
              <w:jc w:val="center"/>
              <w:rPr>
                <w:rFonts w:hint="eastAsia" w:ascii="宋体" w:hAnsi="宋体" w:cs="宋体"/>
                <w:color w:val="auto"/>
                <w:szCs w:val="21"/>
                <w:highlight w:val="none"/>
              </w:rPr>
            </w:pPr>
          </w:p>
        </w:tc>
        <w:tc>
          <w:tcPr>
            <w:tcW w:w="1024" w:type="pct"/>
            <w:noWrap w:val="0"/>
            <w:vAlign w:val="center"/>
          </w:tcPr>
          <w:p w14:paraId="7C34E37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DR（不含专用项目）</w:t>
            </w:r>
          </w:p>
        </w:tc>
        <w:tc>
          <w:tcPr>
            <w:tcW w:w="616" w:type="pct"/>
            <w:vMerge w:val="continue"/>
            <w:noWrap w:val="0"/>
            <w:vAlign w:val="center"/>
          </w:tcPr>
          <w:p w14:paraId="6E583538">
            <w:pPr>
              <w:shd w:val="clear"/>
              <w:jc w:val="center"/>
              <w:rPr>
                <w:rFonts w:hint="eastAsia" w:ascii="宋体" w:hAnsi="宋体" w:cs="宋体"/>
                <w:color w:val="auto"/>
                <w:szCs w:val="21"/>
                <w:highlight w:val="none"/>
              </w:rPr>
            </w:pPr>
          </w:p>
        </w:tc>
        <w:tc>
          <w:tcPr>
            <w:tcW w:w="657" w:type="pct"/>
            <w:vMerge w:val="continue"/>
            <w:noWrap w:val="0"/>
            <w:vAlign w:val="center"/>
          </w:tcPr>
          <w:p w14:paraId="37C71E02">
            <w:pPr>
              <w:shd w:val="clear"/>
              <w:jc w:val="center"/>
              <w:rPr>
                <w:rFonts w:hint="eastAsia" w:ascii="宋体" w:hAnsi="宋体" w:cs="宋体"/>
                <w:color w:val="auto"/>
                <w:szCs w:val="21"/>
                <w:highlight w:val="none"/>
              </w:rPr>
            </w:pPr>
          </w:p>
        </w:tc>
        <w:tc>
          <w:tcPr>
            <w:tcW w:w="484" w:type="pct"/>
            <w:vMerge w:val="continue"/>
            <w:noWrap w:val="0"/>
            <w:vAlign w:val="center"/>
          </w:tcPr>
          <w:p w14:paraId="40B7987B">
            <w:pPr>
              <w:shd w:val="clear"/>
              <w:jc w:val="center"/>
              <w:rPr>
                <w:rFonts w:hint="eastAsia" w:ascii="宋体" w:hAnsi="宋体" w:cs="宋体"/>
                <w:color w:val="auto"/>
                <w:szCs w:val="21"/>
                <w:highlight w:val="none"/>
              </w:rPr>
            </w:pPr>
          </w:p>
        </w:tc>
        <w:tc>
          <w:tcPr>
            <w:tcW w:w="507" w:type="pct"/>
            <w:noWrap w:val="0"/>
            <w:vAlign w:val="center"/>
          </w:tcPr>
          <w:p w14:paraId="7DE9750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1500</w:t>
            </w:r>
          </w:p>
        </w:tc>
        <w:tc>
          <w:tcPr>
            <w:tcW w:w="452" w:type="pct"/>
            <w:vMerge w:val="continue"/>
            <w:noWrap w:val="0"/>
            <w:vAlign w:val="center"/>
          </w:tcPr>
          <w:p w14:paraId="5730FA73">
            <w:pPr>
              <w:shd w:val="clear"/>
              <w:jc w:val="center"/>
              <w:rPr>
                <w:rFonts w:hint="eastAsia" w:ascii="宋体" w:hAnsi="宋体" w:cs="宋体"/>
                <w:color w:val="auto"/>
                <w:szCs w:val="21"/>
                <w:highlight w:val="none"/>
              </w:rPr>
            </w:pPr>
          </w:p>
        </w:tc>
        <w:tc>
          <w:tcPr>
            <w:tcW w:w="557" w:type="pct"/>
            <w:vMerge w:val="continue"/>
            <w:noWrap w:val="0"/>
            <w:vAlign w:val="center"/>
          </w:tcPr>
          <w:p w14:paraId="6B4AF318">
            <w:pPr>
              <w:shd w:val="clear"/>
              <w:jc w:val="center"/>
              <w:rPr>
                <w:rFonts w:hint="eastAsia" w:ascii="宋体" w:hAnsi="宋体" w:cs="宋体"/>
                <w:color w:val="auto"/>
                <w:szCs w:val="21"/>
                <w:highlight w:val="none"/>
              </w:rPr>
            </w:pPr>
          </w:p>
        </w:tc>
      </w:tr>
      <w:tr w14:paraId="5BFC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pct"/>
            <w:vMerge w:val="continue"/>
            <w:noWrap w:val="0"/>
            <w:vAlign w:val="center"/>
          </w:tcPr>
          <w:p w14:paraId="2B56B1E2">
            <w:pPr>
              <w:shd w:val="clear"/>
              <w:jc w:val="center"/>
              <w:rPr>
                <w:rFonts w:hint="eastAsia" w:ascii="宋体" w:hAnsi="宋体" w:cs="宋体"/>
                <w:color w:val="auto"/>
                <w:szCs w:val="21"/>
                <w:highlight w:val="none"/>
              </w:rPr>
            </w:pPr>
          </w:p>
        </w:tc>
        <w:tc>
          <w:tcPr>
            <w:tcW w:w="1024" w:type="pct"/>
            <w:noWrap w:val="0"/>
            <w:vAlign w:val="center"/>
          </w:tcPr>
          <w:p w14:paraId="3E947F9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乳腺机</w:t>
            </w:r>
          </w:p>
        </w:tc>
        <w:tc>
          <w:tcPr>
            <w:tcW w:w="616" w:type="pct"/>
            <w:vMerge w:val="continue"/>
            <w:noWrap w:val="0"/>
            <w:vAlign w:val="center"/>
          </w:tcPr>
          <w:p w14:paraId="4ADAFA75">
            <w:pPr>
              <w:shd w:val="clear"/>
              <w:jc w:val="center"/>
              <w:rPr>
                <w:rFonts w:hint="eastAsia" w:ascii="宋体" w:hAnsi="宋体" w:cs="宋体"/>
                <w:color w:val="auto"/>
                <w:szCs w:val="21"/>
                <w:highlight w:val="none"/>
              </w:rPr>
            </w:pPr>
          </w:p>
        </w:tc>
        <w:tc>
          <w:tcPr>
            <w:tcW w:w="657" w:type="pct"/>
            <w:vMerge w:val="continue"/>
            <w:noWrap w:val="0"/>
            <w:vAlign w:val="center"/>
          </w:tcPr>
          <w:p w14:paraId="2B0C14C1">
            <w:pPr>
              <w:shd w:val="clear"/>
              <w:jc w:val="center"/>
              <w:rPr>
                <w:rFonts w:hint="eastAsia" w:ascii="宋体" w:hAnsi="宋体" w:cs="宋体"/>
                <w:color w:val="auto"/>
                <w:szCs w:val="21"/>
                <w:highlight w:val="none"/>
              </w:rPr>
            </w:pPr>
          </w:p>
        </w:tc>
        <w:tc>
          <w:tcPr>
            <w:tcW w:w="484" w:type="pct"/>
            <w:vMerge w:val="continue"/>
            <w:noWrap w:val="0"/>
            <w:vAlign w:val="center"/>
          </w:tcPr>
          <w:p w14:paraId="73912408">
            <w:pPr>
              <w:shd w:val="clear"/>
              <w:jc w:val="center"/>
              <w:rPr>
                <w:rFonts w:hint="eastAsia" w:ascii="宋体" w:hAnsi="宋体" w:cs="宋体"/>
                <w:color w:val="auto"/>
                <w:szCs w:val="21"/>
                <w:highlight w:val="none"/>
              </w:rPr>
            </w:pPr>
          </w:p>
        </w:tc>
        <w:tc>
          <w:tcPr>
            <w:tcW w:w="507" w:type="pct"/>
            <w:noWrap w:val="0"/>
            <w:vAlign w:val="center"/>
          </w:tcPr>
          <w:p w14:paraId="087740C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2000</w:t>
            </w:r>
          </w:p>
        </w:tc>
        <w:tc>
          <w:tcPr>
            <w:tcW w:w="452" w:type="pct"/>
            <w:vMerge w:val="continue"/>
            <w:noWrap w:val="0"/>
            <w:vAlign w:val="center"/>
          </w:tcPr>
          <w:p w14:paraId="5F4342B7">
            <w:pPr>
              <w:shd w:val="clear"/>
              <w:jc w:val="center"/>
              <w:rPr>
                <w:rFonts w:hint="eastAsia" w:ascii="宋体" w:hAnsi="宋体" w:cs="宋体"/>
                <w:color w:val="auto"/>
                <w:szCs w:val="21"/>
                <w:highlight w:val="none"/>
              </w:rPr>
            </w:pPr>
          </w:p>
        </w:tc>
        <w:tc>
          <w:tcPr>
            <w:tcW w:w="557" w:type="pct"/>
            <w:vMerge w:val="continue"/>
            <w:noWrap w:val="0"/>
            <w:vAlign w:val="center"/>
          </w:tcPr>
          <w:p w14:paraId="0335D3EF">
            <w:pPr>
              <w:shd w:val="clear"/>
              <w:jc w:val="center"/>
              <w:rPr>
                <w:rFonts w:hint="eastAsia" w:ascii="宋体" w:hAnsi="宋体" w:cs="宋体"/>
                <w:color w:val="auto"/>
                <w:szCs w:val="21"/>
                <w:highlight w:val="none"/>
              </w:rPr>
            </w:pPr>
          </w:p>
        </w:tc>
      </w:tr>
      <w:tr w14:paraId="0655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99" w:type="pct"/>
            <w:vMerge w:val="continue"/>
            <w:noWrap w:val="0"/>
            <w:vAlign w:val="center"/>
          </w:tcPr>
          <w:p w14:paraId="2BE03FA4">
            <w:pPr>
              <w:shd w:val="clear"/>
              <w:jc w:val="center"/>
              <w:rPr>
                <w:rFonts w:hint="eastAsia" w:ascii="宋体" w:hAnsi="宋体" w:cs="宋体"/>
                <w:color w:val="auto"/>
                <w:szCs w:val="21"/>
                <w:highlight w:val="none"/>
              </w:rPr>
            </w:pPr>
          </w:p>
        </w:tc>
        <w:tc>
          <w:tcPr>
            <w:tcW w:w="1024" w:type="pct"/>
            <w:noWrap w:val="0"/>
            <w:vAlign w:val="center"/>
          </w:tcPr>
          <w:p w14:paraId="1220724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其他医用X射线诊断设备（透视）</w:t>
            </w:r>
          </w:p>
        </w:tc>
        <w:tc>
          <w:tcPr>
            <w:tcW w:w="616" w:type="pct"/>
            <w:vMerge w:val="continue"/>
            <w:noWrap w:val="0"/>
            <w:vAlign w:val="center"/>
          </w:tcPr>
          <w:p w14:paraId="42B988C1">
            <w:pPr>
              <w:shd w:val="clear"/>
              <w:jc w:val="center"/>
              <w:rPr>
                <w:rFonts w:hint="eastAsia" w:ascii="宋体" w:hAnsi="宋体" w:cs="宋体"/>
                <w:color w:val="auto"/>
                <w:szCs w:val="21"/>
                <w:highlight w:val="none"/>
              </w:rPr>
            </w:pPr>
          </w:p>
        </w:tc>
        <w:tc>
          <w:tcPr>
            <w:tcW w:w="657" w:type="pct"/>
            <w:vMerge w:val="continue"/>
            <w:noWrap w:val="0"/>
            <w:vAlign w:val="center"/>
          </w:tcPr>
          <w:p w14:paraId="2D3AC2EA">
            <w:pPr>
              <w:shd w:val="clear"/>
              <w:jc w:val="center"/>
              <w:rPr>
                <w:rFonts w:hint="eastAsia" w:ascii="宋体" w:hAnsi="宋体" w:cs="宋体"/>
                <w:color w:val="auto"/>
                <w:szCs w:val="21"/>
                <w:highlight w:val="none"/>
              </w:rPr>
            </w:pPr>
          </w:p>
        </w:tc>
        <w:tc>
          <w:tcPr>
            <w:tcW w:w="484" w:type="pct"/>
            <w:vMerge w:val="continue"/>
            <w:noWrap w:val="0"/>
            <w:vAlign w:val="center"/>
          </w:tcPr>
          <w:p w14:paraId="2C647847">
            <w:pPr>
              <w:shd w:val="clear"/>
              <w:jc w:val="center"/>
              <w:rPr>
                <w:rFonts w:hint="eastAsia" w:ascii="宋体" w:hAnsi="宋体" w:cs="宋体"/>
                <w:color w:val="auto"/>
                <w:szCs w:val="21"/>
                <w:highlight w:val="none"/>
              </w:rPr>
            </w:pPr>
          </w:p>
        </w:tc>
        <w:tc>
          <w:tcPr>
            <w:tcW w:w="507" w:type="pct"/>
            <w:noWrap w:val="0"/>
            <w:vAlign w:val="center"/>
          </w:tcPr>
          <w:p w14:paraId="10F7E01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1500</w:t>
            </w:r>
          </w:p>
        </w:tc>
        <w:tc>
          <w:tcPr>
            <w:tcW w:w="452" w:type="pct"/>
            <w:vMerge w:val="continue"/>
            <w:noWrap w:val="0"/>
            <w:vAlign w:val="center"/>
          </w:tcPr>
          <w:p w14:paraId="682C2649">
            <w:pPr>
              <w:shd w:val="clear"/>
              <w:jc w:val="center"/>
              <w:rPr>
                <w:rFonts w:hint="eastAsia" w:ascii="宋体" w:hAnsi="宋体" w:cs="宋体"/>
                <w:color w:val="auto"/>
                <w:szCs w:val="21"/>
                <w:highlight w:val="none"/>
              </w:rPr>
            </w:pPr>
          </w:p>
        </w:tc>
        <w:tc>
          <w:tcPr>
            <w:tcW w:w="557" w:type="pct"/>
            <w:vMerge w:val="continue"/>
            <w:noWrap w:val="0"/>
            <w:vAlign w:val="center"/>
          </w:tcPr>
          <w:p w14:paraId="13F063AF">
            <w:pPr>
              <w:shd w:val="clear"/>
              <w:jc w:val="center"/>
              <w:rPr>
                <w:rFonts w:hint="eastAsia" w:ascii="宋体" w:hAnsi="宋体" w:cs="宋体"/>
                <w:color w:val="auto"/>
                <w:szCs w:val="21"/>
                <w:highlight w:val="none"/>
              </w:rPr>
            </w:pPr>
          </w:p>
        </w:tc>
      </w:tr>
      <w:tr w14:paraId="6902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99" w:type="pct"/>
            <w:vMerge w:val="continue"/>
            <w:noWrap w:val="0"/>
            <w:vAlign w:val="center"/>
          </w:tcPr>
          <w:p w14:paraId="69C0228E">
            <w:pPr>
              <w:shd w:val="clear"/>
              <w:jc w:val="center"/>
              <w:rPr>
                <w:rFonts w:hint="eastAsia" w:ascii="宋体" w:hAnsi="宋体" w:cs="宋体"/>
                <w:color w:val="auto"/>
                <w:szCs w:val="21"/>
                <w:highlight w:val="none"/>
              </w:rPr>
            </w:pPr>
          </w:p>
        </w:tc>
        <w:tc>
          <w:tcPr>
            <w:tcW w:w="1024" w:type="pct"/>
            <w:noWrap w:val="0"/>
            <w:vAlign w:val="center"/>
          </w:tcPr>
          <w:p w14:paraId="08323C8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其他医用X射线诊断设备（摄影）</w:t>
            </w:r>
          </w:p>
        </w:tc>
        <w:tc>
          <w:tcPr>
            <w:tcW w:w="616" w:type="pct"/>
            <w:vMerge w:val="continue"/>
            <w:noWrap w:val="0"/>
            <w:vAlign w:val="center"/>
          </w:tcPr>
          <w:p w14:paraId="6F4107F0">
            <w:pPr>
              <w:shd w:val="clear"/>
              <w:jc w:val="center"/>
              <w:rPr>
                <w:rFonts w:hint="eastAsia" w:ascii="宋体" w:hAnsi="宋体" w:cs="宋体"/>
                <w:color w:val="auto"/>
                <w:szCs w:val="21"/>
                <w:highlight w:val="none"/>
              </w:rPr>
            </w:pPr>
          </w:p>
        </w:tc>
        <w:tc>
          <w:tcPr>
            <w:tcW w:w="657" w:type="pct"/>
            <w:vMerge w:val="continue"/>
            <w:noWrap w:val="0"/>
            <w:vAlign w:val="center"/>
          </w:tcPr>
          <w:p w14:paraId="13565CD0">
            <w:pPr>
              <w:shd w:val="clear"/>
              <w:jc w:val="center"/>
              <w:rPr>
                <w:rFonts w:hint="eastAsia" w:ascii="宋体" w:hAnsi="宋体" w:cs="宋体"/>
                <w:color w:val="auto"/>
                <w:szCs w:val="21"/>
                <w:highlight w:val="none"/>
              </w:rPr>
            </w:pPr>
          </w:p>
        </w:tc>
        <w:tc>
          <w:tcPr>
            <w:tcW w:w="484" w:type="pct"/>
            <w:vMerge w:val="continue"/>
            <w:noWrap w:val="0"/>
            <w:vAlign w:val="center"/>
          </w:tcPr>
          <w:p w14:paraId="4DD7CEFA">
            <w:pPr>
              <w:shd w:val="clear"/>
              <w:jc w:val="center"/>
              <w:rPr>
                <w:rFonts w:hint="eastAsia" w:ascii="宋体" w:hAnsi="宋体" w:cs="宋体"/>
                <w:color w:val="auto"/>
                <w:szCs w:val="21"/>
                <w:highlight w:val="none"/>
              </w:rPr>
            </w:pPr>
          </w:p>
        </w:tc>
        <w:tc>
          <w:tcPr>
            <w:tcW w:w="507" w:type="pct"/>
            <w:noWrap w:val="0"/>
            <w:vAlign w:val="center"/>
          </w:tcPr>
          <w:p w14:paraId="5D64609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1800</w:t>
            </w:r>
          </w:p>
        </w:tc>
        <w:tc>
          <w:tcPr>
            <w:tcW w:w="452" w:type="pct"/>
            <w:vMerge w:val="continue"/>
            <w:noWrap w:val="0"/>
            <w:vAlign w:val="center"/>
          </w:tcPr>
          <w:p w14:paraId="50124235">
            <w:pPr>
              <w:shd w:val="clear"/>
              <w:jc w:val="center"/>
              <w:rPr>
                <w:rFonts w:hint="eastAsia" w:ascii="宋体" w:hAnsi="宋体" w:cs="宋体"/>
                <w:color w:val="auto"/>
                <w:szCs w:val="21"/>
                <w:highlight w:val="none"/>
              </w:rPr>
            </w:pPr>
          </w:p>
        </w:tc>
        <w:tc>
          <w:tcPr>
            <w:tcW w:w="557" w:type="pct"/>
            <w:vMerge w:val="continue"/>
            <w:noWrap w:val="0"/>
            <w:vAlign w:val="center"/>
          </w:tcPr>
          <w:p w14:paraId="78A09993">
            <w:pPr>
              <w:shd w:val="clear"/>
              <w:jc w:val="center"/>
              <w:rPr>
                <w:rFonts w:hint="eastAsia" w:ascii="宋体" w:hAnsi="宋体" w:cs="宋体"/>
                <w:color w:val="auto"/>
                <w:szCs w:val="21"/>
                <w:highlight w:val="none"/>
              </w:rPr>
            </w:pPr>
          </w:p>
        </w:tc>
      </w:tr>
      <w:tr w14:paraId="744C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99" w:type="pct"/>
            <w:noWrap w:val="0"/>
            <w:vAlign w:val="center"/>
          </w:tcPr>
          <w:p w14:paraId="62D23BF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放射工作人员外照个人剂量检测</w:t>
            </w:r>
          </w:p>
        </w:tc>
        <w:tc>
          <w:tcPr>
            <w:tcW w:w="4300" w:type="pct"/>
            <w:gridSpan w:val="7"/>
            <w:noWrap w:val="0"/>
            <w:vAlign w:val="center"/>
          </w:tcPr>
          <w:p w14:paraId="0F5FF46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每人每年300元</w:t>
            </w:r>
          </w:p>
        </w:tc>
      </w:tr>
    </w:tbl>
    <w:p w14:paraId="23DD50A6">
      <w:pPr>
        <w:shd w:val="clear"/>
        <w:spacing w:line="480" w:lineRule="exact"/>
        <w:rPr>
          <w:color w:val="auto"/>
          <w:sz w:val="24"/>
          <w:highlight w:val="none"/>
        </w:rPr>
      </w:pPr>
      <w:r>
        <w:rPr>
          <w:rFonts w:hint="eastAsia" w:ascii="宋体" w:hAnsi="宋体" w:cs="宋体"/>
          <w:b/>
          <w:bCs/>
          <w:color w:val="auto"/>
          <w:sz w:val="24"/>
          <w:highlight w:val="none"/>
        </w:rPr>
        <w:t>五、考核要求</w:t>
      </w:r>
    </w:p>
    <w:p w14:paraId="782EBF8D">
      <w:pPr>
        <w:shd w:val="clear"/>
        <w:spacing w:before="120" w:after="120" w:line="288" w:lineRule="auto"/>
        <w:ind w:left="0" w:firstLine="440" w:firstLineChars="200"/>
        <w:jc w:val="left"/>
        <w:rPr>
          <w:rFonts w:hint="eastAsia" w:ascii="宋体" w:hAnsi="宋体" w:eastAsia="宋体" w:cs="宋体"/>
          <w:b w:val="0"/>
          <w:bCs w:val="0"/>
          <w:color w:val="auto"/>
          <w:highlight w:val="none"/>
        </w:rPr>
      </w:pPr>
      <w:r>
        <w:rPr>
          <w:rFonts w:hint="eastAsia" w:ascii="宋体" w:hAnsi="宋体" w:eastAsia="宋体" w:cs="宋体"/>
          <w:b w:val="0"/>
          <w:bCs w:val="0"/>
          <w:color w:val="auto"/>
          <w:sz w:val="22"/>
          <w:highlight w:val="none"/>
        </w:rPr>
        <w:t>本次考核为</w:t>
      </w:r>
      <w:r>
        <w:rPr>
          <w:rFonts w:hint="eastAsia" w:ascii="宋体" w:hAnsi="宋体" w:eastAsia="宋体" w:cs="宋体"/>
          <w:b w:val="0"/>
          <w:bCs w:val="0"/>
          <w:color w:val="auto"/>
          <w:sz w:val="22"/>
          <w:highlight w:val="none"/>
          <w:lang w:val="en-US" w:eastAsia="zh-CN"/>
        </w:rPr>
        <w:t>季度</w:t>
      </w:r>
      <w:r>
        <w:rPr>
          <w:rFonts w:hint="eastAsia" w:ascii="宋体" w:hAnsi="宋体" w:eastAsia="宋体" w:cs="宋体"/>
          <w:b w:val="0"/>
          <w:bCs w:val="0"/>
          <w:color w:val="auto"/>
          <w:sz w:val="22"/>
          <w:highlight w:val="none"/>
        </w:rPr>
        <w:t>考核</w:t>
      </w:r>
      <w:r>
        <w:rPr>
          <w:rFonts w:hint="eastAsia" w:ascii="宋体" w:hAnsi="宋体" w:eastAsia="宋体" w:cs="宋体"/>
          <w:b w:val="0"/>
          <w:bCs w:val="0"/>
          <w:color w:val="auto"/>
          <w:sz w:val="22"/>
          <w:highlight w:val="none"/>
        </w:rPr>
        <w:t>，考核总分100分，考核分达到85分以上（含85分）为合格；如考核得分85分以下每少1分扣人民币500元</w:t>
      </w:r>
      <w:r>
        <w:rPr>
          <w:rFonts w:hint="eastAsia" w:ascii="宋体" w:hAnsi="宋体" w:eastAsia="宋体" w:cs="宋体"/>
          <w:b w:val="0"/>
          <w:bCs w:val="0"/>
          <w:color w:val="auto"/>
          <w:sz w:val="22"/>
          <w:highlight w:val="none"/>
          <w:lang w:eastAsia="zh-CN"/>
        </w:rPr>
        <w:t>，</w:t>
      </w:r>
      <w:r>
        <w:rPr>
          <w:rFonts w:hint="eastAsia" w:ascii="宋体" w:hAnsi="宋体" w:eastAsia="宋体" w:cs="宋体"/>
          <w:b w:val="0"/>
          <w:bCs w:val="0"/>
          <w:color w:val="auto"/>
          <w:sz w:val="22"/>
          <w:highlight w:val="none"/>
          <w:lang w:val="en-US" w:eastAsia="zh-CN"/>
        </w:rPr>
        <w:t>在考核次月服务费中扣除</w:t>
      </w:r>
      <w:r>
        <w:rPr>
          <w:rFonts w:hint="eastAsia" w:ascii="宋体" w:hAnsi="宋体" w:eastAsia="宋体" w:cs="宋体"/>
          <w:b w:val="0"/>
          <w:bCs w:val="0"/>
          <w:color w:val="auto"/>
          <w:sz w:val="22"/>
          <w:highlight w:val="none"/>
        </w:rPr>
        <w:t>。合同期内如该考核项目</w:t>
      </w:r>
      <w:r>
        <w:rPr>
          <w:rFonts w:hint="eastAsia" w:ascii="宋体" w:hAnsi="宋体" w:eastAsia="宋体" w:cs="宋体"/>
          <w:b w:val="0"/>
          <w:bCs w:val="0"/>
          <w:color w:val="auto"/>
          <w:sz w:val="22"/>
          <w:highlight w:val="none"/>
        </w:rPr>
        <w:t>连续两个</w:t>
      </w:r>
      <w:r>
        <w:rPr>
          <w:rFonts w:hint="eastAsia" w:ascii="宋体" w:hAnsi="宋体" w:eastAsia="宋体" w:cs="宋体"/>
          <w:b w:val="0"/>
          <w:bCs w:val="0"/>
          <w:color w:val="auto"/>
          <w:sz w:val="22"/>
          <w:highlight w:val="none"/>
          <w:lang w:val="en-US" w:eastAsia="zh-CN"/>
        </w:rPr>
        <w:t>季度</w:t>
      </w:r>
      <w:r>
        <w:rPr>
          <w:rFonts w:hint="eastAsia" w:ascii="宋体" w:hAnsi="宋体" w:eastAsia="宋体" w:cs="宋体"/>
          <w:b w:val="0"/>
          <w:bCs w:val="0"/>
          <w:color w:val="auto"/>
          <w:sz w:val="22"/>
          <w:highlight w:val="none"/>
        </w:rPr>
        <w:t>核得分低于85分</w:t>
      </w:r>
      <w:r>
        <w:rPr>
          <w:rFonts w:hint="eastAsia" w:ascii="宋体" w:hAnsi="宋体" w:eastAsia="宋体" w:cs="宋体"/>
          <w:b w:val="0"/>
          <w:bCs w:val="0"/>
          <w:color w:val="auto"/>
          <w:sz w:val="22"/>
          <w:highlight w:val="none"/>
        </w:rPr>
        <w:t>，采购人有权</w:t>
      </w:r>
      <w:r>
        <w:rPr>
          <w:rFonts w:hint="eastAsia" w:ascii="宋体" w:hAnsi="宋体" w:eastAsia="宋体" w:cs="宋体"/>
          <w:b w:val="0"/>
          <w:bCs w:val="0"/>
          <w:color w:val="auto"/>
          <w:sz w:val="22"/>
          <w:highlight w:val="none"/>
          <w:lang w:val="en-US" w:eastAsia="zh-CN"/>
        </w:rPr>
        <w:t>不支付</w:t>
      </w:r>
      <w:r>
        <w:rPr>
          <w:rFonts w:hint="eastAsia" w:ascii="宋体" w:hAnsi="宋体" w:eastAsia="宋体" w:cs="宋体"/>
          <w:b w:val="0"/>
          <w:bCs w:val="0"/>
          <w:color w:val="auto"/>
          <w:sz w:val="22"/>
          <w:highlight w:val="none"/>
        </w:rPr>
        <w:t>中标人剩余合同款并提前终止合同，且中标人应按合同费用总额的30%向采购人支付违约金，如因此给采购人造成的损失超过违约金数额的，中标人还须向采购人赔偿损失。</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7"/>
        <w:gridCol w:w="1385"/>
        <w:gridCol w:w="5058"/>
        <w:gridCol w:w="673"/>
        <w:gridCol w:w="742"/>
      </w:tblGrid>
      <w:tr w14:paraId="6C19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7" w:type="dxa"/>
            <w:noWrap w:val="0"/>
            <w:tcMar>
              <w:top w:w="60" w:type="dxa"/>
              <w:left w:w="120" w:type="dxa"/>
              <w:bottom w:w="30" w:type="dxa"/>
              <w:right w:w="120" w:type="dxa"/>
            </w:tcMar>
            <w:vAlign w:val="center"/>
          </w:tcPr>
          <w:p w14:paraId="3EC7D221">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85" w:type="dxa"/>
            <w:noWrap w:val="0"/>
            <w:tcMar>
              <w:top w:w="60" w:type="dxa"/>
              <w:left w:w="120" w:type="dxa"/>
              <w:bottom w:w="30" w:type="dxa"/>
              <w:right w:w="120" w:type="dxa"/>
            </w:tcMar>
            <w:vAlign w:val="center"/>
          </w:tcPr>
          <w:p w14:paraId="3C301731">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w:t>
            </w:r>
          </w:p>
        </w:tc>
        <w:tc>
          <w:tcPr>
            <w:tcW w:w="5058" w:type="dxa"/>
            <w:noWrap w:val="0"/>
            <w:tcMar>
              <w:top w:w="60" w:type="dxa"/>
              <w:left w:w="120" w:type="dxa"/>
              <w:bottom w:w="30" w:type="dxa"/>
              <w:right w:w="120" w:type="dxa"/>
            </w:tcMar>
            <w:vAlign w:val="center"/>
          </w:tcPr>
          <w:p w14:paraId="27457C42">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考核指标</w:t>
            </w:r>
          </w:p>
        </w:tc>
        <w:tc>
          <w:tcPr>
            <w:tcW w:w="673" w:type="dxa"/>
            <w:noWrap w:val="0"/>
            <w:tcMar>
              <w:top w:w="60" w:type="dxa"/>
              <w:left w:w="120" w:type="dxa"/>
              <w:bottom w:w="30" w:type="dxa"/>
              <w:right w:w="120" w:type="dxa"/>
            </w:tcMar>
            <w:vAlign w:val="center"/>
          </w:tcPr>
          <w:p w14:paraId="65E95DB5">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742" w:type="dxa"/>
            <w:noWrap w:val="0"/>
            <w:tcMar>
              <w:top w:w="60" w:type="dxa"/>
              <w:left w:w="120" w:type="dxa"/>
              <w:bottom w:w="30" w:type="dxa"/>
              <w:right w:w="120" w:type="dxa"/>
            </w:tcMar>
            <w:vAlign w:val="center"/>
          </w:tcPr>
          <w:p w14:paraId="42A985D5">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得分</w:t>
            </w:r>
          </w:p>
        </w:tc>
      </w:tr>
      <w:tr w14:paraId="7DF1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7" w:type="dxa"/>
            <w:noWrap w:val="0"/>
            <w:tcMar>
              <w:top w:w="60" w:type="dxa"/>
              <w:left w:w="120" w:type="dxa"/>
              <w:bottom w:w="30" w:type="dxa"/>
              <w:right w:w="120" w:type="dxa"/>
            </w:tcMar>
            <w:vAlign w:val="center"/>
          </w:tcPr>
          <w:p w14:paraId="42C118ED">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385" w:type="dxa"/>
            <w:noWrap w:val="0"/>
            <w:tcMar>
              <w:top w:w="60" w:type="dxa"/>
              <w:left w:w="120" w:type="dxa"/>
              <w:bottom w:w="30" w:type="dxa"/>
              <w:right w:w="120" w:type="dxa"/>
            </w:tcMar>
            <w:vAlign w:val="center"/>
          </w:tcPr>
          <w:p w14:paraId="17CD54BD">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检测与评价服务质量</w:t>
            </w:r>
          </w:p>
        </w:tc>
        <w:tc>
          <w:tcPr>
            <w:tcW w:w="5058" w:type="dxa"/>
            <w:noWrap w:val="0"/>
            <w:tcMar>
              <w:top w:w="60" w:type="dxa"/>
              <w:left w:w="120" w:type="dxa"/>
              <w:bottom w:w="30" w:type="dxa"/>
              <w:right w:w="120" w:type="dxa"/>
            </w:tcMar>
            <w:vAlign w:val="center"/>
          </w:tcPr>
          <w:p w14:paraId="329C296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1.严格按照国家/行业最新标准开展放射防护检测、预评/控评/环评等工作；</w:t>
            </w:r>
          </w:p>
          <w:p w14:paraId="785FD6E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2.检测数据真实、准确、完整，无虚假数据；</w:t>
            </w:r>
          </w:p>
          <w:p w14:paraId="27CF6CD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3.评价报告编制规范、内容完整，符合评审要求</w:t>
            </w:r>
            <w:r>
              <w:rPr>
                <w:rFonts w:hint="eastAsia" w:ascii="宋体" w:hAnsi="宋体" w:eastAsia="宋体" w:cs="宋体"/>
                <w:color w:val="auto"/>
                <w:sz w:val="21"/>
                <w:szCs w:val="21"/>
                <w:highlight w:val="none"/>
                <w:lang w:eastAsia="zh-CN"/>
              </w:rPr>
              <w:t>。</w:t>
            </w:r>
          </w:p>
        </w:tc>
        <w:tc>
          <w:tcPr>
            <w:tcW w:w="673" w:type="dxa"/>
            <w:noWrap w:val="0"/>
            <w:tcMar>
              <w:top w:w="60" w:type="dxa"/>
              <w:left w:w="120" w:type="dxa"/>
              <w:bottom w:w="30" w:type="dxa"/>
              <w:right w:w="120" w:type="dxa"/>
            </w:tcMar>
            <w:vAlign w:val="center"/>
          </w:tcPr>
          <w:p w14:paraId="37498D42">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742" w:type="dxa"/>
            <w:noWrap w:val="0"/>
            <w:tcMar>
              <w:top w:w="60" w:type="dxa"/>
              <w:left w:w="120" w:type="dxa"/>
              <w:bottom w:w="30" w:type="dxa"/>
              <w:right w:w="120" w:type="dxa"/>
            </w:tcMar>
            <w:vAlign w:val="center"/>
          </w:tcPr>
          <w:p w14:paraId="29C9A83D">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28FD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7" w:type="dxa"/>
            <w:noWrap w:val="0"/>
            <w:tcMar>
              <w:top w:w="60" w:type="dxa"/>
              <w:left w:w="120" w:type="dxa"/>
              <w:bottom w:w="30" w:type="dxa"/>
              <w:right w:w="120" w:type="dxa"/>
            </w:tcMar>
            <w:vAlign w:val="center"/>
          </w:tcPr>
          <w:p w14:paraId="519CCD7A">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385" w:type="dxa"/>
            <w:noWrap w:val="0"/>
            <w:tcMar>
              <w:top w:w="60" w:type="dxa"/>
              <w:left w:w="120" w:type="dxa"/>
              <w:bottom w:w="30" w:type="dxa"/>
              <w:right w:w="120" w:type="dxa"/>
            </w:tcMar>
            <w:vAlign w:val="center"/>
          </w:tcPr>
          <w:p w14:paraId="214962DB">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服务成果交付与保密</w:t>
            </w:r>
          </w:p>
        </w:tc>
        <w:tc>
          <w:tcPr>
            <w:tcW w:w="5058" w:type="dxa"/>
            <w:noWrap w:val="0"/>
            <w:tcMar>
              <w:top w:w="60" w:type="dxa"/>
              <w:left w:w="120" w:type="dxa"/>
              <w:bottom w:w="30" w:type="dxa"/>
              <w:right w:w="120" w:type="dxa"/>
            </w:tcMar>
            <w:vAlign w:val="center"/>
          </w:tcPr>
          <w:p w14:paraId="3A3F180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1.按双方约定的时间节点交付检测报告、评价报告等成果，无逾期；</w:t>
            </w:r>
          </w:p>
          <w:p w14:paraId="15502CA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2.成果资料格式规范、签章齐全，符合采购人存档要求；</w:t>
            </w:r>
          </w:p>
          <w:p w14:paraId="3D2B45A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3.严格遵守保密约定，未泄露采购人提供的技术资料、项目信息等</w:t>
            </w:r>
            <w:r>
              <w:rPr>
                <w:rFonts w:hint="eastAsia" w:ascii="宋体" w:hAnsi="宋体" w:eastAsia="宋体" w:cs="宋体"/>
                <w:color w:val="auto"/>
                <w:sz w:val="21"/>
                <w:szCs w:val="21"/>
                <w:highlight w:val="none"/>
                <w:lang w:eastAsia="zh-CN"/>
              </w:rPr>
              <w:t>。</w:t>
            </w:r>
          </w:p>
        </w:tc>
        <w:tc>
          <w:tcPr>
            <w:tcW w:w="673" w:type="dxa"/>
            <w:noWrap w:val="0"/>
            <w:tcMar>
              <w:top w:w="60" w:type="dxa"/>
              <w:left w:w="120" w:type="dxa"/>
              <w:bottom w:w="30" w:type="dxa"/>
              <w:right w:w="120" w:type="dxa"/>
            </w:tcMar>
            <w:vAlign w:val="center"/>
          </w:tcPr>
          <w:p w14:paraId="2039CFA5">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742" w:type="dxa"/>
            <w:noWrap w:val="0"/>
            <w:tcMar>
              <w:top w:w="60" w:type="dxa"/>
              <w:left w:w="120" w:type="dxa"/>
              <w:bottom w:w="30" w:type="dxa"/>
              <w:right w:w="120" w:type="dxa"/>
            </w:tcMar>
            <w:vAlign w:val="center"/>
          </w:tcPr>
          <w:p w14:paraId="73A84EED">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6C94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7" w:type="dxa"/>
            <w:noWrap w:val="0"/>
            <w:tcMar>
              <w:top w:w="60" w:type="dxa"/>
              <w:left w:w="120" w:type="dxa"/>
              <w:bottom w:w="30" w:type="dxa"/>
              <w:right w:w="120" w:type="dxa"/>
            </w:tcMar>
            <w:vAlign w:val="center"/>
          </w:tcPr>
          <w:p w14:paraId="4102FFCC">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85" w:type="dxa"/>
            <w:noWrap w:val="0"/>
            <w:tcMar>
              <w:top w:w="60" w:type="dxa"/>
              <w:left w:w="120" w:type="dxa"/>
              <w:bottom w:w="30" w:type="dxa"/>
              <w:right w:w="120" w:type="dxa"/>
            </w:tcMar>
            <w:vAlign w:val="center"/>
          </w:tcPr>
          <w:p w14:paraId="1E5B530A">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个人剂量服务</w:t>
            </w:r>
          </w:p>
        </w:tc>
        <w:tc>
          <w:tcPr>
            <w:tcW w:w="5058" w:type="dxa"/>
            <w:noWrap w:val="0"/>
            <w:tcMar>
              <w:top w:w="60" w:type="dxa"/>
              <w:left w:w="120" w:type="dxa"/>
              <w:bottom w:w="30" w:type="dxa"/>
              <w:right w:w="120" w:type="dxa"/>
            </w:tcMar>
            <w:vAlign w:val="center"/>
          </w:tcPr>
          <w:p w14:paraId="682EB60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1.按规定周期完成全院放射从业人员个人剂量监测；</w:t>
            </w:r>
          </w:p>
          <w:p w14:paraId="173D2BB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2.及时出具合法有效的个人剂量监测报告，报告发放率100%；</w:t>
            </w:r>
          </w:p>
          <w:p w14:paraId="5175F9E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3.监测数据异常时，第一时间告知采购人并提供整改建议</w:t>
            </w:r>
            <w:r>
              <w:rPr>
                <w:rFonts w:hint="eastAsia" w:ascii="宋体" w:hAnsi="宋体" w:eastAsia="宋体" w:cs="宋体"/>
                <w:color w:val="auto"/>
                <w:sz w:val="21"/>
                <w:szCs w:val="21"/>
                <w:highlight w:val="none"/>
                <w:lang w:eastAsia="zh-CN"/>
              </w:rPr>
              <w:t>。</w:t>
            </w:r>
          </w:p>
        </w:tc>
        <w:tc>
          <w:tcPr>
            <w:tcW w:w="673" w:type="dxa"/>
            <w:noWrap w:val="0"/>
            <w:tcMar>
              <w:top w:w="60" w:type="dxa"/>
              <w:left w:w="120" w:type="dxa"/>
              <w:bottom w:w="30" w:type="dxa"/>
              <w:right w:w="120" w:type="dxa"/>
            </w:tcMar>
            <w:vAlign w:val="center"/>
          </w:tcPr>
          <w:p w14:paraId="591F1BC4">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742" w:type="dxa"/>
            <w:noWrap w:val="0"/>
            <w:tcMar>
              <w:top w:w="60" w:type="dxa"/>
              <w:left w:w="120" w:type="dxa"/>
              <w:bottom w:w="30" w:type="dxa"/>
              <w:right w:w="120" w:type="dxa"/>
            </w:tcMar>
            <w:vAlign w:val="center"/>
          </w:tcPr>
          <w:p w14:paraId="57B9A3A9">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45A0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7" w:type="dxa"/>
            <w:noWrap w:val="0"/>
            <w:tcMar>
              <w:top w:w="60" w:type="dxa"/>
              <w:left w:w="120" w:type="dxa"/>
              <w:bottom w:w="30" w:type="dxa"/>
              <w:right w:w="120" w:type="dxa"/>
            </w:tcMar>
            <w:vAlign w:val="center"/>
          </w:tcPr>
          <w:p w14:paraId="49B793E9">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85" w:type="dxa"/>
            <w:noWrap w:val="0"/>
            <w:tcMar>
              <w:top w:w="60" w:type="dxa"/>
              <w:left w:w="120" w:type="dxa"/>
              <w:bottom w:w="30" w:type="dxa"/>
              <w:right w:w="120" w:type="dxa"/>
            </w:tcMar>
            <w:vAlign w:val="center"/>
          </w:tcPr>
          <w:p w14:paraId="1A12C014">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应急响应与问题整改</w:t>
            </w:r>
          </w:p>
        </w:tc>
        <w:tc>
          <w:tcPr>
            <w:tcW w:w="5058" w:type="dxa"/>
            <w:noWrap w:val="0"/>
            <w:tcMar>
              <w:top w:w="60" w:type="dxa"/>
              <w:left w:w="120" w:type="dxa"/>
              <w:bottom w:w="30" w:type="dxa"/>
              <w:right w:w="120" w:type="dxa"/>
            </w:tcMar>
            <w:vAlign w:val="center"/>
          </w:tcPr>
          <w:p w14:paraId="3CDB0FA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1.建立完善的应急响应方案，遇紧急/特殊情况（如辐射超标、设备故障等），响应时间≤24小时；</w:t>
            </w:r>
          </w:p>
          <w:p w14:paraId="0196DB2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2.对采购人提出的问题、评审专家的修改意见，在规定时间内完成整改并反馈；</w:t>
            </w:r>
          </w:p>
          <w:p w14:paraId="6A8BBDF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3.整改措施有效，问题无重复出现</w:t>
            </w:r>
            <w:r>
              <w:rPr>
                <w:rFonts w:hint="eastAsia" w:ascii="宋体" w:hAnsi="宋体" w:eastAsia="宋体" w:cs="宋体"/>
                <w:color w:val="auto"/>
                <w:sz w:val="21"/>
                <w:szCs w:val="21"/>
                <w:highlight w:val="none"/>
                <w:lang w:eastAsia="zh-CN"/>
              </w:rPr>
              <w:t>。</w:t>
            </w:r>
          </w:p>
        </w:tc>
        <w:tc>
          <w:tcPr>
            <w:tcW w:w="673" w:type="dxa"/>
            <w:noWrap w:val="0"/>
            <w:tcMar>
              <w:top w:w="60" w:type="dxa"/>
              <w:left w:w="120" w:type="dxa"/>
              <w:bottom w:w="30" w:type="dxa"/>
              <w:right w:w="120" w:type="dxa"/>
            </w:tcMar>
            <w:vAlign w:val="center"/>
          </w:tcPr>
          <w:p w14:paraId="6E352F77">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742" w:type="dxa"/>
            <w:noWrap w:val="0"/>
            <w:tcMar>
              <w:top w:w="60" w:type="dxa"/>
              <w:left w:w="120" w:type="dxa"/>
              <w:bottom w:w="30" w:type="dxa"/>
              <w:right w:w="120" w:type="dxa"/>
            </w:tcMar>
            <w:vAlign w:val="center"/>
          </w:tcPr>
          <w:p w14:paraId="39763D77">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38C5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7" w:type="dxa"/>
            <w:noWrap w:val="0"/>
            <w:tcMar>
              <w:top w:w="60" w:type="dxa"/>
              <w:left w:w="120" w:type="dxa"/>
              <w:bottom w:w="30" w:type="dxa"/>
              <w:right w:w="120" w:type="dxa"/>
            </w:tcMar>
            <w:vAlign w:val="center"/>
          </w:tcPr>
          <w:p w14:paraId="10B2EA07">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385" w:type="dxa"/>
            <w:noWrap w:val="0"/>
            <w:tcMar>
              <w:top w:w="60" w:type="dxa"/>
              <w:left w:w="120" w:type="dxa"/>
              <w:bottom w:w="30" w:type="dxa"/>
              <w:right w:w="120" w:type="dxa"/>
            </w:tcMar>
            <w:vAlign w:val="center"/>
          </w:tcPr>
          <w:p w14:paraId="40A49C71">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售后服务与沟通配合</w:t>
            </w:r>
          </w:p>
        </w:tc>
        <w:tc>
          <w:tcPr>
            <w:tcW w:w="5058" w:type="dxa"/>
            <w:noWrap w:val="0"/>
            <w:tcMar>
              <w:top w:w="60" w:type="dxa"/>
              <w:left w:w="120" w:type="dxa"/>
              <w:bottom w:w="30" w:type="dxa"/>
              <w:right w:w="120" w:type="dxa"/>
            </w:tcMar>
            <w:vAlign w:val="center"/>
          </w:tcPr>
          <w:p w14:paraId="2D9AD90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1.售后服务响应及时，采购人咨询的技术问题，24小时内予以解答；</w:t>
            </w:r>
          </w:p>
          <w:p w14:paraId="00B6A27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2.主动配合采购人完成放射防护相关的检查、验收等工作；</w:t>
            </w:r>
          </w:p>
          <w:p w14:paraId="06F3DF0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3.定期向采购人提交服务工作</w:t>
            </w:r>
            <w:r>
              <w:rPr>
                <w:rFonts w:hint="eastAsia" w:ascii="宋体" w:hAnsi="宋体" w:eastAsia="宋体" w:cs="宋体"/>
                <w:color w:val="auto"/>
                <w:sz w:val="21"/>
                <w:szCs w:val="21"/>
                <w:highlight w:val="none"/>
                <w:lang w:val="en-US" w:eastAsia="zh-CN"/>
              </w:rPr>
              <w:t>报告</w:t>
            </w:r>
            <w:r>
              <w:rPr>
                <w:rFonts w:hint="eastAsia" w:ascii="宋体" w:hAnsi="宋体" w:eastAsia="宋体" w:cs="宋体"/>
                <w:color w:val="auto"/>
                <w:sz w:val="21"/>
                <w:szCs w:val="21"/>
                <w:highlight w:val="none"/>
              </w:rPr>
              <w:t>，内容完整、数据详实</w:t>
            </w:r>
            <w:r>
              <w:rPr>
                <w:rFonts w:hint="eastAsia" w:ascii="宋体" w:hAnsi="宋体" w:eastAsia="宋体" w:cs="宋体"/>
                <w:color w:val="auto"/>
                <w:sz w:val="21"/>
                <w:szCs w:val="21"/>
                <w:highlight w:val="none"/>
                <w:lang w:eastAsia="zh-CN"/>
              </w:rPr>
              <w:t>。</w:t>
            </w:r>
          </w:p>
        </w:tc>
        <w:tc>
          <w:tcPr>
            <w:tcW w:w="673" w:type="dxa"/>
            <w:noWrap w:val="0"/>
            <w:tcMar>
              <w:top w:w="60" w:type="dxa"/>
              <w:left w:w="120" w:type="dxa"/>
              <w:bottom w:w="30" w:type="dxa"/>
              <w:right w:w="120" w:type="dxa"/>
            </w:tcMar>
            <w:vAlign w:val="center"/>
          </w:tcPr>
          <w:p w14:paraId="23802C50">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742" w:type="dxa"/>
            <w:noWrap w:val="0"/>
            <w:tcMar>
              <w:top w:w="60" w:type="dxa"/>
              <w:left w:w="120" w:type="dxa"/>
              <w:bottom w:w="30" w:type="dxa"/>
              <w:right w:w="120" w:type="dxa"/>
            </w:tcMar>
            <w:vAlign w:val="center"/>
          </w:tcPr>
          <w:p w14:paraId="3399A2C2">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1D9C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30" w:type="dxa"/>
            <w:gridSpan w:val="3"/>
            <w:noWrap w:val="0"/>
            <w:tcMar>
              <w:top w:w="60" w:type="dxa"/>
              <w:left w:w="120" w:type="dxa"/>
              <w:bottom w:w="30" w:type="dxa"/>
              <w:right w:w="120" w:type="dxa"/>
            </w:tcMar>
            <w:vAlign w:val="center"/>
          </w:tcPr>
          <w:p w14:paraId="62E3AED0">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总计</w:t>
            </w:r>
          </w:p>
        </w:tc>
        <w:tc>
          <w:tcPr>
            <w:tcW w:w="673" w:type="dxa"/>
            <w:noWrap w:val="0"/>
            <w:tcMar>
              <w:top w:w="60" w:type="dxa"/>
              <w:left w:w="120" w:type="dxa"/>
              <w:bottom w:w="30" w:type="dxa"/>
              <w:right w:w="120" w:type="dxa"/>
            </w:tcMar>
            <w:vAlign w:val="center"/>
          </w:tcPr>
          <w:p w14:paraId="2325099B">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100</w:t>
            </w:r>
          </w:p>
        </w:tc>
        <w:tc>
          <w:tcPr>
            <w:tcW w:w="742" w:type="dxa"/>
            <w:noWrap w:val="0"/>
            <w:tcMar>
              <w:top w:w="60" w:type="dxa"/>
              <w:left w:w="120" w:type="dxa"/>
              <w:bottom w:w="30" w:type="dxa"/>
              <w:right w:w="120" w:type="dxa"/>
            </w:tcMar>
            <w:vAlign w:val="center"/>
          </w:tcPr>
          <w:p w14:paraId="1CD79C04">
            <w:pPr>
              <w:keepNext w:val="0"/>
              <w:keepLines w:val="0"/>
              <w:pageBreakBefore w:val="0"/>
              <w:widowControl w:val="0"/>
              <w:shd w:val="clear"/>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sz w:val="21"/>
                <w:szCs w:val="21"/>
                <w:highlight w:val="none"/>
              </w:rPr>
            </w:pPr>
          </w:p>
        </w:tc>
      </w:tr>
    </w:tbl>
    <w:p w14:paraId="5F984D2C">
      <w:pPr>
        <w:shd w:val="clear"/>
        <w:spacing w:line="360" w:lineRule="auto"/>
        <w:ind w:firstLine="602" w:firstLineChars="200"/>
        <w:jc w:val="center"/>
        <w:rPr>
          <w:rFonts w:hint="eastAsia" w:ascii="宋体" w:hAnsi="宋体" w:cs="宋体"/>
          <w:color w:val="auto"/>
          <w:sz w:val="24"/>
          <w:highlight w:val="none"/>
        </w:rPr>
      </w:pPr>
      <w:r>
        <w:rPr>
          <w:rFonts w:hint="eastAsia" w:ascii="宋体" w:hAnsi="宋体" w:cs="宋体"/>
          <w:b/>
          <w:bCs/>
          <w:color w:val="auto"/>
          <w:sz w:val="30"/>
          <w:szCs w:val="30"/>
          <w:highlight w:val="none"/>
        </w:rPr>
        <w:br w:type="page"/>
      </w:r>
      <w:bookmarkEnd w:id="14"/>
      <w:bookmarkEnd w:id="15"/>
      <w:bookmarkEnd w:id="16"/>
      <w:r>
        <w:rPr>
          <w:rFonts w:hint="eastAsia" w:ascii="宋体" w:hAnsi="宋体" w:cs="宋体"/>
          <w:b/>
          <w:bCs/>
          <w:color w:val="auto"/>
          <w:sz w:val="36"/>
          <w:highlight w:val="none"/>
        </w:rPr>
        <w:t xml:space="preserve">第四章  </w:t>
      </w:r>
      <w:r>
        <w:rPr>
          <w:rFonts w:hint="eastAsia" w:ascii="宋体" w:hAnsi="宋体" w:cs="宋体"/>
          <w:b/>
          <w:bCs/>
          <w:color w:val="auto"/>
          <w:kern w:val="36"/>
          <w:sz w:val="36"/>
          <w:szCs w:val="36"/>
          <w:highlight w:val="none"/>
        </w:rPr>
        <w:t>开标、评标和定标须知</w:t>
      </w:r>
    </w:p>
    <w:p w14:paraId="6BD4F036">
      <w:pPr>
        <w:pStyle w:val="3"/>
        <w:widowControl/>
        <w:shd w:val="clear"/>
        <w:spacing w:before="0" w:after="0" w:line="360" w:lineRule="auto"/>
        <w:jc w:val="left"/>
        <w:rPr>
          <w:rFonts w:hint="eastAsia" w:ascii="宋体" w:hAnsi="宋体" w:eastAsia="宋体" w:cs="宋体"/>
          <w:color w:val="auto"/>
          <w:sz w:val="28"/>
          <w:szCs w:val="28"/>
          <w:highlight w:val="none"/>
        </w:rPr>
      </w:pPr>
      <w:bookmarkStart w:id="20" w:name="_Toc406413937"/>
      <w:bookmarkStart w:id="21" w:name="_Toc384297860"/>
      <w:bookmarkStart w:id="22" w:name="_Toc362250705"/>
      <w:bookmarkStart w:id="23" w:name="_Toc226973002"/>
      <w:bookmarkStart w:id="24" w:name="_Toc261519847"/>
      <w:bookmarkStart w:id="25" w:name="_Toc274303253"/>
      <w:bookmarkStart w:id="26" w:name="_Toc263090375"/>
      <w:r>
        <w:rPr>
          <w:rFonts w:hint="eastAsia" w:ascii="宋体" w:hAnsi="宋体" w:eastAsia="宋体" w:cs="宋体"/>
          <w:color w:val="auto"/>
          <w:sz w:val="28"/>
          <w:szCs w:val="28"/>
          <w:highlight w:val="none"/>
        </w:rPr>
        <w:t>一、开标</w:t>
      </w:r>
      <w:bookmarkEnd w:id="20"/>
      <w:bookmarkEnd w:id="21"/>
    </w:p>
    <w:p w14:paraId="4CFFD8E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1.本项目实行电子开评标，投标方无需前往开评标现场，只需在规定时间内在“政采云”平台上上传电子投标文件。</w:t>
      </w:r>
    </w:p>
    <w:p w14:paraId="0DB7979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2.电子开评标及评审程序</w:t>
      </w:r>
    </w:p>
    <w:p w14:paraId="6C9A319A">
      <w:pPr>
        <w:shd w:val="clea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 xml:space="preserve">2.1投标截止时间后的1小时内（开标当日14:00-15:00时），由各投标人自行对电子投标文件进行解密（请各投标人务必在规定时间内完成电子投标文件的解密工作，在电子开评标期间，投标方（授权代表）需确保在各自所在的区域具备上网的技术条件并保持网络及联系方式畅通），同时为避免出现意外，建议全程由一台电脑进行操作（包括标书制作、上传、解密等），中途不要更换电脑； </w:t>
      </w:r>
    </w:p>
    <w:p w14:paraId="0DE037D4">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2.2.评标委员会对投标方的资格和商务技术响应文件进行评审；</w:t>
      </w:r>
    </w:p>
    <w:p w14:paraId="2DD9A422">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2.3评标委员会对报价情况进行评审；</w:t>
      </w:r>
    </w:p>
    <w:p w14:paraId="01D9AD7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2.4在系统上公布评审结果。</w:t>
      </w:r>
    </w:p>
    <w:p w14:paraId="3D5BB081">
      <w:pPr>
        <w:shd w:val="clear"/>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u w:val="single"/>
        </w:rPr>
        <w:t>特别说明：政采云公司如对电子化开标及评审程序有调整的，按调整后的程序操作。</w:t>
      </w:r>
    </w:p>
    <w:p w14:paraId="70177A6D">
      <w:pPr>
        <w:pStyle w:val="3"/>
        <w:shd w:val="clear"/>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w:t>
      </w:r>
      <w:bookmarkEnd w:id="22"/>
      <w:bookmarkEnd w:id="23"/>
      <w:bookmarkEnd w:id="24"/>
      <w:bookmarkEnd w:id="25"/>
      <w:bookmarkEnd w:id="26"/>
    </w:p>
    <w:p w14:paraId="59DBD6DA">
      <w:pPr>
        <w:shd w:val="clear"/>
        <w:spacing w:line="360" w:lineRule="auto"/>
        <w:ind w:firstLine="480"/>
        <w:rPr>
          <w:rFonts w:hint="eastAsia" w:ascii="宋体" w:hAnsi="宋体" w:cs="宋体"/>
          <w:b/>
          <w:color w:val="auto"/>
          <w:kern w:val="0"/>
          <w:sz w:val="24"/>
          <w:highlight w:val="none"/>
        </w:rPr>
      </w:pPr>
      <w:r>
        <w:rPr>
          <w:rFonts w:hint="eastAsia" w:ascii="宋体" w:hAnsi="宋体" w:cs="宋体"/>
          <w:b/>
          <w:color w:val="auto"/>
          <w:kern w:val="0"/>
          <w:sz w:val="24"/>
          <w:highlight w:val="none"/>
        </w:rPr>
        <w:t>3.评标小组</w:t>
      </w:r>
    </w:p>
    <w:p w14:paraId="3DABB4CF">
      <w:pPr>
        <w:pStyle w:val="15"/>
        <w:shd w:val="clear"/>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3.1 评标小组将根据招标采购项目的特点确定。其成员由技术方面专家和采购人代表5人及以上单数组成。评标小组对投标文件进行审查、质疑、评估和比较。</w:t>
      </w:r>
    </w:p>
    <w:p w14:paraId="78AAE4FC">
      <w:pPr>
        <w:shd w:val="clear"/>
        <w:spacing w:line="360" w:lineRule="auto"/>
        <w:ind w:firstLine="480"/>
        <w:rPr>
          <w:rFonts w:hint="eastAsia" w:ascii="宋体" w:hAnsi="宋体" w:cs="宋体"/>
          <w:b/>
          <w:color w:val="auto"/>
          <w:sz w:val="24"/>
          <w:highlight w:val="none"/>
        </w:rPr>
      </w:pPr>
      <w:r>
        <w:rPr>
          <w:rFonts w:hint="eastAsia" w:ascii="宋体" w:hAnsi="宋体" w:cs="宋体"/>
          <w:b/>
          <w:color w:val="auto"/>
          <w:sz w:val="24"/>
          <w:highlight w:val="none"/>
        </w:rPr>
        <w:t>4.评标原则</w:t>
      </w:r>
    </w:p>
    <w:p w14:paraId="0B15C04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4.1评标小组将遵循公开、公平、公正的原则，严格遵守评标工作纪律。</w:t>
      </w:r>
    </w:p>
    <w:p w14:paraId="64E29507">
      <w:pPr>
        <w:shd w:val="clear"/>
        <w:spacing w:line="360" w:lineRule="auto"/>
        <w:ind w:firstLine="480"/>
        <w:rPr>
          <w:rFonts w:hint="eastAsia" w:ascii="宋体" w:hAnsi="宋体" w:cs="宋体"/>
          <w:bCs/>
          <w:color w:val="auto"/>
          <w:sz w:val="24"/>
          <w:highlight w:val="none"/>
        </w:rPr>
      </w:pPr>
      <w:r>
        <w:rPr>
          <w:rFonts w:hint="eastAsia" w:ascii="宋体" w:hAnsi="宋体" w:cs="宋体"/>
          <w:color w:val="auto"/>
          <w:sz w:val="24"/>
          <w:highlight w:val="none"/>
        </w:rPr>
        <w:t>4.2先评资格及商务技术响应文件，再评报价响应文件</w:t>
      </w:r>
      <w:r>
        <w:rPr>
          <w:rFonts w:hint="eastAsia" w:ascii="宋体" w:hAnsi="宋体" w:cs="宋体"/>
          <w:bCs/>
          <w:color w:val="auto"/>
          <w:sz w:val="24"/>
          <w:highlight w:val="none"/>
        </w:rPr>
        <w:t>。</w:t>
      </w:r>
    </w:p>
    <w:p w14:paraId="1C72367C">
      <w:pPr>
        <w:shd w:val="clear"/>
        <w:spacing w:line="360" w:lineRule="auto"/>
        <w:ind w:firstLine="480"/>
        <w:rPr>
          <w:rFonts w:hint="eastAsia" w:ascii="宋体" w:hAnsi="宋体" w:cs="宋体"/>
          <w:color w:val="auto"/>
          <w:sz w:val="24"/>
          <w:highlight w:val="none"/>
        </w:rPr>
      </w:pPr>
      <w:r>
        <w:rPr>
          <w:rFonts w:hint="eastAsia" w:ascii="宋体" w:hAnsi="宋体" w:cs="宋体"/>
          <w:bCs/>
          <w:color w:val="auto"/>
          <w:sz w:val="24"/>
          <w:highlight w:val="none"/>
        </w:rPr>
        <w:t>4.3</w:t>
      </w:r>
      <w:r>
        <w:rPr>
          <w:rFonts w:hint="eastAsia" w:ascii="宋体" w:hAnsi="宋体" w:cs="宋体"/>
          <w:color w:val="auto"/>
          <w:sz w:val="24"/>
          <w:highlight w:val="none"/>
        </w:rPr>
        <w:t>客观公正对待所有投标人，对所有投标评标均采用相同的程序和标准。评标的依据为招标文件和投标文件。</w:t>
      </w:r>
    </w:p>
    <w:p w14:paraId="2732C9F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4.4有利于提高政府投资效益，节约建设资金。</w:t>
      </w:r>
    </w:p>
    <w:p w14:paraId="041958F0">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4.5在评标过程中，出现异常或特殊情况时，由评标小组集体讨论决定。</w:t>
      </w:r>
    </w:p>
    <w:p w14:paraId="0AC2B2FF">
      <w:pPr>
        <w:pStyle w:val="15"/>
        <w:shd w:val="clear"/>
        <w:spacing w:line="360" w:lineRule="auto"/>
        <w:ind w:firstLine="482" w:firstLineChars="200"/>
        <w:rPr>
          <w:rFonts w:hint="eastAsia" w:hAnsi="宋体" w:cs="宋体"/>
          <w:color w:val="auto"/>
          <w:sz w:val="24"/>
          <w:highlight w:val="none"/>
        </w:rPr>
      </w:pPr>
      <w:r>
        <w:rPr>
          <w:rFonts w:hint="eastAsia" w:hAnsi="宋体" w:cs="宋体"/>
          <w:b/>
          <w:color w:val="auto"/>
          <w:sz w:val="24"/>
          <w:highlight w:val="none"/>
        </w:rPr>
        <w:t>5.评标过程的保密</w:t>
      </w:r>
    </w:p>
    <w:p w14:paraId="57B3AA75">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5.1开标后，直至授予中标人合同为止，凡属于对投标文件的审查、澄清、评价和比较等有关的资料以及中标人的确定情况等与评标有关的任何情况均严格保密。</w:t>
      </w:r>
    </w:p>
    <w:p w14:paraId="0B48668F">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5.2在投标文件的评标和比较、中标人确定以及授予合同的过程中，投标人向采购人和评标小组施加影响的任何行为，都将会导致其投标被拒绝。</w:t>
      </w:r>
    </w:p>
    <w:p w14:paraId="46222F04">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5.3中标人确认后，采购人不对未中标人就评标过程以及未能中标原因作出任何解释。未中标人不得向评标小组人员或其他有关人员索问评标过程的全部情况。</w:t>
      </w:r>
    </w:p>
    <w:p w14:paraId="07644A94">
      <w:pPr>
        <w:shd w:val="clear"/>
        <w:spacing w:line="360" w:lineRule="auto"/>
        <w:ind w:firstLine="480" w:firstLineChars="200"/>
        <w:rPr>
          <w:rFonts w:hint="eastAsia" w:ascii="宋体" w:hAnsi="宋体" w:cs="宋体"/>
          <w:color w:val="auto"/>
          <w:spacing w:val="-4"/>
          <w:sz w:val="24"/>
          <w:highlight w:val="none"/>
        </w:rPr>
      </w:pPr>
      <w:r>
        <w:rPr>
          <w:rFonts w:hint="eastAsia" w:ascii="宋体" w:hAnsi="宋体" w:cs="宋体"/>
          <w:color w:val="auto"/>
          <w:sz w:val="24"/>
          <w:highlight w:val="none"/>
        </w:rPr>
        <w:t>5.4</w:t>
      </w:r>
      <w:r>
        <w:rPr>
          <w:rFonts w:hint="eastAsia" w:ascii="宋体" w:hAnsi="宋体" w:cs="宋体"/>
          <w:color w:val="auto"/>
          <w:spacing w:val="-4"/>
          <w:sz w:val="24"/>
          <w:highlight w:val="none"/>
        </w:rPr>
        <w:t>为保证定标的公正性，在评标过程中，评标成员不得与投标人私人交换意见。在招标工作结束后，凡与评标情况有接触的任何人不得也不应将评标情况扩散出评标成员之外。</w:t>
      </w:r>
    </w:p>
    <w:p w14:paraId="2F62B901">
      <w:pPr>
        <w:pStyle w:val="15"/>
        <w:shd w:val="clear"/>
        <w:tabs>
          <w:tab w:val="left" w:pos="0"/>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5.5评标小组不向落标方解释落标原因，不退还投标文件。</w:t>
      </w:r>
    </w:p>
    <w:p w14:paraId="525028E5">
      <w:pPr>
        <w:shd w:val="clear"/>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6.投标人的认定</w:t>
      </w:r>
    </w:p>
    <w:p w14:paraId="58D39C6D">
      <w:pPr>
        <w:pStyle w:val="15"/>
        <w:shd w:val="clear"/>
        <w:spacing w:line="360" w:lineRule="auto"/>
        <w:ind w:firstLine="480" w:firstLineChars="200"/>
        <w:rPr>
          <w:rFonts w:hint="eastAsia" w:hAnsi="宋体" w:cs="宋体"/>
          <w:color w:val="auto"/>
          <w:spacing w:val="-4"/>
          <w:sz w:val="24"/>
          <w:highlight w:val="none"/>
        </w:rPr>
      </w:pPr>
      <w:bookmarkStart w:id="27" w:name="_Hlk24447288"/>
      <w:r>
        <w:rPr>
          <w:rFonts w:hint="eastAsia" w:hAnsi="宋体" w:cs="宋体"/>
          <w:color w:val="auto"/>
          <w:sz w:val="24"/>
          <w:highlight w:val="none"/>
        </w:rPr>
        <w:t>单位负责人为同一人或者存在直接控股、管理关系的不同投标人，不得参加同一合同项下的政府采购活动。</w:t>
      </w:r>
      <w:bookmarkEnd w:id="27"/>
    </w:p>
    <w:p w14:paraId="4F80F42D">
      <w:pPr>
        <w:shd w:val="clear"/>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7.投标文件的澄清</w:t>
      </w:r>
    </w:p>
    <w:p w14:paraId="711D53E6">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为有助于投标文件的审查、评价和比较，评标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本须知第9条规定，凡属于评标小组在评标中发现的计算错误并进行核实的修改不在此列。</w:t>
      </w:r>
    </w:p>
    <w:p w14:paraId="50324327">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7.2如果投标方代表拒绝按评标委员会要求在“政采云”平台作出在线回复且无其他有效回复方式的，评标委员会可以对其作出无效标处理。</w:t>
      </w:r>
    </w:p>
    <w:p w14:paraId="6555428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
          <w:color w:val="auto"/>
          <w:sz w:val="24"/>
          <w:highlight w:val="none"/>
        </w:rPr>
        <w:t>投标文件的初步评标</w:t>
      </w:r>
    </w:p>
    <w:p w14:paraId="501FEC8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8.1开标后，评标小组将对每份投标文件进行初步评审，初步评标内容为：</w:t>
      </w:r>
    </w:p>
    <w:p w14:paraId="57136F7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8.1.1是否出现第五章规定的内容；</w:t>
      </w:r>
    </w:p>
    <w:p w14:paraId="7483067E">
      <w:pPr>
        <w:shd w:val="clear"/>
        <w:spacing w:line="360" w:lineRule="auto"/>
        <w:ind w:firstLine="480" w:firstLineChars="200"/>
        <w:rPr>
          <w:rFonts w:hint="eastAsia" w:ascii="宋体" w:hAnsi="宋体" w:cs="宋体"/>
          <w:color w:val="auto"/>
          <w:spacing w:val="-4"/>
          <w:sz w:val="24"/>
          <w:highlight w:val="none"/>
        </w:rPr>
      </w:pPr>
      <w:r>
        <w:rPr>
          <w:rFonts w:hint="eastAsia" w:ascii="宋体" w:hAnsi="宋体" w:cs="宋体"/>
          <w:color w:val="auto"/>
          <w:sz w:val="24"/>
          <w:highlight w:val="none"/>
        </w:rPr>
        <w:t>违反上述情形之一者，资格响应文件或商务技术响应文件初步评标不予通过，不列入报价响应文件的详细评标。</w:t>
      </w:r>
    </w:p>
    <w:p w14:paraId="7399FD7E">
      <w:pPr>
        <w:shd w:val="clear"/>
        <w:tabs>
          <w:tab w:val="left" w:pos="1219"/>
        </w:tabs>
        <w:spacing w:line="360" w:lineRule="auto"/>
        <w:ind w:left="-67" w:leftChars="-32" w:firstLine="590" w:firstLineChars="246"/>
        <w:rPr>
          <w:rFonts w:hint="eastAsia" w:ascii="宋体" w:hAnsi="宋体" w:cs="宋体"/>
          <w:color w:val="auto"/>
          <w:sz w:val="24"/>
          <w:highlight w:val="none"/>
        </w:rPr>
      </w:pPr>
      <w:r>
        <w:rPr>
          <w:rFonts w:hint="eastAsia" w:ascii="宋体" w:hAnsi="宋体" w:cs="宋体"/>
          <w:color w:val="auto"/>
          <w:sz w:val="24"/>
          <w:highlight w:val="none"/>
        </w:rPr>
        <w:t>8.2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6256F0A8">
      <w:pPr>
        <w:shd w:val="clea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8.3如果投标文件实质上不响应招标文件的各项要求，评标小组将予以拒绝，并且不允许投标人通过修改或撤销其不符合要求的差异或保留，使之成为具有响应性的投标。</w:t>
      </w:r>
    </w:p>
    <w:p w14:paraId="2A255AFF">
      <w:pPr>
        <w:pStyle w:val="15"/>
        <w:shd w:val="clear"/>
        <w:spacing w:line="360" w:lineRule="auto"/>
        <w:ind w:firstLine="482"/>
        <w:rPr>
          <w:rFonts w:hint="eastAsia" w:hAnsi="宋体" w:cs="宋体"/>
          <w:b/>
          <w:color w:val="auto"/>
          <w:sz w:val="24"/>
          <w:highlight w:val="none"/>
        </w:rPr>
      </w:pPr>
      <w:r>
        <w:rPr>
          <w:rFonts w:hint="eastAsia" w:hAnsi="宋体" w:cs="宋体"/>
          <w:b/>
          <w:color w:val="auto"/>
          <w:sz w:val="24"/>
          <w:highlight w:val="none"/>
        </w:rPr>
        <w:t>9.投标文件计算错误的修正</w:t>
      </w:r>
    </w:p>
    <w:p w14:paraId="4125901B">
      <w:pPr>
        <w:pStyle w:val="15"/>
        <w:shd w:val="clear"/>
        <w:spacing w:line="360" w:lineRule="auto"/>
        <w:ind w:firstLine="482"/>
        <w:rPr>
          <w:rFonts w:hint="eastAsia" w:hAnsi="宋体" w:cs="宋体"/>
          <w:color w:val="auto"/>
          <w:sz w:val="24"/>
          <w:highlight w:val="none"/>
        </w:rPr>
      </w:pPr>
      <w:r>
        <w:rPr>
          <w:rFonts w:hint="eastAsia" w:hAnsi="宋体" w:cs="宋体"/>
          <w:color w:val="auto"/>
          <w:sz w:val="24"/>
          <w:highlight w:val="none"/>
        </w:rPr>
        <w:t>9.1评标小组将对确定为实质上响应招标文件要求的投标文件进行校核，看其是否有计算或表达上的错误，修正错误的原则如下：</w:t>
      </w:r>
    </w:p>
    <w:p w14:paraId="0A355528">
      <w:pPr>
        <w:pStyle w:val="15"/>
        <w:shd w:val="clear"/>
        <w:spacing w:line="360" w:lineRule="auto"/>
        <w:ind w:firstLine="482"/>
        <w:rPr>
          <w:rFonts w:hint="eastAsia" w:hAnsi="宋体" w:cs="宋体"/>
          <w:color w:val="auto"/>
          <w:sz w:val="24"/>
          <w:highlight w:val="none"/>
        </w:rPr>
      </w:pPr>
      <w:r>
        <w:rPr>
          <w:rFonts w:hint="eastAsia" w:hAnsi="宋体" w:cs="宋体"/>
          <w:color w:val="auto"/>
          <w:sz w:val="24"/>
          <w:highlight w:val="none"/>
        </w:rPr>
        <w:t>9.1.1投标文件中开标一览表（报价表）内容与投标文件中相应内容不一致的，以开标一览表（报价表）为准；</w:t>
      </w:r>
    </w:p>
    <w:p w14:paraId="6515710C">
      <w:pPr>
        <w:pStyle w:val="15"/>
        <w:shd w:val="clear"/>
        <w:spacing w:line="360" w:lineRule="auto"/>
        <w:ind w:firstLine="482"/>
        <w:rPr>
          <w:rFonts w:hint="eastAsia" w:hAnsi="宋体" w:cs="宋体"/>
          <w:color w:val="auto"/>
          <w:sz w:val="24"/>
          <w:highlight w:val="none"/>
        </w:rPr>
      </w:pPr>
      <w:r>
        <w:rPr>
          <w:rFonts w:hint="eastAsia" w:hAnsi="宋体" w:cs="宋体"/>
          <w:color w:val="auto"/>
          <w:sz w:val="24"/>
          <w:highlight w:val="none"/>
        </w:rPr>
        <w:t>9.1.2大写金额和小写金额不一致的，以大写金额为准；</w:t>
      </w:r>
    </w:p>
    <w:p w14:paraId="253D8E8D">
      <w:pPr>
        <w:pStyle w:val="15"/>
        <w:shd w:val="clear"/>
        <w:spacing w:line="360" w:lineRule="auto"/>
        <w:ind w:firstLine="482"/>
        <w:rPr>
          <w:rFonts w:hint="eastAsia" w:hAnsi="宋体" w:cs="宋体"/>
          <w:color w:val="auto"/>
          <w:sz w:val="24"/>
          <w:highlight w:val="none"/>
        </w:rPr>
      </w:pPr>
      <w:r>
        <w:rPr>
          <w:rFonts w:hint="eastAsia" w:hAnsi="宋体" w:cs="宋体"/>
          <w:color w:val="auto"/>
          <w:sz w:val="24"/>
          <w:highlight w:val="none"/>
        </w:rPr>
        <w:t>9.1.3单价金额小数点或者百分比有明显错位的，以开标一览表的总价为准，并修改单价；</w:t>
      </w:r>
    </w:p>
    <w:p w14:paraId="2FC67434">
      <w:pPr>
        <w:pStyle w:val="15"/>
        <w:shd w:val="clear"/>
        <w:spacing w:line="360" w:lineRule="auto"/>
        <w:ind w:firstLine="482"/>
        <w:rPr>
          <w:rFonts w:hint="eastAsia" w:hAnsi="宋体" w:cs="宋体"/>
          <w:color w:val="auto"/>
          <w:sz w:val="24"/>
          <w:highlight w:val="none"/>
        </w:rPr>
      </w:pPr>
      <w:r>
        <w:rPr>
          <w:rFonts w:hint="eastAsia" w:hAnsi="宋体" w:cs="宋体"/>
          <w:color w:val="auto"/>
          <w:sz w:val="24"/>
          <w:highlight w:val="none"/>
        </w:rPr>
        <w:t>9.1.4总价金额与按单价汇总金额不一致的，以单价金额计算结果为准。</w:t>
      </w:r>
    </w:p>
    <w:p w14:paraId="49CC05C2">
      <w:pPr>
        <w:pStyle w:val="15"/>
        <w:shd w:val="clear"/>
        <w:spacing w:line="360" w:lineRule="auto"/>
        <w:ind w:firstLine="482"/>
        <w:rPr>
          <w:rFonts w:hint="eastAsia" w:hAnsi="宋体" w:cs="宋体"/>
          <w:color w:val="auto"/>
          <w:sz w:val="24"/>
          <w:highlight w:val="none"/>
        </w:rPr>
      </w:pPr>
      <w:r>
        <w:rPr>
          <w:rFonts w:hint="eastAsia" w:hAnsi="宋体" w:cs="宋体"/>
          <w:color w:val="auto"/>
          <w:sz w:val="24"/>
          <w:highlight w:val="none"/>
        </w:rPr>
        <w:t>9.1.5对不同文字文本投标文件的解释发生异议的，以中文文本为准。</w:t>
      </w:r>
    </w:p>
    <w:p w14:paraId="5BFF92AA">
      <w:pPr>
        <w:pStyle w:val="15"/>
        <w:shd w:val="clear"/>
        <w:spacing w:line="360" w:lineRule="auto"/>
        <w:ind w:firstLine="482"/>
        <w:rPr>
          <w:rFonts w:hint="eastAsia" w:hAnsi="宋体" w:cs="宋体"/>
          <w:color w:val="auto"/>
          <w:sz w:val="24"/>
          <w:highlight w:val="none"/>
        </w:rPr>
      </w:pPr>
      <w:r>
        <w:rPr>
          <w:rFonts w:hint="eastAsia" w:hAnsi="宋体" w:cs="宋体"/>
          <w:color w:val="auto"/>
          <w:sz w:val="24"/>
          <w:highlight w:val="none"/>
        </w:rPr>
        <w:t>9.1.6客户端填写的报价与以pdf格式上传文件中的报价不一致的，应以Pdf格式上传文件中的报价为准。</w:t>
      </w:r>
    </w:p>
    <w:p w14:paraId="66881E2A">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评标委员会可以拒绝接受不是中文版的投标文件以及与投标相关的资料。</w:t>
      </w:r>
    </w:p>
    <w:p w14:paraId="200727E7">
      <w:pPr>
        <w:pStyle w:val="15"/>
        <w:shd w:val="clear"/>
        <w:spacing w:line="360" w:lineRule="auto"/>
        <w:ind w:firstLine="482"/>
        <w:rPr>
          <w:rFonts w:hint="eastAsia" w:hAnsi="宋体" w:cs="宋体"/>
          <w:color w:val="auto"/>
          <w:sz w:val="24"/>
          <w:highlight w:val="none"/>
        </w:rPr>
      </w:pPr>
      <w:r>
        <w:rPr>
          <w:rFonts w:hint="eastAsia" w:hAnsi="宋体" w:cs="宋体"/>
          <w:color w:val="auto"/>
          <w:sz w:val="24"/>
          <w:highlight w:val="none"/>
        </w:rPr>
        <w:t>9.2同时出现两种以上不一致的，按照前款规定的顺序修正。修正后的报价经投标人确认后产生约束力。如果投标人不接受修正后的报价，则其投标将被拒绝并且其投标担保也将被没收，并不影响评标工作。</w:t>
      </w:r>
    </w:p>
    <w:p w14:paraId="45E5D40F">
      <w:pPr>
        <w:shd w:val="clear"/>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10.投标文件的评标、比较和否决</w:t>
      </w:r>
    </w:p>
    <w:p w14:paraId="344AF20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10.1评标小组将按照本须知规定，仅对在实质上响应招标文件要求的投标文件进行评估和比较。</w:t>
      </w:r>
    </w:p>
    <w:p w14:paraId="60F964B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10.2在评标过程后，评标小组可以要求投标人就投标文件中含义不明确的内容进行书面说明并提供相关材料。</w:t>
      </w:r>
    </w:p>
    <w:p w14:paraId="137842CA">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10.3评标小组在作出任何一项无效标决定前，都应当严格遵循以下程序：</w:t>
      </w:r>
    </w:p>
    <w:p w14:paraId="70B8A262">
      <w:pPr>
        <w:shd w:val="clea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10.3.1要求当事投标人做相应的答辩；</w:t>
      </w:r>
    </w:p>
    <w:p w14:paraId="48594733">
      <w:pPr>
        <w:shd w:val="clea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10.3.2在充分讨论的基础上集体表决；</w:t>
      </w:r>
    </w:p>
    <w:p w14:paraId="12B93965">
      <w:pPr>
        <w:shd w:val="clea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10.3.3若表决通过无效标决定，告知当事投标人，并在评标报告中详细载明废标理由、依据、答辩的情况和集体表决的情况（同意废标和不同意废标的评标小组成员均应当注明）。</w:t>
      </w:r>
    </w:p>
    <w:p w14:paraId="048B8816">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10.4评标小组经评标，认为所有投标都不符合招标文件要求时，可以否决所有投标。所有投标被否决后，采购人应当依法重新招标。</w:t>
      </w:r>
    </w:p>
    <w:p w14:paraId="475B25A4">
      <w:pPr>
        <w:pStyle w:val="15"/>
        <w:shd w:val="clear"/>
        <w:spacing w:line="360" w:lineRule="auto"/>
        <w:ind w:firstLine="482"/>
        <w:rPr>
          <w:rFonts w:hint="eastAsia" w:hAnsi="宋体" w:cs="宋体"/>
          <w:b/>
          <w:color w:val="auto"/>
          <w:spacing w:val="-4"/>
          <w:sz w:val="24"/>
          <w:highlight w:val="none"/>
        </w:rPr>
      </w:pPr>
      <w:r>
        <w:rPr>
          <w:rFonts w:hint="eastAsia" w:hAnsi="宋体" w:cs="宋体"/>
          <w:b/>
          <w:color w:val="auto"/>
          <w:spacing w:val="-4"/>
          <w:sz w:val="24"/>
          <w:highlight w:val="none"/>
        </w:rPr>
        <w:t>11.评标办法</w:t>
      </w:r>
    </w:p>
    <w:p w14:paraId="78181CEF">
      <w:pPr>
        <w:shd w:val="clea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11.1本项目综合评分法（具体评标办法见后）。</w:t>
      </w:r>
    </w:p>
    <w:p w14:paraId="02FFEA0C">
      <w:pPr>
        <w:shd w:val="clear"/>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12.决标</w:t>
      </w:r>
    </w:p>
    <w:p w14:paraId="4C2FC233">
      <w:pPr>
        <w:shd w:val="clea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评标小组依据本招标文件规定的评标标准和方法，对投标文件进行评标和比较，向采购人提出书面评标报告，并直接确定中标人。</w:t>
      </w:r>
    </w:p>
    <w:p w14:paraId="5C95140C">
      <w:pPr>
        <w:pStyle w:val="3"/>
        <w:shd w:val="clear"/>
        <w:spacing w:before="0" w:after="0" w:line="360" w:lineRule="auto"/>
        <w:rPr>
          <w:rFonts w:hint="eastAsia" w:ascii="宋体" w:hAnsi="宋体" w:eastAsia="宋体" w:cs="宋体"/>
          <w:color w:val="auto"/>
          <w:sz w:val="24"/>
          <w:szCs w:val="24"/>
          <w:highlight w:val="none"/>
        </w:rPr>
      </w:pPr>
      <w:bookmarkStart w:id="28" w:name="_Toc274303254"/>
      <w:bookmarkStart w:id="29" w:name="_Toc263090376"/>
      <w:bookmarkStart w:id="30" w:name="_Toc226973003"/>
      <w:bookmarkStart w:id="31" w:name="_Toc362250706"/>
      <w:bookmarkStart w:id="32" w:name="_Toc261519848"/>
      <w:r>
        <w:rPr>
          <w:rFonts w:hint="eastAsia" w:ascii="宋体" w:hAnsi="宋体" w:eastAsia="宋体" w:cs="宋体"/>
          <w:color w:val="auto"/>
          <w:sz w:val="24"/>
          <w:szCs w:val="24"/>
          <w:highlight w:val="none"/>
        </w:rPr>
        <w:t>三、定标</w:t>
      </w:r>
      <w:bookmarkEnd w:id="28"/>
      <w:bookmarkEnd w:id="29"/>
      <w:bookmarkEnd w:id="30"/>
      <w:bookmarkEnd w:id="31"/>
      <w:bookmarkEnd w:id="32"/>
    </w:p>
    <w:p w14:paraId="664421EB">
      <w:pPr>
        <w:shd w:val="clear"/>
        <w:spacing w:line="360" w:lineRule="auto"/>
        <w:ind w:firstLine="482" w:firstLineChars="200"/>
        <w:rPr>
          <w:rFonts w:hint="eastAsia" w:ascii="宋体" w:hAnsi="宋体" w:cs="宋体"/>
          <w:b/>
          <w:bCs/>
          <w:color w:val="auto"/>
          <w:sz w:val="24"/>
          <w:highlight w:val="none"/>
        </w:rPr>
      </w:pPr>
      <w:r>
        <w:rPr>
          <w:rFonts w:hint="eastAsia" w:ascii="宋体" w:hAnsi="宋体" w:cs="宋体"/>
          <w:b/>
          <w:color w:val="auto"/>
          <w:kern w:val="0"/>
          <w:sz w:val="24"/>
          <w:highlight w:val="none"/>
        </w:rPr>
        <w:t>13.</w:t>
      </w:r>
      <w:r>
        <w:rPr>
          <w:rFonts w:hint="eastAsia" w:ascii="宋体" w:hAnsi="宋体" w:cs="宋体"/>
          <w:b/>
          <w:bCs/>
          <w:color w:val="auto"/>
          <w:sz w:val="24"/>
          <w:highlight w:val="none"/>
        </w:rPr>
        <w:t>中标通知</w:t>
      </w:r>
    </w:p>
    <w:p w14:paraId="400389E1">
      <w:pPr>
        <w:pStyle w:val="15"/>
        <w:shd w:val="clear"/>
        <w:snapToGrid w:val="0"/>
        <w:spacing w:line="360" w:lineRule="auto"/>
        <w:ind w:firstLine="480" w:firstLineChars="200"/>
        <w:rPr>
          <w:rFonts w:hint="eastAsia" w:hAnsi="宋体" w:cs="宋体"/>
          <w:b/>
          <w:bCs/>
          <w:color w:val="auto"/>
          <w:sz w:val="24"/>
          <w:szCs w:val="24"/>
          <w:highlight w:val="none"/>
        </w:rPr>
      </w:pPr>
      <w:r>
        <w:rPr>
          <w:rFonts w:hint="eastAsia" w:hAnsi="宋体" w:cs="宋体"/>
          <w:color w:val="auto"/>
          <w:sz w:val="24"/>
          <w:szCs w:val="24"/>
          <w:highlight w:val="none"/>
        </w:rPr>
        <w:t>13.1评标结束后，评标结果公告</w:t>
      </w:r>
      <w:r>
        <w:rPr>
          <w:rFonts w:hint="eastAsia" w:hAnsi="宋体" w:cs="宋体"/>
          <w:color w:val="auto"/>
          <w:sz w:val="24"/>
          <w:szCs w:val="24"/>
          <w:highlight w:val="none"/>
          <w:u w:val="single"/>
        </w:rPr>
        <w:t>1</w:t>
      </w:r>
      <w:r>
        <w:rPr>
          <w:rFonts w:hint="eastAsia" w:hAnsi="宋体" w:cs="宋体"/>
          <w:color w:val="auto"/>
          <w:sz w:val="24"/>
          <w:szCs w:val="24"/>
          <w:highlight w:val="none"/>
        </w:rPr>
        <w:t>个工作日，发布评标结果公告的媒体为：浙江省政府采购网。</w:t>
      </w:r>
    </w:p>
    <w:p w14:paraId="40D62699">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13.2发放中标通知书前，采购人或其委托的采购代理机构应在中国裁判文书网上查询中标（成交）单位自2023年1月1日至中标公告期结束前行贿犯罪记录情况，查询结果以网站页面显示内容为准。经查实，</w:t>
      </w:r>
      <w:r>
        <w:rPr>
          <w:rFonts w:hint="eastAsia" w:ascii="宋体" w:hAnsi="宋体" w:cs="宋体"/>
          <w:color w:val="auto"/>
          <w:sz w:val="24"/>
          <w:highlight w:val="none"/>
          <w:shd w:val="clear" w:color="auto" w:fill="FFFFFF"/>
        </w:rPr>
        <w:t>中标人</w:t>
      </w:r>
      <w:r>
        <w:rPr>
          <w:rFonts w:hint="eastAsia" w:ascii="宋体" w:hAnsi="宋体" w:cs="宋体"/>
          <w:color w:val="auto"/>
          <w:sz w:val="24"/>
          <w:highlight w:val="none"/>
        </w:rPr>
        <w:t>有前述行贿犯罪记录的，取消其中标资格，采购人依法重新组织采购。</w:t>
      </w:r>
    </w:p>
    <w:p w14:paraId="60A63228">
      <w:pPr>
        <w:pStyle w:val="15"/>
        <w:shd w:val="clear"/>
        <w:tabs>
          <w:tab w:val="left" w:pos="900"/>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13.3评标结果公告发布的同时，由采购人和浙江求是招标代理有限公司共同签发《中标通知书》，中标人凭有效说明到浙江求是招标代理有限公司领取《中标通知书》。《中标通知书》一经发出即发生法律效力。</w:t>
      </w:r>
    </w:p>
    <w:p w14:paraId="010A7392">
      <w:pPr>
        <w:pStyle w:val="15"/>
        <w:shd w:val="clear"/>
        <w:tabs>
          <w:tab w:val="left" w:pos="900"/>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13.4开标过程中，投标人对开标有异议的，</w:t>
      </w:r>
      <w:r>
        <w:rPr>
          <w:rFonts w:hint="eastAsia" w:hAnsi="宋体" w:cs="宋体"/>
          <w:color w:val="auto"/>
          <w:sz w:val="24"/>
          <w:szCs w:val="24"/>
          <w:highlight w:val="none"/>
        </w:rPr>
        <w:t>应当在“政采云”平台上及时提出</w:t>
      </w:r>
      <w:r>
        <w:rPr>
          <w:rFonts w:hint="eastAsia" w:hAnsi="宋体" w:cs="宋体"/>
          <w:color w:val="auto"/>
          <w:sz w:val="24"/>
          <w:highlight w:val="none"/>
        </w:rPr>
        <w:t>，评标委员会应对异常情况做记录。</w:t>
      </w:r>
    </w:p>
    <w:p w14:paraId="2AF7A8DD">
      <w:pPr>
        <w:pStyle w:val="15"/>
        <w:shd w:val="clear"/>
        <w:tabs>
          <w:tab w:val="left" w:pos="900"/>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13.5开评标结束后 ，投标人或者其他利害关系人对依法必须进行招标的项目的评标结果有异议的，应在公告期限届满之日起7个工作日内首先依据招投标相关法律法规向采购人、招标代理机构提出质疑。采购人或招标代理机构将在收到书面质疑后七个工作日内对质疑内容作出答复。若投标人对采购人或招标代理机构的答复、处理结果不满意，应在收到采购人或招标代理机构的书面答复后十五个工作日内到招标投标管理部门投诉。</w:t>
      </w:r>
    </w:p>
    <w:p w14:paraId="51A0E06F">
      <w:pPr>
        <w:pStyle w:val="15"/>
        <w:shd w:val="clear"/>
        <w:tabs>
          <w:tab w:val="left" w:pos="900"/>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13.6质疑投诉的相关规定</w:t>
      </w:r>
    </w:p>
    <w:p w14:paraId="5296F489">
      <w:pPr>
        <w:pStyle w:val="15"/>
        <w:shd w:val="clear"/>
        <w:tabs>
          <w:tab w:val="left" w:pos="900"/>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（一）质疑投诉递交的资料需为书面材料。质疑投诉书面材料需法人代表人或授权代表签字并加盖公章。</w:t>
      </w:r>
    </w:p>
    <w:p w14:paraId="31F961A2">
      <w:pPr>
        <w:pStyle w:val="15"/>
        <w:shd w:val="clear"/>
        <w:tabs>
          <w:tab w:val="left" w:pos="900"/>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（二）质疑投诉属于以下情况之一的，将不予受理：</w:t>
      </w:r>
    </w:p>
    <w:p w14:paraId="76828D30">
      <w:pPr>
        <w:pStyle w:val="15"/>
        <w:shd w:val="clear"/>
        <w:tabs>
          <w:tab w:val="left" w:pos="900"/>
        </w:tabs>
        <w:spacing w:line="360" w:lineRule="auto"/>
        <w:ind w:firstLine="360" w:firstLineChars="150"/>
        <w:rPr>
          <w:rFonts w:hint="eastAsia" w:hAnsi="宋体" w:cs="宋体"/>
          <w:color w:val="auto"/>
          <w:sz w:val="24"/>
          <w:highlight w:val="none"/>
        </w:rPr>
      </w:pPr>
      <w:r>
        <w:rPr>
          <w:rFonts w:hint="eastAsia" w:hAnsi="宋体" w:cs="宋体"/>
          <w:color w:val="auto"/>
          <w:sz w:val="24"/>
          <w:highlight w:val="none"/>
        </w:rPr>
        <w:t>1.质疑投诉人不是所投诉项目的参与者，或者与质疑投诉项目无任何利害关系。</w:t>
      </w:r>
    </w:p>
    <w:p w14:paraId="04B02CA7">
      <w:pPr>
        <w:pStyle w:val="15"/>
        <w:shd w:val="clear"/>
        <w:tabs>
          <w:tab w:val="left" w:pos="900"/>
        </w:tabs>
        <w:spacing w:line="360" w:lineRule="auto"/>
        <w:ind w:firstLine="360" w:firstLineChars="150"/>
        <w:rPr>
          <w:rFonts w:hint="eastAsia" w:hAnsi="宋体" w:cs="宋体"/>
          <w:color w:val="auto"/>
          <w:sz w:val="24"/>
          <w:highlight w:val="none"/>
        </w:rPr>
      </w:pPr>
      <w:r>
        <w:rPr>
          <w:rFonts w:hint="eastAsia" w:hAnsi="宋体" w:cs="宋体"/>
          <w:color w:val="auto"/>
          <w:sz w:val="24"/>
          <w:highlight w:val="none"/>
        </w:rPr>
        <w:t>2.质疑投诉事项不具体，且未提供有效线索，难以查证。</w:t>
      </w:r>
    </w:p>
    <w:p w14:paraId="559F99D8">
      <w:pPr>
        <w:pStyle w:val="15"/>
        <w:shd w:val="clear"/>
        <w:tabs>
          <w:tab w:val="left" w:pos="900"/>
        </w:tabs>
        <w:spacing w:line="360" w:lineRule="auto"/>
        <w:ind w:firstLine="360" w:firstLineChars="150"/>
        <w:rPr>
          <w:rFonts w:hint="eastAsia" w:hAnsi="宋体" w:cs="宋体"/>
          <w:color w:val="auto"/>
          <w:sz w:val="24"/>
          <w:highlight w:val="none"/>
        </w:rPr>
      </w:pPr>
      <w:r>
        <w:rPr>
          <w:rFonts w:hint="eastAsia" w:hAnsi="宋体" w:cs="宋体"/>
          <w:color w:val="auto"/>
          <w:sz w:val="24"/>
          <w:highlight w:val="none"/>
        </w:rPr>
        <w:t>3.未提供书面质疑或者质疑未加盖公章的；投诉人为法人或者其他组织，其投诉书未经法定代表人或者主要负责人签字并加盖公章的。</w:t>
      </w:r>
    </w:p>
    <w:p w14:paraId="0DEE9665">
      <w:pPr>
        <w:pStyle w:val="15"/>
        <w:shd w:val="clear"/>
        <w:tabs>
          <w:tab w:val="left" w:pos="900"/>
        </w:tabs>
        <w:spacing w:line="360" w:lineRule="auto"/>
        <w:ind w:firstLine="360" w:firstLineChars="150"/>
        <w:rPr>
          <w:rFonts w:hint="eastAsia" w:hAnsi="宋体" w:cs="宋体"/>
          <w:color w:val="auto"/>
          <w:sz w:val="24"/>
          <w:highlight w:val="none"/>
        </w:rPr>
      </w:pPr>
      <w:r>
        <w:rPr>
          <w:rFonts w:hint="eastAsia" w:hAnsi="宋体" w:cs="宋体"/>
          <w:color w:val="auto"/>
          <w:sz w:val="24"/>
          <w:highlight w:val="none"/>
        </w:rPr>
        <w:t xml:space="preserve">4.已超过招标文件规定质疑投诉提出期限的事项。 </w:t>
      </w:r>
    </w:p>
    <w:p w14:paraId="0C8B8831">
      <w:pPr>
        <w:pStyle w:val="15"/>
        <w:shd w:val="clear"/>
        <w:tabs>
          <w:tab w:val="left" w:pos="900"/>
        </w:tabs>
        <w:spacing w:line="360" w:lineRule="auto"/>
        <w:ind w:firstLine="360" w:firstLineChars="150"/>
        <w:rPr>
          <w:rFonts w:hint="eastAsia" w:hAnsi="宋体" w:cs="宋体"/>
          <w:color w:val="auto"/>
          <w:sz w:val="24"/>
          <w:highlight w:val="none"/>
        </w:rPr>
      </w:pPr>
      <w:r>
        <w:rPr>
          <w:rFonts w:hint="eastAsia" w:hAnsi="宋体" w:cs="宋体"/>
          <w:color w:val="auto"/>
          <w:sz w:val="24"/>
          <w:highlight w:val="none"/>
        </w:rPr>
        <w:t>5.投诉事项已作出处理决定，并且投诉人没有提出新的证据；</w:t>
      </w:r>
    </w:p>
    <w:p w14:paraId="3071006C">
      <w:pPr>
        <w:pStyle w:val="15"/>
        <w:shd w:val="clear"/>
        <w:tabs>
          <w:tab w:val="left" w:pos="900"/>
        </w:tabs>
        <w:spacing w:line="360" w:lineRule="auto"/>
        <w:ind w:firstLine="360" w:firstLineChars="150"/>
        <w:rPr>
          <w:rFonts w:hint="eastAsia" w:hAnsi="宋体" w:cs="宋体"/>
          <w:color w:val="auto"/>
          <w:sz w:val="24"/>
          <w:highlight w:val="none"/>
        </w:rPr>
      </w:pPr>
      <w:r>
        <w:rPr>
          <w:rFonts w:hint="eastAsia" w:hAnsi="宋体" w:cs="宋体"/>
          <w:color w:val="auto"/>
          <w:sz w:val="24"/>
          <w:highlight w:val="none"/>
        </w:rPr>
        <w:t>6.质疑投诉的事项已经进入行政复议或者行政诉讼程序的；投诉事项应先提出质疑而没有提出质疑的。</w:t>
      </w:r>
    </w:p>
    <w:p w14:paraId="0649A476">
      <w:pPr>
        <w:pStyle w:val="15"/>
        <w:shd w:val="clear"/>
        <w:spacing w:line="360" w:lineRule="auto"/>
        <w:ind w:firstLine="360" w:firstLineChars="150"/>
        <w:rPr>
          <w:rFonts w:hint="eastAsia" w:hAnsi="宋体" w:cs="宋体"/>
          <w:color w:val="auto"/>
          <w:sz w:val="24"/>
          <w:highlight w:val="none"/>
        </w:rPr>
      </w:pPr>
      <w:r>
        <w:rPr>
          <w:rFonts w:hint="eastAsia" w:hAnsi="宋体" w:cs="宋体"/>
          <w:color w:val="auto"/>
          <w:sz w:val="24"/>
          <w:highlight w:val="none"/>
        </w:rPr>
        <w:t>7.不符合《政府采购质疑和投诉办法》（财政部令第94号）和《关于印发〈浙江省政府采购投标人质疑处理办法〉的通知》（浙财采监〔2012〕18号）等有关规定的质疑投诉。</w:t>
      </w:r>
    </w:p>
    <w:p w14:paraId="49F8F851">
      <w:pPr>
        <w:pStyle w:val="15"/>
        <w:shd w:val="clear"/>
        <w:tabs>
          <w:tab w:val="left" w:pos="900"/>
        </w:tabs>
        <w:spacing w:line="360" w:lineRule="auto"/>
        <w:ind w:firstLine="482" w:firstLineChars="200"/>
        <w:rPr>
          <w:rFonts w:hint="eastAsia" w:hAnsi="宋体" w:cs="宋体"/>
          <w:b/>
          <w:color w:val="auto"/>
          <w:sz w:val="24"/>
          <w:highlight w:val="none"/>
        </w:rPr>
      </w:pPr>
      <w:r>
        <w:rPr>
          <w:rFonts w:hint="eastAsia" w:hAnsi="宋体" w:cs="宋体"/>
          <w:b/>
          <w:color w:val="auto"/>
          <w:sz w:val="24"/>
          <w:highlight w:val="none"/>
        </w:rPr>
        <w:t>14.合同签订</w:t>
      </w:r>
    </w:p>
    <w:p w14:paraId="257E9FC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14.1中标人自接到《中标通知书》后应在三十天内与采购人签订合同。</w:t>
      </w:r>
    </w:p>
    <w:p w14:paraId="3CB0583A">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14.2招标文件、中标人的投标文件、评标过程中投标人在询标时作出的承诺及其澄清文件等，均为签订合同的依据和招标合同的有效组成部分。</w:t>
      </w:r>
    </w:p>
    <w:p w14:paraId="59F11EB9">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中标人不遵守招标文件和投标文件的要约及承诺而擅自修改报价，或在接到《中标通知书》后借故拖延、拒签合同而造成超过规定时间的，视为中标人不履行招标合同，构成严重违约。采购人和招标代理人将按失信行为上报义乌市信用管理部门，同时取消该投标人的中标资格（解除合同），并追究中标人的违约责任。在此情况下，采购人和招标代理机构重新招标，对受影响的投标人不承担任何责任。</w:t>
      </w:r>
    </w:p>
    <w:p w14:paraId="765B6CF2">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14.4采购人与中标人签订合同后招标代理机构将中标结果通知落选投标人，采购人和招标代理机构对评标结果不负责解释。</w:t>
      </w:r>
    </w:p>
    <w:p w14:paraId="18B3992B">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14.5采购人变更数量的权利</w:t>
      </w:r>
    </w:p>
    <w:p w14:paraId="45EED713">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采购人在授予合同时有权对“技术要求及招标范围”中规定的服务予以增加或减少，但必须符合《中华人民共和国政府采购法》及义乌市政府采购的相关规定。</w:t>
      </w:r>
    </w:p>
    <w:p w14:paraId="6AEA1873">
      <w:pPr>
        <w:shd w:val="clear"/>
        <w:spacing w:line="360" w:lineRule="auto"/>
        <w:jc w:val="center"/>
        <w:outlineLvl w:val="0"/>
        <w:rPr>
          <w:rFonts w:hint="eastAsia" w:ascii="宋体" w:hAnsi="宋体" w:cs="宋体"/>
          <w:b/>
          <w:color w:val="auto"/>
          <w:sz w:val="24"/>
          <w:highlight w:val="none"/>
        </w:rPr>
      </w:pPr>
      <w:r>
        <w:rPr>
          <w:rFonts w:hint="eastAsia" w:ascii="宋体" w:hAnsi="宋体" w:cs="宋体"/>
          <w:color w:val="auto"/>
          <w:highlight w:val="none"/>
        </w:rPr>
        <w:br w:type="page"/>
      </w:r>
      <w:r>
        <w:rPr>
          <w:rFonts w:hint="eastAsia" w:ascii="宋体" w:hAnsi="宋体" w:cs="宋体"/>
          <w:b/>
          <w:bCs/>
          <w:color w:val="auto"/>
          <w:kern w:val="36"/>
          <w:sz w:val="36"/>
          <w:szCs w:val="36"/>
          <w:highlight w:val="none"/>
        </w:rPr>
        <w:t xml:space="preserve">第五章  </w:t>
      </w:r>
      <w:r>
        <w:rPr>
          <w:rFonts w:hint="eastAsia" w:ascii="宋体" w:hAnsi="宋体" w:cs="宋体"/>
          <w:b/>
          <w:color w:val="auto"/>
          <w:sz w:val="36"/>
          <w:szCs w:val="36"/>
          <w:highlight w:val="none"/>
        </w:rPr>
        <w:t>投标文件的有效性</w:t>
      </w:r>
    </w:p>
    <w:p w14:paraId="607B0B8C">
      <w:pPr>
        <w:pStyle w:val="15"/>
        <w:shd w:val="clear"/>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1.有下列情形之一的，招标方将不予受理投标文件：</w:t>
      </w:r>
    </w:p>
    <w:p w14:paraId="02CC1E42">
      <w:pPr>
        <w:pStyle w:val="15"/>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1.1逾期上传电子档投标文件至“政采云”平台的。</w:t>
      </w:r>
    </w:p>
    <w:p w14:paraId="6D519EE2">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1.2电子投标文件在规定时间内解密未成功的，且未提供备份投标文件或提供的备份投标文件无法上传打开的。</w:t>
      </w:r>
    </w:p>
    <w:p w14:paraId="0437D058">
      <w:pPr>
        <w:shd w:val="clea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2.投标文件在资格或商务技术标评审出现下列情形之一的，由评标小组审核后按无效投标文件处理：</w:t>
      </w:r>
    </w:p>
    <w:p w14:paraId="30E8A86C">
      <w:pPr>
        <w:numPr>
          <w:ilvl w:val="0"/>
          <w:numId w:val="5"/>
        </w:numPr>
        <w:shd w:val="clear"/>
        <w:tabs>
          <w:tab w:val="left" w:pos="5325"/>
        </w:tabs>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资格响应文件或商务技术响应文件中包含投标报价的</w:t>
      </w:r>
    </w:p>
    <w:p w14:paraId="6E3CA5EF">
      <w:pPr>
        <w:numPr>
          <w:ilvl w:val="0"/>
          <w:numId w:val="5"/>
        </w:numPr>
        <w:shd w:val="clear"/>
        <w:tabs>
          <w:tab w:val="left" w:pos="5325"/>
        </w:tabs>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招标文件关于投标文件组成内容中商务技术响应文件要求的内容，投标方的投标文件内容未提供完整或关键字迹模糊、无法辨认的或未按其规定的格式及要求填写、签字、盖章或提供的投标文件内容不符合招标文件中有关打★号的条款的规定</w:t>
      </w:r>
    </w:p>
    <w:p w14:paraId="3C7E1EEF">
      <w:pPr>
        <w:numPr>
          <w:ilvl w:val="0"/>
          <w:numId w:val="5"/>
        </w:numPr>
        <w:shd w:val="clea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未按招标文件要求加盖单位公章或电子签章；或无法定代表人或法定代表人授权的全权代表签字或盖章的；或有授权的全权代表签字或盖章但未提交“授权委托书”原件的；或授权委托书无法定代表人签字或盖章的；或授权委托书未加盖单位公章或电子签章的；</w:t>
      </w:r>
    </w:p>
    <w:p w14:paraId="2C54A4D4">
      <w:pPr>
        <w:numPr>
          <w:ilvl w:val="0"/>
          <w:numId w:val="5"/>
        </w:numPr>
        <w:shd w:val="clea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投标方的投标资格未符合招标文件的资格要求规定</w:t>
      </w:r>
    </w:p>
    <w:p w14:paraId="33E9879F">
      <w:pPr>
        <w:numPr>
          <w:ilvl w:val="0"/>
          <w:numId w:val="5"/>
        </w:numPr>
        <w:shd w:val="clea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投标人递交两份或多份内容不同的投标文件，且未声明哪一个有效，但按招标文件规定提交备选投标方案的除外。</w:t>
      </w:r>
    </w:p>
    <w:p w14:paraId="1ED68BE6">
      <w:pPr>
        <w:numPr>
          <w:ilvl w:val="0"/>
          <w:numId w:val="5"/>
        </w:numPr>
        <w:shd w:val="clear"/>
        <w:tabs>
          <w:tab w:val="left" w:pos="5325"/>
        </w:tabs>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投标方所投产品的数量不符合招标文件规定的，</w:t>
      </w:r>
      <w:r>
        <w:rPr>
          <w:rFonts w:hint="eastAsia" w:ascii="宋体" w:hAnsi="宋体" w:cs="宋体"/>
          <w:i/>
          <w:color w:val="auto"/>
          <w:sz w:val="24"/>
          <w:highlight w:val="none"/>
        </w:rPr>
        <w:t>招标需求中要求提供的产品属于节能产品政府采购品目清单中政府强制采购的，投标人未提供该清单内产品的。</w:t>
      </w:r>
    </w:p>
    <w:p w14:paraId="68321CD3">
      <w:pPr>
        <w:numPr>
          <w:ilvl w:val="0"/>
          <w:numId w:val="5"/>
        </w:numPr>
        <w:shd w:val="clea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投标人借用或冒用他人名义或证件，或投标人涂改证件，或投标人伪造或编造投标资料的</w:t>
      </w:r>
    </w:p>
    <w:p w14:paraId="54B9F1B3">
      <w:pPr>
        <w:numPr>
          <w:ilvl w:val="0"/>
          <w:numId w:val="5"/>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投标中不同投标单位的投标文件出现雷同或相似（包括部分雷同或相似），对所有雷同或相似投标人按废标处理，投标方串标的，招标方将保留进一步追究责任的权利</w:t>
      </w:r>
    </w:p>
    <w:p w14:paraId="1F324A7F">
      <w:pPr>
        <w:numPr>
          <w:ilvl w:val="0"/>
          <w:numId w:val="5"/>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其他对本招标文件中打★号的条款未完全响应的</w:t>
      </w:r>
    </w:p>
    <w:p w14:paraId="329D89ED">
      <w:pPr>
        <w:numPr>
          <w:ilvl w:val="0"/>
          <w:numId w:val="5"/>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经评标小组认定，投标文件附有采购人不能接受的条件</w:t>
      </w:r>
    </w:p>
    <w:p w14:paraId="72DA7206">
      <w:pPr>
        <w:numPr>
          <w:ilvl w:val="0"/>
          <w:numId w:val="5"/>
        </w:numPr>
        <w:shd w:val="clear"/>
        <w:spacing w:line="360" w:lineRule="auto"/>
        <w:rPr>
          <w:rFonts w:hint="eastAsia" w:ascii="宋体" w:hAnsi="宋体" w:cs="宋体"/>
          <w:color w:val="auto"/>
          <w:highlight w:val="none"/>
        </w:rPr>
      </w:pPr>
      <w:r>
        <w:rPr>
          <w:rFonts w:hint="eastAsia" w:ascii="宋体" w:hAnsi="宋体" w:cs="宋体"/>
          <w:color w:val="auto"/>
          <w:sz w:val="24"/>
          <w:highlight w:val="none"/>
        </w:rPr>
        <w:t>对于评标小组提出的要求投标方澄清或说明的，如果投标方代表拒绝澄清或说明，或者拒绝签字的，评标小组可以对其作出无效标处理。</w:t>
      </w:r>
    </w:p>
    <w:p w14:paraId="3E3F1812">
      <w:pPr>
        <w:numPr>
          <w:ilvl w:val="0"/>
          <w:numId w:val="5"/>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单位负责人为同一人或者存在直接控股、管理关系的不同投标人。</w:t>
      </w:r>
    </w:p>
    <w:p w14:paraId="23119004">
      <w:pPr>
        <w:numPr>
          <w:ilvl w:val="0"/>
          <w:numId w:val="5"/>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中小企业声明函填写错误并属于招标文件明确无效情形的。</w:t>
      </w:r>
    </w:p>
    <w:p w14:paraId="14E8B38E">
      <w:pPr>
        <w:shd w:val="clea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3.投标文件在报价响应文件评审中出现下列情形之一的，由评标小组审核后按无效投标文件处理：</w:t>
      </w:r>
    </w:p>
    <w:p w14:paraId="0D5FCD43">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招标文件关于投标文件组成内容中报价响应文件要求的内容，投标方的投标文件内容未提供完整或关键字迹模糊、无法辨认的或未按其规定的格式及要求填写、签字、盖章或提供的投标文件内容不符合招标文件中有关打★号的条款的规定</w:t>
      </w:r>
    </w:p>
    <w:p w14:paraId="7DA912B9">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3.2投标报价高于预算价（或最高限价），或低于企业成本价者或未填报企业成本价者；</w:t>
      </w:r>
    </w:p>
    <w:p w14:paraId="78941F9C">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3.3投标方所投产品的数量不符合招标文件规定的</w:t>
      </w:r>
    </w:p>
    <w:p w14:paraId="6390518E">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3.4投标方对同一采购项目两个或两个以上（两种或两种以上方案）报价的或两个或两个以上（两种或两种以上方案）成本价的，且未声明哪一个有效</w:t>
      </w:r>
    </w:p>
    <w:p w14:paraId="3A7712BB">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3.5投标（响应）报价低于采购项目最高限价45%，且未在投标文件中提供项目具体成本测算等与报价合理性相关的书面说明及相关佐证材料的。</w:t>
      </w:r>
    </w:p>
    <w:p w14:paraId="0152E7F4">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3.6评标委员启动异常低价投标审查程序，投标供应商不能提供书面说明、佐证材料，或者提供的书面说明、佐证材料不能佐证其报价合理性的，评标委员会应当将其作为无效投标处理。</w:t>
      </w:r>
    </w:p>
    <w:p w14:paraId="2179337C">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3.7其他对本招标文件中打★号的条款未完全响应的</w:t>
      </w:r>
    </w:p>
    <w:p w14:paraId="33663A33">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3.8当投标人由于报价计算错误，投标人拒绝接受按招标文件的规定进行的修正处理（或拒绝签名确认）。</w:t>
      </w:r>
    </w:p>
    <w:p w14:paraId="0EBF6326">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632FCAA1">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（1）不同投标人的投标文件由同一单位或者个人编制；</w:t>
      </w:r>
    </w:p>
    <w:p w14:paraId="20D09797">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（2）不同投标人委托同一单位或者个人办理投标事宜；</w:t>
      </w:r>
    </w:p>
    <w:p w14:paraId="3E0F63D4">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（3）不同投标人的投标文件载明的项目管理成员或者联系人员为同一人；</w:t>
      </w:r>
    </w:p>
    <w:p w14:paraId="76532645">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（4）不同投标人的投标文件异常一致或者投标报价呈规律性差异；</w:t>
      </w:r>
    </w:p>
    <w:p w14:paraId="3629165A">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（5）不同投标人的投标文件相互混装；</w:t>
      </w:r>
    </w:p>
    <w:p w14:paraId="3F5E0C1A">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5.除政府采购法律法规规章规定的属于恶意串通、视为串通投标情形外，在不影响公平竞争的前提下，采购人在采购文件中明确规定参与同一个采购包（标段）的供应商存在下列情形之一且无法合理解释的，其投标文件无效：</w:t>
      </w:r>
    </w:p>
    <w:p w14:paraId="7E261032">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（1）不同供应商的电子投标文件上传计算机的网卡MAC地址或硬盘序列号等硬件信息相同的；</w:t>
      </w:r>
    </w:p>
    <w:p w14:paraId="4C321152">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（2）上传的电子投标文件若出现使用本项目其他投标供应商的数字证书加密的，或者加盖本项目其他投标供应商的电子印章的；</w:t>
      </w:r>
    </w:p>
    <w:p w14:paraId="04B18172">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（3）不同供应商的投标文件的内容存在3处（含）以上错误一致的；</w:t>
      </w:r>
    </w:p>
    <w:p w14:paraId="4DB5470A">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（4）不同供应商联系人为同一人或不同联系人的联系电话一致的。</w:t>
      </w:r>
    </w:p>
    <w:p w14:paraId="178CC8F5">
      <w:pPr>
        <w:pStyle w:val="15"/>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6.其他违反法律法规的情况。</w:t>
      </w:r>
    </w:p>
    <w:p w14:paraId="0B6A1E9F">
      <w:pPr>
        <w:shd w:val="clear"/>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7.评标过程中，非上述所罗列的情况，不得以无效标处理。</w:t>
      </w:r>
    </w:p>
    <w:p w14:paraId="46DD8CE3">
      <w:pPr>
        <w:pStyle w:val="2"/>
        <w:shd w:val="clear"/>
        <w:spacing w:before="0" w:after="0" w:line="360" w:lineRule="auto"/>
        <w:jc w:val="center"/>
        <w:rPr>
          <w:rFonts w:hint="eastAsia" w:ascii="宋体" w:hAnsi="宋体" w:cs="宋体"/>
          <w:color w:val="auto"/>
          <w:sz w:val="36"/>
          <w:highlight w:val="none"/>
        </w:rPr>
      </w:pPr>
      <w:bookmarkStart w:id="33" w:name="_Toc145992551"/>
      <w:bookmarkStart w:id="34" w:name="_Toc226973004"/>
      <w:bookmarkStart w:id="35" w:name="_Toc362250708"/>
      <w:bookmarkStart w:id="36" w:name="_Toc274303255"/>
      <w:r>
        <w:rPr>
          <w:rFonts w:hint="eastAsia" w:ascii="宋体" w:hAnsi="宋体" w:cs="宋体"/>
          <w:bCs w:val="0"/>
          <w:color w:val="auto"/>
          <w:kern w:val="2"/>
          <w:sz w:val="36"/>
          <w:szCs w:val="36"/>
          <w:highlight w:val="none"/>
        </w:rPr>
        <w:br w:type="page"/>
      </w:r>
      <w:r>
        <w:rPr>
          <w:rFonts w:hint="eastAsia" w:ascii="宋体" w:hAnsi="宋体" w:cs="宋体"/>
          <w:bCs w:val="0"/>
          <w:color w:val="auto"/>
          <w:kern w:val="2"/>
          <w:sz w:val="36"/>
          <w:szCs w:val="36"/>
          <w:highlight w:val="none"/>
        </w:rPr>
        <w:t>第六章</w:t>
      </w:r>
      <w:r>
        <w:rPr>
          <w:rFonts w:hint="eastAsia" w:ascii="宋体" w:hAnsi="宋体" w:cs="宋体"/>
          <w:color w:val="auto"/>
          <w:sz w:val="36"/>
          <w:highlight w:val="none"/>
        </w:rPr>
        <w:t xml:space="preserve">  评标办法</w:t>
      </w:r>
      <w:bookmarkEnd w:id="33"/>
      <w:bookmarkEnd w:id="34"/>
      <w:bookmarkEnd w:id="35"/>
      <w:bookmarkEnd w:id="36"/>
    </w:p>
    <w:p w14:paraId="39DBCBDB">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根据《中华人民共和国政府采购法》和有关规定，为更好地做到公开、公平、公正，结合本次招标的特点，特制定本评标办法。评标小组用</w:t>
      </w:r>
      <w:r>
        <w:rPr>
          <w:rFonts w:hint="eastAsia" w:hAnsi="宋体" w:cs="宋体"/>
          <w:color w:val="auto"/>
          <w:sz w:val="24"/>
          <w:highlight w:val="none"/>
          <w:u w:val="single"/>
        </w:rPr>
        <w:t>综合评分法</w:t>
      </w:r>
      <w:r>
        <w:rPr>
          <w:rFonts w:hint="eastAsia" w:hAnsi="宋体" w:cs="宋体"/>
          <w:color w:val="auto"/>
          <w:sz w:val="24"/>
          <w:highlight w:val="none"/>
        </w:rPr>
        <w:t>对招标项目作出评标结论。</w:t>
      </w:r>
    </w:p>
    <w:p w14:paraId="3A739F62">
      <w:pPr>
        <w:pStyle w:val="15"/>
        <w:shd w:val="clear"/>
        <w:spacing w:line="460" w:lineRule="exact"/>
        <w:rPr>
          <w:rFonts w:hint="eastAsia" w:hAnsi="宋体" w:cs="宋体"/>
          <w:b/>
          <w:bCs/>
          <w:color w:val="auto"/>
          <w:sz w:val="24"/>
          <w:szCs w:val="24"/>
          <w:highlight w:val="none"/>
        </w:rPr>
      </w:pPr>
      <w:r>
        <w:rPr>
          <w:rFonts w:hint="eastAsia" w:hAnsi="宋体" w:cs="宋体"/>
          <w:b/>
          <w:color w:val="auto"/>
          <w:spacing w:val="-4"/>
          <w:sz w:val="24"/>
          <w:szCs w:val="24"/>
          <w:highlight w:val="none"/>
        </w:rPr>
        <w:t>一、</w:t>
      </w:r>
      <w:r>
        <w:rPr>
          <w:rFonts w:hint="eastAsia" w:hAnsi="宋体" w:cs="宋体"/>
          <w:b/>
          <w:bCs/>
          <w:color w:val="auto"/>
          <w:sz w:val="24"/>
          <w:szCs w:val="24"/>
          <w:highlight w:val="none"/>
        </w:rPr>
        <w:t>评审程序</w:t>
      </w:r>
    </w:p>
    <w:p w14:paraId="30108966">
      <w:pPr>
        <w:pStyle w:val="15"/>
        <w:shd w:val="clear"/>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1.对投标人资格响应文件进行审查，确定资格审查通过单位；</w:t>
      </w:r>
    </w:p>
    <w:p w14:paraId="35C12BDE">
      <w:pPr>
        <w:pStyle w:val="15"/>
        <w:shd w:val="clear"/>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2.对资格审查通过的投标人的商务技术响应文件进行符合性审查，确定商务技术响应文件有效单位；</w:t>
      </w:r>
    </w:p>
    <w:p w14:paraId="1FFB7FAE">
      <w:pPr>
        <w:pStyle w:val="15"/>
        <w:shd w:val="clear"/>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3.对商务技术响应文件有效的投标人的商务技术响应文件进行评分，计算出各商务技术响应文件有效的投标方的商务技术得分；</w:t>
      </w:r>
    </w:p>
    <w:p w14:paraId="7F7776E9">
      <w:pPr>
        <w:pStyle w:val="15"/>
        <w:shd w:val="clear"/>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4.对报价响应文件进行符合性审查；</w:t>
      </w:r>
    </w:p>
    <w:p w14:paraId="49847CC7">
      <w:pPr>
        <w:pStyle w:val="15"/>
        <w:shd w:val="clear"/>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5.对报价响应文件符合性审查通过的报价响应文件进行详细评审，并由“政采云”平台计算出其报价分及总得分；</w:t>
      </w:r>
    </w:p>
    <w:p w14:paraId="783918CE">
      <w:pPr>
        <w:pStyle w:val="15"/>
        <w:shd w:val="clear"/>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6.推荐中标候选人、出具评标报告。</w:t>
      </w:r>
    </w:p>
    <w:p w14:paraId="0C776208">
      <w:pPr>
        <w:pStyle w:val="15"/>
        <w:shd w:val="clear"/>
        <w:spacing w:line="360" w:lineRule="auto"/>
        <w:ind w:firstLine="482"/>
        <w:rPr>
          <w:rFonts w:hint="eastAsia" w:hAnsi="宋体" w:cs="宋体"/>
          <w:b/>
          <w:color w:val="auto"/>
          <w:spacing w:val="-4"/>
          <w:sz w:val="24"/>
          <w:highlight w:val="none"/>
        </w:rPr>
      </w:pPr>
      <w:r>
        <w:rPr>
          <w:rFonts w:hint="eastAsia" w:hAnsi="宋体" w:cs="宋体"/>
          <w:color w:val="auto"/>
          <w:sz w:val="24"/>
          <w:szCs w:val="24"/>
          <w:highlight w:val="none"/>
        </w:rPr>
        <w:t>评标小组以开标、评标、询标情况为基本依据，</w:t>
      </w:r>
      <w:r>
        <w:rPr>
          <w:rFonts w:hint="eastAsia" w:hAnsi="宋体" w:cs="宋体"/>
          <w:color w:val="auto"/>
          <w:spacing w:val="-4"/>
          <w:sz w:val="24"/>
          <w:szCs w:val="24"/>
          <w:highlight w:val="none"/>
        </w:rPr>
        <w:t>对有效的投标文件分资格响应文件、商务技术响应文件和报价响应文件三个部分进行分析、评议，</w:t>
      </w:r>
      <w:r>
        <w:rPr>
          <w:rFonts w:hint="eastAsia" w:hAnsi="宋体" w:cs="宋体"/>
          <w:b/>
          <w:bCs/>
          <w:color w:val="auto"/>
          <w:spacing w:val="-4"/>
          <w:sz w:val="24"/>
          <w:szCs w:val="24"/>
          <w:highlight w:val="none"/>
        </w:rPr>
        <w:t>先评资格响应文件、商务技术响应文件，后评报价响应文件</w:t>
      </w:r>
      <w:r>
        <w:rPr>
          <w:rFonts w:hint="eastAsia" w:hAnsi="宋体" w:cs="宋体"/>
          <w:b/>
          <w:color w:val="auto"/>
          <w:spacing w:val="-4"/>
          <w:sz w:val="24"/>
          <w:szCs w:val="24"/>
          <w:highlight w:val="none"/>
        </w:rPr>
        <w:t>，报价响应文件在商务技术文件评审结束后开启；对商务技术响应无效的投标人不再进行报价响应的评审</w:t>
      </w:r>
      <w:r>
        <w:rPr>
          <w:rFonts w:hint="eastAsia" w:hAnsi="宋体" w:cs="宋体"/>
          <w:b/>
          <w:color w:val="auto"/>
          <w:spacing w:val="-4"/>
          <w:sz w:val="24"/>
          <w:highlight w:val="none"/>
        </w:rPr>
        <w:t>。</w:t>
      </w:r>
    </w:p>
    <w:p w14:paraId="27CFCE82">
      <w:pPr>
        <w:pStyle w:val="15"/>
        <w:shd w:val="clear"/>
        <w:spacing w:line="360"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二、评标办法</w:t>
      </w:r>
    </w:p>
    <w:p w14:paraId="416CC4B2">
      <w:pPr>
        <w:pStyle w:val="15"/>
        <w:shd w:val="clear"/>
        <w:spacing w:line="360"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1.商务技术响应文件评标</w:t>
      </w:r>
    </w:p>
    <w:p w14:paraId="65E709F2">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1.1</w:t>
      </w:r>
      <w:r>
        <w:rPr>
          <w:rFonts w:hint="eastAsia" w:hAnsi="宋体" w:cs="宋体"/>
          <w:bCs/>
          <w:color w:val="auto"/>
          <w:sz w:val="24"/>
          <w:highlight w:val="none"/>
        </w:rPr>
        <w:t>根据招标文件第五章投标文件的有效性的规定，是否属于无效标或废标；</w:t>
      </w:r>
    </w:p>
    <w:p w14:paraId="01C0D227">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1.2</w:t>
      </w:r>
      <w:r>
        <w:rPr>
          <w:rFonts w:hint="eastAsia" w:hAnsi="宋体" w:cs="宋体"/>
          <w:bCs/>
          <w:color w:val="auto"/>
          <w:sz w:val="24"/>
          <w:highlight w:val="none"/>
        </w:rPr>
        <w:t>检查投标文件中是否有法定代表人或授权代表签字及加盖单位公章；</w:t>
      </w:r>
    </w:p>
    <w:p w14:paraId="6DB10F0A">
      <w:pPr>
        <w:pStyle w:val="15"/>
        <w:shd w:val="clea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1.3检查标书的完整性，如营业执照、资质证书等招标文件要求提供的资料是否齐全；</w:t>
      </w:r>
    </w:p>
    <w:p w14:paraId="3857D671">
      <w:pPr>
        <w:pStyle w:val="15"/>
        <w:shd w:val="clear"/>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1.4检查拟供货物的规格参数、技术性能是否满足招标文件及本项目的要求；</w:t>
      </w:r>
    </w:p>
    <w:p w14:paraId="17D8BA0D">
      <w:pPr>
        <w:shd w:val="clear"/>
        <w:rPr>
          <w:rFonts w:hint="eastAsia" w:ascii="宋体" w:hAnsi="宋体" w:cs="宋体"/>
          <w:color w:val="auto"/>
          <w:highlight w:val="none"/>
        </w:rPr>
      </w:pPr>
    </w:p>
    <w:p w14:paraId="32F4A06F">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1.5检查拟供服务内容、质量是否满足招标文件及本项目的要求；</w:t>
      </w:r>
    </w:p>
    <w:p w14:paraId="3C914BB2">
      <w:pPr>
        <w:pStyle w:val="15"/>
        <w:shd w:val="clea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1.6检查服务计划是否提供；是否具体、完整、可行；</w:t>
      </w:r>
    </w:p>
    <w:p w14:paraId="4BC9BD84">
      <w:pPr>
        <w:pStyle w:val="15"/>
        <w:shd w:val="clear"/>
        <w:spacing w:line="360" w:lineRule="auto"/>
        <w:ind w:firstLine="480" w:firstLineChars="200"/>
        <w:rPr>
          <w:rFonts w:hint="eastAsia" w:hAnsi="宋体" w:cs="宋体"/>
          <w:color w:val="auto"/>
          <w:sz w:val="24"/>
          <w:highlight w:val="none"/>
        </w:rPr>
      </w:pPr>
      <w:r>
        <w:rPr>
          <w:rFonts w:hint="eastAsia" w:hAnsi="宋体" w:cs="宋体"/>
          <w:bCs/>
          <w:color w:val="auto"/>
          <w:sz w:val="24"/>
          <w:highlight w:val="none"/>
        </w:rPr>
        <w:t>1.7</w:t>
      </w:r>
      <w:r>
        <w:rPr>
          <w:rFonts w:hint="eastAsia" w:hAnsi="宋体" w:cs="宋体"/>
          <w:color w:val="auto"/>
          <w:sz w:val="24"/>
          <w:highlight w:val="none"/>
        </w:rPr>
        <w:t>检查质保期及售后服务承诺是否提供，是否符合招标文件的要求；</w:t>
      </w:r>
    </w:p>
    <w:p w14:paraId="0E061B22">
      <w:pPr>
        <w:pStyle w:val="15"/>
        <w:shd w:val="clear"/>
        <w:spacing w:line="360"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1.8、具体评审办法</w:t>
      </w:r>
    </w:p>
    <w:p w14:paraId="74F95751">
      <w:pPr>
        <w:shd w:val="clear"/>
        <w:tabs>
          <w:tab w:val="left" w:pos="54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商务技术分满分为70分，分值分配见表格。评标小组根据评分细则，对各投标人的商务技术响应部分进行书面审核和评论后，由各专家独立给分，打分时保留小数1位，每人一份评分表，并签名。在统计得分时，如果发现某一单项评分超过评分标准规定的分值范围，则该张评分表无效。投标人最终得分为评标小组所有成员的有效评分的算术平均值，计算时保留小数2位。</w:t>
      </w:r>
    </w:p>
    <w:tbl>
      <w:tblPr>
        <w:tblStyle w:val="30"/>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96"/>
        <w:gridCol w:w="7436"/>
      </w:tblGrid>
      <w:tr w14:paraId="10B5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noWrap w:val="0"/>
            <w:vAlign w:val="center"/>
          </w:tcPr>
          <w:p w14:paraId="66BC8397">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796" w:type="dxa"/>
            <w:noWrap w:val="0"/>
            <w:vAlign w:val="center"/>
          </w:tcPr>
          <w:p w14:paraId="40ED2332">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分值</w:t>
            </w:r>
          </w:p>
        </w:tc>
        <w:tc>
          <w:tcPr>
            <w:tcW w:w="7436" w:type="dxa"/>
            <w:noWrap w:val="0"/>
            <w:vAlign w:val="center"/>
          </w:tcPr>
          <w:p w14:paraId="5BF61BF2">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评分细则</w:t>
            </w:r>
          </w:p>
        </w:tc>
      </w:tr>
      <w:tr w14:paraId="62D2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45" w:type="dxa"/>
            <w:gridSpan w:val="3"/>
            <w:noWrap w:val="0"/>
            <w:vAlign w:val="center"/>
          </w:tcPr>
          <w:p w14:paraId="47871135">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商务分</w:t>
            </w:r>
          </w:p>
        </w:tc>
      </w:tr>
      <w:tr w14:paraId="2E9F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413" w:type="dxa"/>
            <w:noWrap w:val="0"/>
            <w:vAlign w:val="center"/>
          </w:tcPr>
          <w:p w14:paraId="22109CD0">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业绩</w:t>
            </w:r>
          </w:p>
        </w:tc>
        <w:tc>
          <w:tcPr>
            <w:tcW w:w="796" w:type="dxa"/>
            <w:noWrap w:val="0"/>
            <w:vAlign w:val="center"/>
          </w:tcPr>
          <w:p w14:paraId="40964A7A">
            <w:pPr>
              <w:shd w:val="clear"/>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3</w:t>
            </w:r>
          </w:p>
        </w:tc>
        <w:tc>
          <w:tcPr>
            <w:tcW w:w="7436" w:type="dxa"/>
            <w:noWrap w:val="0"/>
            <w:vAlign w:val="center"/>
          </w:tcPr>
          <w:p w14:paraId="0898A65C">
            <w:pPr>
              <w:shd w:val="clear"/>
              <w:rPr>
                <w:rFonts w:hint="eastAsia" w:ascii="Times New Roman" w:hAnsi="Times New Roman" w:cs="Times New Roman"/>
                <w:color w:val="auto"/>
                <w:szCs w:val="24"/>
                <w:highlight w:val="none"/>
              </w:rPr>
            </w:pPr>
            <w:r>
              <w:rPr>
                <w:rFonts w:hint="eastAsia" w:ascii="宋体" w:hAnsi="宋体" w:cs="宋体"/>
                <w:b/>
                <w:bCs/>
                <w:color w:val="auto"/>
                <w:szCs w:val="21"/>
                <w:highlight w:val="none"/>
              </w:rPr>
              <w:t>【客观分】</w:t>
            </w:r>
            <w:bookmarkStart w:id="37" w:name="OLE_LINK1"/>
            <w:r>
              <w:rPr>
                <w:rFonts w:hint="eastAsia" w:ascii="宋体" w:hAnsi="宋体" w:cs="宋体"/>
                <w:color w:val="auto"/>
                <w:szCs w:val="21"/>
                <w:highlight w:val="none"/>
              </w:rPr>
              <w:t>投标人自2023年1月1日（以合同签订时间为准）以来具有</w:t>
            </w:r>
            <w:bookmarkEnd w:id="37"/>
            <w:r>
              <w:rPr>
                <w:rFonts w:hint="eastAsia" w:ascii="宋体" w:hAnsi="宋体" w:cs="宋体"/>
                <w:color w:val="auto"/>
                <w:szCs w:val="21"/>
                <w:highlight w:val="none"/>
              </w:rPr>
              <w:t>同类项目业绩</w:t>
            </w:r>
            <w:r>
              <w:rPr>
                <w:rFonts w:hint="eastAsia" w:ascii="宋体" w:hAnsi="宋体" w:cs="宋体"/>
                <w:b/>
                <w:bCs/>
                <w:color w:val="auto"/>
                <w:szCs w:val="21"/>
                <w:highlight w:val="none"/>
              </w:rPr>
              <w:t>（业绩内容须同时包含核医学科及放疗科职业病危害放射防护评价及环境影响评价）</w:t>
            </w:r>
            <w:r>
              <w:rPr>
                <w:rFonts w:hint="eastAsia" w:ascii="宋体" w:hAnsi="宋体" w:cs="宋体"/>
                <w:color w:val="auto"/>
                <w:szCs w:val="21"/>
                <w:highlight w:val="none"/>
              </w:rPr>
              <w:t>，提供业绩合同复印件每个得1分，最高得3分。同一业主合同只算一个业绩。</w:t>
            </w:r>
          </w:p>
        </w:tc>
      </w:tr>
      <w:tr w14:paraId="61E2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45" w:type="dxa"/>
            <w:gridSpan w:val="3"/>
            <w:noWrap w:val="0"/>
            <w:vAlign w:val="center"/>
          </w:tcPr>
          <w:p w14:paraId="0D3638E8">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技术分</w:t>
            </w:r>
          </w:p>
        </w:tc>
      </w:tr>
      <w:tr w14:paraId="0074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noWrap w:val="0"/>
            <w:vAlign w:val="center"/>
          </w:tcPr>
          <w:p w14:paraId="5207C2BA">
            <w:pPr>
              <w:shd w:val="clear"/>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技术响应程度</w:t>
            </w:r>
          </w:p>
        </w:tc>
        <w:tc>
          <w:tcPr>
            <w:tcW w:w="796" w:type="dxa"/>
            <w:noWrap w:val="0"/>
            <w:vAlign w:val="center"/>
          </w:tcPr>
          <w:p w14:paraId="593CC22C">
            <w:pPr>
              <w:shd w:val="clear"/>
              <w:adjustRightInd w:val="0"/>
              <w:snapToGrid w:val="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val="en-US" w:eastAsia="zh-CN"/>
              </w:rPr>
              <w:t>4</w:t>
            </w:r>
          </w:p>
        </w:tc>
        <w:tc>
          <w:tcPr>
            <w:tcW w:w="7436" w:type="dxa"/>
            <w:noWrap w:val="0"/>
            <w:vAlign w:val="center"/>
          </w:tcPr>
          <w:p w14:paraId="10312CDA">
            <w:pPr>
              <w:shd w:val="clear"/>
              <w:adjustRightInd w:val="0"/>
              <w:snapToGrid w:val="0"/>
              <w:rPr>
                <w:rFonts w:hint="eastAsia" w:ascii="宋体" w:hAnsi="宋体" w:cs="宋体"/>
                <w:color w:val="auto"/>
                <w:szCs w:val="21"/>
                <w:highlight w:val="none"/>
              </w:rPr>
            </w:pPr>
            <w:r>
              <w:rPr>
                <w:rFonts w:hint="eastAsia" w:ascii="宋体" w:hAnsi="宋体" w:cs="宋体"/>
                <w:b/>
                <w:bCs/>
                <w:color w:val="auto"/>
                <w:szCs w:val="21"/>
                <w:highlight w:val="none"/>
              </w:rPr>
              <w:t>【客观分】</w:t>
            </w:r>
            <w:r>
              <w:rPr>
                <w:rFonts w:hint="eastAsia" w:ascii="宋体" w:hAnsi="宋体" w:cs="宋体"/>
                <w:color w:val="auto"/>
                <w:szCs w:val="21"/>
                <w:highlight w:val="none"/>
              </w:rPr>
              <w:t>完全满足项目“第三章 招标项目内容及技术要求 三、服务要求”中全部服务要求的，得满分；有负偏离的每项扣</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分，扣完为止。(是否属于偏离指标由评审小组根据投标人提供的相关文件的描述进行认定)。</w:t>
            </w:r>
          </w:p>
        </w:tc>
      </w:tr>
      <w:tr w14:paraId="6CAD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13" w:type="dxa"/>
            <w:vMerge w:val="restart"/>
            <w:noWrap w:val="0"/>
            <w:vAlign w:val="center"/>
          </w:tcPr>
          <w:p w14:paraId="59A7AC95">
            <w:pPr>
              <w:pStyle w:val="17"/>
              <w:shd w:val="clear"/>
              <w:spacing w:after="0" w:line="240" w:lineRule="auto"/>
              <w:ind w:left="0" w:leftChars="0"/>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项目整体实施方案</w:t>
            </w:r>
          </w:p>
        </w:tc>
        <w:tc>
          <w:tcPr>
            <w:tcW w:w="796" w:type="dxa"/>
            <w:noWrap w:val="0"/>
            <w:vAlign w:val="center"/>
          </w:tcPr>
          <w:p w14:paraId="6CF1FE4F">
            <w:pPr>
              <w:widowControl/>
              <w:shd w:val="clear"/>
              <w:jc w:val="center"/>
              <w:rPr>
                <w:rFonts w:hint="eastAsia" w:ascii="宋体" w:hAnsi="宋体" w:cs="宋体"/>
                <w:b/>
                <w:bCs/>
                <w:color w:val="auto"/>
                <w:szCs w:val="21"/>
                <w:highlight w:val="none"/>
              </w:rPr>
            </w:pPr>
            <w:r>
              <w:rPr>
                <w:rFonts w:hint="eastAsia" w:ascii="宋体" w:hAnsi="宋体" w:cs="宋体"/>
                <w:b/>
                <w:bCs/>
                <w:iCs/>
                <w:color w:val="auto"/>
                <w:szCs w:val="21"/>
                <w:highlight w:val="none"/>
              </w:rPr>
              <w:t>4</w:t>
            </w:r>
          </w:p>
        </w:tc>
        <w:tc>
          <w:tcPr>
            <w:tcW w:w="7436" w:type="dxa"/>
            <w:noWrap w:val="0"/>
            <w:vAlign w:val="center"/>
          </w:tcPr>
          <w:p w14:paraId="4E3EE588">
            <w:pPr>
              <w:widowControl/>
              <w:shd w:val="clear"/>
              <w:rPr>
                <w:rFonts w:hint="eastAsia" w:ascii="宋体" w:hAnsi="宋体" w:cs="宋体"/>
                <w:color w:val="auto"/>
                <w:kern w:val="0"/>
                <w:szCs w:val="21"/>
                <w:highlight w:val="none"/>
                <w:lang w:bidi="ar"/>
              </w:rPr>
            </w:pPr>
            <w:r>
              <w:rPr>
                <w:rFonts w:hint="eastAsia" w:ascii="宋体" w:hAnsi="宋体" w:cs="宋体"/>
                <w:b/>
                <w:bCs/>
                <w:color w:val="auto"/>
                <w:szCs w:val="21"/>
                <w:highlight w:val="none"/>
              </w:rPr>
              <w:t>【主观分】</w:t>
            </w:r>
            <w:r>
              <w:rPr>
                <w:rFonts w:hint="eastAsia" w:ascii="宋体" w:hAnsi="宋体" w:cs="宋体"/>
                <w:color w:val="auto"/>
                <w:kern w:val="0"/>
                <w:szCs w:val="21"/>
                <w:highlight w:val="none"/>
                <w:lang w:bidi="ar"/>
              </w:rPr>
              <w:t>根据投标人对项目需求的整体理解、分析的全面性、合理性综合打分。</w:t>
            </w:r>
            <w:r>
              <w:rPr>
                <w:rFonts w:hint="eastAsia" w:ascii="宋体" w:hAnsi="宋体" w:cs="宋体"/>
                <w:b/>
                <w:bCs/>
                <w:color w:val="auto"/>
                <w:szCs w:val="21"/>
                <w:highlight w:val="none"/>
              </w:rPr>
              <w:t>（评分范围：2分，1.8分，1.5分，1分，0.5分，0分）</w:t>
            </w:r>
          </w:p>
          <w:p w14:paraId="5003DDD5">
            <w:pPr>
              <w:widowControl/>
              <w:shd w:val="clear"/>
              <w:rPr>
                <w:rFonts w:hint="eastAsia" w:ascii="宋体" w:hAnsi="宋体" w:cs="宋体"/>
                <w:b/>
                <w:bCs/>
                <w:color w:val="auto"/>
                <w:szCs w:val="21"/>
                <w:highlight w:val="none"/>
              </w:rPr>
            </w:pPr>
            <w:r>
              <w:rPr>
                <w:rFonts w:hint="eastAsia" w:ascii="宋体" w:hAnsi="宋体" w:cs="宋体"/>
                <w:color w:val="auto"/>
                <w:kern w:val="0"/>
                <w:szCs w:val="21"/>
                <w:highlight w:val="none"/>
                <w:lang w:bidi="ar"/>
              </w:rPr>
              <w:t>2.根据投标人针对本项目重难点分析及相应的解决措施及方案针对性、合理性综合打分。</w:t>
            </w:r>
            <w:r>
              <w:rPr>
                <w:rFonts w:hint="eastAsia" w:ascii="宋体" w:hAnsi="宋体" w:cs="宋体"/>
                <w:b/>
                <w:bCs/>
                <w:color w:val="auto"/>
                <w:szCs w:val="21"/>
                <w:highlight w:val="none"/>
              </w:rPr>
              <w:t>（评分范围：2分，1.8分，1.5分，1分，0.5分，0分）</w:t>
            </w:r>
            <w:r>
              <w:rPr>
                <w:rFonts w:hint="eastAsia" w:ascii="宋体" w:hAnsi="宋体" w:cs="宋体"/>
                <w:color w:val="auto"/>
                <w:kern w:val="0"/>
                <w:szCs w:val="21"/>
                <w:highlight w:val="none"/>
              </w:rPr>
              <w:t>。</w:t>
            </w:r>
          </w:p>
        </w:tc>
      </w:tr>
      <w:tr w14:paraId="7565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13" w:type="dxa"/>
            <w:vMerge w:val="continue"/>
            <w:noWrap w:val="0"/>
            <w:vAlign w:val="center"/>
          </w:tcPr>
          <w:p w14:paraId="37673A44">
            <w:pPr>
              <w:pStyle w:val="17"/>
              <w:shd w:val="clear"/>
              <w:spacing w:line="240" w:lineRule="auto"/>
              <w:jc w:val="center"/>
              <w:rPr>
                <w:rFonts w:hint="eastAsia" w:ascii="宋体" w:hAnsi="宋体" w:cs="宋体"/>
                <w:b/>
                <w:bCs/>
                <w:color w:val="auto"/>
                <w:szCs w:val="21"/>
                <w:highlight w:val="none"/>
              </w:rPr>
            </w:pPr>
          </w:p>
        </w:tc>
        <w:tc>
          <w:tcPr>
            <w:tcW w:w="796" w:type="dxa"/>
            <w:noWrap w:val="0"/>
            <w:vAlign w:val="center"/>
          </w:tcPr>
          <w:p w14:paraId="4EA21C71">
            <w:pPr>
              <w:widowControl/>
              <w:shd w:val="clear"/>
              <w:jc w:val="center"/>
              <w:rPr>
                <w:rFonts w:ascii="宋体" w:hAnsi="宋体" w:cs="宋体"/>
                <w:b/>
                <w:bCs/>
                <w:color w:val="auto"/>
                <w:szCs w:val="21"/>
                <w:highlight w:val="none"/>
              </w:rPr>
            </w:pPr>
            <w:r>
              <w:rPr>
                <w:rFonts w:hint="eastAsia" w:ascii="宋体" w:hAnsi="宋体" w:cs="宋体"/>
                <w:b/>
                <w:bCs/>
                <w:color w:val="auto"/>
                <w:szCs w:val="21"/>
                <w:highlight w:val="none"/>
              </w:rPr>
              <w:t>12</w:t>
            </w:r>
          </w:p>
        </w:tc>
        <w:tc>
          <w:tcPr>
            <w:tcW w:w="7436" w:type="dxa"/>
            <w:noWrap w:val="0"/>
            <w:vAlign w:val="center"/>
          </w:tcPr>
          <w:p w14:paraId="75B8ADC8">
            <w:pPr>
              <w:widowControl/>
              <w:shd w:val="clear"/>
              <w:rPr>
                <w:rFonts w:hint="eastAsia"/>
                <w:color w:val="auto"/>
                <w:szCs w:val="21"/>
                <w:highlight w:val="none"/>
              </w:rPr>
            </w:pPr>
            <w:r>
              <w:rPr>
                <w:rFonts w:hint="eastAsia"/>
                <w:b/>
                <w:bCs/>
                <w:color w:val="auto"/>
                <w:szCs w:val="21"/>
                <w:highlight w:val="none"/>
              </w:rPr>
              <w:t>【主观分】</w:t>
            </w:r>
            <w:r>
              <w:rPr>
                <w:rFonts w:hint="eastAsia"/>
                <w:color w:val="auto"/>
                <w:szCs w:val="21"/>
                <w:highlight w:val="none"/>
              </w:rPr>
              <w:t>根据供应商提供的项目实施方案包括但不仅限于工作流程、时间节点、报告反馈、数据分析实施规划、工作程序和步骤、管理和协调方法、关键步骤的思路和要点等评分。</w:t>
            </w:r>
          </w:p>
          <w:p w14:paraId="3B1D5528">
            <w:pPr>
              <w:pStyle w:val="8"/>
              <w:shd w:val="clear"/>
              <w:spacing w:after="0"/>
              <w:ind w:left="0" w:leftChars="0"/>
              <w:rPr>
                <w:rFonts w:hint="eastAsia"/>
                <w:color w:val="auto"/>
                <w:szCs w:val="21"/>
                <w:highlight w:val="none"/>
              </w:rPr>
            </w:pPr>
            <w:r>
              <w:rPr>
                <w:rFonts w:hint="eastAsia"/>
                <w:color w:val="auto"/>
                <w:szCs w:val="21"/>
                <w:highlight w:val="none"/>
              </w:rPr>
              <w:t>（1）职业病危害放射防护预评价</w:t>
            </w:r>
            <w:r>
              <w:rPr>
                <w:rFonts w:hint="eastAsia" w:ascii="宋体" w:hAnsi="宋体" w:cs="宋体"/>
                <w:b/>
                <w:bCs/>
                <w:color w:val="auto"/>
                <w:szCs w:val="21"/>
                <w:highlight w:val="none"/>
              </w:rPr>
              <w:t>（评分范围：2分，1.8分，1.5分，1分，0.5分，0分）</w:t>
            </w:r>
          </w:p>
          <w:p w14:paraId="1B846FE8">
            <w:pPr>
              <w:pStyle w:val="8"/>
              <w:shd w:val="clear"/>
              <w:spacing w:after="0"/>
              <w:ind w:left="0" w:leftChars="0"/>
              <w:rPr>
                <w:rFonts w:hint="eastAsia"/>
                <w:color w:val="auto"/>
                <w:szCs w:val="21"/>
                <w:highlight w:val="none"/>
              </w:rPr>
            </w:pPr>
            <w:r>
              <w:rPr>
                <w:rFonts w:hint="eastAsia"/>
                <w:color w:val="auto"/>
                <w:szCs w:val="21"/>
                <w:highlight w:val="none"/>
              </w:rPr>
              <w:t>（2）职业病危害控制效果放射防护评价</w:t>
            </w:r>
            <w:r>
              <w:rPr>
                <w:rFonts w:hint="eastAsia" w:ascii="宋体" w:hAnsi="宋体" w:cs="宋体"/>
                <w:b/>
                <w:bCs/>
                <w:color w:val="auto"/>
                <w:szCs w:val="21"/>
                <w:highlight w:val="none"/>
              </w:rPr>
              <w:t>（评分范围：2分，1.8分，1.5分，1分，0.5分，0分）</w:t>
            </w:r>
          </w:p>
          <w:p w14:paraId="7B5E360B">
            <w:pPr>
              <w:pStyle w:val="8"/>
              <w:shd w:val="clear"/>
              <w:spacing w:after="0"/>
              <w:ind w:left="0" w:leftChars="0"/>
              <w:rPr>
                <w:rFonts w:hint="eastAsia"/>
                <w:color w:val="auto"/>
                <w:szCs w:val="21"/>
                <w:highlight w:val="none"/>
              </w:rPr>
            </w:pPr>
            <w:r>
              <w:rPr>
                <w:rFonts w:hint="eastAsia"/>
                <w:color w:val="auto"/>
                <w:szCs w:val="21"/>
                <w:highlight w:val="none"/>
              </w:rPr>
              <w:t>（3）射线装置及核技术应用环境影响评价</w:t>
            </w:r>
            <w:r>
              <w:rPr>
                <w:rFonts w:hint="eastAsia" w:ascii="宋体" w:hAnsi="宋体" w:cs="宋体"/>
                <w:b/>
                <w:bCs/>
                <w:color w:val="auto"/>
                <w:szCs w:val="21"/>
                <w:highlight w:val="none"/>
              </w:rPr>
              <w:t>（评分范围：2分，1.8分，1.5分，1分，0.5分，0分）</w:t>
            </w:r>
          </w:p>
          <w:p w14:paraId="4259BA4D">
            <w:pPr>
              <w:pStyle w:val="8"/>
              <w:shd w:val="clear"/>
              <w:spacing w:after="0"/>
              <w:ind w:left="0" w:leftChars="0"/>
              <w:rPr>
                <w:rFonts w:hint="eastAsia"/>
                <w:color w:val="auto"/>
                <w:szCs w:val="21"/>
                <w:highlight w:val="none"/>
              </w:rPr>
            </w:pPr>
            <w:r>
              <w:rPr>
                <w:rFonts w:hint="eastAsia"/>
                <w:color w:val="auto"/>
                <w:szCs w:val="21"/>
                <w:highlight w:val="none"/>
              </w:rPr>
              <w:t>（4）放射诊疗设备防护性能及工作场所防护检测</w:t>
            </w:r>
            <w:r>
              <w:rPr>
                <w:rFonts w:hint="eastAsia" w:ascii="宋体" w:hAnsi="宋体" w:cs="宋体"/>
                <w:b/>
                <w:bCs/>
                <w:color w:val="auto"/>
                <w:szCs w:val="21"/>
                <w:highlight w:val="none"/>
              </w:rPr>
              <w:t>（评分范围：2分，1.8分，1.5分，1分，0.5分，0分）</w:t>
            </w:r>
          </w:p>
          <w:p w14:paraId="1F7AD674">
            <w:pPr>
              <w:pStyle w:val="8"/>
              <w:shd w:val="clear"/>
              <w:spacing w:after="0"/>
              <w:ind w:left="0" w:leftChars="0"/>
              <w:rPr>
                <w:rFonts w:hint="eastAsia"/>
                <w:color w:val="auto"/>
                <w:szCs w:val="21"/>
                <w:highlight w:val="none"/>
              </w:rPr>
            </w:pPr>
            <w:r>
              <w:rPr>
                <w:rFonts w:hint="eastAsia"/>
                <w:color w:val="auto"/>
                <w:szCs w:val="21"/>
                <w:highlight w:val="none"/>
              </w:rPr>
              <w:t>（5）环保验收监测</w:t>
            </w:r>
            <w:r>
              <w:rPr>
                <w:rFonts w:hint="eastAsia" w:ascii="宋体" w:hAnsi="宋体" w:cs="宋体"/>
                <w:b/>
                <w:bCs/>
                <w:color w:val="auto"/>
                <w:szCs w:val="21"/>
                <w:highlight w:val="none"/>
              </w:rPr>
              <w:t>（评分范围：2分，1.8分，1.5分，1分，0.5分，0分）</w:t>
            </w:r>
          </w:p>
          <w:p w14:paraId="01E97448">
            <w:pPr>
              <w:pStyle w:val="9"/>
              <w:shd w:val="clear"/>
              <w:spacing w:after="0"/>
              <w:ind w:left="0" w:leftChars="0" w:firstLine="0"/>
              <w:rPr>
                <w:rFonts w:hint="eastAsia"/>
                <w:color w:val="auto"/>
                <w:szCs w:val="21"/>
                <w:highlight w:val="none"/>
              </w:rPr>
            </w:pPr>
            <w:r>
              <w:rPr>
                <w:rFonts w:hint="eastAsia"/>
                <w:color w:val="auto"/>
                <w:szCs w:val="21"/>
                <w:highlight w:val="none"/>
              </w:rPr>
              <w:t>（6）个人剂量服务</w:t>
            </w:r>
            <w:r>
              <w:rPr>
                <w:rFonts w:hint="eastAsia" w:ascii="宋体" w:hAnsi="宋体" w:cs="宋体"/>
                <w:b/>
                <w:bCs/>
                <w:color w:val="auto"/>
                <w:szCs w:val="21"/>
                <w:highlight w:val="none"/>
              </w:rPr>
              <w:t>（评分范围：2分，1.8分，1.5分，1分，0.5分，0分）</w:t>
            </w:r>
          </w:p>
        </w:tc>
      </w:tr>
      <w:tr w14:paraId="2B5A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13" w:type="dxa"/>
            <w:vMerge w:val="continue"/>
            <w:noWrap w:val="0"/>
            <w:vAlign w:val="center"/>
          </w:tcPr>
          <w:p w14:paraId="1076EB20">
            <w:pPr>
              <w:pStyle w:val="17"/>
              <w:shd w:val="clear"/>
              <w:spacing w:line="240" w:lineRule="auto"/>
              <w:jc w:val="center"/>
              <w:rPr>
                <w:rFonts w:hint="eastAsia" w:ascii="宋体" w:hAnsi="宋体" w:cs="宋体"/>
                <w:b/>
                <w:bCs/>
                <w:color w:val="auto"/>
                <w:szCs w:val="21"/>
                <w:highlight w:val="none"/>
              </w:rPr>
            </w:pPr>
          </w:p>
        </w:tc>
        <w:tc>
          <w:tcPr>
            <w:tcW w:w="796" w:type="dxa"/>
            <w:noWrap w:val="0"/>
            <w:vAlign w:val="center"/>
          </w:tcPr>
          <w:p w14:paraId="22816070">
            <w:pPr>
              <w:widowControl/>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7436" w:type="dxa"/>
            <w:noWrap w:val="0"/>
            <w:vAlign w:val="center"/>
          </w:tcPr>
          <w:p w14:paraId="1325DD27">
            <w:pPr>
              <w:widowControl/>
              <w:shd w:val="clear"/>
              <w:rPr>
                <w:rFonts w:hint="eastAsia" w:ascii="宋体" w:hAnsi="宋体" w:cs="宋体"/>
                <w:b/>
                <w:bCs/>
                <w:color w:val="auto"/>
                <w:szCs w:val="21"/>
                <w:highlight w:val="none"/>
              </w:rPr>
            </w:pPr>
            <w:r>
              <w:rPr>
                <w:rFonts w:hint="eastAsia" w:ascii="宋体" w:hAnsi="宋体" w:cs="宋体"/>
                <w:color w:val="auto"/>
                <w:szCs w:val="21"/>
                <w:highlight w:val="none"/>
              </w:rPr>
              <w:t>【主观分】</w:t>
            </w:r>
            <w:r>
              <w:rPr>
                <w:rFonts w:hint="eastAsia"/>
                <w:color w:val="auto"/>
                <w:szCs w:val="21"/>
                <w:highlight w:val="none"/>
              </w:rPr>
              <w:t>根据本项目的内容，配备相应的检测设备及</w:t>
            </w:r>
            <w:r>
              <w:rPr>
                <w:rFonts w:hint="eastAsia" w:ascii="宋体" w:hAnsi="宋体" w:cs="宋体"/>
                <w:color w:val="auto"/>
                <w:kern w:val="24"/>
                <w:szCs w:val="21"/>
                <w:highlight w:val="none"/>
              </w:rPr>
              <w:t>相应的实验室配置，</w:t>
            </w:r>
            <w:r>
              <w:rPr>
                <w:rFonts w:hint="eastAsia"/>
                <w:color w:val="auto"/>
                <w:szCs w:val="21"/>
                <w:highlight w:val="none"/>
              </w:rPr>
              <w:t>根据设备的品类数量</w:t>
            </w:r>
            <w:r>
              <w:rPr>
                <w:rFonts w:hint="eastAsia" w:ascii="宋体" w:hAnsi="宋体" w:cs="宋体"/>
                <w:b/>
                <w:bCs/>
                <w:color w:val="auto"/>
                <w:szCs w:val="21"/>
                <w:highlight w:val="none"/>
              </w:rPr>
              <w:t>（评分范围：2分，1.8分，1.5分，1分，0.5分，0分）</w:t>
            </w:r>
            <w:r>
              <w:rPr>
                <w:rFonts w:hint="eastAsia"/>
                <w:color w:val="auto"/>
                <w:szCs w:val="21"/>
                <w:highlight w:val="none"/>
              </w:rPr>
              <w:t>、性能质量及使用效果评分</w:t>
            </w:r>
            <w:r>
              <w:rPr>
                <w:rFonts w:hint="eastAsia" w:ascii="宋体" w:hAnsi="宋体" w:cs="宋体"/>
                <w:b/>
                <w:bCs/>
                <w:color w:val="auto"/>
                <w:szCs w:val="21"/>
                <w:highlight w:val="none"/>
              </w:rPr>
              <w:t>（评分范围：2分，1.8分，1.5分，1分，0.5分，0分）</w:t>
            </w:r>
            <w:r>
              <w:rPr>
                <w:rFonts w:hint="eastAsia"/>
                <w:color w:val="auto"/>
                <w:szCs w:val="21"/>
                <w:highlight w:val="none"/>
              </w:rPr>
              <w:t>。</w:t>
            </w:r>
          </w:p>
        </w:tc>
      </w:tr>
      <w:tr w14:paraId="4ADF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13" w:type="dxa"/>
            <w:vMerge w:val="continue"/>
            <w:noWrap w:val="0"/>
            <w:vAlign w:val="center"/>
          </w:tcPr>
          <w:p w14:paraId="257C2E6D">
            <w:pPr>
              <w:pStyle w:val="17"/>
              <w:shd w:val="clear"/>
              <w:spacing w:line="240" w:lineRule="auto"/>
              <w:jc w:val="center"/>
              <w:rPr>
                <w:rFonts w:hint="eastAsia" w:ascii="宋体" w:hAnsi="宋体" w:cs="宋体"/>
                <w:b/>
                <w:bCs/>
                <w:color w:val="auto"/>
                <w:szCs w:val="21"/>
                <w:highlight w:val="none"/>
              </w:rPr>
            </w:pPr>
          </w:p>
        </w:tc>
        <w:tc>
          <w:tcPr>
            <w:tcW w:w="796" w:type="dxa"/>
            <w:noWrap w:val="0"/>
            <w:vAlign w:val="center"/>
          </w:tcPr>
          <w:p w14:paraId="21AAFA4D">
            <w:pPr>
              <w:widowControl/>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2</w:t>
            </w:r>
          </w:p>
        </w:tc>
        <w:tc>
          <w:tcPr>
            <w:tcW w:w="7436" w:type="dxa"/>
            <w:noWrap w:val="0"/>
            <w:vAlign w:val="center"/>
          </w:tcPr>
          <w:p w14:paraId="460AB155">
            <w:pPr>
              <w:widowControl/>
              <w:shd w:val="clear"/>
              <w:rPr>
                <w:rFonts w:hint="eastAsia" w:ascii="宋体" w:hAnsi="宋体" w:cs="宋体"/>
                <w:b/>
                <w:bCs/>
                <w:color w:val="auto"/>
                <w:szCs w:val="21"/>
                <w:highlight w:val="none"/>
              </w:rPr>
            </w:pPr>
            <w:r>
              <w:rPr>
                <w:rFonts w:hint="eastAsia" w:ascii="宋体" w:hAnsi="宋体" w:cs="宋体"/>
                <w:color w:val="auto"/>
                <w:szCs w:val="21"/>
                <w:highlight w:val="none"/>
              </w:rPr>
              <w:t>【主观分】根据供应商对本项目实施工作的计划及进度安排的合理性、全面性、针对性评分。</w:t>
            </w:r>
            <w:r>
              <w:rPr>
                <w:rFonts w:hint="eastAsia" w:ascii="宋体" w:hAnsi="宋体" w:cs="宋体"/>
                <w:b/>
                <w:bCs/>
                <w:color w:val="auto"/>
                <w:szCs w:val="21"/>
                <w:highlight w:val="none"/>
              </w:rPr>
              <w:t>（评分范围：2分，1.8分，1.5分，1分，0.5分，0分）</w:t>
            </w:r>
          </w:p>
        </w:tc>
      </w:tr>
      <w:tr w14:paraId="3F3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13" w:type="dxa"/>
            <w:vMerge w:val="continue"/>
            <w:noWrap w:val="0"/>
            <w:vAlign w:val="center"/>
          </w:tcPr>
          <w:p w14:paraId="12C2322E">
            <w:pPr>
              <w:pStyle w:val="17"/>
              <w:shd w:val="clear"/>
              <w:spacing w:line="240" w:lineRule="auto"/>
              <w:jc w:val="center"/>
              <w:rPr>
                <w:rFonts w:hint="eastAsia" w:ascii="宋体" w:hAnsi="宋体" w:cs="宋体"/>
                <w:b/>
                <w:bCs/>
                <w:color w:val="auto"/>
                <w:szCs w:val="21"/>
                <w:highlight w:val="none"/>
              </w:rPr>
            </w:pPr>
          </w:p>
        </w:tc>
        <w:tc>
          <w:tcPr>
            <w:tcW w:w="796" w:type="dxa"/>
            <w:noWrap w:val="0"/>
            <w:vAlign w:val="center"/>
          </w:tcPr>
          <w:p w14:paraId="76B277B8">
            <w:pPr>
              <w:widowControl/>
              <w:shd w:val="clear"/>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7436" w:type="dxa"/>
            <w:noWrap w:val="0"/>
            <w:vAlign w:val="center"/>
          </w:tcPr>
          <w:p w14:paraId="3BCE7FE4">
            <w:pPr>
              <w:shd w:val="clear"/>
              <w:jc w:val="left"/>
              <w:rPr>
                <w:rFonts w:hint="eastAsia" w:ascii="宋体" w:hAnsi="宋体" w:cs="宋体"/>
                <w:b/>
                <w:bCs/>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根据供应商对本项目服务工作质量保证措施的全面性</w:t>
            </w:r>
            <w:r>
              <w:rPr>
                <w:rFonts w:hint="eastAsia" w:ascii="宋体" w:hAnsi="宋体" w:cs="宋体"/>
                <w:b/>
                <w:bCs/>
                <w:color w:val="auto"/>
                <w:szCs w:val="21"/>
                <w:highlight w:val="none"/>
              </w:rPr>
              <w:t>（评分范围：2分，1.8分，1.5分，1分，0.5分，0分）</w:t>
            </w:r>
            <w:r>
              <w:rPr>
                <w:rFonts w:hint="eastAsia" w:ascii="宋体" w:hAnsi="宋体" w:cs="宋体"/>
                <w:color w:val="auto"/>
                <w:szCs w:val="21"/>
                <w:highlight w:val="none"/>
              </w:rPr>
              <w:t>、针对性</w:t>
            </w:r>
            <w:r>
              <w:rPr>
                <w:rFonts w:hint="eastAsia" w:ascii="宋体" w:hAnsi="宋体" w:cs="宋体"/>
                <w:b/>
                <w:bCs/>
                <w:color w:val="auto"/>
                <w:szCs w:val="21"/>
                <w:highlight w:val="none"/>
              </w:rPr>
              <w:t>（评分范围：2分，1.8分，1.5分，1分，0.5分，0分）</w:t>
            </w:r>
            <w:r>
              <w:rPr>
                <w:rFonts w:hint="eastAsia" w:ascii="宋体" w:hAnsi="宋体" w:cs="宋体"/>
                <w:b/>
                <w:bCs/>
                <w:color w:val="auto"/>
                <w:szCs w:val="21"/>
                <w:highlight w:val="none"/>
                <w:lang w:val="en-US" w:eastAsia="zh-CN"/>
              </w:rPr>
              <w:t>综合</w:t>
            </w:r>
            <w:r>
              <w:rPr>
                <w:rFonts w:hint="eastAsia" w:ascii="宋体" w:hAnsi="宋体" w:cs="宋体"/>
                <w:color w:val="auto"/>
                <w:szCs w:val="21"/>
                <w:highlight w:val="none"/>
              </w:rPr>
              <w:t>评分。</w:t>
            </w:r>
          </w:p>
        </w:tc>
      </w:tr>
      <w:tr w14:paraId="7EC2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13" w:type="dxa"/>
            <w:vMerge w:val="continue"/>
            <w:noWrap w:val="0"/>
            <w:vAlign w:val="center"/>
          </w:tcPr>
          <w:p w14:paraId="78493808">
            <w:pPr>
              <w:pStyle w:val="17"/>
              <w:shd w:val="clear"/>
              <w:spacing w:line="240" w:lineRule="auto"/>
              <w:jc w:val="center"/>
              <w:rPr>
                <w:rFonts w:hint="eastAsia" w:ascii="宋体" w:hAnsi="宋体" w:cs="宋体"/>
                <w:b/>
                <w:bCs/>
                <w:color w:val="auto"/>
                <w:szCs w:val="21"/>
                <w:highlight w:val="none"/>
              </w:rPr>
            </w:pPr>
          </w:p>
        </w:tc>
        <w:tc>
          <w:tcPr>
            <w:tcW w:w="796" w:type="dxa"/>
            <w:noWrap w:val="0"/>
            <w:vAlign w:val="center"/>
          </w:tcPr>
          <w:p w14:paraId="1C423673">
            <w:pPr>
              <w:widowControl/>
              <w:shd w:val="clear"/>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2</w:t>
            </w:r>
          </w:p>
        </w:tc>
        <w:tc>
          <w:tcPr>
            <w:tcW w:w="7436" w:type="dxa"/>
            <w:noWrap w:val="0"/>
            <w:vAlign w:val="center"/>
          </w:tcPr>
          <w:p w14:paraId="299304FB">
            <w:pPr>
              <w:shd w:val="clear"/>
              <w:jc w:val="left"/>
              <w:rPr>
                <w:rFonts w:hint="eastAsia" w:ascii="宋体" w:hAnsi="宋体" w:cs="宋体"/>
                <w:b/>
                <w:bCs/>
                <w:color w:val="auto"/>
                <w:szCs w:val="21"/>
                <w:highlight w:val="none"/>
              </w:rPr>
            </w:pPr>
            <w:r>
              <w:rPr>
                <w:rFonts w:hint="eastAsia" w:ascii="宋体" w:hAnsi="宋体" w:cs="宋体"/>
                <w:b/>
                <w:bCs/>
                <w:color w:val="auto"/>
                <w:szCs w:val="21"/>
                <w:highlight w:val="none"/>
              </w:rPr>
              <w:t>【主观分】</w:t>
            </w:r>
            <w:r>
              <w:rPr>
                <w:rFonts w:hint="eastAsia" w:ascii="宋体" w:hAnsi="宋体" w:cs="宋体"/>
                <w:b w:val="0"/>
                <w:bCs w:val="0"/>
                <w:color w:val="auto"/>
                <w:szCs w:val="21"/>
                <w:highlight w:val="none"/>
                <w:lang w:val="en-US" w:eastAsia="zh-CN"/>
              </w:rPr>
              <w:t>根据</w:t>
            </w:r>
            <w:r>
              <w:rPr>
                <w:rFonts w:hint="eastAsia" w:ascii="宋体" w:hAnsi="宋体" w:cs="宋体"/>
                <w:color w:val="auto"/>
                <w:kern w:val="24"/>
                <w:szCs w:val="21"/>
                <w:highlight w:val="none"/>
              </w:rPr>
              <w:t>实施过程中紧急或特殊情况的应急响应方案的合理</w:t>
            </w:r>
            <w:r>
              <w:rPr>
                <w:rFonts w:hint="eastAsia" w:ascii="宋体" w:hAnsi="宋体" w:cs="宋体"/>
                <w:color w:val="auto"/>
                <w:kern w:val="24"/>
                <w:szCs w:val="21"/>
                <w:highlight w:val="none"/>
                <w:lang w:val="en-US" w:eastAsia="zh-CN"/>
              </w:rPr>
              <w:t>性、针对性综合评分</w:t>
            </w:r>
            <w:r>
              <w:rPr>
                <w:rFonts w:hint="eastAsia" w:ascii="宋体" w:hAnsi="宋体" w:cs="宋体"/>
                <w:color w:val="auto"/>
                <w:szCs w:val="21"/>
                <w:highlight w:val="none"/>
              </w:rPr>
              <w:t>。</w:t>
            </w:r>
            <w:r>
              <w:rPr>
                <w:rFonts w:hint="eastAsia" w:ascii="宋体" w:hAnsi="宋体" w:cs="宋体"/>
                <w:b/>
                <w:bCs/>
                <w:color w:val="auto"/>
                <w:szCs w:val="21"/>
                <w:highlight w:val="none"/>
              </w:rPr>
              <w:t>（评分范围：2分，1.8分，1.5分，1分，0.5分，0分）</w:t>
            </w:r>
          </w:p>
        </w:tc>
      </w:tr>
      <w:tr w14:paraId="0EA1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13" w:type="dxa"/>
            <w:vMerge w:val="continue"/>
            <w:noWrap w:val="0"/>
            <w:vAlign w:val="center"/>
          </w:tcPr>
          <w:p w14:paraId="465F5C58">
            <w:pPr>
              <w:pStyle w:val="17"/>
              <w:shd w:val="clear"/>
              <w:spacing w:line="240" w:lineRule="auto"/>
              <w:jc w:val="center"/>
              <w:rPr>
                <w:rFonts w:hint="eastAsia" w:ascii="宋体" w:hAnsi="宋体" w:cs="宋体"/>
                <w:b/>
                <w:bCs/>
                <w:color w:val="auto"/>
                <w:szCs w:val="21"/>
                <w:highlight w:val="none"/>
              </w:rPr>
            </w:pPr>
          </w:p>
        </w:tc>
        <w:tc>
          <w:tcPr>
            <w:tcW w:w="796" w:type="dxa"/>
            <w:noWrap w:val="0"/>
            <w:vAlign w:val="center"/>
          </w:tcPr>
          <w:p w14:paraId="4C28F5D5">
            <w:pPr>
              <w:widowControl/>
              <w:shd w:val="clear"/>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3</w:t>
            </w:r>
          </w:p>
        </w:tc>
        <w:tc>
          <w:tcPr>
            <w:tcW w:w="7436" w:type="dxa"/>
            <w:noWrap w:val="0"/>
            <w:vAlign w:val="center"/>
          </w:tcPr>
          <w:p w14:paraId="60A5CB18">
            <w:pPr>
              <w:shd w:val="clear"/>
              <w:jc w:val="left"/>
              <w:rPr>
                <w:rFonts w:hint="eastAsia" w:ascii="宋体" w:hAnsi="宋体" w:cs="宋体"/>
                <w:b/>
                <w:bCs/>
                <w:color w:val="auto"/>
                <w:szCs w:val="21"/>
                <w:highlight w:val="none"/>
              </w:rPr>
            </w:pPr>
            <w:r>
              <w:rPr>
                <w:rFonts w:hint="eastAsia" w:ascii="宋体" w:hAnsi="宋体" w:cs="宋体"/>
                <w:b/>
                <w:bCs/>
                <w:color w:val="auto"/>
                <w:szCs w:val="21"/>
                <w:highlight w:val="none"/>
              </w:rPr>
              <w:t>【客观分】</w:t>
            </w:r>
            <w:r>
              <w:rPr>
                <w:rFonts w:hint="eastAsia" w:ascii="宋体" w:hAnsi="宋体" w:cs="宋体"/>
                <w:color w:val="auto"/>
                <w:szCs w:val="21"/>
                <w:highlight w:val="none"/>
              </w:rPr>
              <w:t>成果承诺：供应商对提交检测成果资料的形式和方案、报批报审等咨询工作方案的完善和通过性做出承诺的得3分，未提供不得分。</w:t>
            </w:r>
          </w:p>
        </w:tc>
      </w:tr>
      <w:tr w14:paraId="6980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3" w:type="dxa"/>
            <w:vMerge w:val="restart"/>
            <w:noWrap w:val="0"/>
            <w:vAlign w:val="center"/>
          </w:tcPr>
          <w:p w14:paraId="5E7EB0B5">
            <w:pPr>
              <w:pStyle w:val="17"/>
              <w:shd w:val="clear"/>
              <w:spacing w:after="0" w:line="240" w:lineRule="auto"/>
              <w:ind w:left="0" w:leftChars="0"/>
              <w:jc w:val="center"/>
              <w:rPr>
                <w:rFonts w:hint="eastAsia" w:ascii="宋体" w:hAnsi="宋体" w:cs="宋体"/>
                <w:b/>
                <w:bCs/>
                <w:color w:val="auto"/>
                <w:szCs w:val="21"/>
                <w:highlight w:val="none"/>
              </w:rPr>
            </w:pPr>
            <w:r>
              <w:rPr>
                <w:rFonts w:hint="eastAsia" w:ascii="宋体" w:hAnsi="宋体" w:cs="宋体"/>
                <w:b/>
                <w:bCs/>
                <w:color w:val="auto"/>
                <w:szCs w:val="21"/>
                <w:highlight w:val="none"/>
              </w:rPr>
              <w:t>人员技术力量投入情况</w:t>
            </w:r>
          </w:p>
        </w:tc>
        <w:tc>
          <w:tcPr>
            <w:tcW w:w="796" w:type="dxa"/>
            <w:noWrap w:val="0"/>
            <w:vAlign w:val="center"/>
          </w:tcPr>
          <w:p w14:paraId="5AFB4138">
            <w:pPr>
              <w:widowControl/>
              <w:shd w:val="clear"/>
              <w:jc w:val="center"/>
              <w:textAlignment w:val="center"/>
              <w:rPr>
                <w:rFonts w:hint="eastAsia" w:ascii="宋体" w:hAnsi="宋体" w:cs="宋体"/>
                <w:b/>
                <w:bCs/>
                <w:color w:val="auto"/>
                <w:kern w:val="0"/>
                <w:szCs w:val="21"/>
                <w:highlight w:val="none"/>
                <w:lang w:bidi="ar"/>
              </w:rPr>
            </w:pPr>
            <w:r>
              <w:rPr>
                <w:rFonts w:ascii="宋体" w:hAnsi="宋体" w:cs="宋体"/>
                <w:b/>
                <w:bCs/>
                <w:color w:val="auto"/>
                <w:kern w:val="0"/>
                <w:szCs w:val="21"/>
                <w:highlight w:val="none"/>
              </w:rPr>
              <w:t>4</w:t>
            </w:r>
          </w:p>
        </w:tc>
        <w:tc>
          <w:tcPr>
            <w:tcW w:w="7436" w:type="dxa"/>
            <w:noWrap w:val="0"/>
            <w:vAlign w:val="center"/>
          </w:tcPr>
          <w:p w14:paraId="7D324A25">
            <w:pPr>
              <w:widowControl/>
              <w:shd w:val="clea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【客观分】</w:t>
            </w:r>
            <w:r>
              <w:rPr>
                <w:rFonts w:hint="eastAsia" w:ascii="宋体" w:hAnsi="宋体" w:cs="宋体"/>
                <w:color w:val="auto"/>
                <w:kern w:val="0"/>
                <w:szCs w:val="21"/>
                <w:highlight w:val="none"/>
              </w:rPr>
              <w:t>投标人拟参与本项目的项目负责人：项目负责人</w:t>
            </w:r>
            <w:bookmarkStart w:id="38" w:name="OLE_LINK2"/>
            <w:r>
              <w:rPr>
                <w:rFonts w:hint="eastAsia" w:ascii="宋体" w:hAnsi="宋体" w:cs="宋体"/>
                <w:color w:val="auto"/>
                <w:kern w:val="0"/>
                <w:szCs w:val="21"/>
                <w:highlight w:val="none"/>
              </w:rPr>
              <w:t>为核技术或环境相关专业</w:t>
            </w:r>
            <w:bookmarkEnd w:id="38"/>
            <w:r>
              <w:rPr>
                <w:rFonts w:hint="eastAsia" w:ascii="宋体" w:hAnsi="宋体" w:cs="宋体"/>
                <w:color w:val="auto"/>
                <w:kern w:val="0"/>
                <w:szCs w:val="21"/>
                <w:highlight w:val="none"/>
              </w:rPr>
              <w:t>的，得2分；具备高级工程师</w:t>
            </w:r>
            <w:r>
              <w:rPr>
                <w:rFonts w:hint="eastAsia" w:ascii="宋体" w:hAnsi="宋体" w:cs="宋体"/>
                <w:color w:val="auto"/>
                <w:kern w:val="0"/>
                <w:szCs w:val="21"/>
                <w:highlight w:val="none"/>
                <w:lang w:val="en-US" w:eastAsia="zh-CN"/>
              </w:rPr>
              <w:t>及以上职称</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得2分。</w:t>
            </w:r>
            <w:r>
              <w:rPr>
                <w:rFonts w:hint="eastAsia" w:ascii="宋体" w:hAnsi="宋体" w:cs="宋体"/>
                <w:b/>
                <w:bCs/>
                <w:color w:val="auto"/>
                <w:kern w:val="0"/>
                <w:szCs w:val="21"/>
                <w:highlight w:val="none"/>
              </w:rPr>
              <w:t>（须提供人员证书及在本单位缴纳的自2025年1月以来任意一个月社保清单等材料，如投标人</w:t>
            </w:r>
            <w:r>
              <w:rPr>
                <w:rFonts w:hint="eastAsia" w:ascii="宋体" w:hAnsi="宋体" w:cs="宋体"/>
                <w:b/>
                <w:bCs/>
                <w:color w:val="auto"/>
                <w:kern w:val="0"/>
                <w:szCs w:val="21"/>
                <w:highlight w:val="none"/>
                <w:lang w:val="en-US" w:eastAsia="zh-CN"/>
              </w:rPr>
              <w:t>为新成立</w:t>
            </w:r>
            <w:r>
              <w:rPr>
                <w:rFonts w:hint="eastAsia" w:ascii="宋体" w:hAnsi="宋体" w:cs="宋体"/>
                <w:b/>
                <w:bCs/>
                <w:color w:val="auto"/>
                <w:kern w:val="0"/>
                <w:szCs w:val="21"/>
                <w:highlight w:val="none"/>
                <w:lang w:val="en-US" w:eastAsia="zh-CN"/>
              </w:rPr>
              <w:t>企业</w:t>
            </w:r>
            <w:r>
              <w:rPr>
                <w:rFonts w:hint="eastAsia" w:ascii="宋体" w:hAnsi="宋体" w:cs="宋体"/>
                <w:b/>
                <w:bCs/>
                <w:color w:val="auto"/>
                <w:kern w:val="0"/>
                <w:szCs w:val="21"/>
                <w:highlight w:val="none"/>
              </w:rPr>
              <w:t>，按实际</w:t>
            </w:r>
            <w:r>
              <w:rPr>
                <w:rFonts w:hint="eastAsia" w:ascii="宋体" w:hAnsi="宋体" w:cs="宋体"/>
                <w:b/>
                <w:bCs/>
                <w:color w:val="auto"/>
                <w:kern w:val="0"/>
                <w:szCs w:val="21"/>
                <w:highlight w:val="none"/>
                <w:lang w:val="en-US" w:eastAsia="zh-CN"/>
              </w:rPr>
              <w:t>情况提供说明</w:t>
            </w:r>
            <w:r>
              <w:rPr>
                <w:rFonts w:hint="eastAsia" w:ascii="宋体" w:hAnsi="宋体" w:cs="宋体"/>
                <w:b/>
                <w:bCs/>
                <w:color w:val="auto"/>
                <w:kern w:val="0"/>
                <w:szCs w:val="21"/>
                <w:highlight w:val="none"/>
              </w:rPr>
              <w:t>，社保清单未提供</w:t>
            </w:r>
            <w:r>
              <w:rPr>
                <w:rFonts w:hint="eastAsia" w:ascii="宋体" w:hAnsi="宋体" w:cs="宋体"/>
                <w:b/>
                <w:bCs/>
                <w:color w:val="auto"/>
                <w:kern w:val="0"/>
                <w:szCs w:val="21"/>
                <w:highlight w:val="none"/>
                <w:lang w:val="en-US" w:eastAsia="zh-CN"/>
              </w:rPr>
              <w:t>或未提供说明</w:t>
            </w:r>
            <w:r>
              <w:rPr>
                <w:rFonts w:hint="eastAsia" w:ascii="宋体" w:hAnsi="宋体" w:cs="宋体"/>
                <w:b/>
                <w:bCs/>
                <w:color w:val="auto"/>
                <w:kern w:val="0"/>
                <w:szCs w:val="21"/>
                <w:highlight w:val="none"/>
              </w:rPr>
              <w:t>不得分。）</w:t>
            </w:r>
          </w:p>
        </w:tc>
      </w:tr>
      <w:tr w14:paraId="6B32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3" w:type="dxa"/>
            <w:vMerge w:val="continue"/>
            <w:noWrap w:val="0"/>
            <w:vAlign w:val="center"/>
          </w:tcPr>
          <w:p w14:paraId="0B5D2F32">
            <w:pPr>
              <w:widowControl/>
              <w:shd w:val="clear"/>
              <w:jc w:val="center"/>
              <w:textAlignment w:val="center"/>
              <w:rPr>
                <w:rFonts w:hint="eastAsia" w:ascii="宋体" w:hAnsi="宋体" w:cs="宋体"/>
                <w:b/>
                <w:bCs/>
                <w:color w:val="auto"/>
                <w:szCs w:val="21"/>
                <w:highlight w:val="none"/>
              </w:rPr>
            </w:pPr>
          </w:p>
        </w:tc>
        <w:tc>
          <w:tcPr>
            <w:tcW w:w="796" w:type="dxa"/>
            <w:noWrap w:val="0"/>
            <w:vAlign w:val="center"/>
          </w:tcPr>
          <w:p w14:paraId="28546BAE">
            <w:pPr>
              <w:widowControl/>
              <w:shd w:val="clear"/>
              <w:jc w:val="center"/>
              <w:textAlignment w:val="center"/>
              <w:rPr>
                <w:rFonts w:hint="default" w:ascii="宋体" w:hAnsi="宋体" w:eastAsia="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lang w:val="en-US" w:eastAsia="zh-CN"/>
              </w:rPr>
              <w:t>6</w:t>
            </w:r>
          </w:p>
        </w:tc>
        <w:tc>
          <w:tcPr>
            <w:tcW w:w="7436" w:type="dxa"/>
            <w:noWrap w:val="0"/>
            <w:vAlign w:val="center"/>
          </w:tcPr>
          <w:p w14:paraId="1527C43C">
            <w:pPr>
              <w:widowControl/>
              <w:shd w:val="clear"/>
              <w:textAlignment w:val="center"/>
              <w:rPr>
                <w:rFonts w:hint="eastAsia" w:ascii="宋体" w:hAnsi="宋体" w:cs="宋体"/>
                <w:color w:val="auto"/>
                <w:kern w:val="0"/>
                <w:szCs w:val="21"/>
                <w:highlight w:val="none"/>
              </w:rPr>
            </w:pPr>
            <w:r>
              <w:rPr>
                <w:rFonts w:hint="eastAsia" w:ascii="宋体" w:hAnsi="宋体" w:cs="宋体"/>
                <w:b/>
                <w:bCs/>
                <w:color w:val="auto"/>
                <w:szCs w:val="21"/>
                <w:highlight w:val="none"/>
              </w:rPr>
              <w:t>【客观分】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w:t>
            </w:r>
            <w:r>
              <w:rPr>
                <w:rFonts w:hint="eastAsia" w:ascii="宋体" w:hAnsi="宋体" w:cs="宋体"/>
                <w:color w:val="auto"/>
                <w:kern w:val="0"/>
                <w:szCs w:val="21"/>
                <w:highlight w:val="none"/>
              </w:rPr>
              <w:t>拟投入本项目人员（项目负责人除外）具有环保相关专业高级及以上技术职称：具有6（含）人及以上人员的，得5分；具有4-5人的，得3分；具有1-3人的得1分，未提供不得分。</w:t>
            </w:r>
          </w:p>
          <w:p w14:paraId="45F1C794">
            <w:pPr>
              <w:widowControl/>
              <w:shd w:val="clea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拟派项目团队人员（项目负责人除外）每具有1名</w:t>
            </w:r>
            <w:r>
              <w:rPr>
                <w:rFonts w:hint="eastAsia" w:ascii="宋体" w:hAnsi="宋体" w:cs="宋体"/>
                <w:color w:val="auto"/>
                <w:kern w:val="0"/>
                <w:szCs w:val="21"/>
                <w:highlight w:val="none"/>
              </w:rPr>
              <w:t>注册核安全工程师执业资格证书</w:t>
            </w:r>
            <w:r>
              <w:rPr>
                <w:rFonts w:hint="eastAsia" w:ascii="宋体" w:hAnsi="宋体" w:cs="宋体"/>
                <w:color w:val="auto"/>
                <w:kern w:val="0"/>
                <w:szCs w:val="21"/>
                <w:highlight w:val="none"/>
              </w:rPr>
              <w:t>的人员的得1分，最多得4分。</w:t>
            </w:r>
          </w:p>
          <w:p w14:paraId="26B15638">
            <w:pPr>
              <w:widowControl/>
              <w:shd w:val="clea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拟派项目团队人员（项目负责人除外）在具备提供的1名注册环评工程师外基础上，每增加1名得1分，最多得2分</w:t>
            </w:r>
          </w:p>
          <w:p w14:paraId="780CB078">
            <w:pPr>
              <w:widowControl/>
              <w:shd w:val="clea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拟投入本项目人员中（项目负责人除外）具有本项目相关放射卫生检测与评价类培训合格证书，具有1人的得1分，每增加1人加1分，本项最高得5分；</w:t>
            </w:r>
          </w:p>
          <w:p w14:paraId="54DD860D">
            <w:pPr>
              <w:widowControl/>
              <w:shd w:val="clear"/>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rPr>
              <w:t>（须提供人员证书及在本单位缴纳的自2025年1月以来任意一个月社保清单等材料，如投标人</w:t>
            </w:r>
            <w:r>
              <w:rPr>
                <w:rFonts w:hint="eastAsia" w:ascii="宋体" w:hAnsi="宋体" w:cs="宋体"/>
                <w:b/>
                <w:bCs/>
                <w:color w:val="auto"/>
                <w:kern w:val="0"/>
                <w:szCs w:val="21"/>
                <w:highlight w:val="none"/>
                <w:lang w:val="en-US" w:eastAsia="zh-CN"/>
              </w:rPr>
              <w:t>为新成立企业</w:t>
            </w:r>
            <w:r>
              <w:rPr>
                <w:rFonts w:hint="eastAsia" w:ascii="宋体" w:hAnsi="宋体" w:cs="宋体"/>
                <w:b/>
                <w:bCs/>
                <w:color w:val="auto"/>
                <w:kern w:val="0"/>
                <w:szCs w:val="21"/>
                <w:highlight w:val="none"/>
              </w:rPr>
              <w:t>，按</w:t>
            </w:r>
            <w:r>
              <w:rPr>
                <w:rFonts w:hint="eastAsia" w:ascii="宋体" w:hAnsi="宋体" w:cs="宋体"/>
                <w:b/>
                <w:bCs/>
                <w:color w:val="auto"/>
                <w:kern w:val="0"/>
                <w:szCs w:val="21"/>
                <w:highlight w:val="none"/>
              </w:rPr>
              <w:t>实际</w:t>
            </w:r>
            <w:r>
              <w:rPr>
                <w:rFonts w:hint="eastAsia" w:ascii="宋体" w:hAnsi="宋体" w:cs="宋体"/>
                <w:b/>
                <w:bCs/>
                <w:color w:val="auto"/>
                <w:kern w:val="0"/>
                <w:szCs w:val="21"/>
                <w:highlight w:val="none"/>
                <w:lang w:val="en-US" w:eastAsia="zh-CN"/>
              </w:rPr>
              <w:t>情况提供说明</w:t>
            </w:r>
            <w:r>
              <w:rPr>
                <w:rFonts w:hint="eastAsia" w:ascii="宋体" w:hAnsi="宋体" w:cs="宋体"/>
                <w:b/>
                <w:bCs/>
                <w:color w:val="auto"/>
                <w:kern w:val="0"/>
                <w:szCs w:val="21"/>
                <w:highlight w:val="none"/>
              </w:rPr>
              <w:t>，社保清单未提供</w:t>
            </w:r>
            <w:r>
              <w:rPr>
                <w:rFonts w:hint="eastAsia" w:ascii="宋体" w:hAnsi="宋体" w:cs="宋体"/>
                <w:b/>
                <w:bCs/>
                <w:color w:val="auto"/>
                <w:kern w:val="0"/>
                <w:szCs w:val="21"/>
                <w:highlight w:val="none"/>
                <w:lang w:val="en-US" w:eastAsia="zh-CN"/>
              </w:rPr>
              <w:t>或未提供说明</w:t>
            </w:r>
            <w:r>
              <w:rPr>
                <w:rFonts w:hint="eastAsia" w:ascii="宋体" w:hAnsi="宋体" w:cs="宋体"/>
                <w:b/>
                <w:bCs/>
                <w:color w:val="auto"/>
                <w:kern w:val="0"/>
                <w:szCs w:val="21"/>
                <w:highlight w:val="none"/>
              </w:rPr>
              <w:t>不得分。）</w:t>
            </w:r>
          </w:p>
        </w:tc>
      </w:tr>
      <w:tr w14:paraId="5CA0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13" w:type="dxa"/>
            <w:noWrap w:val="0"/>
            <w:vAlign w:val="center"/>
          </w:tcPr>
          <w:p w14:paraId="5FCA2F61">
            <w:pPr>
              <w:widowControl/>
              <w:shd w:val="clear"/>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售后服务</w:t>
            </w:r>
          </w:p>
        </w:tc>
        <w:tc>
          <w:tcPr>
            <w:tcW w:w="796" w:type="dxa"/>
            <w:noWrap w:val="0"/>
            <w:vAlign w:val="center"/>
          </w:tcPr>
          <w:p w14:paraId="29AE1829">
            <w:pPr>
              <w:widowControl/>
              <w:shd w:val="clear"/>
              <w:jc w:val="center"/>
              <w:textAlignment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7436" w:type="dxa"/>
            <w:noWrap w:val="0"/>
            <w:vAlign w:val="center"/>
          </w:tcPr>
          <w:p w14:paraId="6AB9329E">
            <w:pPr>
              <w:shd w:val="clear"/>
              <w:rPr>
                <w:rFonts w:hint="eastAsia" w:ascii="宋体" w:hAnsi="宋体" w:cs="宋体"/>
                <w:color w:val="auto"/>
                <w:kern w:val="0"/>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根据投标人提供的售后服务方案全面性、针对性综合打分，包括服务承诺、响应时间、服务方式等。</w:t>
            </w:r>
            <w:r>
              <w:rPr>
                <w:rFonts w:hint="eastAsia" w:ascii="宋体" w:hAnsi="宋体" w:cs="宋体"/>
                <w:b/>
                <w:bCs/>
                <w:color w:val="auto"/>
                <w:szCs w:val="21"/>
                <w:highlight w:val="none"/>
              </w:rPr>
              <w:t>（评分范围：2分，1.8分，1.5分，1分，0.5分，0分）</w:t>
            </w:r>
          </w:p>
        </w:tc>
      </w:tr>
    </w:tbl>
    <w:p w14:paraId="27C23697">
      <w:pPr>
        <w:pStyle w:val="15"/>
        <w:shd w:val="clear"/>
        <w:spacing w:line="46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2.报价响应文件评审</w:t>
      </w:r>
    </w:p>
    <w:p w14:paraId="2E210199">
      <w:pPr>
        <w:pStyle w:val="15"/>
        <w:shd w:val="clear"/>
        <w:spacing w:line="460" w:lineRule="exact"/>
        <w:ind w:firstLine="422" w:firstLineChars="200"/>
        <w:rPr>
          <w:rFonts w:hint="eastAsia" w:hAnsi="宋体" w:cs="宋体"/>
          <w:b/>
          <w:color w:val="auto"/>
          <w:sz w:val="24"/>
          <w:highlight w:val="none"/>
        </w:rPr>
      </w:pPr>
      <w:r>
        <w:rPr>
          <w:rFonts w:hint="eastAsia" w:hAnsi="宋体" w:cs="宋体"/>
          <w:b/>
          <w:color w:val="auto"/>
          <w:szCs w:val="21"/>
          <w:highlight w:val="none"/>
        </w:rPr>
        <w:t>2.1甄别异常报价：有下列情况之一的投标</w:t>
      </w:r>
      <w:r>
        <w:rPr>
          <w:rFonts w:hint="eastAsia" w:hAnsi="宋体" w:cs="宋体"/>
          <w:b/>
          <w:color w:val="auto"/>
          <w:sz w:val="24"/>
          <w:highlight w:val="none"/>
        </w:rPr>
        <w:t>报价不进入报价分计算环节：</w:t>
      </w:r>
    </w:p>
    <w:p w14:paraId="42E69D21">
      <w:pPr>
        <w:shd w:val="clear"/>
        <w:adjustRightInd w:val="0"/>
        <w:snapToGrid w:val="0"/>
        <w:spacing w:line="460" w:lineRule="exact"/>
        <w:ind w:firstLine="415" w:firstLineChars="198"/>
        <w:rPr>
          <w:rFonts w:hint="eastAsia" w:ascii="宋体" w:hAnsi="宋体" w:cs="宋体"/>
          <w:color w:val="auto"/>
          <w:sz w:val="24"/>
          <w:highlight w:val="none"/>
        </w:rPr>
      </w:pPr>
      <w:r>
        <w:rPr>
          <w:rFonts w:hint="eastAsia" w:ascii="宋体" w:hAnsi="宋体" w:cs="宋体"/>
          <w:color w:val="auto"/>
          <w:szCs w:val="21"/>
          <w:highlight w:val="none"/>
        </w:rPr>
        <w:t>①</w:t>
      </w:r>
      <w:r>
        <w:rPr>
          <w:rFonts w:hint="eastAsia" w:ascii="宋体" w:hAnsi="宋体" w:cs="宋体"/>
          <w:color w:val="auto"/>
          <w:sz w:val="24"/>
          <w:highlight w:val="none"/>
        </w:rPr>
        <w:t>资格响应、商务技术响应无效单位的投标报价；</w:t>
      </w:r>
    </w:p>
    <w:p w14:paraId="532AC1E1">
      <w:pPr>
        <w:shd w:val="clear"/>
        <w:adjustRightInd w:val="0"/>
        <w:snapToGrid w:val="0"/>
        <w:spacing w:line="460" w:lineRule="exact"/>
        <w:ind w:firstLine="415" w:firstLineChars="198"/>
        <w:rPr>
          <w:rFonts w:hint="eastAsia" w:ascii="宋体" w:hAnsi="宋体" w:cs="宋体"/>
          <w:b/>
          <w:color w:val="auto"/>
          <w:sz w:val="24"/>
          <w:highlight w:val="none"/>
          <w:shd w:val="pct10" w:color="auto" w:fill="FFFFFF"/>
        </w:rPr>
      </w:pPr>
      <w:r>
        <w:rPr>
          <w:rFonts w:hint="eastAsia" w:ascii="宋体" w:hAnsi="宋体" w:cs="宋体"/>
          <w:color w:val="auto"/>
          <w:szCs w:val="21"/>
          <w:highlight w:val="none"/>
        </w:rPr>
        <w:t>②</w:t>
      </w:r>
      <w:r>
        <w:rPr>
          <w:rFonts w:hint="eastAsia" w:ascii="宋体" w:hAnsi="宋体" w:cs="宋体"/>
          <w:color w:val="auto"/>
          <w:sz w:val="24"/>
          <w:highlight w:val="none"/>
        </w:rPr>
        <w:t>报价高于预算价；</w:t>
      </w:r>
    </w:p>
    <w:p w14:paraId="23C5249E">
      <w:pPr>
        <w:shd w:val="clear"/>
        <w:adjustRightInd w:val="0"/>
        <w:snapToGrid w:val="0"/>
        <w:spacing w:line="460" w:lineRule="exact"/>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③</w:t>
      </w:r>
      <w:r>
        <w:rPr>
          <w:rFonts w:hint="eastAsia" w:ascii="宋体" w:hAnsi="宋体" w:cs="宋体"/>
          <w:color w:val="auto"/>
          <w:sz w:val="24"/>
          <w:highlight w:val="none"/>
        </w:rPr>
        <w:t>投标报价高于最高限价；</w:t>
      </w:r>
    </w:p>
    <w:p w14:paraId="2F3C3A99">
      <w:pPr>
        <w:shd w:val="clear"/>
        <w:adjustRightIn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2.2评审中出现下列情形之一的，评标委员会应当启动异常低价投标审查程序：</w:t>
      </w:r>
    </w:p>
    <w:p w14:paraId="75CEE907">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（1）投标报价低于全部通过符合性审查供应商投标报价平均值50%的，即投标报价&lt;全部通过符合性审查供应商投标报价平均值×50%；</w:t>
      </w:r>
    </w:p>
    <w:p w14:paraId="1DE0A857">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（2）投标报价低于通过符合性审查的次低报价供应商投标报价50%的，即投标报价&lt;通过符合性审查的次低报价供应商投标报价×50%；</w:t>
      </w:r>
    </w:p>
    <w:p w14:paraId="4F795A98">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（3）投标报价低于采购项目最高限价45%的，即投标报价&lt;采购项目最高限价×45%；</w:t>
      </w:r>
    </w:p>
    <w:p w14:paraId="255FA5C6">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（4）评标委员会基于专业判断，认为供应商报价过低，有可能影响产品质量或者不能诚信履约的其他情形。</w:t>
      </w:r>
    </w:p>
    <w:p w14:paraId="31F06B17">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7E929BF9">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09043AE">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228B136">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50F6E54D">
      <w:pPr>
        <w:shd w:val="clear"/>
        <w:adjustRightInd w:val="0"/>
        <w:snapToGrid w:val="0"/>
        <w:spacing w:line="460" w:lineRule="exact"/>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2.3报价响应文件详细评审（30分）</w:t>
      </w:r>
    </w:p>
    <w:p w14:paraId="181979B4">
      <w:pPr>
        <w:shd w:val="clear"/>
        <w:spacing w:line="360" w:lineRule="auto"/>
        <w:ind w:left="283" w:leftChars="135" w:firstLine="120" w:firstLineChars="50"/>
        <w:rPr>
          <w:rFonts w:hint="eastAsia" w:ascii="宋体" w:hAnsi="宋体" w:cs="宋体"/>
          <w:color w:val="auto"/>
          <w:sz w:val="24"/>
          <w:highlight w:val="none"/>
        </w:rPr>
      </w:pPr>
      <w:r>
        <w:rPr>
          <w:rFonts w:hint="eastAsia" w:ascii="宋体" w:hAnsi="宋体" w:cs="宋体"/>
          <w:color w:val="auto"/>
          <w:sz w:val="24"/>
          <w:highlight w:val="none"/>
        </w:rPr>
        <w:t>（1）评标基准价以满足招标文件要求且投标价格最低的投标报价为评标基准价，其报价分为30分。</w:t>
      </w:r>
    </w:p>
    <w:p w14:paraId="616D6B69">
      <w:pPr>
        <w:shd w:val="clear"/>
        <w:spacing w:line="360" w:lineRule="auto"/>
        <w:ind w:left="283" w:leftChars="135" w:firstLine="120" w:firstLineChars="50"/>
        <w:rPr>
          <w:rFonts w:hint="eastAsia" w:ascii="宋体" w:hAnsi="宋体" w:cs="宋体"/>
          <w:color w:val="auto"/>
          <w:sz w:val="24"/>
          <w:highlight w:val="none"/>
        </w:rPr>
      </w:pPr>
      <w:r>
        <w:rPr>
          <w:rFonts w:hint="eastAsia" w:ascii="宋体" w:hAnsi="宋体" w:cs="宋体"/>
          <w:color w:val="auto"/>
          <w:sz w:val="24"/>
          <w:highlight w:val="none"/>
        </w:rPr>
        <w:t>（2）报价得分计算。</w:t>
      </w:r>
    </w:p>
    <w:p w14:paraId="201E587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报价得分=（评标基准价/评标价）×30%×100，保留小数2位</w:t>
      </w:r>
    </w:p>
    <w:p w14:paraId="1F13E4E1">
      <w:pPr>
        <w:shd w:val="clea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3.计算总分（满分为100分）</w:t>
      </w:r>
    </w:p>
    <w:p w14:paraId="2F8A0408">
      <w:pPr>
        <w:pStyle w:val="15"/>
        <w:shd w:val="clear"/>
        <w:spacing w:line="360" w:lineRule="auto"/>
        <w:ind w:firstLine="240"/>
        <w:rPr>
          <w:rFonts w:hint="eastAsia" w:hAnsi="宋体" w:cs="宋体"/>
          <w:color w:val="auto"/>
          <w:sz w:val="24"/>
          <w:highlight w:val="none"/>
        </w:rPr>
      </w:pPr>
      <w:r>
        <w:rPr>
          <w:rFonts w:hint="eastAsia" w:hAnsi="宋体" w:cs="宋体"/>
          <w:color w:val="auto"/>
          <w:sz w:val="24"/>
          <w:highlight w:val="none"/>
        </w:rPr>
        <w:t xml:space="preserve">   计算方法：投标人总得分 = 商务技术分+报价分</w:t>
      </w:r>
    </w:p>
    <w:p w14:paraId="61645A17">
      <w:pPr>
        <w:shd w:val="clea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4.推荐中标候选人，完成评标报告</w:t>
      </w:r>
    </w:p>
    <w:p w14:paraId="029B9B45">
      <w:pPr>
        <w:shd w:val="clear"/>
        <w:spacing w:line="360" w:lineRule="auto"/>
        <w:ind w:firstLine="480" w:firstLineChars="200"/>
        <w:rPr>
          <w:rFonts w:hint="eastAsia" w:ascii="宋体" w:hAnsi="宋体" w:cs="宋体"/>
          <w:color w:val="auto"/>
          <w:sz w:val="24"/>
          <w:highlight w:val="none"/>
        </w:rPr>
      </w:pPr>
      <w:bookmarkStart w:id="39" w:name="_Toc238878128"/>
      <w:bookmarkStart w:id="40" w:name="_Toc213038697"/>
      <w:bookmarkStart w:id="41" w:name="_Toc362250711"/>
      <w:bookmarkStart w:id="42" w:name="_Toc274303258"/>
      <w:r>
        <w:rPr>
          <w:rFonts w:hint="eastAsia" w:ascii="宋体" w:hAnsi="宋体" w:cs="宋体"/>
          <w:color w:val="auto"/>
          <w:sz w:val="24"/>
          <w:highlight w:val="none"/>
        </w:rPr>
        <w:t>（1）推荐中标候选人</w:t>
      </w:r>
    </w:p>
    <w:p w14:paraId="73F6E2CB">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本项目推荐中标候选人数量：1名。</w:t>
      </w:r>
    </w:p>
    <w:p w14:paraId="1AE221C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标委员会完成评标后，按总得分由高到低排定顺序（得分相同的，按投标报价由低到高顺序排列；得分且投标报价相同的，按商务技术分由高到低顺序排列，商务技术分也相同的，由采购人代表随机抽取决定排序），评标委员会根据以上排序直接确定第一名的投标人为中标人。</w:t>
      </w:r>
    </w:p>
    <w:p w14:paraId="5B645C67">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当确定的中标人放弃中标，因不可抗力提出不能履行合同，在此情况下，采购人可重新组织招投标。</w:t>
      </w:r>
    </w:p>
    <w:p w14:paraId="0F70B9F3">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（2）完成评标报告</w:t>
      </w:r>
    </w:p>
    <w:p w14:paraId="6CBB786D">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向采购人提出评标报告，内容包括评标过程、投标人的优劣对比分析、中标候选人推荐情况、基本结论、存在的问题和评标专家的不同意见。评标报告应经评标委员会所有专家签字，在评标结束时当场提交给采购人</w:t>
      </w:r>
      <w:r>
        <w:rPr>
          <w:rFonts w:hint="eastAsia" w:ascii="宋体" w:hAnsi="宋体" w:cs="宋体"/>
          <w:color w:val="auto"/>
          <w:sz w:val="24"/>
          <w:highlight w:val="none"/>
        </w:rPr>
        <w:t>。</w:t>
      </w:r>
    </w:p>
    <w:p w14:paraId="347B877A">
      <w:pPr>
        <w:shd w:val="clear"/>
        <w:spacing w:line="360" w:lineRule="auto"/>
        <w:ind w:firstLine="723" w:firstLineChars="20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第七章  合同主要条款</w:t>
      </w:r>
      <w:bookmarkEnd w:id="39"/>
      <w:bookmarkEnd w:id="40"/>
      <w:bookmarkEnd w:id="41"/>
      <w:bookmarkEnd w:id="42"/>
    </w:p>
    <w:p w14:paraId="7619B408">
      <w:pPr>
        <w:widowControl/>
        <w:shd w:val="clear"/>
        <w:spacing w:line="360" w:lineRule="auto"/>
        <w:ind w:firstLine="482" w:firstLineChars="200"/>
        <w:jc w:val="center"/>
        <w:rPr>
          <w:rFonts w:hint="eastAsia" w:ascii="宋体" w:hAnsi="宋体" w:cs="宋体"/>
          <w:b/>
          <w:color w:val="auto"/>
          <w:kern w:val="0"/>
          <w:sz w:val="24"/>
          <w:highlight w:val="none"/>
        </w:rPr>
      </w:pPr>
      <w:bookmarkStart w:id="43" w:name="_Toc235778631"/>
      <w:bookmarkStart w:id="44" w:name="_Toc362250712"/>
      <w:bookmarkStart w:id="45" w:name="_Toc274303259"/>
      <w:bookmarkStart w:id="46" w:name="_Toc238878129"/>
      <w:bookmarkStart w:id="47" w:name="_Toc187829774"/>
      <w:bookmarkStart w:id="48" w:name="_Toc213038698"/>
      <w:r>
        <w:rPr>
          <w:rFonts w:hint="eastAsia" w:ascii="宋体" w:hAnsi="宋体" w:cs="宋体"/>
          <w:b/>
          <w:color w:val="auto"/>
          <w:kern w:val="0"/>
          <w:sz w:val="24"/>
          <w:highlight w:val="none"/>
        </w:rPr>
        <w:t>浙江大学医学院附属第四医院放射安全防护技术服务采购合同（样本）</w:t>
      </w:r>
    </w:p>
    <w:p w14:paraId="5649236D">
      <w:pPr>
        <w:widowControl/>
        <w:shd w:val="clear"/>
        <w:spacing w:line="360" w:lineRule="auto"/>
        <w:ind w:firstLine="420" w:firstLineChars="200"/>
        <w:jc w:val="left"/>
        <w:rPr>
          <w:rFonts w:hint="eastAsia" w:ascii="宋体" w:hAnsi="宋体" w:cs="宋体"/>
          <w:color w:val="auto"/>
          <w:kern w:val="0"/>
          <w:szCs w:val="21"/>
          <w:highlight w:val="none"/>
        </w:rPr>
      </w:pPr>
    </w:p>
    <w:p w14:paraId="3F2A39BE">
      <w:pPr>
        <w:widowControl/>
        <w:shd w:val="clear"/>
        <w:wordWrap w:val="0"/>
        <w:spacing w:line="360" w:lineRule="auto"/>
        <w:ind w:firstLine="420" w:firstLineChars="20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甲乙双方根据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日浙江省义乌市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）中标结果和招、投标文件的要求，依据《中华人民共和国民法典》并经双方协调一致，订立本采购合同。</w:t>
      </w:r>
      <w:r>
        <w:rPr>
          <w:rFonts w:hint="eastAsia" w:ascii="宋体" w:hAnsi="宋体" w:cs="宋体"/>
          <w:color w:val="auto"/>
          <w:szCs w:val="21"/>
          <w:highlight w:val="none"/>
        </w:rPr>
        <w:t>本合同（□是 □否）为可融资合同。</w:t>
      </w:r>
    </w:p>
    <w:p w14:paraId="7FA68379">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一、合同文件组成：</w:t>
      </w:r>
    </w:p>
    <w:p w14:paraId="17841999">
      <w:pPr>
        <w:widowControl/>
        <w:shd w:val="clea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合同文件的组成：本合同、中标通知书、招标补充文件及招标文件、询标承诺、询疑答复、投标文件及其补充文件、双方来函。合同文件组成的所有内容是构成本合同不可分割的部分，与合同具有同等法律效力。</w:t>
      </w:r>
    </w:p>
    <w:p w14:paraId="5BC881B5">
      <w:pPr>
        <w:widowControl/>
        <w:shd w:val="clear"/>
        <w:spacing w:line="360" w:lineRule="auto"/>
        <w:ind w:firstLine="480"/>
        <w:rPr>
          <w:rFonts w:hint="eastAsia" w:ascii="宋体" w:hAnsi="宋体" w:cs="宋体"/>
          <w:b/>
          <w:color w:val="auto"/>
          <w:kern w:val="0"/>
          <w:szCs w:val="21"/>
          <w:highlight w:val="none"/>
        </w:rPr>
      </w:pPr>
      <w:r>
        <w:rPr>
          <w:rFonts w:hint="eastAsia" w:ascii="宋体" w:hAnsi="宋体" w:cs="宋体"/>
          <w:b/>
          <w:color w:val="auto"/>
          <w:kern w:val="0"/>
          <w:szCs w:val="21"/>
          <w:highlight w:val="none"/>
        </w:rPr>
        <w:t>二、合同金额</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2729"/>
        <w:gridCol w:w="1980"/>
        <w:gridCol w:w="1980"/>
        <w:gridCol w:w="1980"/>
      </w:tblGrid>
      <w:tr w14:paraId="0DBE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54BD81B">
            <w:pPr>
              <w:pStyle w:val="9"/>
              <w:shd w:val="clear"/>
              <w:spacing w:after="0"/>
              <w:ind w:left="0" w:leftChars="0" w:firstLine="0"/>
              <w:jc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序号</w:t>
            </w:r>
          </w:p>
        </w:tc>
        <w:tc>
          <w:tcPr>
            <w:tcW w:w="2729" w:type="dxa"/>
            <w:noWrap w:val="0"/>
            <w:vAlign w:val="center"/>
          </w:tcPr>
          <w:p w14:paraId="7BA6DE54">
            <w:pPr>
              <w:pStyle w:val="9"/>
              <w:shd w:val="clear"/>
              <w:spacing w:after="0"/>
              <w:ind w:left="0" w:leftChars="0" w:firstLine="0"/>
              <w:jc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名称</w:t>
            </w:r>
          </w:p>
        </w:tc>
        <w:tc>
          <w:tcPr>
            <w:tcW w:w="1980" w:type="dxa"/>
            <w:noWrap w:val="0"/>
            <w:vAlign w:val="center"/>
          </w:tcPr>
          <w:p w14:paraId="1253A94C">
            <w:pPr>
              <w:pStyle w:val="9"/>
              <w:shd w:val="clear"/>
              <w:spacing w:after="0"/>
              <w:ind w:left="0" w:leftChars="0" w:firstLine="0"/>
              <w:jc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内容</w:t>
            </w:r>
          </w:p>
        </w:tc>
        <w:tc>
          <w:tcPr>
            <w:tcW w:w="1980" w:type="dxa"/>
            <w:noWrap w:val="0"/>
            <w:vAlign w:val="center"/>
          </w:tcPr>
          <w:p w14:paraId="2A61E0A3">
            <w:pPr>
              <w:pStyle w:val="9"/>
              <w:shd w:val="clear"/>
              <w:spacing w:after="0"/>
              <w:ind w:left="0" w:leftChars="0" w:firstLine="0"/>
              <w:jc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基准价</w:t>
            </w:r>
          </w:p>
        </w:tc>
        <w:tc>
          <w:tcPr>
            <w:tcW w:w="1980" w:type="dxa"/>
            <w:noWrap w:val="0"/>
            <w:vAlign w:val="center"/>
          </w:tcPr>
          <w:p w14:paraId="33F85414">
            <w:pPr>
              <w:pStyle w:val="9"/>
              <w:shd w:val="clear"/>
              <w:spacing w:after="0"/>
              <w:ind w:left="0" w:leftChars="0" w:firstLine="0"/>
              <w:jc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结算率</w:t>
            </w:r>
          </w:p>
        </w:tc>
      </w:tr>
      <w:tr w14:paraId="4EF8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1" w:type="dxa"/>
            <w:noWrap w:val="0"/>
            <w:vAlign w:val="center"/>
          </w:tcPr>
          <w:p w14:paraId="05CB45B1">
            <w:pPr>
              <w:pStyle w:val="9"/>
              <w:shd w:val="clear"/>
              <w:spacing w:after="0"/>
              <w:ind w:left="0" w:leftChars="0" w:firstLine="0"/>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1</w:t>
            </w:r>
          </w:p>
        </w:tc>
        <w:tc>
          <w:tcPr>
            <w:tcW w:w="2729" w:type="dxa"/>
            <w:noWrap w:val="0"/>
            <w:vAlign w:val="center"/>
          </w:tcPr>
          <w:p w14:paraId="32988901">
            <w:pPr>
              <w:pStyle w:val="9"/>
              <w:shd w:val="clear"/>
              <w:spacing w:after="0"/>
              <w:ind w:left="0" w:leftChars="0" w:firstLine="0"/>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放射安全防护技术服务</w:t>
            </w:r>
          </w:p>
        </w:tc>
        <w:tc>
          <w:tcPr>
            <w:tcW w:w="1980" w:type="dxa"/>
            <w:noWrap w:val="0"/>
            <w:vAlign w:val="center"/>
          </w:tcPr>
          <w:p w14:paraId="649AD8B7">
            <w:pPr>
              <w:pStyle w:val="9"/>
              <w:shd w:val="clear"/>
              <w:spacing w:after="0"/>
              <w:ind w:left="0" w:leftChars="0" w:firstLine="0"/>
              <w:jc w:val="center"/>
              <w:rPr>
                <w:rFonts w:hint="eastAsia" w:ascii="宋体" w:hAnsi="宋体" w:eastAsia="宋体" w:cs="宋体"/>
                <w:b w:val="0"/>
                <w:bCs w:val="0"/>
                <w:color w:val="auto"/>
                <w:kern w:val="0"/>
                <w:sz w:val="21"/>
                <w:szCs w:val="21"/>
                <w:highlight w:val="none"/>
                <w:shd w:val="clear" w:color="auto" w:fill="auto"/>
                <w:lang w:val="en-US" w:eastAsia="zh-CN" w:bidi="ar-SA"/>
              </w:rPr>
            </w:pPr>
          </w:p>
        </w:tc>
        <w:tc>
          <w:tcPr>
            <w:tcW w:w="1980" w:type="dxa"/>
            <w:noWrap w:val="0"/>
            <w:vAlign w:val="center"/>
          </w:tcPr>
          <w:p w14:paraId="37934A51">
            <w:pPr>
              <w:pStyle w:val="9"/>
              <w:shd w:val="clear"/>
              <w:spacing w:after="0"/>
              <w:ind w:left="0" w:leftChars="0" w:firstLine="0"/>
              <w:jc w:val="center"/>
              <w:rPr>
                <w:rFonts w:hint="eastAsia" w:ascii="宋体" w:hAnsi="宋体" w:cs="宋体"/>
                <w:color w:val="auto"/>
                <w:kern w:val="0"/>
                <w:szCs w:val="21"/>
                <w:highlight w:val="none"/>
                <w:lang w:bidi="ar"/>
              </w:rPr>
            </w:pPr>
          </w:p>
        </w:tc>
        <w:tc>
          <w:tcPr>
            <w:tcW w:w="1980" w:type="dxa"/>
            <w:noWrap w:val="0"/>
            <w:vAlign w:val="center"/>
          </w:tcPr>
          <w:p w14:paraId="534E6A84">
            <w:pPr>
              <w:pStyle w:val="9"/>
              <w:shd w:val="clear"/>
              <w:spacing w:after="0"/>
              <w:ind w:left="0" w:leftChars="0" w:firstLine="0"/>
              <w:jc w:val="center"/>
              <w:rPr>
                <w:rFonts w:hint="eastAsia" w:ascii="宋体" w:hAnsi="宋体" w:cs="宋体"/>
                <w:color w:val="auto"/>
                <w:kern w:val="0"/>
                <w:szCs w:val="21"/>
                <w:highlight w:val="none"/>
                <w:lang w:bidi="ar"/>
              </w:rPr>
            </w:pPr>
          </w:p>
        </w:tc>
      </w:tr>
    </w:tbl>
    <w:p w14:paraId="503CB1FE">
      <w:pPr>
        <w:pStyle w:val="9"/>
        <w:shd w:val="clear"/>
        <w:spacing w:after="0" w:line="360" w:lineRule="auto"/>
        <w:ind w:left="0" w:leftChars="0" w:firstLineChars="200"/>
        <w:rPr>
          <w:rFonts w:hint="eastAsia" w:ascii="宋体" w:hAnsi="宋体" w:cs="宋体"/>
          <w:color w:val="auto"/>
          <w:kern w:val="0"/>
          <w:szCs w:val="21"/>
          <w:highlight w:val="none"/>
          <w:lang w:bidi="ar"/>
        </w:rPr>
      </w:pPr>
    </w:p>
    <w:p w14:paraId="2B034F45">
      <w:pPr>
        <w:pStyle w:val="9"/>
        <w:shd w:val="clear"/>
        <w:spacing w:after="0" w:line="360" w:lineRule="auto"/>
        <w:ind w:left="0" w:leftChars="0"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以上合同价格包含乙方完成本项目的一切费用，包括但不限于服务费、税费、服务人员工资，按规定缴纳的各类保险，加班费，管理费用，税费，固定资产折旧费，企业提取费用，所有材料及易耗品费用，工具，福利费，培训费，办公费用，房租费，服装费，夜餐费，伙食费，过节费，奖励费，劳保费，体检费等完成本项目的其他费用和政策性文件规定及合同包含的所有风险、责任和义务等一切应由甲方支付的费用。如有漏项，视同已包含在其总项目中，合同总价不予调整。</w:t>
      </w:r>
    </w:p>
    <w:p w14:paraId="46C12B00">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三、合同期限</w:t>
      </w:r>
    </w:p>
    <w:p w14:paraId="57E25CE3">
      <w:pPr>
        <w:widowControl/>
        <w:shd w:val="clear"/>
        <w:snapToGrid w:val="0"/>
        <w:spacing w:before="120" w:after="120" w:line="360" w:lineRule="auto"/>
        <w:ind w:firstLine="420" w:firstLineChars="200"/>
        <w:jc w:val="left"/>
        <w:rPr>
          <w:rFonts w:hint="eastAsia" w:ascii="宋体" w:hAnsi="宋体" w:cs="宋体"/>
          <w:b/>
          <w:color w:val="auto"/>
          <w:kern w:val="0"/>
          <w:szCs w:val="21"/>
          <w:highlight w:val="none"/>
        </w:rPr>
      </w:pPr>
      <w:r>
        <w:rPr>
          <w:rFonts w:hint="eastAsia" w:ascii="宋体" w:hAnsi="宋体" w:cs="宋体"/>
          <w:color w:val="auto"/>
          <w:szCs w:val="21"/>
          <w:highlight w:val="none"/>
        </w:rPr>
        <w:t>合同签订后3年（</w:t>
      </w:r>
      <w:r>
        <w:rPr>
          <w:rFonts w:hint="eastAsia" w:ascii="宋体" w:hAnsi="宋体" w:cs="宋体"/>
          <w:color w:val="auto"/>
          <w:kern w:val="0"/>
          <w:szCs w:val="21"/>
          <w:highlight w:val="none"/>
        </w:rPr>
        <w:t>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日起，至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日止）</w:t>
      </w:r>
      <w:r>
        <w:rPr>
          <w:rFonts w:hint="eastAsia" w:ascii="宋体" w:hAnsi="宋体" w:cs="宋体"/>
          <w:color w:val="auto"/>
          <w:szCs w:val="21"/>
          <w:highlight w:val="none"/>
        </w:rPr>
        <w:t>或合同实际发生金额达到预算金额￥800000元（大写：人民币捌拾万元整）（以先到者为准）</w:t>
      </w:r>
      <w:r>
        <w:rPr>
          <w:rFonts w:hint="eastAsia" w:ascii="宋体" w:hAnsi="宋体" w:cs="宋体"/>
          <w:color w:val="auto"/>
          <w:kern w:val="0"/>
          <w:szCs w:val="21"/>
          <w:highlight w:val="none"/>
        </w:rPr>
        <w:t>。</w:t>
      </w:r>
    </w:p>
    <w:p w14:paraId="2309BBE6">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四、技术资料</w:t>
      </w:r>
    </w:p>
    <w:p w14:paraId="62D901A5">
      <w:pPr>
        <w:widowControl/>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1.乙方应按招标文件规定的时间向甲方提供的有关技术资料。</w:t>
      </w:r>
    </w:p>
    <w:p w14:paraId="703DF4AC">
      <w:pPr>
        <w:widowControl/>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没有甲方事先书面同意，乙方不得将由甲方提供的有关合同或任何合同条文、规格、计划、图纸或资料提供给与履行本合同无关的任何其他人。即使向履行本合同有关的人员提供，也应注意保密并限于履行合同的必需范围。</w:t>
      </w:r>
    </w:p>
    <w:p w14:paraId="26CDF1E0">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五、转包或分包</w:t>
      </w:r>
    </w:p>
    <w:p w14:paraId="71B74B5D">
      <w:pPr>
        <w:widowControl/>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1.本合同范围的服务，应由乙方直接供应，不得转让他人供应；</w:t>
      </w:r>
    </w:p>
    <w:p w14:paraId="3F71EFD4">
      <w:pPr>
        <w:widowControl/>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2.乙方不得将本合同范围的服务全部或部分分包给他人供应；</w:t>
      </w:r>
    </w:p>
    <w:p w14:paraId="3CA5A045">
      <w:pPr>
        <w:widowControl/>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3.如未经甲方同意乙方有擅自转让和分包行为，甲方有权解除合同，</w:t>
      </w:r>
      <w:bookmarkStart w:id="49" w:name="_Hlk100927055"/>
      <w:r>
        <w:rPr>
          <w:rFonts w:hint="eastAsia" w:ascii="宋体" w:hAnsi="宋体" w:cs="宋体"/>
          <w:color w:val="auto"/>
          <w:kern w:val="0"/>
          <w:szCs w:val="21"/>
          <w:highlight w:val="none"/>
        </w:rPr>
        <w:t>乙方应返还甲方支付的全部款项，</w:t>
      </w:r>
      <w:bookmarkStart w:id="50" w:name="_Hlk100927148"/>
      <w:r>
        <w:rPr>
          <w:rFonts w:hint="eastAsia" w:ascii="宋体" w:hAnsi="宋体" w:cs="宋体"/>
          <w:color w:val="auto"/>
          <w:kern w:val="0"/>
          <w:szCs w:val="21"/>
          <w:highlight w:val="none"/>
        </w:rPr>
        <w:t>且乙方应按合同费用总额的30%向甲方支付违约金</w:t>
      </w:r>
      <w:bookmarkEnd w:id="49"/>
      <w:bookmarkEnd w:id="50"/>
      <w:r>
        <w:rPr>
          <w:rFonts w:hint="eastAsia" w:ascii="宋体" w:hAnsi="宋体" w:cs="宋体"/>
          <w:color w:val="auto"/>
          <w:kern w:val="0"/>
          <w:szCs w:val="21"/>
          <w:highlight w:val="none"/>
        </w:rPr>
        <w:t>。如因此给甲方造成的损失超过违约金数额的，乙方还须向甲方赔偿损失。</w:t>
      </w:r>
    </w:p>
    <w:p w14:paraId="5F1CFBDD">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六、服务内容</w:t>
      </w:r>
    </w:p>
    <w:p w14:paraId="525F2754">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u w:val="single"/>
        </w:rPr>
        <w:t xml:space="preserve">        </w:t>
      </w:r>
    </w:p>
    <w:p w14:paraId="4B70D85C">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七、权利保证</w:t>
      </w:r>
    </w:p>
    <w:p w14:paraId="70EF861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的服务或其任何一部分均不会侵犯任何第三方的知识产权或其他任何权益。否则，乙方应负责消除甲方拥有并使用乙方提供的服务所存在的全部法律障碍，且甲方有权单方解除本合同，要求乙方返还已支付的合同全部费用，并按本合同总价30%向甲方支付违约金；若甲方基于自身考虑暂不予解除合同的，甲方有权要求乙方负责解决相关争议并按照甲方要求免费更改制作至不侵权的状态，已造成的第三方损失由乙方承担；乙方无法按甲方要求解决争议的，甲方仍有权解除合同并要求乙方按照前述约定承担违约责任。</w:t>
      </w:r>
    </w:p>
    <w:p w14:paraId="110E2D98">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未经甲方书面同意，乙方不得擅自使用或授权任何第三方使用在本合同项下完成的服务或其任何一部分，也不得用于本合同之外的其他任何目的。如服务成果中涉及第三方知识产权的，乙方应确保已经获得永久使用授权，且所需费用已包含在本合同费用中，甲方无须额外支付其他任何费用。</w:t>
      </w:r>
    </w:p>
    <w:p w14:paraId="3E6A9CAD">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八、付款方式</w:t>
      </w:r>
    </w:p>
    <w:p w14:paraId="106AB49A">
      <w:pPr>
        <w:widowControl/>
        <w:shd w:val="clear"/>
        <w:spacing w:line="360" w:lineRule="auto"/>
        <w:ind w:firstLine="422" w:firstLineChars="200"/>
        <w:jc w:val="left"/>
        <w:rPr>
          <w:rFonts w:hint="eastAsia" w:ascii="宋体" w:hAnsi="宋体" w:cs="宋体"/>
          <w:b/>
          <w:bCs/>
          <w:color w:val="auto"/>
          <w:kern w:val="16"/>
          <w:szCs w:val="21"/>
          <w:highlight w:val="none"/>
          <w:u w:val="single"/>
        </w:rPr>
      </w:pPr>
      <w:r>
        <w:rPr>
          <w:rFonts w:hint="eastAsia" w:ascii="宋体" w:hAnsi="宋体" w:cs="宋体"/>
          <w:b/>
          <w:bCs/>
          <w:color w:val="auto"/>
          <w:kern w:val="16"/>
          <w:szCs w:val="21"/>
          <w:highlight w:val="none"/>
          <w:u w:val="single"/>
        </w:rPr>
        <w:t xml:space="preserve">         。</w:t>
      </w:r>
    </w:p>
    <w:p w14:paraId="6F200C1B">
      <w:pPr>
        <w:widowControl/>
        <w:shd w:val="clear"/>
        <w:spacing w:line="360" w:lineRule="auto"/>
        <w:ind w:firstLine="422" w:firstLineChars="200"/>
        <w:jc w:val="left"/>
        <w:rPr>
          <w:rFonts w:hint="eastAsia" w:ascii="宋体" w:hAnsi="宋体" w:cs="宋体"/>
          <w:color w:val="auto"/>
          <w:kern w:val="16"/>
          <w:szCs w:val="21"/>
          <w:highlight w:val="none"/>
        </w:rPr>
      </w:pPr>
      <w:r>
        <w:rPr>
          <w:rFonts w:hint="eastAsia" w:ascii="宋体" w:hAnsi="宋体" w:cs="宋体"/>
          <w:b/>
          <w:bCs/>
          <w:color w:val="auto"/>
          <w:kern w:val="16"/>
          <w:szCs w:val="21"/>
          <w:highlight w:val="none"/>
        </w:rPr>
        <w:t>九、</w:t>
      </w:r>
      <w:r>
        <w:rPr>
          <w:rFonts w:hint="eastAsia" w:ascii="宋体" w:hAnsi="宋体" w:cs="宋体"/>
          <w:b/>
          <w:color w:val="auto"/>
          <w:kern w:val="0"/>
          <w:szCs w:val="21"/>
          <w:highlight w:val="none"/>
        </w:rPr>
        <w:t>服务考核</w:t>
      </w:r>
    </w:p>
    <w:p w14:paraId="031A1D91">
      <w:pPr>
        <w:widowControl/>
        <w:shd w:val="clear"/>
        <w:spacing w:line="360" w:lineRule="auto"/>
        <w:ind w:firstLine="422" w:firstLineChars="200"/>
        <w:jc w:val="left"/>
        <w:rPr>
          <w:rFonts w:hint="eastAsia"/>
          <w:color w:val="auto"/>
          <w:highlight w:val="none"/>
        </w:rPr>
      </w:pPr>
      <w:r>
        <w:rPr>
          <w:rFonts w:hint="eastAsia" w:ascii="宋体" w:hAnsi="宋体" w:cs="宋体"/>
          <w:b/>
          <w:bCs/>
          <w:color w:val="auto"/>
          <w:kern w:val="16"/>
          <w:szCs w:val="21"/>
          <w:highlight w:val="none"/>
          <w:u w:val="single"/>
        </w:rPr>
        <w:t xml:space="preserve">         。</w:t>
      </w:r>
    </w:p>
    <w:p w14:paraId="2393C450">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十、违约责任</w:t>
      </w:r>
    </w:p>
    <w:p w14:paraId="2FEACA9B">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1.乙方的违约责任</w:t>
      </w:r>
    </w:p>
    <w:p w14:paraId="33D92E55">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乙方按照本合同的服务要求为甲方提供服务。因非乙方的原因而造成甲方损失的，乙方不承担任何责任；如因乙方原因导致提供的服务不符合约定的，乙方应当在甲方指定的合理期限内予以返工或提供补救措施，所造成的逾期，依照迟延履行的规定承担违约责任。若未在合理期限内返工、补救或返工补救后依然不符合甲方的要求，甲方有权单方解除合同，并要求乙方承担合同总额5%（百分之五）的违约金。若甲方损失高于违约金的，高出部分乙方仍应继续承担赔偿责任。</w:t>
      </w:r>
    </w:p>
    <w:p w14:paraId="1FC0F4A7">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（2）合同服务期内，乙方的服务质量将作为乙方服务能力及诚信服务的重要依据，直接影响合同继续履行及其他合作。</w:t>
      </w:r>
    </w:p>
    <w:p w14:paraId="46C79148">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（3）乙方应当按照合同约定的时间进度完成服务工作，每迟延一日，应向甲方支付合同总金额1‰的违约金。迟延超过15日的，甲方有权解除合同，并有权要求乙方承担合同总额5%的违约金。</w:t>
      </w:r>
    </w:p>
    <w:p w14:paraId="4C2E1588">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（4）乙方存在其他违约行为的，应向甲方支付合同总金额1％违约金。若造成甲方损失高于违约金的，高出部分乙方仍应承担赔偿责任。</w:t>
      </w:r>
    </w:p>
    <w:p w14:paraId="52CF5CF1">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2.甲方的违约责任</w:t>
      </w:r>
    </w:p>
    <w:p w14:paraId="4996CDD6">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未能按照合同要求的时间、金额按时向乙方支付对应的款项，每延期1个月（不足15日不计，超过15日&lt;含&gt;按1个月计）支付逾期付款额5%的违约金。任何情况下，甲方因本合同履行所承担的责任累计不超过本合同总额的5%（百分之五）。</w:t>
      </w:r>
    </w:p>
    <w:p w14:paraId="68F820F9">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w:t>
      </w:r>
    </w:p>
    <w:p w14:paraId="7F0754BF">
      <w:pPr>
        <w:widowControl/>
        <w:shd w:val="clear"/>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违约方应支付守约方为实现权利而支出的诉讼费、律师费、差旅费等费用。</w:t>
      </w:r>
    </w:p>
    <w:p w14:paraId="5D2CEB23">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十一、不可抗力事件处理</w:t>
      </w:r>
    </w:p>
    <w:p w14:paraId="3E122410">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1.在合同有效期内，任何一方因不可抗力事件导致不能履行合同，则合同履行期可延长，其延长期与不可抗力影响期相同。</w:t>
      </w:r>
    </w:p>
    <w:p w14:paraId="3B3195E3">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2.不可抗力事件发生后，应立即通知对方，并寄送有关权威机构出具的说明。</w:t>
      </w:r>
    </w:p>
    <w:p w14:paraId="1CA1D045">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3.不可抗力事件延续30天以上，双方应通过友好协商，确定是否继续履行合同。</w:t>
      </w:r>
    </w:p>
    <w:p w14:paraId="4AEA7B6C">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十二、诉讼</w:t>
      </w:r>
    </w:p>
    <w:p w14:paraId="62216171">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本合同项目所在地为义乌市，本合同发生争议产生的诉讼，可向项目所在地有管辖权的法院提起诉讼。</w:t>
      </w:r>
    </w:p>
    <w:p w14:paraId="08FABD8D">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三、合同双方确认，本合同及合同约定的其他文件组成部分中的各项约定都是通过法定招标过程形成的合法成果，如果乙方的投标文件与招标文件要求不一致的，履约时应以有利于甲方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327F1DF0">
      <w:pPr>
        <w:widowControl/>
        <w:shd w:val="clear"/>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十四、合同生效及其他</w:t>
      </w:r>
    </w:p>
    <w:p w14:paraId="2B9084C7">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1.合同经双方法定代表人或授权代表签字并加盖单位公章后生效。</w:t>
      </w:r>
    </w:p>
    <w:p w14:paraId="506684F4">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2.本合同未尽事宜，遵照《中华人民共和国民法典》有关条文执行。</w:t>
      </w:r>
    </w:p>
    <w:p w14:paraId="68840495">
      <w:pPr>
        <w:widowControl/>
        <w:shd w:val="clear"/>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十五、本合同一式</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rPr>
        <w:t>份，甲方</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rPr>
        <w:t>份，乙方</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rPr>
        <w:t>份，浙江求是招标代理有限公司执一份，义乌市财政局壹份，均具同等效力。</w:t>
      </w:r>
    </w:p>
    <w:p w14:paraId="78FB6390">
      <w:pPr>
        <w:pStyle w:val="9"/>
        <w:shd w:val="clear"/>
        <w:spacing w:after="0" w:line="360" w:lineRule="auto"/>
        <w:rPr>
          <w:rFonts w:hint="eastAsia" w:ascii="宋体" w:hAnsi="宋体" w:cs="宋体"/>
          <w:color w:val="auto"/>
          <w:szCs w:val="21"/>
          <w:highlight w:val="none"/>
        </w:rPr>
      </w:pPr>
    </w:p>
    <w:tbl>
      <w:tblPr>
        <w:tblStyle w:val="30"/>
        <w:tblW w:w="9633" w:type="dxa"/>
        <w:jc w:val="center"/>
        <w:tblLayout w:type="autofit"/>
        <w:tblCellMar>
          <w:top w:w="0" w:type="dxa"/>
          <w:left w:w="108" w:type="dxa"/>
          <w:bottom w:w="0" w:type="dxa"/>
          <w:right w:w="108" w:type="dxa"/>
        </w:tblCellMar>
      </w:tblPr>
      <w:tblGrid>
        <w:gridCol w:w="4955"/>
        <w:gridCol w:w="4678"/>
      </w:tblGrid>
      <w:tr w14:paraId="71CF076D">
        <w:tblPrEx>
          <w:tblCellMar>
            <w:top w:w="0" w:type="dxa"/>
            <w:left w:w="108" w:type="dxa"/>
            <w:bottom w:w="0" w:type="dxa"/>
            <w:right w:w="108" w:type="dxa"/>
          </w:tblCellMar>
        </w:tblPrEx>
        <w:trPr>
          <w:jc w:val="center"/>
        </w:trPr>
        <w:tc>
          <w:tcPr>
            <w:tcW w:w="4955" w:type="dxa"/>
            <w:noWrap w:val="0"/>
            <w:vAlign w:val="top"/>
          </w:tcPr>
          <w:p w14:paraId="2F7DEC32">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    方：浙江大学医学院附属第四医院</w:t>
            </w:r>
          </w:p>
        </w:tc>
        <w:tc>
          <w:tcPr>
            <w:tcW w:w="4678" w:type="dxa"/>
            <w:noWrap w:val="0"/>
            <w:vAlign w:val="top"/>
          </w:tcPr>
          <w:p w14:paraId="0AAFF901">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乙    方：</w:t>
            </w:r>
          </w:p>
        </w:tc>
      </w:tr>
      <w:tr w14:paraId="092E6448">
        <w:tblPrEx>
          <w:tblCellMar>
            <w:top w:w="0" w:type="dxa"/>
            <w:left w:w="108" w:type="dxa"/>
            <w:bottom w:w="0" w:type="dxa"/>
            <w:right w:w="108" w:type="dxa"/>
          </w:tblCellMar>
        </w:tblPrEx>
        <w:trPr>
          <w:jc w:val="center"/>
        </w:trPr>
        <w:tc>
          <w:tcPr>
            <w:tcW w:w="4955" w:type="dxa"/>
            <w:noWrap w:val="0"/>
            <w:vAlign w:val="top"/>
          </w:tcPr>
          <w:p w14:paraId="6AE90B11">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    址： 浙江省义乌市商城大道N1号</w:t>
            </w:r>
          </w:p>
        </w:tc>
        <w:tc>
          <w:tcPr>
            <w:tcW w:w="4678" w:type="dxa"/>
            <w:noWrap w:val="0"/>
            <w:vAlign w:val="top"/>
          </w:tcPr>
          <w:p w14:paraId="687F282C">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p>
        </w:tc>
      </w:tr>
      <w:tr w14:paraId="74661D33">
        <w:tblPrEx>
          <w:tblCellMar>
            <w:top w:w="0" w:type="dxa"/>
            <w:left w:w="108" w:type="dxa"/>
            <w:bottom w:w="0" w:type="dxa"/>
            <w:right w:w="108" w:type="dxa"/>
          </w:tblCellMar>
        </w:tblPrEx>
        <w:trPr>
          <w:jc w:val="center"/>
        </w:trPr>
        <w:tc>
          <w:tcPr>
            <w:tcW w:w="4955" w:type="dxa"/>
            <w:noWrap w:val="0"/>
            <w:vAlign w:val="top"/>
          </w:tcPr>
          <w:p w14:paraId="78AAA8CC">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w:t>
            </w:r>
          </w:p>
          <w:p w14:paraId="5FBF2CBC">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授权代表（签字）：</w:t>
            </w:r>
          </w:p>
        </w:tc>
        <w:tc>
          <w:tcPr>
            <w:tcW w:w="4678" w:type="dxa"/>
            <w:noWrap w:val="0"/>
            <w:vAlign w:val="top"/>
          </w:tcPr>
          <w:p w14:paraId="06067E09">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w:t>
            </w:r>
          </w:p>
          <w:p w14:paraId="0D176EEB">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授权代表（签字）：</w:t>
            </w:r>
          </w:p>
        </w:tc>
      </w:tr>
      <w:tr w14:paraId="11E914B6">
        <w:tblPrEx>
          <w:tblCellMar>
            <w:top w:w="0" w:type="dxa"/>
            <w:left w:w="108" w:type="dxa"/>
            <w:bottom w:w="0" w:type="dxa"/>
            <w:right w:w="108" w:type="dxa"/>
          </w:tblCellMar>
        </w:tblPrEx>
        <w:trPr>
          <w:jc w:val="center"/>
        </w:trPr>
        <w:tc>
          <w:tcPr>
            <w:tcW w:w="4955" w:type="dxa"/>
            <w:noWrap w:val="0"/>
            <w:vAlign w:val="top"/>
          </w:tcPr>
          <w:p w14:paraId="04203CEB">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电   话： </w:t>
            </w:r>
          </w:p>
        </w:tc>
        <w:tc>
          <w:tcPr>
            <w:tcW w:w="4678" w:type="dxa"/>
            <w:noWrap w:val="0"/>
            <w:vAlign w:val="top"/>
          </w:tcPr>
          <w:p w14:paraId="74031985">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   话：</w:t>
            </w:r>
          </w:p>
        </w:tc>
      </w:tr>
      <w:tr w14:paraId="3314482C">
        <w:tblPrEx>
          <w:tblCellMar>
            <w:top w:w="0" w:type="dxa"/>
            <w:left w:w="108" w:type="dxa"/>
            <w:bottom w:w="0" w:type="dxa"/>
            <w:right w:w="108" w:type="dxa"/>
          </w:tblCellMar>
        </w:tblPrEx>
        <w:trPr>
          <w:jc w:val="center"/>
        </w:trPr>
        <w:tc>
          <w:tcPr>
            <w:tcW w:w="4955" w:type="dxa"/>
            <w:noWrap w:val="0"/>
            <w:vAlign w:val="top"/>
          </w:tcPr>
          <w:p w14:paraId="76BAFE1F">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传   真： </w:t>
            </w:r>
          </w:p>
        </w:tc>
        <w:tc>
          <w:tcPr>
            <w:tcW w:w="4678" w:type="dxa"/>
            <w:noWrap w:val="0"/>
            <w:vAlign w:val="top"/>
          </w:tcPr>
          <w:p w14:paraId="3436E6E2">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传   真：</w:t>
            </w:r>
          </w:p>
        </w:tc>
      </w:tr>
      <w:tr w14:paraId="704DE446">
        <w:tblPrEx>
          <w:tblCellMar>
            <w:top w:w="0" w:type="dxa"/>
            <w:left w:w="108" w:type="dxa"/>
            <w:bottom w:w="0" w:type="dxa"/>
            <w:right w:w="108" w:type="dxa"/>
          </w:tblCellMar>
        </w:tblPrEx>
        <w:trPr>
          <w:jc w:val="center"/>
        </w:trPr>
        <w:tc>
          <w:tcPr>
            <w:tcW w:w="4955" w:type="dxa"/>
            <w:noWrap w:val="0"/>
            <w:vAlign w:val="top"/>
          </w:tcPr>
          <w:p w14:paraId="5694DD93">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w:t>
            </w:r>
          </w:p>
        </w:tc>
        <w:tc>
          <w:tcPr>
            <w:tcW w:w="4678" w:type="dxa"/>
            <w:noWrap w:val="0"/>
            <w:vAlign w:val="top"/>
          </w:tcPr>
          <w:p w14:paraId="2AD3823D">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w:t>
            </w:r>
          </w:p>
        </w:tc>
      </w:tr>
      <w:tr w14:paraId="2C644ACD">
        <w:tblPrEx>
          <w:tblCellMar>
            <w:top w:w="0" w:type="dxa"/>
            <w:left w:w="108" w:type="dxa"/>
            <w:bottom w:w="0" w:type="dxa"/>
            <w:right w:w="108" w:type="dxa"/>
          </w:tblCellMar>
        </w:tblPrEx>
        <w:trPr>
          <w:jc w:val="center"/>
        </w:trPr>
        <w:tc>
          <w:tcPr>
            <w:tcW w:w="4955" w:type="dxa"/>
            <w:noWrap w:val="0"/>
            <w:vAlign w:val="top"/>
          </w:tcPr>
          <w:p w14:paraId="25717E76">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开户银行：  工行义乌分行  </w:t>
            </w:r>
          </w:p>
        </w:tc>
        <w:tc>
          <w:tcPr>
            <w:tcW w:w="4678" w:type="dxa"/>
            <w:noWrap w:val="0"/>
            <w:vAlign w:val="top"/>
          </w:tcPr>
          <w:p w14:paraId="55D5D70F">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p>
        </w:tc>
      </w:tr>
      <w:tr w14:paraId="72169991">
        <w:tblPrEx>
          <w:tblCellMar>
            <w:top w:w="0" w:type="dxa"/>
            <w:left w:w="108" w:type="dxa"/>
            <w:bottom w:w="0" w:type="dxa"/>
            <w:right w:w="108" w:type="dxa"/>
          </w:tblCellMar>
        </w:tblPrEx>
        <w:trPr>
          <w:jc w:val="center"/>
        </w:trPr>
        <w:tc>
          <w:tcPr>
            <w:tcW w:w="4955" w:type="dxa"/>
            <w:noWrap w:val="0"/>
            <w:vAlign w:val="top"/>
          </w:tcPr>
          <w:p w14:paraId="2B68387F">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    号：1208020009888091287</w:t>
            </w:r>
          </w:p>
        </w:tc>
        <w:tc>
          <w:tcPr>
            <w:tcW w:w="4678" w:type="dxa"/>
            <w:noWrap w:val="0"/>
            <w:vAlign w:val="top"/>
          </w:tcPr>
          <w:p w14:paraId="6C8BF245">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    号：</w:t>
            </w:r>
          </w:p>
        </w:tc>
      </w:tr>
      <w:tr w14:paraId="21FBB421">
        <w:tblPrEx>
          <w:tblCellMar>
            <w:top w:w="0" w:type="dxa"/>
            <w:left w:w="108" w:type="dxa"/>
            <w:bottom w:w="0" w:type="dxa"/>
            <w:right w:w="108" w:type="dxa"/>
          </w:tblCellMar>
        </w:tblPrEx>
        <w:trPr>
          <w:jc w:val="center"/>
        </w:trPr>
        <w:tc>
          <w:tcPr>
            <w:tcW w:w="4955" w:type="dxa"/>
            <w:noWrap w:val="0"/>
            <w:vAlign w:val="top"/>
          </w:tcPr>
          <w:p w14:paraId="1A48519E">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签约时间：</w:t>
            </w:r>
          </w:p>
        </w:tc>
        <w:tc>
          <w:tcPr>
            <w:tcW w:w="4678" w:type="dxa"/>
            <w:noWrap w:val="0"/>
            <w:vAlign w:val="top"/>
          </w:tcPr>
          <w:p w14:paraId="2BDC6D54">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签约地点：浙江义乌</w:t>
            </w:r>
          </w:p>
        </w:tc>
      </w:tr>
    </w:tbl>
    <w:p w14:paraId="2E435CE4">
      <w:pPr>
        <w:shd w:val="clear"/>
        <w:spacing w:line="400" w:lineRule="exact"/>
        <w:rPr>
          <w:rFonts w:hint="eastAsia" w:ascii="宋体" w:hAnsi="宋体" w:cs="宋体"/>
          <w:color w:val="auto"/>
          <w:spacing w:val="-6"/>
          <w:szCs w:val="21"/>
          <w:highlight w:val="none"/>
        </w:rPr>
      </w:pPr>
    </w:p>
    <w:p w14:paraId="30932D2C">
      <w:pPr>
        <w:pStyle w:val="29"/>
        <w:shd w:val="clear"/>
        <w:ind w:firstLine="0" w:firstLineChars="0"/>
        <w:rPr>
          <w:rFonts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Cs w:val="21"/>
          <w:highlight w:val="none"/>
        </w:rPr>
        <w:t>附件 收费基准价</w:t>
      </w:r>
    </w:p>
    <w:p w14:paraId="71F7526F">
      <w:pPr>
        <w:pStyle w:val="29"/>
        <w:shd w:val="clear"/>
        <w:ind w:firstLine="0" w:firstLineChars="0"/>
        <w:jc w:val="center"/>
        <w:rPr>
          <w:rFonts w:hint="eastAsia" w:ascii="宋体" w:hAnsi="宋体" w:cs="宋体"/>
          <w:bCs/>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第八章  投标文件部分格式</w:t>
      </w:r>
      <w:bookmarkEnd w:id="43"/>
      <w:bookmarkEnd w:id="44"/>
      <w:bookmarkEnd w:id="45"/>
      <w:bookmarkEnd w:id="46"/>
      <w:bookmarkEnd w:id="47"/>
      <w:bookmarkEnd w:id="48"/>
    </w:p>
    <w:p w14:paraId="6356F3D9">
      <w:pPr>
        <w:pStyle w:val="21"/>
        <w:shd w:val="clear"/>
        <w:spacing w:before="120" w:beforeLines="50" w:after="120" w:afterLines="50" w:line="600" w:lineRule="exact"/>
        <w:rPr>
          <w:rFonts w:hint="eastAsia" w:ascii="宋体" w:hAnsi="宋体" w:cs="宋体"/>
          <w:color w:val="auto"/>
          <w:highlight w:val="none"/>
        </w:rPr>
      </w:pPr>
      <w:r>
        <w:rPr>
          <w:rFonts w:hint="eastAsia" w:ascii="宋体" w:hAnsi="宋体" w:cs="宋体"/>
          <w:color w:val="auto"/>
          <w:highlight w:val="none"/>
        </w:rPr>
        <w:t>一、</w:t>
      </w:r>
      <w:r>
        <w:rPr>
          <w:rFonts w:hint="eastAsia" w:ascii="宋体" w:hAnsi="宋体" w:cs="宋体"/>
          <w:b/>
          <w:color w:val="auto"/>
          <w:szCs w:val="21"/>
          <w:highlight w:val="none"/>
        </w:rPr>
        <w:t>资格响应文件</w:t>
      </w:r>
      <w:r>
        <w:rPr>
          <w:rFonts w:hint="eastAsia" w:ascii="宋体" w:hAnsi="宋体" w:cs="宋体"/>
          <w:color w:val="auto"/>
          <w:highlight w:val="none"/>
        </w:rPr>
        <w:t>：</w:t>
      </w:r>
    </w:p>
    <w:p w14:paraId="0767D3E8">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（1）有效的法人或者其他组织的营业执照等文件，自然人的身份证</w:t>
      </w:r>
    </w:p>
    <w:p w14:paraId="072AC97A">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（2）符合参加政府采购活动应当具备的一般条件的承诺函</w:t>
      </w:r>
    </w:p>
    <w:p w14:paraId="4EF09001">
      <w:pPr>
        <w:pStyle w:val="21"/>
        <w:shd w:val="clear"/>
        <w:spacing w:before="120" w:beforeLines="50" w:after="120" w:afterLines="50" w:line="24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（3）具备有效的《放射卫生技术服务机构资质证书》</w:t>
      </w:r>
      <w:r>
        <w:rPr>
          <w:rFonts w:hint="eastAsia" w:ascii="宋体" w:hAnsi="宋体" w:cs="宋体"/>
          <w:color w:val="auto"/>
          <w:highlight w:val="none"/>
        </w:rPr>
        <w:t>（技术服务范围包含：放射诊疗建设项目职业病危害放射防护评价、放射卫生防护检测）</w:t>
      </w:r>
    </w:p>
    <w:p w14:paraId="01863596">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（4）中小企业声明函</w:t>
      </w:r>
    </w:p>
    <w:p w14:paraId="58B68FA2">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（5）属于监狱企业的证明文件（若属于监狱企业）</w:t>
      </w:r>
    </w:p>
    <w:p w14:paraId="0DDCDAA2">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（6）残疾人福利性单位声明函（若属于残疾人福利性单位）</w:t>
      </w:r>
    </w:p>
    <w:p w14:paraId="749C285D">
      <w:pPr>
        <w:pStyle w:val="21"/>
        <w:shd w:val="clear"/>
        <w:spacing w:before="120" w:beforeLines="50" w:after="120" w:afterLines="50" w:line="600" w:lineRule="exact"/>
        <w:rPr>
          <w:rFonts w:hint="eastAsia" w:ascii="宋体" w:hAnsi="宋体" w:cs="宋体"/>
          <w:color w:val="auto"/>
          <w:highlight w:val="none"/>
        </w:rPr>
      </w:pPr>
      <w:r>
        <w:rPr>
          <w:rFonts w:hint="eastAsia" w:ascii="宋体" w:hAnsi="宋体" w:cs="宋体"/>
          <w:color w:val="auto"/>
          <w:highlight w:val="none"/>
        </w:rPr>
        <w:t>二、</w:t>
      </w:r>
      <w:r>
        <w:rPr>
          <w:rFonts w:hint="eastAsia" w:ascii="宋体" w:hAnsi="宋体" w:cs="宋体"/>
          <w:b/>
          <w:color w:val="auto"/>
          <w:szCs w:val="21"/>
          <w:highlight w:val="none"/>
        </w:rPr>
        <w:t>商务技术响应文件</w:t>
      </w:r>
      <w:r>
        <w:rPr>
          <w:rFonts w:hint="eastAsia" w:ascii="宋体" w:hAnsi="宋体" w:cs="宋体"/>
          <w:color w:val="auto"/>
          <w:highlight w:val="none"/>
        </w:rPr>
        <w:t>：</w:t>
      </w:r>
    </w:p>
    <w:p w14:paraId="3C9B3BB6">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（1）授权委托书/法定代表人（单位负责人、自然人本人）身份证</w:t>
      </w:r>
    </w:p>
    <w:p w14:paraId="773255AF">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（2）投标人类似合同实施情况一览表</w:t>
      </w:r>
    </w:p>
    <w:p w14:paraId="1B98E760">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（3）采购需求偏离表</w:t>
      </w:r>
    </w:p>
    <w:p w14:paraId="3D3325F6">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（4）项目整体实施方案</w:t>
      </w:r>
    </w:p>
    <w:p w14:paraId="524D60AD">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（5）人员技术力量投入情况</w:t>
      </w:r>
    </w:p>
    <w:p w14:paraId="7BAE9DF6">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（6）应急预案</w:t>
      </w:r>
    </w:p>
    <w:p w14:paraId="78824129">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（7）售后服务及质量保障</w:t>
      </w:r>
    </w:p>
    <w:p w14:paraId="7275C810">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★（8）义乌市政府采购项目投标承诺书</w:t>
      </w:r>
    </w:p>
    <w:p w14:paraId="5E4DFD7A">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（9）投标人认为须提供的其他资料</w:t>
      </w:r>
    </w:p>
    <w:p w14:paraId="1B107D0F">
      <w:pPr>
        <w:pStyle w:val="21"/>
        <w:shd w:val="clear"/>
        <w:spacing w:before="120" w:beforeLines="50" w:after="120" w:afterLines="50" w:line="600" w:lineRule="exact"/>
        <w:rPr>
          <w:rFonts w:hint="eastAsia" w:ascii="宋体" w:hAnsi="宋体" w:cs="宋体"/>
          <w:color w:val="auto"/>
          <w:highlight w:val="none"/>
        </w:rPr>
      </w:pPr>
      <w:r>
        <w:rPr>
          <w:rFonts w:hint="eastAsia" w:ascii="宋体" w:hAnsi="宋体" w:cs="宋体"/>
          <w:color w:val="auto"/>
          <w:highlight w:val="none"/>
        </w:rPr>
        <w:t>三、</w:t>
      </w:r>
      <w:r>
        <w:rPr>
          <w:rFonts w:hint="eastAsia" w:ascii="宋体" w:hAnsi="宋体" w:cs="宋体"/>
          <w:b/>
          <w:color w:val="auto"/>
          <w:szCs w:val="21"/>
          <w:highlight w:val="none"/>
        </w:rPr>
        <w:t>报价响应文件</w:t>
      </w:r>
      <w:r>
        <w:rPr>
          <w:rFonts w:hint="eastAsia" w:ascii="宋体" w:hAnsi="宋体" w:cs="宋体"/>
          <w:color w:val="auto"/>
          <w:highlight w:val="none"/>
        </w:rPr>
        <w:t>部分格式：</w:t>
      </w:r>
    </w:p>
    <w:p w14:paraId="486F40D2">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（1）投标函</w:t>
      </w:r>
    </w:p>
    <w:p w14:paraId="1AA4042B">
      <w:pPr>
        <w:pStyle w:val="21"/>
        <w:shd w:val="clear"/>
        <w:spacing w:before="120" w:beforeLines="50" w:after="120" w:afterLines="50" w:line="240" w:lineRule="auto"/>
        <w:ind w:firstLine="480" w:firstLineChars="200"/>
        <w:rPr>
          <w:rFonts w:hint="eastAsia" w:ascii="宋体" w:hAnsi="宋体" w:cs="宋体"/>
          <w:color w:val="auto"/>
          <w:sz w:val="30"/>
          <w:highlight w:val="none"/>
        </w:rPr>
      </w:pPr>
      <w:r>
        <w:rPr>
          <w:rFonts w:hint="eastAsia" w:ascii="宋体" w:hAnsi="宋体" w:cs="宋体"/>
          <w:color w:val="auto"/>
          <w:highlight w:val="none"/>
        </w:rPr>
        <w:t>（2）开标一览表</w:t>
      </w:r>
    </w:p>
    <w:p w14:paraId="5F07FA06">
      <w:pPr>
        <w:pStyle w:val="21"/>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（3）报价情况说明（如有）</w:t>
      </w:r>
    </w:p>
    <w:p w14:paraId="181F9A88">
      <w:pPr>
        <w:shd w:val="clear"/>
        <w:rPr>
          <w:rFonts w:hint="eastAsia" w:ascii="宋体" w:hAnsi="宋体" w:cs="宋体"/>
          <w:color w:val="auto"/>
          <w:sz w:val="30"/>
          <w:highlight w:val="none"/>
        </w:rPr>
      </w:pPr>
    </w:p>
    <w:p w14:paraId="67D65A5C">
      <w:pPr>
        <w:shd w:val="clear"/>
        <w:rPr>
          <w:rFonts w:hint="eastAsia" w:ascii="宋体" w:hAnsi="宋体" w:cs="宋体"/>
          <w:color w:val="auto"/>
          <w:sz w:val="30"/>
          <w:highlight w:val="none"/>
        </w:rPr>
      </w:pPr>
    </w:p>
    <w:p w14:paraId="184B69CE">
      <w:pPr>
        <w:shd w:val="clear"/>
        <w:rPr>
          <w:rFonts w:hint="eastAsia" w:ascii="宋体" w:hAnsi="宋体" w:cs="宋体"/>
          <w:b/>
          <w:bCs/>
          <w:color w:val="auto"/>
          <w:sz w:val="28"/>
          <w:highlight w:val="none"/>
        </w:rPr>
      </w:pPr>
      <w:r>
        <w:rPr>
          <w:rFonts w:hint="eastAsia" w:ascii="宋体" w:hAnsi="宋体" w:cs="宋体"/>
          <w:color w:val="auto"/>
          <w:highlight w:val="none"/>
          <w:u w:val="single"/>
        </w:rPr>
        <w:br w:type="page"/>
      </w:r>
    </w:p>
    <w:p w14:paraId="0602498F">
      <w:pPr>
        <w:widowControl/>
        <w:shd w:val="clear"/>
        <w:tabs>
          <w:tab w:val="left" w:pos="0"/>
        </w:tabs>
        <w:snapToGrid w:val="0"/>
        <w:spacing w:line="360" w:lineRule="auto"/>
        <w:ind w:firstLine="480"/>
        <w:jc w:val="left"/>
        <w:rPr>
          <w:rFonts w:hint="eastAsia" w:ascii="宋体" w:hAnsi="宋体" w:cs="宋体"/>
          <w:b/>
          <w:bCs/>
          <w:color w:val="auto"/>
          <w:kern w:val="0"/>
          <w:sz w:val="36"/>
          <w:szCs w:val="36"/>
          <w:highlight w:val="none"/>
        </w:rPr>
      </w:pPr>
      <w:bookmarkStart w:id="51" w:name="_Toc350938485"/>
      <w:r>
        <w:rPr>
          <w:rFonts w:hint="eastAsia" w:ascii="宋体" w:hAnsi="宋体" w:cs="宋体"/>
          <w:b/>
          <w:bCs/>
          <w:color w:val="auto"/>
          <w:kern w:val="0"/>
          <w:sz w:val="36"/>
          <w:szCs w:val="36"/>
          <w:highlight w:val="none"/>
        </w:rPr>
        <w:t xml:space="preserve">               </w:t>
      </w:r>
    </w:p>
    <w:bookmarkEnd w:id="51"/>
    <w:p w14:paraId="1B7F663F">
      <w:pPr>
        <w:widowControl/>
        <w:shd w:val="clear"/>
        <w:tabs>
          <w:tab w:val="left" w:pos="0"/>
        </w:tabs>
        <w:snapToGrid w:val="0"/>
        <w:spacing w:line="288" w:lineRule="auto"/>
        <w:ind w:firstLine="3253" w:firstLineChars="900"/>
        <w:jc w:val="left"/>
        <w:rPr>
          <w:rFonts w:hint="eastAsia" w:ascii="宋体" w:hAnsi="宋体" w:cs="宋体"/>
          <w:b/>
          <w:bCs/>
          <w:color w:val="auto"/>
          <w:kern w:val="0"/>
          <w:szCs w:val="21"/>
          <w:highlight w:val="none"/>
        </w:rPr>
      </w:pPr>
      <w:r>
        <w:rPr>
          <w:rFonts w:hint="eastAsia" w:ascii="宋体" w:hAnsi="宋体" w:cs="宋体"/>
          <w:b/>
          <w:bCs/>
          <w:color w:val="auto"/>
          <w:kern w:val="0"/>
          <w:sz w:val="36"/>
          <w:szCs w:val="36"/>
          <w:highlight w:val="none"/>
        </w:rPr>
        <w:t xml:space="preserve"> 封面格式</w:t>
      </w:r>
    </w:p>
    <w:p w14:paraId="3821C4D0">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38106848">
      <w:pPr>
        <w:widowControl/>
        <w:shd w:val="clear"/>
        <w:tabs>
          <w:tab w:val="left" w:pos="450"/>
          <w:tab w:val="left" w:pos="8280"/>
        </w:tabs>
        <w:spacing w:line="288" w:lineRule="auto"/>
        <w:ind w:firstLine="885" w:firstLineChars="245"/>
        <w:jc w:val="left"/>
        <w:rPr>
          <w:rFonts w:hint="eastAsia" w:ascii="宋体" w:hAnsi="宋体" w:cs="宋体"/>
          <w:b/>
          <w:color w:val="auto"/>
          <w:kern w:val="0"/>
          <w:sz w:val="44"/>
          <w:szCs w:val="44"/>
          <w:highlight w:val="none"/>
        </w:rPr>
      </w:pPr>
      <w:r>
        <w:rPr>
          <w:rFonts w:hint="eastAsia" w:ascii="宋体" w:hAnsi="宋体" w:cs="宋体"/>
          <w:b/>
          <w:color w:val="auto"/>
          <w:kern w:val="0"/>
          <w:sz w:val="36"/>
          <w:szCs w:val="36"/>
          <w:highlight w:val="none"/>
          <w:u w:val="single"/>
        </w:rPr>
        <w:t xml:space="preserve">                                    </w:t>
      </w:r>
      <w:r>
        <w:rPr>
          <w:rFonts w:hint="eastAsia" w:ascii="宋体" w:hAnsi="宋体" w:cs="宋体"/>
          <w:b/>
          <w:color w:val="auto"/>
          <w:kern w:val="0"/>
          <w:sz w:val="44"/>
          <w:szCs w:val="44"/>
          <w:highlight w:val="none"/>
        </w:rPr>
        <w:t>项目</w:t>
      </w:r>
    </w:p>
    <w:p w14:paraId="0118BD46">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p>
    <w:p w14:paraId="5AE55216">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t>投标文件</w:t>
      </w:r>
    </w:p>
    <w:p w14:paraId="23B5E06A">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（资格响应文件）</w:t>
      </w:r>
    </w:p>
    <w:p w14:paraId="1BF1F633">
      <w:pPr>
        <w:widowControl/>
        <w:shd w:val="clear"/>
        <w:tabs>
          <w:tab w:val="left" w:pos="27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7072122D">
      <w:pPr>
        <w:widowControl/>
        <w:shd w:val="clear"/>
        <w:tabs>
          <w:tab w:val="left" w:pos="275"/>
          <w:tab w:val="left" w:pos="8280"/>
        </w:tabs>
        <w:spacing w:line="288" w:lineRule="auto"/>
        <w:jc w:val="left"/>
        <w:rPr>
          <w:rFonts w:hint="eastAsia" w:ascii="宋体" w:hAnsi="宋体" w:cs="宋体"/>
          <w:b/>
          <w:color w:val="auto"/>
          <w:kern w:val="0"/>
          <w:sz w:val="32"/>
          <w:szCs w:val="32"/>
          <w:highlight w:val="none"/>
        </w:rPr>
      </w:pPr>
    </w:p>
    <w:p w14:paraId="37AE4BEF">
      <w:pPr>
        <w:widowControl/>
        <w:shd w:val="clear"/>
        <w:tabs>
          <w:tab w:val="left" w:pos="275"/>
          <w:tab w:val="left" w:pos="8280"/>
        </w:tabs>
        <w:spacing w:line="288" w:lineRule="auto"/>
        <w:ind w:firstLine="480"/>
        <w:jc w:val="left"/>
        <w:rPr>
          <w:rFonts w:hint="eastAsia" w:ascii="宋体" w:hAnsi="宋体" w:cs="宋体"/>
          <w:b/>
          <w:color w:val="auto"/>
          <w:kern w:val="0"/>
          <w:sz w:val="32"/>
          <w:szCs w:val="32"/>
          <w:highlight w:val="none"/>
        </w:rPr>
      </w:pPr>
    </w:p>
    <w:p w14:paraId="7389908D">
      <w:pPr>
        <w:widowControl/>
        <w:shd w:val="clear"/>
        <w:tabs>
          <w:tab w:val="left" w:pos="27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采购项目编号：</w:t>
      </w:r>
      <w:r>
        <w:rPr>
          <w:rFonts w:hint="eastAsia" w:ascii="宋体" w:hAnsi="宋体" w:cs="宋体"/>
          <w:b/>
          <w:color w:val="auto"/>
          <w:kern w:val="0"/>
          <w:sz w:val="36"/>
          <w:szCs w:val="36"/>
          <w:highlight w:val="none"/>
          <w:u w:val="single"/>
        </w:rPr>
        <w:t xml:space="preserve">                                 </w:t>
      </w:r>
    </w:p>
    <w:p w14:paraId="480ED235">
      <w:pPr>
        <w:widowControl/>
        <w:shd w:val="clear"/>
        <w:tabs>
          <w:tab w:val="left" w:pos="76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2FF119B1">
      <w:pPr>
        <w:widowControl/>
        <w:shd w:val="clear"/>
        <w:tabs>
          <w:tab w:val="left" w:pos="76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投标人（公章）：</w:t>
      </w:r>
      <w:r>
        <w:rPr>
          <w:rFonts w:hint="eastAsia" w:ascii="宋体" w:hAnsi="宋体" w:cs="宋体"/>
          <w:b/>
          <w:color w:val="auto"/>
          <w:kern w:val="0"/>
          <w:sz w:val="36"/>
          <w:szCs w:val="36"/>
          <w:highlight w:val="none"/>
          <w:u w:val="single"/>
        </w:rPr>
        <w:t xml:space="preserve">                                </w:t>
      </w:r>
    </w:p>
    <w:p w14:paraId="4991C790">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5841117C">
      <w:pPr>
        <w:widowControl/>
        <w:shd w:val="clear"/>
        <w:tabs>
          <w:tab w:val="left" w:pos="35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投标人法定代表人</w:t>
      </w:r>
    </w:p>
    <w:p w14:paraId="25B7B8CC">
      <w:pPr>
        <w:widowControl/>
        <w:shd w:val="clear"/>
        <w:tabs>
          <w:tab w:val="left" w:pos="84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或其委托人（签字）：</w:t>
      </w:r>
      <w:r>
        <w:rPr>
          <w:rFonts w:hint="eastAsia" w:ascii="宋体" w:hAnsi="宋体" w:cs="宋体"/>
          <w:b/>
          <w:color w:val="auto"/>
          <w:kern w:val="0"/>
          <w:sz w:val="36"/>
          <w:szCs w:val="36"/>
          <w:highlight w:val="none"/>
          <w:u w:val="single"/>
        </w:rPr>
        <w:t xml:space="preserve">                            </w:t>
      </w:r>
    </w:p>
    <w:p w14:paraId="2B5FC128">
      <w:pPr>
        <w:widowControl/>
        <w:shd w:val="clear"/>
        <w:tabs>
          <w:tab w:val="left" w:pos="350"/>
          <w:tab w:val="left" w:pos="8280"/>
        </w:tabs>
        <w:spacing w:line="288" w:lineRule="auto"/>
        <w:ind w:firstLine="480"/>
        <w:jc w:val="left"/>
        <w:rPr>
          <w:rFonts w:hint="eastAsia" w:ascii="宋体" w:hAnsi="宋体" w:cs="宋体"/>
          <w:b/>
          <w:color w:val="auto"/>
          <w:kern w:val="0"/>
          <w:sz w:val="36"/>
          <w:szCs w:val="36"/>
          <w:highlight w:val="none"/>
        </w:rPr>
      </w:pPr>
    </w:p>
    <w:p w14:paraId="22ACB790">
      <w:pPr>
        <w:widowControl/>
        <w:shd w:val="clear"/>
        <w:tabs>
          <w:tab w:val="left" w:pos="350"/>
          <w:tab w:val="left" w:pos="8280"/>
        </w:tabs>
        <w:spacing w:line="288" w:lineRule="auto"/>
        <w:ind w:firstLine="480"/>
        <w:jc w:val="left"/>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年</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月</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日</w:t>
      </w:r>
    </w:p>
    <w:p w14:paraId="44306650">
      <w:pPr>
        <w:shd w:val="clear"/>
        <w:adjustRightInd w:val="0"/>
        <w:snapToGrid w:val="0"/>
        <w:spacing w:line="360" w:lineRule="auto"/>
        <w:jc w:val="center"/>
        <w:outlineLvl w:val="2"/>
        <w:rPr>
          <w:rFonts w:hint="eastAsia" w:ascii="宋体" w:hAnsi="宋体" w:cs="宋体"/>
          <w:b/>
          <w:bCs/>
          <w:color w:val="auto"/>
          <w:spacing w:val="-6"/>
          <w:sz w:val="24"/>
          <w:highlight w:val="none"/>
        </w:rPr>
      </w:pPr>
      <w:r>
        <w:rPr>
          <w:rFonts w:hint="eastAsia" w:ascii="宋体" w:hAnsi="宋体" w:cs="宋体"/>
          <w:b/>
          <w:color w:val="auto"/>
          <w:kern w:val="0"/>
          <w:sz w:val="32"/>
          <w:szCs w:val="32"/>
          <w:highlight w:val="none"/>
        </w:rPr>
        <w:br w:type="page"/>
      </w:r>
      <w:r>
        <w:rPr>
          <w:rFonts w:hint="eastAsia" w:ascii="宋体" w:hAnsi="宋体" w:cs="宋体"/>
          <w:b/>
          <w:color w:val="auto"/>
          <w:sz w:val="24"/>
          <w:highlight w:val="none"/>
        </w:rPr>
        <w:t>（1）</w:t>
      </w:r>
      <w:r>
        <w:rPr>
          <w:rFonts w:hint="eastAsia" w:ascii="宋体" w:hAnsi="宋体" w:cs="宋体"/>
          <w:b/>
          <w:bCs/>
          <w:color w:val="auto"/>
          <w:sz w:val="24"/>
          <w:highlight w:val="none"/>
        </w:rPr>
        <w:t>符合参加采购活动应当具备的一般条件的承诺函</w:t>
      </w:r>
    </w:p>
    <w:p w14:paraId="54E976F1">
      <w:pPr>
        <w:shd w:val="clear"/>
        <w:adjustRightInd w:val="0"/>
        <w:snapToGrid w:val="0"/>
        <w:spacing w:line="360" w:lineRule="auto"/>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致：浙江大学医学院附属第四医院、浙江求是招标代理有限公司</w:t>
      </w:r>
    </w:p>
    <w:p w14:paraId="04EE12BC">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我方</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（投标人名称）参加放射安全防护技术服务的采购活动并承诺如下：</w:t>
      </w:r>
    </w:p>
    <w:p w14:paraId="509C3450">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一、我方满足《中华人民共和国政府采购法》第二十二条规定：</w:t>
      </w:r>
    </w:p>
    <w:p w14:paraId="1C789C21">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（一）具有独立承担民事责任的能力；</w:t>
      </w:r>
    </w:p>
    <w:p w14:paraId="3DC134A9">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（二）具有良好的商业信誉和健全的财务会计制度；</w:t>
      </w:r>
    </w:p>
    <w:p w14:paraId="144500B4">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（三）具有履行合同所必需的设备和专业技术能力；</w:t>
      </w:r>
    </w:p>
    <w:p w14:paraId="5E46C301">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（四）有依法缴纳税收和社会保障资金的良好记录；</w:t>
      </w:r>
    </w:p>
    <w:p w14:paraId="176DE67F">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（五）参加本项目采购活动前三年内，在经营活动中</w:t>
      </w:r>
      <w:r>
        <w:rPr>
          <w:rFonts w:hint="eastAsia" w:ascii="宋体" w:hAnsi="宋体" w:cs="宋体"/>
          <w:b/>
          <w:color w:val="auto"/>
          <w:spacing w:val="-6"/>
          <w:szCs w:val="21"/>
          <w:highlight w:val="none"/>
          <w:u w:val="single"/>
        </w:rPr>
        <w:t xml:space="preserve">     </w:t>
      </w:r>
      <w:r>
        <w:rPr>
          <w:rFonts w:hint="eastAsia" w:ascii="宋体" w:hAnsi="宋体" w:cs="宋体"/>
          <w:b/>
          <w:color w:val="auto"/>
          <w:spacing w:val="-6"/>
          <w:szCs w:val="21"/>
          <w:highlight w:val="none"/>
        </w:rPr>
        <w:t>（填写“有”或“没有”）</w:t>
      </w:r>
      <w:r>
        <w:rPr>
          <w:rFonts w:hint="eastAsia" w:ascii="宋体" w:hAnsi="宋体" w:cs="宋体"/>
          <w:color w:val="auto"/>
          <w:spacing w:val="-6"/>
          <w:szCs w:val="21"/>
          <w:highlight w:val="none"/>
        </w:rPr>
        <w:t>重大违法记录（重大违法记录是指投标人因违法经营受到刑事处罚或者责令停产停业、吊销许可证或者执照、较大数额罚款等行政处罚）。</w:t>
      </w:r>
    </w:p>
    <w:p w14:paraId="022E691C">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（六）法律、行政法规规定的其他条件。</w:t>
      </w:r>
    </w:p>
    <w:p w14:paraId="58DF6A31">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二、未被信用中国（www.creditchina.gov.cn）、中国政府采购网（www.ccgp.gov.cn）列入失信被执行人、重大税收违法案件当事人名单、政府采购严重违法失信行为记录名单。</w:t>
      </w:r>
    </w:p>
    <w:p w14:paraId="1DD624A4">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三、不存在以下情况：</w:t>
      </w:r>
    </w:p>
    <w:p w14:paraId="411E9833">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1.单位负责人为同一人或者存在直接控股、管理关系的不同供应商参加同一合同项下的采购活动的；</w:t>
      </w:r>
    </w:p>
    <w:p w14:paraId="1E00DE09">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2.为采购项目提供整体设计、规范编制或者项目管理、监理、检测等服务后再参加该采购项目的其他采购活动的。</w:t>
      </w:r>
    </w:p>
    <w:p w14:paraId="1B6B5E7B">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四、以上事项如有虚假或隐瞒，我方愿意承担一切后果和责任。</w:t>
      </w:r>
    </w:p>
    <w:p w14:paraId="0F46910F">
      <w:pPr>
        <w:shd w:val="clear"/>
        <w:adjustRightInd w:val="0"/>
        <w:snapToGrid w:val="0"/>
        <w:spacing w:line="360" w:lineRule="auto"/>
        <w:rPr>
          <w:rFonts w:hint="eastAsia" w:ascii="宋体" w:hAnsi="宋体" w:cs="宋体"/>
          <w:color w:val="auto"/>
          <w:szCs w:val="21"/>
          <w:highlight w:val="none"/>
        </w:rPr>
      </w:pPr>
    </w:p>
    <w:p w14:paraId="7A366322">
      <w:pPr>
        <w:shd w:val="clear"/>
        <w:adjustRightInd w:val="0"/>
        <w:snapToGrid w:val="0"/>
        <w:spacing w:line="360" w:lineRule="auto"/>
        <w:rPr>
          <w:rFonts w:hint="eastAsia" w:ascii="宋体" w:hAnsi="宋体" w:cs="宋体"/>
          <w:b/>
          <w:bCs/>
          <w:color w:val="auto"/>
          <w:spacing w:val="-6"/>
          <w:szCs w:val="21"/>
          <w:highlight w:val="none"/>
        </w:rPr>
      </w:pPr>
    </w:p>
    <w:p w14:paraId="4A5FB5F1">
      <w:pPr>
        <w:shd w:val="clear"/>
        <w:adjustRightInd w:val="0"/>
        <w:snapToGrid w:val="0"/>
        <w:spacing w:line="360" w:lineRule="auto"/>
        <w:rPr>
          <w:rFonts w:hint="eastAsia" w:ascii="宋体" w:hAnsi="宋体" w:cs="宋体"/>
          <w:b/>
          <w:bCs/>
          <w:color w:val="auto"/>
          <w:spacing w:val="-6"/>
          <w:szCs w:val="21"/>
          <w:highlight w:val="none"/>
        </w:rPr>
      </w:pPr>
    </w:p>
    <w:p w14:paraId="230F53CF">
      <w:pPr>
        <w:shd w:val="clear"/>
        <w:adjustRightInd w:val="0"/>
        <w:snapToGrid w:val="0"/>
        <w:spacing w:line="360" w:lineRule="auto"/>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投标人名称（公章）：</w:t>
      </w:r>
    </w:p>
    <w:p w14:paraId="7DC7840B">
      <w:pPr>
        <w:shd w:val="clear"/>
        <w:adjustRightInd w:val="0"/>
        <w:snapToGrid w:val="0"/>
        <w:spacing w:line="360" w:lineRule="auto"/>
        <w:rPr>
          <w:rFonts w:hint="eastAsia" w:ascii="宋体" w:hAnsi="宋体" w:cs="宋体"/>
          <w:b/>
          <w:color w:val="auto"/>
          <w:spacing w:val="-6"/>
          <w:szCs w:val="21"/>
          <w:highlight w:val="none"/>
        </w:rPr>
      </w:pPr>
      <w:r>
        <w:rPr>
          <w:rFonts w:hint="eastAsia" w:ascii="宋体" w:hAnsi="宋体" w:cs="宋体"/>
          <w:b/>
          <w:bCs/>
          <w:color w:val="auto"/>
          <w:spacing w:val="-6"/>
          <w:szCs w:val="21"/>
          <w:highlight w:val="none"/>
        </w:rPr>
        <w:t>日期：     年   月   日</w:t>
      </w:r>
    </w:p>
    <w:p w14:paraId="5EEF6133">
      <w:pPr>
        <w:shd w:val="clear"/>
        <w:spacing w:line="540" w:lineRule="exact"/>
        <w:rPr>
          <w:rFonts w:hint="eastAsia" w:ascii="宋体" w:hAnsi="宋体" w:cs="宋体"/>
          <w:color w:val="auto"/>
          <w:sz w:val="24"/>
          <w:highlight w:val="none"/>
        </w:rPr>
      </w:pPr>
    </w:p>
    <w:p w14:paraId="51E91925">
      <w:pPr>
        <w:shd w:val="clear"/>
        <w:spacing w:line="500" w:lineRule="exact"/>
        <w:rPr>
          <w:rFonts w:hint="eastAsia" w:ascii="宋体" w:hAnsi="宋体" w:cs="宋体"/>
          <w:color w:val="auto"/>
          <w:sz w:val="24"/>
          <w:highlight w:val="none"/>
        </w:rPr>
      </w:pPr>
    </w:p>
    <w:p w14:paraId="0755B6E9">
      <w:pPr>
        <w:shd w:val="clear"/>
        <w:spacing w:line="500" w:lineRule="exact"/>
        <w:rPr>
          <w:rFonts w:hint="eastAsia" w:ascii="宋体" w:hAnsi="宋体" w:cs="宋体"/>
          <w:color w:val="auto"/>
          <w:highlight w:val="none"/>
        </w:rPr>
      </w:pPr>
    </w:p>
    <w:p w14:paraId="73A0D9C3">
      <w:pPr>
        <w:shd w:val="clear"/>
        <w:adjustRightInd w:val="0"/>
        <w:snapToGrid w:val="0"/>
        <w:spacing w:line="360" w:lineRule="auto"/>
        <w:jc w:val="center"/>
        <w:outlineLvl w:val="2"/>
        <w:rPr>
          <w:rFonts w:hint="eastAsia" w:ascii="宋体" w:hAnsi="宋体" w:cs="宋体"/>
          <w:b/>
          <w:bCs/>
          <w:color w:val="auto"/>
          <w:sz w:val="24"/>
          <w:highlight w:val="none"/>
        </w:rPr>
      </w:pPr>
      <w:r>
        <w:rPr>
          <w:rFonts w:hint="eastAsia" w:ascii="宋体" w:hAnsi="宋体" w:cs="宋体"/>
          <w:color w:val="auto"/>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有效的法人或者其他组织的营业执照等文件/自然人的身份证</w:t>
      </w:r>
    </w:p>
    <w:p w14:paraId="35FEF6C5">
      <w:pPr>
        <w:shd w:val="clear"/>
        <w:adjustRightInd w:val="0"/>
        <w:snapToGrid w:val="0"/>
        <w:spacing w:line="360" w:lineRule="auto"/>
        <w:rPr>
          <w:rFonts w:hint="eastAsia" w:ascii="宋体" w:hAnsi="宋体" w:cs="宋体"/>
          <w:color w:val="auto"/>
          <w:szCs w:val="21"/>
          <w:highlight w:val="none"/>
        </w:rPr>
      </w:pPr>
    </w:p>
    <w:p w14:paraId="67C8A486">
      <w:pPr>
        <w:shd w:val="clear"/>
        <w:adjustRightInd w:val="0"/>
        <w:snapToGrid w:val="0"/>
        <w:spacing w:line="360" w:lineRule="auto"/>
        <w:rPr>
          <w:rFonts w:hint="eastAsia" w:ascii="宋体" w:hAnsi="宋体" w:cs="宋体"/>
          <w:color w:val="auto"/>
          <w:szCs w:val="21"/>
          <w:highlight w:val="none"/>
        </w:rPr>
      </w:pPr>
    </w:p>
    <w:p w14:paraId="0CFA6554">
      <w:pPr>
        <w:shd w:val="clear"/>
        <w:adjustRightInd w:val="0"/>
        <w:snapToGrid w:val="0"/>
        <w:spacing w:line="360" w:lineRule="auto"/>
        <w:rPr>
          <w:rFonts w:hint="eastAsia" w:ascii="宋体" w:hAnsi="宋体" w:cs="宋体"/>
          <w:b/>
          <w:bCs/>
          <w:color w:val="auto"/>
          <w:szCs w:val="21"/>
          <w:highlight w:val="none"/>
        </w:rPr>
      </w:pPr>
    </w:p>
    <w:p w14:paraId="02500BAE">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说明：</w:t>
      </w:r>
    </w:p>
    <w:p w14:paraId="522AACBB">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1.如供应商是企业（包括合伙企业），提供在工商部门注册的有效“企业法人营业执照”或“营业执照”；</w:t>
      </w:r>
    </w:p>
    <w:p w14:paraId="30CE2309">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2.如供应商是事业单位，提供有效的“事业单位法人证书”；</w:t>
      </w:r>
    </w:p>
    <w:p w14:paraId="6D5995C9">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3.如供应商是非企业专业服务机构，提供执业许可证等证明文件；</w:t>
      </w:r>
    </w:p>
    <w:p w14:paraId="103D7A8D">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4.如供应商是个体工商户，提供有效的“个体工商户营业执照”；</w:t>
      </w:r>
    </w:p>
    <w:p w14:paraId="71B3EEB9">
      <w:pPr>
        <w:shd w:val="clear"/>
        <w:adjustRightInd w:val="0"/>
        <w:snapToGrid w:val="0"/>
        <w:spacing w:line="360" w:lineRule="auto"/>
        <w:rPr>
          <w:rFonts w:hint="eastAsia" w:ascii="宋体" w:hAnsi="宋体" w:cs="宋体"/>
          <w:bCs/>
          <w:color w:val="auto"/>
          <w:spacing w:val="-6"/>
          <w:szCs w:val="21"/>
          <w:highlight w:val="none"/>
        </w:rPr>
      </w:pPr>
      <w:r>
        <w:rPr>
          <w:rFonts w:hint="eastAsia" w:ascii="宋体" w:hAnsi="宋体" w:cs="宋体"/>
          <w:b/>
          <w:bCs/>
          <w:color w:val="auto"/>
          <w:sz w:val="18"/>
          <w:szCs w:val="18"/>
          <w:highlight w:val="none"/>
        </w:rPr>
        <w:t>5.如供应商是自然人，提供有效的自然人身份证明。</w:t>
      </w:r>
    </w:p>
    <w:p w14:paraId="78402822">
      <w:pPr>
        <w:shd w:val="clear"/>
        <w:spacing w:line="360" w:lineRule="auto"/>
        <w:rPr>
          <w:rFonts w:hint="eastAsia" w:ascii="宋体" w:hAnsi="宋体" w:cs="宋体"/>
          <w:color w:val="auto"/>
          <w:sz w:val="24"/>
          <w:highlight w:val="none"/>
        </w:rPr>
      </w:pPr>
    </w:p>
    <w:p w14:paraId="4E236EC1">
      <w:pPr>
        <w:pStyle w:val="4"/>
        <w:shd w:val="clear"/>
        <w:jc w:val="center"/>
        <w:rPr>
          <w:rFonts w:hint="eastAsia" w:ascii="宋体" w:hAnsi="宋体" w:cs="宋体"/>
          <w:b w:val="0"/>
          <w:bCs w:val="0"/>
          <w:color w:val="auto"/>
          <w:highlight w:val="none"/>
        </w:rPr>
      </w:pPr>
      <w:r>
        <w:rPr>
          <w:rFonts w:hint="eastAsia" w:ascii="宋体" w:hAnsi="宋体" w:cs="宋体"/>
          <w:b w:val="0"/>
          <w:bCs w:val="0"/>
          <w:color w:val="auto"/>
          <w:highlight w:val="none"/>
        </w:rPr>
        <w:br w:type="page"/>
      </w:r>
      <w:r>
        <w:rPr>
          <w:rFonts w:hint="eastAsia" w:ascii="宋体" w:hAnsi="宋体" w:cs="宋体"/>
          <w:color w:val="auto"/>
          <w:szCs w:val="24"/>
          <w:highlight w:val="none"/>
        </w:rPr>
        <w:t>（3）具备有效的《放射卫生技术服务机构资质证书》</w:t>
      </w:r>
      <w:r>
        <w:rPr>
          <w:rFonts w:hint="eastAsia" w:ascii="宋体" w:hAnsi="宋体" w:cs="宋体"/>
          <w:color w:val="auto"/>
          <w:highlight w:val="none"/>
        </w:rPr>
        <w:t>（技术服务范围包含：放射诊疗建设项目职业病危害放射防护评价、放射卫生防护检测）</w:t>
      </w:r>
    </w:p>
    <w:p w14:paraId="6BD2B3EA">
      <w:pPr>
        <w:pStyle w:val="4"/>
        <w:shd w:val="clear"/>
        <w:jc w:val="center"/>
        <w:rPr>
          <w:rFonts w:hint="eastAsia" w:ascii="宋体" w:hAnsi="宋体" w:cs="宋体"/>
          <w:color w:val="auto"/>
          <w:szCs w:val="24"/>
          <w:highlight w:val="none"/>
        </w:rPr>
      </w:pPr>
      <w:r>
        <w:rPr>
          <w:rFonts w:hint="eastAsia" w:ascii="宋体" w:hAnsi="宋体" w:cs="宋体"/>
          <w:color w:val="auto"/>
          <w:szCs w:val="24"/>
          <w:highlight w:val="none"/>
        </w:rPr>
        <w:br w:type="page"/>
      </w:r>
      <w:r>
        <w:rPr>
          <w:rFonts w:hint="eastAsia" w:ascii="宋体" w:hAnsi="宋体" w:cs="宋体"/>
          <w:color w:val="auto"/>
          <w:szCs w:val="24"/>
          <w:highlight w:val="none"/>
        </w:rPr>
        <w:t>（4）中小企业声明函</w:t>
      </w:r>
    </w:p>
    <w:p w14:paraId="33CC9292">
      <w:pPr>
        <w:shd w:val="clear"/>
        <w:adjustRightInd w:val="0"/>
        <w:snapToGrid w:val="0"/>
        <w:spacing w:line="288" w:lineRule="auto"/>
        <w:ind w:firstLine="495" w:firstLineChars="236"/>
        <w:rPr>
          <w:rFonts w:ascii="宋体" w:hAnsi="宋体"/>
          <w:color w:val="auto"/>
          <w:szCs w:val="21"/>
          <w:highlight w:val="none"/>
        </w:rPr>
      </w:pPr>
      <w:r>
        <w:rPr>
          <w:rFonts w:ascii="宋体" w:hAnsi="宋体"/>
          <w:color w:val="auto"/>
          <w:szCs w:val="21"/>
          <w:highlight w:val="none"/>
        </w:rPr>
        <w:t>本公司郑重声明，根据《政府采购促进中小企业发展管理办法》（财库</w:t>
      </w:r>
      <w:r>
        <w:rPr>
          <w:rFonts w:hint="eastAsia" w:ascii="宋体" w:hAnsi="宋体"/>
          <w:color w:val="auto"/>
          <w:szCs w:val="21"/>
          <w:highlight w:val="none"/>
        </w:rPr>
        <w:t>﹝</w:t>
      </w:r>
      <w:r>
        <w:rPr>
          <w:rFonts w:ascii="宋体" w:hAnsi="宋体"/>
          <w:color w:val="auto"/>
          <w:szCs w:val="21"/>
          <w:highlight w:val="none"/>
        </w:rPr>
        <w:t>2020</w:t>
      </w:r>
      <w:r>
        <w:rPr>
          <w:rFonts w:hint="eastAsia" w:ascii="宋体" w:hAnsi="宋体"/>
          <w:color w:val="auto"/>
          <w:szCs w:val="21"/>
          <w:highlight w:val="none"/>
        </w:rPr>
        <w:t>﹞</w:t>
      </w:r>
      <w:r>
        <w:rPr>
          <w:rFonts w:ascii="宋体" w:hAnsi="宋体"/>
          <w:color w:val="auto"/>
          <w:szCs w:val="21"/>
          <w:highlight w:val="none"/>
        </w:rPr>
        <w:t>46 号）的规定，本公司参加</w:t>
      </w:r>
      <w:r>
        <w:rPr>
          <w:rFonts w:hint="eastAsia" w:ascii="宋体" w:hAnsi="宋体"/>
          <w:color w:val="auto"/>
          <w:szCs w:val="21"/>
          <w:highlight w:val="none"/>
          <w:u w:val="single"/>
        </w:rPr>
        <w:t>浙江大学医学院附属第四医院</w:t>
      </w:r>
      <w:r>
        <w:rPr>
          <w:rFonts w:ascii="宋体" w:hAnsi="宋体"/>
          <w:color w:val="auto"/>
          <w:szCs w:val="21"/>
          <w:highlight w:val="none"/>
          <w:u w:val="single"/>
        </w:rPr>
        <w:t>（单位名称）</w:t>
      </w:r>
      <w:r>
        <w:rPr>
          <w:rFonts w:ascii="宋体" w:hAnsi="宋体"/>
          <w:color w:val="auto"/>
          <w:szCs w:val="21"/>
          <w:highlight w:val="none"/>
        </w:rPr>
        <w:t>的</w:t>
      </w:r>
      <w:r>
        <w:rPr>
          <w:rFonts w:hint="eastAsia" w:ascii="宋体" w:hAnsi="宋体"/>
          <w:color w:val="auto"/>
          <w:szCs w:val="21"/>
          <w:highlight w:val="none"/>
          <w:u w:val="single"/>
        </w:rPr>
        <w:t>放射安全防护技术服务</w:t>
      </w:r>
      <w:r>
        <w:rPr>
          <w:rFonts w:ascii="宋体" w:hAnsi="宋体"/>
          <w:color w:val="auto"/>
          <w:szCs w:val="21"/>
          <w:highlight w:val="none"/>
        </w:rPr>
        <w:t>采购活动，服务全部由符合政策要求的中小企业承接。相关企业（含联合 体中的中小企业、签订分包意向协议的中小企业）的具体情况如下：</w:t>
      </w:r>
    </w:p>
    <w:p w14:paraId="2C595403">
      <w:pPr>
        <w:shd w:val="clear"/>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w:t>
      </w:r>
      <w:r>
        <w:rPr>
          <w:rFonts w:ascii="宋体" w:hAnsi="宋体"/>
          <w:color w:val="auto"/>
          <w:szCs w:val="21"/>
          <w:highlight w:val="none"/>
          <w:u w:val="single"/>
        </w:rPr>
        <w:t>.</w:t>
      </w:r>
      <w:r>
        <w:rPr>
          <w:rFonts w:hint="eastAsia" w:ascii="宋体" w:hAnsi="宋体" w:cs="宋体"/>
          <w:color w:val="auto"/>
          <w:kern w:val="0"/>
          <w:szCs w:val="21"/>
          <w:highlight w:val="none"/>
          <w:u w:val="single"/>
        </w:rPr>
        <w:t>放射安全防护技术服务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（标的名称），属于</w:t>
      </w:r>
      <w:r>
        <w:rPr>
          <w:rFonts w:hint="eastAsia" w:ascii="宋体" w:hAnsi="宋体" w:cs="宋体"/>
          <w:color w:val="auto"/>
          <w:szCs w:val="21"/>
          <w:highlight w:val="none"/>
          <w:u w:val="single"/>
        </w:rPr>
        <w:t>其他未列明行业</w:t>
      </w:r>
      <w:r>
        <w:rPr>
          <w:rFonts w:ascii="宋体" w:hAnsi="宋体"/>
          <w:color w:val="auto"/>
          <w:szCs w:val="21"/>
          <w:highlight w:val="none"/>
          <w:u w:val="single"/>
        </w:rPr>
        <w:t>；</w:t>
      </w:r>
      <w:r>
        <w:rPr>
          <w:rFonts w:ascii="宋体" w:hAnsi="宋体"/>
          <w:color w:val="auto"/>
          <w:szCs w:val="21"/>
          <w:highlight w:val="none"/>
        </w:rPr>
        <w:t>承接企业为</w:t>
      </w:r>
      <w:r>
        <w:rPr>
          <w:rFonts w:hint="eastAsia" w:ascii="宋体" w:hAnsi="宋体"/>
          <w:color w:val="auto"/>
          <w:szCs w:val="21"/>
          <w:highlight w:val="none"/>
          <w:u w:val="single"/>
        </w:rPr>
        <w:t xml:space="preserve">    </w:t>
      </w:r>
      <w:r>
        <w:rPr>
          <w:rFonts w:ascii="宋体" w:hAnsi="宋体"/>
          <w:color w:val="auto"/>
          <w:szCs w:val="21"/>
          <w:highlight w:val="none"/>
          <w:u w:val="single"/>
        </w:rPr>
        <w:t>（企业名称）</w:t>
      </w:r>
      <w:r>
        <w:rPr>
          <w:rFonts w:ascii="宋体" w:hAnsi="宋体"/>
          <w:color w:val="auto"/>
          <w:szCs w:val="21"/>
          <w:highlight w:val="none"/>
        </w:rPr>
        <w:t>，从业人员</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万元，资产总额为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万元，属于</w:t>
      </w:r>
      <w:r>
        <w:rPr>
          <w:rFonts w:hint="eastAsia" w:ascii="宋体" w:hAnsi="宋体"/>
          <w:color w:val="auto"/>
          <w:szCs w:val="21"/>
          <w:highlight w:val="none"/>
          <w:u w:val="single"/>
        </w:rPr>
        <w:t xml:space="preserve">       </w:t>
      </w:r>
      <w:r>
        <w:rPr>
          <w:rFonts w:ascii="宋体" w:hAnsi="宋体"/>
          <w:color w:val="auto"/>
          <w:szCs w:val="21"/>
          <w:highlight w:val="none"/>
          <w:u w:val="single"/>
        </w:rPr>
        <w:t>（中型企业、小型企业、微型企业）</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s="宋体"/>
          <w:b/>
          <w:bCs/>
          <w:color w:val="auto"/>
          <w:szCs w:val="21"/>
          <w:highlight w:val="none"/>
        </w:rPr>
        <w:t>本项目属性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r>
        <w:rPr>
          <w:rFonts w:hint="eastAsia" w:ascii="宋体" w:hAnsi="宋体"/>
          <w:b/>
          <w:bCs/>
          <w:color w:val="auto"/>
          <w:szCs w:val="21"/>
          <w:highlight w:val="none"/>
        </w:rPr>
        <w:t>）</w:t>
      </w:r>
    </w:p>
    <w:p w14:paraId="1618B0DD">
      <w:pPr>
        <w:shd w:val="clear"/>
        <w:adjustRightInd w:val="0"/>
        <w:snapToGrid w:val="0"/>
        <w:spacing w:line="288" w:lineRule="auto"/>
        <w:ind w:firstLine="495" w:firstLineChars="236"/>
        <w:rPr>
          <w:rFonts w:ascii="宋体" w:hAnsi="宋体"/>
          <w:color w:val="auto"/>
          <w:szCs w:val="21"/>
          <w:highlight w:val="none"/>
        </w:rPr>
      </w:pPr>
      <w:r>
        <w:rPr>
          <w:rFonts w:ascii="宋体" w:hAnsi="宋体"/>
          <w:color w:val="auto"/>
          <w:szCs w:val="21"/>
          <w:highlight w:val="none"/>
        </w:rPr>
        <w:t>以上企业，不属于大企业的分支机构，不存在控股股东为大企业的情形，也不存在与大企业的负责人为同一人的情形。</w:t>
      </w:r>
    </w:p>
    <w:p w14:paraId="32A90528">
      <w:pPr>
        <w:shd w:val="clear"/>
        <w:adjustRightInd w:val="0"/>
        <w:snapToGrid w:val="0"/>
        <w:spacing w:line="288" w:lineRule="auto"/>
        <w:ind w:firstLine="495" w:firstLineChars="236"/>
        <w:rPr>
          <w:rFonts w:ascii="宋体" w:hAnsi="宋体"/>
          <w:color w:val="auto"/>
          <w:szCs w:val="21"/>
          <w:highlight w:val="none"/>
        </w:rPr>
      </w:pPr>
      <w:r>
        <w:rPr>
          <w:rFonts w:ascii="宋体" w:hAnsi="宋体"/>
          <w:color w:val="auto"/>
          <w:szCs w:val="21"/>
          <w:highlight w:val="none"/>
        </w:rPr>
        <w:t>本企业对上述声明内容的真实性负责。如有虚假，将依法承担相应责任。</w:t>
      </w:r>
    </w:p>
    <w:p w14:paraId="6F05E75B">
      <w:pPr>
        <w:shd w:val="clear"/>
        <w:adjustRightInd w:val="0"/>
        <w:snapToGrid w:val="0"/>
        <w:spacing w:line="288" w:lineRule="auto"/>
        <w:ind w:firstLine="495" w:firstLineChars="236"/>
        <w:rPr>
          <w:rFonts w:ascii="宋体" w:hAnsi="宋体"/>
          <w:color w:val="auto"/>
          <w:szCs w:val="21"/>
          <w:highlight w:val="none"/>
        </w:rPr>
      </w:pPr>
    </w:p>
    <w:p w14:paraId="4754EE6D">
      <w:pPr>
        <w:shd w:val="clear"/>
        <w:adjustRightInd w:val="0"/>
        <w:snapToGrid w:val="0"/>
        <w:spacing w:line="288" w:lineRule="auto"/>
        <w:ind w:firstLine="495" w:firstLineChars="236"/>
        <w:rPr>
          <w:rFonts w:ascii="宋体" w:hAnsi="宋体"/>
          <w:color w:val="auto"/>
          <w:szCs w:val="21"/>
          <w:highlight w:val="none"/>
        </w:rPr>
      </w:pPr>
      <w:r>
        <w:rPr>
          <w:rFonts w:ascii="宋体" w:hAnsi="宋体"/>
          <w:color w:val="auto"/>
          <w:szCs w:val="21"/>
          <w:highlight w:val="none"/>
        </w:rPr>
        <w:t>企业名称（盖章）：</w:t>
      </w:r>
    </w:p>
    <w:p w14:paraId="56C327F8">
      <w:pPr>
        <w:shd w:val="clear"/>
        <w:adjustRightInd w:val="0"/>
        <w:snapToGrid w:val="0"/>
        <w:spacing w:line="288" w:lineRule="auto"/>
        <w:ind w:firstLine="495" w:firstLineChars="236"/>
        <w:rPr>
          <w:rFonts w:ascii="宋体" w:hAnsi="宋体"/>
          <w:color w:val="auto"/>
          <w:szCs w:val="21"/>
          <w:highlight w:val="none"/>
        </w:rPr>
      </w:pPr>
      <w:r>
        <w:rPr>
          <w:rFonts w:ascii="宋体" w:hAnsi="宋体"/>
          <w:color w:val="auto"/>
          <w:szCs w:val="21"/>
          <w:highlight w:val="none"/>
        </w:rPr>
        <w:t>日期：</w:t>
      </w:r>
    </w:p>
    <w:p w14:paraId="1BAC30B3">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填写说明：</w:t>
      </w:r>
    </w:p>
    <w:p w14:paraId="33195F11">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1.标的名称，按照【招标文件】中明确的标的填写；</w:t>
      </w:r>
    </w:p>
    <w:p w14:paraId="55A62722">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2.所属行业，按照【招标文件】中明确的标的“所属行业”填写；</w:t>
      </w:r>
    </w:p>
    <w:p w14:paraId="771CC712">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3.制造商，货物由中小企业制造，即货物由中小企业生产且使用该中小企业商号或者注册商标；</w:t>
      </w:r>
    </w:p>
    <w:p w14:paraId="2B7613E8">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4.从业人员、营业收入、资产总额填报上一年度数据，无上一年度数据的新成立企业可不填报。</w:t>
      </w:r>
    </w:p>
    <w:p w14:paraId="3E0B0A50">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★5.企业类型（包括新成立企业），按照《中小企业划型标准规定》（工信部联企业〔2011〕300号）规定和【招标文件】中明确的标的“所属行业”，选择“中型企业、小型企业、微型企业”其中之一；</w:t>
      </w:r>
    </w:p>
    <w:p w14:paraId="26913AC7">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6.招标文件中明确的标的是能够独立发挥功能的产品，配件、辅料不作为标的，不需要在《中小企业声明函》里填列。</w:t>
      </w:r>
    </w:p>
    <w:p w14:paraId="4D6AA873">
      <w:pPr>
        <w:shd w:val="clear"/>
        <w:adjustRightInd w:val="0"/>
        <w:snapToGrid w:val="0"/>
        <w:spacing w:line="288" w:lineRule="auto"/>
        <w:ind w:firstLine="420" w:firstLineChars="200"/>
        <w:jc w:val="left"/>
        <w:rPr>
          <w:rFonts w:hint="eastAsia" w:hAnsi="宋体" w:cs="宋体"/>
          <w:color w:val="auto"/>
          <w:szCs w:val="21"/>
          <w:highlight w:val="none"/>
        </w:rPr>
      </w:pPr>
    </w:p>
    <w:p w14:paraId="41752F9C">
      <w:pPr>
        <w:shd w:val="clear"/>
        <w:adjustRightInd w:val="0"/>
        <w:snapToGrid w:val="0"/>
        <w:spacing w:line="288"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注：</w:t>
      </w:r>
    </w:p>
    <w:p w14:paraId="7C0396E4">
      <w:pPr>
        <w:shd w:val="clear"/>
        <w:adjustRightInd w:val="0"/>
        <w:snapToGrid w:val="0"/>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1.中小企业参加政府采购活动，应当出具本办法规定的《中小企业声明函》，否则不得享受相关中小企业扶持政策，《中小企业声明函》由参加政府采购活动的供应商出具。</w:t>
      </w:r>
    </w:p>
    <w:p w14:paraId="7DB339D6">
      <w:pPr>
        <w:shd w:val="clear"/>
        <w:adjustRightInd w:val="0"/>
        <w:snapToGrid w:val="0"/>
        <w:spacing w:line="288" w:lineRule="auto"/>
        <w:ind w:firstLine="420" w:firstLineChars="200"/>
        <w:rPr>
          <w:rFonts w:hint="eastAsia" w:hAnsi="宋体" w:cs="宋体"/>
          <w:color w:val="auto"/>
          <w:szCs w:val="21"/>
          <w:highlight w:val="none"/>
        </w:rPr>
      </w:pPr>
      <w:r>
        <w:rPr>
          <w:rFonts w:hint="eastAsia" w:hAnsi="宋体" w:cs="宋体"/>
          <w:color w:val="auto"/>
          <w:szCs w:val="21"/>
          <w:highlight w:val="none"/>
        </w:rPr>
        <w:t>★2.可以享受中小企业扶持政策的供应商应按照采购文件格式要求提供《中小企业声明函》。《中小企业声明函》填写企业类型错误，以致该供应商享受本不能享受的中小企业扶持政策的，投标（响应）无效并依法承担法律责任。</w:t>
      </w:r>
    </w:p>
    <w:p w14:paraId="0401DDBD">
      <w:pPr>
        <w:shd w:val="clear"/>
        <w:adjustRightInd w:val="0"/>
        <w:snapToGrid w:val="0"/>
        <w:spacing w:line="288" w:lineRule="auto"/>
        <w:jc w:val="center"/>
        <w:outlineLvl w:val="2"/>
        <w:rPr>
          <w:rFonts w:ascii="宋体" w:hAnsi="宋体" w:cs="宋体"/>
          <w:color w:val="auto"/>
          <w:kern w:val="0"/>
          <w:szCs w:val="21"/>
          <w:highlight w:val="none"/>
        </w:rPr>
      </w:pPr>
      <w:r>
        <w:rPr>
          <w:rFonts w:hint="eastAsia" w:ascii="宋体" w:hAnsi="宋体" w:cs="宋体"/>
          <w:color w:val="auto"/>
          <w:highlight w:val="none"/>
        </w:rPr>
        <w:br w:type="page"/>
      </w:r>
      <w:r>
        <w:rPr>
          <w:rFonts w:hint="eastAsia" w:ascii="宋体" w:hAnsi="宋体" w:cs="宋体"/>
          <w:b/>
          <w:bCs/>
          <w:color w:val="auto"/>
          <w:sz w:val="24"/>
          <w:highlight w:val="none"/>
        </w:rPr>
        <w:t>（5）属于监狱企业的证明文件（若属于监狱企业）</w:t>
      </w:r>
    </w:p>
    <w:p w14:paraId="2777014C">
      <w:pPr>
        <w:shd w:val="clear"/>
        <w:adjustRightInd w:val="0"/>
        <w:snapToGrid w:val="0"/>
        <w:spacing w:line="288" w:lineRule="auto"/>
        <w:rPr>
          <w:rFonts w:ascii="宋体" w:hAnsi="宋体" w:cs="宋体"/>
          <w:color w:val="auto"/>
          <w:kern w:val="0"/>
          <w:szCs w:val="21"/>
          <w:highlight w:val="none"/>
        </w:rPr>
      </w:pPr>
    </w:p>
    <w:p w14:paraId="048367FC">
      <w:pPr>
        <w:shd w:val="clear"/>
        <w:adjustRightInd w:val="0"/>
        <w:snapToGrid w:val="0"/>
        <w:spacing w:line="288" w:lineRule="auto"/>
        <w:ind w:firstLine="373" w:firstLineChars="177"/>
        <w:rPr>
          <w:rFonts w:ascii="宋体" w:hAnsi="宋体"/>
          <w:b/>
          <w:bCs/>
          <w:color w:val="auto"/>
          <w:szCs w:val="21"/>
          <w:highlight w:val="none"/>
        </w:rPr>
      </w:pPr>
      <w:r>
        <w:rPr>
          <w:rFonts w:hint="eastAsia" w:ascii="宋体" w:hAnsi="宋体" w:cs="宋体"/>
          <w:b/>
          <w:bCs/>
          <w:color w:val="auto"/>
          <w:kern w:val="0"/>
          <w:szCs w:val="21"/>
          <w:highlight w:val="none"/>
        </w:rPr>
        <w:t>监狱企业参加政府采购活动时，应当提供由省级以上监狱管理局、戒毒管理局（含新疆生产建设兵团）出具的属于监狱企业的证明文件。</w:t>
      </w:r>
    </w:p>
    <w:p w14:paraId="6D556D16">
      <w:pPr>
        <w:shd w:val="clear"/>
        <w:adjustRightInd w:val="0"/>
        <w:snapToGrid w:val="0"/>
        <w:spacing w:line="288" w:lineRule="auto"/>
        <w:rPr>
          <w:rFonts w:ascii="宋体" w:hAnsi="宋体"/>
          <w:color w:val="auto"/>
          <w:szCs w:val="21"/>
          <w:highlight w:val="none"/>
        </w:rPr>
      </w:pPr>
    </w:p>
    <w:p w14:paraId="4AD34933">
      <w:pPr>
        <w:shd w:val="clear"/>
        <w:adjustRightInd w:val="0"/>
        <w:snapToGrid w:val="0"/>
        <w:spacing w:line="288" w:lineRule="auto"/>
        <w:rPr>
          <w:rFonts w:ascii="宋体" w:hAnsi="宋体"/>
          <w:b/>
          <w:bCs/>
          <w:color w:val="auto"/>
          <w:szCs w:val="21"/>
          <w:highlight w:val="none"/>
        </w:rPr>
      </w:pPr>
      <w:r>
        <w:rPr>
          <w:rFonts w:hint="eastAsia" w:ascii="宋体" w:hAnsi="宋体"/>
          <w:b/>
          <w:bCs/>
          <w:color w:val="auto"/>
          <w:szCs w:val="21"/>
          <w:highlight w:val="none"/>
        </w:rPr>
        <w:t>说明：</w:t>
      </w:r>
    </w:p>
    <w:p w14:paraId="0F4FA201">
      <w:pPr>
        <w:widowControl/>
        <w:shd w:val="clear"/>
        <w:adjustRightInd w:val="0"/>
        <w:snapToGrid w:val="0"/>
        <w:spacing w:line="288"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39F82DD">
      <w:pPr>
        <w:widowControl/>
        <w:shd w:val="clear"/>
        <w:adjustRightInd w:val="0"/>
        <w:snapToGrid w:val="0"/>
        <w:spacing w:line="288"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二、在政府采购活动中，监狱企业视同小型、微型企业，享受预留份额、评审中价格扣除等政府采购促进中小企业发展的政府采购政策。</w:t>
      </w:r>
    </w:p>
    <w:p w14:paraId="4625CDA6">
      <w:pPr>
        <w:widowControl/>
        <w:shd w:val="clear"/>
        <w:adjustRightInd w:val="0"/>
        <w:snapToGrid w:val="0"/>
        <w:spacing w:line="288" w:lineRule="auto"/>
        <w:jc w:val="center"/>
        <w:rPr>
          <w:rFonts w:hint="eastAsia" w:ascii="宋体" w:hAnsi="宋体" w:cs="宋体"/>
          <w:b/>
          <w:bCs/>
          <w:color w:val="auto"/>
          <w:sz w:val="24"/>
          <w:highlight w:val="none"/>
        </w:rPr>
      </w:pPr>
      <w:r>
        <w:rPr>
          <w:rFonts w:ascii="宋体" w:hAnsi="宋体" w:cs="宋体"/>
          <w:b/>
          <w:color w:val="auto"/>
          <w:spacing w:val="-6"/>
          <w:szCs w:val="21"/>
          <w:highlight w:val="none"/>
        </w:rPr>
        <w:br w:type="page"/>
      </w:r>
      <w:r>
        <w:rPr>
          <w:rFonts w:hint="eastAsia" w:ascii="宋体" w:hAnsi="宋体" w:cs="宋体"/>
          <w:b/>
          <w:bCs/>
          <w:color w:val="auto"/>
          <w:sz w:val="24"/>
          <w:highlight w:val="none"/>
        </w:rPr>
        <w:t>（6）残疾人福利性单位声明函（若属于残疾人福利性单位）</w:t>
      </w:r>
    </w:p>
    <w:p w14:paraId="50C4EFE9">
      <w:pPr>
        <w:shd w:val="clear"/>
        <w:adjustRightInd w:val="0"/>
        <w:snapToGrid w:val="0"/>
        <w:spacing w:line="288" w:lineRule="auto"/>
        <w:rPr>
          <w:rFonts w:ascii="宋体" w:hAnsi="宋体"/>
          <w:b/>
          <w:color w:val="auto"/>
          <w:spacing w:val="6"/>
          <w:szCs w:val="21"/>
          <w:highlight w:val="none"/>
        </w:rPr>
      </w:pPr>
    </w:p>
    <w:p w14:paraId="1051083F">
      <w:pPr>
        <w:shd w:val="clear"/>
        <w:adjustRightInd w:val="0"/>
        <w:snapToGrid w:val="0"/>
        <w:spacing w:line="288"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w:t>
      </w:r>
      <w:r>
        <w:rPr>
          <w:rFonts w:hint="eastAsia" w:ascii="宋体" w:hAnsi="宋体"/>
          <w:b/>
          <w:bCs/>
          <w:color w:val="auto"/>
          <w:spacing w:val="6"/>
          <w:szCs w:val="21"/>
          <w:highlight w:val="none"/>
        </w:rPr>
        <w:t>本单位为符合条件的残疾人福利性单位</w:t>
      </w:r>
      <w:r>
        <w:rPr>
          <w:rFonts w:hint="eastAsia" w:ascii="宋体" w:hAnsi="宋体"/>
          <w:color w:val="auto"/>
          <w:spacing w:val="6"/>
          <w:szCs w:val="21"/>
          <w:highlight w:val="none"/>
        </w:rPr>
        <w:t>，且本单位参加______（采购人）单位的______（项目名称）项目采购活动提供由本单位提供服务。</w:t>
      </w:r>
    </w:p>
    <w:p w14:paraId="158600FF">
      <w:pPr>
        <w:shd w:val="clear"/>
        <w:adjustRightInd w:val="0"/>
        <w:snapToGrid w:val="0"/>
        <w:spacing w:line="288"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5298D1B9">
      <w:pPr>
        <w:shd w:val="clear"/>
        <w:tabs>
          <w:tab w:val="left" w:pos="4860"/>
        </w:tabs>
        <w:adjustRightInd w:val="0"/>
        <w:snapToGrid w:val="0"/>
        <w:spacing w:line="288" w:lineRule="auto"/>
        <w:ind w:right="1560" w:firstLine="444" w:firstLineChars="200"/>
        <w:rPr>
          <w:rFonts w:ascii="宋体" w:hAnsi="宋体"/>
          <w:color w:val="auto"/>
          <w:spacing w:val="6"/>
          <w:szCs w:val="21"/>
          <w:highlight w:val="none"/>
        </w:rPr>
      </w:pPr>
      <w:r>
        <w:rPr>
          <w:rFonts w:hint="eastAsia" w:ascii="宋体" w:hAnsi="宋体"/>
          <w:color w:val="auto"/>
          <w:spacing w:val="6"/>
          <w:szCs w:val="21"/>
          <w:highlight w:val="none"/>
        </w:rPr>
        <w:t>单位名称（盖章）：</w:t>
      </w:r>
    </w:p>
    <w:p w14:paraId="668E6BAC">
      <w:pPr>
        <w:shd w:val="clear"/>
        <w:tabs>
          <w:tab w:val="left" w:pos="4860"/>
        </w:tabs>
        <w:adjustRightInd w:val="0"/>
        <w:snapToGrid w:val="0"/>
        <w:spacing w:line="288" w:lineRule="auto"/>
        <w:ind w:right="1560" w:firstLine="444" w:firstLineChars="200"/>
        <w:rPr>
          <w:rFonts w:ascii="宋体" w:hAnsi="宋体"/>
          <w:color w:val="auto"/>
          <w:spacing w:val="6"/>
          <w:szCs w:val="21"/>
          <w:highlight w:val="none"/>
        </w:rPr>
      </w:pPr>
      <w:r>
        <w:rPr>
          <w:rFonts w:hint="eastAsia" w:ascii="宋体" w:hAnsi="宋体"/>
          <w:color w:val="auto"/>
          <w:spacing w:val="6"/>
          <w:szCs w:val="21"/>
          <w:highlight w:val="none"/>
        </w:rPr>
        <w:t>日  期：</w:t>
      </w:r>
    </w:p>
    <w:p w14:paraId="5061F4BE">
      <w:pPr>
        <w:shd w:val="clear"/>
        <w:adjustRightInd w:val="0"/>
        <w:snapToGrid w:val="0"/>
        <w:spacing w:line="288" w:lineRule="auto"/>
        <w:rPr>
          <w:rFonts w:ascii="宋体" w:hAnsi="宋体"/>
          <w:color w:val="auto"/>
          <w:szCs w:val="21"/>
          <w:highlight w:val="none"/>
        </w:rPr>
      </w:pPr>
    </w:p>
    <w:p w14:paraId="10E370DA">
      <w:pPr>
        <w:shd w:val="clear"/>
        <w:adjustRightInd w:val="0"/>
        <w:snapToGrid w:val="0"/>
        <w:spacing w:line="288" w:lineRule="auto"/>
        <w:rPr>
          <w:rFonts w:ascii="宋体" w:hAnsi="宋体"/>
          <w:b/>
          <w:bCs/>
          <w:color w:val="auto"/>
          <w:szCs w:val="21"/>
          <w:highlight w:val="none"/>
        </w:rPr>
      </w:pPr>
      <w:r>
        <w:rPr>
          <w:rFonts w:hint="eastAsia" w:ascii="宋体" w:hAnsi="宋体"/>
          <w:b/>
          <w:bCs/>
          <w:color w:val="auto"/>
          <w:szCs w:val="21"/>
          <w:highlight w:val="none"/>
        </w:rPr>
        <w:t>说明：</w:t>
      </w:r>
    </w:p>
    <w:p w14:paraId="5C09275B">
      <w:pPr>
        <w:pStyle w:val="27"/>
        <w:shd w:val="clear"/>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一、享受政府采购支持政策的残疾人福利性单位应当同时满足以下条件：</w:t>
      </w:r>
    </w:p>
    <w:p w14:paraId="5A152606">
      <w:pPr>
        <w:pStyle w:val="27"/>
        <w:shd w:val="clear"/>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（一）安置的残疾人占本单位在职职工人数的比例不低于25%（含25%），并且安置的残疾人人数不少于10人（含10人）；</w:t>
      </w:r>
    </w:p>
    <w:p w14:paraId="4AE38DE6">
      <w:pPr>
        <w:pStyle w:val="27"/>
        <w:shd w:val="clear"/>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（二）依法与安置的每位残疾人签订了一年以上（含一年）的劳动合同或服务协议；</w:t>
      </w:r>
    </w:p>
    <w:p w14:paraId="2CF7A02A">
      <w:pPr>
        <w:pStyle w:val="27"/>
        <w:shd w:val="clear"/>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（三）为安置的每位残疾人按月足额缴纳了基本养老保险、基本医疗保险、失业保险、工伤保险和生育保险等社会保险费；</w:t>
      </w:r>
    </w:p>
    <w:p w14:paraId="6EBD8443">
      <w:pPr>
        <w:pStyle w:val="27"/>
        <w:shd w:val="clear"/>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（四）通过银行等金融机构向安置的每位残疾人，按月支付了不低于单位所在区县适用的经省级人民政府批准的月最低工资标准的工资；</w:t>
      </w:r>
    </w:p>
    <w:p w14:paraId="2F01869B">
      <w:pPr>
        <w:pStyle w:val="27"/>
        <w:shd w:val="clear"/>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0FE34C5B">
      <w:pPr>
        <w:pStyle w:val="27"/>
        <w:shd w:val="clear"/>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C1D63A">
      <w:pPr>
        <w:pStyle w:val="27"/>
        <w:shd w:val="clear"/>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二、符合条件的残疾人福利性单位在参加政府采购活动时，应当提供财库〔2017〕141号文件规定的《残疾人福利性单位声明函》，并对声明的真实性负责。</w:t>
      </w:r>
    </w:p>
    <w:p w14:paraId="11E39ADB">
      <w:pPr>
        <w:pStyle w:val="27"/>
        <w:shd w:val="clear"/>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三、在政府采购活动中，残疾人福利性单位视同小型、微型企业，享受预留份额、评审中价格扣除等促进中小企业发展的政府采购政策。</w:t>
      </w:r>
    </w:p>
    <w:p w14:paraId="13F3146C">
      <w:pPr>
        <w:pStyle w:val="27"/>
        <w:shd w:val="clear"/>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残疾人福利性单位属于小型、微型企业的，不重复享受政策。</w:t>
      </w:r>
    </w:p>
    <w:p w14:paraId="6BF11D0E">
      <w:pPr>
        <w:pStyle w:val="27"/>
        <w:shd w:val="clear"/>
        <w:adjustRightInd w:val="0"/>
        <w:snapToGrid w:val="0"/>
        <w:spacing w:before="0" w:beforeAutospacing="0" w:after="0" w:afterAutospacing="0" w:line="360" w:lineRule="auto"/>
        <w:ind w:firstLine="480" w:firstLineChars="200"/>
        <w:rPr>
          <w:rFonts w:hint="eastAsia" w:cs="宋体"/>
          <w:color w:val="auto"/>
          <w:highlight w:val="none"/>
        </w:rPr>
      </w:pPr>
    </w:p>
    <w:p w14:paraId="09F85EFE">
      <w:pPr>
        <w:widowControl/>
        <w:shd w:val="clear"/>
        <w:spacing w:line="420" w:lineRule="atLeast"/>
        <w:rPr>
          <w:rFonts w:hint="eastAsia" w:ascii="宋体" w:hAnsi="宋体" w:cs="宋体"/>
          <w:b/>
          <w:bCs/>
          <w:color w:val="auto"/>
          <w:sz w:val="24"/>
          <w:highlight w:val="none"/>
          <w:u w:val="single"/>
        </w:rPr>
      </w:pPr>
      <w:r>
        <w:rPr>
          <w:rFonts w:hint="eastAsia" w:ascii="宋体" w:hAnsi="宋体" w:cs="宋体"/>
          <w:b/>
          <w:bCs/>
          <w:color w:val="auto"/>
          <w:sz w:val="30"/>
          <w:highlight w:val="none"/>
        </w:rPr>
        <w:br w:type="page"/>
      </w:r>
    </w:p>
    <w:p w14:paraId="47A0043F">
      <w:pPr>
        <w:widowControl/>
        <w:shd w:val="clear"/>
        <w:tabs>
          <w:tab w:val="left" w:pos="0"/>
        </w:tabs>
        <w:snapToGrid w:val="0"/>
        <w:spacing w:line="288" w:lineRule="auto"/>
        <w:jc w:val="left"/>
        <w:rPr>
          <w:rFonts w:hint="eastAsia" w:ascii="宋体" w:hAnsi="宋体" w:cs="宋体"/>
          <w:b/>
          <w:bCs/>
          <w:color w:val="auto"/>
          <w:kern w:val="0"/>
          <w:szCs w:val="21"/>
          <w:highlight w:val="none"/>
        </w:rPr>
      </w:pPr>
      <w:r>
        <w:rPr>
          <w:rFonts w:hint="eastAsia" w:ascii="宋体" w:hAnsi="宋体" w:cs="宋体"/>
          <w:b/>
          <w:bCs/>
          <w:color w:val="auto"/>
          <w:kern w:val="0"/>
          <w:sz w:val="36"/>
          <w:szCs w:val="36"/>
          <w:highlight w:val="none"/>
        </w:rPr>
        <w:t>封面格式</w:t>
      </w:r>
    </w:p>
    <w:p w14:paraId="12F09DB5">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198CE405">
      <w:pPr>
        <w:widowControl/>
        <w:shd w:val="clear"/>
        <w:tabs>
          <w:tab w:val="left" w:pos="450"/>
          <w:tab w:val="left" w:pos="8280"/>
        </w:tabs>
        <w:spacing w:line="288" w:lineRule="auto"/>
        <w:ind w:firstLine="885" w:firstLineChars="245"/>
        <w:jc w:val="left"/>
        <w:rPr>
          <w:rFonts w:hint="eastAsia" w:ascii="宋体" w:hAnsi="宋体" w:cs="宋体"/>
          <w:b/>
          <w:color w:val="auto"/>
          <w:kern w:val="0"/>
          <w:sz w:val="44"/>
          <w:szCs w:val="44"/>
          <w:highlight w:val="none"/>
        </w:rPr>
      </w:pPr>
      <w:r>
        <w:rPr>
          <w:rFonts w:hint="eastAsia" w:ascii="宋体" w:hAnsi="宋体" w:cs="宋体"/>
          <w:b/>
          <w:color w:val="auto"/>
          <w:kern w:val="0"/>
          <w:sz w:val="36"/>
          <w:szCs w:val="36"/>
          <w:highlight w:val="none"/>
          <w:u w:val="single"/>
        </w:rPr>
        <w:t xml:space="preserve">                                    </w:t>
      </w:r>
      <w:r>
        <w:rPr>
          <w:rFonts w:hint="eastAsia" w:ascii="宋体" w:hAnsi="宋体" w:cs="宋体"/>
          <w:b/>
          <w:color w:val="auto"/>
          <w:kern w:val="0"/>
          <w:sz w:val="44"/>
          <w:szCs w:val="44"/>
          <w:highlight w:val="none"/>
        </w:rPr>
        <w:t>项目</w:t>
      </w:r>
    </w:p>
    <w:p w14:paraId="24A04A0E">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p>
    <w:p w14:paraId="381A982F">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t>投标文件</w:t>
      </w:r>
    </w:p>
    <w:p w14:paraId="40BF9ECA">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（商务技术响应文件）</w:t>
      </w:r>
    </w:p>
    <w:p w14:paraId="64FFE819">
      <w:pPr>
        <w:widowControl/>
        <w:shd w:val="clear"/>
        <w:tabs>
          <w:tab w:val="left" w:pos="27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62A38C93">
      <w:pPr>
        <w:widowControl/>
        <w:shd w:val="clear"/>
        <w:tabs>
          <w:tab w:val="left" w:pos="275"/>
          <w:tab w:val="left" w:pos="8280"/>
        </w:tabs>
        <w:spacing w:line="288" w:lineRule="auto"/>
        <w:jc w:val="left"/>
        <w:rPr>
          <w:rFonts w:hint="eastAsia" w:ascii="宋体" w:hAnsi="宋体" w:cs="宋体"/>
          <w:b/>
          <w:color w:val="auto"/>
          <w:kern w:val="0"/>
          <w:sz w:val="32"/>
          <w:szCs w:val="32"/>
          <w:highlight w:val="none"/>
        </w:rPr>
      </w:pPr>
    </w:p>
    <w:p w14:paraId="6D16DB4F">
      <w:pPr>
        <w:widowControl/>
        <w:shd w:val="clear"/>
        <w:tabs>
          <w:tab w:val="left" w:pos="275"/>
          <w:tab w:val="left" w:pos="8280"/>
        </w:tabs>
        <w:spacing w:line="288" w:lineRule="auto"/>
        <w:ind w:firstLine="480"/>
        <w:jc w:val="left"/>
        <w:rPr>
          <w:rFonts w:hint="eastAsia" w:ascii="宋体" w:hAnsi="宋体" w:cs="宋体"/>
          <w:b/>
          <w:color w:val="auto"/>
          <w:kern w:val="0"/>
          <w:sz w:val="32"/>
          <w:szCs w:val="32"/>
          <w:highlight w:val="none"/>
        </w:rPr>
      </w:pPr>
    </w:p>
    <w:p w14:paraId="10A55980">
      <w:pPr>
        <w:widowControl/>
        <w:shd w:val="clear"/>
        <w:tabs>
          <w:tab w:val="left" w:pos="27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采购项目编号：</w:t>
      </w:r>
      <w:r>
        <w:rPr>
          <w:rFonts w:hint="eastAsia" w:ascii="宋体" w:hAnsi="宋体" w:cs="宋体"/>
          <w:b/>
          <w:color w:val="auto"/>
          <w:kern w:val="0"/>
          <w:sz w:val="36"/>
          <w:szCs w:val="36"/>
          <w:highlight w:val="none"/>
          <w:u w:val="single"/>
        </w:rPr>
        <w:t xml:space="preserve">                                 </w:t>
      </w:r>
    </w:p>
    <w:p w14:paraId="798E0784">
      <w:pPr>
        <w:widowControl/>
        <w:shd w:val="clear"/>
        <w:tabs>
          <w:tab w:val="left" w:pos="76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40B90458">
      <w:pPr>
        <w:widowControl/>
        <w:shd w:val="clear"/>
        <w:tabs>
          <w:tab w:val="left" w:pos="76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投标人（公章）：</w:t>
      </w:r>
      <w:r>
        <w:rPr>
          <w:rFonts w:hint="eastAsia" w:ascii="宋体" w:hAnsi="宋体" w:cs="宋体"/>
          <w:b/>
          <w:color w:val="auto"/>
          <w:kern w:val="0"/>
          <w:sz w:val="36"/>
          <w:szCs w:val="36"/>
          <w:highlight w:val="none"/>
          <w:u w:val="single"/>
        </w:rPr>
        <w:t xml:space="preserve">                                </w:t>
      </w:r>
    </w:p>
    <w:p w14:paraId="19E7747D">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49FBA023">
      <w:pPr>
        <w:widowControl/>
        <w:shd w:val="clear"/>
        <w:tabs>
          <w:tab w:val="left" w:pos="35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投标人法定代表人</w:t>
      </w:r>
    </w:p>
    <w:p w14:paraId="0E70130D">
      <w:pPr>
        <w:widowControl/>
        <w:shd w:val="clear"/>
        <w:tabs>
          <w:tab w:val="left" w:pos="84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或其委托人（签字）：</w:t>
      </w:r>
      <w:r>
        <w:rPr>
          <w:rFonts w:hint="eastAsia" w:ascii="宋体" w:hAnsi="宋体" w:cs="宋体"/>
          <w:b/>
          <w:color w:val="auto"/>
          <w:kern w:val="0"/>
          <w:sz w:val="36"/>
          <w:szCs w:val="36"/>
          <w:highlight w:val="none"/>
          <w:u w:val="single"/>
        </w:rPr>
        <w:t xml:space="preserve">                            </w:t>
      </w:r>
    </w:p>
    <w:p w14:paraId="7D9EDCB0">
      <w:pPr>
        <w:widowControl/>
        <w:shd w:val="clear"/>
        <w:tabs>
          <w:tab w:val="left" w:pos="350"/>
          <w:tab w:val="left" w:pos="8280"/>
        </w:tabs>
        <w:spacing w:line="288" w:lineRule="auto"/>
        <w:ind w:firstLine="480"/>
        <w:jc w:val="left"/>
        <w:rPr>
          <w:rFonts w:hint="eastAsia" w:ascii="宋体" w:hAnsi="宋体" w:cs="宋体"/>
          <w:b/>
          <w:color w:val="auto"/>
          <w:kern w:val="0"/>
          <w:sz w:val="36"/>
          <w:szCs w:val="36"/>
          <w:highlight w:val="none"/>
        </w:rPr>
      </w:pPr>
    </w:p>
    <w:p w14:paraId="47567D70">
      <w:pPr>
        <w:widowControl/>
        <w:shd w:val="clear"/>
        <w:tabs>
          <w:tab w:val="left" w:pos="350"/>
          <w:tab w:val="left" w:pos="8280"/>
        </w:tabs>
        <w:spacing w:line="288" w:lineRule="auto"/>
        <w:ind w:firstLine="480"/>
        <w:jc w:val="left"/>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年</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月</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日</w:t>
      </w:r>
    </w:p>
    <w:p w14:paraId="1F760166">
      <w:pPr>
        <w:shd w:val="clear"/>
        <w:adjustRightInd w:val="0"/>
        <w:snapToGrid w:val="0"/>
        <w:jc w:val="center"/>
        <w:outlineLvl w:val="2"/>
        <w:rPr>
          <w:rFonts w:hint="eastAsia" w:ascii="宋体" w:hAnsi="宋体"/>
          <w:b/>
          <w:bCs/>
          <w:color w:val="auto"/>
          <w:szCs w:val="21"/>
          <w:highlight w:val="none"/>
        </w:rPr>
      </w:pPr>
      <w:r>
        <w:rPr>
          <w:rFonts w:hint="eastAsia" w:ascii="宋体" w:hAnsi="宋体" w:cs="宋体"/>
          <w:b/>
          <w:color w:val="auto"/>
          <w:sz w:val="24"/>
          <w:highlight w:val="none"/>
        </w:rPr>
        <w:br w:type="page"/>
      </w:r>
      <w:r>
        <w:rPr>
          <w:rFonts w:hint="eastAsia" w:ascii="宋体" w:hAnsi="宋体"/>
          <w:b/>
          <w:bCs/>
          <w:color w:val="auto"/>
          <w:szCs w:val="21"/>
          <w:highlight w:val="none"/>
        </w:rPr>
        <w:t>（1）授权委托书</w:t>
      </w:r>
    </w:p>
    <w:p w14:paraId="3D71DA23">
      <w:pPr>
        <w:shd w:val="clear"/>
        <w:adjustRightInd w:val="0"/>
        <w:snapToGrid w:val="0"/>
        <w:spacing w:line="288" w:lineRule="auto"/>
        <w:jc w:val="center"/>
        <w:outlineLvl w:val="2"/>
        <w:rPr>
          <w:rFonts w:hint="eastAsia" w:ascii="宋体" w:hAnsi="宋体"/>
          <w:b/>
          <w:bCs/>
          <w:color w:val="auto"/>
          <w:szCs w:val="21"/>
          <w:highlight w:val="none"/>
        </w:rPr>
      </w:pPr>
      <w:r>
        <w:rPr>
          <w:rFonts w:hint="eastAsia" w:ascii="宋体" w:hAnsi="宋体"/>
          <w:b/>
          <w:bCs/>
          <w:color w:val="auto"/>
          <w:szCs w:val="21"/>
          <w:highlight w:val="none"/>
        </w:rPr>
        <w:t>（适用于授权代表</w:t>
      </w:r>
      <w:r>
        <w:rPr>
          <w:rFonts w:hint="eastAsia" w:ascii="宋体" w:hAnsi="宋体"/>
          <w:b/>
          <w:bCs/>
          <w:color w:val="auto"/>
          <w:spacing w:val="-6"/>
          <w:szCs w:val="21"/>
          <w:highlight w:val="none"/>
        </w:rPr>
        <w:t>参加投标</w:t>
      </w:r>
      <w:r>
        <w:rPr>
          <w:rFonts w:hint="eastAsia" w:ascii="宋体" w:hAnsi="宋体"/>
          <w:b/>
          <w:bCs/>
          <w:color w:val="auto"/>
          <w:szCs w:val="21"/>
          <w:highlight w:val="none"/>
        </w:rPr>
        <w:t>）</w:t>
      </w:r>
    </w:p>
    <w:p w14:paraId="6C599F61">
      <w:pPr>
        <w:shd w:val="clear"/>
        <w:adjustRightInd w:val="0"/>
        <w:snapToGrid w:val="0"/>
        <w:spacing w:line="288" w:lineRule="auto"/>
        <w:rPr>
          <w:rFonts w:ascii="宋体" w:hAnsi="宋体"/>
          <w:b/>
          <w:bCs/>
          <w:color w:val="auto"/>
          <w:spacing w:val="-6"/>
          <w:szCs w:val="21"/>
          <w:highlight w:val="none"/>
        </w:rPr>
      </w:pPr>
    </w:p>
    <w:p w14:paraId="41B8CA6B">
      <w:pPr>
        <w:shd w:val="clear"/>
        <w:adjustRightInd w:val="0"/>
        <w:snapToGrid w:val="0"/>
        <w:spacing w:line="288" w:lineRule="auto"/>
        <w:rPr>
          <w:rFonts w:ascii="宋体" w:hAnsi="宋体"/>
          <w:b/>
          <w:color w:val="auto"/>
          <w:spacing w:val="-6"/>
          <w:szCs w:val="21"/>
          <w:highlight w:val="none"/>
        </w:rPr>
      </w:pPr>
      <w:r>
        <w:rPr>
          <w:rFonts w:hint="eastAsia" w:ascii="宋体" w:hAnsi="宋体"/>
          <w:b/>
          <w:color w:val="auto"/>
          <w:spacing w:val="-6"/>
          <w:szCs w:val="21"/>
          <w:highlight w:val="none"/>
        </w:rPr>
        <w:t>致：浙江大学医学院附属第四医院、浙江求是招标代理有限公司</w:t>
      </w:r>
    </w:p>
    <w:p w14:paraId="1F6FE132">
      <w:pPr>
        <w:shd w:val="clear"/>
        <w:adjustRightInd w:val="0"/>
        <w:snapToGrid w:val="0"/>
        <w:spacing w:line="288" w:lineRule="auto"/>
        <w:ind w:firstLine="396" w:firstLineChars="200"/>
        <w:rPr>
          <w:rFonts w:ascii="宋体" w:hAnsi="宋体"/>
          <w:color w:val="auto"/>
          <w:spacing w:val="-6"/>
          <w:szCs w:val="21"/>
          <w:highlight w:val="none"/>
        </w:rPr>
      </w:pPr>
      <w:r>
        <w:rPr>
          <w:rFonts w:hint="eastAsia" w:ascii="宋体" w:hAnsi="宋体"/>
          <w:color w:val="auto"/>
          <w:spacing w:val="-6"/>
          <w:szCs w:val="21"/>
          <w:highlight w:val="none"/>
        </w:rPr>
        <w:t>现授权委托：</w:t>
      </w:r>
      <w:r>
        <w:rPr>
          <w:rFonts w:ascii="宋体" w:hAnsi="宋体"/>
          <w:color w:val="auto"/>
          <w:spacing w:val="-6"/>
          <w:szCs w:val="21"/>
          <w:highlight w:val="none"/>
          <w:u w:val="single"/>
        </w:rPr>
        <w:t xml:space="preserve">            </w:t>
      </w:r>
      <w:r>
        <w:rPr>
          <w:rFonts w:hint="eastAsia" w:ascii="宋体" w:hAnsi="宋体"/>
          <w:color w:val="auto"/>
          <w:spacing w:val="-6"/>
          <w:szCs w:val="21"/>
          <w:highlight w:val="none"/>
        </w:rPr>
        <w:t>（授权代表姓名）（身份证号码：</w:t>
      </w:r>
      <w:r>
        <w:rPr>
          <w:rFonts w:ascii="宋体" w:hAnsi="宋体"/>
          <w:color w:val="auto"/>
          <w:spacing w:val="-6"/>
          <w:szCs w:val="21"/>
          <w:highlight w:val="none"/>
          <w:u w:val="single"/>
        </w:rPr>
        <w:t xml:space="preserve">            </w:t>
      </w:r>
      <w:r>
        <w:rPr>
          <w:rFonts w:hint="eastAsia" w:ascii="宋体" w:hAnsi="宋体"/>
          <w:color w:val="auto"/>
          <w:spacing w:val="-6"/>
          <w:szCs w:val="21"/>
          <w:highlight w:val="none"/>
        </w:rPr>
        <w:t>，手机：</w:t>
      </w:r>
      <w:r>
        <w:rPr>
          <w:rFonts w:ascii="宋体" w:hAnsi="宋体"/>
          <w:color w:val="auto"/>
          <w:spacing w:val="-6"/>
          <w:szCs w:val="21"/>
          <w:highlight w:val="none"/>
          <w:u w:val="single"/>
        </w:rPr>
        <w:t xml:space="preserve">            </w:t>
      </w:r>
      <w:r>
        <w:rPr>
          <w:rFonts w:hint="eastAsia" w:ascii="宋体" w:hAnsi="宋体"/>
          <w:color w:val="auto"/>
          <w:spacing w:val="-6"/>
          <w:szCs w:val="21"/>
          <w:highlight w:val="none"/>
        </w:rPr>
        <w:t>）以我方的名义参加</w:t>
      </w:r>
      <w:r>
        <w:rPr>
          <w:rFonts w:hint="eastAsia" w:ascii="宋体" w:hAnsi="宋体"/>
          <w:bCs/>
          <w:color w:val="auto"/>
          <w:spacing w:val="-6"/>
          <w:szCs w:val="21"/>
          <w:highlight w:val="none"/>
          <w:u w:val="single"/>
        </w:rPr>
        <w:t xml:space="preserve">                </w:t>
      </w:r>
      <w:r>
        <w:rPr>
          <w:rFonts w:hint="eastAsia" w:ascii="宋体" w:hAnsi="宋体"/>
          <w:bCs/>
          <w:color w:val="auto"/>
          <w:spacing w:val="-6"/>
          <w:szCs w:val="21"/>
          <w:highlight w:val="none"/>
        </w:rPr>
        <w:t>项目（项目编号：</w:t>
      </w:r>
      <w:r>
        <w:rPr>
          <w:rFonts w:hint="eastAsia" w:ascii="宋体" w:hAnsi="宋体"/>
          <w:bCs/>
          <w:color w:val="auto"/>
          <w:spacing w:val="-6"/>
          <w:szCs w:val="21"/>
          <w:highlight w:val="none"/>
          <w:u w:val="single"/>
        </w:rPr>
        <w:t xml:space="preserve">                </w:t>
      </w:r>
      <w:r>
        <w:rPr>
          <w:rFonts w:hint="eastAsia" w:ascii="宋体" w:hAnsi="宋体"/>
          <w:bCs/>
          <w:color w:val="auto"/>
          <w:spacing w:val="-6"/>
          <w:szCs w:val="21"/>
          <w:highlight w:val="none"/>
        </w:rPr>
        <w:t>）</w:t>
      </w:r>
      <w:r>
        <w:rPr>
          <w:rFonts w:hint="eastAsia" w:ascii="宋体" w:hAnsi="宋体"/>
          <w:color w:val="auto"/>
          <w:spacing w:val="-6"/>
          <w:szCs w:val="21"/>
          <w:highlight w:val="none"/>
        </w:rPr>
        <w:t>的投标活动，并代表我方全权办理针对上述项目的投标、开标、评标、签约等具体事务和签署相关文件。</w:t>
      </w:r>
    </w:p>
    <w:p w14:paraId="379F546B">
      <w:pPr>
        <w:shd w:val="clear"/>
        <w:adjustRightInd w:val="0"/>
        <w:snapToGrid w:val="0"/>
        <w:spacing w:line="288" w:lineRule="auto"/>
        <w:ind w:firstLine="396" w:firstLineChars="200"/>
        <w:rPr>
          <w:rFonts w:ascii="宋体" w:hAnsi="宋体"/>
          <w:color w:val="auto"/>
          <w:spacing w:val="-6"/>
          <w:szCs w:val="21"/>
          <w:highlight w:val="none"/>
        </w:rPr>
      </w:pPr>
      <w:r>
        <w:rPr>
          <w:rFonts w:hint="eastAsia" w:ascii="宋体" w:hAnsi="宋体"/>
          <w:color w:val="auto"/>
          <w:spacing w:val="-6"/>
          <w:szCs w:val="21"/>
          <w:highlight w:val="none"/>
        </w:rPr>
        <w:t>我方对被授权人的签名负全部责任。</w:t>
      </w:r>
    </w:p>
    <w:p w14:paraId="1D5F82A1">
      <w:pPr>
        <w:shd w:val="clear"/>
        <w:adjustRightInd w:val="0"/>
        <w:snapToGrid w:val="0"/>
        <w:spacing w:line="288" w:lineRule="auto"/>
        <w:ind w:firstLine="396" w:firstLineChars="200"/>
        <w:rPr>
          <w:rFonts w:ascii="宋体" w:hAnsi="宋体"/>
          <w:color w:val="auto"/>
          <w:spacing w:val="-6"/>
          <w:szCs w:val="21"/>
          <w:highlight w:val="none"/>
        </w:rPr>
      </w:pPr>
      <w:r>
        <w:rPr>
          <w:rFonts w:hint="eastAsia" w:ascii="宋体" w:hAnsi="宋体"/>
          <w:color w:val="auto"/>
          <w:spacing w:val="-6"/>
          <w:szCs w:val="21"/>
          <w:highlight w:val="none"/>
        </w:rPr>
        <w:t>在撤销授权的书面通知以前，本授权书一直有效。被授权人在授权书有效期内签署的所有文件不因授权的撤销而失效。</w:t>
      </w:r>
    </w:p>
    <w:p w14:paraId="43038626">
      <w:pPr>
        <w:shd w:val="clear"/>
        <w:adjustRightInd w:val="0"/>
        <w:snapToGrid w:val="0"/>
        <w:spacing w:line="288" w:lineRule="auto"/>
        <w:ind w:firstLine="396" w:firstLineChars="200"/>
        <w:rPr>
          <w:rFonts w:ascii="宋体" w:hAnsi="宋体"/>
          <w:color w:val="auto"/>
          <w:spacing w:val="-6"/>
          <w:szCs w:val="21"/>
          <w:highlight w:val="none"/>
        </w:rPr>
      </w:pPr>
      <w:r>
        <w:rPr>
          <w:rFonts w:hint="eastAsia" w:ascii="宋体" w:hAnsi="宋体"/>
          <w:color w:val="auto"/>
          <w:spacing w:val="-6"/>
          <w:szCs w:val="21"/>
          <w:highlight w:val="none"/>
        </w:rPr>
        <w:t>被授权人无转委托权，特此告知。</w:t>
      </w:r>
    </w:p>
    <w:p w14:paraId="58EAEC1C">
      <w:pPr>
        <w:shd w:val="clear"/>
        <w:adjustRightInd w:val="0"/>
        <w:snapToGrid w:val="0"/>
        <w:spacing w:line="288" w:lineRule="auto"/>
        <w:rPr>
          <w:rFonts w:ascii="宋体" w:hAnsi="宋体"/>
          <w:color w:val="auto"/>
          <w:spacing w:val="-6"/>
          <w:szCs w:val="21"/>
          <w:highlight w:val="none"/>
        </w:rPr>
      </w:pPr>
    </w:p>
    <w:p w14:paraId="0D9D3584">
      <w:pPr>
        <w:shd w:val="clear"/>
        <w:adjustRightInd w:val="0"/>
        <w:snapToGrid w:val="0"/>
        <w:spacing w:line="288" w:lineRule="auto"/>
        <w:rPr>
          <w:rFonts w:ascii="宋体" w:hAnsi="宋体"/>
          <w:b/>
          <w:bCs/>
          <w:color w:val="auto"/>
          <w:spacing w:val="-6"/>
          <w:szCs w:val="21"/>
          <w:highlight w:val="none"/>
        </w:rPr>
      </w:pPr>
      <w:r>
        <w:rPr>
          <w:rFonts w:hint="eastAsia" w:ascii="宋体" w:hAnsi="宋体"/>
          <w:b/>
          <w:bCs/>
          <w:color w:val="auto"/>
          <w:spacing w:val="-6"/>
          <w:szCs w:val="21"/>
          <w:highlight w:val="none"/>
        </w:rPr>
        <w:t>投标人名称（</w:t>
      </w:r>
      <w:r>
        <w:rPr>
          <w:rFonts w:ascii="宋体" w:hAnsi="宋体"/>
          <w:b/>
          <w:bCs/>
          <w:color w:val="auto"/>
          <w:spacing w:val="-6"/>
          <w:szCs w:val="21"/>
          <w:highlight w:val="none"/>
        </w:rPr>
        <w:t>电子签名/公章</w:t>
      </w:r>
      <w:r>
        <w:rPr>
          <w:rFonts w:hint="eastAsia" w:ascii="宋体" w:hAnsi="宋体"/>
          <w:b/>
          <w:bCs/>
          <w:color w:val="auto"/>
          <w:spacing w:val="-6"/>
          <w:szCs w:val="21"/>
          <w:highlight w:val="none"/>
        </w:rPr>
        <w:t>）：</w:t>
      </w:r>
    </w:p>
    <w:p w14:paraId="126BABFC">
      <w:pPr>
        <w:shd w:val="clear"/>
        <w:adjustRightInd w:val="0"/>
        <w:snapToGrid w:val="0"/>
        <w:spacing w:line="288" w:lineRule="auto"/>
        <w:rPr>
          <w:rFonts w:ascii="宋体" w:hAnsi="宋体"/>
          <w:b/>
          <w:bCs/>
          <w:color w:val="auto"/>
          <w:spacing w:val="-6"/>
          <w:szCs w:val="21"/>
          <w:highlight w:val="none"/>
        </w:rPr>
      </w:pPr>
      <w:r>
        <w:rPr>
          <w:rFonts w:hint="eastAsia" w:ascii="宋体" w:hAnsi="宋体"/>
          <w:b/>
          <w:bCs/>
          <w:color w:val="auto"/>
          <w:spacing w:val="-6"/>
          <w:szCs w:val="21"/>
          <w:highlight w:val="none"/>
        </w:rPr>
        <w:t>日期：     年   月   日</w:t>
      </w:r>
    </w:p>
    <w:p w14:paraId="747FE844">
      <w:pPr>
        <w:shd w:val="clear"/>
        <w:adjustRightInd w:val="0"/>
        <w:snapToGrid w:val="0"/>
        <w:spacing w:line="288" w:lineRule="auto"/>
        <w:rPr>
          <w:rFonts w:ascii="宋体" w:hAnsi="宋体"/>
          <w:color w:val="auto"/>
          <w:szCs w:val="21"/>
          <w:highlight w:val="none"/>
        </w:rPr>
      </w:pPr>
    </w:p>
    <w:p w14:paraId="386B1FB7">
      <w:pPr>
        <w:shd w:val="clear"/>
        <w:adjustRightInd w:val="0"/>
        <w:snapToGrid w:val="0"/>
        <w:spacing w:line="288" w:lineRule="auto"/>
        <w:rPr>
          <w:rFonts w:ascii="宋体" w:hAnsi="宋体"/>
          <w:color w:val="auto"/>
          <w:szCs w:val="21"/>
          <w:highlight w:val="none"/>
        </w:rPr>
      </w:pPr>
    </w:p>
    <w:p w14:paraId="232F4755">
      <w:pPr>
        <w:shd w:val="clear"/>
        <w:adjustRightInd w:val="0"/>
        <w:snapToGrid w:val="0"/>
        <w:spacing w:line="288" w:lineRule="auto"/>
        <w:rPr>
          <w:rFonts w:ascii="宋体" w:hAnsi="宋体"/>
          <w:color w:val="auto"/>
          <w:szCs w:val="21"/>
          <w:highlight w:val="none"/>
        </w:rPr>
      </w:pPr>
    </w:p>
    <w:p w14:paraId="6335AB2C">
      <w:pPr>
        <w:shd w:val="clear"/>
        <w:adjustRightInd w:val="0"/>
        <w:snapToGrid w:val="0"/>
        <w:spacing w:line="288" w:lineRule="auto"/>
        <w:jc w:val="center"/>
        <w:outlineLvl w:val="2"/>
        <w:rPr>
          <w:rFonts w:ascii="宋体" w:hAnsi="宋体"/>
          <w:b/>
          <w:bCs/>
          <w:color w:val="auto"/>
          <w:spacing w:val="-6"/>
          <w:szCs w:val="21"/>
          <w:highlight w:val="none"/>
        </w:rPr>
      </w:pPr>
      <w:r>
        <w:rPr>
          <w:rFonts w:hint="eastAsia" w:ascii="宋体" w:hAnsi="宋体"/>
          <w:b/>
          <w:bCs/>
          <w:color w:val="auto"/>
          <w:szCs w:val="21"/>
          <w:highlight w:val="none"/>
        </w:rPr>
        <w:t>（1）法定代表人（单位负责人、自然人本人）</w:t>
      </w:r>
      <w:r>
        <w:rPr>
          <w:rFonts w:hint="eastAsia" w:ascii="宋体" w:hAnsi="宋体"/>
          <w:b/>
          <w:bCs/>
          <w:color w:val="auto"/>
          <w:spacing w:val="-6"/>
          <w:szCs w:val="21"/>
          <w:highlight w:val="none"/>
        </w:rPr>
        <w:t>身份证</w:t>
      </w:r>
    </w:p>
    <w:p w14:paraId="28CB0247">
      <w:pPr>
        <w:shd w:val="clear"/>
        <w:adjustRightInd w:val="0"/>
        <w:snapToGrid w:val="0"/>
        <w:spacing w:line="288" w:lineRule="auto"/>
        <w:ind w:firstLine="498" w:firstLineChars="236"/>
        <w:jc w:val="center"/>
        <w:rPr>
          <w:rFonts w:ascii="宋体" w:hAnsi="宋体"/>
          <w:b/>
          <w:bCs/>
          <w:color w:val="auto"/>
          <w:szCs w:val="21"/>
          <w:highlight w:val="none"/>
        </w:rPr>
      </w:pPr>
      <w:r>
        <w:rPr>
          <w:rFonts w:hint="eastAsia" w:ascii="宋体" w:hAnsi="宋体"/>
          <w:b/>
          <w:bCs/>
          <w:color w:val="auto"/>
          <w:szCs w:val="21"/>
          <w:highlight w:val="none"/>
        </w:rPr>
        <w:t>（适用于：法定代表人（单位负责人、自然人本人）</w:t>
      </w:r>
      <w:r>
        <w:rPr>
          <w:rFonts w:hint="eastAsia" w:ascii="宋体" w:hAnsi="宋体"/>
          <w:b/>
          <w:bCs/>
          <w:color w:val="auto"/>
          <w:spacing w:val="-6"/>
          <w:szCs w:val="21"/>
          <w:highlight w:val="none"/>
        </w:rPr>
        <w:t>代表投标人参加投标</w:t>
      </w:r>
      <w:r>
        <w:rPr>
          <w:rFonts w:hint="eastAsia" w:ascii="宋体" w:hAnsi="宋体"/>
          <w:b/>
          <w:bCs/>
          <w:color w:val="auto"/>
          <w:szCs w:val="21"/>
          <w:highlight w:val="none"/>
        </w:rPr>
        <w:t>）</w:t>
      </w:r>
    </w:p>
    <w:p w14:paraId="02B0068C">
      <w:pPr>
        <w:shd w:val="clear"/>
        <w:adjustRightInd w:val="0"/>
        <w:snapToGrid w:val="0"/>
        <w:spacing w:line="288" w:lineRule="auto"/>
        <w:jc w:val="left"/>
        <w:rPr>
          <w:rFonts w:ascii="宋体" w:hAnsi="宋体"/>
          <w:color w:val="auto"/>
          <w:szCs w:val="21"/>
          <w:highlight w:val="none"/>
        </w:rPr>
      </w:pPr>
      <w:r>
        <w:rPr>
          <w:rFonts w:hint="eastAsia" w:ascii="宋体" w:hAnsi="宋体" w:cs="宋体"/>
          <w:bCs/>
          <w:color w:val="auto"/>
          <w:szCs w:val="21"/>
          <w:highlight w:val="none"/>
        </w:rPr>
        <w:t>身份证件复印件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1"/>
        <w:gridCol w:w="4951"/>
      </w:tblGrid>
      <w:tr w14:paraId="2C8F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noWrap w:val="0"/>
            <w:vAlign w:val="top"/>
          </w:tcPr>
          <w:p w14:paraId="45E36103">
            <w:pPr>
              <w:shd w:val="clear"/>
              <w:adjustRightInd w:val="0"/>
              <w:snapToGrid w:val="0"/>
              <w:spacing w:line="288" w:lineRule="auto"/>
              <w:rPr>
                <w:rFonts w:ascii="宋体" w:hAnsi="宋体" w:cs="宋体"/>
                <w:bCs/>
                <w:color w:val="auto"/>
                <w:szCs w:val="21"/>
                <w:highlight w:val="none"/>
              </w:rPr>
            </w:pPr>
            <w:r>
              <w:rPr>
                <w:rFonts w:hint="eastAsia" w:ascii="宋体" w:hAnsi="宋体" w:cs="宋体"/>
                <w:bCs/>
                <w:color w:val="auto"/>
                <w:szCs w:val="21"/>
                <w:highlight w:val="none"/>
              </w:rPr>
              <w:t>正面：</w:t>
            </w:r>
          </w:p>
        </w:tc>
        <w:tc>
          <w:tcPr>
            <w:tcW w:w="4951" w:type="dxa"/>
            <w:noWrap w:val="0"/>
            <w:vAlign w:val="top"/>
          </w:tcPr>
          <w:p w14:paraId="632A7D1B">
            <w:pPr>
              <w:shd w:val="clear"/>
              <w:adjustRightInd w:val="0"/>
              <w:snapToGrid w:val="0"/>
              <w:spacing w:line="288" w:lineRule="auto"/>
              <w:rPr>
                <w:rFonts w:ascii="宋体" w:hAnsi="宋体" w:cs="宋体"/>
                <w:bCs/>
                <w:color w:val="auto"/>
                <w:szCs w:val="21"/>
                <w:highlight w:val="none"/>
              </w:rPr>
            </w:pPr>
            <w:r>
              <w:rPr>
                <w:rFonts w:hint="eastAsia" w:ascii="宋体" w:hAnsi="宋体" w:cs="宋体"/>
                <w:bCs/>
                <w:color w:val="auto"/>
                <w:szCs w:val="21"/>
                <w:highlight w:val="none"/>
              </w:rPr>
              <w:t>反面：</w:t>
            </w:r>
          </w:p>
        </w:tc>
      </w:tr>
    </w:tbl>
    <w:p w14:paraId="688F1ED3">
      <w:pPr>
        <w:shd w:val="clear"/>
        <w:spacing w:line="360" w:lineRule="auto"/>
        <w:rPr>
          <w:rFonts w:hint="eastAsia" w:ascii="宋体" w:hAnsi="宋体" w:cs="宋体"/>
          <w:color w:val="auto"/>
          <w:sz w:val="24"/>
          <w:highlight w:val="none"/>
        </w:rPr>
      </w:pPr>
    </w:p>
    <w:p w14:paraId="1B3138E1">
      <w:pPr>
        <w:pStyle w:val="15"/>
        <w:shd w:val="clear"/>
        <w:spacing w:line="288" w:lineRule="auto"/>
        <w:ind w:firstLine="210" w:firstLineChars="100"/>
        <w:jc w:val="center"/>
        <w:rPr>
          <w:rFonts w:hint="eastAsia" w:hAnsi="宋体" w:cs="宋体"/>
          <w:color w:val="auto"/>
          <w:highlight w:val="none"/>
        </w:rPr>
      </w:pPr>
    </w:p>
    <w:p w14:paraId="4A9155A4">
      <w:pPr>
        <w:shd w:val="clear"/>
        <w:adjustRightInd w:val="0"/>
        <w:snapToGrid w:val="0"/>
        <w:spacing w:line="360" w:lineRule="auto"/>
        <w:jc w:val="center"/>
        <w:outlineLvl w:val="2"/>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（2）投标人类似合同实施情况一览表</w:t>
      </w:r>
    </w:p>
    <w:tbl>
      <w:tblPr>
        <w:tblStyle w:val="30"/>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42A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65EC860B">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45B78EB">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采购单位</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6BD3B66">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60384737">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56A285A">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合同金额</w:t>
            </w:r>
          </w:p>
          <w:p w14:paraId="4AC6E4E1">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39C4F39A">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89A48F4">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199537B">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采购单位联系人</w:t>
            </w:r>
          </w:p>
          <w:p w14:paraId="22E64185">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联系方式</w:t>
            </w:r>
          </w:p>
        </w:tc>
      </w:tr>
      <w:tr w14:paraId="68900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4F13DAD3">
            <w:pPr>
              <w:shd w:val="clear"/>
              <w:jc w:val="center"/>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C0493C3">
            <w:pPr>
              <w:shd w:val="clear"/>
              <w:jc w:val="center"/>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508F6891">
            <w:pPr>
              <w:shd w:val="clear"/>
              <w:jc w:val="center"/>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17609F82">
            <w:pPr>
              <w:shd w:val="clear"/>
              <w:jc w:val="center"/>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19DF51FA">
            <w:pPr>
              <w:shd w:val="clear"/>
              <w:jc w:val="center"/>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CCA49EB">
            <w:pPr>
              <w:shd w:val="clear"/>
              <w:jc w:val="center"/>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3B49E5B">
            <w:pPr>
              <w:shd w:val="clear"/>
              <w:jc w:val="center"/>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A201B56">
            <w:pPr>
              <w:shd w:val="clear"/>
              <w:jc w:val="center"/>
              <w:rPr>
                <w:rFonts w:hint="eastAsia" w:ascii="宋体" w:hAnsi="宋体" w:cs="宋体"/>
                <w:b/>
                <w:bCs/>
                <w:color w:val="auto"/>
                <w:szCs w:val="21"/>
                <w:highlight w:val="none"/>
              </w:rPr>
            </w:pPr>
          </w:p>
        </w:tc>
      </w:tr>
      <w:tr w14:paraId="67735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9A324BA">
            <w:pPr>
              <w:shd w:val="clear"/>
              <w:jc w:val="center"/>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1E70758">
            <w:pPr>
              <w:shd w:val="clear"/>
              <w:jc w:val="center"/>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7E9FCA09">
            <w:pPr>
              <w:shd w:val="clear"/>
              <w:jc w:val="center"/>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7E1BE80C">
            <w:pPr>
              <w:shd w:val="clear"/>
              <w:jc w:val="center"/>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13EB7B01">
            <w:pPr>
              <w:shd w:val="clear"/>
              <w:jc w:val="center"/>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DA8D01A">
            <w:pPr>
              <w:shd w:val="clear"/>
              <w:jc w:val="center"/>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97B13A1">
            <w:pPr>
              <w:shd w:val="clear"/>
              <w:jc w:val="center"/>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725648E">
            <w:pPr>
              <w:shd w:val="clear"/>
              <w:jc w:val="center"/>
              <w:rPr>
                <w:rFonts w:hint="eastAsia" w:ascii="宋体" w:hAnsi="宋体" w:cs="宋体"/>
                <w:b/>
                <w:bCs/>
                <w:color w:val="auto"/>
                <w:szCs w:val="21"/>
                <w:highlight w:val="none"/>
              </w:rPr>
            </w:pPr>
          </w:p>
        </w:tc>
      </w:tr>
      <w:tr w14:paraId="70D33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77FB2F59">
            <w:pPr>
              <w:shd w:val="clear"/>
              <w:jc w:val="center"/>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A570CD9">
            <w:pPr>
              <w:shd w:val="clear"/>
              <w:jc w:val="center"/>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4478EC89">
            <w:pPr>
              <w:shd w:val="clear"/>
              <w:jc w:val="center"/>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39B3CDE8">
            <w:pPr>
              <w:shd w:val="clear"/>
              <w:jc w:val="center"/>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D28D0D5">
            <w:pPr>
              <w:shd w:val="clear"/>
              <w:jc w:val="center"/>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E32F6E5">
            <w:pPr>
              <w:shd w:val="clear"/>
              <w:jc w:val="center"/>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388F1C9">
            <w:pPr>
              <w:shd w:val="clear"/>
              <w:jc w:val="center"/>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91C8524">
            <w:pPr>
              <w:shd w:val="clear"/>
              <w:jc w:val="center"/>
              <w:rPr>
                <w:rFonts w:hint="eastAsia" w:ascii="宋体" w:hAnsi="宋体" w:cs="宋体"/>
                <w:b/>
                <w:bCs/>
                <w:color w:val="auto"/>
                <w:szCs w:val="21"/>
                <w:highlight w:val="none"/>
              </w:rPr>
            </w:pPr>
          </w:p>
        </w:tc>
      </w:tr>
      <w:tr w14:paraId="2D511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4D431A5">
            <w:pPr>
              <w:shd w:val="clear"/>
              <w:jc w:val="center"/>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B6699DB">
            <w:pPr>
              <w:shd w:val="clear"/>
              <w:jc w:val="center"/>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50FD1DD">
            <w:pPr>
              <w:shd w:val="clear"/>
              <w:jc w:val="center"/>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D498B5C">
            <w:pPr>
              <w:shd w:val="clear"/>
              <w:jc w:val="center"/>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23992D43">
            <w:pPr>
              <w:shd w:val="clear"/>
              <w:jc w:val="center"/>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2ED1108">
            <w:pPr>
              <w:shd w:val="clear"/>
              <w:jc w:val="center"/>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4C3DFC5">
            <w:pPr>
              <w:shd w:val="clear"/>
              <w:jc w:val="center"/>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4513F7D">
            <w:pPr>
              <w:shd w:val="clear"/>
              <w:jc w:val="center"/>
              <w:rPr>
                <w:rFonts w:hint="eastAsia" w:ascii="宋体" w:hAnsi="宋体" w:cs="宋体"/>
                <w:b/>
                <w:bCs/>
                <w:color w:val="auto"/>
                <w:szCs w:val="21"/>
                <w:highlight w:val="none"/>
              </w:rPr>
            </w:pPr>
          </w:p>
        </w:tc>
      </w:tr>
      <w:tr w14:paraId="24C29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09C3EC33">
            <w:pPr>
              <w:shd w:val="clear"/>
              <w:jc w:val="center"/>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8D3048C">
            <w:pPr>
              <w:shd w:val="clear"/>
              <w:jc w:val="center"/>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A2A1C9E">
            <w:pPr>
              <w:shd w:val="clear"/>
              <w:jc w:val="center"/>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432A7BDD">
            <w:pPr>
              <w:shd w:val="clear"/>
              <w:jc w:val="center"/>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1718CD5D">
            <w:pPr>
              <w:shd w:val="clear"/>
              <w:jc w:val="center"/>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C63C9D5">
            <w:pPr>
              <w:shd w:val="clear"/>
              <w:jc w:val="center"/>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2E52BCC">
            <w:pPr>
              <w:shd w:val="clear"/>
              <w:jc w:val="center"/>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4FF205E3">
            <w:pPr>
              <w:shd w:val="clear"/>
              <w:jc w:val="center"/>
              <w:rPr>
                <w:rFonts w:hint="eastAsia" w:ascii="宋体" w:hAnsi="宋体" w:cs="宋体"/>
                <w:b/>
                <w:bCs/>
                <w:color w:val="auto"/>
                <w:szCs w:val="21"/>
                <w:highlight w:val="none"/>
              </w:rPr>
            </w:pPr>
          </w:p>
        </w:tc>
      </w:tr>
    </w:tbl>
    <w:p w14:paraId="6AB335C4">
      <w:pPr>
        <w:pStyle w:val="23"/>
        <w:widowControl w:val="0"/>
        <w:shd w:val="clear"/>
        <w:spacing w:line="360" w:lineRule="auto"/>
        <w:ind w:left="420" w:hanging="420"/>
        <w:rPr>
          <w:rFonts w:hint="eastAsia" w:ascii="宋体" w:hAnsi="宋体" w:cs="宋体"/>
          <w:color w:val="auto"/>
          <w:szCs w:val="21"/>
          <w:highlight w:val="none"/>
        </w:rPr>
      </w:pPr>
    </w:p>
    <w:p w14:paraId="76E9BA18">
      <w:pPr>
        <w:shd w:val="clear"/>
        <w:spacing w:line="360" w:lineRule="auto"/>
        <w:rPr>
          <w:rFonts w:hint="eastAsia" w:ascii="宋体" w:hAnsi="宋体" w:cs="宋体"/>
          <w:b/>
          <w:color w:val="auto"/>
          <w:spacing w:val="-6"/>
          <w:sz w:val="18"/>
          <w:szCs w:val="18"/>
          <w:highlight w:val="none"/>
        </w:rPr>
      </w:pPr>
      <w:r>
        <w:rPr>
          <w:rFonts w:hint="eastAsia" w:ascii="宋体" w:hAnsi="宋体" w:cs="宋体"/>
          <w:b/>
          <w:color w:val="auto"/>
          <w:spacing w:val="-6"/>
          <w:sz w:val="18"/>
          <w:szCs w:val="18"/>
          <w:highlight w:val="none"/>
        </w:rPr>
        <w:t>说明：</w:t>
      </w:r>
    </w:p>
    <w:p w14:paraId="177232B2">
      <w:pPr>
        <w:shd w:val="clear"/>
        <w:spacing w:line="360" w:lineRule="auto"/>
        <w:rPr>
          <w:rFonts w:hint="eastAsia" w:ascii="宋体" w:hAnsi="宋体" w:cs="宋体"/>
          <w:b/>
          <w:color w:val="auto"/>
          <w:spacing w:val="-6"/>
          <w:sz w:val="18"/>
          <w:szCs w:val="18"/>
          <w:highlight w:val="none"/>
        </w:rPr>
      </w:pPr>
      <w:r>
        <w:rPr>
          <w:rFonts w:hint="eastAsia" w:ascii="宋体" w:hAnsi="宋体" w:cs="宋体"/>
          <w:b/>
          <w:color w:val="auto"/>
          <w:spacing w:val="-6"/>
          <w:sz w:val="18"/>
          <w:szCs w:val="18"/>
          <w:highlight w:val="none"/>
        </w:rPr>
        <w:t>1.投标人须提供上述业绩合同复印件；</w:t>
      </w:r>
    </w:p>
    <w:p w14:paraId="7D216CBA">
      <w:pPr>
        <w:shd w:val="clear"/>
        <w:spacing w:line="360" w:lineRule="auto"/>
        <w:rPr>
          <w:rFonts w:hint="eastAsia" w:ascii="宋体" w:hAnsi="宋体" w:cs="宋体"/>
          <w:b/>
          <w:color w:val="auto"/>
          <w:spacing w:val="-6"/>
          <w:sz w:val="18"/>
          <w:szCs w:val="18"/>
          <w:highlight w:val="none"/>
        </w:rPr>
      </w:pPr>
      <w:r>
        <w:rPr>
          <w:rFonts w:hint="eastAsia" w:ascii="宋体" w:hAnsi="宋体" w:cs="宋体"/>
          <w:b/>
          <w:color w:val="auto"/>
          <w:spacing w:val="-6"/>
          <w:sz w:val="18"/>
          <w:szCs w:val="18"/>
          <w:highlight w:val="none"/>
        </w:rPr>
        <w:t>2.所有合同复印件应清晰，应能体现合同签订时间、双方签字盖章等内容；</w:t>
      </w:r>
    </w:p>
    <w:p w14:paraId="1C59D370">
      <w:pPr>
        <w:shd w:val="clear"/>
        <w:adjustRightInd w:val="0"/>
        <w:snapToGrid w:val="0"/>
        <w:spacing w:line="360" w:lineRule="auto"/>
        <w:rPr>
          <w:rFonts w:hint="eastAsia" w:ascii="宋体" w:hAnsi="宋体" w:cs="宋体"/>
          <w:color w:val="auto"/>
          <w:sz w:val="18"/>
          <w:szCs w:val="18"/>
          <w:highlight w:val="none"/>
        </w:rPr>
      </w:pPr>
      <w:r>
        <w:rPr>
          <w:rFonts w:hint="eastAsia" w:ascii="宋体" w:hAnsi="宋体" w:cs="宋体"/>
          <w:b/>
          <w:color w:val="auto"/>
          <w:spacing w:val="-6"/>
          <w:sz w:val="18"/>
          <w:szCs w:val="18"/>
          <w:highlight w:val="none"/>
        </w:rPr>
        <w:t>3.投标人应在不涉及商业秘密的前提下尽可能提供详细的合同复印件内容。</w:t>
      </w:r>
    </w:p>
    <w:p w14:paraId="092C2EE4">
      <w:pPr>
        <w:shd w:val="clear"/>
        <w:adjustRightInd w:val="0"/>
        <w:snapToGrid w:val="0"/>
        <w:spacing w:line="360" w:lineRule="auto"/>
        <w:rPr>
          <w:rFonts w:hint="eastAsia" w:ascii="宋体" w:hAnsi="宋体" w:cs="宋体"/>
          <w:color w:val="auto"/>
          <w:szCs w:val="21"/>
          <w:highlight w:val="none"/>
        </w:rPr>
      </w:pPr>
    </w:p>
    <w:p w14:paraId="70A480E2">
      <w:pPr>
        <w:shd w:val="clear"/>
        <w:adjustRightInd w:val="0"/>
        <w:snapToGrid w:val="0"/>
        <w:spacing w:line="360" w:lineRule="auto"/>
        <w:rPr>
          <w:rFonts w:hint="eastAsia" w:ascii="宋体" w:hAnsi="宋体" w:cs="宋体"/>
          <w:color w:val="auto"/>
          <w:szCs w:val="21"/>
          <w:highlight w:val="none"/>
        </w:rPr>
      </w:pPr>
    </w:p>
    <w:p w14:paraId="785263CD">
      <w:pPr>
        <w:shd w:val="clear"/>
        <w:adjustRightInd w:val="0"/>
        <w:snapToGrid w:val="0"/>
        <w:spacing w:line="360" w:lineRule="auto"/>
        <w:rPr>
          <w:rFonts w:hint="eastAsia" w:ascii="宋体" w:hAnsi="宋体" w:cs="宋体"/>
          <w:b/>
          <w:bCs/>
          <w:color w:val="auto"/>
          <w:spacing w:val="-6"/>
          <w:szCs w:val="21"/>
          <w:highlight w:val="none"/>
        </w:rPr>
      </w:pPr>
    </w:p>
    <w:p w14:paraId="22E6CC62">
      <w:pPr>
        <w:pStyle w:val="8"/>
        <w:shd w:val="clear"/>
        <w:spacing w:line="360" w:lineRule="auto"/>
        <w:ind w:left="0" w:leftChars="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投标人名称（公章）：</w:t>
      </w:r>
    </w:p>
    <w:p w14:paraId="7F285936">
      <w:pPr>
        <w:pStyle w:val="8"/>
        <w:shd w:val="clear"/>
        <w:spacing w:line="360" w:lineRule="auto"/>
        <w:ind w:left="0" w:leftChars="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日期：     年   月   日</w:t>
      </w:r>
    </w:p>
    <w:p w14:paraId="306EFA2B">
      <w:pPr>
        <w:pStyle w:val="15"/>
        <w:shd w:val="clear"/>
        <w:spacing w:line="288" w:lineRule="auto"/>
        <w:ind w:firstLine="240" w:firstLineChars="100"/>
        <w:rPr>
          <w:rFonts w:hAnsi="宋体" w:cs="宋体"/>
          <w:b/>
          <w:bCs/>
          <w:color w:val="auto"/>
          <w:sz w:val="18"/>
          <w:szCs w:val="18"/>
          <w:highlight w:val="none"/>
        </w:rPr>
      </w:pPr>
      <w:r>
        <w:rPr>
          <w:rFonts w:hint="eastAsia" w:hAnsi="宋体" w:cs="宋体"/>
          <w:color w:val="auto"/>
          <w:sz w:val="24"/>
          <w:highlight w:val="none"/>
        </w:rPr>
        <w:br w:type="page"/>
      </w:r>
    </w:p>
    <w:p w14:paraId="7CE3946C">
      <w:pPr>
        <w:pStyle w:val="15"/>
        <w:shd w:val="clear"/>
        <w:spacing w:line="288" w:lineRule="auto"/>
        <w:ind w:firstLine="241" w:firstLineChars="100"/>
        <w:jc w:val="center"/>
        <w:rPr>
          <w:rFonts w:hint="eastAsia" w:hAnsi="宋体" w:cs="宋体"/>
          <w:b/>
          <w:bCs/>
          <w:color w:val="auto"/>
          <w:sz w:val="24"/>
          <w:szCs w:val="24"/>
          <w:highlight w:val="none"/>
        </w:rPr>
      </w:pPr>
      <w:r>
        <w:rPr>
          <w:rFonts w:hint="eastAsia" w:hAnsi="宋体" w:cs="宋体"/>
          <w:b/>
          <w:bCs/>
          <w:color w:val="auto"/>
          <w:sz w:val="24"/>
          <w:szCs w:val="24"/>
          <w:highlight w:val="none"/>
        </w:rPr>
        <w:t>（3）采购需求偏离表</w:t>
      </w:r>
    </w:p>
    <w:p w14:paraId="3B8384B5">
      <w:pPr>
        <w:shd w:val="clear"/>
        <w:adjustRightInd w:val="0"/>
        <w:snapToGrid w:val="0"/>
        <w:spacing w:line="360" w:lineRule="auto"/>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采 购 人：浙江大学医学院附属第四医院</w:t>
      </w:r>
    </w:p>
    <w:p w14:paraId="2A45BFCB">
      <w:pPr>
        <w:shd w:val="clear"/>
        <w:adjustRightInd w:val="0"/>
        <w:snapToGrid w:val="0"/>
        <w:spacing w:line="360" w:lineRule="auto"/>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项目名称：</w:t>
      </w:r>
    </w:p>
    <w:p w14:paraId="462B490D">
      <w:pPr>
        <w:shd w:val="clear"/>
        <w:adjustRightInd w:val="0"/>
        <w:snapToGrid w:val="0"/>
        <w:spacing w:line="360" w:lineRule="auto"/>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项目编号：</w:t>
      </w:r>
    </w:p>
    <w:tbl>
      <w:tblPr>
        <w:tblStyle w:val="3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480"/>
        <w:gridCol w:w="2911"/>
        <w:gridCol w:w="2407"/>
      </w:tblGrid>
      <w:tr w14:paraId="3AF5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4B3A2724">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3480" w:type="dxa"/>
            <w:noWrap w:val="0"/>
            <w:vAlign w:val="center"/>
          </w:tcPr>
          <w:p w14:paraId="5E535B07">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招标文件要求</w:t>
            </w:r>
          </w:p>
        </w:tc>
        <w:tc>
          <w:tcPr>
            <w:tcW w:w="2911" w:type="dxa"/>
            <w:noWrap w:val="0"/>
            <w:vAlign w:val="center"/>
          </w:tcPr>
          <w:p w14:paraId="74450F2B">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响应规格</w:t>
            </w:r>
          </w:p>
        </w:tc>
        <w:tc>
          <w:tcPr>
            <w:tcW w:w="2407" w:type="dxa"/>
            <w:noWrap w:val="0"/>
            <w:vAlign w:val="center"/>
          </w:tcPr>
          <w:p w14:paraId="5A17F6A5">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是否偏离（提供说明）</w:t>
            </w:r>
          </w:p>
        </w:tc>
      </w:tr>
      <w:tr w14:paraId="3452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noWrap w:val="0"/>
            <w:vAlign w:val="center"/>
          </w:tcPr>
          <w:p w14:paraId="7DEE7AF9">
            <w:pPr>
              <w:shd w:val="clear"/>
              <w:rPr>
                <w:rFonts w:hint="eastAsia" w:ascii="宋体" w:hAnsi="宋体" w:cs="宋体"/>
                <w:color w:val="auto"/>
                <w:szCs w:val="21"/>
                <w:highlight w:val="none"/>
              </w:rPr>
            </w:pPr>
            <w:r>
              <w:rPr>
                <w:rFonts w:hint="eastAsia" w:ascii="宋体" w:hAnsi="宋体" w:cs="宋体"/>
                <w:b/>
                <w:bCs/>
                <w:color w:val="auto"/>
                <w:szCs w:val="21"/>
                <w:highlight w:val="none"/>
              </w:rPr>
              <w:t>采购资金的支付方式、时间、条件</w:t>
            </w:r>
          </w:p>
        </w:tc>
      </w:tr>
      <w:tr w14:paraId="70D5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35191C7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480" w:type="dxa"/>
            <w:noWrap w:val="0"/>
            <w:vAlign w:val="center"/>
          </w:tcPr>
          <w:p w14:paraId="15537F13">
            <w:pPr>
              <w:shd w:val="clear"/>
              <w:rPr>
                <w:rFonts w:hint="eastAsia" w:ascii="宋体" w:hAnsi="宋体" w:cs="宋体"/>
                <w:color w:val="auto"/>
                <w:szCs w:val="21"/>
                <w:highlight w:val="none"/>
              </w:rPr>
            </w:pPr>
          </w:p>
        </w:tc>
        <w:tc>
          <w:tcPr>
            <w:tcW w:w="2911" w:type="dxa"/>
            <w:noWrap w:val="0"/>
            <w:vAlign w:val="center"/>
          </w:tcPr>
          <w:p w14:paraId="5088EA80">
            <w:pPr>
              <w:shd w:val="clear"/>
              <w:rPr>
                <w:rFonts w:hint="eastAsia" w:ascii="宋体" w:hAnsi="宋体" w:cs="宋体"/>
                <w:color w:val="auto"/>
                <w:szCs w:val="21"/>
                <w:highlight w:val="none"/>
              </w:rPr>
            </w:pPr>
          </w:p>
        </w:tc>
        <w:tc>
          <w:tcPr>
            <w:tcW w:w="2407" w:type="dxa"/>
            <w:noWrap w:val="0"/>
            <w:vAlign w:val="center"/>
          </w:tcPr>
          <w:p w14:paraId="5E8092D3">
            <w:pPr>
              <w:shd w:val="clear"/>
              <w:rPr>
                <w:rFonts w:hint="eastAsia" w:ascii="宋体" w:hAnsi="宋体" w:cs="宋体"/>
                <w:color w:val="auto"/>
                <w:szCs w:val="21"/>
                <w:highlight w:val="none"/>
              </w:rPr>
            </w:pPr>
          </w:p>
        </w:tc>
      </w:tr>
      <w:tr w14:paraId="5EBE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3271081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480" w:type="dxa"/>
            <w:noWrap w:val="0"/>
            <w:vAlign w:val="center"/>
          </w:tcPr>
          <w:p w14:paraId="531924C8">
            <w:pPr>
              <w:shd w:val="clear"/>
              <w:rPr>
                <w:rFonts w:hint="eastAsia" w:ascii="宋体" w:hAnsi="宋体" w:cs="宋体"/>
                <w:color w:val="auto"/>
                <w:szCs w:val="21"/>
                <w:highlight w:val="none"/>
              </w:rPr>
            </w:pPr>
          </w:p>
        </w:tc>
        <w:tc>
          <w:tcPr>
            <w:tcW w:w="2911" w:type="dxa"/>
            <w:noWrap w:val="0"/>
            <w:vAlign w:val="center"/>
          </w:tcPr>
          <w:p w14:paraId="48423B02">
            <w:pPr>
              <w:shd w:val="clear"/>
              <w:rPr>
                <w:rFonts w:hint="eastAsia" w:ascii="宋体" w:hAnsi="宋体" w:cs="宋体"/>
                <w:color w:val="auto"/>
                <w:szCs w:val="21"/>
                <w:highlight w:val="none"/>
              </w:rPr>
            </w:pPr>
          </w:p>
        </w:tc>
        <w:tc>
          <w:tcPr>
            <w:tcW w:w="2407" w:type="dxa"/>
            <w:noWrap w:val="0"/>
            <w:vAlign w:val="center"/>
          </w:tcPr>
          <w:p w14:paraId="75BDB1E2">
            <w:pPr>
              <w:shd w:val="clear"/>
              <w:rPr>
                <w:rFonts w:hint="eastAsia" w:ascii="宋体" w:hAnsi="宋体" w:cs="宋体"/>
                <w:color w:val="auto"/>
                <w:szCs w:val="21"/>
                <w:highlight w:val="none"/>
              </w:rPr>
            </w:pPr>
          </w:p>
        </w:tc>
      </w:tr>
      <w:tr w14:paraId="6F8E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187E964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480" w:type="dxa"/>
            <w:noWrap w:val="0"/>
            <w:vAlign w:val="center"/>
          </w:tcPr>
          <w:p w14:paraId="10A9870A">
            <w:pPr>
              <w:shd w:val="clear"/>
              <w:rPr>
                <w:rFonts w:hint="eastAsia" w:ascii="宋体" w:hAnsi="宋体" w:cs="宋体"/>
                <w:color w:val="auto"/>
                <w:szCs w:val="21"/>
                <w:highlight w:val="none"/>
              </w:rPr>
            </w:pPr>
          </w:p>
        </w:tc>
        <w:tc>
          <w:tcPr>
            <w:tcW w:w="2911" w:type="dxa"/>
            <w:noWrap w:val="0"/>
            <w:vAlign w:val="center"/>
          </w:tcPr>
          <w:p w14:paraId="6CA17726">
            <w:pPr>
              <w:shd w:val="clear"/>
              <w:rPr>
                <w:rFonts w:hint="eastAsia" w:ascii="宋体" w:hAnsi="宋体" w:cs="宋体"/>
                <w:color w:val="auto"/>
                <w:szCs w:val="21"/>
                <w:highlight w:val="none"/>
              </w:rPr>
            </w:pPr>
          </w:p>
        </w:tc>
        <w:tc>
          <w:tcPr>
            <w:tcW w:w="2407" w:type="dxa"/>
            <w:noWrap w:val="0"/>
            <w:vAlign w:val="center"/>
          </w:tcPr>
          <w:p w14:paraId="4C5F7A92">
            <w:pPr>
              <w:shd w:val="clear"/>
              <w:rPr>
                <w:rFonts w:hint="eastAsia" w:ascii="宋体" w:hAnsi="宋体" w:cs="宋体"/>
                <w:color w:val="auto"/>
                <w:szCs w:val="21"/>
                <w:highlight w:val="none"/>
              </w:rPr>
            </w:pPr>
          </w:p>
        </w:tc>
      </w:tr>
      <w:tr w14:paraId="2B26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noWrap w:val="0"/>
            <w:vAlign w:val="center"/>
          </w:tcPr>
          <w:p w14:paraId="1AABE746">
            <w:pPr>
              <w:shd w:val="clear"/>
              <w:rPr>
                <w:rFonts w:hint="eastAsia" w:ascii="宋体" w:hAnsi="宋体" w:cs="宋体"/>
                <w:color w:val="auto"/>
                <w:szCs w:val="21"/>
                <w:highlight w:val="none"/>
              </w:rPr>
            </w:pPr>
            <w:r>
              <w:rPr>
                <w:rFonts w:hint="eastAsia" w:ascii="宋体" w:hAnsi="宋体" w:cs="宋体"/>
                <w:b/>
                <w:bCs/>
                <w:color w:val="auto"/>
                <w:szCs w:val="21"/>
                <w:highlight w:val="none"/>
              </w:rPr>
              <w:t>服务要求</w:t>
            </w:r>
          </w:p>
        </w:tc>
      </w:tr>
      <w:tr w14:paraId="6DB9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58DDCE6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480" w:type="dxa"/>
            <w:noWrap w:val="0"/>
            <w:vAlign w:val="center"/>
          </w:tcPr>
          <w:p w14:paraId="767ADF8A">
            <w:pPr>
              <w:shd w:val="clear"/>
              <w:rPr>
                <w:rFonts w:hint="eastAsia" w:ascii="宋体" w:hAnsi="宋体" w:cs="宋体"/>
                <w:color w:val="auto"/>
                <w:szCs w:val="21"/>
                <w:highlight w:val="none"/>
              </w:rPr>
            </w:pPr>
          </w:p>
        </w:tc>
        <w:tc>
          <w:tcPr>
            <w:tcW w:w="2911" w:type="dxa"/>
            <w:noWrap w:val="0"/>
            <w:vAlign w:val="center"/>
          </w:tcPr>
          <w:p w14:paraId="4EEF2E25">
            <w:pPr>
              <w:shd w:val="clear"/>
              <w:rPr>
                <w:rFonts w:hint="eastAsia" w:ascii="宋体" w:hAnsi="宋体" w:cs="宋体"/>
                <w:color w:val="auto"/>
                <w:szCs w:val="21"/>
                <w:highlight w:val="none"/>
              </w:rPr>
            </w:pPr>
          </w:p>
        </w:tc>
        <w:tc>
          <w:tcPr>
            <w:tcW w:w="2407" w:type="dxa"/>
            <w:noWrap w:val="0"/>
            <w:vAlign w:val="center"/>
          </w:tcPr>
          <w:p w14:paraId="3545E8AA">
            <w:pPr>
              <w:shd w:val="clear"/>
              <w:rPr>
                <w:rFonts w:hint="eastAsia" w:ascii="宋体" w:hAnsi="宋体" w:cs="宋体"/>
                <w:color w:val="auto"/>
                <w:szCs w:val="21"/>
                <w:highlight w:val="none"/>
              </w:rPr>
            </w:pPr>
          </w:p>
        </w:tc>
      </w:tr>
      <w:tr w14:paraId="4A77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600E21D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480" w:type="dxa"/>
            <w:noWrap w:val="0"/>
            <w:vAlign w:val="center"/>
          </w:tcPr>
          <w:p w14:paraId="6C2680EE">
            <w:pPr>
              <w:shd w:val="clear"/>
              <w:rPr>
                <w:rFonts w:hint="eastAsia" w:ascii="宋体" w:hAnsi="宋体" w:cs="宋体"/>
                <w:color w:val="auto"/>
                <w:szCs w:val="21"/>
                <w:highlight w:val="none"/>
              </w:rPr>
            </w:pPr>
          </w:p>
        </w:tc>
        <w:tc>
          <w:tcPr>
            <w:tcW w:w="2911" w:type="dxa"/>
            <w:noWrap w:val="0"/>
            <w:vAlign w:val="center"/>
          </w:tcPr>
          <w:p w14:paraId="6077C635">
            <w:pPr>
              <w:shd w:val="clear"/>
              <w:rPr>
                <w:rFonts w:hint="eastAsia" w:ascii="宋体" w:hAnsi="宋体" w:cs="宋体"/>
                <w:color w:val="auto"/>
                <w:szCs w:val="21"/>
                <w:highlight w:val="none"/>
              </w:rPr>
            </w:pPr>
          </w:p>
        </w:tc>
        <w:tc>
          <w:tcPr>
            <w:tcW w:w="2407" w:type="dxa"/>
            <w:noWrap w:val="0"/>
            <w:vAlign w:val="center"/>
          </w:tcPr>
          <w:p w14:paraId="5B61F5B4">
            <w:pPr>
              <w:shd w:val="clear"/>
              <w:rPr>
                <w:rFonts w:hint="eastAsia" w:ascii="宋体" w:hAnsi="宋体" w:cs="宋体"/>
                <w:color w:val="auto"/>
                <w:szCs w:val="21"/>
                <w:highlight w:val="none"/>
              </w:rPr>
            </w:pPr>
          </w:p>
        </w:tc>
      </w:tr>
      <w:tr w14:paraId="0FB6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2EEC06B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480" w:type="dxa"/>
            <w:noWrap w:val="0"/>
            <w:vAlign w:val="center"/>
          </w:tcPr>
          <w:p w14:paraId="3A93E4DE">
            <w:pPr>
              <w:shd w:val="clear"/>
              <w:rPr>
                <w:rFonts w:hint="eastAsia" w:ascii="宋体" w:hAnsi="宋体" w:cs="宋体"/>
                <w:color w:val="auto"/>
                <w:szCs w:val="21"/>
                <w:highlight w:val="none"/>
              </w:rPr>
            </w:pPr>
          </w:p>
        </w:tc>
        <w:tc>
          <w:tcPr>
            <w:tcW w:w="2911" w:type="dxa"/>
            <w:noWrap w:val="0"/>
            <w:vAlign w:val="center"/>
          </w:tcPr>
          <w:p w14:paraId="483AE171">
            <w:pPr>
              <w:shd w:val="clear"/>
              <w:rPr>
                <w:rFonts w:hint="eastAsia" w:ascii="宋体" w:hAnsi="宋体" w:cs="宋体"/>
                <w:color w:val="auto"/>
                <w:szCs w:val="21"/>
                <w:highlight w:val="none"/>
              </w:rPr>
            </w:pPr>
          </w:p>
        </w:tc>
        <w:tc>
          <w:tcPr>
            <w:tcW w:w="2407" w:type="dxa"/>
            <w:noWrap w:val="0"/>
            <w:vAlign w:val="center"/>
          </w:tcPr>
          <w:p w14:paraId="2D87EE50">
            <w:pPr>
              <w:shd w:val="clear"/>
              <w:rPr>
                <w:rFonts w:hint="eastAsia" w:ascii="宋体" w:hAnsi="宋体" w:cs="宋体"/>
                <w:color w:val="auto"/>
                <w:szCs w:val="21"/>
                <w:highlight w:val="none"/>
              </w:rPr>
            </w:pPr>
          </w:p>
        </w:tc>
      </w:tr>
      <w:tr w14:paraId="4EB3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noWrap w:val="0"/>
            <w:vAlign w:val="center"/>
          </w:tcPr>
          <w:p w14:paraId="04F4D062">
            <w:pPr>
              <w:shd w:val="clear"/>
              <w:rPr>
                <w:rFonts w:hint="eastAsia" w:ascii="宋体" w:hAnsi="宋体" w:cs="宋体"/>
                <w:color w:val="auto"/>
                <w:szCs w:val="21"/>
                <w:highlight w:val="none"/>
              </w:rPr>
            </w:pPr>
            <w:r>
              <w:rPr>
                <w:rFonts w:hint="eastAsia" w:ascii="宋体" w:hAnsi="宋体" w:cs="宋体"/>
                <w:b/>
                <w:bCs/>
                <w:color w:val="auto"/>
                <w:szCs w:val="21"/>
                <w:highlight w:val="none"/>
              </w:rPr>
              <w:t>合同条款</w:t>
            </w:r>
          </w:p>
        </w:tc>
      </w:tr>
      <w:tr w14:paraId="5E87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61E6EF3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480" w:type="dxa"/>
            <w:noWrap w:val="0"/>
            <w:vAlign w:val="center"/>
          </w:tcPr>
          <w:p w14:paraId="2EFC32FC">
            <w:pPr>
              <w:shd w:val="clear"/>
              <w:rPr>
                <w:rFonts w:hint="eastAsia" w:ascii="宋体" w:hAnsi="宋体" w:cs="宋体"/>
                <w:color w:val="auto"/>
                <w:szCs w:val="21"/>
                <w:highlight w:val="none"/>
              </w:rPr>
            </w:pPr>
          </w:p>
        </w:tc>
        <w:tc>
          <w:tcPr>
            <w:tcW w:w="2911" w:type="dxa"/>
            <w:noWrap w:val="0"/>
            <w:vAlign w:val="center"/>
          </w:tcPr>
          <w:p w14:paraId="0776BAC0">
            <w:pPr>
              <w:shd w:val="clear"/>
              <w:rPr>
                <w:rFonts w:hint="eastAsia" w:ascii="宋体" w:hAnsi="宋体" w:cs="宋体"/>
                <w:color w:val="auto"/>
                <w:szCs w:val="21"/>
                <w:highlight w:val="none"/>
              </w:rPr>
            </w:pPr>
          </w:p>
        </w:tc>
        <w:tc>
          <w:tcPr>
            <w:tcW w:w="2407" w:type="dxa"/>
            <w:noWrap w:val="0"/>
            <w:vAlign w:val="center"/>
          </w:tcPr>
          <w:p w14:paraId="79136943">
            <w:pPr>
              <w:shd w:val="clear"/>
              <w:rPr>
                <w:rFonts w:hint="eastAsia" w:ascii="宋体" w:hAnsi="宋体" w:cs="宋体"/>
                <w:color w:val="auto"/>
                <w:szCs w:val="21"/>
                <w:highlight w:val="none"/>
              </w:rPr>
            </w:pPr>
          </w:p>
        </w:tc>
      </w:tr>
      <w:tr w14:paraId="5C41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03D8A95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480" w:type="dxa"/>
            <w:noWrap w:val="0"/>
            <w:vAlign w:val="center"/>
          </w:tcPr>
          <w:p w14:paraId="77EC3853">
            <w:pPr>
              <w:shd w:val="clear"/>
              <w:rPr>
                <w:rFonts w:hint="eastAsia" w:ascii="宋体" w:hAnsi="宋体" w:cs="宋体"/>
                <w:color w:val="auto"/>
                <w:szCs w:val="21"/>
                <w:highlight w:val="none"/>
              </w:rPr>
            </w:pPr>
          </w:p>
        </w:tc>
        <w:tc>
          <w:tcPr>
            <w:tcW w:w="2911" w:type="dxa"/>
            <w:noWrap w:val="0"/>
            <w:vAlign w:val="center"/>
          </w:tcPr>
          <w:p w14:paraId="551B292F">
            <w:pPr>
              <w:shd w:val="clear"/>
              <w:rPr>
                <w:rFonts w:hint="eastAsia" w:ascii="宋体" w:hAnsi="宋体" w:cs="宋体"/>
                <w:color w:val="auto"/>
                <w:szCs w:val="21"/>
                <w:highlight w:val="none"/>
              </w:rPr>
            </w:pPr>
          </w:p>
        </w:tc>
        <w:tc>
          <w:tcPr>
            <w:tcW w:w="2407" w:type="dxa"/>
            <w:noWrap w:val="0"/>
            <w:vAlign w:val="center"/>
          </w:tcPr>
          <w:p w14:paraId="330A5984">
            <w:pPr>
              <w:shd w:val="clear"/>
              <w:rPr>
                <w:rFonts w:hint="eastAsia" w:ascii="宋体" w:hAnsi="宋体" w:cs="宋体"/>
                <w:color w:val="auto"/>
                <w:szCs w:val="21"/>
                <w:highlight w:val="none"/>
              </w:rPr>
            </w:pPr>
          </w:p>
        </w:tc>
      </w:tr>
      <w:tr w14:paraId="7A5F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35FBE5D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480" w:type="dxa"/>
            <w:noWrap w:val="0"/>
            <w:vAlign w:val="center"/>
          </w:tcPr>
          <w:p w14:paraId="6ADA8C84">
            <w:pPr>
              <w:shd w:val="clear"/>
              <w:rPr>
                <w:rFonts w:hint="eastAsia" w:ascii="宋体" w:hAnsi="宋体" w:cs="宋体"/>
                <w:color w:val="auto"/>
                <w:szCs w:val="21"/>
                <w:highlight w:val="none"/>
              </w:rPr>
            </w:pPr>
          </w:p>
        </w:tc>
        <w:tc>
          <w:tcPr>
            <w:tcW w:w="2911" w:type="dxa"/>
            <w:noWrap w:val="0"/>
            <w:vAlign w:val="center"/>
          </w:tcPr>
          <w:p w14:paraId="4CD34D6D">
            <w:pPr>
              <w:shd w:val="clear"/>
              <w:rPr>
                <w:rFonts w:hint="eastAsia" w:ascii="宋体" w:hAnsi="宋体" w:cs="宋体"/>
                <w:color w:val="auto"/>
                <w:szCs w:val="21"/>
                <w:highlight w:val="none"/>
              </w:rPr>
            </w:pPr>
          </w:p>
        </w:tc>
        <w:tc>
          <w:tcPr>
            <w:tcW w:w="2407" w:type="dxa"/>
            <w:noWrap w:val="0"/>
            <w:vAlign w:val="center"/>
          </w:tcPr>
          <w:p w14:paraId="241B14F2">
            <w:pPr>
              <w:shd w:val="clear"/>
              <w:rPr>
                <w:rFonts w:hint="eastAsia" w:ascii="宋体" w:hAnsi="宋体" w:cs="宋体"/>
                <w:color w:val="auto"/>
                <w:szCs w:val="21"/>
                <w:highlight w:val="none"/>
              </w:rPr>
            </w:pPr>
          </w:p>
        </w:tc>
      </w:tr>
    </w:tbl>
    <w:p w14:paraId="680A17E1">
      <w:pPr>
        <w:shd w:val="clear"/>
        <w:adjustRightInd w:val="0"/>
        <w:snapToGrid w:val="0"/>
        <w:spacing w:line="360" w:lineRule="auto"/>
        <w:rPr>
          <w:rFonts w:hint="eastAsia" w:ascii="宋体" w:hAnsi="宋体" w:cs="宋体"/>
          <w:color w:val="auto"/>
          <w:szCs w:val="21"/>
          <w:highlight w:val="none"/>
        </w:rPr>
      </w:pPr>
    </w:p>
    <w:p w14:paraId="3C197A1E">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说明：</w:t>
      </w:r>
    </w:p>
    <w:p w14:paraId="4DFD06AE">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1.逐项按照招标文件要求填写响应规格；</w:t>
      </w:r>
    </w:p>
    <w:p w14:paraId="51BF7B6C">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2.偏离说明是指对招标文件要求存在不同之处的解释说明，偏离系指正偏离（高于采购需求）、负偏离（低于采购需求）、无偏离（满足采购需求）；</w:t>
      </w:r>
    </w:p>
    <w:p w14:paraId="1443AAC7">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3.如不填写或未如实填写，自行承担投标风险。</w:t>
      </w:r>
    </w:p>
    <w:p w14:paraId="39C1AB33">
      <w:pPr>
        <w:shd w:val="clear"/>
        <w:adjustRightInd w:val="0"/>
        <w:snapToGrid w:val="0"/>
        <w:spacing w:line="360" w:lineRule="auto"/>
        <w:rPr>
          <w:rFonts w:hint="eastAsia" w:ascii="宋体" w:hAnsi="宋体" w:cs="宋体"/>
          <w:color w:val="auto"/>
          <w:szCs w:val="21"/>
          <w:highlight w:val="none"/>
        </w:rPr>
      </w:pPr>
    </w:p>
    <w:p w14:paraId="66ECDE2D">
      <w:pPr>
        <w:pStyle w:val="8"/>
        <w:shd w:val="clear"/>
        <w:spacing w:line="360" w:lineRule="auto"/>
        <w:ind w:left="0" w:leftChars="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投标人名称（公章）：</w:t>
      </w:r>
    </w:p>
    <w:p w14:paraId="1A7E8781">
      <w:pPr>
        <w:pStyle w:val="8"/>
        <w:shd w:val="clear"/>
        <w:spacing w:line="360" w:lineRule="auto"/>
        <w:ind w:left="0" w:leftChars="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日期：     年   月   日</w:t>
      </w:r>
    </w:p>
    <w:p w14:paraId="5CFA9A11">
      <w:pPr>
        <w:pStyle w:val="15"/>
        <w:shd w:val="clear"/>
        <w:spacing w:line="288" w:lineRule="auto"/>
        <w:ind w:firstLine="321" w:firstLineChars="100"/>
        <w:jc w:val="center"/>
        <w:rPr>
          <w:rFonts w:hint="eastAsia" w:hAnsi="宋体" w:cs="宋体"/>
          <w:b/>
          <w:bCs/>
          <w:color w:val="auto"/>
          <w:sz w:val="24"/>
          <w:highlight w:val="none"/>
        </w:rPr>
      </w:pPr>
      <w:r>
        <w:rPr>
          <w:rFonts w:hint="eastAsia" w:hAnsi="宋体" w:cs="宋体"/>
          <w:b/>
          <w:color w:val="auto"/>
          <w:sz w:val="32"/>
          <w:szCs w:val="32"/>
          <w:highlight w:val="none"/>
        </w:rPr>
        <w:br w:type="page"/>
      </w:r>
      <w:r>
        <w:rPr>
          <w:rFonts w:hint="eastAsia" w:hAnsi="宋体" w:cs="宋体"/>
          <w:b/>
          <w:bCs/>
          <w:color w:val="auto"/>
          <w:sz w:val="24"/>
          <w:highlight w:val="none"/>
        </w:rPr>
        <w:t>（4）项目整体实施方案</w:t>
      </w:r>
    </w:p>
    <w:p w14:paraId="3CA01CF1">
      <w:pPr>
        <w:pStyle w:val="15"/>
        <w:shd w:val="clear"/>
        <w:spacing w:line="288" w:lineRule="auto"/>
        <w:ind w:firstLine="181" w:firstLineChars="100"/>
        <w:rPr>
          <w:rFonts w:hAnsi="宋体" w:cs="宋体"/>
          <w:b/>
          <w:bCs/>
          <w:color w:val="auto"/>
          <w:sz w:val="18"/>
          <w:szCs w:val="18"/>
          <w:highlight w:val="none"/>
        </w:rPr>
      </w:pPr>
      <w:r>
        <w:rPr>
          <w:rFonts w:hint="eastAsia" w:hAnsi="宋体" w:cs="宋体"/>
          <w:b/>
          <w:bCs/>
          <w:color w:val="auto"/>
          <w:sz w:val="18"/>
          <w:szCs w:val="18"/>
          <w:highlight w:val="none"/>
        </w:rPr>
        <w:t>根据评分标准及投标人自身情况提供，格式自拟</w:t>
      </w:r>
    </w:p>
    <w:p w14:paraId="6D66C8EE">
      <w:pPr>
        <w:pStyle w:val="15"/>
        <w:shd w:val="clear"/>
        <w:spacing w:line="288" w:lineRule="auto"/>
        <w:ind w:firstLine="241" w:firstLineChars="100"/>
        <w:jc w:val="center"/>
        <w:rPr>
          <w:rFonts w:hint="eastAsia" w:hAnsi="宋体" w:cs="宋体"/>
          <w:b/>
          <w:bCs/>
          <w:color w:val="auto"/>
          <w:sz w:val="24"/>
          <w:highlight w:val="none"/>
        </w:rPr>
      </w:pPr>
    </w:p>
    <w:p w14:paraId="2CDFDE98">
      <w:pPr>
        <w:pStyle w:val="15"/>
        <w:shd w:val="clear"/>
        <w:spacing w:line="288" w:lineRule="auto"/>
        <w:ind w:firstLine="241" w:firstLineChars="100"/>
        <w:jc w:val="center"/>
        <w:rPr>
          <w:rFonts w:hint="eastAsia" w:hAnsi="宋体" w:cs="宋体"/>
          <w:b/>
          <w:bCs/>
          <w:color w:val="auto"/>
          <w:sz w:val="24"/>
          <w:highlight w:val="none"/>
        </w:rPr>
      </w:pPr>
      <w:r>
        <w:rPr>
          <w:rFonts w:hint="eastAsia" w:hAnsi="宋体" w:cs="宋体"/>
          <w:b/>
          <w:bCs/>
          <w:color w:val="auto"/>
          <w:sz w:val="24"/>
          <w:highlight w:val="none"/>
        </w:rPr>
        <w:t>（5）人员技术力量投入情况</w:t>
      </w:r>
    </w:p>
    <w:p w14:paraId="4A9C891A">
      <w:pPr>
        <w:pStyle w:val="15"/>
        <w:shd w:val="clear"/>
        <w:spacing w:line="288" w:lineRule="auto"/>
        <w:ind w:firstLine="181" w:firstLineChars="100"/>
        <w:rPr>
          <w:rFonts w:hAnsi="宋体" w:cs="宋体"/>
          <w:b/>
          <w:bCs/>
          <w:color w:val="auto"/>
          <w:sz w:val="18"/>
          <w:szCs w:val="18"/>
          <w:highlight w:val="none"/>
        </w:rPr>
      </w:pPr>
      <w:r>
        <w:rPr>
          <w:rFonts w:hint="eastAsia" w:hAnsi="宋体" w:cs="宋体"/>
          <w:b/>
          <w:bCs/>
          <w:color w:val="auto"/>
          <w:sz w:val="18"/>
          <w:szCs w:val="18"/>
          <w:highlight w:val="none"/>
        </w:rPr>
        <w:t>根据评分标准及投标人自身情况提供，格式自拟</w:t>
      </w:r>
    </w:p>
    <w:p w14:paraId="35223075">
      <w:pPr>
        <w:pStyle w:val="15"/>
        <w:shd w:val="clear"/>
        <w:spacing w:line="288" w:lineRule="auto"/>
        <w:ind w:firstLine="241" w:firstLineChars="100"/>
        <w:jc w:val="center"/>
        <w:rPr>
          <w:rFonts w:hint="eastAsia" w:hAnsi="宋体" w:cs="宋体"/>
          <w:b/>
          <w:bCs/>
          <w:color w:val="auto"/>
          <w:sz w:val="24"/>
          <w:highlight w:val="none"/>
        </w:rPr>
      </w:pPr>
    </w:p>
    <w:p w14:paraId="037478C5">
      <w:pPr>
        <w:pStyle w:val="15"/>
        <w:shd w:val="clear"/>
        <w:spacing w:line="288" w:lineRule="auto"/>
        <w:ind w:firstLine="241" w:firstLineChars="100"/>
        <w:jc w:val="center"/>
        <w:rPr>
          <w:rFonts w:hint="eastAsia" w:hAnsi="宋体" w:cs="宋体"/>
          <w:b/>
          <w:bCs/>
          <w:color w:val="auto"/>
          <w:sz w:val="24"/>
          <w:highlight w:val="none"/>
        </w:rPr>
      </w:pPr>
      <w:r>
        <w:rPr>
          <w:rFonts w:hint="eastAsia" w:hAnsi="宋体" w:cs="宋体"/>
          <w:b/>
          <w:bCs/>
          <w:color w:val="auto"/>
          <w:sz w:val="24"/>
          <w:highlight w:val="none"/>
        </w:rPr>
        <w:t>（6）应急预案</w:t>
      </w:r>
    </w:p>
    <w:p w14:paraId="3F27AF24">
      <w:pPr>
        <w:pStyle w:val="15"/>
        <w:shd w:val="clear"/>
        <w:spacing w:line="288" w:lineRule="auto"/>
        <w:ind w:firstLine="181" w:firstLineChars="100"/>
        <w:rPr>
          <w:rFonts w:hAnsi="宋体" w:cs="宋体"/>
          <w:b/>
          <w:bCs/>
          <w:color w:val="auto"/>
          <w:sz w:val="18"/>
          <w:szCs w:val="18"/>
          <w:highlight w:val="none"/>
        </w:rPr>
      </w:pPr>
      <w:r>
        <w:rPr>
          <w:rFonts w:hint="eastAsia" w:hAnsi="宋体" w:cs="宋体"/>
          <w:b/>
          <w:bCs/>
          <w:color w:val="auto"/>
          <w:sz w:val="18"/>
          <w:szCs w:val="18"/>
          <w:highlight w:val="none"/>
        </w:rPr>
        <w:t>根据评分标准及投标人自身情况提供，格式自拟</w:t>
      </w:r>
    </w:p>
    <w:p w14:paraId="2C3C89CE">
      <w:pPr>
        <w:pStyle w:val="15"/>
        <w:shd w:val="clear"/>
        <w:spacing w:line="288" w:lineRule="auto"/>
        <w:ind w:firstLine="241" w:firstLineChars="100"/>
        <w:jc w:val="center"/>
        <w:rPr>
          <w:rFonts w:hint="eastAsia" w:hAnsi="宋体" w:cs="宋体"/>
          <w:b/>
          <w:bCs/>
          <w:color w:val="auto"/>
          <w:sz w:val="24"/>
          <w:highlight w:val="none"/>
        </w:rPr>
      </w:pPr>
    </w:p>
    <w:p w14:paraId="2AC64B7E">
      <w:pPr>
        <w:pStyle w:val="15"/>
        <w:shd w:val="clear"/>
        <w:spacing w:line="288" w:lineRule="auto"/>
        <w:ind w:firstLine="241" w:firstLineChars="100"/>
        <w:jc w:val="center"/>
        <w:rPr>
          <w:rFonts w:hint="eastAsia" w:hAnsi="宋体" w:cs="宋体"/>
          <w:b/>
          <w:bCs/>
          <w:color w:val="auto"/>
          <w:sz w:val="24"/>
          <w:highlight w:val="none"/>
        </w:rPr>
      </w:pPr>
      <w:r>
        <w:rPr>
          <w:rFonts w:hint="eastAsia" w:hAnsi="宋体" w:cs="宋体"/>
          <w:b/>
          <w:bCs/>
          <w:color w:val="auto"/>
          <w:sz w:val="24"/>
          <w:highlight w:val="none"/>
        </w:rPr>
        <w:t>（7）售后服务</w:t>
      </w:r>
    </w:p>
    <w:p w14:paraId="18EC881D">
      <w:pPr>
        <w:pStyle w:val="15"/>
        <w:shd w:val="clear"/>
        <w:spacing w:line="288" w:lineRule="auto"/>
        <w:ind w:firstLine="181" w:firstLineChars="100"/>
        <w:rPr>
          <w:rFonts w:hAnsi="宋体" w:cs="宋体"/>
          <w:b/>
          <w:bCs/>
          <w:color w:val="auto"/>
          <w:sz w:val="18"/>
          <w:szCs w:val="18"/>
          <w:highlight w:val="none"/>
        </w:rPr>
      </w:pPr>
      <w:r>
        <w:rPr>
          <w:rFonts w:hint="eastAsia" w:hAnsi="宋体" w:cs="宋体"/>
          <w:b/>
          <w:bCs/>
          <w:color w:val="auto"/>
          <w:sz w:val="18"/>
          <w:szCs w:val="18"/>
          <w:highlight w:val="none"/>
        </w:rPr>
        <w:t>根据评分标准及投标人自身情况提供，格式自拟</w:t>
      </w:r>
    </w:p>
    <w:p w14:paraId="06689764">
      <w:pPr>
        <w:shd w:val="clea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（8）义乌市政府采购项目投标承诺书</w:t>
      </w:r>
    </w:p>
    <w:p w14:paraId="0BE0B1BD">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我单位已认真阅读了本项目的招标公告、招标文件、技术要求、招标补充（答疑）文件及相关资料，对其全部内容和要求有实质性了解，并对这些内容表示理解且无任何异议，接受其全部内容及要求，承诺本单位的投标文件已经完全响应并符合其全部条件和要求，愿意参加投标并愿意</w:t>
      </w:r>
      <w:r>
        <w:rPr>
          <w:rFonts w:hint="eastAsia" w:ascii="宋体" w:hAnsi="宋体" w:cs="宋体"/>
          <w:color w:val="auto"/>
          <w:szCs w:val="21"/>
          <w:highlight w:val="none"/>
        </w:rPr>
        <w:t>中标</w:t>
      </w:r>
      <w:r>
        <w:rPr>
          <w:rFonts w:hint="eastAsia" w:ascii="宋体" w:hAnsi="宋体" w:cs="宋体"/>
          <w:color w:val="auto"/>
          <w:highlight w:val="none"/>
        </w:rPr>
        <w:t>；</w:t>
      </w:r>
    </w:p>
    <w:p w14:paraId="7760B3D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2.自愿接受义乌市财政局（以下简称市财政局）的管理，并严格遵守政府采购监管部门制定的招投标管理制度、规范和纪律。</w:t>
      </w:r>
    </w:p>
    <w:p w14:paraId="36E6224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3.我单位承诺参与本次投标的资格符合《中华人民共和国政府采购法》的规定，并承诺近三年内，在经营活动中没有重大违法记录。</w:t>
      </w:r>
    </w:p>
    <w:p w14:paraId="5F9BDB5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1CBA89E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5.不转让、出借、涂改、伪造资质（资格）证书或者以其他方式允许其他单位（个人）以我单位（本人）名义承接业务。</w:t>
      </w:r>
    </w:p>
    <w:p w14:paraId="04993EA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6.不与采购人或者其他投标人相互串通投标，围标，不以行贿等不正当手段谋取</w:t>
      </w:r>
      <w:r>
        <w:rPr>
          <w:rFonts w:hint="eastAsia" w:ascii="宋体" w:hAnsi="宋体" w:cs="宋体"/>
          <w:color w:val="auto"/>
          <w:sz w:val="24"/>
          <w:highlight w:val="none"/>
        </w:rPr>
        <w:t>中标</w:t>
      </w:r>
      <w:r>
        <w:rPr>
          <w:rFonts w:hint="eastAsia" w:ascii="宋体" w:hAnsi="宋体" w:cs="宋体"/>
          <w:color w:val="auto"/>
          <w:szCs w:val="21"/>
          <w:highlight w:val="none"/>
        </w:rPr>
        <w:t>。</w:t>
      </w:r>
    </w:p>
    <w:p w14:paraId="2CEBD12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7.在备案、招标、投标、报名、开标、评标、询标、中标、签订合同、合同备案等招投标预备和进行的全过程中提供的资料均真实、有效，不弄虚作假。</w:t>
      </w:r>
    </w:p>
    <w:p w14:paraId="03D0C204">
      <w:pPr>
        <w:shd w:val="clear"/>
        <w:tabs>
          <w:tab w:val="left" w:pos="882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8.我方已详细审核全部招标文件，包括修改文件（如果有的话），及有关附件，我方同意放弃提出含糊不清或误解的权利。 </w:t>
      </w:r>
    </w:p>
    <w:p w14:paraId="65C44B37">
      <w:pPr>
        <w:shd w:val="clear"/>
        <w:tabs>
          <w:tab w:val="left" w:pos="882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9.我方同意所递交的投标文件在招标期内有效，在此期间内我方有可能中标，我方将受此约束。</w:t>
      </w:r>
    </w:p>
    <w:p w14:paraId="13317CF7">
      <w:pPr>
        <w:shd w:val="clear"/>
        <w:tabs>
          <w:tab w:val="left" w:pos="882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10.我方相信贵方的招标结果是公正、合法的，无论我方</w:t>
      </w:r>
      <w:r>
        <w:rPr>
          <w:rFonts w:hint="eastAsia" w:ascii="宋体" w:hAnsi="宋体" w:cs="宋体"/>
          <w:color w:val="auto"/>
          <w:szCs w:val="21"/>
          <w:highlight w:val="none"/>
        </w:rPr>
        <w:t>中标</w:t>
      </w:r>
      <w:r>
        <w:rPr>
          <w:rFonts w:hint="eastAsia" w:ascii="宋体" w:hAnsi="宋体" w:cs="宋体"/>
          <w:color w:val="auto"/>
          <w:highlight w:val="none"/>
        </w:rPr>
        <w:t>还是落标，我方将接受这一结果。 </w:t>
      </w:r>
    </w:p>
    <w:p w14:paraId="6AD7957A">
      <w:pPr>
        <w:shd w:val="clear"/>
        <w:tabs>
          <w:tab w:val="left" w:pos="882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11.一旦我方</w:t>
      </w:r>
      <w:r>
        <w:rPr>
          <w:rFonts w:hint="eastAsia" w:ascii="宋体" w:hAnsi="宋体" w:cs="宋体"/>
          <w:color w:val="auto"/>
          <w:szCs w:val="21"/>
          <w:highlight w:val="none"/>
        </w:rPr>
        <w:t>中标</w:t>
      </w:r>
      <w:r>
        <w:rPr>
          <w:rFonts w:hint="eastAsia" w:ascii="宋体" w:hAnsi="宋体" w:cs="宋体"/>
          <w:color w:val="auto"/>
          <w:highlight w:val="none"/>
        </w:rPr>
        <w:t>，我方将严格依照招标文件中的相关规定与招标方签订合同。</w:t>
      </w:r>
    </w:p>
    <w:p w14:paraId="207A3FA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12.不低于企业成本价投标，不恶意过高报价，不扰乱招投标的正常秩序。</w:t>
      </w:r>
    </w:p>
    <w:p w14:paraId="450D4BE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13.严格遵守开标会议纪律，不在开标会场吵闹、滋事，服从工作人员指挥。</w:t>
      </w:r>
    </w:p>
    <w:p w14:paraId="5B960F6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37C8F8A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承诺事项已认真逐项核对，均表达我单位真实意见，愿承担任何责任。若有任何弄虚作假内容或未遵守上述约定的，经查实后，愿意放弃投标及中标资格，并对该项目的损失进行赔偿。如我单位违反上述承诺事项，无条件接受财政局或相关监管部门作出的任何管理和处理决定，并自愿承担一切不利的后果。</w:t>
      </w:r>
    </w:p>
    <w:p w14:paraId="6C8F970F">
      <w:pPr>
        <w:shd w:val="clear"/>
        <w:spacing w:line="360" w:lineRule="auto"/>
        <w:ind w:firstLine="420" w:firstLineChars="200"/>
        <w:rPr>
          <w:rFonts w:hint="eastAsia" w:ascii="宋体" w:hAnsi="宋体" w:cs="宋体"/>
          <w:color w:val="auto"/>
          <w:szCs w:val="21"/>
          <w:highlight w:val="none"/>
        </w:rPr>
      </w:pPr>
    </w:p>
    <w:p w14:paraId="24ED9981">
      <w:pPr>
        <w:shd w:val="clear"/>
        <w:spacing w:line="360" w:lineRule="auto"/>
        <w:ind w:firstLine="420" w:firstLineChars="200"/>
        <w:rPr>
          <w:rFonts w:hint="eastAsia" w:ascii="宋体" w:hAnsi="宋体" w:cs="宋体"/>
          <w:b/>
          <w:color w:val="auto"/>
          <w:sz w:val="32"/>
          <w:szCs w:val="32"/>
          <w:highlight w:val="none"/>
        </w:rPr>
      </w:pPr>
      <w:r>
        <w:rPr>
          <w:rFonts w:hint="eastAsia" w:ascii="宋体" w:hAnsi="宋体" w:cs="宋体"/>
          <w:color w:val="auto"/>
          <w:szCs w:val="21"/>
          <w:highlight w:val="none"/>
        </w:rPr>
        <w:t>投标人（公章）：     年   月   日</w:t>
      </w:r>
    </w:p>
    <w:p w14:paraId="66B4FA29">
      <w:pPr>
        <w:pStyle w:val="21"/>
        <w:shd w:val="clear"/>
        <w:spacing w:before="120" w:beforeLines="50" w:after="120" w:afterLines="50" w:line="240" w:lineRule="auto"/>
        <w:jc w:val="center"/>
        <w:rPr>
          <w:rFonts w:hint="eastAsia" w:ascii="宋体" w:hAnsi="宋体" w:cs="宋体"/>
          <w:color w:val="auto"/>
          <w:highlight w:val="none"/>
        </w:rPr>
      </w:pPr>
      <w:r>
        <w:rPr>
          <w:rFonts w:hint="eastAsia" w:ascii="宋体" w:hAnsi="宋体" w:cs="宋体"/>
          <w:b/>
          <w:bCs/>
          <w:color w:val="auto"/>
          <w:sz w:val="36"/>
          <w:szCs w:val="36"/>
          <w:highlight w:val="none"/>
        </w:rPr>
        <w:br w:type="page"/>
      </w:r>
      <w:r>
        <w:rPr>
          <w:rFonts w:hint="eastAsia" w:ascii="宋体" w:hAnsi="宋体" w:cs="宋体"/>
          <w:b/>
          <w:bCs/>
          <w:color w:val="auto"/>
          <w:highlight w:val="none"/>
        </w:rPr>
        <w:t>（9）投标人认为须提供的其他资料</w:t>
      </w:r>
    </w:p>
    <w:p w14:paraId="1CDC1C82">
      <w:pPr>
        <w:pStyle w:val="15"/>
        <w:shd w:val="clear"/>
        <w:spacing w:line="288" w:lineRule="auto"/>
        <w:ind w:firstLine="181" w:firstLineChars="100"/>
        <w:rPr>
          <w:rFonts w:hAnsi="宋体" w:cs="宋体"/>
          <w:b/>
          <w:bCs/>
          <w:color w:val="auto"/>
          <w:sz w:val="18"/>
          <w:szCs w:val="18"/>
          <w:highlight w:val="none"/>
        </w:rPr>
      </w:pPr>
      <w:r>
        <w:rPr>
          <w:rFonts w:hint="eastAsia" w:hAnsi="宋体" w:cs="宋体"/>
          <w:b/>
          <w:bCs/>
          <w:color w:val="auto"/>
          <w:sz w:val="18"/>
          <w:szCs w:val="18"/>
          <w:highlight w:val="none"/>
        </w:rPr>
        <w:t>根据投标人自身情况提供，格式自拟</w:t>
      </w:r>
    </w:p>
    <w:p w14:paraId="691E50F3">
      <w:pPr>
        <w:widowControl/>
        <w:shd w:val="clear"/>
        <w:tabs>
          <w:tab w:val="left" w:pos="0"/>
        </w:tabs>
        <w:snapToGrid w:val="0"/>
        <w:spacing w:line="288" w:lineRule="auto"/>
        <w:ind w:firstLine="3253" w:firstLineChars="900"/>
        <w:jc w:val="left"/>
        <w:rPr>
          <w:rFonts w:hint="eastAsia" w:ascii="宋体" w:hAnsi="宋体" w:cs="宋体"/>
          <w:b/>
          <w:bCs/>
          <w:color w:val="auto"/>
          <w:kern w:val="0"/>
          <w:szCs w:val="21"/>
          <w:highlight w:val="none"/>
        </w:rPr>
      </w:pPr>
      <w:r>
        <w:rPr>
          <w:rFonts w:hint="eastAsia" w:ascii="宋体" w:hAnsi="宋体" w:cs="宋体"/>
          <w:b/>
          <w:bCs/>
          <w:color w:val="auto"/>
          <w:sz w:val="36"/>
          <w:szCs w:val="36"/>
          <w:highlight w:val="none"/>
        </w:rPr>
        <w:br w:type="page"/>
      </w:r>
      <w:r>
        <w:rPr>
          <w:rFonts w:hint="eastAsia" w:ascii="宋体" w:hAnsi="宋体" w:cs="宋体"/>
          <w:b/>
          <w:bCs/>
          <w:color w:val="auto"/>
          <w:kern w:val="0"/>
          <w:sz w:val="36"/>
          <w:szCs w:val="36"/>
          <w:highlight w:val="none"/>
        </w:rPr>
        <w:t xml:space="preserve"> 封面格式</w:t>
      </w:r>
    </w:p>
    <w:p w14:paraId="3D5E0042">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307AAD44">
      <w:pPr>
        <w:widowControl/>
        <w:shd w:val="clear"/>
        <w:tabs>
          <w:tab w:val="left" w:pos="450"/>
          <w:tab w:val="left" w:pos="8280"/>
        </w:tabs>
        <w:spacing w:line="288" w:lineRule="auto"/>
        <w:ind w:firstLine="885" w:firstLineChars="245"/>
        <w:jc w:val="left"/>
        <w:rPr>
          <w:rFonts w:hint="eastAsia" w:ascii="宋体" w:hAnsi="宋体" w:cs="宋体"/>
          <w:b/>
          <w:color w:val="auto"/>
          <w:kern w:val="0"/>
          <w:sz w:val="44"/>
          <w:szCs w:val="44"/>
          <w:highlight w:val="none"/>
        </w:rPr>
      </w:pPr>
      <w:r>
        <w:rPr>
          <w:rFonts w:hint="eastAsia" w:ascii="宋体" w:hAnsi="宋体" w:cs="宋体"/>
          <w:b/>
          <w:color w:val="auto"/>
          <w:kern w:val="0"/>
          <w:sz w:val="36"/>
          <w:szCs w:val="36"/>
          <w:highlight w:val="none"/>
          <w:u w:val="single"/>
        </w:rPr>
        <w:t xml:space="preserve">                                    </w:t>
      </w:r>
      <w:r>
        <w:rPr>
          <w:rFonts w:hint="eastAsia" w:ascii="宋体" w:hAnsi="宋体" w:cs="宋体"/>
          <w:b/>
          <w:color w:val="auto"/>
          <w:kern w:val="0"/>
          <w:sz w:val="44"/>
          <w:szCs w:val="44"/>
          <w:highlight w:val="none"/>
        </w:rPr>
        <w:t>项目</w:t>
      </w:r>
    </w:p>
    <w:p w14:paraId="26524C90">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p>
    <w:p w14:paraId="600A454C">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t>投标文件</w:t>
      </w:r>
    </w:p>
    <w:p w14:paraId="32E3F9A4">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（报价响应文件）</w:t>
      </w:r>
    </w:p>
    <w:p w14:paraId="6BA03C81">
      <w:pPr>
        <w:widowControl/>
        <w:shd w:val="clear"/>
        <w:tabs>
          <w:tab w:val="left" w:pos="27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1115491A">
      <w:pPr>
        <w:widowControl/>
        <w:shd w:val="clear"/>
        <w:tabs>
          <w:tab w:val="left" w:pos="275"/>
          <w:tab w:val="left" w:pos="8280"/>
        </w:tabs>
        <w:spacing w:line="288" w:lineRule="auto"/>
        <w:jc w:val="left"/>
        <w:rPr>
          <w:rFonts w:hint="eastAsia" w:ascii="宋体" w:hAnsi="宋体" w:cs="宋体"/>
          <w:b/>
          <w:color w:val="auto"/>
          <w:kern w:val="0"/>
          <w:sz w:val="32"/>
          <w:szCs w:val="32"/>
          <w:highlight w:val="none"/>
        </w:rPr>
      </w:pPr>
    </w:p>
    <w:p w14:paraId="1B7929D9">
      <w:pPr>
        <w:widowControl/>
        <w:shd w:val="clear"/>
        <w:tabs>
          <w:tab w:val="left" w:pos="275"/>
          <w:tab w:val="left" w:pos="8280"/>
        </w:tabs>
        <w:spacing w:line="288" w:lineRule="auto"/>
        <w:ind w:firstLine="480"/>
        <w:jc w:val="left"/>
        <w:rPr>
          <w:rFonts w:hint="eastAsia" w:ascii="宋体" w:hAnsi="宋体" w:cs="宋体"/>
          <w:b/>
          <w:color w:val="auto"/>
          <w:kern w:val="0"/>
          <w:sz w:val="32"/>
          <w:szCs w:val="32"/>
          <w:highlight w:val="none"/>
        </w:rPr>
      </w:pPr>
    </w:p>
    <w:p w14:paraId="102470C6">
      <w:pPr>
        <w:widowControl/>
        <w:shd w:val="clear"/>
        <w:tabs>
          <w:tab w:val="left" w:pos="27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采购项目编号：</w:t>
      </w:r>
      <w:r>
        <w:rPr>
          <w:rFonts w:hint="eastAsia" w:ascii="宋体" w:hAnsi="宋体" w:cs="宋体"/>
          <w:b/>
          <w:color w:val="auto"/>
          <w:kern w:val="0"/>
          <w:sz w:val="36"/>
          <w:szCs w:val="36"/>
          <w:highlight w:val="none"/>
          <w:u w:val="single"/>
        </w:rPr>
        <w:t xml:space="preserve">                                 </w:t>
      </w:r>
    </w:p>
    <w:p w14:paraId="233793CF">
      <w:pPr>
        <w:widowControl/>
        <w:shd w:val="clear"/>
        <w:tabs>
          <w:tab w:val="left" w:pos="76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641F6DFC">
      <w:pPr>
        <w:widowControl/>
        <w:shd w:val="clear"/>
        <w:tabs>
          <w:tab w:val="left" w:pos="76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投标人（公章）：</w:t>
      </w:r>
      <w:r>
        <w:rPr>
          <w:rFonts w:hint="eastAsia" w:ascii="宋体" w:hAnsi="宋体" w:cs="宋体"/>
          <w:b/>
          <w:color w:val="auto"/>
          <w:kern w:val="0"/>
          <w:sz w:val="36"/>
          <w:szCs w:val="36"/>
          <w:highlight w:val="none"/>
          <w:u w:val="single"/>
        </w:rPr>
        <w:t xml:space="preserve">                                </w:t>
      </w:r>
    </w:p>
    <w:p w14:paraId="58E25E4F">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6652936F">
      <w:pPr>
        <w:widowControl/>
        <w:shd w:val="clear"/>
        <w:tabs>
          <w:tab w:val="left" w:pos="35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投标人法定代表人</w:t>
      </w:r>
    </w:p>
    <w:p w14:paraId="3B49FD59">
      <w:pPr>
        <w:widowControl/>
        <w:shd w:val="clear"/>
        <w:tabs>
          <w:tab w:val="left" w:pos="84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或其委托人（签字）：</w:t>
      </w:r>
      <w:r>
        <w:rPr>
          <w:rFonts w:hint="eastAsia" w:ascii="宋体" w:hAnsi="宋体" w:cs="宋体"/>
          <w:b/>
          <w:color w:val="auto"/>
          <w:kern w:val="0"/>
          <w:sz w:val="36"/>
          <w:szCs w:val="36"/>
          <w:highlight w:val="none"/>
          <w:u w:val="single"/>
        </w:rPr>
        <w:t xml:space="preserve">                            </w:t>
      </w:r>
    </w:p>
    <w:p w14:paraId="0A0BD82D">
      <w:pPr>
        <w:widowControl/>
        <w:shd w:val="clear"/>
        <w:tabs>
          <w:tab w:val="left" w:pos="350"/>
          <w:tab w:val="left" w:pos="8280"/>
        </w:tabs>
        <w:spacing w:line="288" w:lineRule="auto"/>
        <w:ind w:firstLine="480"/>
        <w:jc w:val="left"/>
        <w:rPr>
          <w:rFonts w:hint="eastAsia" w:ascii="宋体" w:hAnsi="宋体" w:cs="宋体"/>
          <w:b/>
          <w:color w:val="auto"/>
          <w:kern w:val="0"/>
          <w:sz w:val="36"/>
          <w:szCs w:val="36"/>
          <w:highlight w:val="none"/>
        </w:rPr>
      </w:pPr>
    </w:p>
    <w:p w14:paraId="3E19B0E1">
      <w:pPr>
        <w:widowControl/>
        <w:shd w:val="clear"/>
        <w:tabs>
          <w:tab w:val="left" w:pos="350"/>
          <w:tab w:val="left" w:pos="8280"/>
        </w:tabs>
        <w:spacing w:line="288" w:lineRule="auto"/>
        <w:ind w:firstLine="480"/>
        <w:jc w:val="left"/>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年</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月</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日</w:t>
      </w:r>
    </w:p>
    <w:p w14:paraId="77705478">
      <w:pPr>
        <w:widowControl/>
        <w:shd w:val="clear"/>
        <w:spacing w:line="420" w:lineRule="atLeast"/>
        <w:jc w:val="center"/>
        <w:rPr>
          <w:rFonts w:hint="eastAsia" w:ascii="宋体" w:hAnsi="宋体" w:cs="宋体"/>
          <w:b/>
          <w:bCs/>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（1）投标函</w:t>
      </w:r>
    </w:p>
    <w:p w14:paraId="6D2F8824">
      <w:pPr>
        <w:pStyle w:val="15"/>
        <w:shd w:val="clear"/>
        <w:spacing w:line="360" w:lineRule="auto"/>
        <w:rPr>
          <w:rFonts w:hint="eastAsia" w:hAnsi="宋体" w:cs="宋体"/>
          <w:color w:val="auto"/>
          <w:sz w:val="24"/>
          <w:highlight w:val="none"/>
        </w:rPr>
      </w:pPr>
      <w:r>
        <w:rPr>
          <w:rFonts w:hint="eastAsia" w:hAnsi="宋体" w:cs="宋体"/>
          <w:color w:val="auto"/>
          <w:sz w:val="24"/>
          <w:highlight w:val="none"/>
        </w:rPr>
        <w:t>致：</w:t>
      </w:r>
      <w:r>
        <w:rPr>
          <w:rFonts w:hint="eastAsia" w:hAnsi="宋体" w:cs="宋体"/>
          <w:color w:val="auto"/>
          <w:sz w:val="24"/>
          <w:highlight w:val="none"/>
          <w:u w:val="single"/>
        </w:rPr>
        <w:t xml:space="preserve">                  </w:t>
      </w:r>
    </w:p>
    <w:p w14:paraId="55693DDC">
      <w:pPr>
        <w:pStyle w:val="15"/>
        <w:shd w:val="clear"/>
        <w:spacing w:line="360" w:lineRule="auto"/>
        <w:rPr>
          <w:rFonts w:hint="eastAsia" w:hAnsi="宋体" w:cs="宋体"/>
          <w:color w:val="auto"/>
          <w:sz w:val="24"/>
          <w:highlight w:val="none"/>
        </w:rPr>
      </w:pPr>
      <w:r>
        <w:rPr>
          <w:rFonts w:hint="eastAsia" w:hAnsi="宋体" w:cs="宋体"/>
          <w:color w:val="auto"/>
          <w:sz w:val="24"/>
          <w:highlight w:val="none"/>
        </w:rPr>
        <w:t xml:space="preserve">     _________________________（投标人全称）授权_________________（全名、职务）为全权代表参加贵方组织的_________________________</w:t>
      </w:r>
      <w:r>
        <w:rPr>
          <w:rFonts w:hint="eastAsia" w:hAnsi="宋体" w:cs="宋体"/>
          <w:color w:val="auto"/>
          <w:sz w:val="24"/>
          <w:highlight w:val="none"/>
          <w:u w:val="single"/>
        </w:rPr>
        <w:t xml:space="preserve">              </w:t>
      </w:r>
      <w:r>
        <w:rPr>
          <w:rFonts w:hint="eastAsia" w:hAnsi="宋体" w:cs="宋体"/>
          <w:color w:val="auto"/>
          <w:sz w:val="24"/>
          <w:highlight w:val="none"/>
        </w:rPr>
        <w:t>项目（采购项目名称、采购编号）的招标、投标等有关活动，为此提交下述文件：</w:t>
      </w:r>
    </w:p>
    <w:p w14:paraId="654465A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1.资格响应文件</w:t>
      </w:r>
    </w:p>
    <w:p w14:paraId="275328BF">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2.商务技术响应文件；</w:t>
      </w:r>
    </w:p>
    <w:p w14:paraId="52FEBD3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3.报价响应文件；</w:t>
      </w:r>
    </w:p>
    <w:p w14:paraId="5290AAE4">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4.其他：</w:t>
      </w:r>
    </w:p>
    <w:p w14:paraId="5B756F7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5.据此函，签字代表宣布同意如下：</w:t>
      </w:r>
    </w:p>
    <w:p w14:paraId="4DF3B8A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pacing w:val="12"/>
          <w:sz w:val="24"/>
          <w:highlight w:val="none"/>
        </w:rPr>
        <w:t xml:space="preserve">所附投标报价表中规定的应提供和支付的货物和服务投标总价为（人民币） </w:t>
      </w:r>
      <w:r>
        <w:rPr>
          <w:rFonts w:hint="eastAsia" w:ascii="宋体" w:hAnsi="宋体" w:cs="宋体"/>
          <w:color w:val="auto"/>
          <w:spacing w:val="12"/>
          <w:sz w:val="24"/>
          <w:highlight w:val="none"/>
          <w:u w:val="single"/>
        </w:rPr>
        <w:t xml:space="preserve">      </w:t>
      </w:r>
      <w:r>
        <w:rPr>
          <w:rFonts w:hint="eastAsia" w:ascii="宋体" w:hAnsi="宋体" w:cs="宋体"/>
          <w:color w:val="auto"/>
          <w:sz w:val="24"/>
          <w:highlight w:val="none"/>
        </w:rPr>
        <w:t>， 即 ________________________（大写）。</w:t>
      </w:r>
    </w:p>
    <w:p w14:paraId="0147F75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（2）投标人已详细审查全部招标文件，我们完全理解并同意放弃对这方面有不明及误解的权利。</w:t>
      </w:r>
    </w:p>
    <w:p w14:paraId="55A1ED4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（3）投标人将按招标文件规定履行合同责任和义务。</w:t>
      </w:r>
    </w:p>
    <w:p w14:paraId="71C0D527">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（4）其投标自开标之日起有效期</w:t>
      </w:r>
      <w:r>
        <w:rPr>
          <w:rFonts w:hint="eastAsia" w:ascii="宋体" w:hAnsi="宋体" w:cs="宋体"/>
          <w:color w:val="auto"/>
          <w:sz w:val="24"/>
          <w:highlight w:val="none"/>
          <w:u w:val="single"/>
        </w:rPr>
        <w:t>____</w:t>
      </w:r>
      <w:r>
        <w:rPr>
          <w:rFonts w:hint="eastAsia" w:ascii="宋体" w:hAnsi="宋体" w:cs="宋体"/>
          <w:color w:val="auto"/>
          <w:sz w:val="24"/>
          <w:highlight w:val="none"/>
        </w:rPr>
        <w:t>个日历天。</w:t>
      </w:r>
    </w:p>
    <w:p w14:paraId="7C7117F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（5）如果在规定的开标时间后，投标人在投标有效期内撤回投标，否则将按失信行为上报义乌市信用管理部门。</w:t>
      </w:r>
    </w:p>
    <w:p w14:paraId="7C6C604F">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（6）投标人同意提供按照贵方可能要求的与其投标有关的一切数据或资料，理解贵方不一定要接受最低价的投标或收到的任何投标。</w:t>
      </w:r>
    </w:p>
    <w:p w14:paraId="1297B5FB">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（7）与本投标有关的一切正式往来通信请寄：</w:t>
      </w:r>
    </w:p>
    <w:p w14:paraId="100AFBE7">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地址：______________________      邮编：______________________  </w:t>
      </w:r>
    </w:p>
    <w:p w14:paraId="0185A51D">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电话：______________________      传真：______________________ </w:t>
      </w:r>
    </w:p>
    <w:p w14:paraId="54A37DBF">
      <w:pPr>
        <w:shd w:val="clea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投标人名称（电子签章）：            </w:t>
      </w:r>
    </w:p>
    <w:p w14:paraId="648F9848">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投标方代表职务： ______________________</w:t>
      </w:r>
    </w:p>
    <w:p w14:paraId="30CCBB86">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投标日期： _______年____月____日</w:t>
      </w:r>
    </w:p>
    <w:p w14:paraId="0881A68B">
      <w:pPr>
        <w:widowControl/>
        <w:shd w:val="clear"/>
        <w:spacing w:line="420" w:lineRule="atLeast"/>
        <w:jc w:val="center"/>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（2）开标一览表</w:t>
      </w:r>
    </w:p>
    <w:p w14:paraId="570F22BD">
      <w:pPr>
        <w:shd w:val="clear"/>
        <w:rPr>
          <w:rFonts w:hint="eastAsia" w:ascii="宋体" w:hAnsi="宋体" w:cs="宋体"/>
          <w:color w:val="auto"/>
          <w:sz w:val="24"/>
          <w:highlight w:val="none"/>
        </w:rPr>
      </w:pPr>
    </w:p>
    <w:p w14:paraId="54A948AE">
      <w:pPr>
        <w:shd w:val="clear"/>
        <w:rPr>
          <w:rFonts w:hint="eastAsia" w:ascii="宋体" w:hAnsi="宋体" w:cs="宋体"/>
          <w:color w:val="auto"/>
          <w:sz w:val="24"/>
          <w:highlight w:val="none"/>
        </w:rPr>
      </w:pPr>
      <w:r>
        <w:rPr>
          <w:rFonts w:hint="eastAsia" w:ascii="宋体" w:hAnsi="宋体" w:cs="宋体"/>
          <w:color w:val="auto"/>
          <w:sz w:val="24"/>
          <w:highlight w:val="none"/>
        </w:rPr>
        <w:t>投标人名称（盖章）：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012A20F">
      <w:pPr>
        <w:shd w:val="clear"/>
        <w:rPr>
          <w:rFonts w:hint="eastAsia" w:ascii="宋体" w:hAnsi="宋体" w:cs="宋体"/>
          <w:color w:val="auto"/>
          <w:sz w:val="24"/>
          <w:highlight w:val="none"/>
        </w:rPr>
      </w:pPr>
      <w:r>
        <w:rPr>
          <w:rFonts w:hint="eastAsia" w:ascii="宋体" w:hAnsi="宋体" w:cs="宋体"/>
          <w:color w:val="auto"/>
          <w:sz w:val="24"/>
          <w:highlight w:val="none"/>
        </w:rPr>
        <w:t>采购编号：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9FF9F91">
      <w:pPr>
        <w:shd w:val="clear"/>
        <w:rPr>
          <w:rFonts w:hint="eastAsia" w:ascii="宋体" w:hAnsi="宋体" w:cs="宋体"/>
          <w:color w:val="auto"/>
          <w:sz w:val="24"/>
          <w:highlight w:val="none"/>
          <w:u w:val="single"/>
        </w:rPr>
      </w:pP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272"/>
        <w:gridCol w:w="2026"/>
        <w:gridCol w:w="2409"/>
        <w:gridCol w:w="2407"/>
      </w:tblGrid>
      <w:tr w14:paraId="25AE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96" w:type="pct"/>
            <w:tcBorders>
              <w:top w:val="single" w:color="auto" w:sz="4" w:space="0"/>
              <w:left w:val="single" w:color="auto" w:sz="4" w:space="0"/>
              <w:bottom w:val="single" w:color="auto" w:sz="4" w:space="0"/>
              <w:right w:val="single" w:color="auto" w:sz="4" w:space="0"/>
            </w:tcBorders>
            <w:noWrap w:val="0"/>
            <w:vAlign w:val="center"/>
          </w:tcPr>
          <w:p w14:paraId="5280E50E">
            <w:pPr>
              <w:widowControl/>
              <w:shd w:val="clear"/>
              <w:spacing w:line="28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2B1814C6">
            <w:pPr>
              <w:widowControl/>
              <w:shd w:val="clear"/>
              <w:spacing w:line="28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名称</w:t>
            </w:r>
          </w:p>
        </w:tc>
        <w:tc>
          <w:tcPr>
            <w:tcW w:w="1023" w:type="pct"/>
            <w:tcBorders>
              <w:top w:val="single" w:color="auto" w:sz="4" w:space="0"/>
              <w:left w:val="nil"/>
              <w:bottom w:val="single" w:color="auto" w:sz="4" w:space="0"/>
              <w:right w:val="single" w:color="auto" w:sz="4" w:space="0"/>
            </w:tcBorders>
            <w:noWrap w:val="0"/>
            <w:vAlign w:val="center"/>
          </w:tcPr>
          <w:p w14:paraId="4E3CC103">
            <w:pPr>
              <w:widowControl/>
              <w:shd w:val="clear"/>
              <w:spacing w:line="28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服务期限</w:t>
            </w:r>
          </w:p>
        </w:tc>
        <w:tc>
          <w:tcPr>
            <w:tcW w:w="1216" w:type="pct"/>
            <w:tcBorders>
              <w:top w:val="single" w:color="auto" w:sz="4" w:space="0"/>
              <w:left w:val="nil"/>
              <w:bottom w:val="single" w:color="auto" w:sz="4" w:space="0"/>
              <w:right w:val="single" w:color="auto" w:sz="4" w:space="0"/>
            </w:tcBorders>
            <w:noWrap w:val="0"/>
            <w:vAlign w:val="center"/>
          </w:tcPr>
          <w:p w14:paraId="3DAD9421">
            <w:pPr>
              <w:widowControl/>
              <w:shd w:val="clear"/>
              <w:spacing w:line="288" w:lineRule="auto"/>
              <w:jc w:val="center"/>
              <w:rPr>
                <w:rFonts w:ascii="宋体" w:hAnsi="宋体" w:cs="宋体"/>
                <w:b/>
                <w:bCs/>
                <w:color w:val="auto"/>
                <w:sz w:val="24"/>
                <w:highlight w:val="none"/>
              </w:rPr>
            </w:pPr>
            <w:r>
              <w:rPr>
                <w:rFonts w:hint="eastAsia" w:ascii="宋体" w:hAnsi="宋体" w:cs="宋体"/>
                <w:b/>
                <w:bCs/>
                <w:color w:val="auto"/>
                <w:sz w:val="24"/>
                <w:highlight w:val="none"/>
              </w:rPr>
              <w:t>综合结算率</w:t>
            </w:r>
          </w:p>
        </w:tc>
        <w:tc>
          <w:tcPr>
            <w:tcW w:w="1215" w:type="pct"/>
            <w:tcBorders>
              <w:top w:val="single" w:color="auto" w:sz="4" w:space="0"/>
              <w:left w:val="nil"/>
              <w:bottom w:val="single" w:color="auto" w:sz="4" w:space="0"/>
              <w:right w:val="single" w:color="auto" w:sz="4" w:space="0"/>
            </w:tcBorders>
            <w:noWrap w:val="0"/>
            <w:vAlign w:val="center"/>
          </w:tcPr>
          <w:p w14:paraId="2E346500">
            <w:pPr>
              <w:widowControl/>
              <w:shd w:val="clear"/>
              <w:spacing w:line="288" w:lineRule="auto"/>
              <w:jc w:val="center"/>
              <w:rPr>
                <w:rFonts w:ascii="宋体" w:hAnsi="宋体" w:cs="宋体"/>
                <w:b/>
                <w:bCs/>
                <w:color w:val="auto"/>
                <w:sz w:val="24"/>
                <w:highlight w:val="none"/>
              </w:rPr>
            </w:pPr>
            <w:r>
              <w:rPr>
                <w:rFonts w:hint="eastAsia" w:ascii="宋体" w:hAnsi="宋体" w:cs="宋体"/>
                <w:b/>
                <w:bCs/>
                <w:color w:val="auto"/>
                <w:sz w:val="24"/>
                <w:highlight w:val="none"/>
              </w:rPr>
              <w:t>企业成本价</w:t>
            </w:r>
          </w:p>
        </w:tc>
      </w:tr>
      <w:tr w14:paraId="2AEB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96" w:type="pct"/>
            <w:tcBorders>
              <w:top w:val="nil"/>
              <w:left w:val="single" w:color="auto" w:sz="4" w:space="0"/>
              <w:right w:val="single" w:color="auto" w:sz="4" w:space="0"/>
            </w:tcBorders>
            <w:noWrap w:val="0"/>
            <w:vAlign w:val="center"/>
          </w:tcPr>
          <w:p w14:paraId="001BFAAC">
            <w:pPr>
              <w:widowControl/>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272" w:type="dxa"/>
            <w:tcBorders>
              <w:top w:val="nil"/>
              <w:left w:val="single" w:color="auto" w:sz="4" w:space="0"/>
              <w:right w:val="single" w:color="auto" w:sz="4" w:space="0"/>
            </w:tcBorders>
            <w:noWrap w:val="0"/>
            <w:vAlign w:val="center"/>
          </w:tcPr>
          <w:p w14:paraId="6A41B106">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放射安全防护技术服务</w:t>
            </w:r>
          </w:p>
        </w:tc>
        <w:tc>
          <w:tcPr>
            <w:tcW w:w="1023" w:type="pct"/>
            <w:tcBorders>
              <w:top w:val="single" w:color="auto" w:sz="4" w:space="0"/>
              <w:left w:val="nil"/>
              <w:right w:val="single" w:color="auto" w:sz="4" w:space="0"/>
            </w:tcBorders>
            <w:noWrap w:val="0"/>
            <w:vAlign w:val="center"/>
          </w:tcPr>
          <w:p w14:paraId="2A43B344">
            <w:pPr>
              <w:widowControl/>
              <w:shd w:val="clear"/>
              <w:spacing w:line="288" w:lineRule="auto"/>
              <w:jc w:val="center"/>
              <w:rPr>
                <w:rFonts w:ascii="宋体" w:hAnsi="宋体" w:cs="宋体"/>
                <w:color w:val="auto"/>
                <w:sz w:val="24"/>
                <w:highlight w:val="none"/>
              </w:rPr>
            </w:pPr>
            <w:r>
              <w:rPr>
                <w:rFonts w:hint="eastAsia" w:ascii="宋体" w:hAnsi="宋体" w:cs="宋体"/>
                <w:color w:val="auto"/>
                <w:sz w:val="24"/>
                <w:highlight w:val="none"/>
              </w:rPr>
              <w:t>3年</w:t>
            </w:r>
          </w:p>
        </w:tc>
        <w:tc>
          <w:tcPr>
            <w:tcW w:w="1216" w:type="pct"/>
            <w:tcBorders>
              <w:top w:val="single" w:color="auto" w:sz="4" w:space="0"/>
              <w:left w:val="nil"/>
              <w:bottom w:val="single" w:color="auto" w:sz="4" w:space="0"/>
              <w:right w:val="single" w:color="auto" w:sz="4" w:space="0"/>
            </w:tcBorders>
            <w:noWrap w:val="0"/>
            <w:vAlign w:val="center"/>
          </w:tcPr>
          <w:p w14:paraId="354DD796">
            <w:pPr>
              <w:widowControl/>
              <w:shd w:val="clear"/>
              <w:spacing w:line="288" w:lineRule="auto"/>
              <w:rPr>
                <w:rFonts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p>
          <w:p w14:paraId="3A01DD5E">
            <w:pPr>
              <w:widowControl/>
              <w:shd w:val="clear"/>
              <w:spacing w:line="288" w:lineRule="auto"/>
              <w:rPr>
                <w:rFonts w:hint="eastAsia" w:ascii="宋体" w:hAnsi="宋体" w:cs="宋体"/>
                <w:color w:val="auto"/>
                <w:sz w:val="24"/>
                <w:highlight w:val="none"/>
              </w:rPr>
            </w:pPr>
            <w:r>
              <w:rPr>
                <w:rFonts w:hint="eastAsia" w:ascii="宋体" w:hAnsi="宋体" w:cs="宋体"/>
                <w:color w:val="auto"/>
                <w:sz w:val="24"/>
                <w:highlight w:val="none"/>
              </w:rPr>
              <w:t>大写：百分之</w:t>
            </w:r>
            <w:r>
              <w:rPr>
                <w:rFonts w:hint="eastAsia" w:ascii="宋体" w:hAnsi="宋体" w:cs="宋体"/>
                <w:color w:val="auto"/>
                <w:sz w:val="24"/>
                <w:highlight w:val="none"/>
                <w:u w:val="single"/>
              </w:rPr>
              <w:t xml:space="preserve">      </w:t>
            </w:r>
          </w:p>
        </w:tc>
        <w:tc>
          <w:tcPr>
            <w:tcW w:w="1215" w:type="pct"/>
            <w:tcBorders>
              <w:top w:val="single" w:color="auto" w:sz="4" w:space="0"/>
              <w:left w:val="nil"/>
              <w:bottom w:val="single" w:color="auto" w:sz="4" w:space="0"/>
              <w:right w:val="single" w:color="auto" w:sz="4" w:space="0"/>
            </w:tcBorders>
            <w:noWrap w:val="0"/>
            <w:vAlign w:val="center"/>
          </w:tcPr>
          <w:p w14:paraId="4AE6026B">
            <w:pPr>
              <w:widowControl/>
              <w:shd w:val="clear"/>
              <w:spacing w:line="288" w:lineRule="auto"/>
              <w:rPr>
                <w:rFonts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p>
          <w:p w14:paraId="240A5259">
            <w:pPr>
              <w:widowControl/>
              <w:shd w:val="clear"/>
              <w:spacing w:line="288" w:lineRule="auto"/>
              <w:rPr>
                <w:rFonts w:hint="eastAsia" w:ascii="宋体" w:hAnsi="宋体" w:cs="宋体"/>
                <w:color w:val="auto"/>
                <w:sz w:val="24"/>
                <w:highlight w:val="none"/>
              </w:rPr>
            </w:pPr>
            <w:r>
              <w:rPr>
                <w:rFonts w:hint="eastAsia" w:ascii="宋体" w:hAnsi="宋体" w:cs="宋体"/>
                <w:color w:val="auto"/>
                <w:sz w:val="24"/>
                <w:highlight w:val="none"/>
              </w:rPr>
              <w:t>大写：百分之</w:t>
            </w:r>
            <w:r>
              <w:rPr>
                <w:rFonts w:hint="eastAsia" w:ascii="宋体" w:hAnsi="宋体" w:cs="宋体"/>
                <w:color w:val="auto"/>
                <w:sz w:val="24"/>
                <w:highlight w:val="none"/>
                <w:u w:val="single"/>
              </w:rPr>
              <w:t xml:space="preserve">      </w:t>
            </w:r>
          </w:p>
        </w:tc>
      </w:tr>
    </w:tbl>
    <w:p w14:paraId="25A35817">
      <w:pPr>
        <w:shd w:val="clear"/>
        <w:rPr>
          <w:rFonts w:hint="eastAsia" w:ascii="宋体" w:hAnsi="宋体" w:cs="宋体"/>
          <w:color w:val="auto"/>
          <w:sz w:val="24"/>
          <w:highlight w:val="none"/>
        </w:rPr>
      </w:pPr>
    </w:p>
    <w:p w14:paraId="330122A0">
      <w:pPr>
        <w:shd w:val="clear"/>
        <w:adjustRightInd w:val="0"/>
        <w:snapToGrid w:val="0"/>
        <w:spacing w:line="288"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投标人名称（电子签章）：            </w:t>
      </w:r>
    </w:p>
    <w:p w14:paraId="78C7E310">
      <w:pPr>
        <w:shd w:val="clea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日 期：           </w:t>
      </w:r>
    </w:p>
    <w:p w14:paraId="7AF1F9AB">
      <w:pPr>
        <w:shd w:val="clear"/>
        <w:spacing w:line="400" w:lineRule="exact"/>
        <w:ind w:left="480" w:hanging="480" w:hangingChars="200"/>
        <w:rPr>
          <w:rFonts w:hint="eastAsia" w:ascii="宋体" w:hAnsi="宋体" w:cs="宋体"/>
          <w:color w:val="auto"/>
          <w:sz w:val="24"/>
          <w:highlight w:val="none"/>
        </w:rPr>
      </w:pPr>
      <w:r>
        <w:rPr>
          <w:rFonts w:hint="eastAsia" w:ascii="宋体" w:hAnsi="宋体" w:cs="宋体"/>
          <w:color w:val="auto"/>
          <w:sz w:val="24"/>
          <w:highlight w:val="none"/>
        </w:rPr>
        <w:t>注：</w:t>
      </w:r>
    </w:p>
    <w:p w14:paraId="759F360D">
      <w:pPr>
        <w:shd w:val="clear"/>
        <w:spacing w:line="360" w:lineRule="auto"/>
        <w:ind w:firstLine="0" w:firstLineChars="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lang w:val="en-US" w:eastAsia="zh-CN"/>
        </w:rPr>
        <w:t>本项目结算率最高限价：55%，超过结算率最高限价，投标无效。</w:t>
      </w:r>
    </w:p>
    <w:p w14:paraId="556A8CAA">
      <w:pPr>
        <w:pStyle w:val="15"/>
        <w:shd w:val="clear"/>
        <w:spacing w:line="360" w:lineRule="auto"/>
        <w:rPr>
          <w:rFonts w:hint="eastAsia" w:hAnsi="宋体" w:cs="宋体"/>
          <w:b/>
          <w:color w:val="auto"/>
          <w:sz w:val="24"/>
          <w:highlight w:val="none"/>
        </w:rPr>
      </w:pPr>
      <w:r>
        <w:rPr>
          <w:rFonts w:hint="eastAsia" w:hAnsi="宋体" w:cs="宋体"/>
          <w:color w:val="auto"/>
          <w:sz w:val="24"/>
          <w:highlight w:val="none"/>
          <w:lang w:val="en-US" w:eastAsia="zh-CN"/>
        </w:rPr>
        <w:t>2.</w:t>
      </w:r>
      <w:r>
        <w:rPr>
          <w:rFonts w:hint="eastAsia" w:hAnsi="宋体" w:cs="宋体"/>
          <w:color w:val="auto"/>
          <w:sz w:val="24"/>
          <w:highlight w:val="none"/>
        </w:rPr>
        <w:t>投标人应根据国家的有关规定和实际情况并结合企业的实际情况进行投标报价。</w:t>
      </w:r>
      <w:r>
        <w:rPr>
          <w:rFonts w:hint="eastAsia" w:hAnsi="宋体" w:cs="宋体"/>
          <w:b/>
          <w:color w:val="auto"/>
          <w:sz w:val="24"/>
          <w:highlight w:val="none"/>
        </w:rPr>
        <w:t>投标报价为投标人所能承受的最低、最终一次性报价。</w:t>
      </w:r>
    </w:p>
    <w:p w14:paraId="38D36109">
      <w:pPr>
        <w:pStyle w:val="15"/>
        <w:shd w:val="clear"/>
        <w:spacing w:line="360" w:lineRule="auto"/>
        <w:rPr>
          <w:rFonts w:hint="eastAsia" w:hAnsi="宋体" w:cs="宋体"/>
          <w:b/>
          <w:color w:val="auto"/>
          <w:sz w:val="24"/>
          <w:highlight w:val="none"/>
        </w:rPr>
      </w:pPr>
      <w:r>
        <w:rPr>
          <w:rFonts w:hint="eastAsia" w:hAnsi="宋体" w:cs="宋体"/>
          <w:b/>
          <w:color w:val="auto"/>
          <w:sz w:val="24"/>
          <w:highlight w:val="none"/>
          <w:lang w:val="en-US" w:eastAsia="zh-CN"/>
        </w:rPr>
        <w:t>3</w:t>
      </w:r>
      <w:r>
        <w:rPr>
          <w:rFonts w:hint="eastAsia" w:hAnsi="宋体" w:cs="宋体"/>
          <w:b/>
          <w:color w:val="auto"/>
          <w:sz w:val="24"/>
          <w:highlight w:val="none"/>
        </w:rPr>
        <w:t>.投标报价低于自报成本价的，投标将被拒绝。</w:t>
      </w:r>
    </w:p>
    <w:p w14:paraId="65A29B46">
      <w:pPr>
        <w:pStyle w:val="15"/>
        <w:shd w:val="clear"/>
        <w:spacing w:line="360" w:lineRule="auto"/>
        <w:ind w:left="240" w:hanging="240" w:hangingChars="100"/>
        <w:rPr>
          <w:rFonts w:hint="eastAsia" w:hAnsi="宋体" w:cs="宋体"/>
          <w:color w:val="auto"/>
          <w:sz w:val="24"/>
          <w:highlight w:val="none"/>
        </w:rPr>
      </w:pPr>
      <w:r>
        <w:rPr>
          <w:rFonts w:hint="eastAsia" w:hAnsi="宋体" w:cs="宋体"/>
          <w:color w:val="auto"/>
          <w:sz w:val="24"/>
          <w:highlight w:val="none"/>
          <w:lang w:val="en-US" w:eastAsia="zh-CN"/>
        </w:rPr>
        <w:t>4</w:t>
      </w:r>
      <w:r>
        <w:rPr>
          <w:rFonts w:hint="eastAsia" w:hAnsi="宋体" w:cs="宋体"/>
          <w:color w:val="auto"/>
          <w:sz w:val="24"/>
          <w:highlight w:val="none"/>
        </w:rPr>
        <w:t>.此表在不改变表式内容的情况下，可自行制作。</w:t>
      </w:r>
    </w:p>
    <w:p w14:paraId="65920A80">
      <w:pPr>
        <w:shd w:val="clear"/>
        <w:adjustRightInd w:val="0"/>
        <w:snapToGrid w:val="0"/>
        <w:spacing w:line="288" w:lineRule="auto"/>
        <w:jc w:val="center"/>
        <w:outlineLvl w:val="2"/>
        <w:rPr>
          <w:rFonts w:hint="eastAsia" w:ascii="宋体" w:hAnsi="宋体" w:cs="宋体"/>
          <w:b/>
          <w:bCs/>
          <w:color w:val="auto"/>
          <w:sz w:val="24"/>
          <w:highlight w:val="none"/>
        </w:rPr>
      </w:pPr>
      <w:r>
        <w:rPr>
          <w:rFonts w:hint="eastAsia" w:hAnsi="宋体" w:cs="宋体"/>
          <w:color w:val="auto"/>
          <w:sz w:val="24"/>
          <w:highlight w:val="none"/>
        </w:rPr>
        <w:br w:type="page"/>
      </w:r>
      <w:r>
        <w:rPr>
          <w:rFonts w:hint="eastAsia" w:ascii="宋体" w:hAnsi="宋体" w:cs="宋体"/>
          <w:b/>
          <w:bCs/>
          <w:color w:val="auto"/>
          <w:sz w:val="24"/>
          <w:highlight w:val="none"/>
        </w:rPr>
        <w:t>（3）报价情况说明（如有）</w:t>
      </w:r>
    </w:p>
    <w:p w14:paraId="553AA007">
      <w:pPr>
        <w:widowControl/>
        <w:shd w:val="clear"/>
        <w:autoSpaceDE w:val="0"/>
        <w:spacing w:line="360" w:lineRule="auto"/>
        <w:ind w:firstLine="412"/>
        <w:jc w:val="left"/>
        <w:rPr>
          <w:rFonts w:hint="eastAsia" w:ascii="宋体" w:hAnsi="宋体" w:cs="宋体"/>
          <w:color w:val="auto"/>
          <w:szCs w:val="21"/>
          <w:highlight w:val="none"/>
        </w:rPr>
      </w:pPr>
      <w:r>
        <w:rPr>
          <w:rFonts w:hint="eastAsia" w:ascii="宋体" w:hAnsi="宋体" w:cs="宋体"/>
          <w:color w:val="auto"/>
          <w:spacing w:val="-2"/>
          <w:kern w:val="0"/>
          <w:szCs w:val="21"/>
          <w:highlight w:val="none"/>
          <w:lang w:bidi="ar"/>
        </w:rPr>
        <w:t>★投标人报价低于采购项目最高限价45%的，即投标报价&lt;采购项目最高限价×45%，提供书面说明及必要的佐证材料，对投标价格作出解释。书面说明、佐证材料主要是</w:t>
      </w:r>
      <w:r>
        <w:rPr>
          <w:rFonts w:hint="eastAsia" w:ascii="宋体" w:hAnsi="宋体" w:cs="宋体"/>
          <w:b/>
          <w:bCs/>
          <w:color w:val="auto"/>
          <w:spacing w:val="-2"/>
          <w:kern w:val="0"/>
          <w:szCs w:val="21"/>
          <w:highlight w:val="none"/>
          <w:lang w:bidi="ar"/>
        </w:rPr>
        <w:t>项目具体成本测算等与报价合理性相关的说明、材料，</w:t>
      </w:r>
      <w:r>
        <w:rPr>
          <w:rFonts w:hint="eastAsia" w:ascii="宋体" w:hAnsi="宋体" w:cs="宋体"/>
          <w:b/>
          <w:bCs/>
          <w:color w:val="auto"/>
          <w:szCs w:val="21"/>
          <w:highlight w:val="none"/>
        </w:rPr>
        <w:t>未提供的，投标无效。</w:t>
      </w:r>
    </w:p>
    <w:p w14:paraId="27A10C83">
      <w:pPr>
        <w:pStyle w:val="15"/>
        <w:shd w:val="clear"/>
        <w:spacing w:line="460" w:lineRule="exact"/>
        <w:rPr>
          <w:rFonts w:hint="eastAsia" w:hAnsi="宋体" w:cs="宋体"/>
          <w:color w:val="auto"/>
          <w:sz w:val="24"/>
          <w:highlight w:val="none"/>
        </w:rPr>
      </w:pPr>
    </w:p>
    <w:sectPr>
      <w:footerReference r:id="rId10" w:type="first"/>
      <w:footerReference r:id="rId9" w:type="default"/>
      <w:pgSz w:w="12240" w:h="15840"/>
      <w:pgMar w:top="1134" w:right="1134" w:bottom="1134" w:left="1418" w:header="851" w:footer="73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80000001" w:usb1="28091800" w:usb2="00000016" w:usb3="00000000" w:csb0="00100001" w:csb1="00000000"/>
  </w:font>
  <w:font w:name="zjaf">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C047">
    <w:pPr>
      <w:rPr>
        <w:rFonts w:hint="eastAsia"/>
        <w:sz w:val="18"/>
      </w:rPr>
    </w:pPr>
    <w:r>
      <w:rPr>
        <w:sz w:val="20"/>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wp:posOffset>
              </wp:positionV>
              <wp:extent cx="5943600" cy="0"/>
              <wp:effectExtent l="0" t="4445" r="0" b="5080"/>
              <wp:wrapNone/>
              <wp:docPr id="1" name="Line 1"/>
              <wp:cNvGraphicFramePr/>
              <a:graphic xmlns:a="http://schemas.openxmlformats.org/drawingml/2006/main">
                <a:graphicData uri="http://schemas.microsoft.com/office/word/2010/wordprocessingShape">
                  <wps:wsp>
                    <wps:cNvSp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 o:spid="_x0000_s1026" o:spt="20" style="position:absolute;left:0pt;margin-left:0pt;margin-top:-3.05pt;height:0pt;width:468pt;z-index:251659264;mso-width-relative:page;mso-height-relative:page;" filled="f" stroked="t" coordsize="21600,21600" o:gfxdata="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5wsz9MAAAAGAQAADwAAAAAAAAABACAA&#10;AAAiAAAAZHJzL2Rvd25yZXYueG1sUEsBAhQAFAAAAAgAh07iQHZJhzfZAQAA2QMAAA4AAAAAAAAA&#10;AQAgAAAAIgEAAGRycy9lMm9Eb2MueG1sUEsFBgAAAAAGAAYAWQEAAG0FAAAAAA==&#10;">
              <v:fill on="f" focussize="0,0"/>
              <v:stroke color="#000000" joinstyle="round"/>
              <v:imagedata o:title=""/>
              <o:lock v:ext="edit" aspectratio="f"/>
            </v:line>
          </w:pict>
        </mc:Fallback>
      </mc:AlternateContent>
    </w:r>
    <w:r>
      <w:rPr>
        <w:rFonts w:hint="eastAsia"/>
        <w:sz w:val="18"/>
      </w:rPr>
      <w:t>浙江求是招标代理有限公司招标文件                     电话:0579—85317081传真:0579—85321521</w:t>
    </w:r>
  </w:p>
  <w:p w14:paraId="158F4A7D">
    <w:pPr>
      <w:jc w:val="center"/>
      <w:rPr>
        <w:rFonts w:hint="eastAsia"/>
        <w:sz w:val="18"/>
      </w:rPr>
    </w:pPr>
  </w:p>
  <w:p w14:paraId="2C14C5D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AA2C">
    <w:pPr>
      <w:pStyle w:val="19"/>
      <w:framePr w:wrap="around" w:vAnchor="text" w:hAnchor="margin" w:xAlign="center" w:y="1"/>
      <w:rPr>
        <w:rStyle w:val="34"/>
      </w:rPr>
    </w:pPr>
    <w:r>
      <w:fldChar w:fldCharType="begin"/>
    </w:r>
    <w:r>
      <w:rPr>
        <w:rStyle w:val="34"/>
      </w:rPr>
      <w:instrText xml:space="preserve">PAGE  </w:instrText>
    </w:r>
    <w:r>
      <w:fldChar w:fldCharType="separate"/>
    </w:r>
    <w:r>
      <w:fldChar w:fldCharType="end"/>
    </w:r>
  </w:p>
  <w:p w14:paraId="207CBE8A">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822DD">
    <w:pPr>
      <w:pBdr>
        <w:top w:val="single" w:color="auto" w:sz="4" w:space="0"/>
      </w:pBdr>
    </w:pPr>
    <w:r>
      <w:rPr>
        <w:rFonts w:hint="eastAsia"/>
        <w:sz w:val="18"/>
        <w:szCs w:val="18"/>
      </w:rPr>
      <w:t>公平 公开 公正                                                                 浙江求是招标代理有限公司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906C2">
    <w:pPr>
      <w:pBdr>
        <w:top w:val="single" w:color="auto" w:sz="4" w:space="0"/>
      </w:pBd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036FBE">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4NkdTSAQAApA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HKZ9Ok91Jh27zExDh/dgFsz3wNeJtqDDCZ9kRDBOKp7uqgrhkh4elStqqrEEMfY7CB+8fjc&#10;B4h3whmSjIYGHF9WlR0/QxxT55RUzbpbpXUeobakR9Tr6v11fnEJIbq2WCSxGLtNVhx2w0Rt59oT&#10;MutxBxpqceUp0Z8sSpzWZTbCbOxm4+CD2nd5n1Ir4D8cIraTu0wVRtipMA4v85wWLW3HUz9nPf5c&#10;m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fg2R1NIBAACkAwAADgAAAAAAAAABACAAAAAi&#10;AQAAZHJzL2Uyb0RvYy54bWxQSwUGAAAAAAYABgBZAQAAZgUAAAAA&#10;">
              <v:fill on="f" focussize="0,0"/>
              <v:stroke on="f" weight="1.25pt"/>
              <v:imagedata o:title=""/>
              <o:lock v:ext="edit" aspectratio="f"/>
              <v:textbox inset="0mm,0mm,0mm,0mm" style="mso-fit-shape-to-text:t;">
                <w:txbxContent>
                  <w:p w14:paraId="2B036FBE">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C68C">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3BB01A">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efHWTTAQAApA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arpE/voca0R4+JcfjgBtya+R7wMtEeZDDpi4QIxlHd00VdMUTC06NqVVUlhjjGZgfxi6fn&#10;PkC8E86QZDQ04Piyquz4AHFMnVNSNetuldZ5hNqSHlGvqndX+cUlhOjaYpHEYuw2WXHYDRO1nWtP&#10;yKzHHWioxZWnRN9blDity2yE2djNxsEHte/yPqVWwL8/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efHWTTAQAApAMAAA4AAAAAAAAAAQAgAAAA&#10;IgEAAGRycy9lMm9Eb2MueG1sUEsFBgAAAAAGAAYAWQEAAGcFAAAAAA==&#10;">
              <v:fill on="f" focussize="0,0"/>
              <v:stroke on="f" weight="1.25pt"/>
              <v:imagedata o:title=""/>
              <o:lock v:ext="edit" aspectratio="f"/>
              <v:textbox inset="0mm,0mm,0mm,0mm" style="mso-fit-shape-to-text:t;">
                <w:txbxContent>
                  <w:p w14:paraId="113BB01A">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CC5B">
    <w:pPr>
      <w:pStyle w:val="20"/>
      <w:rPr>
        <w:rFonts w:hint="eastAsia"/>
      </w:rPr>
    </w:pPr>
    <w:r>
      <w:rPr>
        <w:rFonts w:hint="eastAsia"/>
      </w:rPr>
      <w:t>浙江大学医学院附属义乌医院洗手盆（柜）招标采购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F3C5F">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9C09">
    <w:pPr>
      <w:pStyle w:val="20"/>
    </w:pPr>
    <w:r>
      <w:rPr>
        <w:rFonts w:hint="eastAsia"/>
      </w:rPr>
      <w:drawing>
        <wp:inline distT="0" distB="0" distL="114300" distR="114300">
          <wp:extent cx="5906770" cy="676910"/>
          <wp:effectExtent l="0" t="0" r="8255" b="8890"/>
          <wp:docPr id="4"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页眉"/>
                  <pic:cNvPicPr>
                    <a:picLocks noChangeAspect="1"/>
                  </pic:cNvPicPr>
                </pic:nvPicPr>
                <pic:blipFill>
                  <a:blip r:embed="rId1"/>
                  <a:stretch>
                    <a:fillRect/>
                  </a:stretch>
                </pic:blipFill>
                <pic:spPr>
                  <a:xfrm>
                    <a:off x="0" y="0"/>
                    <a:ext cx="5906770" cy="6769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3BB9B"/>
    <w:multiLevelType w:val="singleLevel"/>
    <w:tmpl w:val="D313BB9B"/>
    <w:lvl w:ilvl="0" w:tentative="0">
      <w:start w:val="1"/>
      <w:numFmt w:val="decimal"/>
      <w:suff w:val="nothing"/>
      <w:lvlText w:val="2.%1"/>
      <w:lvlJc w:val="left"/>
      <w:pPr>
        <w:ind w:left="0" w:firstLine="403"/>
      </w:pPr>
      <w:rPr>
        <w:rFonts w:hint="default"/>
      </w:rPr>
    </w:lvl>
  </w:abstractNum>
  <w:abstractNum w:abstractNumId="1">
    <w:nsid w:val="D5A6E1B0"/>
    <w:multiLevelType w:val="singleLevel"/>
    <w:tmpl w:val="D5A6E1B0"/>
    <w:lvl w:ilvl="0" w:tentative="0">
      <w:start w:val="3"/>
      <w:numFmt w:val="chineseCounting"/>
      <w:suff w:val="nothing"/>
      <w:lvlText w:val="%1、"/>
      <w:lvlJc w:val="left"/>
      <w:rPr>
        <w:rFonts w:hint="eastAsia"/>
      </w:rPr>
    </w:lvl>
  </w:abstractNum>
  <w:abstractNum w:abstractNumId="2">
    <w:nsid w:val="FFFFFF88"/>
    <w:multiLevelType w:val="singleLevel"/>
    <w:tmpl w:val="FFFFFF88"/>
    <w:lvl w:ilvl="0" w:tentative="0">
      <w:start w:val="1"/>
      <w:numFmt w:val="decimal"/>
      <w:pStyle w:val="6"/>
      <w:lvlText w:val="%1."/>
      <w:lvlJc w:val="left"/>
      <w:pPr>
        <w:tabs>
          <w:tab w:val="left" w:pos="360"/>
        </w:tabs>
        <w:ind w:left="360" w:hanging="360"/>
      </w:pPr>
    </w:lvl>
  </w:abstractNum>
  <w:abstractNum w:abstractNumId="3">
    <w:nsid w:val="1888D6FD"/>
    <w:multiLevelType w:val="singleLevel"/>
    <w:tmpl w:val="1888D6FD"/>
    <w:lvl w:ilvl="0" w:tentative="0">
      <w:start w:val="5"/>
      <w:numFmt w:val="chineseCounting"/>
      <w:suff w:val="nothing"/>
      <w:lvlText w:val="%1、"/>
      <w:lvlJc w:val="left"/>
      <w:rPr>
        <w:rFonts w:hint="eastAsia"/>
      </w:rPr>
    </w:lvl>
  </w:abstractNum>
  <w:abstractNum w:abstractNumId="4">
    <w:nsid w:val="74431179"/>
    <w:multiLevelType w:val="multilevel"/>
    <w:tmpl w:val="74431179"/>
    <w:lvl w:ilvl="0" w:tentative="0">
      <w:start w:val="3"/>
      <w:numFmt w:val="japaneseCounting"/>
      <w:lvlText w:val="第%1章"/>
      <w:lvlJc w:val="left"/>
      <w:pPr>
        <w:tabs>
          <w:tab w:val="left" w:pos="3855"/>
        </w:tabs>
        <w:ind w:left="3855" w:hanging="975"/>
      </w:pPr>
      <w:rPr>
        <w:rFonts w:hint="default" w:ascii="Times New Roman"/>
        <w:b/>
        <w:sz w:val="32"/>
      </w:rPr>
    </w:lvl>
    <w:lvl w:ilvl="1" w:tentative="0">
      <w:start w:val="1"/>
      <w:numFmt w:val="lowerLetter"/>
      <w:lvlText w:val="%2)"/>
      <w:lvlJc w:val="left"/>
      <w:pPr>
        <w:tabs>
          <w:tab w:val="left" w:pos="3394"/>
        </w:tabs>
        <w:ind w:left="3394" w:hanging="420"/>
      </w:pPr>
    </w:lvl>
    <w:lvl w:ilvl="2" w:tentative="0">
      <w:start w:val="1"/>
      <w:numFmt w:val="lowerRoman"/>
      <w:lvlText w:val="%3."/>
      <w:lvlJc w:val="right"/>
      <w:pPr>
        <w:tabs>
          <w:tab w:val="left" w:pos="3814"/>
        </w:tabs>
        <w:ind w:left="3814" w:hanging="420"/>
      </w:pPr>
    </w:lvl>
    <w:lvl w:ilvl="3" w:tentative="0">
      <w:start w:val="1"/>
      <w:numFmt w:val="decimal"/>
      <w:lvlText w:val="%4."/>
      <w:lvlJc w:val="left"/>
      <w:pPr>
        <w:tabs>
          <w:tab w:val="left" w:pos="4234"/>
        </w:tabs>
        <w:ind w:left="4234" w:hanging="420"/>
      </w:pPr>
    </w:lvl>
    <w:lvl w:ilvl="4" w:tentative="0">
      <w:start w:val="1"/>
      <w:numFmt w:val="lowerLetter"/>
      <w:lvlText w:val="%5)"/>
      <w:lvlJc w:val="left"/>
      <w:pPr>
        <w:tabs>
          <w:tab w:val="left" w:pos="4654"/>
        </w:tabs>
        <w:ind w:left="4654" w:hanging="420"/>
      </w:pPr>
    </w:lvl>
    <w:lvl w:ilvl="5" w:tentative="0">
      <w:start w:val="1"/>
      <w:numFmt w:val="lowerRoman"/>
      <w:lvlText w:val="%6."/>
      <w:lvlJc w:val="right"/>
      <w:pPr>
        <w:tabs>
          <w:tab w:val="left" w:pos="5074"/>
        </w:tabs>
        <w:ind w:left="5074" w:hanging="420"/>
      </w:pPr>
    </w:lvl>
    <w:lvl w:ilvl="6" w:tentative="0">
      <w:start w:val="1"/>
      <w:numFmt w:val="decimal"/>
      <w:lvlText w:val="%7."/>
      <w:lvlJc w:val="left"/>
      <w:pPr>
        <w:tabs>
          <w:tab w:val="left" w:pos="5494"/>
        </w:tabs>
        <w:ind w:left="5494" w:hanging="420"/>
      </w:pPr>
    </w:lvl>
    <w:lvl w:ilvl="7" w:tentative="0">
      <w:start w:val="1"/>
      <w:numFmt w:val="lowerLetter"/>
      <w:lvlText w:val="%8)"/>
      <w:lvlJc w:val="left"/>
      <w:pPr>
        <w:tabs>
          <w:tab w:val="left" w:pos="5914"/>
        </w:tabs>
        <w:ind w:left="5914" w:hanging="420"/>
      </w:pPr>
    </w:lvl>
    <w:lvl w:ilvl="8" w:tentative="0">
      <w:start w:val="1"/>
      <w:numFmt w:val="lowerRoman"/>
      <w:lvlText w:val="%9."/>
      <w:lvlJc w:val="right"/>
      <w:pPr>
        <w:tabs>
          <w:tab w:val="left" w:pos="6334"/>
        </w:tabs>
        <w:ind w:left="6334"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NzQyNWZmM2VhNzk1YjE4NTc4N2Q3N2UxNWEyOGQifQ=="/>
  </w:docVars>
  <w:rsids>
    <w:rsidRoot w:val="00172A27"/>
    <w:rsid w:val="000038E7"/>
    <w:rsid w:val="00004A10"/>
    <w:rsid w:val="00007306"/>
    <w:rsid w:val="00007FA0"/>
    <w:rsid w:val="00016511"/>
    <w:rsid w:val="0001706C"/>
    <w:rsid w:val="00020691"/>
    <w:rsid w:val="0002372B"/>
    <w:rsid w:val="00030131"/>
    <w:rsid w:val="0003223E"/>
    <w:rsid w:val="00045AFB"/>
    <w:rsid w:val="00050497"/>
    <w:rsid w:val="00055ADF"/>
    <w:rsid w:val="000623A0"/>
    <w:rsid w:val="00065C3F"/>
    <w:rsid w:val="0007136E"/>
    <w:rsid w:val="00071FE9"/>
    <w:rsid w:val="00075268"/>
    <w:rsid w:val="00076567"/>
    <w:rsid w:val="0008488A"/>
    <w:rsid w:val="000871F1"/>
    <w:rsid w:val="00087C5A"/>
    <w:rsid w:val="0009111D"/>
    <w:rsid w:val="00095662"/>
    <w:rsid w:val="000A1E20"/>
    <w:rsid w:val="000A2A4C"/>
    <w:rsid w:val="000A466C"/>
    <w:rsid w:val="000A66E4"/>
    <w:rsid w:val="000B05CF"/>
    <w:rsid w:val="000B24FC"/>
    <w:rsid w:val="000B5BEE"/>
    <w:rsid w:val="000C2048"/>
    <w:rsid w:val="000D2E51"/>
    <w:rsid w:val="000D529F"/>
    <w:rsid w:val="000D6534"/>
    <w:rsid w:val="000D7415"/>
    <w:rsid w:val="000E34E4"/>
    <w:rsid w:val="000E7218"/>
    <w:rsid w:val="000F1273"/>
    <w:rsid w:val="00105923"/>
    <w:rsid w:val="00115F6E"/>
    <w:rsid w:val="00117477"/>
    <w:rsid w:val="00121582"/>
    <w:rsid w:val="00121659"/>
    <w:rsid w:val="001228CF"/>
    <w:rsid w:val="00124885"/>
    <w:rsid w:val="00124C59"/>
    <w:rsid w:val="00125922"/>
    <w:rsid w:val="00126DBB"/>
    <w:rsid w:val="00131648"/>
    <w:rsid w:val="001327FC"/>
    <w:rsid w:val="00141248"/>
    <w:rsid w:val="0014575A"/>
    <w:rsid w:val="00145F12"/>
    <w:rsid w:val="00147E0D"/>
    <w:rsid w:val="00155BE6"/>
    <w:rsid w:val="0016070C"/>
    <w:rsid w:val="001702D4"/>
    <w:rsid w:val="00187125"/>
    <w:rsid w:val="00187559"/>
    <w:rsid w:val="00191943"/>
    <w:rsid w:val="00194A01"/>
    <w:rsid w:val="001A0448"/>
    <w:rsid w:val="001A1905"/>
    <w:rsid w:val="001A1E1D"/>
    <w:rsid w:val="001A4B8E"/>
    <w:rsid w:val="001B4014"/>
    <w:rsid w:val="001C2C86"/>
    <w:rsid w:val="001C68A8"/>
    <w:rsid w:val="001D27B3"/>
    <w:rsid w:val="001D2A91"/>
    <w:rsid w:val="001D45C7"/>
    <w:rsid w:val="001D591A"/>
    <w:rsid w:val="001E76A3"/>
    <w:rsid w:val="001F14D1"/>
    <w:rsid w:val="001F1B2E"/>
    <w:rsid w:val="001F665A"/>
    <w:rsid w:val="002049B3"/>
    <w:rsid w:val="00204B13"/>
    <w:rsid w:val="002159A3"/>
    <w:rsid w:val="00217F94"/>
    <w:rsid w:val="00233CA1"/>
    <w:rsid w:val="002409F1"/>
    <w:rsid w:val="0024194A"/>
    <w:rsid w:val="00241C9D"/>
    <w:rsid w:val="00243D44"/>
    <w:rsid w:val="0024470B"/>
    <w:rsid w:val="002458BF"/>
    <w:rsid w:val="0024613F"/>
    <w:rsid w:val="00246582"/>
    <w:rsid w:val="002503F3"/>
    <w:rsid w:val="00252967"/>
    <w:rsid w:val="00252E3E"/>
    <w:rsid w:val="002535BE"/>
    <w:rsid w:val="00253DF0"/>
    <w:rsid w:val="00260F62"/>
    <w:rsid w:val="00267438"/>
    <w:rsid w:val="0027230F"/>
    <w:rsid w:val="002746F4"/>
    <w:rsid w:val="00275E14"/>
    <w:rsid w:val="00275FE7"/>
    <w:rsid w:val="00277775"/>
    <w:rsid w:val="00282F33"/>
    <w:rsid w:val="00287AA7"/>
    <w:rsid w:val="00290B92"/>
    <w:rsid w:val="00295D68"/>
    <w:rsid w:val="00296519"/>
    <w:rsid w:val="00297D78"/>
    <w:rsid w:val="002A15F3"/>
    <w:rsid w:val="002A1CBC"/>
    <w:rsid w:val="002A31FA"/>
    <w:rsid w:val="002C10D8"/>
    <w:rsid w:val="002C1709"/>
    <w:rsid w:val="002C41CB"/>
    <w:rsid w:val="002C5191"/>
    <w:rsid w:val="002C7B7F"/>
    <w:rsid w:val="002D2E17"/>
    <w:rsid w:val="002D39A3"/>
    <w:rsid w:val="002E1BC3"/>
    <w:rsid w:val="002E4040"/>
    <w:rsid w:val="002E42E6"/>
    <w:rsid w:val="002E6170"/>
    <w:rsid w:val="002E7C9E"/>
    <w:rsid w:val="002E7FEB"/>
    <w:rsid w:val="002F1349"/>
    <w:rsid w:val="002F2A2A"/>
    <w:rsid w:val="002F3E67"/>
    <w:rsid w:val="002F7865"/>
    <w:rsid w:val="003059B9"/>
    <w:rsid w:val="00305A2E"/>
    <w:rsid w:val="003073AA"/>
    <w:rsid w:val="00312DCD"/>
    <w:rsid w:val="0031670C"/>
    <w:rsid w:val="00321320"/>
    <w:rsid w:val="00321F90"/>
    <w:rsid w:val="00332B4B"/>
    <w:rsid w:val="00333E84"/>
    <w:rsid w:val="00340BB5"/>
    <w:rsid w:val="00341041"/>
    <w:rsid w:val="00344D95"/>
    <w:rsid w:val="00346176"/>
    <w:rsid w:val="0034617F"/>
    <w:rsid w:val="00350A66"/>
    <w:rsid w:val="00351759"/>
    <w:rsid w:val="00352A63"/>
    <w:rsid w:val="00353856"/>
    <w:rsid w:val="00353FC6"/>
    <w:rsid w:val="0035597B"/>
    <w:rsid w:val="0035706C"/>
    <w:rsid w:val="00372271"/>
    <w:rsid w:val="003745D6"/>
    <w:rsid w:val="003768F0"/>
    <w:rsid w:val="00377238"/>
    <w:rsid w:val="00377A68"/>
    <w:rsid w:val="00383063"/>
    <w:rsid w:val="003831B3"/>
    <w:rsid w:val="003871A1"/>
    <w:rsid w:val="00387870"/>
    <w:rsid w:val="00391149"/>
    <w:rsid w:val="003956DC"/>
    <w:rsid w:val="00395720"/>
    <w:rsid w:val="003974E0"/>
    <w:rsid w:val="00397729"/>
    <w:rsid w:val="00397E30"/>
    <w:rsid w:val="003A3988"/>
    <w:rsid w:val="003B0AB5"/>
    <w:rsid w:val="003B3800"/>
    <w:rsid w:val="003B7567"/>
    <w:rsid w:val="003C0188"/>
    <w:rsid w:val="003C1CFE"/>
    <w:rsid w:val="003C2AAA"/>
    <w:rsid w:val="003D05E5"/>
    <w:rsid w:val="003D091F"/>
    <w:rsid w:val="003D1192"/>
    <w:rsid w:val="003D78A2"/>
    <w:rsid w:val="003E05B8"/>
    <w:rsid w:val="003E2E50"/>
    <w:rsid w:val="003E332E"/>
    <w:rsid w:val="003E356F"/>
    <w:rsid w:val="003E359C"/>
    <w:rsid w:val="003E6806"/>
    <w:rsid w:val="003E6905"/>
    <w:rsid w:val="003E70A0"/>
    <w:rsid w:val="003F1CC9"/>
    <w:rsid w:val="003F21AE"/>
    <w:rsid w:val="003F4447"/>
    <w:rsid w:val="003F7D82"/>
    <w:rsid w:val="00401D7B"/>
    <w:rsid w:val="0040730A"/>
    <w:rsid w:val="00407869"/>
    <w:rsid w:val="0041745B"/>
    <w:rsid w:val="004230F6"/>
    <w:rsid w:val="00423CC7"/>
    <w:rsid w:val="00427C29"/>
    <w:rsid w:val="004301FE"/>
    <w:rsid w:val="00441DC9"/>
    <w:rsid w:val="0044532F"/>
    <w:rsid w:val="004469AA"/>
    <w:rsid w:val="00451EDD"/>
    <w:rsid w:val="004545BF"/>
    <w:rsid w:val="00456A03"/>
    <w:rsid w:val="004604F0"/>
    <w:rsid w:val="00461157"/>
    <w:rsid w:val="00461B56"/>
    <w:rsid w:val="00463D36"/>
    <w:rsid w:val="0047062A"/>
    <w:rsid w:val="00471DD1"/>
    <w:rsid w:val="004802BF"/>
    <w:rsid w:val="004804D1"/>
    <w:rsid w:val="00484F86"/>
    <w:rsid w:val="00492B18"/>
    <w:rsid w:val="00497965"/>
    <w:rsid w:val="004A0089"/>
    <w:rsid w:val="004A6146"/>
    <w:rsid w:val="004B2EDA"/>
    <w:rsid w:val="004B343E"/>
    <w:rsid w:val="004C08EB"/>
    <w:rsid w:val="004C4534"/>
    <w:rsid w:val="004D5FDF"/>
    <w:rsid w:val="004E131F"/>
    <w:rsid w:val="004E2436"/>
    <w:rsid w:val="004E580F"/>
    <w:rsid w:val="004F1E49"/>
    <w:rsid w:val="005020AE"/>
    <w:rsid w:val="00504E67"/>
    <w:rsid w:val="00506D38"/>
    <w:rsid w:val="0051163B"/>
    <w:rsid w:val="0051487B"/>
    <w:rsid w:val="005204E1"/>
    <w:rsid w:val="005225F2"/>
    <w:rsid w:val="005265E8"/>
    <w:rsid w:val="00534015"/>
    <w:rsid w:val="00537449"/>
    <w:rsid w:val="0054042C"/>
    <w:rsid w:val="00546869"/>
    <w:rsid w:val="00557557"/>
    <w:rsid w:val="00563B28"/>
    <w:rsid w:val="00564A71"/>
    <w:rsid w:val="0057176D"/>
    <w:rsid w:val="00586182"/>
    <w:rsid w:val="00593AF2"/>
    <w:rsid w:val="005961D1"/>
    <w:rsid w:val="005A0AA7"/>
    <w:rsid w:val="005A4344"/>
    <w:rsid w:val="005A638D"/>
    <w:rsid w:val="005A7D12"/>
    <w:rsid w:val="005B0B0F"/>
    <w:rsid w:val="005B466A"/>
    <w:rsid w:val="005C0A43"/>
    <w:rsid w:val="005C0E34"/>
    <w:rsid w:val="005C6741"/>
    <w:rsid w:val="005D0768"/>
    <w:rsid w:val="005D0847"/>
    <w:rsid w:val="005D47EF"/>
    <w:rsid w:val="005D78BA"/>
    <w:rsid w:val="005E248A"/>
    <w:rsid w:val="005E3D9C"/>
    <w:rsid w:val="005E3DBB"/>
    <w:rsid w:val="005E4D5D"/>
    <w:rsid w:val="00602F29"/>
    <w:rsid w:val="0060506D"/>
    <w:rsid w:val="006111F5"/>
    <w:rsid w:val="006136CC"/>
    <w:rsid w:val="00617F7F"/>
    <w:rsid w:val="00622BA8"/>
    <w:rsid w:val="006271E5"/>
    <w:rsid w:val="00627ECD"/>
    <w:rsid w:val="00630DE8"/>
    <w:rsid w:val="006314A6"/>
    <w:rsid w:val="0063464E"/>
    <w:rsid w:val="006351F9"/>
    <w:rsid w:val="00637515"/>
    <w:rsid w:val="00637A86"/>
    <w:rsid w:val="006430A3"/>
    <w:rsid w:val="006466D0"/>
    <w:rsid w:val="00655A61"/>
    <w:rsid w:val="00656DA6"/>
    <w:rsid w:val="00657511"/>
    <w:rsid w:val="00660292"/>
    <w:rsid w:val="00671205"/>
    <w:rsid w:val="00674D95"/>
    <w:rsid w:val="006769B5"/>
    <w:rsid w:val="006936F6"/>
    <w:rsid w:val="006A2019"/>
    <w:rsid w:val="006A37F4"/>
    <w:rsid w:val="006A7AC5"/>
    <w:rsid w:val="006B2F84"/>
    <w:rsid w:val="006B6178"/>
    <w:rsid w:val="006B6EF2"/>
    <w:rsid w:val="006C45E5"/>
    <w:rsid w:val="006C633C"/>
    <w:rsid w:val="006D0F7F"/>
    <w:rsid w:val="006D1833"/>
    <w:rsid w:val="006D23E3"/>
    <w:rsid w:val="006F4750"/>
    <w:rsid w:val="0070029A"/>
    <w:rsid w:val="00701811"/>
    <w:rsid w:val="00701E43"/>
    <w:rsid w:val="00704A94"/>
    <w:rsid w:val="00706F1C"/>
    <w:rsid w:val="007102AE"/>
    <w:rsid w:val="00710641"/>
    <w:rsid w:val="00713915"/>
    <w:rsid w:val="00714822"/>
    <w:rsid w:val="00721707"/>
    <w:rsid w:val="00723461"/>
    <w:rsid w:val="00731161"/>
    <w:rsid w:val="00733CF5"/>
    <w:rsid w:val="00737AE7"/>
    <w:rsid w:val="00744054"/>
    <w:rsid w:val="00760C20"/>
    <w:rsid w:val="00761AD6"/>
    <w:rsid w:val="0076355B"/>
    <w:rsid w:val="0076479B"/>
    <w:rsid w:val="00766D10"/>
    <w:rsid w:val="0076711E"/>
    <w:rsid w:val="00771B92"/>
    <w:rsid w:val="00773441"/>
    <w:rsid w:val="00773B5C"/>
    <w:rsid w:val="00777204"/>
    <w:rsid w:val="00782663"/>
    <w:rsid w:val="00790775"/>
    <w:rsid w:val="0079234F"/>
    <w:rsid w:val="0079296F"/>
    <w:rsid w:val="0079340A"/>
    <w:rsid w:val="007942BB"/>
    <w:rsid w:val="0079757C"/>
    <w:rsid w:val="007A4B4A"/>
    <w:rsid w:val="007A5400"/>
    <w:rsid w:val="007B0E0C"/>
    <w:rsid w:val="007B1395"/>
    <w:rsid w:val="007C02F6"/>
    <w:rsid w:val="007C1D55"/>
    <w:rsid w:val="007C3A5B"/>
    <w:rsid w:val="007C427C"/>
    <w:rsid w:val="007C448C"/>
    <w:rsid w:val="007D2681"/>
    <w:rsid w:val="007D31FC"/>
    <w:rsid w:val="007D3A51"/>
    <w:rsid w:val="007F22E1"/>
    <w:rsid w:val="007F4574"/>
    <w:rsid w:val="007F6AAA"/>
    <w:rsid w:val="00802947"/>
    <w:rsid w:val="00806C0B"/>
    <w:rsid w:val="00812415"/>
    <w:rsid w:val="00816E78"/>
    <w:rsid w:val="00817082"/>
    <w:rsid w:val="0082328D"/>
    <w:rsid w:val="00823E1D"/>
    <w:rsid w:val="00824F49"/>
    <w:rsid w:val="00825F2A"/>
    <w:rsid w:val="0083017A"/>
    <w:rsid w:val="00832D1F"/>
    <w:rsid w:val="008355CA"/>
    <w:rsid w:val="00835B99"/>
    <w:rsid w:val="008403ED"/>
    <w:rsid w:val="008432B9"/>
    <w:rsid w:val="00844600"/>
    <w:rsid w:val="00854893"/>
    <w:rsid w:val="00857461"/>
    <w:rsid w:val="008618BA"/>
    <w:rsid w:val="00862BE1"/>
    <w:rsid w:val="00865834"/>
    <w:rsid w:val="00865C12"/>
    <w:rsid w:val="00867443"/>
    <w:rsid w:val="00867EB9"/>
    <w:rsid w:val="008702BE"/>
    <w:rsid w:val="008740BD"/>
    <w:rsid w:val="0087523E"/>
    <w:rsid w:val="00875B3E"/>
    <w:rsid w:val="00876D0A"/>
    <w:rsid w:val="00887962"/>
    <w:rsid w:val="00896896"/>
    <w:rsid w:val="008A33E0"/>
    <w:rsid w:val="008A3D9B"/>
    <w:rsid w:val="008A579F"/>
    <w:rsid w:val="008A6985"/>
    <w:rsid w:val="008B0C14"/>
    <w:rsid w:val="008B1381"/>
    <w:rsid w:val="008B3FC1"/>
    <w:rsid w:val="008B4CA6"/>
    <w:rsid w:val="008B721B"/>
    <w:rsid w:val="008B7917"/>
    <w:rsid w:val="008C0718"/>
    <w:rsid w:val="008C2A7E"/>
    <w:rsid w:val="008C5187"/>
    <w:rsid w:val="008C572A"/>
    <w:rsid w:val="008D14FF"/>
    <w:rsid w:val="008D1B01"/>
    <w:rsid w:val="008D75B8"/>
    <w:rsid w:val="008D7922"/>
    <w:rsid w:val="008E5B6C"/>
    <w:rsid w:val="008F2388"/>
    <w:rsid w:val="008F285A"/>
    <w:rsid w:val="008F4424"/>
    <w:rsid w:val="008F5823"/>
    <w:rsid w:val="008F6E26"/>
    <w:rsid w:val="009035D6"/>
    <w:rsid w:val="00905B0E"/>
    <w:rsid w:val="00906482"/>
    <w:rsid w:val="0090695C"/>
    <w:rsid w:val="00921F58"/>
    <w:rsid w:val="00922E17"/>
    <w:rsid w:val="00931E66"/>
    <w:rsid w:val="00935190"/>
    <w:rsid w:val="00935A51"/>
    <w:rsid w:val="00936395"/>
    <w:rsid w:val="009469A3"/>
    <w:rsid w:val="00951F75"/>
    <w:rsid w:val="00953D43"/>
    <w:rsid w:val="0095674D"/>
    <w:rsid w:val="009636F5"/>
    <w:rsid w:val="00963F99"/>
    <w:rsid w:val="009658FD"/>
    <w:rsid w:val="009677E4"/>
    <w:rsid w:val="0097453C"/>
    <w:rsid w:val="00975D3D"/>
    <w:rsid w:val="009763FF"/>
    <w:rsid w:val="00977028"/>
    <w:rsid w:val="00982FD3"/>
    <w:rsid w:val="0099280F"/>
    <w:rsid w:val="00996119"/>
    <w:rsid w:val="009A0C82"/>
    <w:rsid w:val="009B04A8"/>
    <w:rsid w:val="009B1846"/>
    <w:rsid w:val="009B2B63"/>
    <w:rsid w:val="009B2C17"/>
    <w:rsid w:val="009B4247"/>
    <w:rsid w:val="009B4BE8"/>
    <w:rsid w:val="009C724D"/>
    <w:rsid w:val="009C7505"/>
    <w:rsid w:val="009D144F"/>
    <w:rsid w:val="009D4FA9"/>
    <w:rsid w:val="009D66E4"/>
    <w:rsid w:val="009E0B40"/>
    <w:rsid w:val="009E2D04"/>
    <w:rsid w:val="009E3AFB"/>
    <w:rsid w:val="009F2948"/>
    <w:rsid w:val="009F5B59"/>
    <w:rsid w:val="00A0221D"/>
    <w:rsid w:val="00A03178"/>
    <w:rsid w:val="00A10874"/>
    <w:rsid w:val="00A12EF2"/>
    <w:rsid w:val="00A17059"/>
    <w:rsid w:val="00A21BE0"/>
    <w:rsid w:val="00A25ABE"/>
    <w:rsid w:val="00A25C44"/>
    <w:rsid w:val="00A30A63"/>
    <w:rsid w:val="00A3226E"/>
    <w:rsid w:val="00A33D8A"/>
    <w:rsid w:val="00A34696"/>
    <w:rsid w:val="00A35A4E"/>
    <w:rsid w:val="00A40763"/>
    <w:rsid w:val="00A40973"/>
    <w:rsid w:val="00A43901"/>
    <w:rsid w:val="00A55A35"/>
    <w:rsid w:val="00A6188E"/>
    <w:rsid w:val="00A6663D"/>
    <w:rsid w:val="00A72839"/>
    <w:rsid w:val="00A73298"/>
    <w:rsid w:val="00A75116"/>
    <w:rsid w:val="00A768F1"/>
    <w:rsid w:val="00A81454"/>
    <w:rsid w:val="00A81D7D"/>
    <w:rsid w:val="00A82930"/>
    <w:rsid w:val="00A9306A"/>
    <w:rsid w:val="00A96772"/>
    <w:rsid w:val="00AA5B0C"/>
    <w:rsid w:val="00AA6570"/>
    <w:rsid w:val="00AA6BFA"/>
    <w:rsid w:val="00AB168A"/>
    <w:rsid w:val="00AB42EE"/>
    <w:rsid w:val="00AB6C64"/>
    <w:rsid w:val="00AB6EE4"/>
    <w:rsid w:val="00AC037A"/>
    <w:rsid w:val="00AC03AD"/>
    <w:rsid w:val="00AC2145"/>
    <w:rsid w:val="00AC2945"/>
    <w:rsid w:val="00AD136F"/>
    <w:rsid w:val="00AE34D8"/>
    <w:rsid w:val="00AE6CC7"/>
    <w:rsid w:val="00AF161A"/>
    <w:rsid w:val="00AF1CB9"/>
    <w:rsid w:val="00AF3317"/>
    <w:rsid w:val="00AF45FF"/>
    <w:rsid w:val="00AF4801"/>
    <w:rsid w:val="00B005EC"/>
    <w:rsid w:val="00B029CD"/>
    <w:rsid w:val="00B03585"/>
    <w:rsid w:val="00B05D58"/>
    <w:rsid w:val="00B065AA"/>
    <w:rsid w:val="00B10928"/>
    <w:rsid w:val="00B10DA0"/>
    <w:rsid w:val="00B11239"/>
    <w:rsid w:val="00B1482B"/>
    <w:rsid w:val="00B244E6"/>
    <w:rsid w:val="00B27BC8"/>
    <w:rsid w:val="00B35B64"/>
    <w:rsid w:val="00B37C6C"/>
    <w:rsid w:val="00B44CA6"/>
    <w:rsid w:val="00B5099E"/>
    <w:rsid w:val="00B55C0C"/>
    <w:rsid w:val="00B57B22"/>
    <w:rsid w:val="00B62320"/>
    <w:rsid w:val="00B63E77"/>
    <w:rsid w:val="00B64697"/>
    <w:rsid w:val="00B664B1"/>
    <w:rsid w:val="00B71B8E"/>
    <w:rsid w:val="00B725A8"/>
    <w:rsid w:val="00B76ADF"/>
    <w:rsid w:val="00B864B5"/>
    <w:rsid w:val="00B87FEE"/>
    <w:rsid w:val="00B9340D"/>
    <w:rsid w:val="00B956BC"/>
    <w:rsid w:val="00BB4E05"/>
    <w:rsid w:val="00BC2E6B"/>
    <w:rsid w:val="00BC658F"/>
    <w:rsid w:val="00BD11DA"/>
    <w:rsid w:val="00BD1989"/>
    <w:rsid w:val="00BD260D"/>
    <w:rsid w:val="00BD335C"/>
    <w:rsid w:val="00BE1480"/>
    <w:rsid w:val="00BE1553"/>
    <w:rsid w:val="00BE2E9A"/>
    <w:rsid w:val="00BE54D1"/>
    <w:rsid w:val="00BE6C57"/>
    <w:rsid w:val="00BE78E5"/>
    <w:rsid w:val="00BF0E84"/>
    <w:rsid w:val="00BF54B6"/>
    <w:rsid w:val="00BF59FF"/>
    <w:rsid w:val="00C029D9"/>
    <w:rsid w:val="00C03B0A"/>
    <w:rsid w:val="00C0706B"/>
    <w:rsid w:val="00C209C4"/>
    <w:rsid w:val="00C24BCB"/>
    <w:rsid w:val="00C278DC"/>
    <w:rsid w:val="00C317D9"/>
    <w:rsid w:val="00C328E2"/>
    <w:rsid w:val="00C374DB"/>
    <w:rsid w:val="00C402C3"/>
    <w:rsid w:val="00C429CB"/>
    <w:rsid w:val="00C449AC"/>
    <w:rsid w:val="00C44C73"/>
    <w:rsid w:val="00C469E1"/>
    <w:rsid w:val="00C52339"/>
    <w:rsid w:val="00C531BD"/>
    <w:rsid w:val="00C54098"/>
    <w:rsid w:val="00C5772C"/>
    <w:rsid w:val="00C671E0"/>
    <w:rsid w:val="00C708DE"/>
    <w:rsid w:val="00C7516C"/>
    <w:rsid w:val="00C769B9"/>
    <w:rsid w:val="00C80D1F"/>
    <w:rsid w:val="00C82981"/>
    <w:rsid w:val="00C84A5D"/>
    <w:rsid w:val="00C94442"/>
    <w:rsid w:val="00C945DB"/>
    <w:rsid w:val="00C94A7D"/>
    <w:rsid w:val="00CA735B"/>
    <w:rsid w:val="00CB0589"/>
    <w:rsid w:val="00CB2446"/>
    <w:rsid w:val="00CB491E"/>
    <w:rsid w:val="00CC3DA1"/>
    <w:rsid w:val="00CC5A8B"/>
    <w:rsid w:val="00CD4FC1"/>
    <w:rsid w:val="00CE09C5"/>
    <w:rsid w:val="00CE1740"/>
    <w:rsid w:val="00CE4834"/>
    <w:rsid w:val="00CE6F71"/>
    <w:rsid w:val="00CF00D0"/>
    <w:rsid w:val="00CF0B31"/>
    <w:rsid w:val="00D07277"/>
    <w:rsid w:val="00D11DD1"/>
    <w:rsid w:val="00D12560"/>
    <w:rsid w:val="00D14598"/>
    <w:rsid w:val="00D1483D"/>
    <w:rsid w:val="00D14BCD"/>
    <w:rsid w:val="00D213E8"/>
    <w:rsid w:val="00D26B5A"/>
    <w:rsid w:val="00D302D8"/>
    <w:rsid w:val="00D31906"/>
    <w:rsid w:val="00D379E3"/>
    <w:rsid w:val="00D43A7D"/>
    <w:rsid w:val="00D44B80"/>
    <w:rsid w:val="00D44C69"/>
    <w:rsid w:val="00D454E5"/>
    <w:rsid w:val="00D47698"/>
    <w:rsid w:val="00D544B4"/>
    <w:rsid w:val="00D5675B"/>
    <w:rsid w:val="00D60F8C"/>
    <w:rsid w:val="00D7554B"/>
    <w:rsid w:val="00D80CD8"/>
    <w:rsid w:val="00D83979"/>
    <w:rsid w:val="00D85D97"/>
    <w:rsid w:val="00D91185"/>
    <w:rsid w:val="00D91D3E"/>
    <w:rsid w:val="00D92257"/>
    <w:rsid w:val="00DA2D84"/>
    <w:rsid w:val="00DA6EC6"/>
    <w:rsid w:val="00DC0FBE"/>
    <w:rsid w:val="00DC16E7"/>
    <w:rsid w:val="00DC5F62"/>
    <w:rsid w:val="00DC60A0"/>
    <w:rsid w:val="00DD20D3"/>
    <w:rsid w:val="00DD7020"/>
    <w:rsid w:val="00DD703B"/>
    <w:rsid w:val="00DE0E4F"/>
    <w:rsid w:val="00DE1263"/>
    <w:rsid w:val="00DE1B09"/>
    <w:rsid w:val="00DE6F42"/>
    <w:rsid w:val="00DE70FD"/>
    <w:rsid w:val="00DF34DE"/>
    <w:rsid w:val="00DF60DB"/>
    <w:rsid w:val="00E00D9D"/>
    <w:rsid w:val="00E01CB7"/>
    <w:rsid w:val="00E05B87"/>
    <w:rsid w:val="00E06439"/>
    <w:rsid w:val="00E06736"/>
    <w:rsid w:val="00E11AF2"/>
    <w:rsid w:val="00E123CB"/>
    <w:rsid w:val="00E12C10"/>
    <w:rsid w:val="00E12E5D"/>
    <w:rsid w:val="00E16D66"/>
    <w:rsid w:val="00E21B0A"/>
    <w:rsid w:val="00E27945"/>
    <w:rsid w:val="00E30588"/>
    <w:rsid w:val="00E3059C"/>
    <w:rsid w:val="00E33C9D"/>
    <w:rsid w:val="00E41AC6"/>
    <w:rsid w:val="00E43076"/>
    <w:rsid w:val="00E463BB"/>
    <w:rsid w:val="00E5009F"/>
    <w:rsid w:val="00E54654"/>
    <w:rsid w:val="00E60C79"/>
    <w:rsid w:val="00E61CC7"/>
    <w:rsid w:val="00E72A9C"/>
    <w:rsid w:val="00E74196"/>
    <w:rsid w:val="00E74844"/>
    <w:rsid w:val="00E81666"/>
    <w:rsid w:val="00E81BD1"/>
    <w:rsid w:val="00E83B1B"/>
    <w:rsid w:val="00E90ECC"/>
    <w:rsid w:val="00E95F0E"/>
    <w:rsid w:val="00E97D79"/>
    <w:rsid w:val="00EA0896"/>
    <w:rsid w:val="00EA2F11"/>
    <w:rsid w:val="00EA5941"/>
    <w:rsid w:val="00EB2410"/>
    <w:rsid w:val="00EC215B"/>
    <w:rsid w:val="00EC2E3A"/>
    <w:rsid w:val="00EC54D7"/>
    <w:rsid w:val="00ED22A9"/>
    <w:rsid w:val="00ED39F8"/>
    <w:rsid w:val="00ED5449"/>
    <w:rsid w:val="00ED5CB4"/>
    <w:rsid w:val="00ED5E6B"/>
    <w:rsid w:val="00EE1379"/>
    <w:rsid w:val="00EE433E"/>
    <w:rsid w:val="00EE5500"/>
    <w:rsid w:val="00EF087C"/>
    <w:rsid w:val="00EF21D6"/>
    <w:rsid w:val="00F0346C"/>
    <w:rsid w:val="00F121B9"/>
    <w:rsid w:val="00F12334"/>
    <w:rsid w:val="00F145F8"/>
    <w:rsid w:val="00F22B6F"/>
    <w:rsid w:val="00F23794"/>
    <w:rsid w:val="00F31457"/>
    <w:rsid w:val="00F32F1E"/>
    <w:rsid w:val="00F34F9C"/>
    <w:rsid w:val="00F42AF7"/>
    <w:rsid w:val="00F431CA"/>
    <w:rsid w:val="00F456DB"/>
    <w:rsid w:val="00F45E0F"/>
    <w:rsid w:val="00F53F90"/>
    <w:rsid w:val="00F549F1"/>
    <w:rsid w:val="00F55841"/>
    <w:rsid w:val="00F56E2D"/>
    <w:rsid w:val="00F605BE"/>
    <w:rsid w:val="00F623BF"/>
    <w:rsid w:val="00F641FE"/>
    <w:rsid w:val="00F823A0"/>
    <w:rsid w:val="00F8306F"/>
    <w:rsid w:val="00F83822"/>
    <w:rsid w:val="00F86BEC"/>
    <w:rsid w:val="00F90038"/>
    <w:rsid w:val="00F9143E"/>
    <w:rsid w:val="00FA4E02"/>
    <w:rsid w:val="00FA5BD5"/>
    <w:rsid w:val="00FA5EFF"/>
    <w:rsid w:val="00FB2AEB"/>
    <w:rsid w:val="00FC4AE0"/>
    <w:rsid w:val="00FC5256"/>
    <w:rsid w:val="00FC627A"/>
    <w:rsid w:val="00FD2D1F"/>
    <w:rsid w:val="00FD309E"/>
    <w:rsid w:val="00FD36AB"/>
    <w:rsid w:val="00FD5558"/>
    <w:rsid w:val="00FE172F"/>
    <w:rsid w:val="00FE7EB9"/>
    <w:rsid w:val="00FF1A7B"/>
    <w:rsid w:val="00FF219B"/>
    <w:rsid w:val="00FF2990"/>
    <w:rsid w:val="00FF66F3"/>
    <w:rsid w:val="01163F09"/>
    <w:rsid w:val="013D6897"/>
    <w:rsid w:val="016E5AC3"/>
    <w:rsid w:val="01783E1B"/>
    <w:rsid w:val="01B51551"/>
    <w:rsid w:val="01E939F5"/>
    <w:rsid w:val="020F0983"/>
    <w:rsid w:val="021C1BEC"/>
    <w:rsid w:val="022B2796"/>
    <w:rsid w:val="027B43B5"/>
    <w:rsid w:val="028963E5"/>
    <w:rsid w:val="02AA7EA9"/>
    <w:rsid w:val="02F018E1"/>
    <w:rsid w:val="03807B6B"/>
    <w:rsid w:val="038223F8"/>
    <w:rsid w:val="0385502A"/>
    <w:rsid w:val="03A74959"/>
    <w:rsid w:val="040532D9"/>
    <w:rsid w:val="04234DB4"/>
    <w:rsid w:val="042677FA"/>
    <w:rsid w:val="04756A03"/>
    <w:rsid w:val="04B621C4"/>
    <w:rsid w:val="04C91FF9"/>
    <w:rsid w:val="04CB61A0"/>
    <w:rsid w:val="04F11C4A"/>
    <w:rsid w:val="053F444B"/>
    <w:rsid w:val="0549003C"/>
    <w:rsid w:val="05502122"/>
    <w:rsid w:val="058A5DDE"/>
    <w:rsid w:val="059A4532"/>
    <w:rsid w:val="05CC0100"/>
    <w:rsid w:val="061666AE"/>
    <w:rsid w:val="06356A08"/>
    <w:rsid w:val="0645436B"/>
    <w:rsid w:val="065B1A48"/>
    <w:rsid w:val="068273B7"/>
    <w:rsid w:val="07256B46"/>
    <w:rsid w:val="075C2A1E"/>
    <w:rsid w:val="0764573E"/>
    <w:rsid w:val="076D45AB"/>
    <w:rsid w:val="077C3D08"/>
    <w:rsid w:val="08126C2D"/>
    <w:rsid w:val="08672CA4"/>
    <w:rsid w:val="08D514B0"/>
    <w:rsid w:val="08E7159D"/>
    <w:rsid w:val="08F942A5"/>
    <w:rsid w:val="0990085C"/>
    <w:rsid w:val="09E621C6"/>
    <w:rsid w:val="09E70619"/>
    <w:rsid w:val="0A067409"/>
    <w:rsid w:val="0AA96DE3"/>
    <w:rsid w:val="0AAC3376"/>
    <w:rsid w:val="0AAC77E5"/>
    <w:rsid w:val="0AB96D5F"/>
    <w:rsid w:val="0ADC4BC7"/>
    <w:rsid w:val="0AF7745A"/>
    <w:rsid w:val="0B006424"/>
    <w:rsid w:val="0B273D4D"/>
    <w:rsid w:val="0B4F0947"/>
    <w:rsid w:val="0B6B4913"/>
    <w:rsid w:val="0BC63322"/>
    <w:rsid w:val="0BFE7310"/>
    <w:rsid w:val="0C0E2AC3"/>
    <w:rsid w:val="0C2112DA"/>
    <w:rsid w:val="0C3058EF"/>
    <w:rsid w:val="0C98671B"/>
    <w:rsid w:val="0D131A3F"/>
    <w:rsid w:val="0E262E50"/>
    <w:rsid w:val="0E825B93"/>
    <w:rsid w:val="0EB164FB"/>
    <w:rsid w:val="0EB350F8"/>
    <w:rsid w:val="0ED56DC0"/>
    <w:rsid w:val="0F177077"/>
    <w:rsid w:val="0F3678EE"/>
    <w:rsid w:val="0FCD0434"/>
    <w:rsid w:val="101F17B2"/>
    <w:rsid w:val="107C1D29"/>
    <w:rsid w:val="10B17A32"/>
    <w:rsid w:val="111A51C2"/>
    <w:rsid w:val="112065C1"/>
    <w:rsid w:val="117568D6"/>
    <w:rsid w:val="119E7C51"/>
    <w:rsid w:val="11B94E2C"/>
    <w:rsid w:val="120960FE"/>
    <w:rsid w:val="12565844"/>
    <w:rsid w:val="12D44130"/>
    <w:rsid w:val="12FF0653"/>
    <w:rsid w:val="13966E64"/>
    <w:rsid w:val="139D0DFF"/>
    <w:rsid w:val="13A31D5D"/>
    <w:rsid w:val="13A911CB"/>
    <w:rsid w:val="13DF77D1"/>
    <w:rsid w:val="13E91193"/>
    <w:rsid w:val="13EB4F75"/>
    <w:rsid w:val="14146BDB"/>
    <w:rsid w:val="141A3CE7"/>
    <w:rsid w:val="14D665DC"/>
    <w:rsid w:val="14DE6F5B"/>
    <w:rsid w:val="150B35C6"/>
    <w:rsid w:val="15121860"/>
    <w:rsid w:val="15140CE4"/>
    <w:rsid w:val="151A4019"/>
    <w:rsid w:val="155C5F2C"/>
    <w:rsid w:val="15B97BE7"/>
    <w:rsid w:val="15CA1C8E"/>
    <w:rsid w:val="1617684C"/>
    <w:rsid w:val="16190E91"/>
    <w:rsid w:val="16481999"/>
    <w:rsid w:val="16873011"/>
    <w:rsid w:val="168D3A3C"/>
    <w:rsid w:val="16C020F7"/>
    <w:rsid w:val="16FB34FB"/>
    <w:rsid w:val="171369E4"/>
    <w:rsid w:val="177A408F"/>
    <w:rsid w:val="179622B8"/>
    <w:rsid w:val="17B2713D"/>
    <w:rsid w:val="17E8344F"/>
    <w:rsid w:val="17F41664"/>
    <w:rsid w:val="17FE73B0"/>
    <w:rsid w:val="1813572F"/>
    <w:rsid w:val="181C093D"/>
    <w:rsid w:val="18363EE3"/>
    <w:rsid w:val="186F6F1C"/>
    <w:rsid w:val="18B06616"/>
    <w:rsid w:val="1905609D"/>
    <w:rsid w:val="191B78EE"/>
    <w:rsid w:val="198A485E"/>
    <w:rsid w:val="19B4308D"/>
    <w:rsid w:val="1A1A09B3"/>
    <w:rsid w:val="1A270042"/>
    <w:rsid w:val="1A9875D7"/>
    <w:rsid w:val="1B140E36"/>
    <w:rsid w:val="1B210453"/>
    <w:rsid w:val="1B2F16C1"/>
    <w:rsid w:val="1B5B2535"/>
    <w:rsid w:val="1B623922"/>
    <w:rsid w:val="1B8C2265"/>
    <w:rsid w:val="1BC11999"/>
    <w:rsid w:val="1BFC761A"/>
    <w:rsid w:val="1C63589C"/>
    <w:rsid w:val="1C645087"/>
    <w:rsid w:val="1C97269B"/>
    <w:rsid w:val="1CC65631"/>
    <w:rsid w:val="1CCD7272"/>
    <w:rsid w:val="1CD21F8E"/>
    <w:rsid w:val="1CD54D9E"/>
    <w:rsid w:val="1CFC7154"/>
    <w:rsid w:val="1D4A3355"/>
    <w:rsid w:val="1DBE5C4E"/>
    <w:rsid w:val="1DC276E1"/>
    <w:rsid w:val="1DFD2502"/>
    <w:rsid w:val="1E1146FB"/>
    <w:rsid w:val="1E546DC8"/>
    <w:rsid w:val="1E731769"/>
    <w:rsid w:val="1E7B1235"/>
    <w:rsid w:val="1E8B3604"/>
    <w:rsid w:val="1EA35DAE"/>
    <w:rsid w:val="1EC70302"/>
    <w:rsid w:val="1ED35C11"/>
    <w:rsid w:val="1F342F52"/>
    <w:rsid w:val="1F511DCC"/>
    <w:rsid w:val="1F982177"/>
    <w:rsid w:val="1FA43E79"/>
    <w:rsid w:val="20060617"/>
    <w:rsid w:val="203579B8"/>
    <w:rsid w:val="20647A65"/>
    <w:rsid w:val="20B14A94"/>
    <w:rsid w:val="20C17C9D"/>
    <w:rsid w:val="20C2462D"/>
    <w:rsid w:val="211F65F4"/>
    <w:rsid w:val="21233B6B"/>
    <w:rsid w:val="212406EB"/>
    <w:rsid w:val="21C202F1"/>
    <w:rsid w:val="21EB7F78"/>
    <w:rsid w:val="22030351"/>
    <w:rsid w:val="22FC05E9"/>
    <w:rsid w:val="232829E1"/>
    <w:rsid w:val="23373C78"/>
    <w:rsid w:val="235F028B"/>
    <w:rsid w:val="23822FD3"/>
    <w:rsid w:val="23CF61CA"/>
    <w:rsid w:val="24620AB5"/>
    <w:rsid w:val="24B21E56"/>
    <w:rsid w:val="24BE7CE5"/>
    <w:rsid w:val="24C21649"/>
    <w:rsid w:val="24E44ECD"/>
    <w:rsid w:val="259B7ED0"/>
    <w:rsid w:val="26310EB8"/>
    <w:rsid w:val="26976060"/>
    <w:rsid w:val="269E5C8B"/>
    <w:rsid w:val="26C10953"/>
    <w:rsid w:val="26F82DB7"/>
    <w:rsid w:val="27303F23"/>
    <w:rsid w:val="27903BB8"/>
    <w:rsid w:val="27905511"/>
    <w:rsid w:val="279D1F2F"/>
    <w:rsid w:val="27CA5F2E"/>
    <w:rsid w:val="27F87E7D"/>
    <w:rsid w:val="285D0CF2"/>
    <w:rsid w:val="28B16480"/>
    <w:rsid w:val="28FF1B90"/>
    <w:rsid w:val="29681858"/>
    <w:rsid w:val="29C015DB"/>
    <w:rsid w:val="29C858F5"/>
    <w:rsid w:val="2A3971D0"/>
    <w:rsid w:val="2A3F19C6"/>
    <w:rsid w:val="2AA94798"/>
    <w:rsid w:val="2B0F5088"/>
    <w:rsid w:val="2BA153E2"/>
    <w:rsid w:val="2BC5112A"/>
    <w:rsid w:val="2BD172EB"/>
    <w:rsid w:val="2BF11098"/>
    <w:rsid w:val="2C2345E5"/>
    <w:rsid w:val="2C2C73FB"/>
    <w:rsid w:val="2C3D42B0"/>
    <w:rsid w:val="2C4E328B"/>
    <w:rsid w:val="2D0C3D92"/>
    <w:rsid w:val="2D58519B"/>
    <w:rsid w:val="2D7E06DF"/>
    <w:rsid w:val="2D991010"/>
    <w:rsid w:val="2DE67FB7"/>
    <w:rsid w:val="2DFA01E3"/>
    <w:rsid w:val="2E3B045E"/>
    <w:rsid w:val="2E42458E"/>
    <w:rsid w:val="2E802636"/>
    <w:rsid w:val="2EA1658E"/>
    <w:rsid w:val="2F352355"/>
    <w:rsid w:val="2F85684C"/>
    <w:rsid w:val="2FB96CD8"/>
    <w:rsid w:val="2FBA61A2"/>
    <w:rsid w:val="30501373"/>
    <w:rsid w:val="306504EB"/>
    <w:rsid w:val="310A2C1E"/>
    <w:rsid w:val="31547598"/>
    <w:rsid w:val="316834C5"/>
    <w:rsid w:val="31832FA6"/>
    <w:rsid w:val="31D369B0"/>
    <w:rsid w:val="31E47772"/>
    <w:rsid w:val="32205200"/>
    <w:rsid w:val="33047B95"/>
    <w:rsid w:val="332835E2"/>
    <w:rsid w:val="333117BE"/>
    <w:rsid w:val="3350706D"/>
    <w:rsid w:val="33616B73"/>
    <w:rsid w:val="33751A7B"/>
    <w:rsid w:val="33AE0FCF"/>
    <w:rsid w:val="33BD0CC4"/>
    <w:rsid w:val="34607B41"/>
    <w:rsid w:val="34706612"/>
    <w:rsid w:val="347A1D58"/>
    <w:rsid w:val="34E07E2B"/>
    <w:rsid w:val="350706A5"/>
    <w:rsid w:val="35313A32"/>
    <w:rsid w:val="359C66EC"/>
    <w:rsid w:val="35FA4088"/>
    <w:rsid w:val="362D231C"/>
    <w:rsid w:val="369831A4"/>
    <w:rsid w:val="36A04C6E"/>
    <w:rsid w:val="36B24DD7"/>
    <w:rsid w:val="36C620AF"/>
    <w:rsid w:val="36F43DC8"/>
    <w:rsid w:val="36F8239C"/>
    <w:rsid w:val="37864304"/>
    <w:rsid w:val="378C375E"/>
    <w:rsid w:val="37AC37B4"/>
    <w:rsid w:val="37CB0013"/>
    <w:rsid w:val="386C12AB"/>
    <w:rsid w:val="38993B5E"/>
    <w:rsid w:val="38CC1D4A"/>
    <w:rsid w:val="39641F82"/>
    <w:rsid w:val="39790F23"/>
    <w:rsid w:val="39827A96"/>
    <w:rsid w:val="3993576F"/>
    <w:rsid w:val="39EA1DFE"/>
    <w:rsid w:val="39FF46BF"/>
    <w:rsid w:val="3A38119B"/>
    <w:rsid w:val="3A641774"/>
    <w:rsid w:val="3A6916B4"/>
    <w:rsid w:val="3A6D4E6F"/>
    <w:rsid w:val="3A8007C3"/>
    <w:rsid w:val="3A810B52"/>
    <w:rsid w:val="3AAB5F5D"/>
    <w:rsid w:val="3B583D69"/>
    <w:rsid w:val="3B800BCA"/>
    <w:rsid w:val="3BA76821"/>
    <w:rsid w:val="3BB476C5"/>
    <w:rsid w:val="3BBE06A9"/>
    <w:rsid w:val="3BCE0055"/>
    <w:rsid w:val="3BE254AA"/>
    <w:rsid w:val="3C573BA6"/>
    <w:rsid w:val="3C5A08B3"/>
    <w:rsid w:val="3C8E6C5C"/>
    <w:rsid w:val="3C9A11D3"/>
    <w:rsid w:val="3CAC3F0A"/>
    <w:rsid w:val="3D4E52C1"/>
    <w:rsid w:val="3D661436"/>
    <w:rsid w:val="3D6A1FEC"/>
    <w:rsid w:val="3DA94408"/>
    <w:rsid w:val="3DB73B4A"/>
    <w:rsid w:val="3DE25D07"/>
    <w:rsid w:val="3E0914D8"/>
    <w:rsid w:val="3E2717D1"/>
    <w:rsid w:val="3E374750"/>
    <w:rsid w:val="3E897EC8"/>
    <w:rsid w:val="3EB77D64"/>
    <w:rsid w:val="3F3003B9"/>
    <w:rsid w:val="3F5A63FA"/>
    <w:rsid w:val="3F81091F"/>
    <w:rsid w:val="3FC46331"/>
    <w:rsid w:val="3FCA6BA4"/>
    <w:rsid w:val="3FF526EE"/>
    <w:rsid w:val="40125D15"/>
    <w:rsid w:val="4054692E"/>
    <w:rsid w:val="406B5DCA"/>
    <w:rsid w:val="409049B2"/>
    <w:rsid w:val="40AB4C84"/>
    <w:rsid w:val="40E65224"/>
    <w:rsid w:val="40EB32E1"/>
    <w:rsid w:val="4138620D"/>
    <w:rsid w:val="415F2327"/>
    <w:rsid w:val="419844BE"/>
    <w:rsid w:val="4198504E"/>
    <w:rsid w:val="41CE4A7E"/>
    <w:rsid w:val="424B6579"/>
    <w:rsid w:val="424D0A23"/>
    <w:rsid w:val="42575DC2"/>
    <w:rsid w:val="42770D75"/>
    <w:rsid w:val="428062B8"/>
    <w:rsid w:val="428E2B11"/>
    <w:rsid w:val="433D6994"/>
    <w:rsid w:val="43597E18"/>
    <w:rsid w:val="435E0AA1"/>
    <w:rsid w:val="439C6B32"/>
    <w:rsid w:val="4413737D"/>
    <w:rsid w:val="441773B5"/>
    <w:rsid w:val="446C72DD"/>
    <w:rsid w:val="447A3C76"/>
    <w:rsid w:val="448009E4"/>
    <w:rsid w:val="44A61BF1"/>
    <w:rsid w:val="450D2E4C"/>
    <w:rsid w:val="454033AE"/>
    <w:rsid w:val="454B08AF"/>
    <w:rsid w:val="45665FA3"/>
    <w:rsid w:val="45954894"/>
    <w:rsid w:val="45E55DAC"/>
    <w:rsid w:val="46134B53"/>
    <w:rsid w:val="461E35B4"/>
    <w:rsid w:val="464A40DA"/>
    <w:rsid w:val="466F658D"/>
    <w:rsid w:val="46935115"/>
    <w:rsid w:val="46AB0ADE"/>
    <w:rsid w:val="46CC2604"/>
    <w:rsid w:val="46D22C08"/>
    <w:rsid w:val="470F6157"/>
    <w:rsid w:val="471377D7"/>
    <w:rsid w:val="474E269B"/>
    <w:rsid w:val="47B00A53"/>
    <w:rsid w:val="47BA4882"/>
    <w:rsid w:val="47ED5C63"/>
    <w:rsid w:val="4832600E"/>
    <w:rsid w:val="48C94013"/>
    <w:rsid w:val="49490789"/>
    <w:rsid w:val="496D014C"/>
    <w:rsid w:val="4AA25113"/>
    <w:rsid w:val="4AE60948"/>
    <w:rsid w:val="4AEF7C75"/>
    <w:rsid w:val="4AF35359"/>
    <w:rsid w:val="4B7424AE"/>
    <w:rsid w:val="4B837C53"/>
    <w:rsid w:val="4BB718FA"/>
    <w:rsid w:val="4BBF5B71"/>
    <w:rsid w:val="4D550B53"/>
    <w:rsid w:val="4DB4365A"/>
    <w:rsid w:val="4DDD3D9C"/>
    <w:rsid w:val="4DE12CE4"/>
    <w:rsid w:val="4DFE60AA"/>
    <w:rsid w:val="4E2C3CD3"/>
    <w:rsid w:val="4E973DAA"/>
    <w:rsid w:val="4F1D5C18"/>
    <w:rsid w:val="4F3A1265"/>
    <w:rsid w:val="4F3B6001"/>
    <w:rsid w:val="4F4269AD"/>
    <w:rsid w:val="4F545884"/>
    <w:rsid w:val="4FC84D1C"/>
    <w:rsid w:val="4FCF6C36"/>
    <w:rsid w:val="50066E7A"/>
    <w:rsid w:val="502620FC"/>
    <w:rsid w:val="502B6AE0"/>
    <w:rsid w:val="505446A7"/>
    <w:rsid w:val="505E29DF"/>
    <w:rsid w:val="508319DB"/>
    <w:rsid w:val="509B22D6"/>
    <w:rsid w:val="51275EB8"/>
    <w:rsid w:val="51276C15"/>
    <w:rsid w:val="513016AF"/>
    <w:rsid w:val="5188202E"/>
    <w:rsid w:val="51890C24"/>
    <w:rsid w:val="518F1C38"/>
    <w:rsid w:val="51AA70F6"/>
    <w:rsid w:val="51D202CD"/>
    <w:rsid w:val="520976F9"/>
    <w:rsid w:val="528278EA"/>
    <w:rsid w:val="529715C4"/>
    <w:rsid w:val="529E1D35"/>
    <w:rsid w:val="52D55FEB"/>
    <w:rsid w:val="52E2653A"/>
    <w:rsid w:val="52E55B14"/>
    <w:rsid w:val="53520823"/>
    <w:rsid w:val="536A3F07"/>
    <w:rsid w:val="539B6ECB"/>
    <w:rsid w:val="53AB5AC3"/>
    <w:rsid w:val="53EB5322"/>
    <w:rsid w:val="541B6396"/>
    <w:rsid w:val="545C1EC6"/>
    <w:rsid w:val="54C16083"/>
    <w:rsid w:val="54E80D82"/>
    <w:rsid w:val="550013B9"/>
    <w:rsid w:val="55681B35"/>
    <w:rsid w:val="55C40645"/>
    <w:rsid w:val="55D06363"/>
    <w:rsid w:val="55E43DDE"/>
    <w:rsid w:val="55F44906"/>
    <w:rsid w:val="560820AE"/>
    <w:rsid w:val="56161513"/>
    <w:rsid w:val="5621658F"/>
    <w:rsid w:val="56261658"/>
    <w:rsid w:val="56A17838"/>
    <w:rsid w:val="573403AD"/>
    <w:rsid w:val="578F06BB"/>
    <w:rsid w:val="57B41D67"/>
    <w:rsid w:val="58293125"/>
    <w:rsid w:val="58593D35"/>
    <w:rsid w:val="58C82DE8"/>
    <w:rsid w:val="58D02B7F"/>
    <w:rsid w:val="591536E4"/>
    <w:rsid w:val="592A0E7B"/>
    <w:rsid w:val="598E6860"/>
    <w:rsid w:val="59AF0F96"/>
    <w:rsid w:val="59C95643"/>
    <w:rsid w:val="59E04611"/>
    <w:rsid w:val="5A037FB6"/>
    <w:rsid w:val="5A083C93"/>
    <w:rsid w:val="5A29196E"/>
    <w:rsid w:val="5A433DEA"/>
    <w:rsid w:val="5A5A6855"/>
    <w:rsid w:val="5A996945"/>
    <w:rsid w:val="5B212DAE"/>
    <w:rsid w:val="5B337C01"/>
    <w:rsid w:val="5B4B45B5"/>
    <w:rsid w:val="5BD644BE"/>
    <w:rsid w:val="5CEC43B9"/>
    <w:rsid w:val="5CF03F35"/>
    <w:rsid w:val="5D725030"/>
    <w:rsid w:val="5DBE5856"/>
    <w:rsid w:val="5E7C4A58"/>
    <w:rsid w:val="5E8409E9"/>
    <w:rsid w:val="5F0F0E92"/>
    <w:rsid w:val="5FC41711"/>
    <w:rsid w:val="5FD3169C"/>
    <w:rsid w:val="60285208"/>
    <w:rsid w:val="606E1DA0"/>
    <w:rsid w:val="60AC5559"/>
    <w:rsid w:val="60C2565D"/>
    <w:rsid w:val="60EB66A3"/>
    <w:rsid w:val="60FB1A20"/>
    <w:rsid w:val="60FD6D9F"/>
    <w:rsid w:val="61590B95"/>
    <w:rsid w:val="615B3AF3"/>
    <w:rsid w:val="616A653D"/>
    <w:rsid w:val="622425B4"/>
    <w:rsid w:val="623E6DE5"/>
    <w:rsid w:val="625B481F"/>
    <w:rsid w:val="62784D82"/>
    <w:rsid w:val="629866DF"/>
    <w:rsid w:val="62A274F4"/>
    <w:rsid w:val="62AD6E92"/>
    <w:rsid w:val="62AF2DC5"/>
    <w:rsid w:val="62CD6EB7"/>
    <w:rsid w:val="633869C1"/>
    <w:rsid w:val="63D05CE1"/>
    <w:rsid w:val="64123E30"/>
    <w:rsid w:val="649338BD"/>
    <w:rsid w:val="650F3F99"/>
    <w:rsid w:val="658D47A8"/>
    <w:rsid w:val="65CD71EA"/>
    <w:rsid w:val="65CF467C"/>
    <w:rsid w:val="65E3145A"/>
    <w:rsid w:val="661B348A"/>
    <w:rsid w:val="6626207A"/>
    <w:rsid w:val="6709468A"/>
    <w:rsid w:val="670C5E0A"/>
    <w:rsid w:val="6710036A"/>
    <w:rsid w:val="672644BC"/>
    <w:rsid w:val="67993EA1"/>
    <w:rsid w:val="67ED6F02"/>
    <w:rsid w:val="67F22E52"/>
    <w:rsid w:val="689E731C"/>
    <w:rsid w:val="68ED588F"/>
    <w:rsid w:val="695B2013"/>
    <w:rsid w:val="69794D5D"/>
    <w:rsid w:val="69A45580"/>
    <w:rsid w:val="69CC421A"/>
    <w:rsid w:val="69F43A10"/>
    <w:rsid w:val="6A4B0B0D"/>
    <w:rsid w:val="6A6212EC"/>
    <w:rsid w:val="6A7B2C26"/>
    <w:rsid w:val="6A7E7D09"/>
    <w:rsid w:val="6AC55556"/>
    <w:rsid w:val="6B2331E9"/>
    <w:rsid w:val="6B67752D"/>
    <w:rsid w:val="6B6B19DF"/>
    <w:rsid w:val="6B8E5EB4"/>
    <w:rsid w:val="6C11630E"/>
    <w:rsid w:val="6C200679"/>
    <w:rsid w:val="6CB16493"/>
    <w:rsid w:val="6CCA406A"/>
    <w:rsid w:val="6D18699C"/>
    <w:rsid w:val="6D411968"/>
    <w:rsid w:val="6DBF408D"/>
    <w:rsid w:val="6DE077FE"/>
    <w:rsid w:val="6DE07946"/>
    <w:rsid w:val="6E0D0088"/>
    <w:rsid w:val="6E141577"/>
    <w:rsid w:val="6E517915"/>
    <w:rsid w:val="6F5C2BC4"/>
    <w:rsid w:val="6F84629A"/>
    <w:rsid w:val="6F961664"/>
    <w:rsid w:val="6FA538DE"/>
    <w:rsid w:val="6FCC37B9"/>
    <w:rsid w:val="70322A9E"/>
    <w:rsid w:val="70441BEA"/>
    <w:rsid w:val="704C6CF1"/>
    <w:rsid w:val="7071620C"/>
    <w:rsid w:val="708D3384"/>
    <w:rsid w:val="70901FAF"/>
    <w:rsid w:val="709B644A"/>
    <w:rsid w:val="709C3FA6"/>
    <w:rsid w:val="70A10812"/>
    <w:rsid w:val="70BB0631"/>
    <w:rsid w:val="70D70506"/>
    <w:rsid w:val="716C0D93"/>
    <w:rsid w:val="71732021"/>
    <w:rsid w:val="71D201B0"/>
    <w:rsid w:val="71D241D7"/>
    <w:rsid w:val="72172EF7"/>
    <w:rsid w:val="722C24FD"/>
    <w:rsid w:val="72724975"/>
    <w:rsid w:val="73152279"/>
    <w:rsid w:val="738B7FEE"/>
    <w:rsid w:val="738D7260"/>
    <w:rsid w:val="73A016D5"/>
    <w:rsid w:val="73AC7F2D"/>
    <w:rsid w:val="73D61EF2"/>
    <w:rsid w:val="73E51E8F"/>
    <w:rsid w:val="74B176EC"/>
    <w:rsid w:val="74BE0605"/>
    <w:rsid w:val="74CE680E"/>
    <w:rsid w:val="74EA63D1"/>
    <w:rsid w:val="7537265D"/>
    <w:rsid w:val="755F2B4C"/>
    <w:rsid w:val="75904E0B"/>
    <w:rsid w:val="759941F3"/>
    <w:rsid w:val="75BF2713"/>
    <w:rsid w:val="75CB1ED9"/>
    <w:rsid w:val="75D55536"/>
    <w:rsid w:val="76100F2F"/>
    <w:rsid w:val="76127451"/>
    <w:rsid w:val="768310B6"/>
    <w:rsid w:val="76A227F6"/>
    <w:rsid w:val="76AC7B4F"/>
    <w:rsid w:val="77613307"/>
    <w:rsid w:val="777E0929"/>
    <w:rsid w:val="77CE0A6A"/>
    <w:rsid w:val="77F10DBC"/>
    <w:rsid w:val="785A1C0A"/>
    <w:rsid w:val="7892370F"/>
    <w:rsid w:val="78D3290A"/>
    <w:rsid w:val="79205111"/>
    <w:rsid w:val="79473C4F"/>
    <w:rsid w:val="79A73421"/>
    <w:rsid w:val="79AB13EE"/>
    <w:rsid w:val="79C75B9F"/>
    <w:rsid w:val="7A542EF4"/>
    <w:rsid w:val="7A957206"/>
    <w:rsid w:val="7A962761"/>
    <w:rsid w:val="7B0556E1"/>
    <w:rsid w:val="7B0F58D2"/>
    <w:rsid w:val="7B130F00"/>
    <w:rsid w:val="7B9634B2"/>
    <w:rsid w:val="7BB6764F"/>
    <w:rsid w:val="7BC00363"/>
    <w:rsid w:val="7C3A400B"/>
    <w:rsid w:val="7C596114"/>
    <w:rsid w:val="7C9F15B4"/>
    <w:rsid w:val="7CAD6B24"/>
    <w:rsid w:val="7CB31958"/>
    <w:rsid w:val="7CEE19A0"/>
    <w:rsid w:val="7DF468AA"/>
    <w:rsid w:val="7E197CE3"/>
    <w:rsid w:val="7E2418FC"/>
    <w:rsid w:val="7E330CFC"/>
    <w:rsid w:val="7E75471F"/>
    <w:rsid w:val="7E885398"/>
    <w:rsid w:val="7ECC0783"/>
    <w:rsid w:val="7EDA0F1A"/>
    <w:rsid w:val="7EF86334"/>
    <w:rsid w:val="7F8F4FA7"/>
    <w:rsid w:val="7FA53F8C"/>
    <w:rsid w:val="7FD86690"/>
    <w:rsid w:val="7FDD7A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120" w:beforeLines="0" w:after="120" w:afterLines="0"/>
      <w:jc w:val="left"/>
      <w:outlineLvl w:val="2"/>
    </w:pPr>
    <w:rPr>
      <w:b/>
      <w:bCs/>
      <w:sz w:val="24"/>
      <w:szCs w:val="32"/>
    </w:rPr>
  </w:style>
  <w:style w:type="paragraph" w:styleId="5">
    <w:name w:val="heading 4"/>
    <w:basedOn w:val="1"/>
    <w:next w:val="1"/>
    <w:qFormat/>
    <w:uiPriority w:val="9"/>
    <w:pPr>
      <w:outlineLvl w:val="3"/>
    </w:pPr>
    <w:rPr>
      <w:rFonts w:ascii="Times New Roman" w:hAnsi="Times New Roman"/>
      <w:b/>
      <w:iCs/>
      <w:sz w:val="28"/>
      <w:szCs w:val="24"/>
    </w:rPr>
  </w:style>
  <w:style w:type="character" w:default="1" w:styleId="32">
    <w:name w:val="Default Paragraph Font"/>
    <w:uiPriority w:val="0"/>
  </w:style>
  <w:style w:type="table" w:default="1" w:styleId="30">
    <w:name w:val="Normal Table"/>
    <w:semiHidden/>
    <w:uiPriority w:val="0"/>
    <w:tblPr>
      <w:tblStyle w:val="30"/>
      <w:tblCellMar>
        <w:top w:w="0" w:type="dxa"/>
        <w:left w:w="108" w:type="dxa"/>
        <w:bottom w:w="0" w:type="dxa"/>
        <w:right w:w="108" w:type="dxa"/>
      </w:tblCellMar>
    </w:tblPr>
  </w:style>
  <w:style w:type="paragraph" w:styleId="6">
    <w:name w:val="List Number"/>
    <w:basedOn w:val="1"/>
    <w:uiPriority w:val="0"/>
    <w:pPr>
      <w:numPr>
        <w:ilvl w:val="0"/>
        <w:numId w:val="1"/>
      </w:numPr>
      <w:contextualSpacing/>
    </w:pPr>
  </w:style>
  <w:style w:type="paragraph" w:styleId="7">
    <w:name w:val="Normal Indent"/>
    <w:basedOn w:val="1"/>
    <w:next w:val="8"/>
    <w:link w:val="38"/>
    <w:uiPriority w:val="0"/>
    <w:pPr>
      <w:ind w:firstLine="420"/>
    </w:pPr>
    <w:rPr>
      <w:szCs w:val="20"/>
    </w:rPr>
  </w:style>
  <w:style w:type="paragraph" w:styleId="8">
    <w:name w:val="Body Text Indent"/>
    <w:basedOn w:val="1"/>
    <w:next w:val="9"/>
    <w:uiPriority w:val="0"/>
    <w:pPr>
      <w:spacing w:after="120" w:afterLines="0"/>
      <w:ind w:left="420" w:leftChars="200"/>
    </w:pPr>
  </w:style>
  <w:style w:type="paragraph" w:styleId="9">
    <w:name w:val="Body Text First Indent 2"/>
    <w:basedOn w:val="8"/>
    <w:qFormat/>
    <w:uiPriority w:val="0"/>
    <w:pPr>
      <w:spacing w:after="120" w:line="240" w:lineRule="auto"/>
      <w:ind w:left="420" w:leftChars="200" w:firstLine="420"/>
    </w:pPr>
    <w:rPr>
      <w:shd w:val="clear" w:color="auto" w:fill="auto"/>
    </w:rPr>
  </w:style>
  <w:style w:type="paragraph" w:styleId="10">
    <w:name w:val="Document Map"/>
    <w:basedOn w:val="1"/>
    <w:uiPriority w:val="0"/>
    <w:pPr>
      <w:shd w:val="clear" w:color="auto" w:fill="000080"/>
    </w:pPr>
    <w:rPr>
      <w:sz w:val="24"/>
    </w:rPr>
  </w:style>
  <w:style w:type="paragraph" w:styleId="11">
    <w:name w:val="annotation text"/>
    <w:basedOn w:val="1"/>
    <w:link w:val="39"/>
    <w:uiPriority w:val="0"/>
    <w:pPr>
      <w:jc w:val="left"/>
    </w:pPr>
    <w:rPr>
      <w:sz w:val="24"/>
    </w:rPr>
  </w:style>
  <w:style w:type="paragraph" w:styleId="12">
    <w:name w:val="Body Text 3"/>
    <w:basedOn w:val="1"/>
    <w:uiPriority w:val="0"/>
    <w:pPr>
      <w:autoSpaceDE w:val="0"/>
      <w:autoSpaceDN w:val="0"/>
      <w:spacing w:line="360" w:lineRule="auto"/>
    </w:pPr>
    <w:rPr>
      <w:sz w:val="24"/>
      <w:szCs w:val="21"/>
    </w:rPr>
  </w:style>
  <w:style w:type="paragraph" w:styleId="13">
    <w:name w:val="Body Text"/>
    <w:basedOn w:val="1"/>
    <w:next w:val="1"/>
    <w:link w:val="40"/>
    <w:uiPriority w:val="0"/>
    <w:rPr>
      <w:sz w:val="24"/>
    </w:rPr>
  </w:style>
  <w:style w:type="paragraph" w:styleId="14">
    <w:name w:val="List 2"/>
    <w:basedOn w:val="1"/>
    <w:uiPriority w:val="0"/>
    <w:pPr>
      <w:widowControl/>
      <w:ind w:left="100" w:leftChars="200" w:hanging="200" w:hangingChars="200"/>
    </w:pPr>
    <w:rPr>
      <w:szCs w:val="20"/>
      <w:lang/>
    </w:rPr>
  </w:style>
  <w:style w:type="paragraph" w:styleId="15">
    <w:name w:val="Plain Text"/>
    <w:basedOn w:val="1"/>
    <w:next w:val="1"/>
    <w:link w:val="41"/>
    <w:qFormat/>
    <w:uiPriority w:val="99"/>
    <w:rPr>
      <w:rFonts w:ascii="宋体" w:hAnsi="Courier New"/>
      <w:szCs w:val="20"/>
    </w:rPr>
  </w:style>
  <w:style w:type="paragraph" w:styleId="16">
    <w:name w:val="Date"/>
    <w:basedOn w:val="1"/>
    <w:next w:val="1"/>
    <w:uiPriority w:val="0"/>
    <w:pPr>
      <w:ind w:left="100" w:leftChars="2500"/>
    </w:pPr>
    <w:rPr>
      <w:sz w:val="24"/>
    </w:rPr>
  </w:style>
  <w:style w:type="paragraph" w:styleId="17">
    <w:name w:val="Body Text Indent 2"/>
    <w:basedOn w:val="1"/>
    <w:uiPriority w:val="0"/>
    <w:pPr>
      <w:spacing w:after="120" w:afterLines="0" w:line="480" w:lineRule="auto"/>
      <w:ind w:left="420" w:leftChars="200"/>
    </w:pPr>
  </w:style>
  <w:style w:type="paragraph" w:styleId="18">
    <w:name w:val="Balloon Text"/>
    <w:basedOn w:val="1"/>
    <w:link w:val="42"/>
    <w:uiPriority w:val="0"/>
    <w:rPr>
      <w:sz w:val="18"/>
      <w:szCs w:val="18"/>
    </w:rPr>
  </w:style>
  <w:style w:type="paragraph" w:styleId="19">
    <w:name w:val="footer"/>
    <w:basedOn w:val="1"/>
    <w:link w:val="43"/>
    <w:uiPriority w:val="0"/>
    <w:pPr>
      <w:tabs>
        <w:tab w:val="center" w:pos="4153"/>
        <w:tab w:val="right" w:pos="8306"/>
      </w:tabs>
      <w:snapToGrid w:val="0"/>
      <w:jc w:val="left"/>
    </w:pPr>
    <w:rPr>
      <w:sz w:val="18"/>
      <w:szCs w:val="18"/>
    </w:rPr>
  </w:style>
  <w:style w:type="paragraph" w:styleId="20">
    <w:name w:val="header"/>
    <w:basedOn w:val="1"/>
    <w:link w:val="44"/>
    <w:uiPriority w:val="0"/>
    <w:pPr>
      <w:pBdr>
        <w:bottom w:val="single" w:color="auto" w:sz="6" w:space="1"/>
      </w:pBdr>
      <w:tabs>
        <w:tab w:val="center" w:pos="4153"/>
        <w:tab w:val="right" w:pos="8306"/>
      </w:tabs>
      <w:snapToGrid w:val="0"/>
      <w:jc w:val="center"/>
    </w:pPr>
    <w:rPr>
      <w:szCs w:val="20"/>
    </w:rPr>
  </w:style>
  <w:style w:type="paragraph" w:styleId="21">
    <w:name w:val="toc 1"/>
    <w:basedOn w:val="1"/>
    <w:next w:val="1"/>
    <w:uiPriority w:val="0"/>
    <w:pPr>
      <w:tabs>
        <w:tab w:val="right" w:leader="dot" w:pos="9344"/>
      </w:tabs>
      <w:spacing w:line="360" w:lineRule="auto"/>
    </w:pPr>
    <w:rPr>
      <w:sz w:val="24"/>
    </w:rPr>
  </w:style>
  <w:style w:type="paragraph" w:styleId="22">
    <w:name w:val="toc 4"/>
    <w:basedOn w:val="1"/>
    <w:next w:val="1"/>
    <w:qFormat/>
    <w:uiPriority w:val="0"/>
    <w:pPr>
      <w:ind w:left="1260"/>
    </w:pPr>
    <w:rPr>
      <w:kern w:val="1"/>
    </w:rPr>
  </w:style>
  <w:style w:type="paragraph" w:styleId="23">
    <w:name w:val="List"/>
    <w:basedOn w:val="1"/>
    <w:uiPriority w:val="0"/>
    <w:pPr>
      <w:widowControl/>
      <w:ind w:left="200" w:hanging="200" w:hangingChars="200"/>
    </w:pPr>
    <w:rPr>
      <w:szCs w:val="20"/>
      <w:lang/>
    </w:rPr>
  </w:style>
  <w:style w:type="paragraph" w:styleId="24">
    <w:name w:val="toc 6"/>
    <w:basedOn w:val="1"/>
    <w:next w:val="1"/>
    <w:qFormat/>
    <w:uiPriority w:val="0"/>
    <w:pPr>
      <w:ind w:left="1050"/>
      <w:jc w:val="left"/>
    </w:pPr>
    <w:rPr>
      <w:rFonts w:ascii="仿宋_GB2312" w:eastAsia="仿宋_GB2312"/>
      <w:sz w:val="18"/>
      <w:szCs w:val="18"/>
    </w:rPr>
  </w:style>
  <w:style w:type="paragraph" w:styleId="25">
    <w:name w:val="Body Text Indent 3"/>
    <w:basedOn w:val="1"/>
    <w:uiPriority w:val="0"/>
    <w:pPr>
      <w:spacing w:after="120" w:afterLines="0"/>
      <w:ind w:left="420" w:leftChars="200"/>
    </w:pPr>
    <w:rPr>
      <w:sz w:val="16"/>
      <w:szCs w:val="16"/>
    </w:rPr>
  </w:style>
  <w:style w:type="paragraph" w:styleId="26">
    <w:name w:val="Body Text 2"/>
    <w:basedOn w:val="1"/>
    <w:uiPriority w:val="0"/>
    <w:pPr>
      <w:spacing w:after="120" w:afterLines="0" w:line="480" w:lineRule="auto"/>
    </w:pPr>
  </w:style>
  <w:style w:type="paragraph" w:styleId="27">
    <w:name w:val="Normal (Web)"/>
    <w:basedOn w:val="1"/>
    <w:uiPriority w:val="99"/>
    <w:pPr>
      <w:widowControl/>
      <w:spacing w:before="100" w:beforeLines="0" w:beforeAutospacing="1" w:after="100" w:afterLines="0" w:afterAutospacing="1"/>
      <w:jc w:val="left"/>
    </w:pPr>
    <w:rPr>
      <w:rFonts w:ascii="宋体" w:hAnsi="宋体"/>
      <w:color w:val="000000"/>
      <w:kern w:val="0"/>
      <w:sz w:val="24"/>
    </w:rPr>
  </w:style>
  <w:style w:type="paragraph" w:styleId="28">
    <w:name w:val="annotation subject"/>
    <w:basedOn w:val="11"/>
    <w:next w:val="11"/>
    <w:link w:val="45"/>
    <w:uiPriority w:val="0"/>
    <w:rPr>
      <w:b/>
      <w:bCs/>
    </w:rPr>
  </w:style>
  <w:style w:type="paragraph" w:styleId="29">
    <w:name w:val="Body Text First Indent"/>
    <w:basedOn w:val="13"/>
    <w:next w:val="24"/>
    <w:link w:val="46"/>
    <w:uiPriority w:val="0"/>
    <w:pPr>
      <w:spacing w:after="120"/>
      <w:ind w:firstLine="420" w:firstLineChars="100"/>
    </w:pPr>
    <w:rPr>
      <w:sz w:val="21"/>
    </w:rPr>
  </w:style>
  <w:style w:type="table" w:styleId="31">
    <w:name w:val="Table Grid"/>
    <w:basedOn w:val="30"/>
    <w:uiPriority w:val="0"/>
    <w:pPr>
      <w:widowControl w:val="0"/>
      <w:jc w:val="both"/>
    </w:p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uiPriority w:val="0"/>
  </w:style>
  <w:style w:type="character" w:styleId="35">
    <w:name w:val="FollowedHyperlink"/>
    <w:uiPriority w:val="0"/>
    <w:rPr>
      <w:color w:val="800080"/>
      <w:u w:val="single"/>
    </w:rPr>
  </w:style>
  <w:style w:type="character" w:styleId="36">
    <w:name w:val="Hyperlink"/>
    <w:uiPriority w:val="0"/>
    <w:rPr>
      <w:color w:val="0000FF"/>
      <w:u w:val="single"/>
    </w:rPr>
  </w:style>
  <w:style w:type="character" w:styleId="37">
    <w:name w:val="annotation reference"/>
    <w:uiPriority w:val="0"/>
    <w:rPr>
      <w:sz w:val="21"/>
      <w:szCs w:val="21"/>
    </w:rPr>
  </w:style>
  <w:style w:type="character" w:customStyle="1" w:styleId="38">
    <w:name w:val="正文缩进 字符"/>
    <w:link w:val="7"/>
    <w:uiPriority w:val="0"/>
    <w:rPr>
      <w:kern w:val="2"/>
      <w:sz w:val="21"/>
    </w:rPr>
  </w:style>
  <w:style w:type="character" w:customStyle="1" w:styleId="39">
    <w:name w:val="批注文字 字符"/>
    <w:link w:val="11"/>
    <w:uiPriority w:val="0"/>
    <w:rPr>
      <w:rFonts w:eastAsia="宋体"/>
      <w:kern w:val="2"/>
      <w:sz w:val="24"/>
      <w:szCs w:val="24"/>
      <w:lang w:bidi="ar-SA"/>
    </w:rPr>
  </w:style>
  <w:style w:type="character" w:customStyle="1" w:styleId="40">
    <w:name w:val="正文文本 字符"/>
    <w:link w:val="13"/>
    <w:uiPriority w:val="0"/>
    <w:rPr>
      <w:kern w:val="2"/>
      <w:sz w:val="24"/>
      <w:szCs w:val="24"/>
    </w:rPr>
  </w:style>
  <w:style w:type="character" w:customStyle="1" w:styleId="41">
    <w:name w:val="纯文本 字符"/>
    <w:link w:val="15"/>
    <w:qFormat/>
    <w:uiPriority w:val="99"/>
    <w:rPr>
      <w:rFonts w:ascii="宋体" w:hAnsi="Courier New" w:eastAsia="宋体"/>
      <w:kern w:val="2"/>
      <w:sz w:val="21"/>
      <w:lang w:val="en-US" w:eastAsia="zh-CN" w:bidi="ar-SA"/>
    </w:rPr>
  </w:style>
  <w:style w:type="character" w:customStyle="1" w:styleId="42">
    <w:name w:val="批注框文本 字符"/>
    <w:link w:val="18"/>
    <w:uiPriority w:val="0"/>
    <w:rPr>
      <w:rFonts w:eastAsia="宋体"/>
      <w:kern w:val="2"/>
      <w:sz w:val="18"/>
      <w:szCs w:val="18"/>
      <w:lang w:bidi="ar-SA"/>
    </w:rPr>
  </w:style>
  <w:style w:type="character" w:customStyle="1" w:styleId="43">
    <w:name w:val="页脚 字符"/>
    <w:link w:val="19"/>
    <w:uiPriority w:val="0"/>
    <w:rPr>
      <w:rFonts w:eastAsia="宋体"/>
      <w:kern w:val="2"/>
      <w:sz w:val="18"/>
      <w:szCs w:val="18"/>
      <w:lang w:val="en-US" w:eastAsia="zh-CN" w:bidi="ar-SA"/>
    </w:rPr>
  </w:style>
  <w:style w:type="character" w:customStyle="1" w:styleId="44">
    <w:name w:val="页眉 字符"/>
    <w:link w:val="20"/>
    <w:uiPriority w:val="0"/>
    <w:rPr>
      <w:rFonts w:eastAsia="宋体"/>
      <w:kern w:val="2"/>
      <w:sz w:val="21"/>
      <w:lang w:val="en-US" w:eastAsia="zh-CN" w:bidi="ar-SA"/>
    </w:rPr>
  </w:style>
  <w:style w:type="character" w:customStyle="1" w:styleId="45">
    <w:name w:val="批注主题 字符"/>
    <w:link w:val="28"/>
    <w:uiPriority w:val="0"/>
    <w:rPr>
      <w:rFonts w:eastAsia="宋体"/>
      <w:b/>
      <w:bCs/>
      <w:kern w:val="2"/>
      <w:sz w:val="24"/>
      <w:szCs w:val="24"/>
      <w:lang w:bidi="ar-SA"/>
    </w:rPr>
  </w:style>
  <w:style w:type="character" w:customStyle="1" w:styleId="46">
    <w:name w:val="正文文本首行缩进 字符"/>
    <w:link w:val="29"/>
    <w:uiPriority w:val="0"/>
  </w:style>
  <w:style w:type="paragraph" w:customStyle="1" w:styleId="47">
    <w:name w:val="一级条标题"/>
    <w:basedOn w:val="48"/>
    <w:next w:val="49"/>
    <w:unhideWhenUsed/>
    <w:qFormat/>
    <w:uiPriority w:val="0"/>
    <w:pPr>
      <w:spacing w:line="240" w:lineRule="auto"/>
      <w:ind w:left="420"/>
      <w:outlineLvl w:val="2"/>
    </w:pPr>
    <w:rPr>
      <w:rFonts w:hint="eastAsia"/>
      <w:sz w:val="21"/>
    </w:rPr>
  </w:style>
  <w:style w:type="paragraph" w:customStyle="1" w:styleId="48">
    <w:name w:val="章标题"/>
    <w:basedOn w:val="1"/>
    <w:next w:val="1"/>
    <w:uiPriority w:val="0"/>
    <w:pPr>
      <w:widowControl/>
      <w:spacing w:before="158" w:beforeLines="0" w:after="153" w:afterLines="0" w:line="969" w:lineRule="atLeast"/>
      <w:jc w:val="center"/>
      <w:textAlignment w:val="baseline"/>
    </w:pPr>
    <w:rPr>
      <w:rFonts w:ascii="Arial" w:eastAsia="黑体"/>
      <w:color w:val="000000"/>
      <w:kern w:val="0"/>
      <w:sz w:val="31"/>
      <w:szCs w:val="20"/>
      <w:u w:val="none" w:color="000000"/>
    </w:rPr>
  </w:style>
  <w:style w:type="paragraph" w:customStyle="1" w:styleId="49">
    <w:name w:val="段"/>
    <w:next w:val="1"/>
    <w:unhideWhenUsed/>
    <w:qFormat/>
    <w:uiPriority w:val="0"/>
    <w:pPr>
      <w:autoSpaceDE w:val="0"/>
      <w:autoSpaceDN w:val="0"/>
      <w:ind w:firstLine="200" w:firstLineChars="200"/>
      <w:jc w:val="both"/>
    </w:pPr>
    <w:rPr>
      <w:rFonts w:ascii="宋体"/>
      <w:sz w:val="21"/>
      <w:lang w:val="en-US" w:eastAsia="zh-CN" w:bidi="ar-SA"/>
    </w:rPr>
  </w:style>
  <w:style w:type="paragraph" w:customStyle="1" w:styleId="50">
    <w:name w:val="首行缩进"/>
    <w:basedOn w:val="1"/>
    <w:qFormat/>
    <w:uiPriority w:val="0"/>
    <w:pPr>
      <w:spacing w:line="360" w:lineRule="auto"/>
      <w:ind w:firstLine="480" w:firstLineChars="200"/>
    </w:pPr>
    <w:rPr>
      <w:sz w:val="24"/>
      <w:lang w:val="zh-CN"/>
    </w:rPr>
  </w:style>
  <w:style w:type="paragraph" w:styleId="51">
    <w:name w:val="List Paragraph"/>
    <w:basedOn w:val="1"/>
    <w:qFormat/>
    <w:uiPriority w:val="0"/>
    <w:pPr>
      <w:widowControl/>
      <w:overflowPunct w:val="0"/>
      <w:autoSpaceDE w:val="0"/>
      <w:autoSpaceDN w:val="0"/>
      <w:adjustRightInd w:val="0"/>
      <w:ind w:firstLine="420" w:firstLineChars="200"/>
      <w:jc w:val="left"/>
      <w:textAlignment w:val="baseline"/>
    </w:pPr>
    <w:rPr>
      <w:rFonts w:eastAsia="MingLiU"/>
      <w:kern w:val="0"/>
      <w:sz w:val="24"/>
      <w:szCs w:val="20"/>
      <w:lang w:eastAsia="zh-TW"/>
    </w:rPr>
  </w:style>
  <w:style w:type="character" w:customStyle="1" w:styleId="52">
    <w:name w:val="zbggmain style9"/>
    <w:uiPriority w:val="0"/>
  </w:style>
  <w:style w:type="character" w:customStyle="1" w:styleId="53">
    <w:name w:val="content"/>
    <w:uiPriority w:val="0"/>
  </w:style>
  <w:style w:type="character" w:customStyle="1" w:styleId="54">
    <w:name w:val="标题 2 Char Char"/>
    <w:uiPriority w:val="0"/>
    <w:rPr>
      <w:rFonts w:ascii="Arial" w:hAnsi="Arial" w:eastAsia="黑体"/>
      <w:b/>
      <w:bCs/>
      <w:kern w:val="2"/>
      <w:sz w:val="32"/>
      <w:szCs w:val="32"/>
    </w:rPr>
  </w:style>
  <w:style w:type="character" w:customStyle="1" w:styleId="55">
    <w:name w:val="h Char Char"/>
    <w:semiHidden/>
    <w:uiPriority w:val="0"/>
    <w:rPr>
      <w:rFonts w:eastAsia="宋体"/>
      <w:kern w:val="2"/>
      <w:sz w:val="18"/>
      <w:szCs w:val="18"/>
      <w:lang w:val="en-US" w:eastAsia="zh-CN" w:bidi="ar-SA"/>
    </w:rPr>
  </w:style>
  <w:style w:type="character" w:customStyle="1" w:styleId="56">
    <w:name w:val="font41"/>
    <w:uiPriority w:val="0"/>
    <w:rPr>
      <w:rFonts w:hint="eastAsia" w:ascii="宋体" w:hAnsi="宋体" w:eastAsia="宋体" w:cs="宋体"/>
      <w:color w:val="000000"/>
      <w:sz w:val="24"/>
      <w:szCs w:val="24"/>
      <w:u w:val="none"/>
    </w:rPr>
  </w:style>
  <w:style w:type="character" w:customStyle="1" w:styleId="57">
    <w:name w:val="Char Char2"/>
    <w:uiPriority w:val="0"/>
    <w:rPr>
      <w:rFonts w:ascii="宋体" w:hAnsi="Courier New" w:eastAsia="宋体"/>
      <w:kern w:val="2"/>
      <w:sz w:val="21"/>
      <w:lang w:val="en-US" w:eastAsia="zh-CN" w:bidi="ar-SA"/>
    </w:rPr>
  </w:style>
  <w:style w:type="character" w:customStyle="1" w:styleId="58">
    <w:name w:val="apple-style-span"/>
    <w:uiPriority w:val="0"/>
  </w:style>
  <w:style w:type="character" w:customStyle="1" w:styleId="59">
    <w:name w:val="纯文本 Char Char Char Char Char Char Char Char Char Char"/>
    <w:aliases w:val="纯文本 Char Char Char Char Char Char Char Char Char C Char,纯文本 Char Char Char Char Char Char Char Char Char Char Char Char,纯文本 Char Char Char Char Char Char Char Char Char1"/>
    <w:uiPriority w:val="0"/>
    <w:rPr>
      <w:rFonts w:ascii="宋体" w:hAnsi="Courier New" w:eastAsia="宋体"/>
      <w:sz w:val="21"/>
      <w:szCs w:val="21"/>
      <w:lang w:val="en-US" w:eastAsia="zh-CN" w:bidi="ar-SA"/>
    </w:rPr>
  </w:style>
  <w:style w:type="character" w:customStyle="1" w:styleId="60">
    <w:name w:val="zjaf121"/>
    <w:uiPriority w:val="0"/>
    <w:rPr>
      <w:rFonts w:hint="default" w:ascii="zjaf" w:hAnsi="zjaf"/>
      <w:sz w:val="20"/>
    </w:rPr>
  </w:style>
  <w:style w:type="character" w:customStyle="1" w:styleId="61">
    <w:name w:val=" Char Char6"/>
    <w:uiPriority w:val="0"/>
    <w:rPr>
      <w:rFonts w:eastAsia="宋体"/>
      <w:kern w:val="2"/>
      <w:sz w:val="18"/>
      <w:szCs w:val="18"/>
      <w:lang w:val="en-US" w:eastAsia="zh-CN" w:bidi="ar-SA"/>
    </w:rPr>
  </w:style>
  <w:style w:type="character" w:customStyle="1" w:styleId="62">
    <w:name w:val="无间隔 字符"/>
    <w:link w:val="63"/>
    <w:uiPriority w:val="0"/>
    <w:rPr>
      <w:sz w:val="22"/>
      <w:szCs w:val="22"/>
      <w:lang w:val="en-US" w:eastAsia="zh-CN" w:bidi="ar-SA"/>
    </w:rPr>
  </w:style>
  <w:style w:type="paragraph" w:styleId="63">
    <w:name w:val="No Spacing"/>
    <w:link w:val="62"/>
    <w:qFormat/>
    <w:uiPriority w:val="0"/>
    <w:rPr>
      <w:sz w:val="22"/>
      <w:szCs w:val="22"/>
      <w:lang w:val="en-US" w:eastAsia="zh-CN" w:bidi="ar-SA"/>
    </w:rPr>
  </w:style>
  <w:style w:type="character" w:customStyle="1" w:styleId="64">
    <w:name w:val="font71"/>
    <w:uiPriority w:val="0"/>
    <w:rPr>
      <w:rFonts w:hint="eastAsia" w:ascii="宋体" w:hAnsi="宋体" w:eastAsia="宋体" w:cs="宋体"/>
      <w:color w:val="000000"/>
      <w:sz w:val="24"/>
      <w:szCs w:val="24"/>
      <w:u w:val="none"/>
    </w:rPr>
  </w:style>
  <w:style w:type="character" w:customStyle="1" w:styleId="65">
    <w:name w:val="普通文字 Char Char2"/>
    <w:aliases w:val="纯文本 Char Char Char1,普通文字 Char Char Char1,Texte Char,普通文字 Char1,普通文字 Char Char Char Char1,普通文字 Char Char Char Char Char1,纯文本 Char Char Char Char Char Char Char Char Char Char1,纯文本 Char Char Char Char Char Char Char Char Char C Char2"/>
    <w:uiPriority w:val="0"/>
    <w:rPr>
      <w:rFonts w:ascii="宋体" w:hAnsi="Courier New" w:eastAsia="宋体"/>
      <w:kern w:val="2"/>
      <w:sz w:val="21"/>
      <w:lang w:val="en-US" w:eastAsia="zh-CN" w:bidi="ar-SA"/>
    </w:rPr>
  </w:style>
  <w:style w:type="character" w:customStyle="1" w:styleId="66">
    <w:name w:val="font61"/>
    <w:uiPriority w:val="0"/>
    <w:rPr>
      <w:rFonts w:hint="default" w:ascii="Times New Roman" w:hAnsi="Times New Roman" w:cs="Times New Roman"/>
      <w:color w:val="000000"/>
      <w:sz w:val="24"/>
      <w:szCs w:val="24"/>
      <w:u w:val="none"/>
    </w:rPr>
  </w:style>
  <w:style w:type="paragraph" w:customStyle="1" w:styleId="67">
    <w:name w:val="样式 宋体 首行缩进:  0.87 厘米"/>
    <w:basedOn w:val="1"/>
    <w:uiPriority w:val="0"/>
    <w:pPr>
      <w:spacing w:line="480" w:lineRule="exact"/>
      <w:ind w:firstLine="493"/>
    </w:pPr>
    <w:rPr>
      <w:rFonts w:ascii="宋体" w:hAnsi="宋体" w:cs="宋体"/>
      <w:spacing w:val="6"/>
      <w:sz w:val="24"/>
    </w:rPr>
  </w:style>
  <w:style w:type="paragraph" w:customStyle="1" w:styleId="68">
    <w:name w:val="xl103"/>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69">
    <w:name w:val="4"/>
    <w:basedOn w:val="1"/>
    <w:next w:val="15"/>
    <w:uiPriority w:val="0"/>
    <w:rPr>
      <w:rFonts w:ascii="宋体" w:hAnsi="Courier New"/>
      <w:szCs w:val="20"/>
    </w:rPr>
  </w:style>
  <w:style w:type="paragraph" w:customStyle="1" w:styleId="70">
    <w:name w:val="xl7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71">
    <w:name w:val="xl10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72">
    <w:name w:val="_Style 9"/>
    <w:basedOn w:val="1"/>
    <w:uiPriority w:val="0"/>
  </w:style>
  <w:style w:type="paragraph" w:customStyle="1" w:styleId="73">
    <w:name w:val="xl129"/>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74">
    <w:name w:val="xl91"/>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75">
    <w:name w:val="xl8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76">
    <w:name w:val="font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7">
    <w:name w:val="font21"/>
    <w:basedOn w:val="1"/>
    <w:uiPriority w:val="0"/>
    <w:pPr>
      <w:widowControl/>
      <w:spacing w:before="100" w:beforeLines="0" w:beforeAutospacing="1" w:after="100" w:afterLines="0" w:afterAutospacing="1"/>
      <w:jc w:val="left"/>
    </w:pPr>
    <w:rPr>
      <w:rFonts w:ascii="宋体" w:hAnsi="宋体" w:cs="宋体"/>
      <w:b/>
      <w:bCs/>
      <w:kern w:val="0"/>
      <w:sz w:val="20"/>
      <w:szCs w:val="20"/>
    </w:rPr>
  </w:style>
  <w:style w:type="paragraph" w:customStyle="1" w:styleId="78">
    <w:name w:val="xl13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79">
    <w:name w:val="font12"/>
    <w:basedOn w:val="1"/>
    <w:uiPriority w:val="0"/>
    <w:pPr>
      <w:widowControl/>
      <w:spacing w:before="100" w:beforeLines="0" w:beforeAutospacing="1" w:after="100" w:afterLines="0" w:afterAutospacing="1"/>
      <w:jc w:val="left"/>
    </w:pPr>
    <w:rPr>
      <w:rFonts w:ascii="楷体_GB2312" w:hAnsi="宋体" w:eastAsia="楷体_GB2312" w:cs="宋体"/>
      <w:b/>
      <w:bCs/>
      <w:kern w:val="0"/>
      <w:sz w:val="40"/>
      <w:szCs w:val="40"/>
    </w:rPr>
  </w:style>
  <w:style w:type="paragraph" w:customStyle="1" w:styleId="80">
    <w:name w:val="xl168"/>
    <w:basedOn w:val="1"/>
    <w:uiPriority w:val="0"/>
    <w:pPr>
      <w:widowControl/>
      <w:pBdr>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40"/>
      <w:szCs w:val="40"/>
    </w:rPr>
  </w:style>
  <w:style w:type="paragraph" w:customStyle="1" w:styleId="81">
    <w:name w:val="xl119"/>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82">
    <w:name w:val="xl112"/>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83">
    <w:name w:val="_Style 14"/>
    <w:basedOn w:val="10"/>
    <w:uiPriority w:val="0"/>
  </w:style>
  <w:style w:type="paragraph" w:customStyle="1" w:styleId="84">
    <w:name w:val=" Char Char3 Char Char"/>
    <w:basedOn w:val="10"/>
    <w:uiPriority w:val="0"/>
    <w:rPr>
      <w:rFonts w:ascii="Tahoma" w:hAnsi="Tahoma"/>
    </w:rPr>
  </w:style>
  <w:style w:type="paragraph" w:customStyle="1" w:styleId="85">
    <w:name w:val="xl144"/>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86">
    <w:name w:val="xl8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87">
    <w:name w:val="标题 7 New"/>
    <w:basedOn w:val="1"/>
    <w:next w:val="1"/>
    <w:uiPriority w:val="0"/>
    <w:pPr>
      <w:keepNext/>
      <w:keepLines/>
      <w:widowControl/>
      <w:tabs>
        <w:tab w:val="left" w:pos="2520"/>
      </w:tabs>
      <w:spacing w:before="240" w:beforeLines="0" w:after="64" w:afterLines="0" w:line="317" w:lineRule="auto"/>
      <w:ind w:left="1296" w:hanging="1296"/>
      <w:jc w:val="left"/>
      <w:outlineLvl w:val="6"/>
    </w:pPr>
    <w:rPr>
      <w:b/>
      <w:kern w:val="0"/>
      <w:sz w:val="24"/>
      <w:szCs w:val="20"/>
    </w:rPr>
  </w:style>
  <w:style w:type="paragraph" w:customStyle="1" w:styleId="88">
    <w:name w:val="xl71"/>
    <w:basedOn w:val="1"/>
    <w:uiPriority w:val="0"/>
    <w:pPr>
      <w:widowControl/>
      <w:shd w:val="clear" w:color="auto" w:fill="FFFFFF"/>
      <w:spacing w:before="100" w:beforeLines="0" w:beforeAutospacing="1" w:after="100" w:afterLines="0" w:afterAutospacing="1"/>
      <w:jc w:val="center"/>
      <w:textAlignment w:val="center"/>
    </w:pPr>
    <w:rPr>
      <w:kern w:val="0"/>
      <w:sz w:val="22"/>
      <w:szCs w:val="22"/>
    </w:rPr>
  </w:style>
  <w:style w:type="paragraph" w:customStyle="1" w:styleId="89">
    <w:name w:val="xl143"/>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90">
    <w:name w:val="xl13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20"/>
      <w:szCs w:val="20"/>
    </w:rPr>
  </w:style>
  <w:style w:type="paragraph" w:customStyle="1" w:styleId="91">
    <w:name w:val="节标题"/>
    <w:basedOn w:val="1"/>
    <w:next w:val="1"/>
    <w:uiPriority w:val="0"/>
    <w:pPr>
      <w:widowControl/>
      <w:spacing w:line="867" w:lineRule="atLeast"/>
      <w:jc w:val="center"/>
      <w:textAlignment w:val="baseline"/>
    </w:pPr>
    <w:rPr>
      <w:color w:val="000000"/>
      <w:kern w:val="0"/>
      <w:sz w:val="28"/>
      <w:szCs w:val="20"/>
      <w:u w:val="none" w:color="000000"/>
    </w:rPr>
  </w:style>
  <w:style w:type="paragraph" w:customStyle="1" w:styleId="92">
    <w:name w:val="xl111"/>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93">
    <w:name w:val=" Char Char Char"/>
    <w:basedOn w:val="1"/>
    <w:uiPriority w:val="0"/>
    <w:rPr>
      <w:rFonts w:ascii="Tahoma" w:hAnsi="Tahoma"/>
      <w:sz w:val="24"/>
      <w:szCs w:val="20"/>
    </w:rPr>
  </w:style>
  <w:style w:type="paragraph" w:customStyle="1" w:styleId="94">
    <w:name w:val="p17"/>
    <w:basedOn w:val="1"/>
    <w:uiPriority w:val="0"/>
    <w:pPr>
      <w:widowControl/>
      <w:spacing w:before="156" w:beforeLines="0" w:line="360" w:lineRule="auto"/>
      <w:ind w:firstLine="420"/>
    </w:pPr>
    <w:rPr>
      <w:kern w:val="0"/>
      <w:sz w:val="24"/>
    </w:rPr>
  </w:style>
  <w:style w:type="paragraph" w:customStyle="1" w:styleId="95">
    <w:name w:val="xl167"/>
    <w:basedOn w:val="1"/>
    <w:uiPriority w:val="0"/>
    <w:pPr>
      <w:widowControl/>
      <w:pBdr>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36"/>
      <w:szCs w:val="36"/>
    </w:rPr>
  </w:style>
  <w:style w:type="paragraph" w:customStyle="1" w:styleId="96">
    <w:name w:val="xl131"/>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97">
    <w:name w:val="xl14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98">
    <w:name w:val="xl133"/>
    <w:basedOn w:val="1"/>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99">
    <w:name w:val="xl8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100">
    <w:name w:val="font14"/>
    <w:basedOn w:val="1"/>
    <w:uiPriority w:val="0"/>
    <w:pPr>
      <w:widowControl/>
      <w:spacing w:before="100" w:beforeLines="0" w:beforeAutospacing="1" w:after="100" w:afterLines="0" w:afterAutospacing="1"/>
      <w:jc w:val="left"/>
    </w:pPr>
    <w:rPr>
      <w:kern w:val="0"/>
      <w:sz w:val="20"/>
      <w:szCs w:val="20"/>
    </w:rPr>
  </w:style>
  <w:style w:type="paragraph" w:customStyle="1" w:styleId="101">
    <w:name w:val="main"/>
    <w:basedOn w:val="1"/>
    <w:uiPriority w:val="0"/>
    <w:pPr>
      <w:widowControl/>
      <w:spacing w:before="100" w:beforeLines="0" w:beforeAutospacing="1" w:after="100" w:afterLines="0" w:afterAutospacing="1" w:line="368" w:lineRule="atLeast"/>
      <w:jc w:val="left"/>
    </w:pPr>
    <w:rPr>
      <w:rFonts w:ascii="宋体" w:hAnsi="宋体" w:cs="宋体"/>
      <w:kern w:val="0"/>
      <w:sz w:val="24"/>
    </w:rPr>
  </w:style>
  <w:style w:type="paragraph" w:customStyle="1" w:styleId="102">
    <w:name w:val="xl16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kern w:val="0"/>
      <w:sz w:val="22"/>
      <w:szCs w:val="22"/>
    </w:rPr>
  </w:style>
  <w:style w:type="paragraph" w:customStyle="1" w:styleId="103">
    <w:name w:val="xl15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4"/>
    </w:rPr>
  </w:style>
  <w:style w:type="paragraph" w:customStyle="1" w:styleId="104">
    <w:name w:val="_Style 7"/>
    <w:basedOn w:val="1"/>
    <w:uiPriority w:val="0"/>
  </w:style>
  <w:style w:type="paragraph" w:customStyle="1" w:styleId="105">
    <w:name w:val="样式 正文（首行缩进两字） + 宋体 首行缩进:  0 字符"/>
    <w:basedOn w:val="7"/>
    <w:uiPriority w:val="0"/>
    <w:pPr>
      <w:spacing w:line="460" w:lineRule="exact"/>
      <w:ind w:firstLine="0"/>
    </w:pPr>
    <w:rPr>
      <w:rFonts w:ascii="宋体" w:hAnsi="宋体" w:cs="宋体"/>
      <w:spacing w:val="6"/>
      <w:kern w:val="24"/>
      <w:sz w:val="24"/>
      <w:szCs w:val="24"/>
    </w:rPr>
  </w:style>
  <w:style w:type="paragraph" w:customStyle="1" w:styleId="106">
    <w:name w:val="xl127"/>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07">
    <w:name w:val="font10"/>
    <w:basedOn w:val="1"/>
    <w:uiPriority w:val="0"/>
    <w:pPr>
      <w:widowControl/>
      <w:spacing w:before="100" w:beforeLines="0" w:beforeAutospacing="1" w:after="100" w:afterLines="0" w:afterAutospacing="1"/>
      <w:jc w:val="left"/>
    </w:pPr>
    <w:rPr>
      <w:rFonts w:ascii="宋体" w:hAnsi="宋体" w:cs="宋体"/>
      <w:b/>
      <w:bCs/>
      <w:kern w:val="0"/>
      <w:sz w:val="24"/>
    </w:rPr>
  </w:style>
  <w:style w:type="paragraph" w:customStyle="1" w:styleId="108">
    <w:name w:val="xl92"/>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09">
    <w:name w:val=" Char Char Char1 Char Char Char Char Char Char1 Char"/>
    <w:basedOn w:val="1"/>
    <w:uiPriority w:val="0"/>
    <w:rPr>
      <w:szCs w:val="20"/>
    </w:rPr>
  </w:style>
  <w:style w:type="paragraph" w:customStyle="1" w:styleId="110">
    <w:name w:val="xl114"/>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11">
    <w:name w:val="xl149"/>
    <w:basedOn w:val="1"/>
    <w:uiPriority w:val="0"/>
    <w:pPr>
      <w:widowControl/>
      <w:spacing w:before="100" w:beforeLines="0" w:beforeAutospacing="1" w:after="100" w:afterLines="0" w:afterAutospacing="1"/>
      <w:jc w:val="center"/>
    </w:pPr>
    <w:rPr>
      <w:rFonts w:ascii="宋体" w:hAnsi="宋体" w:cs="宋体"/>
      <w:color w:val="FF0000"/>
      <w:kern w:val="0"/>
      <w:sz w:val="24"/>
    </w:rPr>
  </w:style>
  <w:style w:type="paragraph" w:customStyle="1" w:styleId="112">
    <w:name w:val="xl7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13">
    <w:name w:val="xl115"/>
    <w:basedOn w:val="1"/>
    <w:uiPriority w:val="0"/>
    <w:pPr>
      <w:widowControl/>
      <w:shd w:val="clear" w:color="auto" w:fill="FFFFFF"/>
      <w:spacing w:before="100" w:beforeLines="0" w:beforeAutospacing="1" w:after="100" w:afterLines="0" w:afterAutospacing="1"/>
      <w:jc w:val="center"/>
      <w:textAlignment w:val="center"/>
    </w:pPr>
    <w:rPr>
      <w:kern w:val="0"/>
      <w:sz w:val="24"/>
    </w:rPr>
  </w:style>
  <w:style w:type="paragraph" w:customStyle="1" w:styleId="114">
    <w:name w:val="xl123"/>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left"/>
      <w:textAlignment w:val="center"/>
    </w:pPr>
    <w:rPr>
      <w:rFonts w:ascii="Arial Narrow" w:hAnsi="Arial Narrow" w:cs="宋体"/>
      <w:kern w:val="0"/>
      <w:sz w:val="20"/>
      <w:szCs w:val="20"/>
    </w:rPr>
  </w:style>
  <w:style w:type="paragraph" w:customStyle="1" w:styleId="115">
    <w:name w:val="font0"/>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6">
    <w:name w:val="样式 四号 行距: 1.5 倍行距"/>
    <w:basedOn w:val="1"/>
    <w:uiPriority w:val="0"/>
    <w:rPr>
      <w:rFonts w:cs="宋体"/>
      <w:sz w:val="24"/>
      <w:szCs w:val="20"/>
    </w:rPr>
  </w:style>
  <w:style w:type="paragraph" w:customStyle="1" w:styleId="117">
    <w:name w:val="xl116"/>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18">
    <w:name w:val="Char"/>
    <w:basedOn w:val="20"/>
    <w:next w:val="20"/>
    <w:uiPriority w:val="0"/>
    <w:pPr>
      <w:snapToGrid/>
      <w:jc w:val="right"/>
    </w:pPr>
    <w:rPr>
      <w:rFonts w:ascii="宋体" w:hAnsi="宋体"/>
      <w:b/>
      <w:sz w:val="21"/>
      <w:szCs w:val="21"/>
    </w:rPr>
  </w:style>
  <w:style w:type="paragraph" w:customStyle="1" w:styleId="119">
    <w:name w:val=" Char Char Char1 Char"/>
    <w:basedOn w:val="1"/>
    <w:uiPriority w:val="0"/>
    <w:pPr>
      <w:adjustRightInd w:val="0"/>
      <w:spacing w:line="312" w:lineRule="atLeast"/>
      <w:textAlignment w:val="baseline"/>
    </w:pPr>
    <w:rPr>
      <w:kern w:val="0"/>
      <w:sz w:val="20"/>
      <w:szCs w:val="20"/>
    </w:rPr>
  </w:style>
  <w:style w:type="paragraph" w:customStyle="1" w:styleId="120">
    <w:name w:val=" Char Char Char Char1 Char Char Char Char Char Char"/>
    <w:basedOn w:val="10"/>
    <w:uiPriority w:val="0"/>
    <w:pPr>
      <w:spacing w:line="436" w:lineRule="exact"/>
    </w:pPr>
    <w:rPr>
      <w:rFonts w:ascii="Tahoma" w:hAnsi="Tahoma"/>
      <w:b/>
    </w:rPr>
  </w:style>
  <w:style w:type="paragraph" w:customStyle="1" w:styleId="121">
    <w:name w:val="font7"/>
    <w:basedOn w:val="1"/>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22">
    <w:name w:val="xl13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ˎ̥" w:hAnsi="ˎ̥" w:cs="宋体"/>
      <w:kern w:val="0"/>
      <w:sz w:val="20"/>
      <w:szCs w:val="20"/>
    </w:rPr>
  </w:style>
  <w:style w:type="paragraph" w:customStyle="1" w:styleId="123">
    <w:name w:val="xl105"/>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24">
    <w:name w:val="Plain Text"/>
    <w:basedOn w:val="1"/>
    <w:qFormat/>
    <w:uiPriority w:val="0"/>
    <w:pPr>
      <w:adjustRightInd w:val="0"/>
      <w:textAlignment w:val="baseline"/>
    </w:pPr>
    <w:rPr>
      <w:rFonts w:ascii="宋体" w:hAnsi="Courier New" w:eastAsia="楷体_GB2312"/>
      <w:sz w:val="26"/>
    </w:rPr>
  </w:style>
  <w:style w:type="paragraph" w:customStyle="1" w:styleId="125">
    <w:name w:val="xl150"/>
    <w:basedOn w:val="1"/>
    <w:uiPriority w:val="0"/>
    <w:pPr>
      <w:widowControl/>
      <w:spacing w:before="100" w:beforeLines="0" w:beforeAutospacing="1" w:after="100" w:afterLines="0" w:afterAutospacing="1"/>
      <w:jc w:val="left"/>
    </w:pPr>
    <w:rPr>
      <w:rFonts w:ascii="宋体" w:hAnsi="宋体" w:cs="宋体"/>
      <w:color w:val="FF0000"/>
      <w:kern w:val="0"/>
      <w:sz w:val="24"/>
    </w:rPr>
  </w:style>
  <w:style w:type="paragraph" w:customStyle="1" w:styleId="126">
    <w:name w:val="xl7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27">
    <w:name w:val="xl151"/>
    <w:basedOn w:val="1"/>
    <w:uiPriority w:val="0"/>
    <w:pPr>
      <w:widowControl/>
      <w:shd w:val="clear" w:color="auto" w:fill="FFFFFF"/>
      <w:spacing w:before="100" w:beforeLines="0" w:beforeAutospacing="1" w:after="100" w:afterLines="0" w:afterAutospacing="1"/>
      <w:jc w:val="left"/>
    </w:pPr>
    <w:rPr>
      <w:color w:val="FF0000"/>
      <w:kern w:val="0"/>
      <w:sz w:val="20"/>
      <w:szCs w:val="20"/>
    </w:rPr>
  </w:style>
  <w:style w:type="paragraph" w:customStyle="1" w:styleId="128">
    <w:name w:val="xl165"/>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29">
    <w:name w:val="font9"/>
    <w:basedOn w:val="1"/>
    <w:uiPriority w:val="0"/>
    <w:pPr>
      <w:widowControl/>
      <w:spacing w:before="100" w:beforeLines="0" w:beforeAutospacing="1" w:after="100" w:afterLines="0" w:afterAutospacing="1"/>
      <w:jc w:val="left"/>
    </w:pPr>
    <w:rPr>
      <w:kern w:val="0"/>
      <w:sz w:val="22"/>
      <w:szCs w:val="22"/>
    </w:rPr>
  </w:style>
  <w:style w:type="paragraph" w:customStyle="1" w:styleId="130">
    <w:name w:val="xl110"/>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131">
    <w:name w:val="xl148"/>
    <w:basedOn w:val="1"/>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132">
    <w:name w:val=" Char Char Char Char Char Char Char"/>
    <w:basedOn w:val="1"/>
    <w:uiPriority w:val="0"/>
    <w:rPr>
      <w:rFonts w:ascii="Tahoma" w:hAnsi="Tahoma"/>
      <w:sz w:val="24"/>
      <w:szCs w:val="20"/>
    </w:rPr>
  </w:style>
  <w:style w:type="paragraph" w:customStyle="1" w:styleId="133">
    <w:name w:val="xl7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34">
    <w:name w:val="xl109"/>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135">
    <w:name w:val="xl93"/>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36">
    <w:name w:val="xl107"/>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37">
    <w:name w:val="xl6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38">
    <w:name w:val="xl117"/>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39">
    <w:name w:val="xl70"/>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40">
    <w:name w:val="xl16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2"/>
      <w:szCs w:val="22"/>
    </w:rPr>
  </w:style>
  <w:style w:type="paragraph" w:customStyle="1" w:styleId="141">
    <w:name w:val="xl87"/>
    <w:basedOn w:val="1"/>
    <w:uiPriority w:val="0"/>
    <w:pPr>
      <w:widowControl/>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142">
    <w:name w:val="xl120"/>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43">
    <w:name w:val="xl8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Arial Narrow" w:hAnsi="Arial Narrow" w:cs="宋体"/>
      <w:kern w:val="0"/>
      <w:sz w:val="20"/>
      <w:szCs w:val="20"/>
    </w:rPr>
  </w:style>
  <w:style w:type="paragraph" w:customStyle="1" w:styleId="144">
    <w:name w:val=" Char Char Char Char Char Char Char Char Char"/>
    <w:basedOn w:val="1"/>
    <w:uiPriority w:val="0"/>
  </w:style>
  <w:style w:type="paragraph" w:customStyle="1" w:styleId="145">
    <w:name w:val="xl94"/>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46">
    <w:name w:val="xl13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147">
    <w:name w:val="xl125"/>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48">
    <w:name w:val="WPS Plain"/>
    <w:uiPriority w:val="0"/>
    <w:rPr>
      <w:lang w:val="en-US" w:eastAsia="zh-CN" w:bidi="ar-SA"/>
    </w:rPr>
  </w:style>
  <w:style w:type="paragraph" w:customStyle="1" w:styleId="149">
    <w:name w:val="xl108"/>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50">
    <w:name w:val="xl8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b/>
      <w:bCs/>
      <w:kern w:val="0"/>
      <w:sz w:val="20"/>
      <w:szCs w:val="20"/>
    </w:rPr>
  </w:style>
  <w:style w:type="paragraph" w:customStyle="1" w:styleId="151">
    <w:name w:val="xl142"/>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52">
    <w:name w:val="xl14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color w:val="FF0000"/>
      <w:kern w:val="0"/>
      <w:sz w:val="22"/>
      <w:szCs w:val="22"/>
    </w:rPr>
  </w:style>
  <w:style w:type="paragraph" w:customStyle="1" w:styleId="153">
    <w:name w:val=" Char"/>
    <w:basedOn w:val="1"/>
    <w:uiPriority w:val="0"/>
    <w:rPr>
      <w:szCs w:val="20"/>
    </w:rPr>
  </w:style>
  <w:style w:type="paragraph" w:customStyle="1" w:styleId="154">
    <w:name w:val="xl7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55">
    <w:name w:val="font18"/>
    <w:basedOn w:val="1"/>
    <w:uiPriority w:val="0"/>
    <w:pPr>
      <w:widowControl/>
      <w:spacing w:before="100" w:beforeLines="0" w:beforeAutospacing="1" w:after="100" w:afterLines="0" w:afterAutospacing="1"/>
      <w:jc w:val="left"/>
    </w:pPr>
    <w:rPr>
      <w:rFonts w:ascii="宋体" w:hAnsi="宋体" w:cs="宋体"/>
      <w:color w:val="FF0000"/>
      <w:kern w:val="0"/>
      <w:sz w:val="24"/>
    </w:rPr>
  </w:style>
  <w:style w:type="paragraph" w:customStyle="1" w:styleId="156">
    <w:name w:val="xl99"/>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57">
    <w:name w:val="xl15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2"/>
      <w:szCs w:val="22"/>
    </w:rPr>
  </w:style>
  <w:style w:type="paragraph" w:customStyle="1" w:styleId="158">
    <w:name w:val="正文缩进1"/>
    <w:basedOn w:val="1"/>
    <w:next w:val="8"/>
    <w:uiPriority w:val="0"/>
    <w:pPr>
      <w:autoSpaceDE w:val="0"/>
      <w:autoSpaceDN w:val="0"/>
      <w:adjustRightInd w:val="0"/>
      <w:snapToGrid w:val="0"/>
      <w:spacing w:after="120" w:afterLines="0" w:line="360" w:lineRule="auto"/>
      <w:ind w:left="420" w:leftChars="200" w:firstLine="480" w:firstLineChars="200"/>
    </w:pPr>
    <w:rPr>
      <w:sz w:val="24"/>
      <w:szCs w:val="21"/>
    </w:rPr>
  </w:style>
  <w:style w:type="paragraph" w:customStyle="1" w:styleId="159">
    <w:name w:val="xl101"/>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60">
    <w:name w:val="xl154"/>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b/>
      <w:bCs/>
      <w:kern w:val="0"/>
      <w:sz w:val="20"/>
      <w:szCs w:val="20"/>
    </w:rPr>
  </w:style>
  <w:style w:type="paragraph" w:customStyle="1" w:styleId="161">
    <w:name w:val="xl96"/>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62">
    <w:name w:val="xl8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163">
    <w:name w:val="xl145"/>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64">
    <w:name w:val="xl15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65">
    <w:name w:val="font8"/>
    <w:basedOn w:val="1"/>
    <w:uiPriority w:val="0"/>
    <w:pPr>
      <w:widowControl/>
      <w:spacing w:before="100" w:beforeLines="0" w:beforeAutospacing="1" w:after="100" w:afterLines="0" w:afterAutospacing="1"/>
      <w:jc w:val="left"/>
    </w:pPr>
    <w:rPr>
      <w:rFonts w:ascii="宋体" w:hAnsi="宋体" w:cs="宋体"/>
      <w:kern w:val="0"/>
      <w:sz w:val="22"/>
      <w:szCs w:val="22"/>
    </w:rPr>
  </w:style>
  <w:style w:type="paragraph" w:customStyle="1" w:styleId="166">
    <w:name w:val="xl166"/>
    <w:basedOn w:val="1"/>
    <w:uiPriority w:val="0"/>
    <w:pPr>
      <w:widowControl/>
      <w:pBdr>
        <w:left w:val="single" w:color="auto" w:sz="8" w:space="0"/>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36"/>
      <w:szCs w:val="36"/>
    </w:rPr>
  </w:style>
  <w:style w:type="paragraph" w:customStyle="1" w:styleId="167">
    <w:name w:val="xl10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68">
    <w:name w:val="Char Char Char"/>
    <w:basedOn w:val="1"/>
    <w:uiPriority w:val="0"/>
    <w:rPr>
      <w:rFonts w:ascii="Tahoma" w:hAnsi="Tahoma"/>
      <w:sz w:val="24"/>
      <w:szCs w:val="20"/>
    </w:rPr>
  </w:style>
  <w:style w:type="paragraph" w:customStyle="1" w:styleId="169">
    <w:name w:val="xl126"/>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70">
    <w:name w:val="xl7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71">
    <w:name w:val="纯文本2"/>
    <w:basedOn w:val="1"/>
    <w:qFormat/>
    <w:uiPriority w:val="0"/>
    <w:pPr>
      <w:adjustRightInd w:val="0"/>
      <w:textAlignment w:val="baseline"/>
    </w:pPr>
    <w:rPr>
      <w:rFonts w:ascii="宋体" w:hAnsi="Courier New" w:eastAsia="楷体_GB2312"/>
      <w:sz w:val="26"/>
    </w:rPr>
  </w:style>
  <w:style w:type="paragraph" w:customStyle="1" w:styleId="172">
    <w:name w:val="xl10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b/>
      <w:bCs/>
      <w:kern w:val="0"/>
      <w:sz w:val="22"/>
      <w:szCs w:val="22"/>
    </w:rPr>
  </w:style>
  <w:style w:type="paragraph" w:customStyle="1" w:styleId="173">
    <w:name w:val="font20"/>
    <w:basedOn w:val="1"/>
    <w:uiPriority w:val="0"/>
    <w:pPr>
      <w:widowControl/>
      <w:spacing w:before="100" w:beforeLines="0" w:beforeAutospacing="1" w:after="100" w:afterLines="0" w:afterAutospacing="1"/>
      <w:jc w:val="left"/>
    </w:pPr>
    <w:rPr>
      <w:rFonts w:ascii="宋体" w:hAnsi="宋体" w:cs="宋体"/>
      <w:b/>
      <w:bCs/>
      <w:color w:val="FF0000"/>
      <w:kern w:val="0"/>
      <w:sz w:val="20"/>
      <w:szCs w:val="20"/>
    </w:rPr>
  </w:style>
  <w:style w:type="paragraph" w:customStyle="1" w:styleId="174">
    <w:name w:val="xl6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75">
    <w:name w:val="xl132"/>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76">
    <w:name w:val="xl152"/>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ascii="宋体" w:hAnsi="宋体" w:cs="宋体"/>
      <w:b/>
      <w:bCs/>
      <w:kern w:val="0"/>
      <w:sz w:val="20"/>
      <w:szCs w:val="20"/>
    </w:rPr>
  </w:style>
  <w:style w:type="paragraph" w:customStyle="1" w:styleId="177">
    <w:name w:val="正文2"/>
    <w:basedOn w:val="1"/>
    <w:uiPriority w:val="0"/>
    <w:pPr>
      <w:spacing w:before="156" w:line="360" w:lineRule="auto"/>
      <w:ind w:firstLine="510" w:firstLineChars="200"/>
    </w:pPr>
    <w:rPr>
      <w:sz w:val="24"/>
      <w:szCs w:val="20"/>
    </w:rPr>
  </w:style>
  <w:style w:type="paragraph" w:customStyle="1" w:styleId="178">
    <w:name w:val="Default"/>
    <w:next w:val="179"/>
    <w:uiPriority w:val="0"/>
    <w:pPr>
      <w:widowControl w:val="0"/>
      <w:autoSpaceDE w:val="0"/>
      <w:autoSpaceDN w:val="0"/>
      <w:adjustRightInd w:val="0"/>
    </w:pPr>
    <w:rPr>
      <w:rFonts w:ascii="Arial" w:hAnsi="Arial" w:cs="Arial"/>
      <w:color w:val="000000"/>
      <w:sz w:val="24"/>
      <w:szCs w:val="24"/>
      <w:lang w:val="en-US" w:eastAsia="zh-CN" w:bidi="ar-SA"/>
    </w:rPr>
  </w:style>
  <w:style w:type="paragraph" w:customStyle="1" w:styleId="179">
    <w:name w:val="toc 71"/>
    <w:next w:val="1"/>
    <w:qFormat/>
    <w:uiPriority w:val="0"/>
    <w:pPr>
      <w:wordWrap w:val="0"/>
      <w:ind w:left="2550"/>
      <w:jc w:val="both"/>
    </w:pPr>
    <w:rPr>
      <w:sz w:val="21"/>
      <w:szCs w:val="22"/>
      <w:lang w:val="en-US" w:eastAsia="zh-CN" w:bidi="ar-SA"/>
    </w:rPr>
  </w:style>
  <w:style w:type="paragraph" w:customStyle="1" w:styleId="180">
    <w:name w:val="xl97"/>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81">
    <w:name w:val="xl90"/>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182">
    <w:name w:val="font22"/>
    <w:basedOn w:val="1"/>
    <w:uiPriority w:val="0"/>
    <w:pPr>
      <w:widowControl/>
      <w:spacing w:before="100" w:beforeLines="0" w:beforeAutospacing="1" w:after="100" w:afterLines="0" w:afterAutospacing="1"/>
      <w:jc w:val="left"/>
    </w:pPr>
    <w:rPr>
      <w:rFonts w:ascii="宋体" w:hAnsi="宋体" w:cs="宋体"/>
      <w:color w:val="FF0000"/>
      <w:kern w:val="0"/>
      <w:sz w:val="20"/>
      <w:szCs w:val="20"/>
    </w:rPr>
  </w:style>
  <w:style w:type="paragraph" w:customStyle="1" w:styleId="183">
    <w:name w:val="xl13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184">
    <w:name w:val="font15"/>
    <w:basedOn w:val="1"/>
    <w:uiPriority w:val="0"/>
    <w:pPr>
      <w:widowControl/>
      <w:spacing w:before="100" w:beforeLines="0" w:beforeAutospacing="1" w:after="100" w:afterLines="0" w:afterAutospacing="1"/>
      <w:jc w:val="left"/>
    </w:pPr>
    <w:rPr>
      <w:rFonts w:ascii="宋体" w:hAnsi="宋体" w:cs="宋体"/>
      <w:b/>
      <w:bCs/>
      <w:kern w:val="0"/>
      <w:sz w:val="20"/>
      <w:szCs w:val="20"/>
    </w:rPr>
  </w:style>
  <w:style w:type="paragraph" w:customStyle="1" w:styleId="185">
    <w:name w:val="xl98"/>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86">
    <w:name w:val="font17"/>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7">
    <w:name w:val="xl160"/>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88">
    <w:name w:val="font5"/>
    <w:basedOn w:val="1"/>
    <w:uiPriority w:val="0"/>
    <w:pPr>
      <w:widowControl/>
      <w:spacing w:before="100" w:beforeLines="0" w:beforeAutospacing="1" w:after="100" w:afterLines="0" w:afterAutospacing="1"/>
      <w:jc w:val="left"/>
    </w:pPr>
    <w:rPr>
      <w:kern w:val="0"/>
      <w:sz w:val="24"/>
    </w:rPr>
  </w:style>
  <w:style w:type="paragraph" w:customStyle="1" w:styleId="189">
    <w:name w:val="xl12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90">
    <w:name w:val="xl121"/>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91">
    <w:name w:val="xl153"/>
    <w:basedOn w:val="1"/>
    <w:uiPriority w:val="0"/>
    <w:pPr>
      <w:widowControl/>
      <w:shd w:val="clear" w:color="auto" w:fill="FFFF00"/>
      <w:spacing w:before="100" w:beforeLines="0" w:beforeAutospacing="1" w:after="100" w:afterLines="0" w:afterAutospacing="1"/>
      <w:jc w:val="left"/>
    </w:pPr>
    <w:rPr>
      <w:rFonts w:ascii="宋体" w:hAnsi="宋体" w:cs="宋体"/>
      <w:kern w:val="0"/>
      <w:sz w:val="24"/>
    </w:rPr>
  </w:style>
  <w:style w:type="paragraph" w:customStyle="1" w:styleId="192">
    <w:name w:val="xl95"/>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93">
    <w:name w:val="xl156"/>
    <w:basedOn w:val="1"/>
    <w:uiPriority w:val="0"/>
    <w:pPr>
      <w:widowControl/>
      <w:spacing w:before="100" w:beforeLines="0" w:beforeAutospacing="1" w:after="100" w:afterLines="0" w:afterAutospacing="1"/>
      <w:jc w:val="left"/>
    </w:pPr>
    <w:rPr>
      <w:rFonts w:ascii="宋体" w:hAnsi="宋体" w:cs="宋体"/>
      <w:color w:val="FF0000"/>
      <w:kern w:val="0"/>
      <w:sz w:val="24"/>
    </w:rPr>
  </w:style>
  <w:style w:type="paragraph" w:customStyle="1" w:styleId="194">
    <w:name w:val="xl77"/>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95">
    <w:name w:val="xl7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96">
    <w:name w:val="xl100"/>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97">
    <w:name w:val="xl16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98">
    <w:name w:val="样式2"/>
    <w:basedOn w:val="1"/>
    <w:uiPriority w:val="0"/>
    <w:pPr>
      <w:adjustRightInd w:val="0"/>
      <w:spacing w:line="410" w:lineRule="atLeast"/>
      <w:jc w:val="left"/>
      <w:textAlignment w:val="baseline"/>
    </w:pPr>
    <w:rPr>
      <w:kern w:val="0"/>
      <w:sz w:val="24"/>
      <w:szCs w:val="20"/>
    </w:rPr>
  </w:style>
  <w:style w:type="paragraph" w:customStyle="1" w:styleId="199">
    <w:name w:val="xl14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200">
    <w:name w:val="xl11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b/>
      <w:bCs/>
      <w:kern w:val="0"/>
      <w:sz w:val="24"/>
    </w:rPr>
  </w:style>
  <w:style w:type="paragraph" w:customStyle="1" w:styleId="201">
    <w:name w:val="font6"/>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02">
    <w:name w:val="xl140"/>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203">
    <w:name w:val="font11"/>
    <w:basedOn w:val="1"/>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04">
    <w:name w:val="xl15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kern w:val="0"/>
      <w:sz w:val="20"/>
      <w:szCs w:val="20"/>
    </w:rPr>
  </w:style>
  <w:style w:type="paragraph" w:customStyle="1" w:styleId="205">
    <w:name w:val="xl16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color w:val="FF0000"/>
      <w:kern w:val="0"/>
      <w:sz w:val="20"/>
      <w:szCs w:val="20"/>
    </w:rPr>
  </w:style>
  <w:style w:type="paragraph" w:customStyle="1" w:styleId="206">
    <w:name w:val="font19"/>
    <w:basedOn w:val="1"/>
    <w:uiPriority w:val="0"/>
    <w:pPr>
      <w:widowControl/>
      <w:spacing w:before="100" w:beforeLines="0" w:beforeAutospacing="1" w:after="100" w:afterLines="0" w:afterAutospacing="1"/>
      <w:jc w:val="left"/>
    </w:pPr>
    <w:rPr>
      <w:color w:val="FF0000"/>
      <w:kern w:val="0"/>
      <w:sz w:val="20"/>
      <w:szCs w:val="20"/>
    </w:rPr>
  </w:style>
  <w:style w:type="paragraph" w:customStyle="1" w:styleId="207">
    <w:name w:val="xl11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208">
    <w:name w:val="xl80"/>
    <w:basedOn w:val="1"/>
    <w:uiPriority w:val="0"/>
    <w:pPr>
      <w:widowControl/>
      <w:shd w:val="clear" w:color="auto" w:fill="FFFFFF"/>
      <w:spacing w:before="100" w:beforeLines="0" w:beforeAutospacing="1" w:after="100" w:afterLines="0" w:afterAutospacing="1"/>
      <w:jc w:val="center"/>
      <w:textAlignment w:val="center"/>
    </w:pPr>
    <w:rPr>
      <w:kern w:val="0"/>
      <w:sz w:val="20"/>
      <w:szCs w:val="20"/>
    </w:rPr>
  </w:style>
  <w:style w:type="paragraph" w:customStyle="1" w:styleId="209">
    <w:name w:val="xl6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210">
    <w:name w:val="xl130"/>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211">
    <w:name w:val="样式9"/>
    <w:basedOn w:val="20"/>
    <w:uiPriority w:val="0"/>
    <w:pPr>
      <w:pBdr>
        <w:bottom w:val="none" w:color="auto" w:sz="0" w:space="0"/>
      </w:pBdr>
      <w:jc w:val="both"/>
    </w:pPr>
    <w:rPr>
      <w:u w:val="thick"/>
    </w:rPr>
  </w:style>
  <w:style w:type="paragraph" w:customStyle="1" w:styleId="212">
    <w:name w:val="xl169"/>
    <w:basedOn w:val="1"/>
    <w:uiPriority w:val="0"/>
    <w:pPr>
      <w:widowControl/>
      <w:pBdr>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20"/>
      <w:szCs w:val="20"/>
    </w:rPr>
  </w:style>
  <w:style w:type="paragraph" w:customStyle="1" w:styleId="213">
    <w:name w:val="font13"/>
    <w:basedOn w:val="1"/>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214">
    <w:name w:val=" Char Char Char1 Char Char Char Char Char Char Char Char Char Char Char Char Char"/>
    <w:basedOn w:val="1"/>
    <w:uiPriority w:val="0"/>
    <w:rPr>
      <w:szCs w:val="20"/>
    </w:rPr>
  </w:style>
  <w:style w:type="paragraph" w:customStyle="1" w:styleId="215">
    <w:name w:val="样式 标题 2 + (中文) 黑体 四号 黑色"/>
    <w:basedOn w:val="3"/>
    <w:uiPriority w:val="0"/>
    <w:pPr>
      <w:spacing w:line="520" w:lineRule="exact"/>
      <w:jc w:val="left"/>
    </w:pPr>
    <w:rPr>
      <w:color w:val="000000"/>
      <w:kern w:val="24"/>
      <w:sz w:val="28"/>
      <w:szCs w:val="20"/>
    </w:rPr>
  </w:style>
  <w:style w:type="paragraph" w:customStyle="1" w:styleId="216">
    <w:name w:val="xl128"/>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217">
    <w:name w:val="xl13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18">
    <w:name w:val="xl122"/>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left"/>
      <w:textAlignment w:val="center"/>
    </w:pPr>
    <w:rPr>
      <w:kern w:val="0"/>
      <w:sz w:val="24"/>
    </w:rPr>
  </w:style>
  <w:style w:type="paragraph" w:customStyle="1" w:styleId="219">
    <w:name w:val="样式 样式 标题 4 + 非加粗 + (中文) 黑体 段前: 0 磅 段后: 0 磅 行距: 固定值 22 磅"/>
    <w:basedOn w:val="1"/>
    <w:uiPriority w:val="0"/>
    <w:pPr>
      <w:keepNext/>
      <w:keepLines/>
      <w:spacing w:before="156" w:beforeLines="50" w:after="156" w:afterLines="50" w:line="500" w:lineRule="exact"/>
      <w:outlineLvl w:val="3"/>
    </w:pPr>
    <w:rPr>
      <w:rFonts w:ascii="Arial" w:hAnsi="Arial" w:cs="宋体"/>
      <w:b/>
      <w:bCs/>
      <w:sz w:val="24"/>
    </w:rPr>
  </w:style>
  <w:style w:type="paragraph" w:customStyle="1" w:styleId="220">
    <w:name w:val="font16"/>
    <w:basedOn w:val="1"/>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221">
    <w:name w:val="xl8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222">
    <w:name w:val="xl8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223">
    <w:name w:val="正文（首行缩进2字符）"/>
    <w:basedOn w:val="1"/>
    <w:qFormat/>
    <w:uiPriority w:val="0"/>
    <w:pPr>
      <w:spacing w:line="360" w:lineRule="auto"/>
      <w:ind w:firstLine="420" w:firstLineChars="200"/>
    </w:pPr>
    <w:rPr>
      <w:szCs w:val="21"/>
    </w:rPr>
  </w:style>
  <w:style w:type="character" w:customStyle="1" w:styleId="224">
    <w:name w:val="font51"/>
    <w:uiPriority w:val="0"/>
    <w:rPr>
      <w:rFonts w:hint="eastAsia" w:ascii="宋体" w:hAnsi="宋体" w:eastAsia="宋体" w:cs="宋体"/>
      <w:color w:val="000000"/>
      <w:sz w:val="22"/>
      <w:szCs w:val="22"/>
      <w:u w:val="none"/>
    </w:rPr>
  </w:style>
  <w:style w:type="character" w:customStyle="1" w:styleId="225">
    <w:name w:val="font81"/>
    <w:qFormat/>
    <w:uiPriority w:val="0"/>
    <w:rPr>
      <w:rFonts w:hint="eastAsia" w:ascii="宋体" w:hAnsi="宋体" w:eastAsia="宋体" w:cs="宋体"/>
      <w:color w:val="000000"/>
      <w:sz w:val="24"/>
      <w:szCs w:val="24"/>
      <w:u w:val="none"/>
    </w:rPr>
  </w:style>
  <w:style w:type="paragraph" w:customStyle="1" w:styleId="226">
    <w:name w:val="样式  + 首行缩进:  2 字符"/>
    <w:basedOn w:val="1"/>
    <w:qFormat/>
    <w:uiPriority w:val="0"/>
    <w:pPr>
      <w:adjustRightInd w:val="0"/>
      <w:spacing w:line="360" w:lineRule="auto"/>
      <w:ind w:firstLine="524" w:firstLineChars="200"/>
    </w:pPr>
    <w:rPr>
      <w:rFonts w:ascii="宋体" w:hAnsi="宋体"/>
      <w:spacing w:val="11"/>
      <w:kern w:val="0"/>
      <w:sz w:val="24"/>
    </w:rPr>
  </w:style>
  <w:style w:type="paragraph" w:customStyle="1" w:styleId="227">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table" w:customStyle="1" w:styleId="228">
    <w:name w:val="网格型1"/>
    <w:basedOn w:val="30"/>
    <w:qFormat/>
    <w:uiPriority w:val="39"/>
    <w:rPr>
      <w:rFonts w:ascii="等线" w:hAnsi="等线" w:eastAsia="等线"/>
      <w:kern w:val="2"/>
      <w:sz w:val="21"/>
      <w:szCs w:val="22"/>
    </w:r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9">
    <w:name w:val="正文首行缩进 21"/>
    <w:basedOn w:val="8"/>
    <w:next w:val="230"/>
    <w:qFormat/>
    <w:uiPriority w:val="0"/>
    <w:pPr>
      <w:tabs>
        <w:tab w:val="left" w:pos="0"/>
        <w:tab w:val="left" w:pos="993"/>
        <w:tab w:val="left" w:pos="1134"/>
      </w:tabs>
      <w:spacing w:after="120"/>
      <w:ind w:left="420" w:leftChars="200" w:firstLine="420"/>
    </w:pPr>
    <w:rPr>
      <w:rFonts w:cs="宋体"/>
      <w:sz w:val="21"/>
      <w:szCs w:val="21"/>
    </w:rPr>
  </w:style>
  <w:style w:type="paragraph" w:customStyle="1" w:styleId="230">
    <w:name w:val="xl53"/>
    <w:basedOn w:val="1"/>
    <w:next w:val="1"/>
    <w:qFormat/>
    <w:uiPriority w:val="0"/>
    <w:pPr>
      <w:spacing w:before="280" w:after="280" w:line="100" w:lineRule="exact"/>
      <w:jc w:val="center"/>
    </w:pPr>
    <w:rPr>
      <w:b/>
      <w:sz w:val="20"/>
    </w:rPr>
  </w:style>
  <w:style w:type="paragraph" w:customStyle="1" w:styleId="231">
    <w:name w:val="纯文本1"/>
    <w:basedOn w:val="1"/>
    <w:next w:val="1"/>
    <w:qFormat/>
    <w:uiPriority w:val="0"/>
    <w:rPr>
      <w:rFonts w:ascii="宋体" w:hAnsi="宋体" w:cs="Courier New"/>
      <w:szCs w:val="20"/>
    </w:rPr>
  </w:style>
  <w:style w:type="paragraph" w:styleId="232">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11337</Words>
  <Characters>12395</Characters>
  <Lines>297</Lines>
  <Paragraphs>83</Paragraphs>
  <TotalTime>8</TotalTime>
  <ScaleCrop>false</ScaleCrop>
  <LinksUpToDate>false</LinksUpToDate>
  <CharactersWithSpaces>12487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2026-03-12T06:00:00Z</dcterms:created>
  <dc:creator>Legend User</dc:creator>
  <cp:lastModifiedBy>zbdl1</cp:lastModifiedBy>
  <cp:lastPrinted>2023-11-30T09:39:00Z</cp:lastPrinted>
  <dcterms:modified xsi:type="dcterms:W3CDTF">2026-04-23T02:13:53Z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FAA1085C9A454317B074BCA9AD3D5FF7_13</vt:lpwstr>
  </property>
  <property fmtid="{D5CDD505-2E9C-101B-9397-08002B2CF9AE}" pid="4" name="KSOTemplateDocerSaveRecord">
    <vt:lpwstr>eyJoZGlkIjoiZGU4N2Q0MWRkNTYwNjE2Y2ExYjk3YzVkOGYyYTNmN2IiLCJ1c2VySWQiOiI0NTcxMjExMDYifQ==</vt:lpwstr>
  </property>
</Properties>
</file>