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90BC8">
      <w:pPr>
        <w:snapToGrid w:val="0"/>
        <w:spacing w:line="240" w:lineRule="atLeast"/>
        <w:jc w:val="both"/>
        <w:textAlignment w:val="baseline"/>
        <w:outlineLvl w:val="9"/>
        <w:rPr>
          <w:rFonts w:hint="eastAsia" w:ascii="微软雅黑" w:hAnsi="微软雅黑" w:eastAsia="微软雅黑" w:cs="微软雅黑"/>
          <w:b/>
          <w:color w:val="auto"/>
          <w:sz w:val="44"/>
          <w:szCs w:val="44"/>
        </w:rPr>
      </w:pPr>
    </w:p>
    <w:p w14:paraId="0786E03C">
      <w:pPr>
        <w:pStyle w:val="35"/>
        <w:ind w:firstLine="480"/>
        <w:outlineLvl w:val="9"/>
        <w:rPr>
          <w:rFonts w:hint="eastAsia" w:ascii="微软雅黑" w:hAnsi="微软雅黑" w:eastAsia="微软雅黑" w:cs="微软雅黑"/>
          <w:color w:val="auto"/>
        </w:rPr>
      </w:pPr>
    </w:p>
    <w:p w14:paraId="758DF2A0">
      <w:pPr>
        <w:pStyle w:val="35"/>
        <w:ind w:firstLine="480"/>
        <w:outlineLvl w:val="9"/>
        <w:rPr>
          <w:rFonts w:hint="eastAsia" w:ascii="微软雅黑" w:hAnsi="微软雅黑" w:eastAsia="微软雅黑" w:cs="微软雅黑"/>
          <w:color w:val="auto"/>
        </w:rPr>
      </w:pPr>
    </w:p>
    <w:p w14:paraId="1750D662">
      <w:pPr>
        <w:outlineLvl w:val="9"/>
        <w:rPr>
          <w:rFonts w:hint="eastAsia" w:ascii="微软雅黑" w:hAnsi="微软雅黑" w:eastAsia="微软雅黑" w:cs="微软雅黑"/>
          <w:color w:val="auto"/>
        </w:rPr>
      </w:pPr>
    </w:p>
    <w:p w14:paraId="391E5B4A">
      <w:pPr>
        <w:outlineLvl w:val="9"/>
        <w:rPr>
          <w:rFonts w:hint="eastAsia" w:ascii="微软雅黑" w:hAnsi="微软雅黑" w:eastAsia="微软雅黑" w:cs="微软雅黑"/>
          <w:color w:val="auto"/>
        </w:rPr>
      </w:pPr>
    </w:p>
    <w:p w14:paraId="29E3F115">
      <w:pPr>
        <w:jc w:val="center"/>
        <w:outlineLvl w:val="9"/>
        <w:rPr>
          <w:rFonts w:hint="eastAsia" w:ascii="微软雅黑" w:hAnsi="微软雅黑" w:eastAsia="微软雅黑" w:cs="微软雅黑"/>
          <w:b/>
          <w:color w:val="auto"/>
          <w:sz w:val="44"/>
          <w:szCs w:val="44"/>
          <w:lang w:eastAsia="zh-CN"/>
        </w:rPr>
      </w:pPr>
      <w:r>
        <w:rPr>
          <w:rFonts w:hint="eastAsia" w:ascii="微软雅黑" w:hAnsi="微软雅黑" w:eastAsia="微软雅黑" w:cs="微软雅黑"/>
          <w:b/>
          <w:color w:val="auto"/>
          <w:sz w:val="44"/>
          <w:szCs w:val="44"/>
          <w:lang w:eastAsia="zh-CN"/>
        </w:rPr>
        <w:t>疏附县公安局采购2026年全局广告宣传制作</w:t>
      </w:r>
    </w:p>
    <w:p w14:paraId="4EE27264">
      <w:pPr>
        <w:jc w:val="center"/>
        <w:outlineLvl w:val="9"/>
        <w:rPr>
          <w:rFonts w:hint="eastAsia" w:ascii="微软雅黑" w:hAnsi="微软雅黑" w:eastAsia="微软雅黑" w:cs="微软雅黑"/>
          <w:color w:val="auto"/>
          <w:sz w:val="22"/>
          <w:szCs w:val="28"/>
        </w:rPr>
      </w:pPr>
      <w:r>
        <w:rPr>
          <w:rFonts w:hint="eastAsia" w:ascii="微软雅黑" w:hAnsi="微软雅黑" w:eastAsia="微软雅黑" w:cs="微软雅黑"/>
          <w:b/>
          <w:color w:val="auto"/>
          <w:sz w:val="44"/>
          <w:szCs w:val="44"/>
          <w:lang w:eastAsia="zh-CN"/>
        </w:rPr>
        <w:t>服务项目</w:t>
      </w:r>
    </w:p>
    <w:p w14:paraId="22E98C67">
      <w:pPr>
        <w:outlineLvl w:val="9"/>
        <w:rPr>
          <w:rFonts w:hint="eastAsia" w:ascii="微软雅黑" w:hAnsi="微软雅黑" w:eastAsia="微软雅黑" w:cs="微软雅黑"/>
          <w:color w:val="auto"/>
          <w:sz w:val="28"/>
          <w:szCs w:val="21"/>
        </w:rPr>
      </w:pPr>
    </w:p>
    <w:p w14:paraId="5A1B0706">
      <w:pPr>
        <w:snapToGrid w:val="0"/>
        <w:spacing w:line="240" w:lineRule="atLeast"/>
        <w:jc w:val="center"/>
        <w:textAlignment w:val="baseline"/>
        <w:outlineLvl w:val="9"/>
        <w:rPr>
          <w:rFonts w:hint="eastAsia" w:ascii="微软雅黑" w:hAnsi="微软雅黑" w:eastAsia="微软雅黑" w:cs="微软雅黑"/>
          <w:b/>
          <w:color w:val="auto"/>
          <w:sz w:val="56"/>
          <w:szCs w:val="56"/>
          <w:lang w:val="en-US" w:eastAsia="zh-CN"/>
        </w:rPr>
      </w:pPr>
      <w:r>
        <w:rPr>
          <w:rFonts w:hint="eastAsia" w:ascii="微软雅黑" w:hAnsi="微软雅黑" w:eastAsia="微软雅黑" w:cs="微软雅黑"/>
          <w:b/>
          <w:color w:val="auto"/>
          <w:sz w:val="32"/>
          <w:szCs w:val="32"/>
          <w:lang w:val="en-US" w:eastAsia="zh-CN"/>
        </w:rPr>
        <w:t>(</w:t>
      </w:r>
      <w:r>
        <w:rPr>
          <w:rFonts w:hint="eastAsia" w:ascii="微软雅黑" w:hAnsi="微软雅黑" w:eastAsia="微软雅黑" w:cs="微软雅黑"/>
          <w:b/>
          <w:color w:val="auto"/>
          <w:sz w:val="32"/>
          <w:szCs w:val="32"/>
        </w:rPr>
        <w:t>项目编号：QXJ(CS)2026-06号</w:t>
      </w:r>
      <w:r>
        <w:rPr>
          <w:rFonts w:hint="eastAsia" w:ascii="微软雅黑" w:hAnsi="微软雅黑" w:eastAsia="微软雅黑" w:cs="微软雅黑"/>
          <w:b/>
          <w:color w:val="auto"/>
          <w:sz w:val="32"/>
          <w:szCs w:val="32"/>
          <w:lang w:val="en-US" w:eastAsia="zh-CN"/>
        </w:rPr>
        <w:t>)</w:t>
      </w:r>
    </w:p>
    <w:p w14:paraId="7D04F7BC">
      <w:pPr>
        <w:snapToGrid w:val="0"/>
        <w:spacing w:line="240" w:lineRule="atLeast"/>
        <w:jc w:val="center"/>
        <w:textAlignment w:val="baseline"/>
        <w:outlineLvl w:val="9"/>
        <w:rPr>
          <w:rFonts w:hint="eastAsia" w:ascii="微软雅黑" w:hAnsi="微软雅黑" w:eastAsia="微软雅黑" w:cs="微软雅黑"/>
          <w:b/>
          <w:color w:val="auto"/>
          <w:sz w:val="44"/>
          <w:szCs w:val="44"/>
          <w:lang w:eastAsia="zh-CN"/>
        </w:rPr>
      </w:pPr>
    </w:p>
    <w:p w14:paraId="77D56630">
      <w:pPr>
        <w:snapToGrid w:val="0"/>
        <w:spacing w:line="240" w:lineRule="atLeast"/>
        <w:jc w:val="center"/>
        <w:textAlignment w:val="baseline"/>
        <w:outlineLvl w:val="9"/>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lang w:eastAsia="zh-CN"/>
        </w:rPr>
        <w:t>竞</w:t>
      </w:r>
      <w:r>
        <w:rPr>
          <w:rFonts w:hint="eastAsia" w:ascii="微软雅黑" w:hAnsi="微软雅黑" w:eastAsia="微软雅黑" w:cs="微软雅黑"/>
          <w:b/>
          <w:color w:val="auto"/>
          <w:sz w:val="48"/>
          <w:szCs w:val="48"/>
          <w:lang w:val="en-US" w:eastAsia="zh-CN"/>
        </w:rPr>
        <w:t xml:space="preserve"> </w:t>
      </w:r>
      <w:r>
        <w:rPr>
          <w:rFonts w:hint="eastAsia" w:ascii="微软雅黑" w:hAnsi="微软雅黑" w:eastAsia="微软雅黑" w:cs="微软雅黑"/>
          <w:b/>
          <w:color w:val="auto"/>
          <w:sz w:val="48"/>
          <w:szCs w:val="48"/>
          <w:lang w:eastAsia="zh-CN"/>
        </w:rPr>
        <w:t>争</w:t>
      </w:r>
      <w:r>
        <w:rPr>
          <w:rFonts w:hint="eastAsia" w:ascii="微软雅黑" w:hAnsi="微软雅黑" w:eastAsia="微软雅黑" w:cs="微软雅黑"/>
          <w:b/>
          <w:color w:val="auto"/>
          <w:sz w:val="48"/>
          <w:szCs w:val="48"/>
          <w:lang w:val="en-US" w:eastAsia="zh-CN"/>
        </w:rPr>
        <w:t xml:space="preserve"> </w:t>
      </w:r>
      <w:r>
        <w:rPr>
          <w:rFonts w:hint="eastAsia" w:ascii="微软雅黑" w:hAnsi="微软雅黑" w:eastAsia="微软雅黑" w:cs="微软雅黑"/>
          <w:b/>
          <w:color w:val="auto"/>
          <w:sz w:val="48"/>
          <w:szCs w:val="48"/>
          <w:lang w:eastAsia="zh-CN"/>
        </w:rPr>
        <w:t>性</w:t>
      </w:r>
      <w:r>
        <w:rPr>
          <w:rFonts w:hint="eastAsia" w:ascii="微软雅黑" w:hAnsi="微软雅黑" w:eastAsia="微软雅黑" w:cs="微软雅黑"/>
          <w:b/>
          <w:color w:val="auto"/>
          <w:sz w:val="48"/>
          <w:szCs w:val="48"/>
          <w:lang w:val="en-US" w:eastAsia="zh-CN"/>
        </w:rPr>
        <w:t xml:space="preserve"> </w:t>
      </w:r>
      <w:r>
        <w:rPr>
          <w:rFonts w:hint="eastAsia" w:ascii="微软雅黑" w:hAnsi="微软雅黑" w:eastAsia="微软雅黑" w:cs="微软雅黑"/>
          <w:b/>
          <w:color w:val="auto"/>
          <w:sz w:val="48"/>
          <w:szCs w:val="48"/>
        </w:rPr>
        <w:t>磋 商 文 件</w:t>
      </w:r>
    </w:p>
    <w:p w14:paraId="410959B9">
      <w:pPr>
        <w:pStyle w:val="27"/>
        <w:textAlignment w:val="baseline"/>
        <w:outlineLvl w:val="9"/>
        <w:rPr>
          <w:rFonts w:hint="eastAsia" w:ascii="微软雅黑" w:hAnsi="微软雅黑" w:eastAsia="微软雅黑" w:cs="微软雅黑"/>
          <w:color w:val="auto"/>
        </w:rPr>
      </w:pPr>
    </w:p>
    <w:p w14:paraId="2903DA4C">
      <w:pPr>
        <w:pStyle w:val="27"/>
        <w:textAlignment w:val="baseline"/>
        <w:outlineLvl w:val="9"/>
        <w:rPr>
          <w:rFonts w:hint="eastAsia" w:ascii="微软雅黑" w:hAnsi="微软雅黑" w:eastAsia="微软雅黑" w:cs="微软雅黑"/>
          <w:color w:val="auto"/>
        </w:rPr>
      </w:pPr>
    </w:p>
    <w:p w14:paraId="6AE3F16C">
      <w:pPr>
        <w:snapToGrid w:val="0"/>
        <w:spacing w:line="240" w:lineRule="atLeast"/>
        <w:jc w:val="left"/>
        <w:textAlignment w:val="baseline"/>
        <w:outlineLvl w:val="9"/>
        <w:rPr>
          <w:rFonts w:hint="eastAsia" w:ascii="微软雅黑" w:hAnsi="微软雅黑" w:eastAsia="微软雅黑" w:cs="微软雅黑"/>
          <w:b/>
          <w:color w:val="auto"/>
          <w:sz w:val="28"/>
          <w:szCs w:val="28"/>
          <w:lang w:val="en-US" w:eastAsia="zh-CN"/>
        </w:rPr>
      </w:pPr>
    </w:p>
    <w:p w14:paraId="39B106F0">
      <w:pPr>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采购单位：疏附县公安局  </w:t>
      </w:r>
    </w:p>
    <w:p w14:paraId="4AE7CB85">
      <w:pPr>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联 系 人：孜亚屯·胡达白尔地  </w:t>
      </w:r>
    </w:p>
    <w:p w14:paraId="1874F747">
      <w:pPr>
        <w:spacing w:line="360" w:lineRule="auto"/>
        <w:ind w:firstLine="840" w:firstLineChars="3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 xml:space="preserve">联系电话：15509084663  </w:t>
      </w:r>
    </w:p>
    <w:p w14:paraId="6F7738B8">
      <w:pPr>
        <w:pStyle w:val="12"/>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采购机构：新疆乾行健招标有限公司</w:t>
      </w:r>
    </w:p>
    <w:p w14:paraId="655AC2E5">
      <w:pPr>
        <w:pStyle w:val="12"/>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联 系 人：廖爱玲</w:t>
      </w:r>
    </w:p>
    <w:p w14:paraId="62C5906C">
      <w:pPr>
        <w:snapToGrid w:val="0"/>
        <w:spacing w:line="240" w:lineRule="atLeast"/>
        <w:ind w:firstLine="840" w:firstLineChars="300"/>
        <w:jc w:val="left"/>
        <w:textAlignment w:val="baseline"/>
        <w:outlineLvl w:val="9"/>
        <w:rPr>
          <w:rFonts w:hint="eastAsia" w:ascii="微软雅黑" w:hAnsi="微软雅黑" w:eastAsia="微软雅黑" w:cs="微软雅黑"/>
          <w:b/>
          <w:color w:val="auto"/>
          <w:sz w:val="32"/>
          <w:szCs w:val="32"/>
          <w:lang w:val="en-US" w:eastAsia="zh-CN"/>
        </w:rPr>
      </w:pPr>
      <w:r>
        <w:rPr>
          <w:rFonts w:hint="eastAsia" w:ascii="微软雅黑" w:hAnsi="微软雅黑" w:eastAsia="微软雅黑" w:cs="微软雅黑"/>
          <w:color w:val="auto"/>
          <w:sz w:val="28"/>
          <w:szCs w:val="28"/>
          <w:highlight w:val="none"/>
          <w:lang w:val="en-US" w:eastAsia="zh-CN"/>
        </w:rPr>
        <w:t>联系电话：17354834608</w:t>
      </w:r>
      <w:r>
        <w:rPr>
          <w:rFonts w:hint="eastAsia" w:ascii="微软雅黑" w:hAnsi="微软雅黑" w:eastAsia="微软雅黑" w:cs="微软雅黑"/>
          <w:b/>
          <w:color w:val="auto"/>
          <w:sz w:val="32"/>
          <w:szCs w:val="32"/>
          <w:lang w:val="en-US" w:eastAsia="zh-CN"/>
        </w:rPr>
        <w:t xml:space="preserve"> </w:t>
      </w:r>
    </w:p>
    <w:p w14:paraId="4C11414C">
      <w:pPr>
        <w:pStyle w:val="35"/>
        <w:snapToGrid w:val="0"/>
        <w:textAlignment w:val="baseline"/>
        <w:outlineLvl w:val="9"/>
        <w:rPr>
          <w:rFonts w:hint="eastAsia" w:ascii="微软雅黑" w:hAnsi="微软雅黑" w:eastAsia="微软雅黑" w:cs="微软雅黑"/>
          <w:color w:val="auto"/>
          <w:sz w:val="21"/>
        </w:rPr>
      </w:pPr>
    </w:p>
    <w:p w14:paraId="72DEF104">
      <w:pPr>
        <w:snapToGrid w:val="0"/>
        <w:spacing w:line="240" w:lineRule="atLeast"/>
        <w:jc w:val="both"/>
        <w:textAlignment w:val="baseline"/>
        <w:rPr>
          <w:rFonts w:hint="eastAsia" w:ascii="微软雅黑" w:hAnsi="微软雅黑" w:eastAsia="微软雅黑" w:cs="微软雅黑"/>
          <w:b/>
          <w:color w:val="auto"/>
          <w:sz w:val="32"/>
          <w:szCs w:val="32"/>
        </w:rPr>
      </w:pPr>
    </w:p>
    <w:p w14:paraId="132E6629">
      <w:pPr>
        <w:snapToGrid w:val="0"/>
        <w:spacing w:line="240" w:lineRule="atLeast"/>
        <w:jc w:val="center"/>
        <w:textAlignment w:val="baseline"/>
        <w:rPr>
          <w:rFonts w:hint="eastAsia" w:ascii="微软雅黑" w:hAnsi="微软雅黑" w:eastAsia="微软雅黑" w:cs="微软雅黑"/>
          <w:b/>
          <w:color w:val="auto"/>
          <w:sz w:val="32"/>
          <w:szCs w:val="32"/>
        </w:rPr>
      </w:pPr>
      <w:r>
        <w:rPr>
          <w:rFonts w:hint="eastAsia" w:ascii="微软雅黑" w:hAnsi="微软雅黑" w:eastAsia="微软雅黑" w:cs="微软雅黑"/>
          <w:b/>
          <w:color w:val="auto"/>
          <w:sz w:val="32"/>
          <w:szCs w:val="32"/>
        </w:rPr>
        <w:t>日期： 202</w:t>
      </w:r>
      <w:r>
        <w:rPr>
          <w:rFonts w:hint="eastAsia" w:ascii="微软雅黑" w:hAnsi="微软雅黑" w:eastAsia="微软雅黑" w:cs="微软雅黑"/>
          <w:b/>
          <w:color w:val="auto"/>
          <w:sz w:val="32"/>
          <w:szCs w:val="32"/>
          <w:lang w:val="en-US" w:eastAsia="zh-CN"/>
        </w:rPr>
        <w:t>6</w:t>
      </w:r>
      <w:r>
        <w:rPr>
          <w:rFonts w:hint="eastAsia" w:ascii="微软雅黑" w:hAnsi="微软雅黑" w:eastAsia="微软雅黑" w:cs="微软雅黑"/>
          <w:b/>
          <w:color w:val="auto"/>
          <w:sz w:val="32"/>
          <w:szCs w:val="32"/>
        </w:rPr>
        <w:t>年</w:t>
      </w:r>
      <w:r>
        <w:rPr>
          <w:rFonts w:hint="eastAsia" w:ascii="微软雅黑" w:hAnsi="微软雅黑" w:eastAsia="微软雅黑" w:cs="微软雅黑"/>
          <w:b/>
          <w:color w:val="auto"/>
          <w:sz w:val="32"/>
          <w:szCs w:val="32"/>
          <w:lang w:val="en-US" w:eastAsia="zh-CN"/>
        </w:rPr>
        <w:t>05</w:t>
      </w:r>
      <w:r>
        <w:rPr>
          <w:rFonts w:hint="eastAsia" w:ascii="微软雅黑" w:hAnsi="微软雅黑" w:eastAsia="微软雅黑" w:cs="微软雅黑"/>
          <w:b/>
          <w:color w:val="auto"/>
          <w:sz w:val="32"/>
          <w:szCs w:val="32"/>
        </w:rPr>
        <w:t>月</w:t>
      </w:r>
    </w:p>
    <w:p w14:paraId="5E9480EC">
      <w:pPr>
        <w:snapToGrid w:val="0"/>
        <w:spacing w:line="400" w:lineRule="exact"/>
        <w:ind w:left="1080" w:leftChars="257" w:hanging="540"/>
        <w:jc w:val="center"/>
        <w:textAlignment w:val="baseline"/>
        <w:rPr>
          <w:rFonts w:hint="eastAsia" w:ascii="微软雅黑" w:hAnsi="微软雅黑" w:eastAsia="微软雅黑" w:cs="微软雅黑"/>
          <w:b/>
          <w:color w:val="auto"/>
          <w:sz w:val="40"/>
          <w:szCs w:val="40"/>
        </w:rPr>
        <w:sectPr>
          <w:headerReference r:id="rId3" w:type="default"/>
          <w:pgSz w:w="11905" w:h="16838"/>
          <w:pgMar w:top="1440" w:right="1080" w:bottom="1440" w:left="1080" w:header="851" w:footer="992" w:gutter="0"/>
          <w:pgNumType w:fmt="decimal" w:start="1"/>
          <w:cols w:space="0" w:num="1"/>
          <w:docGrid w:linePitch="312" w:charSpace="0"/>
        </w:sectPr>
      </w:pPr>
    </w:p>
    <w:p w14:paraId="2E833DF6">
      <w:pPr>
        <w:snapToGrid w:val="0"/>
        <w:spacing w:line="400" w:lineRule="exact"/>
        <w:ind w:left="1080" w:leftChars="257" w:hanging="540"/>
        <w:jc w:val="center"/>
        <w:textAlignment w:val="baseline"/>
        <w:rPr>
          <w:rFonts w:hint="eastAsia" w:ascii="微软雅黑" w:hAnsi="微软雅黑" w:eastAsia="微软雅黑" w:cs="微软雅黑"/>
          <w:b/>
          <w:color w:val="auto"/>
          <w:sz w:val="40"/>
          <w:szCs w:val="40"/>
        </w:rPr>
      </w:pPr>
      <w:r>
        <w:rPr>
          <w:rFonts w:hint="eastAsia" w:ascii="微软雅黑" w:hAnsi="微软雅黑" w:eastAsia="微软雅黑" w:cs="微软雅黑"/>
          <w:b/>
          <w:color w:val="auto"/>
          <w:sz w:val="40"/>
          <w:szCs w:val="40"/>
        </w:rPr>
        <w:t>目  录</w:t>
      </w:r>
    </w:p>
    <w:p w14:paraId="5F6E15BE">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color w:val="auto"/>
          <w:kern w:val="0"/>
          <w:sz w:val="24"/>
          <w:szCs w:val="24"/>
        </w:rPr>
        <w:instrText xml:space="preserve"> TOC \o "1-3" \h \z \u </w:instrText>
      </w:r>
      <w:r>
        <w:rPr>
          <w:rFonts w:hint="eastAsia" w:ascii="微软雅黑" w:hAnsi="微软雅黑" w:eastAsia="微软雅黑" w:cs="微软雅黑"/>
          <w:color w:val="auto"/>
          <w:kern w:val="0"/>
          <w:sz w:val="24"/>
          <w:szCs w:val="24"/>
        </w:rPr>
        <w:fldChar w:fldCharType="separate"/>
      </w: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_Toc10616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rPr>
        <w:t xml:space="preserve">第1章  </w:t>
      </w:r>
      <w:r>
        <w:rPr>
          <w:rFonts w:hint="eastAsia" w:ascii="微软雅黑" w:hAnsi="微软雅黑" w:eastAsia="微软雅黑" w:cs="微软雅黑"/>
          <w:sz w:val="24"/>
          <w:szCs w:val="24"/>
        </w:rPr>
        <w:t>供应商须知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_Toc10616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1D67B6AB">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_Toc28407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一   总 则</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_Toc28407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58A7AE12">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_Toc7690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二   磋商文件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_Toc7690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38631C23">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_Toc19754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三   响应文件的编制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_Toc19754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27C6695">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_Toc4344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四   响应文件的递交</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_Toc4344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8</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3C7AE6AB">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_Toc23096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五   磋商开启及评审</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_Toc23096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13DFE8C">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_Toc6868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六   确定成交</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_Toc6868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11C593E1">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_Toc28994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第2章 响应文件格式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_Toc28994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DD2E03C">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_Toc15095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 xml:space="preserve">第一部分 </w:t>
      </w:r>
      <w:r>
        <w:rPr>
          <w:rFonts w:hint="eastAsia" w:ascii="微软雅黑" w:hAnsi="微软雅黑" w:eastAsia="微软雅黑" w:cs="微软雅黑"/>
          <w:sz w:val="24"/>
          <w:szCs w:val="24"/>
        </w:rPr>
        <w:t>磋商</w:t>
      </w:r>
      <w:r>
        <w:rPr>
          <w:rFonts w:hint="eastAsia" w:ascii="微软雅黑" w:hAnsi="微软雅黑" w:eastAsia="微软雅黑" w:cs="微软雅黑"/>
          <w:sz w:val="24"/>
          <w:szCs w:val="24"/>
          <w:lang w:val="en-US" w:eastAsia="zh-CN"/>
        </w:rPr>
        <w:t>报价</w:t>
      </w:r>
      <w:r>
        <w:rPr>
          <w:rFonts w:hint="eastAsia" w:ascii="微软雅黑" w:hAnsi="微软雅黑" w:eastAsia="微软雅黑" w:cs="微软雅黑"/>
          <w:sz w:val="24"/>
          <w:szCs w:val="24"/>
        </w:rPr>
        <w:t>一览表及资格证明文件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_Toc15095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4145DAE6">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_Toc31434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1、磋商报价一览表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_Toc31434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20</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58371E5C">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_Toc27435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highlight w:val="none"/>
        </w:rPr>
        <w:t>2</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sz w:val="24"/>
          <w:szCs w:val="24"/>
          <w:highlight w:val="none"/>
        </w:rPr>
        <w:t>符合《中华人民共和国政府采购法》第二十二条的规定</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_Toc27435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4341318A">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_Toc13931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i w:val="0"/>
          <w:iCs w:val="0"/>
          <w:caps w:val="0"/>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_Toc13931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5C9C2328">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_Toc15285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i w:val="0"/>
          <w:iCs w:val="0"/>
          <w:caps w:val="0"/>
          <w:spacing w:val="0"/>
          <w:kern w:val="0"/>
          <w:sz w:val="24"/>
          <w:szCs w:val="24"/>
          <w:highlight w:val="none"/>
          <w:lang w:val="en-US" w:eastAsia="zh-CN" w:bidi="ar-SA"/>
        </w:rPr>
        <w:t>②法人投标需提供法人身份证明及身份证复印件，被授权委托人需提供法人授权委托书及身份证复印件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_Toc15285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DDF1B17">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_Toc547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rPr>
        <w:t>③</w:t>
      </w:r>
      <w:r>
        <w:rPr>
          <w:rFonts w:hint="eastAsia" w:ascii="微软雅黑" w:hAnsi="微软雅黑" w:eastAsia="微软雅黑" w:cs="微软雅黑"/>
          <w:kern w:val="0"/>
          <w:sz w:val="24"/>
          <w:szCs w:val="24"/>
          <w:lang w:eastAsia="zh-CN"/>
        </w:rPr>
        <w:t>本单位依法缴纳的近3个月内任意1个月的社会保险的凭据；</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_Toc547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6D019731">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_Toc18854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④税务部门出具的近3个月内任意1个月的完税证明（依法免缴的应提供依法免缴的相关证明文件或零申报报表）；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_Toc18854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3577D043">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_Toc2470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⑤提供2024年或2025年完整的财务审计报告（成立不满一年的可提供近一个月的银行资信证明）；</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_Toc2470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1C56309A">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_Toc4412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⑥参与政府采购活动前3年内未被列入失信、重大税收违法案件、财政部门禁止参加政府采购活动的承诺书；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_Toc4412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3215BD80">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_Toc16940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⑦提供针对本次项目的反商业贿赂承诺书。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_Toc16940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5B9AD712">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_Toc15606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_Toc15606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7238D27">
      <w:pPr>
        <w:pStyle w:val="17"/>
        <w:keepNext w:val="0"/>
        <w:keepLines w:val="0"/>
        <w:pageBreakBefore w:val="0"/>
        <w:widowControl w:val="0"/>
        <w:tabs>
          <w:tab w:val="right" w:leader="dot" w:pos="9745"/>
          <w:tab w:val="clear" w:pos="1260"/>
          <w:tab w:val="clear" w:pos="8630"/>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_Toc13751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val="0"/>
          <w:iCs/>
          <w:kern w:val="2"/>
          <w:sz w:val="24"/>
          <w:szCs w:val="24"/>
          <w:highlight w:val="none"/>
          <w:lang w:val="en-US" w:eastAsia="zh-CN"/>
        </w:rPr>
        <w:t>⑨本项目专门面向中小企业（供应商须根据磋商文件中的法定格式填写中小企业声明函）</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_Toc13751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5644421">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_Toc6732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rPr>
        <w:t>3</w:t>
      </w:r>
      <w:r>
        <w:rPr>
          <w:rFonts w:hint="eastAsia" w:ascii="微软雅黑" w:hAnsi="微软雅黑" w:eastAsia="微软雅黑" w:cs="微软雅黑"/>
          <w:kern w:val="0"/>
          <w:sz w:val="24"/>
          <w:szCs w:val="24"/>
        </w:rPr>
        <w:t>、缴纳磋商保证金有效凭证；</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_Toc6732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28</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7101A6D8">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_Toc8559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lang w:val="en-US" w:eastAsia="zh-CN" w:bidi="ar-SA"/>
        </w:rPr>
        <w:t>第二部分</w:t>
      </w:r>
      <w:r>
        <w:rPr>
          <w:rFonts w:hint="eastAsia" w:ascii="微软雅黑" w:hAnsi="微软雅黑" w:eastAsia="微软雅黑" w:cs="微软雅黑"/>
          <w:sz w:val="24"/>
          <w:szCs w:val="24"/>
        </w:rPr>
        <w:t xml:space="preserve">  商务及技术文件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_Toc8559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47212467">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_Toc18703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1 、磋商书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_Toc18703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30</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37E4D70D">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_Toc18444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2 、</w:t>
      </w:r>
      <w:r>
        <w:rPr>
          <w:rFonts w:hint="eastAsia" w:ascii="微软雅黑" w:hAnsi="微软雅黑" w:eastAsia="微软雅黑" w:cs="微软雅黑"/>
          <w:bCs/>
          <w:sz w:val="24"/>
          <w:szCs w:val="24"/>
        </w:rPr>
        <w:t>磋商分项报价表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_Toc18444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6698650F">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_Toc8879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kern w:val="0"/>
          <w:sz w:val="24"/>
          <w:szCs w:val="24"/>
        </w:rPr>
        <w:t>3、服务说明一览表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_Toc8879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32</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2AC9000">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_Toc8294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lang w:val="en-US" w:eastAsia="zh-CN"/>
        </w:rPr>
        <w:t>4</w:t>
      </w:r>
      <w:r>
        <w:rPr>
          <w:rFonts w:hint="eastAsia" w:ascii="微软雅黑" w:hAnsi="微软雅黑" w:eastAsia="微软雅黑" w:cs="微软雅黑"/>
          <w:bCs/>
          <w:sz w:val="24"/>
          <w:szCs w:val="24"/>
          <w:lang w:eastAsia="zh-CN"/>
        </w:rPr>
        <w:t>、</w:t>
      </w:r>
      <w:r>
        <w:rPr>
          <w:rFonts w:hint="eastAsia" w:ascii="微软雅黑" w:hAnsi="微软雅黑" w:eastAsia="微软雅黑" w:cs="微软雅黑"/>
          <w:bCs/>
          <w:sz w:val="24"/>
          <w:szCs w:val="24"/>
        </w:rPr>
        <w:t>商务条款偏离表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_Toc8294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618155C5">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_Toc270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kern w:val="0"/>
          <w:sz w:val="24"/>
          <w:szCs w:val="24"/>
          <w:lang w:val="en-US" w:eastAsia="zh-CN" w:bidi="ar-SA"/>
        </w:rPr>
        <w:t>5、</w:t>
      </w:r>
      <w:r>
        <w:rPr>
          <w:rFonts w:hint="eastAsia" w:ascii="微软雅黑" w:hAnsi="微软雅黑" w:eastAsia="微软雅黑" w:cs="微软雅黑"/>
          <w:bCs/>
          <w:sz w:val="24"/>
          <w:szCs w:val="24"/>
        </w:rPr>
        <w:t>残疾人福利性单位声明函（若无，可不填）</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_Toc270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28A304E">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_Toc2463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lang w:val="en-US" w:eastAsia="zh-CN"/>
        </w:rPr>
        <w:t>6、</w:t>
      </w:r>
      <w:r>
        <w:rPr>
          <w:rFonts w:hint="eastAsia" w:ascii="微软雅黑" w:hAnsi="微软雅黑" w:eastAsia="微软雅黑" w:cs="微软雅黑"/>
          <w:bCs/>
          <w:kern w:val="2"/>
          <w:sz w:val="24"/>
          <w:szCs w:val="24"/>
          <w:highlight w:val="none"/>
          <w:lang w:val="en-US" w:eastAsia="zh-CN" w:bidi="ar-SA"/>
        </w:rPr>
        <w:t>监狱企业声明函（若无，可不填）</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_Toc2463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C604495">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_Toc2177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lang w:val="en-US" w:eastAsia="zh-CN"/>
        </w:rPr>
        <w:t>7、</w:t>
      </w:r>
      <w:r>
        <w:rPr>
          <w:rFonts w:hint="eastAsia" w:ascii="微软雅黑" w:hAnsi="微软雅黑" w:eastAsia="微软雅黑" w:cs="微软雅黑"/>
          <w:bCs/>
          <w:kern w:val="2"/>
          <w:sz w:val="24"/>
          <w:szCs w:val="24"/>
          <w:highlight w:val="none"/>
          <w:lang w:val="en-US" w:eastAsia="zh-CN" w:bidi="ar-SA"/>
        </w:rPr>
        <w:t>关于符合本国产品标准的声明函</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_Toc2177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44E24B6">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_Toc14726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lang w:val="en-US" w:eastAsia="zh-CN"/>
        </w:rPr>
        <w:t>8、供应商关联单位的说明</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_Toc14726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36</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5856388E">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_Toc30505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lang w:val="en-US" w:eastAsia="zh-CN"/>
        </w:rPr>
        <w:t>9、供应商可提供有利于投标的其他资格证明材料</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_Toc30505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36</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4B37AB2">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_Toc32542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lang w:val="en-US" w:eastAsia="zh-CN"/>
        </w:rPr>
        <w:t>10、响应文件格式范本</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_Toc32542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37</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A2319A2">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_Toc19408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第3章 磋商邀请</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_Toc19408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66F9E6B8">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_Toc636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第4章 供应商须知资料表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_Toc636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4BAD9AF7">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_Toc26854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第5章</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服务内容及项目需求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_Toc26854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48</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79169DD1">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_Toc13386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第6章 评审方法和标准</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_Toc13386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7E8FFCD">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_Toc15461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Cs/>
          <w:sz w:val="24"/>
          <w:szCs w:val="24"/>
        </w:rPr>
        <w:t>初步评审—资格性审查表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_Toc15461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074A8B17">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_Toc29366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初步评审—符合性审查表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_Toc29366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7381377B">
      <w:pPr>
        <w:pStyle w:val="4"/>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_Toc31628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综合评分表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_Toc31628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24029B8C">
      <w:pPr>
        <w:pStyle w:val="25"/>
        <w:keepNext w:val="0"/>
        <w:keepLines w:val="0"/>
        <w:pageBreakBefore w:val="0"/>
        <w:widowControl w:val="0"/>
        <w:tabs>
          <w:tab w:val="right" w:leader="dot" w:pos="9745"/>
        </w:tabs>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rPr>
        <w:fldChar w:fldCharType="begin"/>
      </w:r>
      <w:r>
        <w:rPr>
          <w:rFonts w:hint="eastAsia" w:ascii="微软雅黑" w:hAnsi="微软雅黑" w:eastAsia="微软雅黑" w:cs="微软雅黑"/>
          <w:kern w:val="0"/>
          <w:sz w:val="24"/>
          <w:szCs w:val="24"/>
        </w:rPr>
        <w:instrText xml:space="preserve"> HYPERLINK \l _Toc22173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sz w:val="24"/>
          <w:szCs w:val="24"/>
        </w:rPr>
        <w:t>第7章  政府采购合同</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_Toc22173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rPr>
        <w:fldChar w:fldCharType="end"/>
      </w:r>
    </w:p>
    <w:p w14:paraId="4726EDF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color w:val="auto"/>
          <w:kern w:val="0"/>
          <w:szCs w:val="24"/>
        </w:rPr>
      </w:pPr>
      <w:r>
        <w:rPr>
          <w:rFonts w:hint="eastAsia" w:ascii="微软雅黑" w:hAnsi="微软雅黑" w:eastAsia="微软雅黑" w:cs="微软雅黑"/>
          <w:color w:val="auto"/>
          <w:kern w:val="0"/>
          <w:sz w:val="24"/>
          <w:szCs w:val="24"/>
        </w:rPr>
        <w:fldChar w:fldCharType="end"/>
      </w:r>
      <w:bookmarkStart w:id="0" w:name="_Toc1462"/>
      <w:bookmarkStart w:id="1" w:name="_Toc10715352"/>
      <w:bookmarkStart w:id="2" w:name="_Toc518923059"/>
      <w:r>
        <w:rPr>
          <w:rFonts w:hint="eastAsia" w:ascii="微软雅黑" w:hAnsi="微软雅黑" w:eastAsia="微软雅黑" w:cs="微软雅黑"/>
          <w:color w:val="auto"/>
          <w:kern w:val="0"/>
          <w:szCs w:val="24"/>
        </w:rPr>
        <w:br w:type="page"/>
      </w:r>
    </w:p>
    <w:p w14:paraId="22246B20">
      <w:pPr>
        <w:pStyle w:val="5"/>
        <w:tabs>
          <w:tab w:val="left" w:pos="0"/>
        </w:tabs>
        <w:snapToGrid w:val="0"/>
        <w:spacing w:before="0" w:after="0" w:line="360" w:lineRule="auto"/>
        <w:textAlignment w:val="baseline"/>
        <w:rPr>
          <w:rFonts w:hint="eastAsia" w:ascii="微软雅黑" w:hAnsi="微软雅黑" w:eastAsia="微软雅黑" w:cs="微软雅黑"/>
          <w:color w:val="auto"/>
          <w:kern w:val="0"/>
          <w:szCs w:val="24"/>
        </w:rPr>
        <w:sectPr>
          <w:footerReference r:id="rId4" w:type="default"/>
          <w:pgSz w:w="11905" w:h="16838"/>
          <w:pgMar w:top="1440" w:right="1080" w:bottom="1440" w:left="1080" w:header="851" w:footer="992" w:gutter="0"/>
          <w:pgNumType w:fmt="decimal" w:start="1"/>
          <w:cols w:space="0" w:num="1"/>
          <w:docGrid w:linePitch="312" w:charSpace="0"/>
        </w:sectPr>
      </w:pPr>
    </w:p>
    <w:p w14:paraId="1F9E5BDA">
      <w:pPr>
        <w:snapToGrid w:val="0"/>
        <w:spacing w:line="240" w:lineRule="atLeast"/>
        <w:jc w:val="center"/>
        <w:textAlignment w:val="baseline"/>
        <w:rPr>
          <w:rFonts w:hint="eastAsia" w:ascii="微软雅黑" w:hAnsi="微软雅黑" w:eastAsia="微软雅黑" w:cs="微软雅黑"/>
          <w:b/>
          <w:color w:val="auto"/>
          <w:sz w:val="44"/>
          <w:szCs w:val="44"/>
        </w:rPr>
      </w:pPr>
    </w:p>
    <w:p w14:paraId="0CF9EE34">
      <w:pPr>
        <w:pStyle w:val="35"/>
        <w:snapToGrid w:val="0"/>
        <w:ind w:firstLine="0" w:firstLineChars="0"/>
        <w:textAlignment w:val="baseline"/>
        <w:rPr>
          <w:rFonts w:hint="eastAsia" w:ascii="微软雅黑" w:hAnsi="微软雅黑" w:eastAsia="微软雅黑" w:cs="微软雅黑"/>
          <w:b/>
          <w:color w:val="auto"/>
          <w:sz w:val="44"/>
          <w:szCs w:val="44"/>
        </w:rPr>
      </w:pPr>
    </w:p>
    <w:p w14:paraId="0B60C7B7">
      <w:pPr>
        <w:rPr>
          <w:rFonts w:hint="eastAsia" w:ascii="微软雅黑" w:hAnsi="微软雅黑" w:eastAsia="微软雅黑" w:cs="微软雅黑"/>
          <w:b/>
          <w:color w:val="auto"/>
          <w:sz w:val="44"/>
          <w:szCs w:val="44"/>
        </w:rPr>
      </w:pPr>
    </w:p>
    <w:p w14:paraId="34E789FD">
      <w:pPr>
        <w:pStyle w:val="35"/>
        <w:rPr>
          <w:rFonts w:hint="eastAsia" w:ascii="微软雅黑" w:hAnsi="微软雅黑" w:eastAsia="微软雅黑" w:cs="微软雅黑"/>
        </w:rPr>
      </w:pPr>
    </w:p>
    <w:p w14:paraId="73D7449B">
      <w:pPr>
        <w:jc w:val="center"/>
        <w:outlineLvl w:val="9"/>
        <w:rPr>
          <w:rFonts w:hint="eastAsia" w:ascii="微软雅黑" w:hAnsi="微软雅黑" w:eastAsia="微软雅黑" w:cs="微软雅黑"/>
          <w:b/>
          <w:color w:val="auto"/>
          <w:sz w:val="44"/>
          <w:szCs w:val="44"/>
          <w:lang w:eastAsia="zh-CN"/>
        </w:rPr>
      </w:pPr>
      <w:r>
        <w:rPr>
          <w:rFonts w:hint="eastAsia" w:ascii="微软雅黑" w:hAnsi="微软雅黑" w:eastAsia="微软雅黑" w:cs="微软雅黑"/>
          <w:b/>
          <w:color w:val="auto"/>
          <w:sz w:val="44"/>
          <w:szCs w:val="44"/>
          <w:lang w:eastAsia="zh-CN"/>
        </w:rPr>
        <w:t>疏附县公安局采购2026年全局广告宣传制作</w:t>
      </w:r>
    </w:p>
    <w:p w14:paraId="0DE7ED65">
      <w:pPr>
        <w:jc w:val="center"/>
        <w:outlineLvl w:val="9"/>
        <w:rPr>
          <w:rFonts w:hint="eastAsia" w:ascii="微软雅黑" w:hAnsi="微软雅黑" w:eastAsia="微软雅黑" w:cs="微软雅黑"/>
          <w:color w:val="auto"/>
          <w:sz w:val="22"/>
          <w:szCs w:val="28"/>
        </w:rPr>
      </w:pPr>
      <w:r>
        <w:rPr>
          <w:rFonts w:hint="eastAsia" w:ascii="微软雅黑" w:hAnsi="微软雅黑" w:eastAsia="微软雅黑" w:cs="微软雅黑"/>
          <w:b/>
          <w:color w:val="auto"/>
          <w:sz w:val="44"/>
          <w:szCs w:val="44"/>
          <w:lang w:eastAsia="zh-CN"/>
        </w:rPr>
        <w:t>服务项目</w:t>
      </w:r>
    </w:p>
    <w:p w14:paraId="3939353C">
      <w:pPr>
        <w:snapToGrid w:val="0"/>
        <w:spacing w:line="240" w:lineRule="atLeast"/>
        <w:jc w:val="both"/>
        <w:textAlignment w:val="baseline"/>
        <w:rPr>
          <w:rFonts w:hint="eastAsia" w:ascii="微软雅黑" w:hAnsi="微软雅黑" w:eastAsia="微软雅黑" w:cs="微软雅黑"/>
          <w:b/>
          <w:color w:val="auto"/>
          <w:sz w:val="44"/>
          <w:szCs w:val="44"/>
        </w:rPr>
      </w:pPr>
    </w:p>
    <w:p w14:paraId="2A9D2100">
      <w:pPr>
        <w:snapToGrid w:val="0"/>
        <w:spacing w:line="240" w:lineRule="atLeast"/>
        <w:jc w:val="center"/>
        <w:textAlignment w:val="baseline"/>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竞争性磋商文件</w:t>
      </w:r>
    </w:p>
    <w:p w14:paraId="4CC397C0">
      <w:pPr>
        <w:pStyle w:val="35"/>
        <w:snapToGrid w:val="0"/>
        <w:textAlignment w:val="baseline"/>
        <w:rPr>
          <w:rFonts w:hint="eastAsia" w:ascii="微软雅黑" w:hAnsi="微软雅黑" w:eastAsia="微软雅黑" w:cs="微软雅黑"/>
          <w:color w:val="auto"/>
          <w:sz w:val="21"/>
        </w:rPr>
      </w:pPr>
    </w:p>
    <w:p w14:paraId="0E58C562">
      <w:pPr>
        <w:pStyle w:val="35"/>
        <w:snapToGrid w:val="0"/>
        <w:textAlignment w:val="baseline"/>
        <w:rPr>
          <w:rFonts w:hint="eastAsia" w:ascii="微软雅黑" w:hAnsi="微软雅黑" w:eastAsia="微软雅黑" w:cs="微软雅黑"/>
          <w:color w:val="auto"/>
          <w:sz w:val="21"/>
        </w:rPr>
      </w:pPr>
    </w:p>
    <w:p w14:paraId="7B90CD29">
      <w:pPr>
        <w:snapToGrid w:val="0"/>
        <w:spacing w:line="240" w:lineRule="atLeast"/>
        <w:jc w:val="center"/>
        <w:textAlignment w:val="baseline"/>
        <w:rPr>
          <w:rFonts w:hint="eastAsia" w:ascii="微软雅黑" w:hAnsi="微软雅黑" w:eastAsia="微软雅黑" w:cs="微软雅黑"/>
          <w:b/>
          <w:color w:val="auto"/>
          <w:sz w:val="32"/>
          <w:szCs w:val="32"/>
          <w:lang w:eastAsia="zh-CN"/>
        </w:rPr>
      </w:pPr>
      <w:r>
        <w:rPr>
          <w:rFonts w:hint="eastAsia" w:ascii="微软雅黑" w:hAnsi="微软雅黑" w:eastAsia="微软雅黑" w:cs="微软雅黑"/>
          <w:b/>
          <w:color w:val="auto"/>
          <w:sz w:val="32"/>
          <w:szCs w:val="32"/>
        </w:rPr>
        <w:t>项目编号：QXJ(CS)2026-06</w:t>
      </w:r>
      <w:r>
        <w:rPr>
          <w:rFonts w:hint="eastAsia" w:ascii="微软雅黑" w:hAnsi="微软雅黑" w:eastAsia="微软雅黑" w:cs="微软雅黑"/>
          <w:b/>
          <w:color w:val="auto"/>
          <w:sz w:val="32"/>
          <w:szCs w:val="32"/>
          <w:lang w:eastAsia="zh-CN"/>
        </w:rPr>
        <w:t>号</w:t>
      </w:r>
    </w:p>
    <w:p w14:paraId="4009F987">
      <w:pPr>
        <w:snapToGrid w:val="0"/>
        <w:spacing w:line="240" w:lineRule="atLeast"/>
        <w:textAlignment w:val="baseline"/>
        <w:rPr>
          <w:rFonts w:hint="eastAsia" w:ascii="微软雅黑" w:hAnsi="微软雅黑" w:eastAsia="微软雅黑" w:cs="微软雅黑"/>
          <w:b/>
          <w:color w:val="auto"/>
          <w:sz w:val="52"/>
        </w:rPr>
      </w:pPr>
    </w:p>
    <w:p w14:paraId="68F91A8D">
      <w:pPr>
        <w:snapToGrid w:val="0"/>
        <w:spacing w:line="240" w:lineRule="atLeast"/>
        <w:jc w:val="center"/>
        <w:textAlignment w:val="baseline"/>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w:t>
      </w:r>
      <w:r>
        <w:rPr>
          <w:rFonts w:hint="eastAsia" w:ascii="微软雅黑" w:hAnsi="微软雅黑" w:eastAsia="微软雅黑" w:cs="微软雅黑"/>
          <w:b/>
          <w:color w:val="auto"/>
          <w:sz w:val="48"/>
          <w:szCs w:val="48"/>
          <w:lang w:val="en-US" w:eastAsia="zh-CN"/>
        </w:rPr>
        <w:t>一</w:t>
      </w:r>
      <w:r>
        <w:rPr>
          <w:rFonts w:hint="eastAsia" w:ascii="微软雅黑" w:hAnsi="微软雅黑" w:eastAsia="微软雅黑" w:cs="微软雅黑"/>
          <w:b/>
          <w:color w:val="auto"/>
          <w:sz w:val="48"/>
          <w:szCs w:val="48"/>
        </w:rPr>
        <w:t>册</w:t>
      </w:r>
    </w:p>
    <w:p w14:paraId="43F39B41">
      <w:pPr>
        <w:snapToGrid w:val="0"/>
        <w:spacing w:line="240" w:lineRule="atLeast"/>
        <w:ind w:left="1080" w:leftChars="257" w:hanging="540"/>
        <w:textAlignment w:val="baseline"/>
        <w:rPr>
          <w:rFonts w:hint="eastAsia" w:ascii="微软雅黑" w:hAnsi="微软雅黑" w:eastAsia="微软雅黑" w:cs="微软雅黑"/>
          <w:b/>
          <w:color w:val="auto"/>
          <w:sz w:val="28"/>
        </w:rPr>
      </w:pPr>
    </w:p>
    <w:p w14:paraId="49FE139A">
      <w:pPr>
        <w:snapToGrid w:val="0"/>
        <w:spacing w:line="240" w:lineRule="atLeast"/>
        <w:ind w:left="1080" w:leftChars="257" w:hanging="540"/>
        <w:textAlignment w:val="baseline"/>
        <w:rPr>
          <w:rFonts w:hint="eastAsia" w:ascii="微软雅黑" w:hAnsi="微软雅黑" w:eastAsia="微软雅黑" w:cs="微软雅黑"/>
          <w:b/>
          <w:color w:val="auto"/>
          <w:sz w:val="28"/>
        </w:rPr>
      </w:pPr>
    </w:p>
    <w:p w14:paraId="2B544D80">
      <w:pPr>
        <w:pStyle w:val="5"/>
        <w:tabs>
          <w:tab w:val="left" w:pos="0"/>
        </w:tabs>
        <w:snapToGrid w:val="0"/>
        <w:spacing w:before="0" w:after="0" w:line="360" w:lineRule="auto"/>
        <w:jc w:val="both"/>
        <w:textAlignment w:val="baseline"/>
        <w:rPr>
          <w:rFonts w:hint="eastAsia" w:ascii="微软雅黑" w:hAnsi="微软雅黑" w:eastAsia="微软雅黑" w:cs="微软雅黑"/>
          <w:color w:val="auto"/>
          <w:kern w:val="0"/>
          <w:szCs w:val="24"/>
        </w:rPr>
        <w:sectPr>
          <w:pgSz w:w="11905" w:h="16838"/>
          <w:pgMar w:top="1440" w:right="1080" w:bottom="1440" w:left="1080" w:header="851" w:footer="992" w:gutter="0"/>
          <w:pgNumType w:fmt="decimal"/>
          <w:cols w:space="0" w:num="1"/>
          <w:docGrid w:linePitch="312" w:charSpace="0"/>
        </w:sectPr>
      </w:pPr>
    </w:p>
    <w:p w14:paraId="41CDF98E">
      <w:pPr>
        <w:pStyle w:val="5"/>
        <w:tabs>
          <w:tab w:val="left" w:pos="0"/>
        </w:tabs>
        <w:snapToGrid w:val="0"/>
        <w:spacing w:before="0" w:after="0" w:line="360" w:lineRule="auto"/>
        <w:textAlignment w:val="baseline"/>
        <w:rPr>
          <w:rFonts w:hint="eastAsia" w:ascii="微软雅黑" w:hAnsi="微软雅黑" w:eastAsia="微软雅黑" w:cs="微软雅黑"/>
          <w:color w:val="auto"/>
          <w:sz w:val="24"/>
        </w:rPr>
      </w:pPr>
      <w:bookmarkStart w:id="3" w:name="_Toc10616"/>
      <w:r>
        <w:rPr>
          <w:rFonts w:hint="eastAsia" w:ascii="微软雅黑" w:hAnsi="微软雅黑" w:eastAsia="微软雅黑" w:cs="微软雅黑"/>
          <w:color w:val="auto"/>
          <w:kern w:val="0"/>
          <w:szCs w:val="24"/>
        </w:rPr>
        <w:t xml:space="preserve">第1章  </w:t>
      </w:r>
      <w:r>
        <w:rPr>
          <w:rFonts w:hint="eastAsia" w:ascii="微软雅黑" w:hAnsi="微软雅黑" w:eastAsia="微软雅黑" w:cs="微软雅黑"/>
          <w:color w:val="auto"/>
          <w:szCs w:val="32"/>
        </w:rPr>
        <w:t>供应商须知</w:t>
      </w:r>
      <w:bookmarkEnd w:id="0"/>
      <w:bookmarkEnd w:id="1"/>
      <w:bookmarkEnd w:id="2"/>
      <w:bookmarkEnd w:id="3"/>
    </w:p>
    <w:p w14:paraId="70FA9166">
      <w:pPr>
        <w:pStyle w:val="6"/>
        <w:snapToGrid w:val="0"/>
        <w:spacing w:before="0" w:line="240" w:lineRule="atLeast"/>
        <w:ind w:left="1080" w:leftChars="257" w:hanging="540"/>
        <w:textAlignment w:val="baseline"/>
        <w:rPr>
          <w:rFonts w:hint="eastAsia" w:ascii="微软雅黑" w:hAnsi="微软雅黑" w:eastAsia="微软雅黑" w:cs="微软雅黑"/>
          <w:color w:val="auto"/>
          <w:sz w:val="24"/>
          <w:szCs w:val="24"/>
        </w:rPr>
      </w:pPr>
      <w:bookmarkStart w:id="4" w:name="_Toc216582805"/>
      <w:bookmarkStart w:id="5" w:name="_Toc520356143"/>
      <w:bookmarkStart w:id="6" w:name="_Toc515647757"/>
      <w:bookmarkStart w:id="7" w:name="_Toc21215"/>
      <w:bookmarkStart w:id="8" w:name="_Toc28407"/>
      <w:bookmarkStart w:id="9" w:name="_Toc21015"/>
      <w:r>
        <w:rPr>
          <w:rFonts w:hint="eastAsia" w:ascii="微软雅黑" w:hAnsi="微软雅黑" w:eastAsia="微软雅黑" w:cs="微软雅黑"/>
          <w:color w:val="auto"/>
          <w:sz w:val="24"/>
          <w:szCs w:val="24"/>
        </w:rPr>
        <w:t xml:space="preserve">一   </w:t>
      </w:r>
      <w:bookmarkEnd w:id="4"/>
      <w:bookmarkEnd w:id="5"/>
      <w:bookmarkEnd w:id="6"/>
      <w:r>
        <w:rPr>
          <w:rFonts w:hint="eastAsia" w:ascii="微软雅黑" w:hAnsi="微软雅黑" w:eastAsia="微软雅黑" w:cs="微软雅黑"/>
          <w:color w:val="auto"/>
          <w:sz w:val="24"/>
          <w:szCs w:val="24"/>
        </w:rPr>
        <w:t>总 则</w:t>
      </w:r>
      <w:bookmarkEnd w:id="7"/>
      <w:bookmarkEnd w:id="8"/>
      <w:bookmarkEnd w:id="9"/>
    </w:p>
    <w:p w14:paraId="71767227">
      <w:pPr>
        <w:pStyle w:val="7"/>
        <w:spacing w:before="0" w:after="0" w:line="400" w:lineRule="exact"/>
        <w:rPr>
          <w:rFonts w:hint="eastAsia" w:ascii="微软雅黑" w:hAnsi="微软雅黑" w:eastAsia="微软雅黑" w:cs="微软雅黑"/>
          <w:color w:val="auto"/>
          <w:u w:val="none"/>
        </w:rPr>
      </w:pPr>
      <w:bookmarkStart w:id="10" w:name="_Toc520356144"/>
      <w:bookmarkStart w:id="11" w:name="_Toc12013"/>
      <w:bookmarkStart w:id="12" w:name="_Toc518923061"/>
      <w:bookmarkStart w:id="13" w:name="_Toc11513"/>
      <w:bookmarkStart w:id="14" w:name="_Toc16905_WPSOffice_Level2"/>
      <w:bookmarkStart w:id="15" w:name="_Toc26080"/>
      <w:bookmarkStart w:id="16" w:name="_Toc4676_WPSOffice_Level2"/>
      <w:bookmarkStart w:id="17" w:name="_Toc9226"/>
      <w:bookmarkStart w:id="18" w:name="_Toc25825"/>
      <w:bookmarkStart w:id="19" w:name="_Toc11939"/>
      <w:bookmarkStart w:id="20" w:name="_Toc5408"/>
      <w:bookmarkStart w:id="21" w:name="_Toc520356165"/>
      <w:bookmarkStart w:id="22" w:name="_Toc21372"/>
      <w:bookmarkStart w:id="23" w:name="_Toc19296"/>
      <w:bookmarkStart w:id="24" w:name="_Toc515647780"/>
      <w:bookmarkStart w:id="25" w:name="_Toc5428"/>
      <w:bookmarkStart w:id="26" w:name="_Toc6401"/>
      <w:bookmarkStart w:id="27" w:name="_Toc9240"/>
      <w:bookmarkStart w:id="28" w:name="_Toc14954"/>
      <w:bookmarkStart w:id="29" w:name="_Toc28768"/>
      <w:bookmarkStart w:id="30" w:name="_Toc18057"/>
      <w:bookmarkStart w:id="31" w:name="_Toc5402"/>
      <w:bookmarkStart w:id="32" w:name="_Toc5768"/>
      <w:bookmarkStart w:id="33" w:name="_Toc18658"/>
      <w:r>
        <w:rPr>
          <w:rFonts w:hint="eastAsia" w:ascii="微软雅黑" w:hAnsi="微软雅黑" w:eastAsia="微软雅黑" w:cs="微软雅黑"/>
          <w:color w:val="auto"/>
          <w:u w:val="none"/>
        </w:rPr>
        <w:t>1.采购人、采购代理机构及</w:t>
      </w:r>
      <w:bookmarkEnd w:id="10"/>
      <w:bookmarkEnd w:id="11"/>
      <w:bookmarkEnd w:id="12"/>
      <w:r>
        <w:rPr>
          <w:rFonts w:hint="eastAsia" w:ascii="微软雅黑" w:hAnsi="微软雅黑" w:eastAsia="微软雅黑" w:cs="微软雅黑"/>
          <w:color w:val="auto"/>
          <w:u w:val="none"/>
        </w:rPr>
        <w:t>供应商</w:t>
      </w:r>
      <w:bookmarkEnd w:id="13"/>
      <w:bookmarkEnd w:id="14"/>
      <w:bookmarkEnd w:id="15"/>
      <w:bookmarkEnd w:id="16"/>
      <w:bookmarkEnd w:id="17"/>
      <w:bookmarkEnd w:id="18"/>
      <w:bookmarkEnd w:id="19"/>
      <w:bookmarkEnd w:id="20"/>
    </w:p>
    <w:p w14:paraId="0D894ED7">
      <w:pPr>
        <w:numPr>
          <w:ilvl w:val="1"/>
          <w:numId w:val="2"/>
        </w:numPr>
        <w:tabs>
          <w:tab w:val="left" w:pos="0"/>
          <w:tab w:val="clear" w:pos="900"/>
        </w:tabs>
        <w:spacing w:line="400" w:lineRule="exact"/>
        <w:ind w:hanging="89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采购人：是指依法开展政府采购活动的国家机关、事业单位、团体组织</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本项目的采购人见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7A38B4C9">
      <w:pPr>
        <w:numPr>
          <w:ilvl w:val="1"/>
          <w:numId w:val="2"/>
        </w:numPr>
        <w:tabs>
          <w:tab w:val="left" w:pos="0"/>
          <w:tab w:val="clear" w:pos="900"/>
        </w:tabs>
        <w:spacing w:line="400" w:lineRule="exact"/>
        <w:ind w:hanging="898"/>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采购代理机构：是指集中采购机构或从事采购代理业务的社会中介机构。本项目的采购代理机构见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7BCCC1E9">
      <w:pPr>
        <w:numPr>
          <w:ilvl w:val="1"/>
          <w:numId w:val="2"/>
        </w:numPr>
        <w:spacing w:line="400" w:lineRule="exact"/>
        <w:ind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供应商：是指向采购人提供货物、工程或者服务的法人、非法人组织或者自然人。本项目的供应商须满足以下条件：</w:t>
      </w:r>
    </w:p>
    <w:p w14:paraId="732DED35">
      <w:pPr>
        <w:spacing w:line="400" w:lineRule="exact"/>
        <w:ind w:left="850" w:hanging="849" w:hangingChars="354"/>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在中华人民共和国境内注册，能够独立承担民事责任，有生产或供应能力的本国供应商。</w:t>
      </w:r>
    </w:p>
    <w:p w14:paraId="50F5115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  具备《中华人民共和国政府采购法》第二十二条关于供应商条件的规定，遵守本项目采购人本级和上级财政部门政府采购的有关规定。</w:t>
      </w:r>
    </w:p>
    <w:p w14:paraId="6F5674C5">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1.3.3   以采购代理机构认可的方式获得了本项目的磋商文件。</w:t>
      </w:r>
    </w:p>
    <w:p w14:paraId="3B49B88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1.3.4   符合</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中规定的其他要求。</w:t>
      </w:r>
    </w:p>
    <w:p w14:paraId="51315CB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1.3.5   若</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中写明专门面向中小企业采购的，如供应商为非中小企业，其磋商将被认定为磋商无效。</w:t>
      </w:r>
    </w:p>
    <w:p w14:paraId="156A3FA1">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     如</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中允许联合体磋商，对联合体规定如下：</w:t>
      </w:r>
    </w:p>
    <w:p w14:paraId="23CB0C5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   两个以上供应商可以组成一个磋商联合体，以一个供应商的身份磋商。</w:t>
      </w:r>
    </w:p>
    <w:p w14:paraId="116AF1E1">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   联合体各方均应符合《中华人民共和国政府采购法》第二十二条规定的条件。</w:t>
      </w:r>
    </w:p>
    <w:p w14:paraId="0D246F1E">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1.4.3   采购人根据采购项目对供应商的特殊要求，联合体中至少应当有一方符合相关规定。</w:t>
      </w:r>
    </w:p>
    <w:p w14:paraId="0B9A51D1">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1.4.4   联合体各方应签订共同磋商协议，明确约定联合体各方承担的工作和相应的责任，并将共同磋商协议连同响应文件一并提交招标采购单位。</w:t>
      </w:r>
    </w:p>
    <w:p w14:paraId="38F2310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1.4.5   大中型企业、其他自然人、法人或者非法人组织与小型、微型企业组成联合体共同参加磋商，共同磋商协议中应写明小型、微型企业的协议合同金额占到共同磋商协议磋商总金额的比例。</w:t>
      </w:r>
    </w:p>
    <w:p w14:paraId="731508D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1.4.6  联合体中有同类资质的供应商按照联合体分工承担相同工作的，按照资质等级较低的供应商确定资质等级。</w:t>
      </w:r>
    </w:p>
    <w:p w14:paraId="2123280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1.4.7  以联合体形式参加政府采购活动的，联合体各方不得再单独参加或者与其他供应商另外组成联合体参加本项目磋商，否则相关磋商将被认定为磋商无效。</w:t>
      </w:r>
    </w:p>
    <w:p w14:paraId="1FF5044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1.4.8   对联合体磋商的其他资格要求见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28EA58A2">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    单位负责人为同一人或者存在直接控股、管理关系的不同供应商，其相关磋商将被认定为磋商无效。</w:t>
      </w:r>
    </w:p>
    <w:p w14:paraId="2220B92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    为本项目提供过整体设计、规范编制或者项目管理、监理、检测等服务的供应商，不得再参加本项目上述服务以外的其他采购活动。否则其磋商将被认定为磋商无效。</w:t>
      </w:r>
    </w:p>
    <w:p w14:paraId="6380872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供应商在磋商过程中不得向采购人提供或给予影响其正常决策行为的任何有价值物品或服务。一经发现，其磋商将被认定为磋商无效。</w:t>
      </w:r>
    </w:p>
    <w:p w14:paraId="4B49EBA9">
      <w:pPr>
        <w:pStyle w:val="7"/>
        <w:spacing w:before="0" w:after="0" w:line="400" w:lineRule="exact"/>
        <w:rPr>
          <w:rFonts w:hint="eastAsia" w:ascii="微软雅黑" w:hAnsi="微软雅黑" w:eastAsia="微软雅黑" w:cs="微软雅黑"/>
          <w:color w:val="auto"/>
          <w:u w:val="none"/>
        </w:rPr>
      </w:pPr>
      <w:bookmarkStart w:id="34" w:name="_Toc15784"/>
      <w:bookmarkStart w:id="35" w:name="_Toc2517"/>
      <w:bookmarkStart w:id="36" w:name="_Toc2643"/>
      <w:bookmarkStart w:id="37" w:name="_Toc20477"/>
      <w:bookmarkStart w:id="38" w:name="_Toc20914"/>
      <w:bookmarkStart w:id="39" w:name="_Toc11482_WPSOffice_Level2"/>
      <w:bookmarkStart w:id="40" w:name="_Toc237"/>
      <w:bookmarkStart w:id="41" w:name="_Toc518923062"/>
      <w:bookmarkStart w:id="42" w:name="_Toc23589"/>
      <w:bookmarkStart w:id="43" w:name="_Toc11813_WPSOffice_Level2"/>
      <w:r>
        <w:rPr>
          <w:rFonts w:hint="eastAsia" w:ascii="微软雅黑" w:hAnsi="微软雅黑" w:eastAsia="微软雅黑" w:cs="微软雅黑"/>
          <w:color w:val="auto"/>
          <w:u w:val="none"/>
        </w:rPr>
        <w:t>2.资金来源</w:t>
      </w:r>
      <w:bookmarkEnd w:id="34"/>
      <w:bookmarkEnd w:id="35"/>
      <w:bookmarkEnd w:id="36"/>
      <w:bookmarkEnd w:id="37"/>
      <w:bookmarkEnd w:id="38"/>
      <w:bookmarkEnd w:id="39"/>
      <w:bookmarkEnd w:id="40"/>
      <w:bookmarkEnd w:id="41"/>
      <w:bookmarkEnd w:id="42"/>
      <w:bookmarkEnd w:id="43"/>
    </w:p>
    <w:p w14:paraId="5EE697B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本项目的采购人已获得足以支付本次招标后所签订的合同项下的资金（包括财政性资金和本项目采购中无法与财政性资金分割的非财政性资金）。</w:t>
      </w:r>
    </w:p>
    <w:p w14:paraId="6AE5D64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    项目预算金额</w:t>
      </w:r>
      <w:r>
        <w:rPr>
          <w:rFonts w:hint="eastAsia" w:ascii="微软雅黑" w:hAnsi="微软雅黑" w:eastAsia="微软雅黑" w:cs="微软雅黑"/>
          <w:color w:val="auto"/>
          <w:sz w:val="24"/>
          <w:u w:val="single"/>
        </w:rPr>
        <w:t>见供应商须知资料表</w:t>
      </w:r>
      <w:r>
        <w:rPr>
          <w:rFonts w:hint="eastAsia" w:ascii="微软雅黑" w:hAnsi="微软雅黑" w:eastAsia="微软雅黑" w:cs="微软雅黑"/>
          <w:color w:val="auto"/>
          <w:sz w:val="24"/>
        </w:rPr>
        <w:t>。</w:t>
      </w:r>
    </w:p>
    <w:p w14:paraId="43C0BEA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    供应商报价超过磋商文件规定的预算金额，其报价将被认定为无效。</w:t>
      </w:r>
    </w:p>
    <w:p w14:paraId="0D2A388E">
      <w:pPr>
        <w:pStyle w:val="7"/>
        <w:spacing w:before="0" w:after="0" w:line="400" w:lineRule="exact"/>
        <w:rPr>
          <w:rFonts w:hint="eastAsia" w:ascii="微软雅黑" w:hAnsi="微软雅黑" w:eastAsia="微软雅黑" w:cs="微软雅黑"/>
          <w:color w:val="auto"/>
          <w:u w:val="none"/>
        </w:rPr>
      </w:pPr>
      <w:bookmarkStart w:id="44" w:name="_Toc28166"/>
      <w:bookmarkStart w:id="45" w:name="_Toc6330"/>
      <w:bookmarkStart w:id="46" w:name="_Toc8946_WPSOffice_Level2"/>
      <w:bookmarkStart w:id="47" w:name="_Toc4219"/>
      <w:bookmarkStart w:id="48" w:name="_Toc20276"/>
      <w:bookmarkStart w:id="49" w:name="_Toc2236"/>
      <w:bookmarkStart w:id="50" w:name="_Toc520356145"/>
      <w:bookmarkStart w:id="51" w:name="_Toc8601_WPSOffice_Level2"/>
      <w:bookmarkStart w:id="52" w:name="_Toc518923063"/>
      <w:bookmarkStart w:id="53" w:name="_Toc18464"/>
      <w:bookmarkStart w:id="54" w:name="_Toc26355"/>
      <w:r>
        <w:rPr>
          <w:rFonts w:hint="eastAsia" w:ascii="微软雅黑" w:hAnsi="微软雅黑" w:eastAsia="微软雅黑" w:cs="微软雅黑"/>
          <w:color w:val="auto"/>
          <w:u w:val="none"/>
        </w:rPr>
        <w:t>3.磋商费用</w:t>
      </w:r>
      <w:bookmarkEnd w:id="44"/>
      <w:bookmarkEnd w:id="45"/>
      <w:bookmarkEnd w:id="46"/>
      <w:bookmarkEnd w:id="47"/>
      <w:bookmarkEnd w:id="48"/>
      <w:bookmarkEnd w:id="49"/>
      <w:bookmarkEnd w:id="50"/>
      <w:bookmarkEnd w:id="51"/>
      <w:bookmarkEnd w:id="52"/>
      <w:bookmarkEnd w:id="53"/>
      <w:bookmarkEnd w:id="54"/>
    </w:p>
    <w:p w14:paraId="4B02542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不论磋商的结果如何，供应商应承担所有与准备和参加磋商有关的费用。</w:t>
      </w:r>
    </w:p>
    <w:p w14:paraId="2E3E9B3E">
      <w:pPr>
        <w:pStyle w:val="7"/>
        <w:spacing w:before="0" w:after="0" w:line="400" w:lineRule="exact"/>
        <w:rPr>
          <w:rFonts w:hint="eastAsia" w:ascii="微软雅黑" w:hAnsi="微软雅黑" w:eastAsia="微软雅黑" w:cs="微软雅黑"/>
          <w:color w:val="auto"/>
          <w:u w:val="none"/>
        </w:rPr>
      </w:pPr>
      <w:bookmarkStart w:id="55" w:name="_Toc22636"/>
      <w:bookmarkStart w:id="56" w:name="_Toc1523_WPSOffice_Level2"/>
      <w:bookmarkStart w:id="57" w:name="_Toc9239"/>
      <w:bookmarkStart w:id="58" w:name="_Toc22788"/>
      <w:bookmarkStart w:id="59" w:name="_Toc21888"/>
      <w:bookmarkStart w:id="60" w:name="_Toc7412"/>
      <w:bookmarkStart w:id="61" w:name="_Toc12375"/>
      <w:bookmarkStart w:id="62" w:name="_Toc32365"/>
      <w:bookmarkStart w:id="63" w:name="_Toc518923064"/>
      <w:bookmarkStart w:id="64" w:name="_Toc8368_WPSOffice_Level2"/>
      <w:r>
        <w:rPr>
          <w:rFonts w:hint="eastAsia" w:ascii="微软雅黑" w:hAnsi="微软雅黑" w:eastAsia="微软雅黑" w:cs="微软雅黑"/>
          <w:color w:val="auto"/>
          <w:u w:val="none"/>
        </w:rPr>
        <w:t>4.适用法律</w:t>
      </w:r>
      <w:bookmarkEnd w:id="55"/>
      <w:bookmarkEnd w:id="56"/>
      <w:bookmarkEnd w:id="57"/>
      <w:bookmarkEnd w:id="58"/>
      <w:bookmarkEnd w:id="59"/>
      <w:bookmarkEnd w:id="60"/>
      <w:bookmarkEnd w:id="61"/>
      <w:bookmarkEnd w:id="62"/>
      <w:bookmarkEnd w:id="63"/>
      <w:bookmarkEnd w:id="64"/>
    </w:p>
    <w:p w14:paraId="048D747E">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highlight w:val="none"/>
        </w:rPr>
        <w:t>本项目采购人、采购代理机构、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的相关行为均受《中华人民共和国政府采购法》、《中华人民共和国政府采购法实施条例》</w:t>
      </w:r>
      <w:r>
        <w:rPr>
          <w:rFonts w:hint="eastAsia" w:ascii="微软雅黑" w:hAnsi="微软雅黑" w:eastAsia="微软雅黑" w:cs="微软雅黑"/>
          <w:color w:val="auto"/>
          <w:sz w:val="24"/>
          <w:highlight w:val="none"/>
          <w:lang w:eastAsia="zh-CN"/>
        </w:rPr>
        <w:t>、《政府采购竞争性磋商采购方式管理暂行办法》</w:t>
      </w:r>
      <w:r>
        <w:rPr>
          <w:rFonts w:hint="eastAsia" w:ascii="微软雅黑" w:hAnsi="微软雅黑" w:eastAsia="微软雅黑" w:cs="微软雅黑"/>
          <w:color w:val="auto"/>
          <w:sz w:val="24"/>
          <w:highlight w:val="none"/>
        </w:rPr>
        <w:t>及本项目本级和上级财政部门政府采购有关规定的约束，其权利受到上述法律法规的保护。</w:t>
      </w:r>
    </w:p>
    <w:p w14:paraId="72E99640">
      <w:pPr>
        <w:pStyle w:val="6"/>
        <w:spacing w:before="0" w:line="400" w:lineRule="exact"/>
        <w:ind w:left="1080" w:leftChars="257" w:hanging="540"/>
        <w:rPr>
          <w:rFonts w:hint="eastAsia" w:ascii="微软雅黑" w:hAnsi="微软雅黑" w:eastAsia="微软雅黑" w:cs="微软雅黑"/>
          <w:color w:val="auto"/>
        </w:rPr>
      </w:pPr>
      <w:bookmarkStart w:id="65" w:name="_Toc216582806"/>
      <w:bookmarkStart w:id="66" w:name="_Toc809"/>
      <w:bookmarkStart w:id="67" w:name="_Toc520356146"/>
      <w:bookmarkStart w:id="68" w:name="_Toc518923065"/>
      <w:bookmarkStart w:id="69" w:name="_Toc24427"/>
      <w:bookmarkStart w:id="70" w:name="_Toc20318"/>
      <w:bookmarkStart w:id="71" w:name="_Toc10715354"/>
      <w:bookmarkStart w:id="72" w:name="_Toc10894_WPSOffice_Level1"/>
      <w:bookmarkStart w:id="73" w:name="_Toc889"/>
      <w:bookmarkStart w:id="74" w:name="_Toc13552"/>
      <w:bookmarkStart w:id="75" w:name="_Toc7690"/>
      <w:r>
        <w:rPr>
          <w:rFonts w:hint="eastAsia" w:ascii="微软雅黑" w:hAnsi="微软雅黑" w:eastAsia="微软雅黑" w:cs="微软雅黑"/>
          <w:color w:val="auto"/>
          <w:sz w:val="28"/>
        </w:rPr>
        <w:t xml:space="preserve">二   </w:t>
      </w:r>
      <w:bookmarkEnd w:id="65"/>
      <w:bookmarkEnd w:id="66"/>
      <w:bookmarkEnd w:id="67"/>
      <w:bookmarkEnd w:id="68"/>
      <w:r>
        <w:rPr>
          <w:rFonts w:hint="eastAsia" w:ascii="微软雅黑" w:hAnsi="微软雅黑" w:eastAsia="微软雅黑" w:cs="微软雅黑"/>
          <w:color w:val="auto"/>
          <w:sz w:val="28"/>
        </w:rPr>
        <w:t>磋商文件</w:t>
      </w:r>
      <w:bookmarkEnd w:id="69"/>
      <w:bookmarkEnd w:id="70"/>
      <w:bookmarkEnd w:id="71"/>
      <w:bookmarkEnd w:id="72"/>
      <w:bookmarkEnd w:id="73"/>
      <w:bookmarkEnd w:id="74"/>
      <w:bookmarkEnd w:id="75"/>
    </w:p>
    <w:p w14:paraId="43A2C5FF">
      <w:pPr>
        <w:pStyle w:val="7"/>
        <w:spacing w:before="0" w:after="0" w:line="400" w:lineRule="exact"/>
        <w:rPr>
          <w:rFonts w:hint="eastAsia" w:ascii="微软雅黑" w:hAnsi="微软雅黑" w:eastAsia="微软雅黑" w:cs="微软雅黑"/>
          <w:color w:val="auto"/>
          <w:u w:val="none"/>
        </w:rPr>
      </w:pPr>
      <w:bookmarkStart w:id="76" w:name="_Toc518923066"/>
      <w:bookmarkStart w:id="77" w:name="_Toc6355"/>
      <w:bookmarkStart w:id="78" w:name="_Toc22990"/>
      <w:bookmarkStart w:id="79" w:name="_Toc32393"/>
      <w:bookmarkStart w:id="80" w:name="_Toc520356147"/>
      <w:bookmarkStart w:id="81" w:name="_Toc27269"/>
      <w:bookmarkStart w:id="82" w:name="_Toc17055"/>
      <w:bookmarkStart w:id="83" w:name="_Toc4166"/>
      <w:bookmarkStart w:id="84" w:name="_Toc4598"/>
      <w:bookmarkStart w:id="85" w:name="_Toc15303_WPSOffice_Level2"/>
      <w:bookmarkStart w:id="86" w:name="_Toc15218_WPSOffice_Level2"/>
      <w:r>
        <w:rPr>
          <w:rFonts w:hint="eastAsia" w:ascii="微软雅黑" w:hAnsi="微软雅黑" w:eastAsia="微软雅黑" w:cs="微软雅黑"/>
          <w:color w:val="auto"/>
          <w:u w:val="none"/>
        </w:rPr>
        <w:t>5.磋商文件构成</w:t>
      </w:r>
      <w:bookmarkEnd w:id="76"/>
      <w:bookmarkEnd w:id="77"/>
      <w:bookmarkEnd w:id="78"/>
      <w:bookmarkEnd w:id="79"/>
      <w:bookmarkEnd w:id="80"/>
      <w:bookmarkEnd w:id="81"/>
      <w:bookmarkEnd w:id="82"/>
      <w:bookmarkEnd w:id="83"/>
      <w:bookmarkEnd w:id="84"/>
      <w:bookmarkEnd w:id="85"/>
      <w:bookmarkEnd w:id="86"/>
    </w:p>
    <w:p w14:paraId="261DEE5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磋商文件分为三册共7章，内容如下：</w:t>
      </w:r>
    </w:p>
    <w:p w14:paraId="6387A9E7">
      <w:pPr>
        <w:spacing w:line="400" w:lineRule="exact"/>
        <w:ind w:left="1079" w:leftChars="428" w:hanging="180" w:hangingChars="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第一册</w:t>
      </w:r>
    </w:p>
    <w:p w14:paraId="58BECBF5">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供应商须知</w:t>
      </w:r>
    </w:p>
    <w:p w14:paraId="2C16F532">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响应文件格式</w:t>
      </w:r>
    </w:p>
    <w:p w14:paraId="03786C2E">
      <w:p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第二册</w:t>
      </w:r>
    </w:p>
    <w:p w14:paraId="79DAC0A6">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磋商邀请 </w:t>
      </w:r>
    </w:p>
    <w:p w14:paraId="19B6BE7A">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供应商须知资料表</w:t>
      </w:r>
    </w:p>
    <w:p w14:paraId="3F3EA4D4">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服务</w:t>
      </w:r>
      <w:r>
        <w:rPr>
          <w:rFonts w:hint="eastAsia" w:ascii="微软雅黑" w:hAnsi="微软雅黑" w:eastAsia="微软雅黑" w:cs="微软雅黑"/>
          <w:color w:val="auto"/>
          <w:sz w:val="24"/>
          <w:lang w:eastAsia="zh-CN"/>
        </w:rPr>
        <w:t>内容及项目要求</w:t>
      </w:r>
    </w:p>
    <w:p w14:paraId="4BF56E3D">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评审方法和标准</w:t>
      </w:r>
    </w:p>
    <w:p w14:paraId="40163AC3">
      <w:pPr>
        <w:spacing w:line="400" w:lineRule="exact"/>
        <w:ind w:left="901"/>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第三册</w:t>
      </w:r>
    </w:p>
    <w:p w14:paraId="40906D34">
      <w:pPr>
        <w:numPr>
          <w:ilvl w:val="0"/>
          <w:numId w:val="3"/>
        </w:numPr>
        <w:spacing w:line="400" w:lineRule="exact"/>
        <w:ind w:left="1081" w:leftChars="429" w:hanging="1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政府采购合同格式</w:t>
      </w:r>
    </w:p>
    <w:p w14:paraId="4B2633D8">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如本文件的前后内容不一致，以最后描述为准。</w:t>
      </w:r>
    </w:p>
    <w:p w14:paraId="2A9D397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5.3    供应商应认真阅读磋商文件所有的事项、格式、条款和技术规范等。如供应商没有按照磋商文件要求提交全部资料，或者响应文件没有对磋商文件在各方面都做出实质性响应，可能导致其磋商被认定为磋商无效。</w:t>
      </w:r>
    </w:p>
    <w:p w14:paraId="0BF1478F">
      <w:pPr>
        <w:pStyle w:val="7"/>
        <w:spacing w:before="0" w:after="0" w:line="400" w:lineRule="exact"/>
        <w:rPr>
          <w:rFonts w:hint="eastAsia" w:ascii="微软雅黑" w:hAnsi="微软雅黑" w:eastAsia="微软雅黑" w:cs="微软雅黑"/>
          <w:b w:val="0"/>
          <w:color w:val="auto"/>
          <w:u w:val="none"/>
        </w:rPr>
      </w:pPr>
      <w:bookmarkStart w:id="87" w:name="_Toc520356148"/>
      <w:bookmarkStart w:id="88" w:name="_Toc90_WPSOffice_Level2"/>
      <w:bookmarkStart w:id="89" w:name="_Toc18555"/>
      <w:bookmarkStart w:id="90" w:name="_Toc10956"/>
      <w:bookmarkStart w:id="91" w:name="_Toc27880"/>
      <w:bookmarkStart w:id="92" w:name="_Toc13816"/>
      <w:bookmarkStart w:id="93" w:name="_Toc29081_WPSOffice_Level2"/>
      <w:bookmarkStart w:id="94" w:name="_Toc20532"/>
      <w:bookmarkStart w:id="95" w:name="_Toc518923067"/>
      <w:bookmarkStart w:id="96" w:name="_Toc21314"/>
      <w:bookmarkStart w:id="97" w:name="_Toc20413"/>
      <w:r>
        <w:rPr>
          <w:rFonts w:hint="eastAsia" w:ascii="微软雅黑" w:hAnsi="微软雅黑" w:eastAsia="微软雅黑" w:cs="微软雅黑"/>
          <w:color w:val="auto"/>
          <w:u w:val="none"/>
        </w:rPr>
        <w:t>6.磋商文件的澄清</w:t>
      </w:r>
      <w:bookmarkEnd w:id="87"/>
      <w:r>
        <w:rPr>
          <w:rFonts w:hint="eastAsia" w:ascii="微软雅黑" w:hAnsi="微软雅黑" w:eastAsia="微软雅黑" w:cs="微软雅黑"/>
          <w:color w:val="auto"/>
          <w:u w:val="none"/>
        </w:rPr>
        <w:t>与修改</w:t>
      </w:r>
      <w:bookmarkEnd w:id="88"/>
      <w:bookmarkEnd w:id="89"/>
      <w:bookmarkEnd w:id="90"/>
      <w:bookmarkEnd w:id="91"/>
      <w:bookmarkEnd w:id="92"/>
      <w:bookmarkEnd w:id="93"/>
      <w:bookmarkEnd w:id="94"/>
      <w:bookmarkEnd w:id="95"/>
      <w:bookmarkEnd w:id="96"/>
      <w:bookmarkEnd w:id="97"/>
    </w:p>
    <w:p w14:paraId="5A80E101">
      <w:pPr>
        <w:pStyle w:val="10"/>
        <w:spacing w:line="400" w:lineRule="exact"/>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6.1    为了保证对磋商文件的澄清和修改满足法律的时限要求，</w:t>
      </w:r>
      <w:bookmarkStart w:id="98" w:name="_Toc520356149"/>
      <w:bookmarkStart w:id="99" w:name="_Ref467378678"/>
      <w:r>
        <w:rPr>
          <w:rFonts w:hint="eastAsia" w:ascii="微软雅黑" w:hAnsi="微软雅黑" w:eastAsia="微软雅黑" w:cs="微软雅黑"/>
          <w:color w:val="auto"/>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BAB551E">
      <w:pPr>
        <w:pStyle w:val="10"/>
        <w:spacing w:line="400" w:lineRule="exact"/>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6.2</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采购人可主动地或在解答供应商提出的澄清问题时对磋商文件澄清或修改。采购代理机构将以发布澄清（更正）公告的方式，澄清或修改磋商文件，澄清或修改内容作为磋商文件的组成部分。</w:t>
      </w:r>
    </w:p>
    <w:p w14:paraId="2DDA31A2">
      <w:pPr>
        <w:pStyle w:val="10"/>
        <w:spacing w:line="400" w:lineRule="exact"/>
        <w:ind w:left="840" w:hanging="840" w:hangingChars="35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6.3</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澄清或者修改的内容可能影响响应文件编制的，采购代理机构将以书面形式通知所有购买磋商文件的潜在供应商，并对其具有约束力。供应商在收到上述通知后，应及时向采购代理机构回函确认。</w:t>
      </w:r>
    </w:p>
    <w:p w14:paraId="230E7A6B">
      <w:pPr>
        <w:pStyle w:val="7"/>
        <w:tabs>
          <w:tab w:val="left" w:pos="900"/>
        </w:tabs>
        <w:spacing w:before="0" w:after="0" w:line="400" w:lineRule="exact"/>
        <w:rPr>
          <w:rFonts w:hint="eastAsia" w:ascii="微软雅黑" w:hAnsi="微软雅黑" w:eastAsia="微软雅黑" w:cs="微软雅黑"/>
          <w:color w:val="auto"/>
          <w:u w:val="none"/>
        </w:rPr>
      </w:pPr>
      <w:bookmarkStart w:id="100" w:name="_Toc10994"/>
      <w:bookmarkStart w:id="101" w:name="_Toc10965"/>
      <w:bookmarkStart w:id="102" w:name="_Toc31699_WPSOffice_Level2"/>
      <w:bookmarkStart w:id="103" w:name="_Toc4262"/>
      <w:bookmarkStart w:id="104" w:name="_Toc17795"/>
      <w:bookmarkStart w:id="105" w:name="_Toc9694_WPSOffice_Level2"/>
      <w:bookmarkStart w:id="106" w:name="_Toc10260"/>
      <w:bookmarkStart w:id="107" w:name="_Toc23216"/>
      <w:bookmarkStart w:id="108" w:name="_Toc2158"/>
      <w:bookmarkStart w:id="109" w:name="_Toc518923068"/>
      <w:r>
        <w:rPr>
          <w:rFonts w:hint="eastAsia" w:ascii="微软雅黑" w:hAnsi="微软雅黑" w:eastAsia="微软雅黑" w:cs="微软雅黑"/>
          <w:color w:val="auto"/>
          <w:u w:val="none"/>
        </w:rPr>
        <w:t>7</w:t>
      </w:r>
      <w:bookmarkEnd w:id="98"/>
      <w:bookmarkEnd w:id="99"/>
      <w:r>
        <w:rPr>
          <w:rFonts w:hint="eastAsia" w:ascii="微软雅黑" w:hAnsi="微软雅黑" w:eastAsia="微软雅黑" w:cs="微软雅黑"/>
          <w:color w:val="auto"/>
          <w:u w:val="none"/>
        </w:rPr>
        <w:t>.响应文件递交截止时间的顺延</w:t>
      </w:r>
      <w:bookmarkEnd w:id="100"/>
      <w:bookmarkEnd w:id="101"/>
      <w:bookmarkEnd w:id="102"/>
      <w:bookmarkEnd w:id="103"/>
      <w:bookmarkEnd w:id="104"/>
      <w:bookmarkEnd w:id="105"/>
      <w:bookmarkEnd w:id="106"/>
      <w:bookmarkEnd w:id="107"/>
      <w:bookmarkEnd w:id="108"/>
      <w:bookmarkEnd w:id="109"/>
    </w:p>
    <w:p w14:paraId="3798C58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为使供应商准备磋商时有足够的时间对磋商文件的澄清或者修改部分进行研究，采购人将依法决定是否顺延响应文件递交截止时间。</w:t>
      </w:r>
    </w:p>
    <w:p w14:paraId="3E4C7AA5">
      <w:pPr>
        <w:pStyle w:val="6"/>
        <w:tabs>
          <w:tab w:val="left" w:pos="900"/>
        </w:tabs>
        <w:spacing w:before="0" w:line="400" w:lineRule="exact"/>
        <w:ind w:left="1080" w:leftChars="257" w:hanging="540"/>
        <w:rPr>
          <w:rFonts w:hint="eastAsia" w:ascii="微软雅黑" w:hAnsi="微软雅黑" w:eastAsia="微软雅黑" w:cs="微软雅黑"/>
          <w:color w:val="auto"/>
        </w:rPr>
      </w:pPr>
      <w:bookmarkStart w:id="110" w:name="_Toc516367020"/>
      <w:bookmarkStart w:id="111" w:name="_Toc10715355"/>
      <w:bookmarkStart w:id="112" w:name="_Toc518923069"/>
      <w:bookmarkStart w:id="113" w:name="_Toc25389"/>
      <w:bookmarkStart w:id="114" w:name="_Toc4436_WPSOffice_Level1"/>
      <w:bookmarkStart w:id="115" w:name="_Toc22312"/>
      <w:bookmarkStart w:id="116" w:name="_Toc18370"/>
      <w:bookmarkStart w:id="117" w:name="_Toc22504"/>
      <w:bookmarkStart w:id="118" w:name="_Toc520356150"/>
      <w:bookmarkStart w:id="119" w:name="_Toc19754"/>
      <w:bookmarkStart w:id="120" w:name="_Toc216582807"/>
      <w:r>
        <w:rPr>
          <w:rFonts w:hint="eastAsia" w:ascii="微软雅黑" w:hAnsi="微软雅黑" w:eastAsia="微软雅黑" w:cs="微软雅黑"/>
          <w:color w:val="auto"/>
          <w:sz w:val="28"/>
        </w:rPr>
        <w:t xml:space="preserve">三   </w:t>
      </w:r>
      <w:bookmarkEnd w:id="110"/>
      <w:r>
        <w:rPr>
          <w:rFonts w:hint="eastAsia" w:ascii="微软雅黑" w:hAnsi="微软雅黑" w:eastAsia="微软雅黑" w:cs="微软雅黑"/>
          <w:color w:val="auto"/>
          <w:sz w:val="28"/>
        </w:rPr>
        <w:t>响应文件的编制</w:t>
      </w:r>
      <w:bookmarkEnd w:id="111"/>
      <w:bookmarkEnd w:id="112"/>
      <w:bookmarkEnd w:id="113"/>
      <w:bookmarkEnd w:id="114"/>
      <w:bookmarkEnd w:id="115"/>
      <w:bookmarkEnd w:id="116"/>
      <w:bookmarkEnd w:id="117"/>
      <w:bookmarkEnd w:id="118"/>
      <w:bookmarkEnd w:id="119"/>
      <w:bookmarkEnd w:id="120"/>
    </w:p>
    <w:p w14:paraId="254B0AAB">
      <w:pPr>
        <w:pStyle w:val="7"/>
        <w:tabs>
          <w:tab w:val="left" w:pos="900"/>
        </w:tabs>
        <w:spacing w:before="0" w:after="0" w:line="400" w:lineRule="exact"/>
        <w:rPr>
          <w:rFonts w:hint="eastAsia" w:ascii="微软雅黑" w:hAnsi="微软雅黑" w:eastAsia="微软雅黑" w:cs="微软雅黑"/>
          <w:color w:val="auto"/>
          <w:u w:val="none"/>
        </w:rPr>
      </w:pPr>
      <w:bookmarkStart w:id="121" w:name="_Toc32582"/>
      <w:bookmarkStart w:id="122" w:name="_Toc518923070"/>
      <w:bookmarkStart w:id="123" w:name="_Toc31355"/>
      <w:bookmarkStart w:id="124" w:name="_Toc13590_WPSOffice_Level2"/>
      <w:bookmarkStart w:id="125" w:name="_Toc17566"/>
      <w:bookmarkStart w:id="126" w:name="_Toc18753"/>
      <w:bookmarkStart w:id="127" w:name="_Toc4350"/>
      <w:bookmarkStart w:id="128" w:name="_Toc20686_WPSOffice_Level2"/>
      <w:bookmarkStart w:id="129" w:name="_Toc516367021"/>
      <w:bookmarkStart w:id="130" w:name="_Toc30152"/>
      <w:bookmarkStart w:id="131" w:name="_Toc520356151"/>
      <w:bookmarkStart w:id="132" w:name="_Toc6728"/>
      <w:r>
        <w:rPr>
          <w:rFonts w:hint="eastAsia" w:ascii="微软雅黑" w:hAnsi="微软雅黑" w:eastAsia="微软雅黑" w:cs="微软雅黑"/>
          <w:color w:val="auto"/>
          <w:u w:val="none"/>
        </w:rPr>
        <w:t>8.</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rPr>
        <w:t>磋商范围及响应文件成交准和计量单位的使用</w:t>
      </w:r>
      <w:bookmarkEnd w:id="121"/>
      <w:bookmarkEnd w:id="122"/>
      <w:bookmarkEnd w:id="123"/>
      <w:bookmarkEnd w:id="124"/>
      <w:bookmarkEnd w:id="125"/>
      <w:bookmarkEnd w:id="126"/>
      <w:bookmarkEnd w:id="127"/>
      <w:bookmarkEnd w:id="128"/>
      <w:bookmarkEnd w:id="129"/>
      <w:bookmarkEnd w:id="130"/>
      <w:bookmarkEnd w:id="131"/>
      <w:bookmarkEnd w:id="132"/>
    </w:p>
    <w:p w14:paraId="5885992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项目有分包的，供应商可对磋商文件其中一个或几个分包进行磋商，除非在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中另有规定。</w:t>
      </w:r>
    </w:p>
    <w:p w14:paraId="56AFC8F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8.2    供应商应当对所投分包磋商文件中“服务需求”所列的所有服务内容进行磋商，如仅响应分包中的部分内容，其磋商将被认定为磋商无效。</w:t>
      </w:r>
    </w:p>
    <w:p w14:paraId="334FA62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8.3     </w:t>
      </w:r>
      <w:r>
        <w:rPr>
          <w:rFonts w:hint="eastAsia" w:ascii="微软雅黑" w:hAnsi="微软雅黑" w:eastAsia="微软雅黑" w:cs="微软雅黑"/>
          <w:color w:val="auto"/>
          <w:sz w:val="24"/>
          <w:highlight w:val="none"/>
        </w:rPr>
        <w:t>除</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中有特殊要求外，</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中所使用的计量单位，应采用中华人民共和国法定计量单位。</w:t>
      </w:r>
    </w:p>
    <w:p w14:paraId="1FF60B1C">
      <w:pPr>
        <w:pStyle w:val="7"/>
        <w:tabs>
          <w:tab w:val="left" w:pos="900"/>
        </w:tabs>
        <w:spacing w:before="0" w:after="0" w:line="400" w:lineRule="exact"/>
        <w:rPr>
          <w:rFonts w:hint="eastAsia" w:ascii="微软雅黑" w:hAnsi="微软雅黑" w:eastAsia="微软雅黑" w:cs="微软雅黑"/>
          <w:color w:val="auto"/>
          <w:u w:val="none"/>
        </w:rPr>
      </w:pPr>
      <w:bookmarkStart w:id="133" w:name="_Toc516367022"/>
      <w:bookmarkStart w:id="134" w:name="_Ref467306195"/>
      <w:bookmarkStart w:id="135" w:name="_Ref467306676"/>
      <w:bookmarkStart w:id="136" w:name="_Toc472"/>
      <w:bookmarkStart w:id="137" w:name="_Toc28019"/>
      <w:bookmarkStart w:id="138" w:name="_Toc11782"/>
      <w:bookmarkStart w:id="139" w:name="_Toc3145"/>
      <w:bookmarkStart w:id="140" w:name="_Toc3152"/>
      <w:bookmarkStart w:id="141" w:name="_Toc15487"/>
      <w:bookmarkStart w:id="142" w:name="_Toc28579_WPSOffice_Level2"/>
      <w:bookmarkStart w:id="143" w:name="_Toc518923071"/>
      <w:bookmarkStart w:id="144" w:name="_Toc22633"/>
      <w:bookmarkStart w:id="145" w:name="_Toc520356152"/>
      <w:bookmarkStart w:id="146" w:name="_Toc31935_WPSOffice_Level2"/>
      <w:r>
        <w:rPr>
          <w:rFonts w:hint="eastAsia" w:ascii="微软雅黑" w:hAnsi="微软雅黑" w:eastAsia="微软雅黑" w:cs="微软雅黑"/>
          <w:color w:val="auto"/>
          <w:u w:val="none"/>
        </w:rPr>
        <w:t>9.</w:t>
      </w:r>
      <w:bookmarkEnd w:id="133"/>
      <w:bookmarkEnd w:id="134"/>
      <w:bookmarkEnd w:id="135"/>
      <w:r>
        <w:rPr>
          <w:rFonts w:hint="eastAsia" w:ascii="微软雅黑" w:hAnsi="微软雅黑" w:eastAsia="微软雅黑" w:cs="微软雅黑"/>
          <w:color w:val="auto"/>
          <w:u w:val="none"/>
        </w:rPr>
        <w:t>响应文件构成</w:t>
      </w:r>
      <w:bookmarkEnd w:id="136"/>
      <w:bookmarkEnd w:id="137"/>
      <w:bookmarkEnd w:id="138"/>
      <w:bookmarkEnd w:id="139"/>
      <w:bookmarkEnd w:id="140"/>
      <w:bookmarkEnd w:id="141"/>
      <w:bookmarkEnd w:id="142"/>
      <w:bookmarkEnd w:id="143"/>
      <w:bookmarkEnd w:id="144"/>
      <w:bookmarkEnd w:id="145"/>
      <w:bookmarkEnd w:id="146"/>
    </w:p>
    <w:p w14:paraId="17D7AD9D">
      <w:pPr>
        <w:tabs>
          <w:tab w:val="left" w:pos="900"/>
          <w:tab w:val="left" w:pos="5580"/>
        </w:tabs>
        <w:spacing w:line="400" w:lineRule="exact"/>
        <w:ind w:left="960" w:hanging="960" w:hangingChars="400"/>
        <w:jc w:val="left"/>
        <w:rPr>
          <w:rFonts w:hint="eastAsia" w:ascii="微软雅黑" w:hAnsi="微软雅黑" w:eastAsia="微软雅黑" w:cs="微软雅黑"/>
          <w:b/>
          <w:bCs/>
          <w:color w:val="auto"/>
          <w:kern w:val="0"/>
          <w:sz w:val="24"/>
          <w:szCs w:val="20"/>
          <w:u w:val="single"/>
        </w:rPr>
      </w:pPr>
      <w:bookmarkStart w:id="147" w:name="_Ref467052588"/>
      <w:r>
        <w:rPr>
          <w:rFonts w:hint="eastAsia" w:ascii="微软雅黑" w:hAnsi="微软雅黑" w:eastAsia="微软雅黑" w:cs="微软雅黑"/>
          <w:color w:val="auto"/>
          <w:sz w:val="24"/>
        </w:rPr>
        <w:t xml:space="preserve">9.1     </w:t>
      </w:r>
      <w:bookmarkEnd w:id="147"/>
      <w:r>
        <w:rPr>
          <w:rFonts w:hint="eastAsia" w:ascii="微软雅黑" w:hAnsi="微软雅黑" w:eastAsia="微软雅黑" w:cs="微软雅黑"/>
          <w:b/>
          <w:bCs/>
          <w:color w:val="auto"/>
          <w:sz w:val="24"/>
          <w:u w:val="single"/>
        </w:rPr>
        <w:t>供应商应完整地按</w:t>
      </w:r>
      <w:r>
        <w:rPr>
          <w:rFonts w:hint="eastAsia" w:ascii="微软雅黑" w:hAnsi="微软雅黑" w:eastAsia="微软雅黑" w:cs="微软雅黑"/>
          <w:b/>
          <w:bCs/>
          <w:color w:val="auto"/>
          <w:sz w:val="24"/>
          <w:u w:val="single"/>
          <w:lang w:eastAsia="zh-CN"/>
        </w:rPr>
        <w:t>磋商文件</w:t>
      </w:r>
      <w:r>
        <w:rPr>
          <w:rFonts w:hint="eastAsia" w:ascii="微软雅黑" w:hAnsi="微软雅黑" w:eastAsia="微软雅黑" w:cs="微软雅黑"/>
          <w:b/>
          <w:bCs/>
          <w:color w:val="auto"/>
          <w:sz w:val="24"/>
          <w:u w:val="single"/>
        </w:rPr>
        <w:t>提供的</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格式及要求编写</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，根据平台关联点上传对应佐证资料，</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应包括“</w:t>
      </w:r>
      <w:r>
        <w:rPr>
          <w:rFonts w:hint="eastAsia" w:ascii="微软雅黑" w:hAnsi="微软雅黑" w:eastAsia="微软雅黑" w:cs="微软雅黑"/>
          <w:b/>
          <w:bCs/>
          <w:color w:val="auto"/>
          <w:sz w:val="24"/>
          <w:u w:val="single"/>
          <w:lang w:eastAsia="zh-CN"/>
        </w:rPr>
        <w:t>磋商一览表</w:t>
      </w:r>
      <w:r>
        <w:rPr>
          <w:rFonts w:hint="eastAsia" w:ascii="微软雅黑" w:hAnsi="微软雅黑" w:eastAsia="微软雅黑" w:cs="微软雅黑"/>
          <w:b/>
          <w:bCs/>
          <w:color w:val="auto"/>
          <w:sz w:val="24"/>
          <w:u w:val="single"/>
        </w:rPr>
        <w:t>及资格证明文件”和“商务及技术文件”两部分，两部分合并成完整一册</w:t>
      </w:r>
      <w:r>
        <w:rPr>
          <w:rFonts w:hint="eastAsia" w:ascii="微软雅黑" w:hAnsi="微软雅黑" w:eastAsia="微软雅黑" w:cs="微软雅黑"/>
          <w:b/>
          <w:bCs/>
          <w:color w:val="auto"/>
          <w:sz w:val="24"/>
          <w:u w:val="single"/>
          <w:lang w:val="en-US" w:eastAsia="zh-CN"/>
        </w:rPr>
        <w:t>经CA证书加密后上传提交</w:t>
      </w:r>
      <w:r>
        <w:rPr>
          <w:rFonts w:hint="eastAsia" w:ascii="微软雅黑" w:hAnsi="微软雅黑" w:eastAsia="微软雅黑" w:cs="微软雅黑"/>
          <w:b/>
          <w:bCs/>
          <w:color w:val="auto"/>
          <w:sz w:val="24"/>
          <w:u w:val="single"/>
        </w:rPr>
        <w:t>至政采云平台</w:t>
      </w:r>
      <w:r>
        <w:rPr>
          <w:rFonts w:hint="eastAsia" w:ascii="微软雅黑" w:hAnsi="微软雅黑" w:eastAsia="微软雅黑" w:cs="微软雅黑"/>
          <w:b/>
          <w:bCs/>
          <w:color w:val="auto"/>
          <w:sz w:val="24"/>
          <w:u w:val="single"/>
          <w:lang w:val="en-US" w:eastAsia="zh-CN"/>
        </w:rPr>
        <w:t>（严格按照政采云电子投标流程制作并上传电子响应文件）。</w:t>
      </w:r>
    </w:p>
    <w:p w14:paraId="75BF9FD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9.2    上述文件应按照磋商文件规定的格式填写、签署和盖章。</w:t>
      </w:r>
    </w:p>
    <w:p w14:paraId="547806A9">
      <w:pPr>
        <w:pStyle w:val="7"/>
        <w:tabs>
          <w:tab w:val="left" w:pos="900"/>
        </w:tabs>
        <w:spacing w:before="0" w:after="0" w:line="400" w:lineRule="exact"/>
        <w:rPr>
          <w:rFonts w:hint="eastAsia" w:ascii="微软雅黑" w:hAnsi="微软雅黑" w:eastAsia="微软雅黑" w:cs="微软雅黑"/>
          <w:color w:val="auto"/>
          <w:u w:val="none"/>
        </w:rPr>
      </w:pPr>
      <w:bookmarkStart w:id="148" w:name="_Toc10751_WPSOffice_Level2"/>
      <w:bookmarkStart w:id="149" w:name="_Toc2671"/>
      <w:bookmarkStart w:id="150" w:name="_Toc5768_WPSOffice_Level2"/>
      <w:bookmarkStart w:id="151" w:name="_Toc508185920"/>
      <w:bookmarkStart w:id="152" w:name="_Toc520356153"/>
      <w:bookmarkStart w:id="153" w:name="_Toc518923072"/>
      <w:bookmarkStart w:id="154" w:name="_Toc26104"/>
      <w:bookmarkStart w:id="155" w:name="_Toc516367023"/>
      <w:bookmarkStart w:id="156" w:name="_Toc28671"/>
      <w:bookmarkStart w:id="157" w:name="_Toc25744"/>
      <w:bookmarkStart w:id="158" w:name="_Toc27343"/>
      <w:bookmarkStart w:id="159" w:name="_Toc4896"/>
      <w:bookmarkStart w:id="160" w:name="_Toc6909"/>
      <w:bookmarkStart w:id="161" w:name="_Toc520356155"/>
      <w:r>
        <w:rPr>
          <w:rFonts w:hint="eastAsia" w:ascii="微软雅黑" w:hAnsi="微软雅黑" w:eastAsia="微软雅黑" w:cs="微软雅黑"/>
          <w:color w:val="auto"/>
          <w:u w:val="none"/>
        </w:rPr>
        <w:t>10.</w:t>
      </w:r>
      <w:r>
        <w:rPr>
          <w:rFonts w:hint="eastAsia" w:ascii="微软雅黑" w:hAnsi="微软雅黑" w:eastAsia="微软雅黑" w:cs="微软雅黑"/>
          <w:color w:val="auto"/>
          <w:u w:val="none"/>
        </w:rPr>
        <w:tab/>
      </w:r>
      <w:bookmarkEnd w:id="148"/>
      <w:bookmarkEnd w:id="149"/>
      <w:bookmarkEnd w:id="150"/>
      <w:bookmarkEnd w:id="151"/>
      <w:bookmarkEnd w:id="152"/>
      <w:bookmarkEnd w:id="153"/>
      <w:bookmarkEnd w:id="154"/>
      <w:bookmarkEnd w:id="155"/>
      <w:bookmarkEnd w:id="156"/>
      <w:bookmarkEnd w:id="157"/>
      <w:r>
        <w:rPr>
          <w:rFonts w:hint="eastAsia" w:ascii="微软雅黑" w:hAnsi="微软雅黑" w:eastAsia="微软雅黑" w:cs="微软雅黑"/>
          <w:color w:val="auto"/>
          <w:highlight w:val="none"/>
          <w:u w:val="none"/>
        </w:rPr>
        <w:t>证明</w:t>
      </w:r>
      <w:r>
        <w:rPr>
          <w:rFonts w:hint="eastAsia" w:ascii="微软雅黑" w:hAnsi="微软雅黑" w:eastAsia="微软雅黑" w:cs="微软雅黑"/>
          <w:color w:val="auto"/>
          <w:highlight w:val="none"/>
          <w:u w:val="none"/>
          <w:lang w:val="en-US" w:eastAsia="zh-CN"/>
        </w:rPr>
        <w:t>磋商</w:t>
      </w:r>
      <w:r>
        <w:rPr>
          <w:rFonts w:hint="eastAsia" w:ascii="微软雅黑" w:hAnsi="微软雅黑" w:eastAsia="微软雅黑" w:cs="微软雅黑"/>
          <w:color w:val="auto"/>
          <w:highlight w:val="none"/>
          <w:u w:val="none"/>
        </w:rPr>
        <w:t>的合格性和符合</w:t>
      </w:r>
      <w:r>
        <w:rPr>
          <w:rFonts w:hint="eastAsia" w:ascii="微软雅黑" w:hAnsi="微软雅黑" w:eastAsia="微软雅黑" w:cs="微软雅黑"/>
          <w:color w:val="auto"/>
          <w:highlight w:val="none"/>
          <w:u w:val="none"/>
          <w:lang w:eastAsia="zh-CN"/>
        </w:rPr>
        <w:t>磋商文件</w:t>
      </w:r>
      <w:r>
        <w:rPr>
          <w:rFonts w:hint="eastAsia" w:ascii="微软雅黑" w:hAnsi="微软雅黑" w:eastAsia="微软雅黑" w:cs="微软雅黑"/>
          <w:color w:val="auto"/>
          <w:highlight w:val="none"/>
          <w:u w:val="none"/>
        </w:rPr>
        <w:t>规定的技术文件</w:t>
      </w:r>
      <w:bookmarkEnd w:id="158"/>
      <w:bookmarkEnd w:id="159"/>
      <w:bookmarkEnd w:id="160"/>
    </w:p>
    <w:p w14:paraId="31AEAC8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供应商应提交证明文件，证明其磋商内容符合磋商文件规定。该证明文件是响应文件的一部分。</w:t>
      </w:r>
    </w:p>
    <w:p w14:paraId="1786DACB">
      <w:pPr>
        <w:spacing w:line="400" w:lineRule="exact"/>
        <w:ind w:left="900" w:hanging="900" w:hangingChars="375"/>
        <w:rPr>
          <w:rFonts w:hint="eastAsia" w:ascii="微软雅黑" w:hAnsi="微软雅黑" w:eastAsia="微软雅黑" w:cs="微软雅黑"/>
          <w:color w:val="auto"/>
          <w:sz w:val="24"/>
        </w:rPr>
      </w:pPr>
      <w:bookmarkStart w:id="162" w:name="_Ref467306244"/>
      <w:r>
        <w:rPr>
          <w:rFonts w:hint="eastAsia" w:ascii="微软雅黑" w:hAnsi="微软雅黑" w:eastAsia="微软雅黑" w:cs="微软雅黑"/>
          <w:color w:val="auto"/>
          <w:sz w:val="24"/>
        </w:rPr>
        <w:t>10.2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上款所述的证明文件，可以是文字资料、图纸和数据</w:t>
      </w:r>
      <w:bookmarkEnd w:id="162"/>
      <w:r>
        <w:rPr>
          <w:rFonts w:hint="eastAsia" w:ascii="微软雅黑" w:hAnsi="微软雅黑" w:eastAsia="微软雅黑" w:cs="微软雅黑"/>
          <w:color w:val="auto"/>
          <w:sz w:val="24"/>
        </w:rPr>
        <w:t>。</w:t>
      </w:r>
    </w:p>
    <w:p w14:paraId="1D266E15">
      <w:pPr>
        <w:pStyle w:val="7"/>
        <w:spacing w:before="0" w:after="0" w:line="400" w:lineRule="exact"/>
        <w:rPr>
          <w:rFonts w:hint="eastAsia" w:ascii="微软雅黑" w:hAnsi="微软雅黑" w:eastAsia="微软雅黑" w:cs="微软雅黑"/>
          <w:color w:val="auto"/>
          <w:u w:val="none"/>
        </w:rPr>
      </w:pPr>
      <w:bookmarkStart w:id="163" w:name="_Toc8529"/>
      <w:bookmarkStart w:id="164" w:name="_Toc518923073"/>
      <w:bookmarkStart w:id="165" w:name="_Toc24379"/>
      <w:bookmarkStart w:id="166" w:name="_Toc20635"/>
      <w:bookmarkStart w:id="167" w:name="_Toc15335_WPSOffice_Level2"/>
      <w:bookmarkStart w:id="168" w:name="_Toc31272"/>
      <w:bookmarkStart w:id="169" w:name="_Toc32368_WPSOffice_Level2"/>
      <w:bookmarkStart w:id="170" w:name="_Toc16161"/>
      <w:bookmarkStart w:id="171" w:name="_Toc7165"/>
      <w:bookmarkStart w:id="172" w:name="_Toc27226"/>
      <w:r>
        <w:rPr>
          <w:rFonts w:hint="eastAsia" w:ascii="微软雅黑" w:hAnsi="微软雅黑" w:eastAsia="微软雅黑" w:cs="微软雅黑"/>
          <w:color w:val="auto"/>
          <w:u w:val="none"/>
        </w:rPr>
        <w:t>11.</w:t>
      </w:r>
      <w:bookmarkEnd w:id="161"/>
      <w:bookmarkEnd w:id="163"/>
      <w:bookmarkEnd w:id="164"/>
      <w:r>
        <w:rPr>
          <w:rFonts w:hint="eastAsia" w:ascii="微软雅黑" w:hAnsi="微软雅黑" w:eastAsia="微软雅黑" w:cs="微软雅黑"/>
          <w:color w:val="auto"/>
          <w:u w:val="none"/>
        </w:rPr>
        <w:t>磋商报价</w:t>
      </w:r>
      <w:bookmarkEnd w:id="165"/>
      <w:bookmarkEnd w:id="166"/>
      <w:bookmarkEnd w:id="167"/>
      <w:bookmarkEnd w:id="168"/>
      <w:bookmarkEnd w:id="169"/>
      <w:bookmarkEnd w:id="170"/>
      <w:bookmarkEnd w:id="171"/>
      <w:bookmarkEnd w:id="172"/>
    </w:p>
    <w:p w14:paraId="7DFD210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所有响应文件均以人民币报价。供应商的磋商报价应遵守《中华人民共和国价格法》。同时，根据《中华人民共和国政府采购法》第二条的规定，为保证公平竞争，如有主体磋商标的的赠与行为，其磋商将被认定为磋商无效。</w:t>
      </w:r>
    </w:p>
    <w:p w14:paraId="6726608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highlight w:val="none"/>
        </w:rPr>
        <w:t>供应商应在标的分项报价表上标明分项服务的价格（如适用）和总价，并由法定代表人或其委托代理人签署。</w:t>
      </w:r>
    </w:p>
    <w:p w14:paraId="06303AE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采购人不接受具有附加条件的报价。</w:t>
      </w:r>
    </w:p>
    <w:p w14:paraId="7F7995D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供应商所报的各分项磋商报价在合同履行过程中是固定不变的，不得以任何理由予以变更。任何包含价格调整要求的磋商，将被认定为磋商无效。</w:t>
      </w:r>
    </w:p>
    <w:p w14:paraId="3322D222">
      <w:pPr>
        <w:spacing w:line="400" w:lineRule="exact"/>
        <w:ind w:left="900" w:hanging="900" w:hangingChars="375"/>
        <w:rPr>
          <w:rFonts w:hint="eastAsia" w:ascii="微软雅黑" w:hAnsi="微软雅黑" w:eastAsia="微软雅黑" w:cs="微软雅黑"/>
          <w:b/>
          <w:bCs/>
          <w:color w:val="auto"/>
          <w:sz w:val="24"/>
          <w:u w:val="single"/>
        </w:rPr>
      </w:pPr>
      <w:r>
        <w:rPr>
          <w:rFonts w:hint="eastAsia" w:ascii="微软雅黑" w:hAnsi="微软雅黑" w:eastAsia="微软雅黑" w:cs="微软雅黑"/>
          <w:color w:val="auto"/>
          <w:sz w:val="24"/>
        </w:rPr>
        <w:t xml:space="preserve">11.5   </w:t>
      </w:r>
      <w:r>
        <w:rPr>
          <w:rFonts w:hint="eastAsia" w:ascii="微软雅黑" w:hAnsi="微软雅黑" w:eastAsia="微软雅黑" w:cs="微软雅黑"/>
          <w:b/>
          <w:bCs/>
          <w:color w:val="auto"/>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微软雅黑" w:hAnsi="微软雅黑" w:eastAsia="微软雅黑" w:cs="微软雅黑"/>
          <w:b/>
          <w:bCs/>
          <w:color w:val="auto"/>
          <w:sz w:val="24"/>
          <w:u w:val="none"/>
        </w:rPr>
        <w:t>；</w:t>
      </w:r>
    </w:p>
    <w:p w14:paraId="33728838">
      <w:pPr>
        <w:pStyle w:val="7"/>
        <w:spacing w:before="0" w:after="0" w:line="400" w:lineRule="exact"/>
        <w:rPr>
          <w:rFonts w:hint="eastAsia" w:ascii="微软雅黑" w:hAnsi="微软雅黑" w:eastAsia="微软雅黑" w:cs="微软雅黑"/>
          <w:color w:val="auto"/>
          <w:u w:val="none"/>
        </w:rPr>
      </w:pPr>
      <w:bookmarkStart w:id="173" w:name="_Toc518923074"/>
      <w:bookmarkStart w:id="174" w:name="_Toc16199"/>
      <w:bookmarkStart w:id="175" w:name="_Ref467306513"/>
      <w:bookmarkStart w:id="176" w:name="_Toc520356156"/>
      <w:bookmarkStart w:id="177" w:name="_Toc7940"/>
      <w:bookmarkStart w:id="178" w:name="_Toc25748_WPSOffice_Level2"/>
      <w:bookmarkStart w:id="179" w:name="_Toc3595"/>
      <w:bookmarkStart w:id="180" w:name="_Toc29299"/>
      <w:bookmarkStart w:id="181" w:name="_Toc17411"/>
      <w:bookmarkStart w:id="182" w:name="_Toc29751"/>
      <w:bookmarkStart w:id="183" w:name="_Toc24125_WPSOffice_Level2"/>
      <w:bookmarkStart w:id="184" w:name="_Toc21273"/>
      <w:r>
        <w:rPr>
          <w:rFonts w:hint="eastAsia" w:ascii="微软雅黑" w:hAnsi="微软雅黑" w:eastAsia="微软雅黑" w:cs="微软雅黑"/>
          <w:color w:val="auto"/>
          <w:u w:val="none"/>
        </w:rPr>
        <w:t>12.</w:t>
      </w:r>
      <w:bookmarkEnd w:id="173"/>
      <w:bookmarkEnd w:id="174"/>
      <w:bookmarkEnd w:id="175"/>
      <w:bookmarkEnd w:id="176"/>
      <w:r>
        <w:rPr>
          <w:rFonts w:hint="eastAsia" w:ascii="微软雅黑" w:hAnsi="微软雅黑" w:eastAsia="微软雅黑" w:cs="微软雅黑"/>
          <w:color w:val="auto"/>
          <w:u w:val="none"/>
        </w:rPr>
        <w:t>磋商保证金</w:t>
      </w:r>
      <w:bookmarkEnd w:id="177"/>
      <w:bookmarkEnd w:id="178"/>
      <w:bookmarkEnd w:id="179"/>
      <w:bookmarkEnd w:id="180"/>
      <w:bookmarkEnd w:id="181"/>
      <w:bookmarkEnd w:id="182"/>
      <w:bookmarkEnd w:id="183"/>
      <w:bookmarkEnd w:id="184"/>
    </w:p>
    <w:p w14:paraId="15871FDD">
      <w:pPr>
        <w:spacing w:line="400" w:lineRule="exact"/>
        <w:ind w:left="900" w:hanging="900" w:hangingChars="375"/>
        <w:rPr>
          <w:rFonts w:hint="eastAsia" w:ascii="微软雅黑" w:hAnsi="微软雅黑" w:eastAsia="微软雅黑" w:cs="微软雅黑"/>
          <w:color w:val="auto"/>
          <w:sz w:val="24"/>
        </w:rPr>
      </w:pPr>
      <w:bookmarkStart w:id="185" w:name="_Ref467306302"/>
      <w:r>
        <w:rPr>
          <w:rFonts w:hint="eastAsia" w:ascii="微软雅黑" w:hAnsi="微软雅黑" w:eastAsia="微软雅黑" w:cs="微软雅黑"/>
          <w:color w:val="auto"/>
          <w:sz w:val="24"/>
        </w:rPr>
        <w:t>12.1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供应商应提交</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w:t>
      </w:r>
      <w:bookmarkEnd w:id="185"/>
      <w:r>
        <w:rPr>
          <w:rFonts w:hint="eastAsia" w:ascii="微软雅黑" w:hAnsi="微软雅黑" w:eastAsia="微软雅黑" w:cs="微软雅黑"/>
          <w:color w:val="auto"/>
          <w:sz w:val="24"/>
        </w:rPr>
        <w:t>磋商保证金，并作为其磋商的一部分。</w:t>
      </w:r>
    </w:p>
    <w:p w14:paraId="0E5AE79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供应商存在下列情形的，磋商保证金不予退还：</w:t>
      </w:r>
    </w:p>
    <w:p w14:paraId="7F95B812">
      <w:pPr>
        <w:spacing w:line="400" w:lineRule="exact"/>
        <w:ind w:left="1752" w:leftChars="400" w:hanging="912" w:hangingChars="3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（1）在磋商有效期内，撤销磋商的；</w:t>
      </w:r>
    </w:p>
    <w:p w14:paraId="0518147A">
      <w:pPr>
        <w:pStyle w:val="18"/>
        <w:tabs>
          <w:tab w:val="left" w:pos="2240"/>
        </w:tabs>
        <w:spacing w:line="400" w:lineRule="exac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（2）成交后不按本须知第30条的规定与采购人签订合同的；</w:t>
      </w:r>
    </w:p>
    <w:p w14:paraId="57ABC893">
      <w:pPr>
        <w:pStyle w:val="18"/>
        <w:tabs>
          <w:tab w:val="left" w:pos="2240"/>
        </w:tabs>
        <w:spacing w:line="400" w:lineRule="exact"/>
        <w:ind w:left="1079" w:leftChars="371" w:hanging="300" w:hangingChars="1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（3）成交后不按本须知第31条的规定缴纳成交服务费的；</w:t>
      </w:r>
      <w:bookmarkStart w:id="186" w:name="_Ref467306336"/>
    </w:p>
    <w:p w14:paraId="659F72FD">
      <w:pPr>
        <w:pStyle w:val="18"/>
        <w:tabs>
          <w:tab w:val="left" w:pos="2240"/>
        </w:tabs>
        <w:spacing w:line="400" w:lineRule="exact"/>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后不按本须知第32条的规定缴纳</w:t>
      </w:r>
      <w:r>
        <w:rPr>
          <w:rFonts w:hint="eastAsia" w:ascii="微软雅黑" w:hAnsi="微软雅黑" w:eastAsia="微软雅黑" w:cs="微软雅黑"/>
          <w:color w:val="auto"/>
          <w:sz w:val="24"/>
          <w:highlight w:val="none"/>
          <w:lang w:eastAsia="zh-CN"/>
        </w:rPr>
        <w:t>成交服务费</w:t>
      </w:r>
      <w:r>
        <w:rPr>
          <w:rFonts w:hint="eastAsia" w:ascii="微软雅黑" w:hAnsi="微软雅黑" w:eastAsia="微软雅黑" w:cs="微软雅黑"/>
          <w:color w:val="auto"/>
          <w:sz w:val="24"/>
          <w:highlight w:val="none"/>
        </w:rPr>
        <w:t>的；</w:t>
      </w:r>
    </w:p>
    <w:p w14:paraId="0368A8AF">
      <w:pPr>
        <w:pStyle w:val="18"/>
        <w:tabs>
          <w:tab w:val="left" w:pos="2240"/>
        </w:tabs>
        <w:spacing w:line="400" w:lineRule="exact"/>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14:paraId="744FC2B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12.3</w:t>
      </w:r>
      <w:r>
        <w:rPr>
          <w:rFonts w:hint="eastAsia" w:ascii="微软雅黑" w:hAnsi="微软雅黑" w:eastAsia="微软雅黑" w:cs="微软雅黑"/>
          <w:color w:val="auto"/>
          <w:sz w:val="24"/>
        </w:rPr>
        <w:tab/>
      </w:r>
      <w:bookmarkEnd w:id="186"/>
      <w:r>
        <w:rPr>
          <w:rFonts w:hint="eastAsia" w:ascii="微软雅黑" w:hAnsi="微软雅黑" w:eastAsia="微软雅黑" w:cs="微软雅黑"/>
          <w:color w:val="auto"/>
          <w:sz w:val="24"/>
        </w:rPr>
        <w:t>政府采购信用担保试点范围内的项目，接受符合财政部门规定的政府采购磋商担保函原件。</w:t>
      </w:r>
    </w:p>
    <w:p w14:paraId="5618FBD5">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供应商未按本须知第12.1和12.3条规定提交磋商保证金的，其磋商资格将被认定为</w:t>
      </w:r>
      <w:r>
        <w:rPr>
          <w:rFonts w:hint="eastAsia" w:ascii="微软雅黑" w:hAnsi="微软雅黑" w:eastAsia="微软雅黑" w:cs="微软雅黑"/>
          <w:b/>
          <w:color w:val="auto"/>
          <w:sz w:val="24"/>
        </w:rPr>
        <w:t>无效</w:t>
      </w:r>
      <w:r>
        <w:rPr>
          <w:rFonts w:hint="eastAsia" w:ascii="微软雅黑" w:hAnsi="微软雅黑" w:eastAsia="微软雅黑" w:cs="微软雅黑"/>
          <w:color w:val="auto"/>
          <w:sz w:val="24"/>
        </w:rPr>
        <w:t>。</w:t>
      </w:r>
    </w:p>
    <w:p w14:paraId="3782283E">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12.4.1  采用电汇形式的，一般可以实时入账；</w:t>
      </w:r>
    </w:p>
    <w:p w14:paraId="1E8733FF">
      <w:pPr>
        <w:spacing w:line="40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2FC164C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12.5    联合体磋商的，可以由联合体中的一方或者共同提交磋商保证金。以一方名义提交磋商保证金的，对联合体各方均具有约束力。</w:t>
      </w:r>
    </w:p>
    <w:p w14:paraId="461D77F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 xml:space="preserve"> </w:t>
      </w:r>
      <w:r>
        <w:rPr>
          <w:rFonts w:hint="eastAsia" w:ascii="微软雅黑" w:hAnsi="微软雅黑" w:eastAsia="微软雅黑" w:cs="微软雅黑"/>
          <w:b/>
          <w:color w:val="auto"/>
          <w:sz w:val="24"/>
        </w:rPr>
        <w:t>磋商保证金的退还</w:t>
      </w:r>
    </w:p>
    <w:p w14:paraId="3E609AF0">
      <w:pPr>
        <w:spacing w:line="40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12.6.1  </w:t>
      </w:r>
      <w:r>
        <w:rPr>
          <w:rFonts w:hint="eastAsia" w:ascii="微软雅黑" w:hAnsi="微软雅黑" w:eastAsia="微软雅黑" w:cs="微软雅黑"/>
          <w:b/>
          <w:color w:val="auto"/>
          <w:sz w:val="24"/>
        </w:rPr>
        <w:t>成交人应在与采购人签订合同之日起5个工作日内，及时联系保证金收受机构办理磋商保证金无息退还手续。</w:t>
      </w:r>
    </w:p>
    <w:p w14:paraId="2E0847E2">
      <w:pPr>
        <w:spacing w:line="40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12.6.2  未成交供应商的磋商保证金将在成交通知书发出之日暨成交结果公告公布之日起5个工作日内无息退还。供应商及时联系保证金收受机构办理退还磋商保证金手续。</w:t>
      </w:r>
      <w:bookmarkStart w:id="187" w:name="_Toc518923075"/>
    </w:p>
    <w:p w14:paraId="250C0F73">
      <w:pPr>
        <w:spacing w:line="400" w:lineRule="exact"/>
        <w:ind w:left="893" w:hanging="892" w:hangingChars="425"/>
        <w:rPr>
          <w:rFonts w:hint="eastAsia" w:ascii="微软雅黑" w:hAnsi="微软雅黑" w:eastAsia="微软雅黑" w:cs="微软雅黑"/>
          <w:bCs/>
          <w:color w:val="auto"/>
        </w:rPr>
      </w:pPr>
      <w:r>
        <w:rPr>
          <w:rFonts w:hint="eastAsia" w:ascii="微软雅黑" w:hAnsi="微软雅黑" w:eastAsia="微软雅黑" w:cs="微软雅黑"/>
          <w:bCs/>
          <w:color w:val="auto"/>
        </w:rPr>
        <w:t xml:space="preserve">12.6.3  </w:t>
      </w:r>
      <w:r>
        <w:rPr>
          <w:rFonts w:hint="eastAsia" w:ascii="微软雅黑" w:hAnsi="微软雅黑" w:eastAsia="微软雅黑" w:cs="微软雅黑"/>
          <w:color w:val="auto"/>
          <w:sz w:val="24"/>
        </w:rPr>
        <w:t>政府采购磋商担保函不予退回。</w:t>
      </w:r>
      <w:bookmarkEnd w:id="187"/>
    </w:p>
    <w:p w14:paraId="077F6797">
      <w:pPr>
        <w:spacing w:line="40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12.7   因供应商自身原因导致无法及时退还的，采购人或采购代理机构将不承担相应责任。</w:t>
      </w:r>
    </w:p>
    <w:p w14:paraId="528B83EB">
      <w:pPr>
        <w:pStyle w:val="7"/>
        <w:spacing w:before="0" w:after="0" w:line="400" w:lineRule="exact"/>
        <w:rPr>
          <w:rFonts w:hint="eastAsia" w:ascii="微软雅黑" w:hAnsi="微软雅黑" w:eastAsia="微软雅黑" w:cs="微软雅黑"/>
          <w:color w:val="auto"/>
          <w:u w:val="none"/>
        </w:rPr>
      </w:pPr>
      <w:bookmarkStart w:id="188" w:name="_Toc518923076"/>
      <w:bookmarkStart w:id="189" w:name="_Toc520356157"/>
      <w:bookmarkStart w:id="190" w:name="_Toc20355"/>
      <w:bookmarkStart w:id="191" w:name="_Toc1149"/>
      <w:bookmarkStart w:id="192" w:name="_Toc23586"/>
      <w:bookmarkStart w:id="193" w:name="_Toc22602"/>
      <w:bookmarkStart w:id="194" w:name="_Toc29178"/>
      <w:bookmarkStart w:id="195" w:name="_Toc16901"/>
      <w:bookmarkStart w:id="196" w:name="_Toc11106_WPSOffice_Level2"/>
      <w:bookmarkStart w:id="197" w:name="_Toc4716_WPSOffice_Level2"/>
      <w:r>
        <w:rPr>
          <w:rFonts w:hint="eastAsia" w:ascii="微软雅黑" w:hAnsi="微软雅黑" w:eastAsia="微软雅黑" w:cs="微软雅黑"/>
          <w:color w:val="auto"/>
          <w:u w:val="none"/>
        </w:rPr>
        <w:t>13.</w:t>
      </w:r>
      <w:bookmarkEnd w:id="188"/>
      <w:bookmarkEnd w:id="189"/>
      <w:bookmarkEnd w:id="190"/>
      <w:r>
        <w:rPr>
          <w:rFonts w:hint="eastAsia" w:ascii="微软雅黑" w:hAnsi="微软雅黑" w:eastAsia="微软雅黑" w:cs="微软雅黑"/>
          <w:color w:val="auto"/>
          <w:u w:val="none"/>
        </w:rPr>
        <w:t>磋商有效期</w:t>
      </w:r>
      <w:bookmarkEnd w:id="191"/>
      <w:bookmarkEnd w:id="192"/>
      <w:bookmarkEnd w:id="193"/>
      <w:bookmarkEnd w:id="194"/>
      <w:bookmarkEnd w:id="195"/>
      <w:bookmarkEnd w:id="196"/>
      <w:bookmarkEnd w:id="197"/>
    </w:p>
    <w:p w14:paraId="6AF4C2F0">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磋商应在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中规定时间内保持有效。磋商有效期不满足要求的响应，其磋商资格将被认定为</w:t>
      </w:r>
      <w:r>
        <w:rPr>
          <w:rFonts w:hint="eastAsia" w:ascii="微软雅黑" w:hAnsi="微软雅黑" w:eastAsia="微软雅黑" w:cs="微软雅黑"/>
          <w:b/>
          <w:color w:val="auto"/>
          <w:sz w:val="24"/>
        </w:rPr>
        <w:t>无效</w:t>
      </w:r>
      <w:r>
        <w:rPr>
          <w:rFonts w:hint="eastAsia" w:ascii="微软雅黑" w:hAnsi="微软雅黑" w:eastAsia="微软雅黑" w:cs="微软雅黑"/>
          <w:color w:val="auto"/>
          <w:sz w:val="24"/>
        </w:rPr>
        <w:t>。</w:t>
      </w:r>
    </w:p>
    <w:p w14:paraId="67EFA2B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按规定无息退还。上述要求和答复都应以书面形式提交。</w:t>
      </w:r>
    </w:p>
    <w:p w14:paraId="05C0EB1B">
      <w:pPr>
        <w:pStyle w:val="7"/>
        <w:spacing w:before="0" w:after="0" w:line="400" w:lineRule="exact"/>
        <w:rPr>
          <w:rFonts w:hint="eastAsia" w:ascii="微软雅黑" w:hAnsi="微软雅黑" w:eastAsia="微软雅黑" w:cs="微软雅黑"/>
          <w:color w:val="auto"/>
          <w:u w:val="none"/>
        </w:rPr>
      </w:pPr>
      <w:bookmarkStart w:id="198" w:name="_Toc520356158"/>
      <w:bookmarkStart w:id="199" w:name="_Toc31308_WPSOffice_Level2"/>
      <w:bookmarkStart w:id="200" w:name="_Toc24713"/>
      <w:bookmarkStart w:id="201" w:name="_Toc5792"/>
      <w:bookmarkStart w:id="202" w:name="_Toc27303"/>
      <w:bookmarkStart w:id="203" w:name="_Toc26406"/>
      <w:bookmarkStart w:id="204" w:name="_Toc518923077"/>
      <w:bookmarkStart w:id="205" w:name="_Toc13034_WPSOffice_Level2"/>
      <w:bookmarkStart w:id="206" w:name="_Toc22077"/>
      <w:bookmarkStart w:id="207" w:name="_Toc10232"/>
      <w:bookmarkStart w:id="208" w:name="_Toc16555"/>
      <w:r>
        <w:rPr>
          <w:rFonts w:hint="eastAsia" w:ascii="微软雅黑" w:hAnsi="微软雅黑" w:eastAsia="微软雅黑" w:cs="微软雅黑"/>
          <w:color w:val="auto"/>
          <w:u w:val="none"/>
        </w:rPr>
        <w:t>14.响应文件的签署</w:t>
      </w:r>
      <w:bookmarkEnd w:id="198"/>
      <w:r>
        <w:rPr>
          <w:rFonts w:hint="eastAsia" w:ascii="微软雅黑" w:hAnsi="微软雅黑" w:eastAsia="微软雅黑" w:cs="微软雅黑"/>
          <w:color w:val="auto"/>
          <w:u w:val="none"/>
        </w:rPr>
        <w:t>及规定</w:t>
      </w:r>
      <w:bookmarkEnd w:id="199"/>
      <w:bookmarkEnd w:id="200"/>
      <w:bookmarkEnd w:id="201"/>
      <w:bookmarkEnd w:id="202"/>
      <w:bookmarkEnd w:id="203"/>
      <w:bookmarkEnd w:id="204"/>
      <w:bookmarkEnd w:id="205"/>
      <w:bookmarkEnd w:id="206"/>
      <w:bookmarkEnd w:id="207"/>
      <w:bookmarkEnd w:id="208"/>
    </w:p>
    <w:p w14:paraId="2EE61EB3">
      <w:pPr>
        <w:spacing w:line="36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highlight w:val="none"/>
        </w:rPr>
        <w:t>供应商应按供应商须知资料表中的规定，准备和</w:t>
      </w:r>
      <w:r>
        <w:rPr>
          <w:rFonts w:hint="eastAsia" w:ascii="微软雅黑" w:hAnsi="微软雅黑" w:eastAsia="微软雅黑" w:cs="微软雅黑"/>
          <w:color w:val="auto"/>
          <w:sz w:val="24"/>
          <w:highlight w:val="none"/>
          <w:lang w:val="en-US" w:eastAsia="zh-CN"/>
        </w:rPr>
        <w:t>上传</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rPr>
        <w:t>。</w:t>
      </w:r>
    </w:p>
    <w:p w14:paraId="7B2595A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由供应商的法定代表人或经其正式委托代理人按</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规定在</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上签字或盖章并加盖单位印章。委托代理人须有书面的“法定代表人授权委托书”，并将其附在</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中。如对</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进行了修改，则应由供应商的法定代表人或其委托代理人在每一修改处签字。</w:t>
      </w:r>
    </w:p>
    <w:p w14:paraId="777B840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14.3    响应文件因字迹潦草、表达不清所引起的后果由供应商负责。</w:t>
      </w:r>
    </w:p>
    <w:p w14:paraId="3A477572">
      <w:pPr>
        <w:pStyle w:val="6"/>
        <w:spacing w:before="0" w:line="400" w:lineRule="exact"/>
        <w:ind w:left="1080" w:leftChars="257" w:hanging="540"/>
        <w:rPr>
          <w:rFonts w:hint="eastAsia" w:ascii="微软雅黑" w:hAnsi="微软雅黑" w:eastAsia="微软雅黑" w:cs="微软雅黑"/>
          <w:color w:val="auto"/>
        </w:rPr>
      </w:pPr>
      <w:bookmarkStart w:id="209" w:name="_Toc13622"/>
      <w:bookmarkStart w:id="210" w:name="_Toc10715356"/>
      <w:bookmarkStart w:id="211" w:name="_Toc23730"/>
      <w:bookmarkStart w:id="212" w:name="_Toc30674_WPSOffice_Level1"/>
      <w:bookmarkStart w:id="213" w:name="_Toc216582808"/>
      <w:bookmarkStart w:id="214" w:name="_Toc518923078"/>
      <w:bookmarkStart w:id="215" w:name="_Toc11544"/>
      <w:bookmarkStart w:id="216" w:name="_Toc22303"/>
      <w:bookmarkStart w:id="217" w:name="_Toc1132"/>
      <w:bookmarkStart w:id="218" w:name="_Toc520356159"/>
      <w:bookmarkStart w:id="219" w:name="_Toc4344"/>
      <w:r>
        <w:rPr>
          <w:rFonts w:hint="eastAsia" w:ascii="微软雅黑" w:hAnsi="微软雅黑" w:eastAsia="微软雅黑" w:cs="微软雅黑"/>
          <w:color w:val="auto"/>
          <w:sz w:val="24"/>
        </w:rPr>
        <w:t>四   响应文件的递交</w:t>
      </w:r>
      <w:bookmarkEnd w:id="209"/>
      <w:bookmarkEnd w:id="210"/>
      <w:bookmarkEnd w:id="211"/>
      <w:bookmarkEnd w:id="212"/>
      <w:bookmarkEnd w:id="213"/>
      <w:bookmarkEnd w:id="214"/>
      <w:bookmarkEnd w:id="215"/>
      <w:bookmarkEnd w:id="216"/>
      <w:bookmarkEnd w:id="217"/>
      <w:bookmarkEnd w:id="218"/>
      <w:bookmarkEnd w:id="219"/>
    </w:p>
    <w:p w14:paraId="4CB4510C">
      <w:pPr>
        <w:pStyle w:val="7"/>
        <w:spacing w:before="0" w:after="0" w:line="400" w:lineRule="exact"/>
        <w:rPr>
          <w:rFonts w:hint="eastAsia" w:ascii="微软雅黑" w:hAnsi="微软雅黑" w:eastAsia="微软雅黑" w:cs="微软雅黑"/>
          <w:color w:val="auto"/>
          <w:u w:val="none"/>
        </w:rPr>
      </w:pPr>
      <w:bookmarkStart w:id="220" w:name="_Toc13247"/>
      <w:bookmarkStart w:id="221" w:name="_Toc27659"/>
      <w:bookmarkStart w:id="222" w:name="_Toc3332"/>
      <w:bookmarkStart w:id="223" w:name="_Toc6943"/>
      <w:bookmarkStart w:id="224" w:name="_Toc22654_WPSOffice_Level2"/>
      <w:bookmarkStart w:id="225" w:name="_Toc518923079"/>
      <w:bookmarkStart w:id="226" w:name="_Toc11506"/>
      <w:bookmarkStart w:id="227" w:name="_Toc520356160"/>
      <w:bookmarkStart w:id="228" w:name="_Toc2082"/>
      <w:bookmarkStart w:id="229" w:name="_Toc4317"/>
      <w:bookmarkStart w:id="230" w:name="_Toc24004_WPSOffice_Level2"/>
      <w:r>
        <w:rPr>
          <w:rFonts w:hint="eastAsia" w:ascii="微软雅黑" w:hAnsi="微软雅黑" w:eastAsia="微软雅黑" w:cs="微软雅黑"/>
          <w:color w:val="auto"/>
          <w:u w:val="none"/>
        </w:rPr>
        <w:t>15.响应文件的</w:t>
      </w:r>
      <w:r>
        <w:rPr>
          <w:rFonts w:hint="eastAsia" w:ascii="微软雅黑" w:hAnsi="微软雅黑" w:eastAsia="微软雅黑" w:cs="微软雅黑"/>
          <w:color w:val="auto"/>
          <w:u w:val="none"/>
          <w:lang w:eastAsia="zh-CN"/>
        </w:rPr>
        <w:t>上传</w:t>
      </w:r>
      <w:r>
        <w:rPr>
          <w:rFonts w:hint="eastAsia" w:ascii="微软雅黑" w:hAnsi="微软雅黑" w:eastAsia="微软雅黑" w:cs="微软雅黑"/>
          <w:color w:val="auto"/>
          <w:u w:val="none"/>
        </w:rPr>
        <w:t>和标记</w:t>
      </w:r>
      <w:bookmarkEnd w:id="220"/>
      <w:bookmarkEnd w:id="221"/>
      <w:bookmarkEnd w:id="222"/>
      <w:bookmarkEnd w:id="223"/>
      <w:bookmarkEnd w:id="224"/>
      <w:bookmarkEnd w:id="225"/>
      <w:bookmarkEnd w:id="226"/>
      <w:bookmarkEnd w:id="227"/>
      <w:bookmarkEnd w:id="228"/>
      <w:bookmarkEnd w:id="229"/>
      <w:bookmarkEnd w:id="230"/>
    </w:p>
    <w:p w14:paraId="324DE5C0">
      <w:pPr>
        <w:spacing w:line="400" w:lineRule="exact"/>
        <w:ind w:left="900" w:hanging="900" w:hangingChars="375"/>
        <w:jc w:val="left"/>
        <w:rPr>
          <w:rFonts w:hint="eastAsia" w:ascii="微软雅黑" w:hAnsi="微软雅黑" w:eastAsia="微软雅黑" w:cs="微软雅黑"/>
          <w:b/>
          <w:bCs/>
          <w:color w:val="auto"/>
          <w:sz w:val="24"/>
          <w:u w:val="single"/>
          <w:lang w:val="en-US" w:eastAsia="zh-CN"/>
        </w:rPr>
      </w:pPr>
      <w:r>
        <w:rPr>
          <w:rFonts w:hint="eastAsia" w:ascii="微软雅黑" w:hAnsi="微软雅黑" w:eastAsia="微软雅黑" w:cs="微软雅黑"/>
          <w:color w:val="auto"/>
          <w:sz w:val="24"/>
        </w:rPr>
        <w:t xml:space="preserve">15.1   </w:t>
      </w:r>
      <w:r>
        <w:rPr>
          <w:rFonts w:hint="eastAsia" w:ascii="微软雅黑" w:hAnsi="微软雅黑" w:eastAsia="微软雅黑" w:cs="微软雅黑"/>
          <w:b/>
          <w:bCs/>
          <w:color w:val="auto"/>
          <w:sz w:val="24"/>
          <w:u w:val="single"/>
        </w:rPr>
        <w:t>为方便</w:t>
      </w:r>
      <w:r>
        <w:rPr>
          <w:rFonts w:hint="eastAsia" w:ascii="微软雅黑" w:hAnsi="微软雅黑" w:eastAsia="微软雅黑" w:cs="微软雅黑"/>
          <w:b/>
          <w:bCs/>
          <w:color w:val="auto"/>
          <w:sz w:val="24"/>
          <w:u w:val="single"/>
          <w:lang w:val="en-US" w:eastAsia="zh-CN"/>
        </w:rPr>
        <w:t>评审</w:t>
      </w:r>
      <w:r>
        <w:rPr>
          <w:rFonts w:hint="eastAsia" w:ascii="微软雅黑" w:hAnsi="微软雅黑" w:eastAsia="微软雅黑" w:cs="微软雅黑"/>
          <w:b/>
          <w:bCs/>
          <w:color w:val="auto"/>
          <w:sz w:val="24"/>
          <w:u w:val="single"/>
        </w:rPr>
        <w:t>及进行资格审查，供应商应完整地按</w:t>
      </w:r>
      <w:r>
        <w:rPr>
          <w:rFonts w:hint="eastAsia" w:ascii="微软雅黑" w:hAnsi="微软雅黑" w:eastAsia="微软雅黑" w:cs="微软雅黑"/>
          <w:b/>
          <w:bCs/>
          <w:color w:val="auto"/>
          <w:sz w:val="24"/>
          <w:u w:val="single"/>
          <w:lang w:eastAsia="zh-CN"/>
        </w:rPr>
        <w:t>磋商文件</w:t>
      </w:r>
      <w:r>
        <w:rPr>
          <w:rFonts w:hint="eastAsia" w:ascii="微软雅黑" w:hAnsi="微软雅黑" w:eastAsia="微软雅黑" w:cs="微软雅黑"/>
          <w:b/>
          <w:bCs/>
          <w:color w:val="auto"/>
          <w:sz w:val="24"/>
          <w:u w:val="single"/>
        </w:rPr>
        <w:t>提供的</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格式及要求编写</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，根据平台关联点上传对应佐证资料，</w:t>
      </w:r>
      <w:r>
        <w:rPr>
          <w:rFonts w:hint="eastAsia" w:ascii="微软雅黑" w:hAnsi="微软雅黑" w:eastAsia="微软雅黑" w:cs="微软雅黑"/>
          <w:b/>
          <w:bCs/>
          <w:color w:val="auto"/>
          <w:sz w:val="24"/>
          <w:u w:val="single"/>
          <w:lang w:eastAsia="zh-CN"/>
        </w:rPr>
        <w:t>响应文件</w:t>
      </w:r>
      <w:r>
        <w:rPr>
          <w:rFonts w:hint="eastAsia" w:ascii="微软雅黑" w:hAnsi="微软雅黑" w:eastAsia="微软雅黑" w:cs="微软雅黑"/>
          <w:b/>
          <w:bCs/>
          <w:color w:val="auto"/>
          <w:sz w:val="24"/>
          <w:u w:val="single"/>
        </w:rPr>
        <w:t>应包括“</w:t>
      </w:r>
      <w:r>
        <w:rPr>
          <w:rFonts w:hint="eastAsia" w:ascii="微软雅黑" w:hAnsi="微软雅黑" w:eastAsia="微软雅黑" w:cs="微软雅黑"/>
          <w:b/>
          <w:bCs/>
          <w:color w:val="auto"/>
          <w:sz w:val="24"/>
          <w:u w:val="single"/>
          <w:lang w:eastAsia="zh-CN"/>
        </w:rPr>
        <w:t>磋商一览表</w:t>
      </w:r>
      <w:r>
        <w:rPr>
          <w:rFonts w:hint="eastAsia" w:ascii="微软雅黑" w:hAnsi="微软雅黑" w:eastAsia="微软雅黑" w:cs="微软雅黑"/>
          <w:b/>
          <w:bCs/>
          <w:color w:val="auto"/>
          <w:sz w:val="24"/>
          <w:u w:val="single"/>
        </w:rPr>
        <w:t>及资格证明文件”和“商务及技术文件”两部分，两部分合并成完整一册</w:t>
      </w:r>
      <w:r>
        <w:rPr>
          <w:rFonts w:hint="eastAsia" w:ascii="微软雅黑" w:hAnsi="微软雅黑" w:eastAsia="微软雅黑" w:cs="微软雅黑"/>
          <w:b/>
          <w:bCs/>
          <w:color w:val="auto"/>
          <w:sz w:val="24"/>
          <w:u w:val="single"/>
          <w:lang w:val="en-US" w:eastAsia="zh-CN"/>
        </w:rPr>
        <w:t>经CA证书加密后上传提交</w:t>
      </w:r>
      <w:r>
        <w:rPr>
          <w:rFonts w:hint="eastAsia" w:ascii="微软雅黑" w:hAnsi="微软雅黑" w:eastAsia="微软雅黑" w:cs="微软雅黑"/>
          <w:b/>
          <w:bCs/>
          <w:color w:val="auto"/>
          <w:sz w:val="24"/>
          <w:u w:val="single"/>
        </w:rPr>
        <w:t>至政采云平台</w:t>
      </w:r>
      <w:r>
        <w:rPr>
          <w:rFonts w:hint="eastAsia" w:ascii="微软雅黑" w:hAnsi="微软雅黑" w:eastAsia="微软雅黑" w:cs="微软雅黑"/>
          <w:b/>
          <w:bCs/>
          <w:color w:val="auto"/>
          <w:sz w:val="24"/>
          <w:u w:val="single"/>
          <w:lang w:eastAsia="zh-CN"/>
        </w:rPr>
        <w:t>，</w:t>
      </w:r>
      <w:r>
        <w:rPr>
          <w:rFonts w:hint="eastAsia" w:ascii="微软雅黑" w:hAnsi="微软雅黑" w:eastAsia="微软雅黑" w:cs="微软雅黑"/>
          <w:b/>
          <w:bCs/>
          <w:color w:val="auto"/>
          <w:sz w:val="24"/>
          <w:u w:val="single"/>
          <w:lang w:val="en-US" w:eastAsia="zh-CN"/>
        </w:rPr>
        <w:t>任何单位或个人均无法在投标截止时间(即投标时间)之前查看或篡改，不存在泄密风险。（严格按照政采云电子投标流程制作并上传电子响应文件）。</w:t>
      </w:r>
    </w:p>
    <w:p w14:paraId="326D5ACB">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b w:val="0"/>
          <w:bCs w:val="0"/>
          <w:color w:val="auto"/>
          <w:sz w:val="24"/>
          <w:u w:val="none"/>
          <w:lang w:val="en-US" w:eastAsia="zh-CN"/>
        </w:rPr>
        <w:t xml:space="preserve">15.2    </w:t>
      </w:r>
      <w:r>
        <w:rPr>
          <w:rFonts w:hint="eastAsia" w:ascii="微软雅黑" w:hAnsi="微软雅黑" w:eastAsia="微软雅黑" w:cs="微软雅黑"/>
          <w:color w:val="auto"/>
          <w:sz w:val="24"/>
          <w:highlight w:val="none"/>
        </w:rPr>
        <w:t>如果供应商未按上述要求标记</w:t>
      </w:r>
      <w:r>
        <w:rPr>
          <w:rFonts w:hint="eastAsia" w:ascii="微软雅黑" w:hAnsi="微软雅黑" w:eastAsia="微软雅黑" w:cs="微软雅黑"/>
          <w:color w:val="auto"/>
          <w:sz w:val="24"/>
          <w:highlight w:val="none"/>
          <w:lang w:eastAsia="zh-CN"/>
        </w:rPr>
        <w:t>上传响应文件</w:t>
      </w:r>
      <w:r>
        <w:rPr>
          <w:rFonts w:hint="eastAsia" w:ascii="微软雅黑" w:hAnsi="微软雅黑" w:eastAsia="微软雅黑" w:cs="微软雅黑"/>
          <w:color w:val="auto"/>
          <w:sz w:val="24"/>
          <w:highlight w:val="none"/>
        </w:rPr>
        <w:t>的，将承担相应的后果。</w:t>
      </w:r>
    </w:p>
    <w:p w14:paraId="6743F249">
      <w:pPr>
        <w:pStyle w:val="35"/>
        <w:rPr>
          <w:rFonts w:hint="eastAsia" w:ascii="微软雅黑" w:hAnsi="微软雅黑" w:eastAsia="微软雅黑" w:cs="微软雅黑"/>
          <w:color w:val="auto"/>
          <w:lang w:val="en-US" w:eastAsia="zh-CN"/>
        </w:rPr>
      </w:pPr>
    </w:p>
    <w:p w14:paraId="69A4E959">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eastAsia="zh-CN"/>
        </w:rPr>
        <w:t>成交公告发布后，成交</w:t>
      </w:r>
      <w:r>
        <w:rPr>
          <w:rFonts w:hint="eastAsia" w:ascii="微软雅黑" w:hAnsi="微软雅黑" w:eastAsia="微软雅黑" w:cs="微软雅黑"/>
          <w:color w:val="auto"/>
          <w:sz w:val="24"/>
        </w:rPr>
        <w:t>供应商</w:t>
      </w:r>
      <w:r>
        <w:rPr>
          <w:rFonts w:hint="eastAsia" w:ascii="微软雅黑" w:hAnsi="微软雅黑" w:eastAsia="微软雅黑" w:cs="微软雅黑"/>
          <w:color w:val="auto"/>
          <w:sz w:val="24"/>
          <w:lang w:eastAsia="zh-CN"/>
        </w:rPr>
        <w:t>须提交纸质版响应文件，响应文件</w:t>
      </w:r>
      <w:r>
        <w:rPr>
          <w:rFonts w:hint="eastAsia" w:ascii="微软雅黑" w:hAnsi="微软雅黑" w:eastAsia="微软雅黑" w:cs="微软雅黑"/>
          <w:color w:val="auto"/>
          <w:sz w:val="24"/>
        </w:rPr>
        <w:t>第一部分和第二部分的内容合并装订成一册提交，并在封皮正面标明“</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”字样。</w:t>
      </w:r>
    </w:p>
    <w:p w14:paraId="44C58318">
      <w:pPr>
        <w:pStyle w:val="7"/>
        <w:spacing w:before="0" w:after="0" w:line="400" w:lineRule="exact"/>
        <w:rPr>
          <w:rFonts w:hint="eastAsia" w:ascii="微软雅黑" w:hAnsi="微软雅黑" w:eastAsia="微软雅黑" w:cs="微软雅黑"/>
          <w:color w:val="auto"/>
          <w:u w:val="none"/>
          <w:lang w:eastAsia="zh-CN"/>
        </w:rPr>
      </w:pPr>
      <w:bookmarkStart w:id="231" w:name="_Toc520356161"/>
      <w:bookmarkStart w:id="232" w:name="_Toc14358_WPSOffice_Level2"/>
      <w:bookmarkStart w:id="233" w:name="_Toc518923080"/>
      <w:bookmarkStart w:id="234" w:name="_Toc13450"/>
      <w:bookmarkStart w:id="235" w:name="_Toc178_WPSOffice_Level2"/>
      <w:bookmarkStart w:id="236" w:name="_Toc24593"/>
      <w:bookmarkStart w:id="237" w:name="_Toc17814"/>
      <w:bookmarkStart w:id="238" w:name="_Toc8029"/>
      <w:bookmarkStart w:id="239" w:name="_Toc25787"/>
      <w:bookmarkStart w:id="240" w:name="_Toc2845"/>
      <w:bookmarkStart w:id="241" w:name="_Toc8895"/>
      <w:r>
        <w:rPr>
          <w:rFonts w:hint="eastAsia" w:ascii="微软雅黑" w:hAnsi="微软雅黑" w:eastAsia="微软雅黑" w:cs="微软雅黑"/>
          <w:color w:val="auto"/>
          <w:u w:val="none"/>
        </w:rPr>
        <w:t>16.磋商截止</w:t>
      </w:r>
      <w:bookmarkEnd w:id="231"/>
      <w:bookmarkEnd w:id="232"/>
      <w:bookmarkEnd w:id="233"/>
      <w:bookmarkEnd w:id="234"/>
      <w:bookmarkEnd w:id="235"/>
      <w:bookmarkEnd w:id="236"/>
      <w:bookmarkEnd w:id="237"/>
      <w:bookmarkEnd w:id="238"/>
      <w:bookmarkEnd w:id="239"/>
      <w:bookmarkEnd w:id="240"/>
      <w:bookmarkEnd w:id="241"/>
    </w:p>
    <w:p w14:paraId="2B65B99E">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供应商应在供应商须知资料表中规定的截止时间前，将响应文件上传到磋商公告中规定的地点。</w:t>
      </w:r>
    </w:p>
    <w:p w14:paraId="02D1C46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采购人和采购代理机构有权按本须知的规定，延迟磋商截止时间。在此情况下，采购人、采购代理机构和供应商受磋商截止时间制约的所有权利和义务均应延长至新的截止时间。</w:t>
      </w:r>
    </w:p>
    <w:p w14:paraId="1E036CAF">
      <w:pPr>
        <w:pStyle w:val="94"/>
        <w:ind w:left="0" w:leftChars="0" w:firstLine="0" w:firstLineChars="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sz w:val="24"/>
          <w:lang w:val="en-US" w:eastAsia="zh-CN"/>
        </w:rPr>
        <w:t>16.3   采购人和采购代理机构将拒绝接收在磋商截止时间后上传的响应文件。</w:t>
      </w:r>
    </w:p>
    <w:p w14:paraId="426D8B98">
      <w:pPr>
        <w:pStyle w:val="7"/>
        <w:spacing w:before="0" w:after="0" w:line="400" w:lineRule="exact"/>
        <w:rPr>
          <w:rFonts w:hint="eastAsia" w:ascii="微软雅黑" w:hAnsi="微软雅黑" w:eastAsia="微软雅黑" w:cs="微软雅黑"/>
          <w:color w:val="auto"/>
          <w:u w:val="none"/>
        </w:rPr>
      </w:pPr>
      <w:bookmarkStart w:id="242" w:name="_Toc18193"/>
      <w:bookmarkStart w:id="243" w:name="_Toc16773"/>
      <w:bookmarkStart w:id="244" w:name="_Toc829"/>
      <w:bookmarkStart w:id="245" w:name="_Toc32346"/>
      <w:bookmarkStart w:id="246" w:name="_Toc13921"/>
      <w:bookmarkStart w:id="247" w:name="_Toc5249"/>
      <w:bookmarkStart w:id="248" w:name="_Toc17985_WPSOffice_Level2"/>
      <w:bookmarkStart w:id="249" w:name="_Toc518923081"/>
      <w:bookmarkStart w:id="250" w:name="_Toc520356162"/>
      <w:bookmarkStart w:id="251" w:name="_Toc26522_WPSOffice_Level2"/>
      <w:bookmarkStart w:id="252" w:name="_Toc19238"/>
      <w:r>
        <w:rPr>
          <w:rFonts w:hint="eastAsia" w:ascii="微软雅黑" w:hAnsi="微软雅黑" w:eastAsia="微软雅黑" w:cs="微软雅黑"/>
          <w:color w:val="auto"/>
          <w:u w:val="none"/>
        </w:rPr>
        <w:t>17.响应文件的接收、修改与撤回</w:t>
      </w:r>
      <w:bookmarkEnd w:id="242"/>
      <w:bookmarkEnd w:id="243"/>
      <w:bookmarkEnd w:id="244"/>
      <w:bookmarkEnd w:id="245"/>
      <w:bookmarkEnd w:id="246"/>
      <w:bookmarkEnd w:id="247"/>
      <w:bookmarkEnd w:id="248"/>
      <w:bookmarkEnd w:id="249"/>
      <w:bookmarkEnd w:id="250"/>
      <w:bookmarkEnd w:id="251"/>
      <w:bookmarkEnd w:id="252"/>
    </w:p>
    <w:p w14:paraId="3D267D41">
      <w:pPr>
        <w:spacing w:line="400" w:lineRule="exact"/>
        <w:ind w:left="900" w:hanging="900" w:hangingChars="375"/>
        <w:rPr>
          <w:rFonts w:hint="eastAsia" w:ascii="微软雅黑" w:hAnsi="微软雅黑" w:eastAsia="微软雅黑" w:cs="微软雅黑"/>
          <w:b/>
          <w:color w:val="auto"/>
        </w:rPr>
      </w:pPr>
      <w:r>
        <w:rPr>
          <w:rFonts w:hint="eastAsia" w:ascii="微软雅黑" w:hAnsi="微软雅黑" w:eastAsia="微软雅黑" w:cs="微软雅黑"/>
          <w:color w:val="auto"/>
          <w:sz w:val="24"/>
        </w:rPr>
        <w:t>17.1   在磋商截止时间后上传的响应文件的，采购人和采购代理机构将拒绝接收。</w:t>
      </w:r>
    </w:p>
    <w:p w14:paraId="7D2BF184">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上传响应文件以后，如果供应商要进行修改或撤回磋商，供应商对响应文件的修改或撤回通知应按本须知规定编制、标记。</w:t>
      </w:r>
    </w:p>
    <w:p w14:paraId="58F9092D">
      <w:pPr>
        <w:pStyle w:val="94"/>
        <w:ind w:firstLine="720" w:firstLineChars="300"/>
        <w:rPr>
          <w:rFonts w:hint="eastAsia" w:ascii="微软雅黑" w:hAnsi="微软雅黑" w:eastAsia="微软雅黑" w:cs="微软雅黑"/>
          <w:color w:val="auto"/>
        </w:rPr>
      </w:pPr>
      <w:r>
        <w:rPr>
          <w:rFonts w:hint="eastAsia" w:ascii="微软雅黑" w:hAnsi="微软雅黑" w:eastAsia="微软雅黑" w:cs="微软雅黑"/>
          <w:color w:val="auto"/>
          <w:kern w:val="2"/>
          <w:sz w:val="24"/>
          <w:szCs w:val="24"/>
          <w:lang w:val="en-US" w:eastAsia="zh-CN" w:bidi="ar-SA"/>
        </w:rPr>
        <w:t>采购人和采购代理机构将予以接收，并视为响应文件的组成部分。</w:t>
      </w:r>
    </w:p>
    <w:p w14:paraId="5E7BDC0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17.3   在磋商截止期之后，采购人和采购代理机构不接受供应商主动对其响应文件做任何修改。</w:t>
      </w:r>
    </w:p>
    <w:p w14:paraId="65734F2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采购人和采购代理机构对所接收响应文件概不退回。</w:t>
      </w:r>
    </w:p>
    <w:p w14:paraId="6765613C">
      <w:pPr>
        <w:pStyle w:val="6"/>
        <w:spacing w:before="0" w:line="400" w:lineRule="exact"/>
        <w:ind w:left="1080" w:leftChars="257" w:hanging="540"/>
        <w:rPr>
          <w:rFonts w:hint="eastAsia" w:ascii="微软雅黑" w:hAnsi="微软雅黑" w:eastAsia="微软雅黑" w:cs="微软雅黑"/>
          <w:color w:val="auto"/>
        </w:rPr>
      </w:pPr>
      <w:bookmarkStart w:id="253" w:name="_Toc216582809"/>
      <w:bookmarkStart w:id="254" w:name="_Toc518923082"/>
      <w:bookmarkStart w:id="255" w:name="_Toc10257"/>
      <w:bookmarkStart w:id="256" w:name="_Toc520356163"/>
      <w:bookmarkStart w:id="257" w:name="_Toc193"/>
      <w:bookmarkStart w:id="258" w:name="_Toc10715357"/>
      <w:bookmarkStart w:id="259" w:name="_Toc23096"/>
      <w:bookmarkStart w:id="260" w:name="_Toc1762"/>
      <w:bookmarkStart w:id="261" w:name="_Toc6601_WPSOffice_Level1"/>
      <w:bookmarkStart w:id="262" w:name="_Toc15790"/>
      <w:r>
        <w:rPr>
          <w:rFonts w:hint="eastAsia" w:ascii="微软雅黑" w:hAnsi="微软雅黑" w:eastAsia="微软雅黑" w:cs="微软雅黑"/>
          <w:color w:val="auto"/>
          <w:sz w:val="24"/>
        </w:rPr>
        <w:t>五   磋商开启及</w:t>
      </w:r>
      <w:bookmarkEnd w:id="253"/>
      <w:bookmarkEnd w:id="254"/>
      <w:bookmarkEnd w:id="255"/>
      <w:bookmarkEnd w:id="256"/>
      <w:r>
        <w:rPr>
          <w:rFonts w:hint="eastAsia" w:ascii="微软雅黑" w:hAnsi="微软雅黑" w:eastAsia="微软雅黑" w:cs="微软雅黑"/>
          <w:color w:val="auto"/>
          <w:sz w:val="24"/>
        </w:rPr>
        <w:t>评审</w:t>
      </w:r>
      <w:bookmarkEnd w:id="257"/>
      <w:bookmarkEnd w:id="258"/>
      <w:bookmarkEnd w:id="259"/>
      <w:bookmarkEnd w:id="260"/>
      <w:bookmarkEnd w:id="261"/>
      <w:bookmarkEnd w:id="262"/>
    </w:p>
    <w:p w14:paraId="7ED429A0">
      <w:pPr>
        <w:pStyle w:val="7"/>
        <w:spacing w:before="0" w:after="0" w:line="400" w:lineRule="exact"/>
        <w:rPr>
          <w:rFonts w:hint="eastAsia" w:ascii="微软雅黑" w:hAnsi="微软雅黑" w:eastAsia="微软雅黑" w:cs="微软雅黑"/>
          <w:color w:val="auto"/>
          <w:u w:val="none"/>
        </w:rPr>
      </w:pPr>
      <w:bookmarkStart w:id="263" w:name="_Toc520356164"/>
      <w:bookmarkStart w:id="264" w:name="_Toc8653"/>
      <w:bookmarkStart w:id="265" w:name="_Toc518923083"/>
      <w:bookmarkStart w:id="266" w:name="_Toc29729"/>
      <w:bookmarkStart w:id="267" w:name="_Toc21639"/>
      <w:bookmarkStart w:id="268" w:name="_Toc14597"/>
      <w:bookmarkStart w:id="269" w:name="_Toc28761"/>
      <w:bookmarkStart w:id="270" w:name="_Toc13011_WPSOffice_Level2"/>
      <w:bookmarkStart w:id="271" w:name="_Toc6831"/>
      <w:bookmarkStart w:id="272" w:name="_Toc32308_WPSOffice_Level2"/>
      <w:bookmarkStart w:id="273" w:name="_Toc25374"/>
      <w:r>
        <w:rPr>
          <w:rFonts w:hint="eastAsia" w:ascii="微软雅黑" w:hAnsi="微软雅黑" w:eastAsia="微软雅黑" w:cs="微软雅黑"/>
          <w:color w:val="auto"/>
          <w:u w:val="none"/>
        </w:rPr>
        <w:t>18.</w:t>
      </w:r>
      <w:bookmarkEnd w:id="263"/>
      <w:bookmarkEnd w:id="264"/>
      <w:bookmarkEnd w:id="265"/>
      <w:r>
        <w:rPr>
          <w:rFonts w:hint="eastAsia" w:ascii="微软雅黑" w:hAnsi="微软雅黑" w:eastAsia="微软雅黑" w:cs="微软雅黑"/>
          <w:color w:val="auto"/>
          <w:u w:val="none"/>
        </w:rPr>
        <w:t>磋商开启</w:t>
      </w:r>
      <w:bookmarkEnd w:id="266"/>
      <w:bookmarkEnd w:id="267"/>
      <w:bookmarkEnd w:id="268"/>
      <w:bookmarkEnd w:id="269"/>
      <w:bookmarkEnd w:id="270"/>
      <w:bookmarkEnd w:id="271"/>
      <w:bookmarkEnd w:id="272"/>
      <w:bookmarkEnd w:id="273"/>
    </w:p>
    <w:p w14:paraId="0B18F87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采购人和采购代理机构将按</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 xml:space="preserve">中规定的磋商开启时间和地点组织公开磋商开启并邀请所有供应商代表参加。  </w:t>
      </w:r>
    </w:p>
    <w:p w14:paraId="2DF26C3E">
      <w:pPr>
        <w:spacing w:line="400" w:lineRule="exact"/>
        <w:ind w:left="960" w:hanging="960" w:hangingChars="4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18.2    供应商按照须知资料表中规定的开标时间和地点，在规定时间内上传响应文件。</w:t>
      </w:r>
    </w:p>
    <w:p w14:paraId="5641BBF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18.3    采购代理机构在规定时间内度响应文件进行解密，时长为 30 分钟。</w:t>
      </w:r>
    </w:p>
    <w:p w14:paraId="0877630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18.4    由采购代理机构开启开标记录，须供应商在政采云平台对报价进行签字确认。</w:t>
      </w:r>
    </w:p>
    <w:p w14:paraId="013BC10A">
      <w:pPr>
        <w:pStyle w:val="7"/>
        <w:snapToGrid w:val="0"/>
        <w:spacing w:before="0" w:after="0" w:line="380" w:lineRule="exact"/>
        <w:textAlignment w:val="baseline"/>
        <w:rPr>
          <w:rFonts w:hint="eastAsia" w:ascii="微软雅黑" w:hAnsi="微软雅黑" w:eastAsia="微软雅黑" w:cs="微软雅黑"/>
          <w:color w:val="auto"/>
          <w:u w:color="000000"/>
        </w:rPr>
      </w:pPr>
      <w:bookmarkStart w:id="274" w:name="_Toc12436"/>
      <w:bookmarkStart w:id="275" w:name="_Toc31052"/>
      <w:bookmarkStart w:id="276" w:name="_Toc11051"/>
      <w:bookmarkStart w:id="277" w:name="_Toc10179"/>
      <w:r>
        <w:rPr>
          <w:rFonts w:hint="eastAsia" w:ascii="微软雅黑" w:hAnsi="微软雅黑" w:eastAsia="微软雅黑" w:cs="微软雅黑"/>
          <w:color w:val="auto"/>
          <w:u w:color="000000"/>
        </w:rPr>
        <w:t>19.</w:t>
      </w:r>
      <w:bookmarkEnd w:id="21"/>
      <w:r>
        <w:rPr>
          <w:rFonts w:hint="eastAsia" w:ascii="微软雅黑" w:hAnsi="微软雅黑" w:eastAsia="微软雅黑" w:cs="微软雅黑"/>
          <w:color w:val="auto"/>
          <w:u w:color="000000"/>
        </w:rPr>
        <w:t>资格审查及组建</w:t>
      </w:r>
      <w:bookmarkEnd w:id="22"/>
      <w:bookmarkEnd w:id="23"/>
      <w:bookmarkEnd w:id="24"/>
      <w:bookmarkEnd w:id="25"/>
      <w:r>
        <w:rPr>
          <w:rFonts w:hint="eastAsia" w:ascii="微软雅黑" w:hAnsi="微软雅黑" w:eastAsia="微软雅黑" w:cs="微软雅黑"/>
          <w:color w:val="auto"/>
          <w:u w:color="000000"/>
        </w:rPr>
        <w:t>磋商小组</w:t>
      </w:r>
      <w:bookmarkEnd w:id="26"/>
      <w:bookmarkEnd w:id="27"/>
      <w:bookmarkEnd w:id="28"/>
      <w:bookmarkEnd w:id="29"/>
      <w:bookmarkEnd w:id="30"/>
      <w:bookmarkEnd w:id="31"/>
      <w:bookmarkEnd w:id="32"/>
      <w:bookmarkEnd w:id="33"/>
      <w:bookmarkEnd w:id="274"/>
      <w:bookmarkEnd w:id="275"/>
      <w:bookmarkEnd w:id="276"/>
      <w:bookmarkEnd w:id="277"/>
    </w:p>
    <w:p w14:paraId="667AA20A">
      <w:pPr>
        <w:snapToGrid w:val="0"/>
        <w:spacing w:line="380" w:lineRule="exact"/>
        <w:ind w:left="960" w:hanging="960" w:hangingChars="4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19.1    采购人或采购代理机构依据法律法规和磋商文件中规定的内容，对供应商资格进行审查，未通过资格审查的供应商不进入评标。</w:t>
      </w:r>
    </w:p>
    <w:p w14:paraId="5F0041D6">
      <w:pPr>
        <w:snapToGrid w:val="0"/>
        <w:spacing w:line="380" w:lineRule="exact"/>
        <w:ind w:left="734" w:hanging="734" w:hangingChars="306"/>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b/>
          <w:bCs/>
          <w:color w:val="auto"/>
          <w:sz w:val="24"/>
          <w:lang w:val="en-US" w:eastAsia="zh-CN"/>
        </w:rPr>
        <w:t>合格供应商资格要求</w:t>
      </w:r>
      <w:r>
        <w:rPr>
          <w:rFonts w:hint="eastAsia" w:ascii="微软雅黑" w:hAnsi="微软雅黑" w:eastAsia="微软雅黑" w:cs="微软雅黑"/>
          <w:b/>
          <w:bCs/>
          <w:color w:val="auto"/>
          <w:sz w:val="24"/>
        </w:rPr>
        <w:t>：</w:t>
      </w:r>
    </w:p>
    <w:p w14:paraId="461FAAED">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1、满足《中华人民共和国政府采购法》第二十二条规定；</w:t>
      </w:r>
    </w:p>
    <w:p w14:paraId="06CD8E49">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①具有独立承担民事责任的能力；（投标时，提供在中华人民共和国境内注册的法人或其他组织的营业执照或事业单位法人证书或社会团体法人登记证书）</w:t>
      </w:r>
    </w:p>
    <w:p w14:paraId="25A5673D">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②提供法定代表人资格证明及授权书、被授权人身份证；(法定代表人投标需提供法定代表人身份证)；</w:t>
      </w:r>
    </w:p>
    <w:p w14:paraId="1AF3A46E">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③本单位依法缴纳的近3个月内任意1个月的社会保险的凭据；</w:t>
      </w:r>
    </w:p>
    <w:p w14:paraId="6903E52B">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④税务部门出具的近3个月内任意1个月的完税证明（依法免缴的应提供依法免缴的相关证明文件或零申报报表）；</w:t>
      </w:r>
    </w:p>
    <w:p w14:paraId="463F377C">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⑤提供2024年或2025年完整的财务审计报告（成立不满一年的可提供近一个月的银行资信证明）；</w:t>
      </w:r>
    </w:p>
    <w:p w14:paraId="1EE03512">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⑥参与政府采购活动前3年内未被列入失信、重大税收违法案件、财政部门禁止参加政府采购活动的承诺书；</w:t>
      </w:r>
    </w:p>
    <w:p w14:paraId="2E832C5D">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⑦提供针对本次项目的反商业贿赂承诺书。</w:t>
      </w:r>
    </w:p>
    <w:p w14:paraId="70F3783C">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3EDE867B">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⑨本项目专门面向中小企业（供应商须根据磋商文件中的法定格式填写中小企业声明函）</w:t>
      </w:r>
    </w:p>
    <w:p w14:paraId="0E62BDCD">
      <w:pPr>
        <w:snapToGrid w:val="0"/>
        <w:spacing w:line="380" w:lineRule="exact"/>
        <w:ind w:left="725" w:leftChars="342" w:hanging="7" w:hangingChars="3"/>
        <w:textAlignment w:val="baseline"/>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lang w:val="en-US" w:eastAsia="zh-CN"/>
        </w:rPr>
        <w:t>2、磋商保证金有效凭证</w:t>
      </w:r>
      <w:r>
        <w:rPr>
          <w:rFonts w:hint="eastAsia" w:ascii="微软雅黑" w:hAnsi="微软雅黑" w:eastAsia="微软雅黑" w:cs="微软雅黑"/>
          <w:b/>
          <w:bCs/>
          <w:color w:val="auto"/>
          <w:sz w:val="24"/>
        </w:rPr>
        <w:t>。</w:t>
      </w:r>
    </w:p>
    <w:p w14:paraId="1E897B7E">
      <w:pPr>
        <w:snapToGrid w:val="0"/>
        <w:spacing w:line="380" w:lineRule="exact"/>
        <w:ind w:left="725" w:leftChars="342" w:hanging="7" w:hangingChars="3"/>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提示：1、完税证明中“税种”非养老保险、医疗保险、失业保险、工伤保险和生育保险。请各供应商注意！</w:t>
      </w:r>
    </w:p>
    <w:p w14:paraId="102E5253">
      <w:pPr>
        <w:numPr>
          <w:ilvl w:val="0"/>
          <w:numId w:val="0"/>
        </w:numPr>
        <w:snapToGrid w:val="0"/>
        <w:spacing w:line="380" w:lineRule="exact"/>
        <w:ind w:leftChars="339"/>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2、上述资质能够通过官方网络查证的，均视为合格供应商。</w:t>
      </w:r>
    </w:p>
    <w:p w14:paraId="16EA2C43">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19.2    采购人或采购代理机构将在磋商开启前1个工作日至磋商截止后1小时的期间内查询供应商的信用记录。供应商存在不良信用记录的，其磋商将被认定为磋商无效。</w:t>
      </w:r>
    </w:p>
    <w:p w14:paraId="48F4AFD0">
      <w:pPr>
        <w:spacing w:line="400" w:lineRule="exact"/>
        <w:ind w:left="857" w:leftChars="2" w:hanging="853"/>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19.2.1  不良信用记录指：供在“信用中国”网站（ www.creditchina.gov.cn） 被列入失信被执行人、重大税收违法案件当事人名单、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rPr>
          <w:rFonts w:hint="eastAsia" w:ascii="微软雅黑" w:hAnsi="微软雅黑" w:eastAsia="微软雅黑" w:cs="微软雅黑"/>
          <w:color w:val="auto"/>
          <w:sz w:val="24"/>
          <w:lang w:val="en-US" w:eastAsia="zh-CN"/>
        </w:rPr>
        <w:t>，</w:t>
      </w:r>
      <w:r>
        <w:rPr>
          <w:rFonts w:hint="eastAsia" w:ascii="微软雅黑" w:hAnsi="微软雅黑" w:eastAsia="微软雅黑" w:cs="微软雅黑"/>
          <w:color w:val="auto"/>
          <w:sz w:val="24"/>
        </w:rPr>
        <w:t>以及存在《中华人民共和国政府采购法实施条例》第十九条规定的行政处罚记录。以联合体形式参加磋商的，联合体任何成员存在以上不良信用记录的，联合体磋商将被认定为磋商无效。</w:t>
      </w:r>
    </w:p>
    <w:p w14:paraId="219C91D3">
      <w:pPr>
        <w:pStyle w:val="10"/>
        <w:spacing w:line="400" w:lineRule="exact"/>
        <w:ind w:left="850" w:hanging="849" w:hangingChars="354"/>
        <w:jc w:val="both"/>
        <w:rPr>
          <w:rFonts w:hint="eastAsia" w:ascii="微软雅黑" w:hAnsi="微软雅黑" w:eastAsia="微软雅黑" w:cs="微软雅黑"/>
          <w:color w:val="auto"/>
        </w:rPr>
      </w:pPr>
      <w:r>
        <w:rPr>
          <w:rFonts w:hint="eastAsia" w:ascii="微软雅黑" w:hAnsi="微软雅黑" w:eastAsia="微软雅黑" w:cs="微软雅黑"/>
          <w:color w:val="auto"/>
        </w:rPr>
        <w:t>19.2.2 查询及记录方式：采购人或采购代理机构经办人将查询网页打印、签字并存档备查。供应商不良信用记录以采购人或采购代理机构查询结果为准。</w:t>
      </w:r>
    </w:p>
    <w:p w14:paraId="2282BDF2">
      <w:pPr>
        <w:spacing w:line="400" w:lineRule="exact"/>
        <w:ind w:left="850" w:hanging="850" w:hangingChars="354"/>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19.3   </w:t>
      </w:r>
      <w:bookmarkStart w:id="278" w:name="_Toc520356166"/>
      <w:r>
        <w:rPr>
          <w:rFonts w:hint="eastAsia" w:ascii="微软雅黑" w:hAnsi="微软雅黑" w:eastAsia="微软雅黑" w:cs="微软雅黑"/>
          <w:b/>
          <w:bCs/>
          <w:color w:val="auto"/>
          <w:sz w:val="24"/>
        </w:rPr>
        <w:t>按照《中华人民共和国政府采购法》、《中华人民共和国政府采购法实施条例》、《政府采购货物和服务招标投标管理办法》财政部令第87号及本项目本级和上级财政部门的有关规定依法在政采云平台上自行抽取</w:t>
      </w:r>
      <w:r>
        <w:rPr>
          <w:rFonts w:hint="eastAsia" w:ascii="微软雅黑" w:hAnsi="微软雅黑" w:eastAsia="微软雅黑" w:cs="微软雅黑"/>
          <w:b/>
          <w:bCs/>
          <w:color w:val="auto"/>
          <w:sz w:val="24"/>
          <w:lang w:val="en-US" w:eastAsia="zh-CN"/>
        </w:rPr>
        <w:t>3</w:t>
      </w:r>
      <w:r>
        <w:rPr>
          <w:rFonts w:hint="eastAsia" w:ascii="微软雅黑" w:hAnsi="微软雅黑" w:eastAsia="微软雅黑" w:cs="微软雅黑"/>
          <w:b/>
          <w:bCs/>
          <w:color w:val="auto"/>
          <w:sz w:val="24"/>
        </w:rPr>
        <w:t>名</w:t>
      </w:r>
      <w:r>
        <w:rPr>
          <w:rFonts w:hint="eastAsia" w:ascii="微软雅黑" w:hAnsi="微软雅黑" w:eastAsia="微软雅黑" w:cs="微软雅黑"/>
          <w:b/>
          <w:bCs/>
          <w:color w:val="auto"/>
          <w:sz w:val="24"/>
          <w:lang w:val="en-US" w:eastAsia="zh-CN"/>
        </w:rPr>
        <w:t>专家</w:t>
      </w:r>
      <w:r>
        <w:rPr>
          <w:rFonts w:hint="eastAsia" w:ascii="微软雅黑" w:hAnsi="微软雅黑" w:eastAsia="微软雅黑" w:cs="微软雅黑"/>
          <w:b/>
          <w:bCs/>
          <w:color w:val="auto"/>
          <w:sz w:val="24"/>
        </w:rPr>
        <w:t>，组成</w:t>
      </w:r>
      <w:r>
        <w:rPr>
          <w:rFonts w:hint="eastAsia" w:ascii="微软雅黑" w:hAnsi="微软雅黑" w:eastAsia="微软雅黑" w:cs="微软雅黑"/>
          <w:b/>
          <w:bCs/>
          <w:color w:val="auto"/>
          <w:sz w:val="24"/>
          <w:lang w:eastAsia="zh-CN"/>
        </w:rPr>
        <w:t>磋商小组</w:t>
      </w:r>
      <w:r>
        <w:rPr>
          <w:rFonts w:hint="eastAsia" w:ascii="微软雅黑" w:hAnsi="微软雅黑" w:eastAsia="微软雅黑" w:cs="微软雅黑"/>
          <w:b/>
          <w:bCs/>
          <w:color w:val="auto"/>
          <w:sz w:val="24"/>
        </w:rPr>
        <w:t>负责评标工作</w:t>
      </w:r>
    </w:p>
    <w:p w14:paraId="412345F3">
      <w:pPr>
        <w:pStyle w:val="7"/>
        <w:spacing w:before="0" w:after="0" w:line="400" w:lineRule="exact"/>
        <w:rPr>
          <w:rFonts w:hint="eastAsia" w:ascii="微软雅黑" w:hAnsi="微软雅黑" w:eastAsia="微软雅黑" w:cs="微软雅黑"/>
          <w:b w:val="0"/>
          <w:bCs/>
          <w:color w:val="auto"/>
          <w:bdr w:val="single" w:color="auto" w:sz="4" w:space="0"/>
        </w:rPr>
      </w:pPr>
      <w:bookmarkStart w:id="279" w:name="_Toc27285"/>
      <w:bookmarkStart w:id="280" w:name="_Toc20937"/>
      <w:bookmarkStart w:id="281" w:name="_Toc1200"/>
      <w:bookmarkStart w:id="282" w:name="_Toc6842"/>
      <w:bookmarkStart w:id="283" w:name="_Toc518923085"/>
      <w:bookmarkStart w:id="284" w:name="_Toc11751"/>
      <w:bookmarkStart w:id="285" w:name="_Toc31689_WPSOffice_Level2"/>
      <w:bookmarkStart w:id="286" w:name="_Toc17843_WPSOffice_Level2"/>
      <w:bookmarkStart w:id="287" w:name="_Toc19610"/>
      <w:bookmarkStart w:id="288" w:name="_Toc3204"/>
      <w:r>
        <w:rPr>
          <w:rFonts w:hint="eastAsia" w:ascii="微软雅黑" w:hAnsi="微软雅黑" w:eastAsia="微软雅黑" w:cs="微软雅黑"/>
          <w:color w:val="auto"/>
          <w:u w:val="none"/>
        </w:rPr>
        <w:t>20.响应文件的</w:t>
      </w:r>
      <w:bookmarkEnd w:id="278"/>
      <w:r>
        <w:rPr>
          <w:rFonts w:hint="eastAsia" w:ascii="微软雅黑" w:hAnsi="微软雅黑" w:eastAsia="微软雅黑" w:cs="微软雅黑"/>
          <w:color w:val="auto"/>
          <w:u w:val="none"/>
        </w:rPr>
        <w:t>符合性审查与澄清</w:t>
      </w:r>
      <w:bookmarkEnd w:id="279"/>
      <w:bookmarkEnd w:id="280"/>
      <w:bookmarkEnd w:id="281"/>
      <w:bookmarkEnd w:id="282"/>
      <w:bookmarkEnd w:id="283"/>
      <w:bookmarkEnd w:id="284"/>
      <w:bookmarkEnd w:id="285"/>
      <w:bookmarkEnd w:id="286"/>
      <w:bookmarkEnd w:id="287"/>
      <w:bookmarkEnd w:id="288"/>
    </w:p>
    <w:p w14:paraId="568B395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20.1   符合性审查是指依据磋商文件的规定，从响应文件的有效性和完整性对磋商文件的响应程度进行审查，以确定是否对磋商文件的实质性要求做出响应。</w:t>
      </w:r>
      <w:bookmarkStart w:id="289" w:name="_Hlt522424701"/>
      <w:bookmarkEnd w:id="289"/>
      <w:bookmarkStart w:id="290" w:name="_Toc520356167"/>
    </w:p>
    <w:p w14:paraId="284F89E5">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响应文件的澄清</w:t>
      </w:r>
    </w:p>
    <w:p w14:paraId="4E849940">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20.2.1  在评审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澄清、说明或补正。应在磋商小组规定的时间内以书面方式进行，并不得超出响应文件范围或者改变响应文件的实质性内容。</w:t>
      </w:r>
    </w:p>
    <w:p w14:paraId="3B8CF0D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20.2.2  供应商的澄清、说明或补正将作为响应文件的一部分。</w:t>
      </w:r>
    </w:p>
    <w:p w14:paraId="30F2D4BF">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20.3   响应文件报价出现前后不一致的，按照下列规定修正：</w:t>
      </w:r>
    </w:p>
    <w:p w14:paraId="0D66F19D">
      <w:pPr>
        <w:spacing w:line="40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（一）响应文件中磋商开启报价一览表（报价表）内容与响应文件中相应内容不一致的，以磋商开启报价一览表（报价表）为准；</w:t>
      </w:r>
    </w:p>
    <w:p w14:paraId="449CA4C2">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（二）大写金额和小写金额不一致的，以大写金额为准；</w:t>
      </w:r>
    </w:p>
    <w:p w14:paraId="6FFCCD06">
      <w:pPr>
        <w:spacing w:line="400" w:lineRule="exact"/>
        <w:ind w:left="1020" w:hanging="1020" w:hangingChars="42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（三）单价金额小数点或者百分比有明显错位的，以磋商开启报价一览表的总价为准，并修改单价；</w:t>
      </w:r>
    </w:p>
    <w:p w14:paraId="603AE0B2">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（四）总价金额与按单价汇总金额不一致的，以单价金额计算结果为准。</w:t>
      </w:r>
    </w:p>
    <w:p w14:paraId="3F84E90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同时出现两种以上不一致的，按照前款规定的顺序修正。修正后的报价按照第20.2条的规定经供应商确认后产生约束力，供应商不确认的，将被认定为磋商无效。对不同文字文本响应文件的解释发生异议的，以中文文本为准。</w:t>
      </w:r>
    </w:p>
    <w:p w14:paraId="77D7AA3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20.4   供应商为提供服务所伴随磋商的产品如被列入财政部与国家主管部门颁发的节能产品目录或环境标志产品目录或无线局域网产品目录，应提供相关证明，在评审时予以优先采购，具体优先采购办法见第6章评审方法和标准。</w:t>
      </w:r>
    </w:p>
    <w:p w14:paraId="46F0BD63">
      <w:pPr>
        <w:pStyle w:val="7"/>
        <w:spacing w:before="0" w:after="0" w:line="400" w:lineRule="exact"/>
        <w:rPr>
          <w:rFonts w:hint="eastAsia" w:ascii="微软雅黑" w:hAnsi="微软雅黑" w:eastAsia="微软雅黑" w:cs="微软雅黑"/>
          <w:color w:val="auto"/>
          <w:u w:val="none"/>
        </w:rPr>
      </w:pPr>
      <w:bookmarkStart w:id="291" w:name="_Toc518923086"/>
      <w:bookmarkStart w:id="292" w:name="_Toc21133"/>
      <w:bookmarkStart w:id="293" w:name="_Toc6346_WPSOffice_Level2"/>
      <w:bookmarkStart w:id="294" w:name="_Toc12567"/>
      <w:bookmarkStart w:id="295" w:name="_Toc1249"/>
      <w:bookmarkStart w:id="296" w:name="_Toc32038"/>
      <w:bookmarkStart w:id="297" w:name="_Toc26608"/>
      <w:bookmarkStart w:id="298" w:name="_Toc8603"/>
      <w:bookmarkStart w:id="299" w:name="_Toc26452_WPSOffice_Level2"/>
      <w:bookmarkStart w:id="300" w:name="_Toc13592"/>
      <w:r>
        <w:rPr>
          <w:rFonts w:hint="eastAsia" w:ascii="微软雅黑" w:hAnsi="微软雅黑" w:eastAsia="微软雅黑" w:cs="微软雅黑"/>
          <w:color w:val="auto"/>
          <w:u w:val="none"/>
        </w:rPr>
        <w:t>21.响应偏离</w:t>
      </w:r>
      <w:bookmarkEnd w:id="291"/>
      <w:bookmarkEnd w:id="292"/>
      <w:bookmarkEnd w:id="293"/>
      <w:bookmarkEnd w:id="294"/>
      <w:bookmarkEnd w:id="295"/>
      <w:bookmarkEnd w:id="296"/>
      <w:bookmarkEnd w:id="297"/>
      <w:bookmarkEnd w:id="298"/>
      <w:bookmarkEnd w:id="299"/>
      <w:bookmarkEnd w:id="300"/>
    </w:p>
    <w:p w14:paraId="3E34CFB3">
      <w:pPr>
        <w:spacing w:line="400" w:lineRule="exact"/>
        <w:ind w:left="848" w:leftChars="99" w:hanging="640" w:hangingChars="267"/>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 xml:space="preserve">    磋商小组可以接受响应文件中不构成实质性偏离的不正规或不一致</w:t>
      </w:r>
      <w:r>
        <w:rPr>
          <w:rFonts w:hint="eastAsia" w:ascii="微软雅黑" w:hAnsi="微软雅黑" w:eastAsia="微软雅黑" w:cs="微软雅黑"/>
          <w:color w:val="auto"/>
          <w:sz w:val="24"/>
          <w:highlight w:val="none"/>
          <w:lang w:eastAsia="zh-CN"/>
        </w:rPr>
        <w:t>。</w:t>
      </w:r>
    </w:p>
    <w:p w14:paraId="27F85D70">
      <w:pPr>
        <w:pStyle w:val="7"/>
        <w:spacing w:before="0" w:after="0" w:line="400" w:lineRule="exact"/>
        <w:rPr>
          <w:rFonts w:hint="eastAsia" w:ascii="微软雅黑" w:hAnsi="微软雅黑" w:eastAsia="微软雅黑" w:cs="微软雅黑"/>
          <w:color w:val="auto"/>
          <w:u w:val="none"/>
        </w:rPr>
      </w:pPr>
      <w:bookmarkStart w:id="301" w:name="_Toc12082"/>
      <w:bookmarkStart w:id="302" w:name="_Toc24099"/>
      <w:bookmarkStart w:id="303" w:name="_Toc15434"/>
      <w:bookmarkStart w:id="304" w:name="_Toc5777"/>
      <w:bookmarkStart w:id="305" w:name="_Toc11645_WPSOffice_Level2"/>
      <w:bookmarkStart w:id="306" w:name="_Toc19924"/>
      <w:bookmarkStart w:id="307" w:name="_Toc30254"/>
      <w:bookmarkStart w:id="308" w:name="_Toc518923087"/>
      <w:bookmarkStart w:id="309" w:name="_Toc25255"/>
      <w:bookmarkStart w:id="310" w:name="_Toc25236_WPSOffice_Level2"/>
      <w:r>
        <w:rPr>
          <w:rFonts w:hint="eastAsia" w:ascii="微软雅黑" w:hAnsi="微软雅黑" w:eastAsia="微软雅黑" w:cs="微软雅黑"/>
          <w:color w:val="auto"/>
          <w:u w:val="none"/>
        </w:rPr>
        <w:t>22.响应无效</w:t>
      </w:r>
      <w:bookmarkEnd w:id="301"/>
      <w:bookmarkEnd w:id="302"/>
      <w:bookmarkEnd w:id="303"/>
      <w:bookmarkEnd w:id="304"/>
      <w:bookmarkEnd w:id="305"/>
      <w:bookmarkEnd w:id="306"/>
      <w:bookmarkEnd w:id="307"/>
      <w:bookmarkEnd w:id="308"/>
      <w:bookmarkEnd w:id="309"/>
      <w:bookmarkEnd w:id="310"/>
    </w:p>
    <w:p w14:paraId="2B43341A">
      <w:pPr>
        <w:spacing w:line="400" w:lineRule="exact"/>
        <w:ind w:left="852" w:leftChars="-23"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22.1   在比较与评价之前，根据本须知的规定，磋商小组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w:t>
      </w:r>
    </w:p>
    <w:p w14:paraId="17DF8AEA">
      <w:pPr>
        <w:spacing w:line="400" w:lineRule="exact"/>
        <w:ind w:left="792" w:leftChars="377"/>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磋商小组决定磋商的响应性只根据磋商文件要求、响应文件内容及财政主管部门指定相关信息发布媒体。</w:t>
      </w:r>
    </w:p>
    <w:p w14:paraId="6478D026">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22.2   </w:t>
      </w:r>
      <w:r>
        <w:rPr>
          <w:rFonts w:hint="eastAsia" w:ascii="微软雅黑" w:hAnsi="微软雅黑" w:eastAsia="微软雅黑" w:cs="微软雅黑"/>
          <w:b/>
          <w:bCs/>
          <w:color w:val="auto"/>
          <w:sz w:val="24"/>
        </w:rPr>
        <w:t>如发现下列情况之一的，其磋商将被认定为无效：（</w:t>
      </w:r>
      <w:r>
        <w:rPr>
          <w:rFonts w:hint="eastAsia" w:ascii="微软雅黑" w:hAnsi="微软雅黑" w:eastAsia="微软雅黑" w:cs="微软雅黑"/>
          <w:b/>
          <w:color w:val="auto"/>
          <w:sz w:val="24"/>
        </w:rPr>
        <w:t>以下情形应当在磋商文件中规定，并以醒目的方式标明</w:t>
      </w:r>
      <w:r>
        <w:rPr>
          <w:rFonts w:hint="eastAsia" w:ascii="微软雅黑" w:hAnsi="微软雅黑" w:eastAsia="微软雅黑" w:cs="微软雅黑"/>
          <w:color w:val="auto"/>
          <w:sz w:val="24"/>
        </w:rPr>
        <w:t>）</w:t>
      </w:r>
    </w:p>
    <w:p w14:paraId="4B0EF95B">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未按磋商文件规定的形式和金额提交磋商保证金的；</w:t>
      </w:r>
    </w:p>
    <w:p w14:paraId="4A1F6A7E">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未按照磋商文件规定要求签署、盖章的；</w:t>
      </w:r>
    </w:p>
    <w:p w14:paraId="26759D37">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未满足磋商文件中技术条款的实质性要求；</w:t>
      </w:r>
    </w:p>
    <w:p w14:paraId="5345BE76">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与其他供应商串通参加磋商或者与采购人串通参加磋商；</w:t>
      </w:r>
    </w:p>
    <w:p w14:paraId="45A45002">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属于磋商文件规定的其他磋商无效情形；</w:t>
      </w:r>
    </w:p>
    <w:p w14:paraId="47686AEF">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磋商小组认为供应商的报价明显低于其他通过符合性检查供</w:t>
      </w:r>
    </w:p>
    <w:p w14:paraId="754DC7AF">
      <w:pPr>
        <w:spacing w:line="400" w:lineRule="exact"/>
        <w:ind w:left="958" w:leftChars="456"/>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应商的报价，有可能影响履约的，且供应商未按照规定证明其报价合理性的；</w:t>
      </w:r>
    </w:p>
    <w:p w14:paraId="6FB34196">
      <w:pPr>
        <w:numPr>
          <w:ilvl w:val="0"/>
          <w:numId w:val="4"/>
        </w:numPr>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响应文件含有采购人不能接受的附加条件的；</w:t>
      </w:r>
    </w:p>
    <w:p w14:paraId="5122669E">
      <w:pPr>
        <w:numPr>
          <w:ilvl w:val="0"/>
          <w:numId w:val="4"/>
        </w:numPr>
        <w:tabs>
          <w:tab w:val="left" w:pos="0"/>
        </w:tabs>
        <w:spacing w:line="400" w:lineRule="exact"/>
        <w:ind w:left="1081" w:leftChars="429" w:hanging="180"/>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不符合法规和磋商文件中规定的其他实质性要求的。</w:t>
      </w:r>
    </w:p>
    <w:p w14:paraId="502333C8">
      <w:pPr>
        <w:spacing w:line="400" w:lineRule="exact"/>
        <w:outlineLvl w:val="2"/>
        <w:rPr>
          <w:rFonts w:hint="eastAsia" w:ascii="微软雅黑" w:hAnsi="微软雅黑" w:eastAsia="微软雅黑" w:cs="微软雅黑"/>
          <w:b/>
          <w:bCs/>
          <w:color w:val="auto"/>
          <w:sz w:val="24"/>
        </w:rPr>
      </w:pPr>
      <w:bookmarkStart w:id="311" w:name="_Toc8969"/>
      <w:bookmarkStart w:id="312" w:name="_Toc8550"/>
      <w:bookmarkStart w:id="313" w:name="_Toc20835"/>
      <w:bookmarkStart w:id="314" w:name="_Toc518923088"/>
      <w:bookmarkStart w:id="315" w:name="_Toc7084"/>
      <w:bookmarkStart w:id="316" w:name="_Toc4029"/>
      <w:bookmarkStart w:id="317" w:name="_Toc2742"/>
      <w:bookmarkStart w:id="318" w:name="_Toc14330_WPSOffice_Level2"/>
      <w:bookmarkStart w:id="319" w:name="_Toc22743_WPSOffice_Level2"/>
      <w:bookmarkStart w:id="320" w:name="_Toc8816"/>
      <w:r>
        <w:rPr>
          <w:rFonts w:hint="eastAsia" w:ascii="微软雅黑" w:hAnsi="微软雅黑" w:eastAsia="微软雅黑" w:cs="微软雅黑"/>
          <w:b/>
          <w:bCs/>
          <w:color w:val="auto"/>
          <w:sz w:val="24"/>
        </w:rPr>
        <w:t>23</w:t>
      </w:r>
      <w:bookmarkEnd w:id="290"/>
      <w:r>
        <w:rPr>
          <w:rFonts w:hint="eastAsia" w:ascii="微软雅黑" w:hAnsi="微软雅黑" w:eastAsia="微软雅黑" w:cs="微软雅黑"/>
          <w:b/>
          <w:bCs/>
          <w:color w:val="auto"/>
          <w:sz w:val="24"/>
        </w:rPr>
        <w:t>.比较与评价</w:t>
      </w:r>
      <w:bookmarkEnd w:id="311"/>
      <w:bookmarkEnd w:id="312"/>
      <w:bookmarkEnd w:id="313"/>
      <w:bookmarkEnd w:id="314"/>
      <w:bookmarkEnd w:id="315"/>
      <w:bookmarkEnd w:id="316"/>
      <w:bookmarkEnd w:id="317"/>
      <w:bookmarkEnd w:id="318"/>
      <w:bookmarkEnd w:id="319"/>
      <w:bookmarkEnd w:id="320"/>
    </w:p>
    <w:p w14:paraId="11F7701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23.1   经符合性审查合格的响应文件，磋商小组将根据磋商文件确定的评审方法和标准，对其技术部分和商务部分作进一步的比较和评价。</w:t>
      </w:r>
    </w:p>
    <w:p w14:paraId="0AF664EF">
      <w:pPr>
        <w:pStyle w:val="27"/>
        <w:spacing w:line="400" w:lineRule="exact"/>
        <w:ind w:left="718" w:leftChars="342" w:firstLine="118" w:firstLineChars="49"/>
        <w:rPr>
          <w:rFonts w:hint="eastAsia" w:ascii="微软雅黑" w:hAnsi="微软雅黑" w:eastAsia="微软雅黑" w:cs="微软雅黑"/>
          <w:b/>
          <w:bCs/>
          <w:color w:val="auto"/>
          <w:sz w:val="24"/>
          <w:u w:val="single"/>
        </w:rPr>
      </w:pPr>
      <w:r>
        <w:rPr>
          <w:rFonts w:hint="eastAsia" w:ascii="微软雅黑" w:hAnsi="微软雅黑" w:eastAsia="微软雅黑" w:cs="微软雅黑"/>
          <w:b/>
          <w:bCs/>
          <w:color w:val="auto"/>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14:paraId="45A51F05">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23.2   评审严格按照磋商文件的要求和条件进行。根据实际情况，在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中规定采用下列一种评审方法，详细评审标准见磋商文件第六章：</w:t>
      </w:r>
    </w:p>
    <w:p w14:paraId="6257EC19">
      <w:pPr>
        <w:pStyle w:val="18"/>
        <w:spacing w:line="400" w:lineRule="exact"/>
        <w:ind w:left="958" w:leftChars="456" w:firstLine="33" w:firstLineChars="14"/>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综合评分法，是指响应文件满足磋商文件全部实质性要求，且按照评审因素的量化指标评审得分最高的供应商为成交候选人的评审方法。</w:t>
      </w:r>
    </w:p>
    <w:p w14:paraId="0F8609A0">
      <w:pPr>
        <w:pStyle w:val="18"/>
        <w:spacing w:line="400" w:lineRule="exact"/>
        <w:ind w:left="958" w:leftChars="456" w:firstLine="34" w:firstLineChars="14"/>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本项目采用采购方式：竞争性磋商</w:t>
      </w:r>
    </w:p>
    <w:p w14:paraId="6DA7216A">
      <w:pPr>
        <w:pStyle w:val="18"/>
        <w:spacing w:line="400" w:lineRule="exact"/>
        <w:ind w:left="958" w:leftChars="456" w:firstLine="34" w:firstLineChars="14"/>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评分方法：综合评分法</w:t>
      </w:r>
      <w:r>
        <w:rPr>
          <w:rFonts w:hint="eastAsia" w:ascii="微软雅黑" w:hAnsi="微软雅黑" w:eastAsia="微软雅黑" w:cs="微软雅黑"/>
          <w:b/>
          <w:bCs/>
          <w:color w:val="auto"/>
          <w:sz w:val="24"/>
          <w:szCs w:val="24"/>
          <w:lang w:val="en-US" w:eastAsia="zh-CN"/>
        </w:rPr>
        <w:t xml:space="preserve">。 </w:t>
      </w:r>
    </w:p>
    <w:p w14:paraId="0BA684A0">
      <w:pPr>
        <w:pStyle w:val="18"/>
        <w:pageBreakBefore w:val="0"/>
        <w:kinsoku/>
        <w:wordWrap/>
        <w:overflowPunct/>
        <w:topLinePunct w:val="0"/>
        <w:bidi w:val="0"/>
        <w:spacing w:line="480" w:lineRule="exact"/>
        <w:ind w:left="900" w:hanging="900" w:hangingChars="375"/>
        <w:rPr>
          <w:rFonts w:hint="eastAsia" w:ascii="微软雅黑" w:hAnsi="微软雅黑" w:eastAsia="微软雅黑" w:cs="微软雅黑"/>
          <w:b/>
          <w:bCs/>
          <w:color w:val="auto"/>
          <w:sz w:val="24"/>
          <w:szCs w:val="24"/>
        </w:rPr>
      </w:pPr>
      <w:bookmarkStart w:id="321" w:name="_Toc520356168"/>
      <w:bookmarkStart w:id="322" w:name="_Toc518923089"/>
      <w:bookmarkStart w:id="323" w:name="_Toc21686_WPSOffice_Level2"/>
      <w:bookmarkStart w:id="324" w:name="_Toc27560_WPSOffice_Level2"/>
      <w:bookmarkStart w:id="325" w:name="_Toc5823"/>
      <w:r>
        <w:rPr>
          <w:rFonts w:hint="eastAsia" w:ascii="微软雅黑" w:hAnsi="微软雅黑" w:eastAsia="微软雅黑" w:cs="微软雅黑"/>
          <w:b/>
          <w:bCs/>
          <w:color w:val="auto"/>
          <w:sz w:val="24"/>
          <w:szCs w:val="24"/>
        </w:rPr>
        <w:t xml:space="preserve">23.3   </w:t>
      </w:r>
      <w:r>
        <w:rPr>
          <w:rFonts w:hint="eastAsia" w:ascii="微软雅黑" w:hAnsi="微软雅黑" w:eastAsia="微软雅黑" w:cs="微软雅黑"/>
          <w:b/>
          <w:bCs/>
          <w:color w:val="auto"/>
          <w:kern w:val="2"/>
          <w:sz w:val="24"/>
          <w:szCs w:val="24"/>
          <w:highlight w:val="none"/>
          <w:lang w:val="en-US" w:eastAsia="zh-CN" w:bidi="ar-SA"/>
        </w:rPr>
        <w:t>根据《政府采购促进中小企业发展管理办法》（财库﹝2020﹞46 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关于落实好政府采购支持中小企业发展的通知</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新财购 〔2022〕22号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、《财政部司法部关于政府采购支持监狱企业发展有关问 题 的通知》（财库〔2014〕68号）和《三部门联合发布关于促进残疾人就业政府采购政策的通知》（财库〔2017〕141号）的规定，其中小型、微型及小微企业在</w:t>
      </w:r>
      <w:r>
        <w:rPr>
          <w:rFonts w:hint="eastAsia" w:ascii="微软雅黑" w:hAnsi="微软雅黑" w:eastAsia="微软雅黑" w:cs="微软雅黑"/>
          <w:b/>
          <w:bCs/>
          <w:color w:val="auto"/>
          <w:sz w:val="24"/>
          <w:szCs w:val="24"/>
          <w:lang w:eastAsia="zh-CN"/>
        </w:rPr>
        <w:t>响应文件</w:t>
      </w:r>
      <w:r>
        <w:rPr>
          <w:rFonts w:hint="eastAsia" w:ascii="微软雅黑" w:hAnsi="微软雅黑" w:eastAsia="微软雅黑" w:cs="微软雅黑"/>
          <w:b/>
          <w:bCs/>
          <w:color w:val="auto"/>
          <w:sz w:val="24"/>
          <w:szCs w:val="24"/>
        </w:rPr>
        <w:t>中提交了《中小企业声明函》、《残疾人福利性单位声明函》或省级以上监狱管理局、戒毒管理局（含新疆生产建设兵团）出具的属于监狱企业的证明文件的供应商，其报价扣除  10  %后参与评审。对于同时属于小型、微型及小微企业、监狱企业或残疾人福利性单位的，不重复进行报价扣除。具体办法详见</w:t>
      </w:r>
      <w:r>
        <w:rPr>
          <w:rFonts w:hint="eastAsia" w:ascii="微软雅黑" w:hAnsi="微软雅黑" w:eastAsia="微软雅黑" w:cs="微软雅黑"/>
          <w:b/>
          <w:bCs/>
          <w:color w:val="auto"/>
          <w:sz w:val="24"/>
          <w:szCs w:val="24"/>
          <w:lang w:eastAsia="zh-CN"/>
        </w:rPr>
        <w:t>磋商文件</w:t>
      </w:r>
      <w:r>
        <w:rPr>
          <w:rFonts w:hint="eastAsia" w:ascii="微软雅黑" w:hAnsi="微软雅黑" w:eastAsia="微软雅黑" w:cs="微软雅黑"/>
          <w:b/>
          <w:bCs/>
          <w:color w:val="auto"/>
          <w:sz w:val="24"/>
          <w:szCs w:val="24"/>
        </w:rPr>
        <w:t>第6章。</w:t>
      </w:r>
    </w:p>
    <w:p w14:paraId="0AE42AF2">
      <w:pPr>
        <w:pStyle w:val="18"/>
        <w:pageBreakBefore w:val="0"/>
        <w:kinsoku/>
        <w:wordWrap/>
        <w:overflowPunct/>
        <w:topLinePunct w:val="0"/>
        <w:bidi w:val="0"/>
        <w:spacing w:line="480" w:lineRule="exact"/>
        <w:ind w:left="900" w:hanging="900" w:hangingChars="375"/>
        <w:rPr>
          <w:rFonts w:hint="eastAsia" w:ascii="微软雅黑" w:hAnsi="微软雅黑" w:eastAsia="微软雅黑" w:cs="微软雅黑"/>
          <w:color w:val="auto"/>
        </w:rPr>
      </w:pPr>
      <w:r>
        <w:rPr>
          <w:rFonts w:hint="eastAsia" w:ascii="微软雅黑" w:hAnsi="微软雅黑" w:eastAsia="微软雅黑" w:cs="微软雅黑"/>
          <w:b/>
          <w:bCs/>
          <w:color w:val="auto"/>
          <w:sz w:val="24"/>
          <w:szCs w:val="24"/>
          <w:lang w:val="en-US" w:eastAsia="zh-CN"/>
        </w:rPr>
        <w:t xml:space="preserve">23.4   </w:t>
      </w:r>
      <w:r>
        <w:rPr>
          <w:rFonts w:hint="eastAsia" w:ascii="微软雅黑" w:hAnsi="微软雅黑" w:eastAsia="微软雅黑" w:cs="微软雅黑"/>
          <w:b/>
          <w:bCs/>
          <w:color w:val="auto"/>
          <w:kern w:val="2"/>
          <w:sz w:val="24"/>
          <w:szCs w:val="24"/>
          <w:highlight w:val="none"/>
          <w:lang w:val="en-US" w:eastAsia="zh-CN" w:bidi="ar-SA"/>
        </w:rPr>
        <w:t>根据《政府采购促进中小企业发展管理办法》（财库[2022】19号）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关于落实好政府采购支持中小企业发展的通知</w:t>
      </w:r>
      <w:r>
        <w:rPr>
          <w:rFonts w:hint="eastAsia" w:ascii="微软雅黑" w:hAnsi="微软雅黑" w:eastAsia="微软雅黑" w:cs="微软雅黑"/>
          <w:b/>
          <w:bCs/>
          <w:color w:val="auto"/>
          <w:sz w:val="24"/>
          <w:szCs w:val="24"/>
          <w:lang w:eastAsia="zh-CN"/>
        </w:rPr>
        <w:t>》（新财购 〔2022〕22号）</w:t>
      </w:r>
      <w:r>
        <w:rPr>
          <w:rFonts w:hint="eastAsia" w:ascii="微软雅黑" w:hAnsi="微软雅黑" w:eastAsia="微软雅黑" w:cs="微软雅黑"/>
          <w:b/>
          <w:bCs/>
          <w:color w:val="auto"/>
          <w:sz w:val="24"/>
          <w:szCs w:val="24"/>
          <w:lang w:val="en-US" w:eastAsia="zh-CN"/>
        </w:rPr>
        <w:t>，所采购产品需符合国家节能环保要求。结合本项目具体情况，根据财政部的相关规定符合政府采购促进中小企业发展政策的供应商为小、微型企业，产品有环境标志认证证书或节能标志认证证书的依据规定给予评标优惠。监狱企业及残疾人福利性单位视同小型、微型企业，享受预留份额、评标中价格扣除等政府采购促进中小企业发展的政府采购政策。</w:t>
      </w:r>
      <w:r>
        <w:rPr>
          <w:rFonts w:hint="eastAsia" w:ascii="微软雅黑" w:hAnsi="微软雅黑" w:eastAsia="微软雅黑" w:cs="微软雅黑"/>
          <w:color w:val="auto"/>
          <w:sz w:val="24"/>
          <w:szCs w:val="24"/>
          <w:lang w:val="en-US" w:eastAsia="zh-CN"/>
        </w:rPr>
        <w:t>  </w:t>
      </w:r>
    </w:p>
    <w:p w14:paraId="44797300">
      <w:pPr>
        <w:pStyle w:val="7"/>
        <w:spacing w:before="0" w:after="0" w:line="400" w:lineRule="exact"/>
        <w:rPr>
          <w:rFonts w:hint="eastAsia" w:ascii="微软雅黑" w:hAnsi="微软雅黑" w:eastAsia="微软雅黑" w:cs="微软雅黑"/>
          <w:b/>
          <w:bCs w:val="0"/>
          <w:color w:val="auto"/>
          <w:kern w:val="2"/>
          <w:szCs w:val="24"/>
          <w:u w:val="none"/>
        </w:rPr>
      </w:pPr>
      <w:bookmarkStart w:id="326" w:name="_Toc190"/>
      <w:bookmarkStart w:id="327" w:name="_Toc12127"/>
      <w:bookmarkStart w:id="328" w:name="_Toc9221"/>
      <w:bookmarkStart w:id="329" w:name="_Toc14321"/>
      <w:bookmarkStart w:id="330" w:name="_Toc12880"/>
      <w:r>
        <w:rPr>
          <w:rFonts w:hint="eastAsia" w:ascii="微软雅黑" w:hAnsi="微软雅黑" w:eastAsia="微软雅黑" w:cs="微软雅黑"/>
          <w:b/>
          <w:bCs w:val="0"/>
          <w:color w:val="auto"/>
          <w:kern w:val="2"/>
          <w:szCs w:val="24"/>
          <w:u w:val="none"/>
        </w:rPr>
        <w:t>24</w:t>
      </w:r>
      <w:bookmarkEnd w:id="321"/>
      <w:r>
        <w:rPr>
          <w:rFonts w:hint="eastAsia" w:ascii="微软雅黑" w:hAnsi="微软雅黑" w:eastAsia="微软雅黑" w:cs="微软雅黑"/>
          <w:b/>
          <w:bCs w:val="0"/>
          <w:color w:val="auto"/>
          <w:kern w:val="2"/>
          <w:szCs w:val="24"/>
          <w:u w:val="none"/>
        </w:rPr>
        <w:t>.废标</w:t>
      </w:r>
      <w:bookmarkEnd w:id="322"/>
      <w:bookmarkEnd w:id="323"/>
      <w:bookmarkEnd w:id="324"/>
      <w:bookmarkEnd w:id="325"/>
      <w:bookmarkEnd w:id="326"/>
      <w:bookmarkEnd w:id="327"/>
      <w:bookmarkEnd w:id="328"/>
      <w:bookmarkEnd w:id="329"/>
      <w:bookmarkEnd w:id="330"/>
    </w:p>
    <w:p w14:paraId="465E899F">
      <w:pPr>
        <w:pStyle w:val="18"/>
        <w:spacing w:line="400" w:lineRule="exact"/>
        <w:ind w:left="840" w:leftChars="4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出现下列情形之一，将导致项目废标： </w:t>
      </w:r>
    </w:p>
    <w:p w14:paraId="5F9A06FA">
      <w:pPr>
        <w:pStyle w:val="18"/>
        <w:spacing w:line="400" w:lineRule="exact"/>
        <w:ind w:left="840" w:leftChars="4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（1）符合专业条件的供应商或者对磋商文件做实质性响应的供应商不足三家；</w:t>
      </w:r>
    </w:p>
    <w:p w14:paraId="3E5E4579">
      <w:pPr>
        <w:pStyle w:val="18"/>
        <w:spacing w:line="400" w:lineRule="exact"/>
        <w:ind w:left="840" w:leftChars="4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（2）出现影响采购公正的违法、违规行为的；</w:t>
      </w:r>
    </w:p>
    <w:p w14:paraId="12C24AAE">
      <w:pPr>
        <w:pStyle w:val="18"/>
        <w:spacing w:line="400" w:lineRule="exact"/>
        <w:ind w:left="840" w:leftChars="40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（3）供应商的报价均超过了采购预算，采购人不能支付的；</w:t>
      </w:r>
    </w:p>
    <w:p w14:paraId="54711D79">
      <w:pPr>
        <w:pStyle w:val="18"/>
        <w:spacing w:line="400" w:lineRule="exact"/>
        <w:ind w:left="840" w:leftChars="400"/>
        <w:rPr>
          <w:rFonts w:hint="eastAsia" w:ascii="微软雅黑" w:hAnsi="微软雅黑" w:eastAsia="微软雅黑" w:cs="微软雅黑"/>
          <w:b/>
          <w:bCs w:val="0"/>
          <w:color w:val="auto"/>
          <w:sz w:val="24"/>
        </w:rPr>
      </w:pPr>
      <w:r>
        <w:rPr>
          <w:rFonts w:hint="eastAsia" w:ascii="微软雅黑" w:hAnsi="微软雅黑" w:eastAsia="微软雅黑" w:cs="微软雅黑"/>
          <w:b/>
          <w:bCs w:val="0"/>
          <w:color w:val="auto"/>
          <w:sz w:val="24"/>
          <w:szCs w:val="24"/>
        </w:rPr>
        <w:t xml:space="preserve">（4）因重大变故，采购任务取消的。 </w:t>
      </w:r>
      <w:r>
        <w:rPr>
          <w:rFonts w:hint="eastAsia" w:ascii="微软雅黑" w:hAnsi="微软雅黑" w:eastAsia="微软雅黑" w:cs="微软雅黑"/>
          <w:b/>
          <w:bCs w:val="0"/>
          <w:color w:val="auto"/>
          <w:sz w:val="24"/>
        </w:rPr>
        <w:t xml:space="preserve">  </w:t>
      </w:r>
    </w:p>
    <w:p w14:paraId="5BEF09AD">
      <w:pPr>
        <w:pStyle w:val="7"/>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31" w:name="_Toc23660"/>
      <w:bookmarkStart w:id="332" w:name="_Toc30807"/>
      <w:bookmarkStart w:id="333" w:name="_Toc4205_WPSOffice_Level2"/>
      <w:bookmarkStart w:id="334" w:name="_Toc17751"/>
      <w:bookmarkStart w:id="335" w:name="_Toc2459"/>
      <w:bookmarkStart w:id="336" w:name="_Toc6204"/>
      <w:bookmarkStart w:id="337" w:name="_Toc16649_WPSOffice_Level2"/>
      <w:bookmarkStart w:id="338" w:name="_Toc32311"/>
      <w:bookmarkStart w:id="339" w:name="_Toc23345"/>
      <w:bookmarkStart w:id="340" w:name="_Toc518923090"/>
      <w:bookmarkStart w:id="341" w:name="_Toc520356169"/>
      <w:r>
        <w:rPr>
          <w:rFonts w:hint="eastAsia" w:ascii="微软雅黑" w:hAnsi="微软雅黑" w:eastAsia="微软雅黑" w:cs="微软雅黑"/>
          <w:color w:val="auto"/>
          <w:u w:val="none"/>
        </w:rPr>
        <w:t>25.保密原则</w:t>
      </w:r>
      <w:bookmarkEnd w:id="331"/>
      <w:bookmarkEnd w:id="332"/>
      <w:bookmarkEnd w:id="333"/>
      <w:bookmarkEnd w:id="334"/>
      <w:bookmarkEnd w:id="335"/>
      <w:bookmarkEnd w:id="336"/>
      <w:bookmarkEnd w:id="337"/>
      <w:bookmarkEnd w:id="338"/>
      <w:bookmarkEnd w:id="339"/>
      <w:bookmarkEnd w:id="340"/>
    </w:p>
    <w:p w14:paraId="6C2F1724">
      <w:pPr>
        <w:pageBreakBefore w:val="0"/>
        <w:widowControl w:val="0"/>
        <w:kinsoku/>
        <w:wordWrap/>
        <w:overflowPunct/>
        <w:topLinePunct w:val="0"/>
        <w:bidi w:val="0"/>
        <w:snapToGrid/>
        <w:spacing w:line="460" w:lineRule="exact"/>
        <w:ind w:left="0" w:leftChars="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评审将在严格保密的情况下进行。</w:t>
      </w:r>
    </w:p>
    <w:p w14:paraId="05CD01CF">
      <w:pPr>
        <w:pageBreakBefore w:val="0"/>
        <w:widowControl w:val="0"/>
        <w:kinsoku/>
        <w:wordWrap/>
        <w:overflowPunct/>
        <w:topLinePunct w:val="0"/>
        <w:bidi w:val="0"/>
        <w:snapToGrid/>
        <w:spacing w:line="460" w:lineRule="exact"/>
        <w:ind w:left="840" w:leftChars="0" w:hanging="840" w:hangingChars="35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政府采购评审专家应当遵守评审工作纪律，不得泄露评审文件、评审情况和评审中获悉的商业秘密。</w:t>
      </w:r>
    </w:p>
    <w:p w14:paraId="6733CC35">
      <w:pPr>
        <w:pStyle w:val="6"/>
        <w:pageBreakBefore w:val="0"/>
        <w:widowControl w:val="0"/>
        <w:kinsoku/>
        <w:wordWrap/>
        <w:overflowPunct/>
        <w:topLinePunct w:val="0"/>
        <w:bidi w:val="0"/>
        <w:snapToGrid/>
        <w:spacing w:before="0" w:line="460" w:lineRule="exact"/>
        <w:ind w:left="0" w:leftChars="0" w:hanging="540"/>
        <w:textAlignment w:val="auto"/>
        <w:rPr>
          <w:rFonts w:hint="eastAsia" w:ascii="微软雅黑" w:hAnsi="微软雅黑" w:eastAsia="微软雅黑" w:cs="微软雅黑"/>
          <w:color w:val="auto"/>
        </w:rPr>
      </w:pPr>
      <w:bookmarkStart w:id="342" w:name="_Toc10964"/>
      <w:bookmarkStart w:id="343" w:name="_Toc518923091"/>
      <w:bookmarkStart w:id="344" w:name="_Toc216582810"/>
      <w:bookmarkStart w:id="345" w:name="_Toc6868"/>
      <w:bookmarkStart w:id="346" w:name="_Toc10715358"/>
      <w:bookmarkStart w:id="347" w:name="_Toc12023"/>
      <w:bookmarkStart w:id="348" w:name="_Toc1539"/>
      <w:bookmarkStart w:id="349" w:name="_Toc26937"/>
      <w:bookmarkStart w:id="350" w:name="_Toc4193_WPSOffice_Level1"/>
      <w:r>
        <w:rPr>
          <w:rFonts w:hint="eastAsia" w:ascii="微软雅黑" w:hAnsi="微软雅黑" w:eastAsia="微软雅黑" w:cs="微软雅黑"/>
          <w:color w:val="auto"/>
          <w:sz w:val="24"/>
        </w:rPr>
        <w:t xml:space="preserve">六   </w:t>
      </w:r>
      <w:bookmarkEnd w:id="341"/>
      <w:r>
        <w:rPr>
          <w:rFonts w:hint="eastAsia" w:ascii="微软雅黑" w:hAnsi="微软雅黑" w:eastAsia="微软雅黑" w:cs="微软雅黑"/>
          <w:color w:val="auto"/>
          <w:sz w:val="24"/>
        </w:rPr>
        <w:t>确定</w:t>
      </w:r>
      <w:bookmarkEnd w:id="342"/>
      <w:bookmarkEnd w:id="343"/>
      <w:bookmarkEnd w:id="344"/>
      <w:r>
        <w:rPr>
          <w:rFonts w:hint="eastAsia" w:ascii="微软雅黑" w:hAnsi="微软雅黑" w:eastAsia="微软雅黑" w:cs="微软雅黑"/>
          <w:color w:val="auto"/>
          <w:sz w:val="24"/>
        </w:rPr>
        <w:t>成交</w:t>
      </w:r>
      <w:bookmarkEnd w:id="345"/>
      <w:bookmarkEnd w:id="346"/>
      <w:bookmarkEnd w:id="347"/>
      <w:bookmarkEnd w:id="348"/>
      <w:bookmarkEnd w:id="349"/>
      <w:bookmarkEnd w:id="350"/>
    </w:p>
    <w:p w14:paraId="1B219360">
      <w:pPr>
        <w:pStyle w:val="7"/>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51" w:name="_Toc32578"/>
      <w:bookmarkStart w:id="352" w:name="_Toc20904"/>
      <w:bookmarkStart w:id="353" w:name="_Toc520356170"/>
      <w:bookmarkStart w:id="354" w:name="_Toc11297"/>
      <w:bookmarkStart w:id="355" w:name="_Toc31921_WPSOffice_Level2"/>
      <w:bookmarkStart w:id="356" w:name="_Toc29195"/>
      <w:bookmarkStart w:id="357" w:name="_Ref467307010"/>
      <w:bookmarkStart w:id="358" w:name="_Toc19969"/>
      <w:bookmarkStart w:id="359" w:name="_Toc20251"/>
      <w:bookmarkStart w:id="360" w:name="_Toc20805"/>
      <w:bookmarkStart w:id="361" w:name="_Toc4749_WPSOffice_Level2"/>
      <w:bookmarkStart w:id="362" w:name="_Toc518923092"/>
      <w:r>
        <w:rPr>
          <w:rFonts w:hint="eastAsia" w:ascii="微软雅黑" w:hAnsi="微软雅黑" w:eastAsia="微软雅黑" w:cs="微软雅黑"/>
          <w:color w:val="auto"/>
          <w:u w:val="none"/>
        </w:rPr>
        <w:t>26.成交候选人的确定原则及标准</w:t>
      </w:r>
      <w:bookmarkEnd w:id="351"/>
      <w:bookmarkEnd w:id="352"/>
      <w:bookmarkEnd w:id="353"/>
      <w:bookmarkEnd w:id="354"/>
      <w:bookmarkEnd w:id="355"/>
      <w:bookmarkEnd w:id="356"/>
      <w:bookmarkEnd w:id="357"/>
      <w:bookmarkEnd w:id="358"/>
      <w:bookmarkEnd w:id="359"/>
      <w:bookmarkEnd w:id="360"/>
      <w:bookmarkEnd w:id="361"/>
      <w:bookmarkEnd w:id="362"/>
    </w:p>
    <w:p w14:paraId="649DC6E2">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除第28条规定外，对实质上响应磋商文件的供应商按下列方法进行排序，确定成交候选人：</w:t>
      </w:r>
      <w:bookmarkStart w:id="363" w:name="_Toc520356171"/>
      <w:bookmarkStart w:id="364" w:name="_Toc3689_WPSOffice_Level2"/>
      <w:bookmarkStart w:id="365" w:name="_Toc2420_WPSOffice_Level2"/>
      <w:bookmarkStart w:id="366" w:name="_Toc5355"/>
      <w:bookmarkStart w:id="367" w:name="_Toc518923093"/>
      <w:bookmarkStart w:id="368" w:name="_Toc10555"/>
    </w:p>
    <w:p w14:paraId="5C458A5B">
      <w:pPr>
        <w:spacing w:line="36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（1）采用最低评标价法的，除了算术修正和落实政府采购政策需进行的价格扣除外，不对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价格进行任何调整。评标结果按修正和扣除后的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报价由低到高顺序排列。报价相同的处理方式详见</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第6章。</w:t>
      </w:r>
    </w:p>
    <w:p w14:paraId="49EC1A37">
      <w:pPr>
        <w:spacing w:line="36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（2）采用综合评分法的，评标结果按评审后得分由高到低顺序排列。得分相同的，按修正和扣除后的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报价由低到高顺序排列。得分与</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报价均相同的处理方式详见</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第6章。</w:t>
      </w:r>
    </w:p>
    <w:p w14:paraId="1FDF9EE5">
      <w:pPr>
        <w:pStyle w:val="35"/>
        <w:rPr>
          <w:rFonts w:hint="eastAsia" w:ascii="微软雅黑" w:hAnsi="微软雅黑" w:eastAsia="微软雅黑" w:cs="微软雅黑"/>
          <w:color w:val="auto"/>
        </w:rPr>
      </w:pPr>
    </w:p>
    <w:p w14:paraId="3FB7E84D">
      <w:pPr>
        <w:pageBreakBefore w:val="0"/>
        <w:widowControl w:val="0"/>
        <w:kinsoku/>
        <w:wordWrap/>
        <w:overflowPunct/>
        <w:topLinePunct w:val="0"/>
        <w:bidi w:val="0"/>
        <w:snapToGrid/>
        <w:spacing w:line="460" w:lineRule="exact"/>
        <w:ind w:left="718" w:leftChars="342" w:firstLine="60" w:firstLine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lang w:eastAsia="zh-CN"/>
        </w:rPr>
        <w:t>本项目</w:t>
      </w:r>
      <w:r>
        <w:rPr>
          <w:rFonts w:hint="eastAsia" w:ascii="微软雅黑" w:hAnsi="微软雅黑" w:eastAsia="微软雅黑" w:cs="微软雅黑"/>
          <w:b/>
          <w:bCs/>
          <w:color w:val="auto"/>
          <w:sz w:val="24"/>
        </w:rPr>
        <w:t>采用</w:t>
      </w:r>
      <w:r>
        <w:rPr>
          <w:rFonts w:hint="eastAsia" w:ascii="微软雅黑" w:hAnsi="微软雅黑" w:eastAsia="微软雅黑" w:cs="微软雅黑"/>
          <w:b/>
          <w:bCs/>
          <w:color w:val="auto"/>
          <w:sz w:val="24"/>
          <w:lang w:eastAsia="zh-CN"/>
        </w:rPr>
        <w:t>：</w:t>
      </w:r>
      <w:r>
        <w:rPr>
          <w:rFonts w:hint="eastAsia" w:ascii="微软雅黑" w:hAnsi="微软雅黑" w:eastAsia="微软雅黑" w:cs="微软雅黑"/>
          <w:b/>
          <w:bCs/>
          <w:color w:val="auto"/>
          <w:sz w:val="24"/>
        </w:rPr>
        <w:t>综合评分法</w:t>
      </w:r>
    </w:p>
    <w:p w14:paraId="319F4913">
      <w:pPr>
        <w:pStyle w:val="7"/>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69" w:name="_Toc698"/>
      <w:bookmarkStart w:id="370" w:name="_Toc10810"/>
      <w:bookmarkStart w:id="371" w:name="_Toc26909"/>
      <w:bookmarkStart w:id="372" w:name="_Toc495"/>
      <w:bookmarkStart w:id="373" w:name="_Toc28488"/>
      <w:r>
        <w:rPr>
          <w:rFonts w:hint="eastAsia" w:ascii="微软雅黑" w:hAnsi="微软雅黑" w:eastAsia="微软雅黑" w:cs="微软雅黑"/>
          <w:color w:val="auto"/>
          <w:u w:val="none"/>
        </w:rPr>
        <w:t>27</w:t>
      </w:r>
      <w:bookmarkEnd w:id="363"/>
      <w:r>
        <w:rPr>
          <w:rFonts w:hint="eastAsia" w:ascii="微软雅黑" w:hAnsi="微软雅黑" w:eastAsia="微软雅黑" w:cs="微软雅黑"/>
          <w:color w:val="auto"/>
          <w:u w:val="none"/>
        </w:rPr>
        <w:t>.确定成交候选人和成交人</w:t>
      </w:r>
      <w:bookmarkEnd w:id="364"/>
      <w:bookmarkEnd w:id="365"/>
      <w:bookmarkEnd w:id="366"/>
      <w:bookmarkEnd w:id="367"/>
      <w:bookmarkEnd w:id="368"/>
      <w:bookmarkEnd w:id="369"/>
      <w:bookmarkEnd w:id="370"/>
      <w:bookmarkEnd w:id="371"/>
      <w:bookmarkEnd w:id="372"/>
      <w:bookmarkEnd w:id="373"/>
    </w:p>
    <w:p w14:paraId="6B31C0F6">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磋商小组将根据评审标准，按</w:t>
      </w:r>
      <w:r>
        <w:rPr>
          <w:rFonts w:hint="eastAsia" w:ascii="微软雅黑" w:hAnsi="微软雅黑" w:eastAsia="微软雅黑" w:cs="微软雅黑"/>
          <w:color w:val="auto"/>
          <w:sz w:val="24"/>
          <w:u w:val="single"/>
        </w:rPr>
        <w:t>供应商须知资料表中</w:t>
      </w:r>
      <w:r>
        <w:rPr>
          <w:rFonts w:hint="eastAsia" w:ascii="微软雅黑" w:hAnsi="微软雅黑" w:eastAsia="微软雅黑" w:cs="微软雅黑"/>
          <w:color w:val="auto"/>
          <w:sz w:val="24"/>
        </w:rPr>
        <w:t>规定数量推荐成交候选人；</w:t>
      </w:r>
      <w:r>
        <w:rPr>
          <w:rFonts w:hint="eastAsia" w:ascii="微软雅黑" w:hAnsi="微软雅黑" w:eastAsia="微软雅黑" w:cs="微软雅黑"/>
          <w:b/>
          <w:bCs/>
          <w:color w:val="auto"/>
          <w:sz w:val="24"/>
          <w:u w:val="single"/>
        </w:rPr>
        <w:t>磋商小组应当根据综合评分情况，按照评审得分由高到低顺序推荐成交候选供应商</w:t>
      </w:r>
      <w:r>
        <w:rPr>
          <w:rFonts w:hint="eastAsia" w:ascii="微软雅黑" w:hAnsi="微软雅黑" w:eastAsia="微软雅黑" w:cs="微软雅黑"/>
          <w:color w:val="auto"/>
          <w:sz w:val="24"/>
        </w:rPr>
        <w:t>或根据采购人的委托，直接确定成交人。</w:t>
      </w:r>
    </w:p>
    <w:p w14:paraId="3CFD2970">
      <w:pPr>
        <w:pStyle w:val="7"/>
        <w:pageBreakBefore w:val="0"/>
        <w:widowControl w:val="0"/>
        <w:tabs>
          <w:tab w:val="left" w:pos="900"/>
        </w:tabs>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74" w:name="_Ref467306874"/>
      <w:bookmarkStart w:id="375" w:name="_Toc520356173"/>
      <w:bookmarkStart w:id="376" w:name="_Toc518923094"/>
      <w:bookmarkStart w:id="377" w:name="_Toc4231"/>
      <w:bookmarkStart w:id="378" w:name="_Toc9209"/>
      <w:bookmarkStart w:id="379" w:name="_Toc17138"/>
      <w:bookmarkStart w:id="380" w:name="_Toc620_WPSOffice_Level2"/>
      <w:bookmarkStart w:id="381" w:name="_Toc11003"/>
      <w:bookmarkStart w:id="382" w:name="_Toc25649"/>
      <w:bookmarkStart w:id="383" w:name="_Toc26766"/>
      <w:bookmarkStart w:id="384" w:name="_Toc17336_WPSOffice_Level2"/>
      <w:bookmarkStart w:id="385" w:name="_Toc22544"/>
      <w:r>
        <w:rPr>
          <w:rFonts w:hint="eastAsia" w:ascii="微软雅黑" w:hAnsi="微软雅黑" w:eastAsia="微软雅黑" w:cs="微软雅黑"/>
          <w:color w:val="auto"/>
          <w:u w:val="none"/>
        </w:rPr>
        <w:t>28</w:t>
      </w:r>
      <w:bookmarkEnd w:id="374"/>
      <w:bookmarkEnd w:id="375"/>
      <w:r>
        <w:rPr>
          <w:rFonts w:hint="eastAsia" w:ascii="微软雅黑" w:hAnsi="微软雅黑" w:eastAsia="微软雅黑" w:cs="微软雅黑"/>
          <w:color w:val="auto"/>
          <w:u w:val="none"/>
        </w:rPr>
        <w:t>.采购任务取消</w:t>
      </w:r>
      <w:bookmarkEnd w:id="376"/>
      <w:bookmarkEnd w:id="377"/>
      <w:bookmarkEnd w:id="378"/>
      <w:bookmarkEnd w:id="379"/>
      <w:bookmarkEnd w:id="380"/>
      <w:bookmarkEnd w:id="381"/>
      <w:bookmarkEnd w:id="382"/>
      <w:bookmarkEnd w:id="383"/>
      <w:bookmarkEnd w:id="384"/>
      <w:bookmarkEnd w:id="385"/>
    </w:p>
    <w:p w14:paraId="6BFDE312">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因重大变故采购任务取消时，采购人有权拒绝任何供应商成交，且对受影响的供应商不承担任何责任。</w:t>
      </w:r>
      <w:bookmarkStart w:id="386" w:name="_Toc520356174"/>
    </w:p>
    <w:p w14:paraId="068909DB">
      <w:pPr>
        <w:pStyle w:val="7"/>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87" w:name="_Toc518923095"/>
      <w:bookmarkStart w:id="388" w:name="_Toc29787"/>
      <w:bookmarkStart w:id="389" w:name="_Toc5757"/>
      <w:bookmarkStart w:id="390" w:name="_Toc4588"/>
      <w:bookmarkStart w:id="391" w:name="_Toc22810_WPSOffice_Level2"/>
      <w:bookmarkStart w:id="392" w:name="_Toc29417"/>
      <w:bookmarkStart w:id="393" w:name="_Toc7273_WPSOffice_Level2"/>
      <w:bookmarkStart w:id="394" w:name="_Toc22288"/>
      <w:bookmarkStart w:id="395" w:name="_Toc12153"/>
      <w:bookmarkStart w:id="396" w:name="_Toc18072"/>
      <w:r>
        <w:rPr>
          <w:rFonts w:hint="eastAsia" w:ascii="微软雅黑" w:hAnsi="微软雅黑" w:eastAsia="微软雅黑" w:cs="微软雅黑"/>
          <w:color w:val="auto"/>
          <w:u w:val="none"/>
        </w:rPr>
        <w:t>29.成交通知书</w:t>
      </w:r>
      <w:bookmarkEnd w:id="386"/>
      <w:r>
        <w:rPr>
          <w:rFonts w:hint="eastAsia" w:ascii="微软雅黑" w:hAnsi="微软雅黑" w:eastAsia="微软雅黑" w:cs="微软雅黑"/>
          <w:color w:val="auto"/>
          <w:u w:val="none"/>
        </w:rPr>
        <w:t>和采购结果通知书</w:t>
      </w:r>
      <w:bookmarkEnd w:id="387"/>
      <w:bookmarkEnd w:id="388"/>
      <w:bookmarkEnd w:id="389"/>
      <w:bookmarkEnd w:id="390"/>
      <w:bookmarkEnd w:id="391"/>
      <w:bookmarkEnd w:id="392"/>
      <w:bookmarkEnd w:id="393"/>
      <w:bookmarkEnd w:id="394"/>
      <w:bookmarkEnd w:id="395"/>
      <w:bookmarkEnd w:id="396"/>
    </w:p>
    <w:p w14:paraId="5BB4AEEE">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在磋商有效期内，成交人确定后，采购人或者采购代理机构发布成交公告，同时以书面形式向成交人发出成交通知书；</w:t>
      </w:r>
    </w:p>
    <w:p w14:paraId="72E65154">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成交通知书是合同的组成部分；</w:t>
      </w:r>
    </w:p>
    <w:p w14:paraId="39B7EA41">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29.3    采购结果通知书和成交通知书同时发出。采购结果通知书中将告知未通过资格审查的供应商未通过的原因；采用综合评分法评审的，还将告知未成交人本人的评审得分和排序。</w:t>
      </w:r>
    </w:p>
    <w:p w14:paraId="76B67352">
      <w:pPr>
        <w:pStyle w:val="7"/>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color w:val="auto"/>
          <w:u w:val="none"/>
        </w:rPr>
      </w:pPr>
      <w:bookmarkStart w:id="397" w:name="_Toc9717_WPSOffice_Level2"/>
      <w:bookmarkStart w:id="398" w:name="_Toc18344"/>
      <w:bookmarkStart w:id="399" w:name="_Toc4222"/>
      <w:bookmarkStart w:id="400" w:name="_Toc24838"/>
      <w:bookmarkStart w:id="401" w:name="_Ref467307062"/>
      <w:bookmarkStart w:id="402" w:name="_Toc31447"/>
      <w:bookmarkStart w:id="403" w:name="_Toc24650"/>
      <w:bookmarkStart w:id="404" w:name="_Ref467307204"/>
      <w:bookmarkStart w:id="405" w:name="_Toc23671"/>
      <w:bookmarkStart w:id="406" w:name="_Toc518923096"/>
      <w:bookmarkStart w:id="407" w:name="_Ref467306978"/>
      <w:bookmarkStart w:id="408" w:name="_Ref467306377"/>
      <w:bookmarkStart w:id="409" w:name="_Toc23285_WPSOffice_Level2"/>
      <w:bookmarkStart w:id="410" w:name="_Toc520356175"/>
      <w:bookmarkStart w:id="411" w:name="_Toc16952"/>
      <w:r>
        <w:rPr>
          <w:rFonts w:hint="eastAsia" w:ascii="微软雅黑" w:hAnsi="微软雅黑" w:eastAsia="微软雅黑" w:cs="微软雅黑"/>
          <w:color w:val="auto"/>
          <w:u w:val="none"/>
        </w:rPr>
        <w:t>30.签订合同</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04C99FD6">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成交人应当自发出成交通知书之日起30日内，与采购人签订合同。</w:t>
      </w:r>
    </w:p>
    <w:p w14:paraId="25B72216">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30.2</w:t>
      </w:r>
      <w:r>
        <w:rPr>
          <w:rFonts w:hint="eastAsia" w:ascii="微软雅黑" w:hAnsi="微软雅黑" w:eastAsia="微软雅黑" w:cs="微软雅黑"/>
          <w:color w:val="auto"/>
          <w:sz w:val="24"/>
        </w:rPr>
        <w:tab/>
      </w:r>
      <w:bookmarkStart w:id="412" w:name="_Ref467307090"/>
      <w:bookmarkStart w:id="413" w:name="_Ref467306425"/>
      <w:bookmarkStart w:id="414" w:name="_Toc520356176"/>
      <w:r>
        <w:rPr>
          <w:rFonts w:hint="eastAsia" w:ascii="微软雅黑" w:hAnsi="微软雅黑" w:eastAsia="微软雅黑" w:cs="微软雅黑"/>
          <w:color w:val="auto"/>
          <w:sz w:val="24"/>
        </w:rPr>
        <w:t>磋商文件、成交人的响应文件及其澄清文件等，均为签订合同的依据。</w:t>
      </w:r>
    </w:p>
    <w:p w14:paraId="6BB5F8C0">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30.3   成交人拒绝与采购人签订合同的，采购人可以按照评审报告推荐的成交候选人名单排序，确定下一成交候选人为成交人，也可以重新开展政府采购活动。</w:t>
      </w:r>
    </w:p>
    <w:p w14:paraId="6A88509D">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30.4   当出现法规规定的</w:t>
      </w:r>
      <w:r>
        <w:rPr>
          <w:rFonts w:hint="eastAsia" w:ascii="微软雅黑" w:hAnsi="微软雅黑" w:eastAsia="微软雅黑" w:cs="微软雅黑"/>
          <w:b/>
          <w:color w:val="auto"/>
          <w:sz w:val="24"/>
        </w:rPr>
        <w:t>成交无效或成交结果无效</w:t>
      </w:r>
      <w:r>
        <w:rPr>
          <w:rFonts w:hint="eastAsia" w:ascii="微软雅黑" w:hAnsi="微软雅黑" w:eastAsia="微软雅黑" w:cs="微软雅黑"/>
          <w:color w:val="auto"/>
          <w:sz w:val="24"/>
        </w:rPr>
        <w:t>情形时，采购人可与排名下一位的成交候选人另行签订合同，或依法重新开展采购活动。</w:t>
      </w:r>
    </w:p>
    <w:p w14:paraId="621CCBB9">
      <w:pPr>
        <w:pStyle w:val="7"/>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415" w:name="_Toc14080"/>
      <w:bookmarkStart w:id="416" w:name="_Toc20240"/>
      <w:bookmarkStart w:id="417" w:name="_Toc6033"/>
      <w:bookmarkStart w:id="418" w:name="_Toc515647793"/>
      <w:bookmarkStart w:id="419" w:name="_Toc12489"/>
      <w:bookmarkStart w:id="420" w:name="_Toc20713"/>
      <w:bookmarkStart w:id="421" w:name="_Toc22555"/>
      <w:r>
        <w:rPr>
          <w:rFonts w:hint="eastAsia" w:ascii="微软雅黑" w:hAnsi="微软雅黑" w:eastAsia="微软雅黑" w:cs="微软雅黑"/>
          <w:color w:val="auto"/>
          <w:sz w:val="22"/>
          <w:szCs w:val="22"/>
          <w:highlight w:val="none"/>
        </w:rPr>
        <w:t>31</w:t>
      </w:r>
      <w:r>
        <w:rPr>
          <w:rFonts w:hint="eastAsia" w:ascii="微软雅黑" w:hAnsi="微软雅黑" w:eastAsia="微软雅黑" w:cs="微软雅黑"/>
          <w:color w:val="auto"/>
          <w:sz w:val="22"/>
          <w:szCs w:val="22"/>
          <w:highlight w:val="none"/>
          <w:u w:val="none"/>
        </w:rPr>
        <w:t>.履约保证金</w:t>
      </w:r>
      <w:bookmarkEnd w:id="415"/>
      <w:bookmarkEnd w:id="416"/>
      <w:bookmarkEnd w:id="417"/>
      <w:bookmarkEnd w:id="418"/>
      <w:bookmarkEnd w:id="419"/>
      <w:bookmarkEnd w:id="420"/>
      <w:bookmarkEnd w:id="421"/>
    </w:p>
    <w:p w14:paraId="107CBDD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val="en-US" w:eastAsia="zh-CN"/>
        </w:rPr>
        <w:t>成交</w:t>
      </w:r>
      <w:r>
        <w:rPr>
          <w:rFonts w:hint="eastAsia" w:ascii="微软雅黑" w:hAnsi="微软雅黑" w:eastAsia="微软雅黑" w:cs="微软雅黑"/>
          <w:color w:val="auto"/>
          <w:sz w:val="22"/>
          <w:szCs w:val="22"/>
          <w:highlight w:val="none"/>
        </w:rPr>
        <w:t>应按照</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规定向采购人缴纳履约保证金（如采用保函形式，格式见本章附件1）。</w:t>
      </w:r>
    </w:p>
    <w:p w14:paraId="77A2D1A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政府采购利用担保试点范围内的项目，除31.1规定的情形外，</w:t>
      </w:r>
      <w:r>
        <w:rPr>
          <w:rFonts w:hint="eastAsia" w:ascii="微软雅黑" w:hAnsi="微软雅黑" w:eastAsia="微软雅黑" w:cs="微软雅黑"/>
          <w:color w:val="auto"/>
          <w:sz w:val="22"/>
          <w:szCs w:val="22"/>
          <w:highlight w:val="none"/>
          <w:lang w:val="en-US" w:eastAsia="zh-CN"/>
        </w:rPr>
        <w:t>成交人</w:t>
      </w:r>
      <w:r>
        <w:rPr>
          <w:rFonts w:hint="eastAsia" w:ascii="微软雅黑" w:hAnsi="微软雅黑" w:eastAsia="微软雅黑" w:cs="微软雅黑"/>
          <w:color w:val="auto"/>
          <w:sz w:val="22"/>
          <w:szCs w:val="22"/>
          <w:highlight w:val="none"/>
        </w:rPr>
        <w:t>也可以按照财政部门的规定，向采购人提供合格的履约担保函。</w:t>
      </w:r>
    </w:p>
    <w:p w14:paraId="41A40309">
      <w:pPr>
        <w:spacing w:line="400" w:lineRule="exact"/>
        <w:ind w:left="900" w:hanging="825"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2"/>
          <w:szCs w:val="22"/>
          <w:highlight w:val="none"/>
        </w:rPr>
        <w:t>31.3   如果</w:t>
      </w:r>
      <w:r>
        <w:rPr>
          <w:rFonts w:hint="eastAsia" w:ascii="微软雅黑" w:hAnsi="微软雅黑" w:eastAsia="微软雅黑" w:cs="微软雅黑"/>
          <w:color w:val="auto"/>
          <w:sz w:val="22"/>
          <w:szCs w:val="22"/>
          <w:highlight w:val="none"/>
          <w:lang w:val="en-US" w:eastAsia="zh-CN"/>
        </w:rPr>
        <w:t>成交人</w:t>
      </w:r>
      <w:r>
        <w:rPr>
          <w:rFonts w:hint="eastAsia" w:ascii="微软雅黑" w:hAnsi="微软雅黑" w:eastAsia="微软雅黑" w:cs="微软雅黑"/>
          <w:color w:val="auto"/>
          <w:sz w:val="22"/>
          <w:szCs w:val="22"/>
          <w:highlight w:val="none"/>
        </w:rPr>
        <w:t>没有按照上述履约保证金的规定执行，将视为放弃</w:t>
      </w:r>
      <w:r>
        <w:rPr>
          <w:rFonts w:hint="eastAsia" w:ascii="微软雅黑" w:hAnsi="微软雅黑" w:eastAsia="微软雅黑" w:cs="微软雅黑"/>
          <w:color w:val="auto"/>
          <w:sz w:val="22"/>
          <w:szCs w:val="22"/>
          <w:highlight w:val="none"/>
          <w:lang w:val="en-US" w:eastAsia="zh-CN"/>
        </w:rPr>
        <w:t>成交</w:t>
      </w:r>
      <w:r>
        <w:rPr>
          <w:rFonts w:hint="eastAsia" w:ascii="微软雅黑" w:hAnsi="微软雅黑" w:eastAsia="微软雅黑" w:cs="微软雅黑"/>
          <w:color w:val="auto"/>
          <w:sz w:val="22"/>
          <w:szCs w:val="22"/>
          <w:highlight w:val="none"/>
        </w:rPr>
        <w:t>资格，</w:t>
      </w:r>
      <w:r>
        <w:rPr>
          <w:rFonts w:hint="eastAsia" w:ascii="微软雅黑" w:hAnsi="微软雅黑" w:eastAsia="微软雅黑" w:cs="微软雅黑"/>
          <w:color w:val="auto"/>
          <w:sz w:val="22"/>
          <w:szCs w:val="22"/>
          <w:highlight w:val="none"/>
          <w:lang w:val="en-US" w:eastAsia="zh-CN"/>
        </w:rPr>
        <w:t>成交人</w:t>
      </w:r>
      <w:r>
        <w:rPr>
          <w:rFonts w:hint="eastAsia" w:ascii="微软雅黑" w:hAnsi="微软雅黑" w:eastAsia="微软雅黑" w:cs="微软雅黑"/>
          <w:color w:val="auto"/>
          <w:sz w:val="22"/>
          <w:szCs w:val="22"/>
          <w:highlight w:val="none"/>
        </w:rPr>
        <w:t>的</w:t>
      </w:r>
      <w:r>
        <w:rPr>
          <w:rFonts w:hint="eastAsia" w:ascii="微软雅黑" w:hAnsi="微软雅黑" w:eastAsia="微软雅黑" w:cs="微软雅黑"/>
          <w:color w:val="auto"/>
          <w:sz w:val="22"/>
          <w:szCs w:val="22"/>
          <w:highlight w:val="none"/>
          <w:lang w:val="en-US" w:eastAsia="zh-CN"/>
        </w:rPr>
        <w:t>磋商</w:t>
      </w:r>
      <w:r>
        <w:rPr>
          <w:rFonts w:hint="eastAsia" w:ascii="微软雅黑" w:hAnsi="微软雅黑" w:eastAsia="微软雅黑" w:cs="微软雅黑"/>
          <w:color w:val="auto"/>
          <w:sz w:val="22"/>
          <w:szCs w:val="22"/>
          <w:highlight w:val="none"/>
        </w:rPr>
        <w:t>保证金将不予退还。在此情况下，采购人可确定下一候选人为</w:t>
      </w:r>
      <w:r>
        <w:rPr>
          <w:rFonts w:hint="eastAsia" w:ascii="微软雅黑" w:hAnsi="微软雅黑" w:eastAsia="微软雅黑" w:cs="微软雅黑"/>
          <w:color w:val="auto"/>
          <w:sz w:val="22"/>
          <w:szCs w:val="22"/>
          <w:highlight w:val="none"/>
          <w:lang w:val="en-US" w:eastAsia="zh-CN"/>
        </w:rPr>
        <w:t>成交</w:t>
      </w:r>
      <w:r>
        <w:rPr>
          <w:rFonts w:hint="eastAsia" w:ascii="微软雅黑" w:hAnsi="微软雅黑" w:eastAsia="微软雅黑" w:cs="微软雅黑"/>
          <w:color w:val="auto"/>
          <w:sz w:val="22"/>
          <w:szCs w:val="22"/>
          <w:highlight w:val="none"/>
        </w:rPr>
        <w:t>人，也可以重新开展采购活动。</w:t>
      </w:r>
    </w:p>
    <w:bookmarkEnd w:id="412"/>
    <w:bookmarkEnd w:id="413"/>
    <w:bookmarkEnd w:id="414"/>
    <w:p w14:paraId="352F19AF">
      <w:pPr>
        <w:pStyle w:val="7"/>
        <w:spacing w:before="0" w:after="0" w:line="400" w:lineRule="exact"/>
        <w:rPr>
          <w:rFonts w:hint="eastAsia" w:ascii="微软雅黑" w:hAnsi="微软雅黑" w:eastAsia="微软雅黑" w:cs="微软雅黑"/>
          <w:color w:val="auto"/>
          <w:u w:val="none"/>
        </w:rPr>
      </w:pPr>
      <w:bookmarkStart w:id="422" w:name="_Toc31655"/>
      <w:bookmarkStart w:id="423" w:name="_Toc22936"/>
      <w:bookmarkStart w:id="424" w:name="_Toc12960_WPSOffice_Level2"/>
      <w:bookmarkStart w:id="425" w:name="_Toc1447"/>
      <w:bookmarkStart w:id="426" w:name="_Toc29948"/>
      <w:bookmarkStart w:id="427" w:name="_Toc8476"/>
      <w:bookmarkStart w:id="428" w:name="_Toc21460"/>
      <w:bookmarkStart w:id="429" w:name="_Toc21635_WPSOffice_Level2"/>
      <w:bookmarkStart w:id="430" w:name="_Toc14331"/>
      <w:bookmarkStart w:id="431" w:name="_Toc518923098"/>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2</w:t>
      </w:r>
      <w:r>
        <w:rPr>
          <w:rFonts w:hint="eastAsia" w:ascii="微软雅黑" w:hAnsi="微软雅黑" w:eastAsia="微软雅黑" w:cs="微软雅黑"/>
          <w:color w:val="auto"/>
          <w:u w:val="none"/>
        </w:rPr>
        <w:t>.成交服务费</w:t>
      </w:r>
      <w:bookmarkEnd w:id="422"/>
      <w:bookmarkEnd w:id="423"/>
      <w:bookmarkEnd w:id="424"/>
      <w:bookmarkEnd w:id="425"/>
      <w:bookmarkEnd w:id="426"/>
      <w:bookmarkEnd w:id="427"/>
      <w:bookmarkEnd w:id="428"/>
      <w:bookmarkEnd w:id="429"/>
      <w:bookmarkEnd w:id="430"/>
      <w:bookmarkEnd w:id="431"/>
    </w:p>
    <w:p w14:paraId="2E8CF995">
      <w:pPr>
        <w:spacing w:line="400" w:lineRule="exact"/>
        <w:ind w:left="840" w:leftChars="200" w:hanging="420" w:hangingChars="1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成交人须按照</w:t>
      </w:r>
      <w:r>
        <w:rPr>
          <w:rFonts w:hint="eastAsia" w:ascii="微软雅黑" w:hAnsi="微软雅黑" w:eastAsia="微软雅黑" w:cs="微软雅黑"/>
          <w:color w:val="auto"/>
          <w:sz w:val="24"/>
          <w:u w:val="single"/>
        </w:rPr>
        <w:t>磋商须知资料表</w:t>
      </w:r>
      <w:r>
        <w:rPr>
          <w:rFonts w:hint="eastAsia" w:ascii="微软雅黑" w:hAnsi="微软雅黑" w:eastAsia="微软雅黑" w:cs="微软雅黑"/>
          <w:color w:val="auto"/>
          <w:sz w:val="24"/>
        </w:rPr>
        <w:t>规定，向采购代理机构支付成交服务费。</w:t>
      </w:r>
    </w:p>
    <w:p w14:paraId="19CF006D">
      <w:pPr>
        <w:pStyle w:val="7"/>
        <w:spacing w:before="0" w:after="0" w:line="400" w:lineRule="exact"/>
        <w:rPr>
          <w:rFonts w:hint="eastAsia" w:ascii="微软雅黑" w:hAnsi="微软雅黑" w:eastAsia="微软雅黑" w:cs="微软雅黑"/>
          <w:color w:val="auto"/>
          <w:u w:val="none"/>
        </w:rPr>
      </w:pPr>
      <w:bookmarkStart w:id="432" w:name="_Toc20125"/>
      <w:bookmarkStart w:id="433" w:name="_Toc5851"/>
      <w:bookmarkStart w:id="434" w:name="_Toc9330_WPSOffice_Level2"/>
      <w:bookmarkStart w:id="435" w:name="_Toc31411"/>
      <w:bookmarkStart w:id="436" w:name="_Toc30350"/>
      <w:bookmarkStart w:id="437" w:name="_Toc30567_WPSOffice_Level2"/>
      <w:bookmarkStart w:id="438" w:name="_Toc5132"/>
      <w:bookmarkStart w:id="439" w:name="_Toc11698"/>
      <w:bookmarkStart w:id="440" w:name="_Toc518923099"/>
      <w:bookmarkStart w:id="441" w:name="_Toc13983"/>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3</w:t>
      </w:r>
      <w:r>
        <w:rPr>
          <w:rFonts w:hint="eastAsia" w:ascii="微软雅黑" w:hAnsi="微软雅黑" w:eastAsia="微软雅黑" w:cs="微软雅黑"/>
          <w:color w:val="auto"/>
          <w:u w:val="none"/>
        </w:rPr>
        <w:t>.政府采购信用担保</w:t>
      </w:r>
      <w:bookmarkEnd w:id="432"/>
      <w:bookmarkEnd w:id="433"/>
      <w:bookmarkEnd w:id="434"/>
      <w:bookmarkEnd w:id="435"/>
      <w:bookmarkEnd w:id="436"/>
      <w:bookmarkEnd w:id="437"/>
      <w:bookmarkEnd w:id="438"/>
      <w:bookmarkEnd w:id="439"/>
      <w:bookmarkEnd w:id="440"/>
      <w:bookmarkEnd w:id="441"/>
    </w:p>
    <w:p w14:paraId="5C5DBB6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.1   本项目是否属于信用担保试点范围见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720BC004">
      <w:pPr>
        <w:spacing w:line="400" w:lineRule="exact"/>
        <w:ind w:left="850" w:hanging="849" w:hangingChars="354"/>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.2   如属于政府采购信用担保试点范围内，中小型企业供应商可以自由按照财政部门的规定，采用磋商担保、履约担保和融资担保。</w:t>
      </w:r>
    </w:p>
    <w:p w14:paraId="7710440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.2.1 供应商递交的磋商担保函应符合本磋商文件的规定。</w:t>
      </w:r>
    </w:p>
    <w:p w14:paraId="00AC5B19">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rPr>
        <w:t>.2.2 合格的政府采购专业信用担保机构见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14:paraId="244DFF1E">
      <w:pPr>
        <w:pStyle w:val="7"/>
        <w:spacing w:before="0" w:after="0" w:line="400" w:lineRule="exact"/>
        <w:rPr>
          <w:rFonts w:hint="eastAsia" w:ascii="微软雅黑" w:hAnsi="微软雅黑" w:eastAsia="微软雅黑" w:cs="微软雅黑"/>
          <w:color w:val="auto"/>
          <w:u w:val="none"/>
        </w:rPr>
      </w:pPr>
      <w:bookmarkStart w:id="442" w:name="_Toc9469_WPSOffice_Level2"/>
      <w:bookmarkStart w:id="443" w:name="_Toc6864"/>
      <w:bookmarkStart w:id="444" w:name="_Toc13147"/>
      <w:bookmarkStart w:id="445" w:name="_Toc411"/>
      <w:bookmarkStart w:id="446" w:name="_Toc5233_WPSOffice_Level2"/>
      <w:bookmarkStart w:id="447" w:name="_Toc32748"/>
      <w:bookmarkStart w:id="448" w:name="_Toc4701"/>
      <w:bookmarkStart w:id="449" w:name="_Toc15467"/>
      <w:bookmarkStart w:id="450" w:name="_Toc22418"/>
      <w:bookmarkStart w:id="451" w:name="_Toc518923100"/>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4</w:t>
      </w:r>
      <w:r>
        <w:rPr>
          <w:rFonts w:hint="eastAsia" w:ascii="微软雅黑" w:hAnsi="微软雅黑" w:eastAsia="微软雅黑" w:cs="微软雅黑"/>
          <w:color w:val="auto"/>
          <w:u w:val="none"/>
        </w:rPr>
        <w:t>.廉洁自律规定</w:t>
      </w:r>
      <w:bookmarkEnd w:id="442"/>
      <w:bookmarkEnd w:id="443"/>
      <w:bookmarkEnd w:id="444"/>
      <w:bookmarkEnd w:id="445"/>
      <w:bookmarkEnd w:id="446"/>
      <w:bookmarkEnd w:id="447"/>
      <w:bookmarkEnd w:id="448"/>
      <w:bookmarkEnd w:id="449"/>
      <w:bookmarkEnd w:id="450"/>
      <w:bookmarkEnd w:id="451"/>
    </w:p>
    <w:p w14:paraId="6B9BF6CB">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.1   采购代理机构工作人员不得以不正当手段获取政府采购代理业务，不得与采购人、供应商恶意串通操纵政府采购活动。</w:t>
      </w:r>
    </w:p>
    <w:p w14:paraId="4DF47957">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.2   采购代理机构工作人员不得接受采购人或者供应商组织的宴请、旅游、娱乐，不得收受礼品、现金、有价证券等，不得向采购人或者供应商报销应当由个人承担的费用。</w:t>
      </w:r>
    </w:p>
    <w:p w14:paraId="18447EFC">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.3   为强化采购代理机构内部监督机制，供应商可按</w:t>
      </w:r>
      <w:r>
        <w:rPr>
          <w:rFonts w:hint="eastAsia" w:ascii="微软雅黑" w:hAnsi="微软雅黑" w:eastAsia="微软雅黑" w:cs="微软雅黑"/>
          <w:color w:val="auto"/>
          <w:sz w:val="24"/>
          <w:u w:val="single"/>
        </w:rPr>
        <w:t>供应商须知资料表中的</w:t>
      </w:r>
      <w:r>
        <w:rPr>
          <w:rFonts w:hint="eastAsia" w:ascii="微软雅黑" w:hAnsi="微软雅黑" w:eastAsia="微软雅黑" w:cs="微软雅黑"/>
          <w:color w:val="auto"/>
          <w:sz w:val="24"/>
        </w:rPr>
        <w:t>监督电话和信箱，反映采购代理机构的廉洁自律等问题。</w:t>
      </w:r>
    </w:p>
    <w:p w14:paraId="7E6D2C00">
      <w:pPr>
        <w:pStyle w:val="7"/>
        <w:spacing w:before="0" w:after="0" w:line="400" w:lineRule="exact"/>
        <w:rPr>
          <w:rFonts w:hint="eastAsia" w:ascii="微软雅黑" w:hAnsi="微软雅黑" w:eastAsia="微软雅黑" w:cs="微软雅黑"/>
          <w:color w:val="auto"/>
          <w:u w:val="none"/>
        </w:rPr>
      </w:pPr>
      <w:bookmarkStart w:id="452" w:name="_Toc10687"/>
      <w:bookmarkStart w:id="453" w:name="_Toc19099"/>
      <w:bookmarkStart w:id="454" w:name="_Toc6903"/>
      <w:bookmarkStart w:id="455" w:name="_Toc27811_WPSOffice_Level2"/>
      <w:bookmarkStart w:id="456" w:name="_Toc27272_WPSOffice_Level2"/>
      <w:bookmarkStart w:id="457" w:name="_Toc21055"/>
      <w:bookmarkStart w:id="458" w:name="_Toc6264"/>
      <w:bookmarkStart w:id="459" w:name="_Toc518923101"/>
      <w:bookmarkStart w:id="460" w:name="_Toc1948"/>
      <w:bookmarkStart w:id="461" w:name="_Toc28207"/>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5</w:t>
      </w:r>
      <w:r>
        <w:rPr>
          <w:rFonts w:hint="eastAsia" w:ascii="微软雅黑" w:hAnsi="微软雅黑" w:eastAsia="微软雅黑" w:cs="微软雅黑"/>
          <w:color w:val="auto"/>
          <w:u w:val="none"/>
        </w:rPr>
        <w:t>.人员回避</w:t>
      </w:r>
      <w:bookmarkEnd w:id="452"/>
      <w:bookmarkEnd w:id="453"/>
      <w:bookmarkEnd w:id="454"/>
      <w:bookmarkEnd w:id="455"/>
      <w:bookmarkEnd w:id="456"/>
      <w:bookmarkEnd w:id="457"/>
      <w:bookmarkEnd w:id="458"/>
      <w:bookmarkEnd w:id="459"/>
      <w:bookmarkEnd w:id="460"/>
      <w:bookmarkEnd w:id="461"/>
    </w:p>
    <w:p w14:paraId="68BE1C7A">
      <w:pPr>
        <w:spacing w:line="400" w:lineRule="exact"/>
        <w:ind w:left="900" w:hanging="900" w:hangingChars="375"/>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供应商认为采购人员及其相关人员有法律法规所列与其他供应商有利害关系的，可以向采购人或采购代理机构书面提出回避申请，并说明理由。</w:t>
      </w:r>
    </w:p>
    <w:p w14:paraId="56FA47CE">
      <w:pPr>
        <w:pStyle w:val="7"/>
        <w:spacing w:before="0" w:after="0" w:line="400" w:lineRule="exact"/>
        <w:rPr>
          <w:rFonts w:hint="eastAsia" w:ascii="微软雅黑" w:hAnsi="微软雅黑" w:eastAsia="微软雅黑" w:cs="微软雅黑"/>
          <w:bCs/>
          <w:color w:val="auto"/>
          <w:szCs w:val="24"/>
          <w:u w:val="none"/>
        </w:rPr>
      </w:pPr>
      <w:bookmarkStart w:id="462" w:name="_Toc13943"/>
      <w:bookmarkStart w:id="463" w:name="_Toc23811"/>
      <w:bookmarkStart w:id="464" w:name="_Toc12597"/>
      <w:bookmarkStart w:id="465" w:name="_Toc22841"/>
      <w:bookmarkStart w:id="466" w:name="_Toc7369"/>
      <w:r>
        <w:rPr>
          <w:rFonts w:hint="eastAsia" w:ascii="微软雅黑" w:hAnsi="微软雅黑" w:eastAsia="微软雅黑" w:cs="微软雅黑"/>
          <w:color w:val="auto"/>
          <w:u w:val="none"/>
        </w:rPr>
        <w:t>3</w:t>
      </w:r>
      <w:r>
        <w:rPr>
          <w:rFonts w:hint="eastAsia" w:ascii="微软雅黑" w:hAnsi="微软雅黑" w:eastAsia="微软雅黑" w:cs="微软雅黑"/>
          <w:color w:val="auto"/>
          <w:u w:val="none"/>
          <w:lang w:val="en-US" w:eastAsia="zh-CN"/>
        </w:rPr>
        <w:t>6</w:t>
      </w:r>
      <w:r>
        <w:rPr>
          <w:rFonts w:hint="eastAsia" w:ascii="微软雅黑" w:hAnsi="微软雅黑" w:eastAsia="微软雅黑" w:cs="微软雅黑"/>
          <w:color w:val="auto"/>
          <w:u w:val="none"/>
        </w:rPr>
        <w:t>.质疑与接收</w:t>
      </w:r>
      <w:bookmarkEnd w:id="462"/>
      <w:bookmarkEnd w:id="463"/>
      <w:bookmarkEnd w:id="464"/>
      <w:bookmarkEnd w:id="465"/>
      <w:bookmarkEnd w:id="466"/>
    </w:p>
    <w:p w14:paraId="24C3DFCC">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0074452B">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595E50D8">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.3   采购代理机构质疑函接收部门、联系电话和通讯地址, 见供应商须知资料表。</w:t>
      </w:r>
    </w:p>
    <w:p w14:paraId="16D6B9D3">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.4   质疑的提出</w:t>
      </w:r>
    </w:p>
    <w:p w14:paraId="5422FEE0">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.5   本采购文件中所称质疑及答复，是指参加本次采购活动的供应商对政府采购活动中的采购文件、采购过程和成交结果向采购方提出质疑，采购方答复质疑的行为。</w:t>
      </w:r>
    </w:p>
    <w:p w14:paraId="56878393">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.6   供应商认为采购文件、采购过程和成交结果使自己的权益受到损害的，可以在知道或者应知其权益受到损害之日起7个工作日内，以书面形式向采购方提出质疑。供应商应知其权益受到损害之日，是指：</w:t>
      </w:r>
    </w:p>
    <w:p w14:paraId="797190DB">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（一）对可以质疑的采购文件提出质疑的，为收到采购文件之日或者采购文件公告期限届满之日；</w:t>
      </w:r>
    </w:p>
    <w:p w14:paraId="2B509C68">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（二）对采购过程提出质疑的，为各采购程序环节结束之日；</w:t>
      </w:r>
    </w:p>
    <w:p w14:paraId="3EE1A014">
      <w:pPr>
        <w:spacing w:line="400" w:lineRule="exact"/>
        <w:ind w:firstLine="720" w:firstLineChars="3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（三）对成交结果提出质疑的，为成交结果公告期限届满之日。</w:t>
      </w:r>
    </w:p>
    <w:p w14:paraId="7D281058">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.7   对可以质疑的采购文件提出质疑的，质疑人为参与本项目的报价方或潜在报价方。可质疑的文件为采购公告以及采购文件（包括属于其组成部分的澄清、修改、补充文件和评审标准、合同文本等）。</w:t>
      </w:r>
    </w:p>
    <w:p w14:paraId="01E50622">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7771B88E">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.9   提出质疑应当符合下列条件：</w:t>
      </w:r>
    </w:p>
    <w:p w14:paraId="076BFD41">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（一）质疑主体应当符合有关规定；</w:t>
      </w:r>
    </w:p>
    <w:p w14:paraId="34B3CD2A">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（二）在质疑法定期限内提出；</w:t>
      </w:r>
    </w:p>
    <w:p w14:paraId="0A9F3755">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（三）属于可以提出质疑的政府采购事项受理范围和本项目采购人的管辖权范围；</w:t>
      </w:r>
    </w:p>
    <w:p w14:paraId="18AE2B0D">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（四）政府采购法律、法规、规章规定的其他条件。</w:t>
      </w:r>
    </w:p>
    <w:p w14:paraId="608045C6">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6381558">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.11  质疑人所提供的证明材料应当具有真实性、合法性以及与质疑事项的关联性和证明力，否则不能作为认定该质疑事项成立的依据。</w:t>
      </w:r>
    </w:p>
    <w:p w14:paraId="01613BAC">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.12  质疑人提出质疑时应当提交质疑函。质疑函包括下列内容：</w:t>
      </w:r>
    </w:p>
    <w:p w14:paraId="08A3BDF6">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（一）提出质疑的质疑人的名称、地址、邮编、联系人及联系电话等；</w:t>
      </w:r>
    </w:p>
    <w:p w14:paraId="0F381AE7">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（二）质疑项目的名称、编号；</w:t>
      </w:r>
    </w:p>
    <w:p w14:paraId="585E0527">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（三）质疑事项；</w:t>
      </w:r>
    </w:p>
    <w:p w14:paraId="3E23BEA7">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（四）事实依据和证明材料；</w:t>
      </w:r>
    </w:p>
    <w:p w14:paraId="2B900923">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（五）法律依据；</w:t>
      </w:r>
    </w:p>
    <w:p w14:paraId="107DB545">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（六）提出质疑的日期。</w:t>
      </w:r>
    </w:p>
    <w:p w14:paraId="0A1FD661">
      <w:pPr>
        <w:spacing w:line="400" w:lineRule="exact"/>
        <w:ind w:left="958" w:leftChars="456" w:firstLine="60" w:firstLineChars="2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质疑函采用实名制。质疑人为自然人的应当由本人签字，并附有效身份证明文件；质疑人为法人或者非法人组织的应当由法定代表人或者负责人签字并加盖公章，并附有效身份证明文件。</w:t>
      </w:r>
    </w:p>
    <w:p w14:paraId="17179CDC">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.13  质疑人可以委托代理人进行质疑。代理人应当提交授权委托书。授权委托书应当载明委托代理的具体权限、期限和相关事项。</w:t>
      </w:r>
    </w:p>
    <w:p w14:paraId="239EB73B">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.14  质疑的审查和受理</w:t>
      </w:r>
    </w:p>
    <w:p w14:paraId="02AA197B">
      <w:pPr>
        <w:spacing w:line="400" w:lineRule="exact"/>
        <w:ind w:left="840" w:leftChars="4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采购方在收到质疑函后应当及时审查是否符合质疑受理条件，对符合质疑受理条件的，及时予以受理。</w:t>
      </w:r>
    </w:p>
    <w:p w14:paraId="341599F8">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.15  对不符合质疑受理条件的，分别按照下列不同情形予以处理：</w:t>
      </w:r>
    </w:p>
    <w:p w14:paraId="7A4BA8A5">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（一）质疑函内容不符合规定的，告知质疑人进行修改并重新提出质疑。修改后质疑事项仍不具体、不明确或者最终递交质疑函的时间超过质疑法定期限的，不予受理；</w:t>
      </w:r>
    </w:p>
    <w:p w14:paraId="73068FF8">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（二）质疑主体不符合有关规定的，告知质疑人不予受理；</w:t>
      </w:r>
    </w:p>
    <w:p w14:paraId="06E1C3CB">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（三）超过质疑法定期限提出质疑的，告知质疑人不予受理；</w:t>
      </w:r>
    </w:p>
    <w:p w14:paraId="7BC9B566">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（四）对不属于可以提出质疑的政府采购事项提出质疑的，告知质疑人不予受理；</w:t>
      </w:r>
    </w:p>
    <w:p w14:paraId="68F7090F">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（五）质疑不属于本项目采购方管辖的，告知质疑人向有管辖权的采购人提出质疑；</w:t>
      </w:r>
    </w:p>
    <w:p w14:paraId="32411373">
      <w:pPr>
        <w:spacing w:line="400" w:lineRule="exact"/>
        <w:ind w:left="898" w:leftChars="342" w:hanging="180" w:hangingChars="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（六）质疑不符合其他条件的，告知质疑人不予受理。</w:t>
      </w:r>
    </w:p>
    <w:p w14:paraId="3DFA5765">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.16  质疑的处理和答复</w:t>
      </w:r>
    </w:p>
    <w:p w14:paraId="74068D12">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.17  采购方受理质疑后，将及时把质疑函发送给被质疑人，并要求其在一定限期内提交书面答复，同时提供有关证据、依据和相关材料。</w:t>
      </w:r>
    </w:p>
    <w:p w14:paraId="3B8B7842">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.18  对于质疑事项中涉及的问题较多、情况比较复杂的，为了全面查清事实、取得充分的证据，采购方认为有必要时，可以进行调查取证或者组织质证。</w:t>
      </w:r>
    </w:p>
    <w:p w14:paraId="31932E13">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.19  对评审过程、成交结果提出质疑的，采购方可以组织原磋商小组协助答复质疑。</w:t>
      </w:r>
    </w:p>
    <w:p w14:paraId="4537E760">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.20  质疑处理过程中，质疑人书面申请撤回质疑的，将终止质疑处理程序。</w:t>
      </w:r>
    </w:p>
    <w:p w14:paraId="653BEAAB">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.21  质疑人拒绝配合采购方依法对质疑进行调查处理的，采购方将按质疑人自动撤回质疑处理；被质疑人拒绝配合采购方依法对质疑进行调查处理的，采购方将视同其认可质疑事项。</w:t>
      </w:r>
    </w:p>
    <w:p w14:paraId="5877C716">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36</w:t>
      </w:r>
      <w:r>
        <w:rPr>
          <w:rFonts w:hint="eastAsia" w:ascii="微软雅黑" w:hAnsi="微软雅黑" w:eastAsia="微软雅黑" w:cs="微软雅黑"/>
          <w:color w:val="auto"/>
          <w:sz w:val="24"/>
        </w:rPr>
        <w:t>.22  质疑人拒绝配合采购方依法对质疑进行调查处理的，采购方将按质疑人自动撤回质疑处理；被质疑人拒绝配合采购方依法对质疑进行调查处理的，采购方将视同其认可质疑事项。</w:t>
      </w:r>
    </w:p>
    <w:p w14:paraId="1F56F153">
      <w:pPr>
        <w:spacing w:line="400" w:lineRule="exact"/>
        <w:ind w:left="900" w:hanging="900" w:hangingChars="375"/>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36</w:t>
      </w:r>
      <w:r>
        <w:rPr>
          <w:rFonts w:hint="eastAsia" w:ascii="微软雅黑" w:hAnsi="微软雅黑" w:eastAsia="微软雅黑" w:cs="微软雅黑"/>
          <w:color w:val="auto"/>
          <w:sz w:val="24"/>
        </w:rPr>
        <w:t>.23  采购方将在正式受理质疑后7个工作日内作出答复。</w:t>
      </w:r>
    </w:p>
    <w:p w14:paraId="19367188">
      <w:pPr>
        <w:pStyle w:val="53"/>
        <w:spacing w:line="400" w:lineRule="exact"/>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36</w:t>
      </w:r>
      <w:r>
        <w:rPr>
          <w:rFonts w:hint="eastAsia" w:ascii="微软雅黑" w:hAnsi="微软雅黑" w:eastAsia="微软雅黑" w:cs="微软雅黑"/>
          <w:color w:val="auto"/>
        </w:rPr>
        <w:t>.24  质疑答复应当包括下列内容：</w:t>
      </w:r>
    </w:p>
    <w:p w14:paraId="299B97FF">
      <w:pPr>
        <w:pStyle w:val="53"/>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（一）质疑人的姓名或者名称；</w:t>
      </w:r>
    </w:p>
    <w:p w14:paraId="557A8674">
      <w:pPr>
        <w:pStyle w:val="53"/>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（二）收到质疑函的日期、质疑项目名称及编号；</w:t>
      </w:r>
    </w:p>
    <w:p w14:paraId="761F5A2C">
      <w:pPr>
        <w:pStyle w:val="53"/>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（三）质疑事项、质疑答复的具体内容、事实依据和法律依据；</w:t>
      </w:r>
    </w:p>
    <w:p w14:paraId="76D3A002">
      <w:pPr>
        <w:pStyle w:val="53"/>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（四）告知质疑供应商依法投诉的权利；</w:t>
      </w:r>
    </w:p>
    <w:p w14:paraId="0D3D0B40">
      <w:pPr>
        <w:pStyle w:val="53"/>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（五）质疑答复人名称；</w:t>
      </w:r>
    </w:p>
    <w:p w14:paraId="4588E0A0">
      <w:pPr>
        <w:pStyle w:val="53"/>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（六）答复质疑的日期。</w:t>
      </w:r>
    </w:p>
    <w:p w14:paraId="2BBBBC2D">
      <w:pPr>
        <w:spacing w:line="400" w:lineRule="exact"/>
        <w:jc w:val="center"/>
        <w:rPr>
          <w:rFonts w:hint="eastAsia" w:ascii="微软雅黑" w:hAnsi="微软雅黑" w:eastAsia="微软雅黑" w:cs="微软雅黑"/>
          <w:b/>
          <w:bCs/>
          <w:color w:val="auto"/>
          <w:sz w:val="24"/>
        </w:rPr>
      </w:pPr>
    </w:p>
    <w:p w14:paraId="21ECD0BF">
      <w:pPr>
        <w:rPr>
          <w:rFonts w:hint="eastAsia" w:ascii="微软雅黑" w:hAnsi="微软雅黑" w:eastAsia="微软雅黑" w:cs="微软雅黑"/>
          <w:b/>
          <w:bCs/>
          <w:color w:val="auto"/>
          <w:sz w:val="24"/>
        </w:rPr>
      </w:pPr>
      <w:bookmarkStart w:id="467" w:name="_Toc24408"/>
      <w:bookmarkStart w:id="468" w:name="_Toc15587"/>
      <w:bookmarkStart w:id="469" w:name="_Toc6556"/>
      <w:bookmarkStart w:id="470" w:name="_Toc16497"/>
      <w:bookmarkStart w:id="471" w:name="_Toc2677"/>
      <w:r>
        <w:rPr>
          <w:rFonts w:hint="eastAsia" w:ascii="微软雅黑" w:hAnsi="微软雅黑" w:eastAsia="微软雅黑" w:cs="微软雅黑"/>
          <w:b/>
          <w:bCs/>
          <w:color w:val="auto"/>
          <w:sz w:val="24"/>
        </w:rPr>
        <w:br w:type="page"/>
      </w:r>
    </w:p>
    <w:p w14:paraId="2E574387">
      <w:pPr>
        <w:spacing w:line="400" w:lineRule="exact"/>
        <w:jc w:val="center"/>
        <w:outlineLvl w:val="2"/>
        <w:rPr>
          <w:rFonts w:hint="eastAsia" w:ascii="微软雅黑" w:hAnsi="微软雅黑" w:eastAsia="微软雅黑" w:cs="微软雅黑"/>
          <w:b/>
          <w:bCs/>
          <w:color w:val="auto"/>
          <w:sz w:val="24"/>
        </w:rPr>
      </w:pPr>
      <w:bookmarkStart w:id="472" w:name="_Toc18381"/>
      <w:bookmarkStart w:id="473" w:name="_Toc25855"/>
      <w:r>
        <w:rPr>
          <w:rFonts w:hint="eastAsia" w:ascii="微软雅黑" w:hAnsi="微软雅黑" w:eastAsia="微软雅黑" w:cs="微软雅黑"/>
          <w:b/>
          <w:bCs/>
          <w:color w:val="auto"/>
          <w:sz w:val="24"/>
        </w:rPr>
        <w:t>质疑函范本</w:t>
      </w:r>
      <w:bookmarkEnd w:id="467"/>
      <w:bookmarkEnd w:id="468"/>
      <w:bookmarkEnd w:id="469"/>
      <w:bookmarkEnd w:id="470"/>
      <w:bookmarkEnd w:id="471"/>
      <w:bookmarkEnd w:id="472"/>
      <w:bookmarkEnd w:id="473"/>
    </w:p>
    <w:p w14:paraId="11EDF6CF">
      <w:pPr>
        <w:keepNext w:val="0"/>
        <w:keepLines w:val="0"/>
        <w:pageBreakBefore w:val="0"/>
        <w:widowControl w:val="0"/>
        <w:kinsoku/>
        <w:wordWrap/>
        <w:overflowPunct/>
        <w:topLinePunct w:val="0"/>
        <w:autoSpaceDE/>
        <w:autoSpaceDN/>
        <w:bidi w:val="0"/>
        <w:adjustRightInd w:val="0"/>
        <w:snapToGrid w:val="0"/>
        <w:spacing w:before="312" w:beforeLines="100" w:line="320" w:lineRule="exact"/>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一、质疑供应商基本信息</w:t>
      </w:r>
    </w:p>
    <w:p w14:paraId="6122B77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质疑供应商：</w:t>
      </w:r>
      <w:r>
        <w:rPr>
          <w:rFonts w:hint="eastAsia" w:ascii="微软雅黑" w:hAnsi="微软雅黑" w:eastAsia="微软雅黑" w:cs="微软雅黑"/>
          <w:color w:val="auto"/>
          <w:sz w:val="24"/>
          <w:u w:val="dotted"/>
        </w:rPr>
        <w:t xml:space="preserve">                                        </w:t>
      </w:r>
    </w:p>
    <w:p w14:paraId="1DD4CA6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地址：</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邮编：</w:t>
      </w:r>
      <w:r>
        <w:rPr>
          <w:rFonts w:hint="eastAsia" w:ascii="微软雅黑" w:hAnsi="微软雅黑" w:eastAsia="微软雅黑" w:cs="微软雅黑"/>
          <w:color w:val="auto"/>
          <w:sz w:val="24"/>
          <w:u w:val="dotted"/>
        </w:rPr>
        <w:t xml:space="preserve">                                                   </w:t>
      </w:r>
    </w:p>
    <w:p w14:paraId="2BC42D82">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联系人：</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联系电话：</w:t>
      </w:r>
      <w:r>
        <w:rPr>
          <w:rFonts w:hint="eastAsia" w:ascii="微软雅黑" w:hAnsi="微软雅黑" w:eastAsia="微软雅黑" w:cs="微软雅黑"/>
          <w:color w:val="auto"/>
          <w:sz w:val="24"/>
          <w:u w:val="dotted"/>
        </w:rPr>
        <w:t xml:space="preserve">                              </w:t>
      </w:r>
    </w:p>
    <w:p w14:paraId="2C761FEB">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授权代表：</w:t>
      </w:r>
      <w:r>
        <w:rPr>
          <w:rFonts w:hint="eastAsia" w:ascii="微软雅黑" w:hAnsi="微软雅黑" w:eastAsia="微软雅黑" w:cs="微软雅黑"/>
          <w:color w:val="auto"/>
          <w:sz w:val="24"/>
          <w:u w:val="dotted"/>
        </w:rPr>
        <w:t xml:space="preserve">                                          </w:t>
      </w:r>
    </w:p>
    <w:p w14:paraId="5159A1E9">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联系电话：</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 xml:space="preserve"> </w:t>
      </w:r>
    </w:p>
    <w:p w14:paraId="45348898">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地址： </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邮编：</w:t>
      </w:r>
      <w:r>
        <w:rPr>
          <w:rFonts w:hint="eastAsia" w:ascii="微软雅黑" w:hAnsi="微软雅黑" w:eastAsia="微软雅黑" w:cs="微软雅黑"/>
          <w:color w:val="auto"/>
          <w:sz w:val="24"/>
          <w:u w:val="dotted"/>
        </w:rPr>
        <w:t xml:space="preserve">                                                </w:t>
      </w:r>
    </w:p>
    <w:p w14:paraId="1D1537D4">
      <w:pPr>
        <w:keepNext w:val="0"/>
        <w:keepLines w:val="0"/>
        <w:pageBreakBefore w:val="0"/>
        <w:widowControl w:val="0"/>
        <w:kinsoku/>
        <w:wordWrap/>
        <w:overflowPunct/>
        <w:topLinePunct w:val="0"/>
        <w:autoSpaceDE/>
        <w:autoSpaceDN/>
        <w:bidi w:val="0"/>
        <w:adjustRightInd w:val="0"/>
        <w:snapToGrid w:val="0"/>
        <w:spacing w:before="312" w:beforeLines="100" w:line="320" w:lineRule="exact"/>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二、质疑项目基本情况</w:t>
      </w:r>
    </w:p>
    <w:p w14:paraId="6F49CA94">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质疑项目的名称：</w:t>
      </w:r>
      <w:r>
        <w:rPr>
          <w:rFonts w:hint="eastAsia" w:ascii="微软雅黑" w:hAnsi="微软雅黑" w:eastAsia="微软雅黑" w:cs="微软雅黑"/>
          <w:color w:val="auto"/>
          <w:sz w:val="24"/>
          <w:u w:val="dotted"/>
        </w:rPr>
        <w:t xml:space="preserve">                                      </w:t>
      </w:r>
    </w:p>
    <w:p w14:paraId="598195E9">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质疑</w:t>
      </w:r>
      <w:r>
        <w:rPr>
          <w:rFonts w:hint="eastAsia" w:ascii="微软雅黑" w:hAnsi="微软雅黑" w:eastAsia="微软雅黑" w:cs="微软雅黑"/>
          <w:color w:val="auto"/>
          <w:sz w:val="24"/>
          <w:highlight w:val="none"/>
        </w:rPr>
        <w:t>项目的编号</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包号</w:t>
      </w:r>
      <w:r>
        <w:rPr>
          <w:rFonts w:hint="eastAsia" w:ascii="微软雅黑" w:hAnsi="微软雅黑" w:eastAsia="微软雅黑" w:cs="微软雅黑"/>
          <w:color w:val="auto"/>
          <w:sz w:val="24"/>
          <w:lang w:eastAsia="zh-CN"/>
        </w:rPr>
        <w:t>（如有）</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dotted"/>
        </w:rPr>
        <w:t xml:space="preserve">                 </w:t>
      </w:r>
    </w:p>
    <w:p w14:paraId="341D928E">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采购人名称：</w:t>
      </w:r>
      <w:r>
        <w:rPr>
          <w:rFonts w:hint="eastAsia" w:ascii="微软雅黑" w:hAnsi="微软雅黑" w:eastAsia="微软雅黑" w:cs="微软雅黑"/>
          <w:color w:val="auto"/>
          <w:sz w:val="24"/>
          <w:u w:val="dotted"/>
        </w:rPr>
        <w:t xml:space="preserve">                                         </w:t>
      </w:r>
    </w:p>
    <w:p w14:paraId="3B4894C7">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采购文件获取日期：</w:t>
      </w:r>
      <w:r>
        <w:rPr>
          <w:rFonts w:hint="eastAsia" w:ascii="微软雅黑" w:hAnsi="微软雅黑" w:eastAsia="微软雅黑" w:cs="微软雅黑"/>
          <w:color w:val="auto"/>
          <w:sz w:val="24"/>
          <w:u w:val="dotted"/>
        </w:rPr>
        <w:t xml:space="preserve">                                           </w:t>
      </w:r>
    </w:p>
    <w:p w14:paraId="313E74AE">
      <w:pPr>
        <w:keepNext w:val="0"/>
        <w:keepLines w:val="0"/>
        <w:pageBreakBefore w:val="0"/>
        <w:widowControl w:val="0"/>
        <w:kinsoku/>
        <w:wordWrap/>
        <w:overflowPunct/>
        <w:topLinePunct w:val="0"/>
        <w:autoSpaceDE/>
        <w:autoSpaceDN/>
        <w:bidi w:val="0"/>
        <w:adjustRightInd w:val="0"/>
        <w:snapToGrid w:val="0"/>
        <w:spacing w:before="312" w:beforeLines="100" w:line="320" w:lineRule="exact"/>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三、质疑事项具体内容</w:t>
      </w:r>
    </w:p>
    <w:p w14:paraId="5E6FF868">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质疑事项1：</w:t>
      </w:r>
      <w:r>
        <w:rPr>
          <w:rFonts w:hint="eastAsia" w:ascii="微软雅黑" w:hAnsi="微软雅黑" w:eastAsia="微软雅黑" w:cs="微软雅黑"/>
          <w:color w:val="auto"/>
          <w:sz w:val="24"/>
          <w:u w:val="dotted"/>
        </w:rPr>
        <w:t xml:space="preserve">                                         </w:t>
      </w:r>
    </w:p>
    <w:p w14:paraId="65EBABB2">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事实依据：</w:t>
      </w:r>
      <w:r>
        <w:rPr>
          <w:rFonts w:hint="eastAsia" w:ascii="微软雅黑" w:hAnsi="微软雅黑" w:eastAsia="微软雅黑" w:cs="微软雅黑"/>
          <w:color w:val="auto"/>
          <w:sz w:val="24"/>
          <w:u w:val="dotted"/>
        </w:rPr>
        <w:t xml:space="preserve">                                          </w:t>
      </w:r>
    </w:p>
    <w:p w14:paraId="2EA12439">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u w:val="dotted"/>
        </w:rPr>
        <w:t xml:space="preserve">                                                       </w:t>
      </w:r>
    </w:p>
    <w:p w14:paraId="56331CE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法律依据：</w:t>
      </w:r>
      <w:r>
        <w:rPr>
          <w:rFonts w:hint="eastAsia" w:ascii="微软雅黑" w:hAnsi="微软雅黑" w:eastAsia="微软雅黑" w:cs="微软雅黑"/>
          <w:color w:val="auto"/>
          <w:sz w:val="24"/>
          <w:u w:val="dotted"/>
        </w:rPr>
        <w:t xml:space="preserve">                                          </w:t>
      </w:r>
    </w:p>
    <w:p w14:paraId="1056491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u w:val="dotted"/>
        </w:rPr>
        <w:t xml:space="preserve">                                                     </w:t>
      </w:r>
    </w:p>
    <w:p w14:paraId="239E3BA4">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质疑事项2</w:t>
      </w:r>
    </w:p>
    <w:p w14:paraId="5E05181F">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w:t>
      </w:r>
    </w:p>
    <w:p w14:paraId="05150445">
      <w:pPr>
        <w:keepNext w:val="0"/>
        <w:keepLines w:val="0"/>
        <w:pageBreakBefore w:val="0"/>
        <w:widowControl w:val="0"/>
        <w:kinsoku/>
        <w:wordWrap/>
        <w:overflowPunct/>
        <w:topLinePunct w:val="0"/>
        <w:autoSpaceDE/>
        <w:autoSpaceDN/>
        <w:bidi w:val="0"/>
        <w:adjustRightInd w:val="0"/>
        <w:snapToGrid w:val="0"/>
        <w:spacing w:before="312" w:beforeLines="100" w:line="320" w:lineRule="exact"/>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四、与质疑事项相关的质疑请求</w:t>
      </w:r>
    </w:p>
    <w:p w14:paraId="4D85BF81">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微软雅黑" w:hAnsi="微软雅黑" w:eastAsia="微软雅黑" w:cs="微软雅黑"/>
          <w:color w:val="auto"/>
          <w:sz w:val="24"/>
          <w:u w:val="dotted"/>
        </w:rPr>
      </w:pPr>
      <w:r>
        <w:rPr>
          <w:rFonts w:hint="eastAsia" w:ascii="微软雅黑" w:hAnsi="微软雅黑" w:eastAsia="微软雅黑" w:cs="微软雅黑"/>
          <w:color w:val="auto"/>
          <w:sz w:val="24"/>
        </w:rPr>
        <w:t>请求：</w:t>
      </w:r>
      <w:r>
        <w:rPr>
          <w:rFonts w:hint="eastAsia" w:ascii="微软雅黑" w:hAnsi="微软雅黑" w:eastAsia="微软雅黑" w:cs="微软雅黑"/>
          <w:color w:val="auto"/>
          <w:sz w:val="24"/>
          <w:u w:val="dotted"/>
        </w:rPr>
        <w:t xml:space="preserve">                                               </w:t>
      </w:r>
    </w:p>
    <w:p w14:paraId="72FAFBEB">
      <w:pPr>
        <w:keepNext w:val="0"/>
        <w:keepLines w:val="0"/>
        <w:pageBreakBefore w:val="0"/>
        <w:widowControl w:val="0"/>
        <w:kinsoku/>
        <w:wordWrap/>
        <w:overflowPunct/>
        <w:topLinePunct w:val="0"/>
        <w:autoSpaceDE/>
        <w:autoSpaceDN/>
        <w:bidi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签字(签章)：                   公章：                      </w:t>
      </w:r>
    </w:p>
    <w:p w14:paraId="43076EC9">
      <w:pPr>
        <w:keepNext w:val="0"/>
        <w:keepLines w:val="0"/>
        <w:pageBreakBefore w:val="0"/>
        <w:widowControl w:val="0"/>
        <w:kinsoku/>
        <w:wordWrap/>
        <w:overflowPunct/>
        <w:topLinePunct w:val="0"/>
        <w:autoSpaceDE/>
        <w:autoSpaceDN/>
        <w:bidi w:val="0"/>
        <w:spacing w:line="32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14:paraId="3D0D98DE">
      <w:pPr>
        <w:spacing w:line="400" w:lineRule="exact"/>
        <w:rPr>
          <w:rFonts w:hint="eastAsia" w:ascii="微软雅黑" w:hAnsi="微软雅黑" w:eastAsia="微软雅黑" w:cs="微软雅黑"/>
          <w:b/>
          <w:color w:val="auto"/>
          <w:sz w:val="24"/>
        </w:rPr>
      </w:pPr>
    </w:p>
    <w:p w14:paraId="61E5BF2B">
      <w:pPr>
        <w:spacing w:line="400" w:lineRule="exact"/>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质疑函制作说明：</w:t>
      </w:r>
    </w:p>
    <w:p w14:paraId="5C8EA799">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1.供应商提出质疑时，应提交质疑函和必要的证明材料。</w:t>
      </w:r>
    </w:p>
    <w:p w14:paraId="1F2962D8">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rPr>
        <w:t>供应商签署的授权委托书。授权委托书应载明代理人的姓名或者名称、代理事项、具体权限、期限和相关事项。</w:t>
      </w:r>
    </w:p>
    <w:p w14:paraId="765B585A">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3.质疑供应商若对项目的某一分包进行质疑，质疑函中应列明具体分包号。</w:t>
      </w:r>
    </w:p>
    <w:p w14:paraId="624C4AA5">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4.质疑函的质疑事项应具体、明确，并有必要的事实依据和法律依据。</w:t>
      </w:r>
    </w:p>
    <w:p w14:paraId="59CD30ED">
      <w:pPr>
        <w:widowControl/>
        <w:spacing w:line="400" w:lineRule="exact"/>
        <w:ind w:firstLine="480" w:firstLineChars="20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5.质疑函的质疑请求应与质疑事项相关。</w:t>
      </w:r>
    </w:p>
    <w:p w14:paraId="21E007C9">
      <w:pPr>
        <w:pStyle w:val="10"/>
        <w:rPr>
          <w:rFonts w:hint="eastAsia" w:ascii="微软雅黑" w:hAnsi="微软雅黑" w:eastAsia="微软雅黑" w:cs="微软雅黑"/>
          <w:color w:val="auto"/>
        </w:rPr>
      </w:pPr>
      <w:r>
        <w:rPr>
          <w:rFonts w:hint="eastAsia" w:ascii="微软雅黑" w:hAnsi="微软雅黑" w:eastAsia="微软雅黑" w:cs="微软雅黑"/>
          <w:color w:val="auto"/>
          <w:sz w:val="24"/>
        </w:rPr>
        <w:t>6.质疑供应商为自然人的，质疑函应由本人签字；质疑供应商为法人或者其他组织的，质疑函应由法定代表人、主要负责人，或者其授权代表签字或者盖章，并加盖公章。</w:t>
      </w:r>
    </w:p>
    <w:p w14:paraId="5291041B">
      <w:pPr>
        <w:rPr>
          <w:rFonts w:hint="eastAsia" w:ascii="微软雅黑" w:hAnsi="微软雅黑" w:eastAsia="微软雅黑" w:cs="微软雅黑"/>
          <w:color w:val="auto"/>
          <w:sz w:val="24"/>
          <w:szCs w:val="24"/>
        </w:rPr>
      </w:pPr>
      <w:bookmarkStart w:id="474" w:name="_Toc515647802"/>
      <w:bookmarkStart w:id="475" w:name="_Toc702"/>
      <w:bookmarkStart w:id="476" w:name="_Toc728"/>
      <w:bookmarkStart w:id="477" w:name="_Toc216582812"/>
      <w:r>
        <w:rPr>
          <w:rFonts w:hint="eastAsia" w:ascii="微软雅黑" w:hAnsi="微软雅黑" w:eastAsia="微软雅黑" w:cs="微软雅黑"/>
          <w:color w:val="auto"/>
          <w:sz w:val="24"/>
          <w:szCs w:val="24"/>
        </w:rPr>
        <w:br w:type="page"/>
      </w:r>
    </w:p>
    <w:p w14:paraId="372B4DEC">
      <w:pPr>
        <w:pStyle w:val="5"/>
        <w:numPr>
          <w:ilvl w:val="0"/>
          <w:numId w:val="5"/>
        </w:numPr>
        <w:snapToGrid w:val="0"/>
        <w:spacing w:before="0" w:after="0" w:line="240" w:lineRule="atLeast"/>
        <w:textAlignment w:val="baseline"/>
        <w:rPr>
          <w:rFonts w:hint="eastAsia" w:ascii="微软雅黑" w:hAnsi="微软雅黑" w:eastAsia="微软雅黑" w:cs="微软雅黑"/>
          <w:color w:val="auto"/>
        </w:rPr>
      </w:pPr>
      <w:bookmarkStart w:id="478" w:name="_Toc28994"/>
      <w:r>
        <w:rPr>
          <w:rFonts w:hint="eastAsia" w:ascii="微软雅黑" w:hAnsi="微软雅黑" w:eastAsia="微软雅黑" w:cs="微软雅黑"/>
          <w:color w:val="auto"/>
          <w:sz w:val="28"/>
          <w:szCs w:val="28"/>
        </w:rPr>
        <w:t>响应文件格式</w:t>
      </w:r>
      <w:bookmarkEnd w:id="474"/>
      <w:bookmarkEnd w:id="475"/>
      <w:bookmarkEnd w:id="476"/>
      <w:bookmarkEnd w:id="477"/>
      <w:bookmarkEnd w:id="478"/>
    </w:p>
    <w:p w14:paraId="34DDBDE1">
      <w:pPr>
        <w:pStyle w:val="6"/>
        <w:numPr>
          <w:ilvl w:val="0"/>
          <w:numId w:val="0"/>
        </w:numPr>
        <w:snapToGrid w:val="0"/>
        <w:spacing w:before="0" w:line="240" w:lineRule="atLeast"/>
        <w:ind w:left="1080" w:leftChars="257" w:hanging="540" w:firstLineChars="0"/>
        <w:textAlignment w:val="baseline"/>
        <w:rPr>
          <w:rFonts w:hint="eastAsia" w:ascii="微软雅黑" w:hAnsi="微软雅黑" w:eastAsia="微软雅黑" w:cs="微软雅黑"/>
          <w:color w:val="auto"/>
          <w:sz w:val="28"/>
          <w:szCs w:val="28"/>
        </w:rPr>
      </w:pPr>
      <w:bookmarkStart w:id="1218" w:name="_GoBack"/>
      <w:bookmarkEnd w:id="1218"/>
      <w:bookmarkStart w:id="479" w:name="_Toc15095"/>
      <w:r>
        <w:rPr>
          <w:rFonts w:hint="eastAsia" w:ascii="微软雅黑" w:hAnsi="微软雅黑" w:eastAsia="微软雅黑" w:cs="微软雅黑"/>
          <w:b/>
          <w:color w:val="auto"/>
          <w:kern w:val="0"/>
          <w:sz w:val="28"/>
          <w:szCs w:val="28"/>
          <w:lang w:val="en-US" w:eastAsia="zh-CN" w:bidi="ar-SA"/>
        </w:rPr>
        <w:t xml:space="preserve">第一部分 </w:t>
      </w:r>
      <w:r>
        <w:rPr>
          <w:rFonts w:hint="eastAsia" w:ascii="微软雅黑" w:hAnsi="微软雅黑" w:eastAsia="微软雅黑" w:cs="微软雅黑"/>
          <w:color w:val="auto"/>
          <w:sz w:val="28"/>
          <w:szCs w:val="28"/>
        </w:rPr>
        <w:t>磋商</w:t>
      </w:r>
      <w:r>
        <w:rPr>
          <w:rFonts w:hint="eastAsia" w:ascii="微软雅黑" w:hAnsi="微软雅黑" w:eastAsia="微软雅黑" w:cs="微软雅黑"/>
          <w:color w:val="auto"/>
          <w:sz w:val="28"/>
          <w:szCs w:val="28"/>
          <w:lang w:val="en-US" w:eastAsia="zh-CN"/>
        </w:rPr>
        <w:t>报价</w:t>
      </w:r>
      <w:r>
        <w:rPr>
          <w:rFonts w:hint="eastAsia" w:ascii="微软雅黑" w:hAnsi="微软雅黑" w:eastAsia="微软雅黑" w:cs="微软雅黑"/>
          <w:color w:val="auto"/>
          <w:sz w:val="28"/>
          <w:szCs w:val="28"/>
        </w:rPr>
        <w:t>一览表及资格证明文件</w:t>
      </w:r>
      <w:bookmarkEnd w:id="479"/>
    </w:p>
    <w:p w14:paraId="768E7386">
      <w:pPr>
        <w:tabs>
          <w:tab w:val="left" w:pos="5580"/>
        </w:tabs>
        <w:snapToGrid w:val="0"/>
        <w:spacing w:line="360" w:lineRule="exact"/>
        <w:ind w:firstLine="480" w:firstLineChars="200"/>
        <w:jc w:val="lef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1.磋商报价一览表;</w:t>
      </w:r>
    </w:p>
    <w:p w14:paraId="3C8661B5">
      <w:pPr>
        <w:pStyle w:val="18"/>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2、符合《中华人民共和国政府采购法》第二十二条的规定,</w:t>
      </w:r>
    </w:p>
    <w:p w14:paraId="6D1FA7A7">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①具有独立承担民事责任的能力；（投标时，提供在中华人民共和国境内注册的法人或其他组织的营业执照或事业单位法人证书或社会团体法人登记证书）</w:t>
      </w:r>
    </w:p>
    <w:p w14:paraId="78990DE9">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②提供法定代表人资格证明及授权书、被授权人身份证；(法定代表人投标需提供法定代表人身份证)；</w:t>
      </w:r>
    </w:p>
    <w:p w14:paraId="37937241">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lang w:val="en-US" w:eastAsia="zh-CN"/>
        </w:rPr>
        <w:t>③</w:t>
      </w:r>
      <w:r>
        <w:rPr>
          <w:rFonts w:hint="eastAsia" w:ascii="微软雅黑" w:hAnsi="微软雅黑" w:eastAsia="微软雅黑" w:cs="微软雅黑"/>
          <w:color w:val="auto"/>
          <w:kern w:val="0"/>
          <w:sz w:val="24"/>
          <w:highlight w:val="none"/>
          <w:lang w:eastAsia="zh-CN"/>
        </w:rPr>
        <w:t>本单位依法缴纳的近3个月内任意1个月的社会保险的凭据；</w:t>
      </w:r>
    </w:p>
    <w:p w14:paraId="14DD6CF4">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④</w:t>
      </w:r>
      <w:r>
        <w:rPr>
          <w:rFonts w:hint="eastAsia" w:ascii="微软雅黑" w:hAnsi="微软雅黑" w:eastAsia="微软雅黑" w:cs="微软雅黑"/>
          <w:color w:val="auto"/>
          <w:kern w:val="0"/>
          <w:sz w:val="24"/>
          <w:highlight w:val="none"/>
          <w:lang w:eastAsia="zh-CN"/>
        </w:rPr>
        <w:t>税务部门出具的近3个月内任意1个月的完税证明（</w:t>
      </w:r>
      <w:r>
        <w:rPr>
          <w:rFonts w:hint="eastAsia" w:ascii="微软雅黑" w:hAnsi="微软雅黑" w:eastAsia="微软雅黑" w:cs="微软雅黑"/>
          <w:color w:val="auto"/>
          <w:kern w:val="0"/>
          <w:sz w:val="24"/>
          <w:highlight w:val="none"/>
        </w:rPr>
        <w:t>依法免缴的应提供依法免缴的相关证明文件</w:t>
      </w:r>
      <w:r>
        <w:rPr>
          <w:rFonts w:hint="eastAsia" w:ascii="微软雅黑" w:hAnsi="微软雅黑" w:eastAsia="微软雅黑" w:cs="微软雅黑"/>
          <w:color w:val="auto"/>
          <w:kern w:val="0"/>
          <w:sz w:val="24"/>
          <w:highlight w:val="none"/>
          <w:lang w:val="en-US" w:eastAsia="zh-CN"/>
        </w:rPr>
        <w:t>或</w:t>
      </w:r>
      <w:r>
        <w:rPr>
          <w:rFonts w:hint="eastAsia" w:ascii="微软雅黑" w:hAnsi="微软雅黑" w:eastAsia="微软雅黑" w:cs="微软雅黑"/>
          <w:color w:val="auto"/>
          <w:kern w:val="0"/>
          <w:sz w:val="24"/>
          <w:highlight w:val="none"/>
        </w:rPr>
        <w:t>零申报报表</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rPr>
        <w:t>；</w:t>
      </w:r>
    </w:p>
    <w:p w14:paraId="6F1B690E">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⑤提供2024年或2025年完整的财务审计报告（成立不满一年的可提供近一个月的银行资信证明）；</w:t>
      </w:r>
    </w:p>
    <w:p w14:paraId="50E54B32">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⑥</w:t>
      </w:r>
      <w:r>
        <w:rPr>
          <w:rFonts w:hint="eastAsia" w:ascii="微软雅黑" w:hAnsi="微软雅黑" w:eastAsia="微软雅黑" w:cs="微软雅黑"/>
          <w:color w:val="auto"/>
          <w:kern w:val="0"/>
          <w:sz w:val="24"/>
          <w:highlight w:val="none"/>
        </w:rPr>
        <w:t>参与政府采购活动前3年内未被列入失信、重大税收违法案件、财政部门禁止参加政府采购活动的承诺书；</w:t>
      </w:r>
    </w:p>
    <w:p w14:paraId="0ED8EAB3">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⑦</w:t>
      </w:r>
      <w:r>
        <w:rPr>
          <w:rFonts w:hint="eastAsia" w:ascii="微软雅黑" w:hAnsi="微软雅黑" w:eastAsia="微软雅黑" w:cs="微软雅黑"/>
          <w:color w:val="auto"/>
          <w:kern w:val="0"/>
          <w:sz w:val="24"/>
          <w:highlight w:val="none"/>
        </w:rPr>
        <w:t>提供针对本次项目的反商业贿赂承诺书。</w:t>
      </w:r>
    </w:p>
    <w:p w14:paraId="2AE6472C">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58017B36">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⑨本项目专门面向中小企业（供应商须根据磋商文件中的法定格式填写中小企业声明函）</w:t>
      </w:r>
    </w:p>
    <w:p w14:paraId="00954743">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.缴纳磋商保证金有效凭证</w:t>
      </w:r>
      <w:r>
        <w:rPr>
          <w:rFonts w:hint="eastAsia" w:ascii="微软雅黑" w:hAnsi="微软雅黑" w:eastAsia="微软雅黑" w:cs="微软雅黑"/>
          <w:color w:val="auto"/>
          <w:kern w:val="0"/>
          <w:sz w:val="24"/>
          <w:highlight w:val="none"/>
        </w:rPr>
        <w:t>；</w:t>
      </w:r>
    </w:p>
    <w:p w14:paraId="74C74341">
      <w:pPr>
        <w:outlineLvl w:val="9"/>
        <w:rPr>
          <w:rFonts w:hint="eastAsia" w:ascii="微软雅黑" w:hAnsi="微软雅黑" w:eastAsia="微软雅黑" w:cs="微软雅黑"/>
          <w:color w:val="auto"/>
          <w:kern w:val="0"/>
          <w:sz w:val="24"/>
          <w:highlight w:val="none"/>
        </w:rPr>
      </w:pPr>
    </w:p>
    <w:p w14:paraId="4C93F9CC">
      <w:pPr>
        <w:rPr>
          <w:rFonts w:hint="eastAsia" w:ascii="微软雅黑" w:hAnsi="微软雅黑" w:eastAsia="微软雅黑" w:cs="微软雅黑"/>
          <w:color w:val="auto"/>
        </w:rPr>
      </w:pPr>
    </w:p>
    <w:p w14:paraId="3184BEC9">
      <w:pPr>
        <w:numPr>
          <w:ilvl w:val="0"/>
          <w:numId w:val="0"/>
        </w:numPr>
        <w:rPr>
          <w:rFonts w:hint="eastAsia" w:ascii="微软雅黑" w:hAnsi="微软雅黑" w:eastAsia="微软雅黑" w:cs="微软雅黑"/>
          <w:color w:val="auto"/>
        </w:rPr>
      </w:pPr>
    </w:p>
    <w:p w14:paraId="6385DA5A">
      <w:pPr>
        <w:numPr>
          <w:ilvl w:val="0"/>
          <w:numId w:val="0"/>
        </w:numPr>
        <w:rPr>
          <w:rFonts w:hint="eastAsia" w:ascii="微软雅黑" w:hAnsi="微软雅黑" w:eastAsia="微软雅黑" w:cs="微软雅黑"/>
          <w:color w:val="auto"/>
        </w:rPr>
      </w:pPr>
    </w:p>
    <w:p w14:paraId="715E467E">
      <w:pPr>
        <w:outlineLvl w:val="9"/>
        <w:rPr>
          <w:rFonts w:hint="eastAsia" w:ascii="微软雅黑" w:hAnsi="微软雅黑" w:eastAsia="微软雅黑" w:cs="微软雅黑"/>
          <w:color w:val="auto"/>
        </w:rPr>
      </w:pPr>
    </w:p>
    <w:p w14:paraId="3957FB3A">
      <w:pPr>
        <w:rPr>
          <w:rFonts w:hint="eastAsia" w:ascii="微软雅黑" w:hAnsi="微软雅黑" w:eastAsia="微软雅黑" w:cs="微软雅黑"/>
          <w:color w:val="auto"/>
        </w:rPr>
      </w:pPr>
    </w:p>
    <w:p w14:paraId="479743F3">
      <w:pPr>
        <w:snapToGrid w:val="0"/>
        <w:spacing w:before="0" w:line="400" w:lineRule="atLeast"/>
        <w:jc w:val="both"/>
        <w:textAlignment w:val="baseline"/>
        <w:outlineLvl w:val="9"/>
        <w:rPr>
          <w:rFonts w:hint="eastAsia" w:ascii="微软雅黑" w:hAnsi="微软雅黑" w:eastAsia="微软雅黑" w:cs="微软雅黑"/>
          <w:color w:val="auto"/>
          <w:sz w:val="24"/>
          <w:szCs w:val="24"/>
        </w:rPr>
      </w:pPr>
      <w:bookmarkStart w:id="480" w:name="_Toc17198"/>
      <w:bookmarkStart w:id="481" w:name="_Toc26846"/>
      <w:bookmarkStart w:id="482" w:name="_Toc3620"/>
      <w:bookmarkStart w:id="483" w:name="_Toc31089"/>
      <w:bookmarkStart w:id="484" w:name="_Toc30630"/>
      <w:bookmarkStart w:id="485" w:name="_Toc515647804"/>
      <w:bookmarkStart w:id="486" w:name="_Toc14118"/>
      <w:bookmarkStart w:id="487" w:name="_Toc21484"/>
      <w:bookmarkStart w:id="488" w:name="_Toc18477"/>
      <w:bookmarkStart w:id="489" w:name="_Toc16568"/>
      <w:bookmarkStart w:id="490" w:name="_Toc30524"/>
      <w:bookmarkStart w:id="491" w:name="_Toc16750"/>
      <w:bookmarkStart w:id="492" w:name="_Toc11138"/>
      <w:bookmarkStart w:id="493" w:name="_Toc21614"/>
      <w:bookmarkStart w:id="494" w:name="_Toc22539"/>
      <w:bookmarkStart w:id="495" w:name="_Toc4431"/>
      <w:bookmarkStart w:id="496" w:name="_Toc515647803"/>
      <w:bookmarkStart w:id="497" w:name="_Toc18694"/>
      <w:bookmarkStart w:id="498" w:name="_Toc1126"/>
      <w:bookmarkStart w:id="499" w:name="_Toc26489"/>
      <w:bookmarkStart w:id="500" w:name="_Toc18974"/>
      <w:bookmarkStart w:id="501" w:name="_Toc19961"/>
      <w:bookmarkStart w:id="502" w:name="_Toc3315"/>
    </w:p>
    <w:p w14:paraId="20B6F6D5">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p>
    <w:p w14:paraId="799BDE09">
      <w:pPr>
        <w:pStyle w:val="6"/>
        <w:snapToGrid w:val="0"/>
        <w:spacing w:before="0" w:line="400" w:lineRule="atLeast"/>
        <w:jc w:val="both"/>
        <w:textAlignment w:val="baseline"/>
        <w:rPr>
          <w:rFonts w:hint="eastAsia" w:ascii="微软雅黑" w:hAnsi="微软雅黑" w:eastAsia="微软雅黑" w:cs="微软雅黑"/>
          <w:color w:val="auto"/>
          <w:sz w:val="24"/>
          <w:szCs w:val="24"/>
        </w:rPr>
      </w:pPr>
      <w:bookmarkStart w:id="503" w:name="_Toc31434"/>
      <w:r>
        <w:rPr>
          <w:rFonts w:hint="eastAsia" w:ascii="微软雅黑" w:hAnsi="微软雅黑" w:eastAsia="微软雅黑" w:cs="微软雅黑"/>
          <w:color w:val="auto"/>
          <w:sz w:val="24"/>
          <w:szCs w:val="24"/>
        </w:rPr>
        <w:t>1、磋商报价一览表</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503"/>
    </w:p>
    <w:p w14:paraId="0266B3B8">
      <w:pPr>
        <w:pStyle w:val="10"/>
        <w:tabs>
          <w:tab w:val="left" w:pos="5580"/>
        </w:tabs>
        <w:snapToGrid w:val="0"/>
        <w:spacing w:line="400" w:lineRule="atLeast"/>
        <w:ind w:firstLine="0"/>
        <w:jc w:val="center"/>
        <w:textAlignment w:val="baseline"/>
        <w:rPr>
          <w:rFonts w:hint="eastAsia" w:ascii="微软雅黑" w:hAnsi="微软雅黑" w:eastAsia="微软雅黑" w:cs="微软雅黑"/>
          <w:color w:val="auto"/>
          <w:szCs w:val="24"/>
        </w:rPr>
      </w:pPr>
      <w:bookmarkStart w:id="504" w:name="_Hlt520356241"/>
      <w:bookmarkEnd w:id="504"/>
      <w:r>
        <w:rPr>
          <w:rFonts w:hint="eastAsia" w:ascii="微软雅黑" w:hAnsi="微软雅黑" w:eastAsia="微软雅黑" w:cs="微软雅黑"/>
          <w:b/>
          <w:color w:val="auto"/>
          <w:szCs w:val="24"/>
        </w:rPr>
        <w:t>磋商报价一览表</w:t>
      </w:r>
    </w:p>
    <w:p w14:paraId="690B410D">
      <w:pPr>
        <w:tabs>
          <w:tab w:val="left" w:pos="1800"/>
          <w:tab w:val="left" w:pos="5580"/>
        </w:tabs>
        <w:snapToGrid w:val="0"/>
        <w:spacing w:line="400" w:lineRule="atLeast"/>
        <w:ind w:left="1080" w:leftChars="257" w:right="-867" w:hanging="54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项目编号：                        </w:t>
      </w:r>
    </w:p>
    <w:p w14:paraId="66126AC4">
      <w:pPr>
        <w:tabs>
          <w:tab w:val="left" w:pos="1800"/>
          <w:tab w:val="left" w:pos="5580"/>
        </w:tabs>
        <w:snapToGrid w:val="0"/>
        <w:spacing w:line="400" w:lineRule="atLeast"/>
        <w:ind w:left="1080" w:leftChars="257" w:right="-867" w:hanging="54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报价单位：</w:t>
      </w:r>
      <w:r>
        <w:rPr>
          <w:rFonts w:hint="eastAsia" w:ascii="微软雅黑" w:hAnsi="微软雅黑" w:eastAsia="微软雅黑" w:cs="微软雅黑"/>
          <w:b w:val="0"/>
          <w:bCs w:val="0"/>
          <w:color w:val="auto"/>
          <w:sz w:val="24"/>
        </w:rPr>
        <w:t xml:space="preserve">人民币  </w:t>
      </w:r>
      <w:r>
        <w:rPr>
          <w:rFonts w:hint="eastAsia" w:ascii="微软雅黑" w:hAnsi="微软雅黑" w:eastAsia="微软雅黑" w:cs="微软雅黑"/>
          <w:b w:val="0"/>
          <w:bCs w:val="0"/>
          <w:color w:val="auto"/>
          <w:sz w:val="24"/>
          <w:lang w:val="en-US" w:eastAsia="zh-CN"/>
        </w:rPr>
        <w:t xml:space="preserve"> </w:t>
      </w:r>
      <w:r>
        <w:rPr>
          <w:rFonts w:hint="eastAsia" w:ascii="微软雅黑" w:hAnsi="微软雅黑" w:eastAsia="微软雅黑" w:cs="微软雅黑"/>
          <w:b w:val="0"/>
          <w:bCs w:val="0"/>
          <w:color w:val="auto"/>
          <w:sz w:val="24"/>
        </w:rPr>
        <w:t>元</w:t>
      </w:r>
    </w:p>
    <w:tbl>
      <w:tblPr>
        <w:tblStyle w:val="3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4"/>
        <w:gridCol w:w="2143"/>
        <w:gridCol w:w="1315"/>
        <w:gridCol w:w="1485"/>
        <w:gridCol w:w="1485"/>
        <w:gridCol w:w="1665"/>
      </w:tblGrid>
      <w:tr w14:paraId="7DD3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644" w:type="dxa"/>
            <w:vAlign w:val="center"/>
          </w:tcPr>
          <w:p w14:paraId="024F6757">
            <w:pPr>
              <w:tabs>
                <w:tab w:val="left" w:pos="5580"/>
              </w:tabs>
              <w:snapToGrid w:val="0"/>
              <w:spacing w:line="400" w:lineRule="atLeast"/>
              <w:ind w:right="-199"/>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项目</w:t>
            </w:r>
            <w:r>
              <w:rPr>
                <w:rFonts w:hint="eastAsia" w:ascii="微软雅黑" w:hAnsi="微软雅黑" w:eastAsia="微软雅黑" w:cs="微软雅黑"/>
                <w:color w:val="auto"/>
                <w:sz w:val="24"/>
              </w:rPr>
              <w:t>名称</w:t>
            </w:r>
          </w:p>
        </w:tc>
        <w:tc>
          <w:tcPr>
            <w:tcW w:w="2143" w:type="dxa"/>
            <w:vAlign w:val="center"/>
          </w:tcPr>
          <w:p w14:paraId="064EDF74">
            <w:pPr>
              <w:tabs>
                <w:tab w:val="left" w:pos="5580"/>
              </w:tabs>
              <w:snapToGrid w:val="0"/>
              <w:spacing w:line="400" w:lineRule="atLeast"/>
              <w:jc w:val="center"/>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val="en-US" w:eastAsia="zh-CN"/>
              </w:rPr>
              <w:t>磋商</w:t>
            </w:r>
            <w:r>
              <w:rPr>
                <w:rFonts w:hint="eastAsia" w:ascii="微软雅黑" w:hAnsi="微软雅黑" w:eastAsia="微软雅黑" w:cs="微软雅黑"/>
                <w:color w:val="auto"/>
                <w:sz w:val="24"/>
              </w:rPr>
              <w:t>报价</w:t>
            </w:r>
          </w:p>
        </w:tc>
        <w:tc>
          <w:tcPr>
            <w:tcW w:w="1315" w:type="dxa"/>
            <w:vAlign w:val="center"/>
          </w:tcPr>
          <w:p w14:paraId="2D9D5407">
            <w:pPr>
              <w:tabs>
                <w:tab w:val="left" w:pos="5580"/>
              </w:tabs>
              <w:snapToGrid w:val="0"/>
              <w:spacing w:line="400" w:lineRule="atLeas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磋商保证金</w:t>
            </w:r>
          </w:p>
        </w:tc>
        <w:tc>
          <w:tcPr>
            <w:tcW w:w="1485" w:type="dxa"/>
            <w:vAlign w:val="center"/>
          </w:tcPr>
          <w:p w14:paraId="45EDFB5B">
            <w:pPr>
              <w:tabs>
                <w:tab w:val="left" w:pos="5580"/>
              </w:tabs>
              <w:snapToGrid w:val="0"/>
              <w:spacing w:line="400" w:lineRule="atLeast"/>
              <w:jc w:val="center"/>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服务期</w:t>
            </w:r>
          </w:p>
        </w:tc>
        <w:tc>
          <w:tcPr>
            <w:tcW w:w="1485" w:type="dxa"/>
            <w:vAlign w:val="center"/>
          </w:tcPr>
          <w:p w14:paraId="52070C93">
            <w:pPr>
              <w:tabs>
                <w:tab w:val="left" w:pos="5580"/>
              </w:tabs>
              <w:snapToGrid w:val="0"/>
              <w:spacing w:line="400" w:lineRule="atLeast"/>
              <w:jc w:val="center"/>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val="en-US" w:eastAsia="zh-CN"/>
              </w:rPr>
              <w:t>服务地点</w:t>
            </w:r>
          </w:p>
        </w:tc>
        <w:tc>
          <w:tcPr>
            <w:tcW w:w="1665" w:type="dxa"/>
            <w:vAlign w:val="center"/>
          </w:tcPr>
          <w:p w14:paraId="20DE7B38">
            <w:pPr>
              <w:tabs>
                <w:tab w:val="left" w:pos="5580"/>
              </w:tabs>
              <w:snapToGrid w:val="0"/>
              <w:spacing w:line="400" w:lineRule="atLeas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备注</w:t>
            </w:r>
          </w:p>
        </w:tc>
      </w:tr>
      <w:tr w14:paraId="1CF1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644" w:type="dxa"/>
            <w:vAlign w:val="center"/>
          </w:tcPr>
          <w:p w14:paraId="61112BD2">
            <w:pPr>
              <w:tabs>
                <w:tab w:val="left" w:pos="5580"/>
              </w:tabs>
              <w:snapToGrid w:val="0"/>
              <w:spacing w:line="400" w:lineRule="atLeast"/>
              <w:ind w:left="1080" w:leftChars="257" w:hanging="540"/>
              <w:jc w:val="center"/>
              <w:textAlignment w:val="baseline"/>
              <w:rPr>
                <w:rFonts w:hint="eastAsia" w:ascii="微软雅黑" w:hAnsi="微软雅黑" w:eastAsia="微软雅黑" w:cs="微软雅黑"/>
                <w:color w:val="auto"/>
                <w:sz w:val="24"/>
              </w:rPr>
            </w:pPr>
          </w:p>
        </w:tc>
        <w:tc>
          <w:tcPr>
            <w:tcW w:w="2143" w:type="dxa"/>
            <w:vAlign w:val="center"/>
          </w:tcPr>
          <w:p w14:paraId="2E0A7200">
            <w:pPr>
              <w:tabs>
                <w:tab w:val="left" w:pos="5580"/>
              </w:tabs>
              <w:snapToGrid w:val="0"/>
              <w:spacing w:line="400" w:lineRule="atLeas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大写：</w:t>
            </w:r>
          </w:p>
          <w:p w14:paraId="415F90A9">
            <w:pPr>
              <w:tabs>
                <w:tab w:val="left" w:pos="5580"/>
              </w:tabs>
              <w:snapToGrid w:val="0"/>
              <w:spacing w:line="400" w:lineRule="atLeas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小写：</w:t>
            </w:r>
          </w:p>
        </w:tc>
        <w:tc>
          <w:tcPr>
            <w:tcW w:w="1315" w:type="dxa"/>
            <w:vAlign w:val="center"/>
          </w:tcPr>
          <w:p w14:paraId="207A76B2">
            <w:pPr>
              <w:tabs>
                <w:tab w:val="left" w:pos="5580"/>
              </w:tabs>
              <w:snapToGrid w:val="0"/>
              <w:spacing w:line="400" w:lineRule="atLeast"/>
              <w:ind w:left="1080" w:leftChars="257" w:hanging="540"/>
              <w:jc w:val="center"/>
              <w:textAlignment w:val="baseline"/>
              <w:rPr>
                <w:rFonts w:hint="eastAsia" w:ascii="微软雅黑" w:hAnsi="微软雅黑" w:eastAsia="微软雅黑" w:cs="微软雅黑"/>
                <w:color w:val="auto"/>
                <w:sz w:val="24"/>
              </w:rPr>
            </w:pPr>
          </w:p>
        </w:tc>
        <w:tc>
          <w:tcPr>
            <w:tcW w:w="1485" w:type="dxa"/>
            <w:vAlign w:val="center"/>
          </w:tcPr>
          <w:p w14:paraId="48F035E5">
            <w:pPr>
              <w:tabs>
                <w:tab w:val="left" w:pos="5580"/>
              </w:tabs>
              <w:snapToGrid w:val="0"/>
              <w:spacing w:line="400" w:lineRule="atLeast"/>
              <w:ind w:left="1080" w:leftChars="257" w:hanging="540"/>
              <w:jc w:val="center"/>
              <w:textAlignment w:val="baseline"/>
              <w:rPr>
                <w:rFonts w:hint="eastAsia" w:ascii="微软雅黑" w:hAnsi="微软雅黑" w:eastAsia="微软雅黑" w:cs="微软雅黑"/>
                <w:color w:val="auto"/>
                <w:sz w:val="24"/>
              </w:rPr>
            </w:pPr>
          </w:p>
        </w:tc>
        <w:tc>
          <w:tcPr>
            <w:tcW w:w="1485" w:type="dxa"/>
            <w:vAlign w:val="center"/>
          </w:tcPr>
          <w:p w14:paraId="46788F59">
            <w:pPr>
              <w:tabs>
                <w:tab w:val="left" w:pos="5580"/>
              </w:tabs>
              <w:snapToGrid w:val="0"/>
              <w:spacing w:line="400" w:lineRule="atLeast"/>
              <w:ind w:left="1080" w:leftChars="257" w:hanging="540"/>
              <w:jc w:val="center"/>
              <w:textAlignment w:val="baseline"/>
              <w:rPr>
                <w:rFonts w:hint="eastAsia" w:ascii="微软雅黑" w:hAnsi="微软雅黑" w:eastAsia="微软雅黑" w:cs="微软雅黑"/>
                <w:color w:val="auto"/>
                <w:sz w:val="24"/>
              </w:rPr>
            </w:pPr>
          </w:p>
        </w:tc>
        <w:tc>
          <w:tcPr>
            <w:tcW w:w="1665" w:type="dxa"/>
            <w:vAlign w:val="center"/>
          </w:tcPr>
          <w:p w14:paraId="25664F01">
            <w:pPr>
              <w:tabs>
                <w:tab w:val="left" w:pos="5580"/>
              </w:tabs>
              <w:snapToGrid w:val="0"/>
              <w:spacing w:line="400" w:lineRule="atLeast"/>
              <w:ind w:left="1080" w:leftChars="257" w:hanging="540"/>
              <w:jc w:val="center"/>
              <w:textAlignment w:val="baseline"/>
              <w:rPr>
                <w:rFonts w:hint="eastAsia" w:ascii="微软雅黑" w:hAnsi="微软雅黑" w:eastAsia="微软雅黑" w:cs="微软雅黑"/>
                <w:color w:val="auto"/>
                <w:sz w:val="24"/>
              </w:rPr>
            </w:pPr>
          </w:p>
        </w:tc>
      </w:tr>
    </w:tbl>
    <w:p w14:paraId="6A71399E">
      <w:pPr>
        <w:pStyle w:val="18"/>
        <w:tabs>
          <w:tab w:val="left" w:pos="5580"/>
        </w:tabs>
        <w:snapToGrid w:val="0"/>
        <w:spacing w:line="400" w:lineRule="atLeast"/>
        <w:textAlignment w:val="baseline"/>
        <w:rPr>
          <w:rFonts w:hint="eastAsia" w:ascii="微软雅黑" w:hAnsi="微软雅黑" w:eastAsia="微软雅黑" w:cs="微软雅黑"/>
          <w:color w:val="auto"/>
          <w:sz w:val="24"/>
          <w:szCs w:val="24"/>
          <w:u w:val="single" w:color="000000"/>
        </w:rPr>
      </w:pPr>
    </w:p>
    <w:p w14:paraId="38705B82">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供应商名称（公章）：</w:t>
      </w:r>
      <w:r>
        <w:rPr>
          <w:rFonts w:hint="eastAsia" w:ascii="微软雅黑" w:hAnsi="微软雅黑" w:eastAsia="微软雅黑" w:cs="微软雅黑"/>
          <w:color w:val="auto"/>
          <w:sz w:val="24"/>
          <w:szCs w:val="24"/>
          <w:u w:val="single" w:color="000000"/>
        </w:rPr>
        <w:t xml:space="preserve">                       </w:t>
      </w:r>
    </w:p>
    <w:p w14:paraId="081C396A">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法定代表人或委托代理(签字):</w:t>
      </w:r>
      <w:r>
        <w:rPr>
          <w:rFonts w:hint="eastAsia" w:ascii="微软雅黑" w:hAnsi="微软雅黑" w:eastAsia="微软雅黑" w:cs="微软雅黑"/>
          <w:color w:val="auto"/>
          <w:sz w:val="24"/>
          <w:szCs w:val="24"/>
          <w:u w:val="single" w:color="000000"/>
        </w:rPr>
        <w:tab/>
      </w:r>
    </w:p>
    <w:p w14:paraId="369C126D">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p>
    <w:p w14:paraId="520C249B">
      <w:pPr>
        <w:pStyle w:val="18"/>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、此表中，投标总价应和</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分项报价表的总价相一致。</w:t>
      </w:r>
    </w:p>
    <w:p w14:paraId="2876D5F6">
      <w:pPr>
        <w:pStyle w:val="18"/>
        <w:numPr>
          <w:ilvl w:val="0"/>
          <w:numId w:val="0"/>
        </w:numPr>
        <w:tabs>
          <w:tab w:val="left" w:pos="5580"/>
        </w:tabs>
        <w:spacing w:line="240" w:lineRule="atLeast"/>
        <w:ind w:left="1079" w:leftChars="428" w:hanging="180" w:hangingChars="75"/>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2"/>
          <w:sz w:val="24"/>
          <w:szCs w:val="24"/>
          <w:lang w:val="en-US" w:eastAsia="zh-CN" w:bidi="ar-SA"/>
        </w:rPr>
        <w:t>2、</w:t>
      </w:r>
      <w:r>
        <w:rPr>
          <w:rFonts w:hint="eastAsia" w:ascii="微软雅黑" w:hAnsi="微软雅黑" w:eastAsia="微软雅黑" w:cs="微软雅黑"/>
          <w:color w:val="auto"/>
          <w:sz w:val="24"/>
          <w:szCs w:val="24"/>
        </w:rPr>
        <w:t>此报价中包含一切与本项目相关的费用。</w:t>
      </w:r>
    </w:p>
    <w:p w14:paraId="1B533B75">
      <w:pPr>
        <w:pStyle w:val="18"/>
        <w:numPr>
          <w:ilvl w:val="0"/>
          <w:numId w:val="0"/>
        </w:numPr>
        <w:tabs>
          <w:tab w:val="left" w:pos="5580"/>
        </w:tabs>
        <w:spacing w:line="240" w:lineRule="atLeast"/>
        <w:ind w:left="1079" w:leftChars="428" w:hanging="180" w:hangingChars="75"/>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rPr>
        <w:t>根据《政府采购促进中小企业发展管理办法》（财库</w:t>
      </w:r>
      <w:r>
        <w:rPr>
          <w:rFonts w:hint="eastAsia" w:ascii="微软雅黑" w:hAnsi="微软雅黑" w:eastAsia="微软雅黑" w:cs="微软雅黑"/>
          <w:color w:val="auto"/>
          <w:sz w:val="24"/>
          <w:szCs w:val="24"/>
          <w:highlight w:val="none"/>
          <w:lang w:eastAsia="zh-CN"/>
        </w:rPr>
        <w:t>〔2020〕46号</w:t>
      </w:r>
      <w:r>
        <w:rPr>
          <w:rFonts w:hint="eastAsia" w:ascii="微软雅黑" w:hAnsi="微软雅黑" w:eastAsia="微软雅黑" w:cs="微软雅黑"/>
          <w:color w:val="auto"/>
          <w:sz w:val="24"/>
          <w:szCs w:val="24"/>
          <w:highlight w:val="none"/>
        </w:rPr>
        <w:t>）、《财政部 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color w:val="auto"/>
          <w:sz w:val="24"/>
          <w:szCs w:val="24"/>
          <w:highlight w:val="none"/>
          <w:lang w:eastAsia="zh-CN"/>
        </w:rPr>
        <w:t>10%—20%</w:t>
      </w:r>
      <w:r>
        <w:rPr>
          <w:rFonts w:hint="eastAsia" w:ascii="微软雅黑" w:hAnsi="微软雅黑" w:eastAsia="微软雅黑" w:cs="微软雅黑"/>
          <w:color w:val="auto"/>
          <w:sz w:val="24"/>
          <w:szCs w:val="24"/>
          <w:highlight w:val="none"/>
        </w:rPr>
        <w:t>后参与评。对于同时属于小微企业、监狱企业或残疾人福利性单位的，不重复进行投标报价扣除。</w:t>
      </w:r>
      <w:r>
        <w:rPr>
          <w:rFonts w:hint="eastAsia" w:ascii="微软雅黑" w:hAnsi="微软雅黑" w:eastAsia="微软雅黑" w:cs="微软雅黑"/>
          <w:b/>
          <w:bCs/>
          <w:color w:val="auto"/>
          <w:sz w:val="24"/>
          <w:szCs w:val="24"/>
          <w:highlight w:val="none"/>
          <w:lang w:val="en-US" w:eastAsia="zh-CN"/>
        </w:rPr>
        <w:t>注：本项目为专门面向中小企业项目，供应商报价不享受价格扣除后参与评审。供应商须根据招标文件中的法定格式提供中小企业声明函。</w:t>
      </w:r>
    </w:p>
    <w:p w14:paraId="244FE151">
      <w:pPr>
        <w:pStyle w:val="30"/>
        <w:rPr>
          <w:rFonts w:hint="eastAsia" w:ascii="微软雅黑" w:hAnsi="微软雅黑" w:eastAsia="微软雅黑" w:cs="微软雅黑"/>
          <w:color w:val="auto"/>
          <w:sz w:val="24"/>
          <w:szCs w:val="24"/>
        </w:rPr>
      </w:pPr>
    </w:p>
    <w:p w14:paraId="4F025E10">
      <w:pPr>
        <w:rPr>
          <w:rFonts w:hint="eastAsia" w:ascii="微软雅黑" w:hAnsi="微软雅黑" w:eastAsia="微软雅黑" w:cs="微软雅黑"/>
          <w:color w:val="auto"/>
          <w:sz w:val="24"/>
          <w:szCs w:val="24"/>
        </w:rPr>
      </w:pPr>
    </w:p>
    <w:bookmarkEnd w:id="496"/>
    <w:bookmarkEnd w:id="497"/>
    <w:bookmarkEnd w:id="498"/>
    <w:bookmarkEnd w:id="499"/>
    <w:bookmarkEnd w:id="500"/>
    <w:bookmarkEnd w:id="501"/>
    <w:bookmarkEnd w:id="502"/>
    <w:p w14:paraId="1441472A">
      <w:pPr>
        <w:rPr>
          <w:rFonts w:hint="eastAsia" w:ascii="微软雅黑" w:hAnsi="微软雅黑" w:eastAsia="微软雅黑" w:cs="微软雅黑"/>
          <w:b/>
          <w:bCs/>
          <w:color w:val="auto"/>
          <w:highlight w:val="none"/>
        </w:rPr>
      </w:pPr>
      <w:bookmarkStart w:id="505" w:name="_Toc32348"/>
      <w:bookmarkStart w:id="506" w:name="_Toc3218"/>
      <w:bookmarkStart w:id="507" w:name="_Toc480942349"/>
      <w:bookmarkStart w:id="508" w:name="_Toc520356217"/>
      <w:bookmarkStart w:id="509" w:name="_Toc216582813"/>
      <w:bookmarkStart w:id="510" w:name="_Ref467988698"/>
      <w:r>
        <w:rPr>
          <w:rFonts w:hint="eastAsia" w:ascii="微软雅黑" w:hAnsi="微软雅黑" w:eastAsia="微软雅黑" w:cs="微软雅黑"/>
          <w:b/>
          <w:bCs/>
          <w:color w:val="auto"/>
          <w:highlight w:val="none"/>
        </w:rPr>
        <w:br w:type="page"/>
      </w:r>
    </w:p>
    <w:p w14:paraId="6B142A71">
      <w:pPr>
        <w:pStyle w:val="10"/>
        <w:outlineLvl w:val="1"/>
        <w:rPr>
          <w:rFonts w:hint="eastAsia" w:ascii="微软雅黑" w:hAnsi="微软雅黑" w:eastAsia="微软雅黑" w:cs="微软雅黑"/>
          <w:b/>
          <w:bCs/>
          <w:color w:val="auto"/>
          <w:highlight w:val="none"/>
        </w:rPr>
      </w:pPr>
      <w:bookmarkStart w:id="511" w:name="_Toc27435"/>
      <w:r>
        <w:rPr>
          <w:rFonts w:hint="eastAsia" w:ascii="微软雅黑" w:hAnsi="微软雅黑" w:eastAsia="微软雅黑" w:cs="微软雅黑"/>
          <w:b/>
          <w:bCs/>
          <w:color w:val="auto"/>
          <w:highlight w:val="none"/>
        </w:rPr>
        <w:t>2</w:t>
      </w:r>
      <w:bookmarkEnd w:id="505"/>
      <w:r>
        <w:rPr>
          <w:rFonts w:hint="eastAsia" w:ascii="微软雅黑" w:hAnsi="微软雅黑" w:eastAsia="微软雅黑" w:cs="微软雅黑"/>
          <w:b/>
          <w:bCs/>
          <w:color w:val="auto"/>
          <w:highlight w:val="none"/>
          <w:lang w:eastAsia="zh-CN"/>
        </w:rPr>
        <w:t>、</w:t>
      </w:r>
      <w:r>
        <w:rPr>
          <w:rFonts w:hint="eastAsia" w:ascii="微软雅黑" w:hAnsi="微软雅黑" w:eastAsia="微软雅黑" w:cs="微软雅黑"/>
          <w:b/>
          <w:bCs/>
          <w:color w:val="auto"/>
          <w:highlight w:val="none"/>
        </w:rPr>
        <w:t>符合《中华人民共和国政府采购法》第二十二条的规定</w:t>
      </w:r>
      <w:bookmarkEnd w:id="506"/>
      <w:bookmarkEnd w:id="511"/>
    </w:p>
    <w:p w14:paraId="786C1B81">
      <w:pPr>
        <w:pStyle w:val="18"/>
        <w:tabs>
          <w:tab w:val="left" w:pos="5580"/>
        </w:tabs>
        <w:snapToGrid w:val="0"/>
        <w:spacing w:line="400" w:lineRule="atLeast"/>
        <w:textAlignment w:val="baseline"/>
        <w:rPr>
          <w:rFonts w:hint="eastAsia" w:ascii="微软雅黑" w:hAnsi="微软雅黑" w:eastAsia="微软雅黑" w:cs="微软雅黑"/>
          <w:b/>
          <w:color w:val="auto"/>
          <w:sz w:val="24"/>
          <w:szCs w:val="24"/>
        </w:rPr>
      </w:pPr>
    </w:p>
    <w:p w14:paraId="0E56A8F6">
      <w:pPr>
        <w:pStyle w:val="10"/>
        <w:outlineLvl w:val="2"/>
        <w:rPr>
          <w:rFonts w:hint="eastAsia" w:ascii="微软雅黑" w:hAnsi="微软雅黑" w:eastAsia="微软雅黑" w:cs="微软雅黑"/>
          <w:b/>
          <w:bCs/>
          <w:color w:val="auto"/>
          <w:highlight w:val="none"/>
        </w:rPr>
      </w:pPr>
      <w:bookmarkStart w:id="512" w:name="_Toc13931"/>
      <w:bookmarkStart w:id="513" w:name="_Toc22089"/>
      <w:bookmarkStart w:id="514" w:name="_Toc8241"/>
      <w:bookmarkStart w:id="515" w:name="_Toc16516"/>
      <w:bookmarkStart w:id="516" w:name="_Toc16088"/>
      <w:r>
        <w:rPr>
          <w:rFonts w:hint="eastAsia" w:ascii="微软雅黑" w:hAnsi="微软雅黑" w:eastAsia="微软雅黑" w:cs="微软雅黑"/>
          <w:b/>
          <w:bCs/>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bookmarkEnd w:id="512"/>
    </w:p>
    <w:p w14:paraId="7E6AAD68">
      <w:pPr>
        <w:pStyle w:val="10"/>
        <w:outlineLvl w:val="9"/>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kern w:val="2"/>
          <w:sz w:val="24"/>
          <w:szCs w:val="24"/>
          <w:highlight w:val="none"/>
          <w:lang w:val="en-US" w:eastAsia="zh-CN" w:bidi="ar-SA"/>
        </w:rPr>
        <w:t>说明：具有有效的营业执照正本或副本，须上传扫描件并加盖本单位公章。</w:t>
      </w:r>
    </w:p>
    <w:p w14:paraId="009A5203">
      <w:pPr>
        <w:pStyle w:val="27"/>
        <w:textAlignment w:val="baseline"/>
        <w:rPr>
          <w:rFonts w:hint="eastAsia" w:ascii="微软雅黑" w:hAnsi="微软雅黑" w:eastAsia="微软雅黑" w:cs="微软雅黑"/>
          <w:color w:val="auto"/>
        </w:rPr>
      </w:pPr>
    </w:p>
    <w:p w14:paraId="4A779998">
      <w:pPr>
        <w:pStyle w:val="27"/>
        <w:textAlignment w:val="baseline"/>
        <w:rPr>
          <w:rFonts w:hint="eastAsia" w:ascii="微软雅黑" w:hAnsi="微软雅黑" w:eastAsia="微软雅黑" w:cs="微软雅黑"/>
          <w:color w:val="auto"/>
        </w:rPr>
      </w:pPr>
    </w:p>
    <w:p w14:paraId="20F4C4FB">
      <w:pPr>
        <w:pStyle w:val="27"/>
        <w:textAlignment w:val="baseline"/>
        <w:rPr>
          <w:rFonts w:hint="eastAsia" w:ascii="微软雅黑" w:hAnsi="微软雅黑" w:eastAsia="微软雅黑" w:cs="微软雅黑"/>
          <w:color w:val="auto"/>
        </w:rPr>
      </w:pPr>
    </w:p>
    <w:bookmarkEnd w:id="513"/>
    <w:bookmarkEnd w:id="514"/>
    <w:bookmarkEnd w:id="515"/>
    <w:bookmarkEnd w:id="516"/>
    <w:p w14:paraId="16C80AA3">
      <w:pPr>
        <w:pStyle w:val="12"/>
        <w:snapToGrid w:val="0"/>
        <w:textAlignment w:val="baseline"/>
        <w:outlineLvl w:val="2"/>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bookmarkStart w:id="517" w:name="_Toc15285"/>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②法人投标需提供法人身份证明及身份证复印件，被授权委托人需提供法人授权委托书及身份证复印件</w:t>
      </w:r>
      <w:bookmarkEnd w:id="517"/>
    </w:p>
    <w:p w14:paraId="2CE59E9D">
      <w:pPr>
        <w:snapToGrid w:val="0"/>
        <w:spacing w:before="312" w:after="312" w:line="400" w:lineRule="exac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b/>
          <w:color w:val="auto"/>
          <w:sz w:val="24"/>
        </w:rPr>
        <w:t>法定代表人资格证明书</w:t>
      </w:r>
    </w:p>
    <w:p w14:paraId="137D22D6">
      <w:pPr>
        <w:snapToGrid w:val="0"/>
        <w:spacing w:line="40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同志，现任我单位          职务，为法定代表人，特此证明。</w:t>
      </w:r>
    </w:p>
    <w:p w14:paraId="4BA21038">
      <w:pPr>
        <w:snapToGrid w:val="0"/>
        <w:spacing w:line="400" w:lineRule="exact"/>
        <w:ind w:firstLine="240" w:firstLineChars="1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签发日期：                  单位：         </w:t>
      </w:r>
    </w:p>
    <w:p w14:paraId="00F37E70">
      <w:pPr>
        <w:snapToGrid w:val="0"/>
        <w:spacing w:line="400" w:lineRule="exact"/>
        <w:ind w:firstLine="240" w:firstLineChars="1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附：代表人性别：            年龄：           身份证号码：</w:t>
      </w:r>
    </w:p>
    <w:p w14:paraId="76EC3F78">
      <w:pPr>
        <w:snapToGrid w:val="0"/>
        <w:spacing w:line="400" w:lineRule="exact"/>
        <w:ind w:firstLine="240" w:firstLineChars="1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联系电话：</w:t>
      </w:r>
    </w:p>
    <w:p w14:paraId="6684B91A">
      <w:pPr>
        <w:snapToGrid w:val="0"/>
        <w:spacing w:line="400" w:lineRule="exact"/>
        <w:ind w:firstLine="240" w:firstLineChars="1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营业执照号码：              经济性质：</w:t>
      </w:r>
    </w:p>
    <w:p w14:paraId="61366300">
      <w:pPr>
        <w:snapToGrid w:val="0"/>
        <w:spacing w:line="40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说明：</w:t>
      </w:r>
    </w:p>
    <w:p w14:paraId="065F59D9">
      <w:pPr>
        <w:snapToGrid w:val="0"/>
        <w:spacing w:line="400" w:lineRule="exact"/>
        <w:ind w:firstLine="240" w:firstLineChars="1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1、法定代表人为企业事业单位、国家机关、社会团体的主要行政负责人。</w:t>
      </w:r>
    </w:p>
    <w:p w14:paraId="3F3155FE">
      <w:pPr>
        <w:snapToGrid w:val="0"/>
        <w:spacing w:line="40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2、内容必须填写真实、清楚、涂改无效，不得转让。</w:t>
      </w:r>
    </w:p>
    <w:p w14:paraId="33DC7349">
      <w:pPr>
        <w:snapToGrid w:val="0"/>
        <w:spacing w:line="40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247650</wp:posOffset>
                </wp:positionV>
                <wp:extent cx="2077085" cy="1385570"/>
                <wp:effectExtent l="7620" t="7620" r="10795" b="16510"/>
                <wp:wrapNone/>
                <wp:docPr id="1027" name="圆角矩形 18"/>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0095634F">
                            <w:pPr>
                              <w:jc w:val="center"/>
                              <w:rPr>
                                <w:rFonts w:hAnsi="宋体"/>
                                <w:szCs w:val="21"/>
                              </w:rPr>
                            </w:pPr>
                            <w:r>
                              <w:rPr>
                                <w:rFonts w:hint="eastAsia" w:hAnsi="宋体"/>
                                <w:szCs w:val="21"/>
                              </w:rPr>
                              <w:t xml:space="preserve">  </w:t>
                            </w:r>
                          </w:p>
                          <w:p w14:paraId="452AA683">
                            <w:pPr>
                              <w:jc w:val="center"/>
                              <w:rPr>
                                <w:rFonts w:hint="eastAsia" w:ascii="微软雅黑" w:hAnsi="微软雅黑" w:eastAsia="微软雅黑" w:cs="微软雅黑"/>
                              </w:rPr>
                            </w:pPr>
                            <w:r>
                              <w:rPr>
                                <w:rFonts w:hint="eastAsia" w:ascii="微软雅黑" w:hAnsi="微软雅黑" w:eastAsia="微软雅黑" w:cs="微软雅黑"/>
                              </w:rPr>
                              <w:t>法定代表人身份证复印件</w:t>
                            </w:r>
                          </w:p>
                          <w:p w14:paraId="7D5DB9BA">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反面</w:t>
                            </w:r>
                            <w:r>
                              <w:rPr>
                                <w:rFonts w:hint="eastAsia" w:ascii="微软雅黑" w:hAnsi="微软雅黑" w:eastAsia="微软雅黑" w:cs="微软雅黑"/>
                                <w:lang w:eastAsia="zh-CN"/>
                              </w:rPr>
                              <w:t>）</w:t>
                            </w:r>
                          </w:p>
                          <w:p w14:paraId="6FD1DCAA">
                            <w:pPr>
                              <w:jc w:val="center"/>
                              <w:rPr>
                                <w:rFonts w:hAnsi="宋体"/>
                                <w:szCs w:val="21"/>
                              </w:rPr>
                            </w:pPr>
                          </w:p>
                          <w:p w14:paraId="24EF0C92">
                            <w:pPr>
                              <w:jc w:val="center"/>
                              <w:rPr>
                                <w:rFonts w:hAnsi="宋体"/>
                                <w:szCs w:val="21"/>
                              </w:rPr>
                            </w:pPr>
                          </w:p>
                          <w:p w14:paraId="68177EC2">
                            <w:pPr>
                              <w:jc w:val="center"/>
                              <w:rPr>
                                <w:szCs w:val="21"/>
                              </w:rPr>
                            </w:pPr>
                          </w:p>
                          <w:p w14:paraId="255DD512"/>
                          <w:p w14:paraId="1E313B53">
                            <w:pPr>
                              <w:pStyle w:val="10"/>
                            </w:pPr>
                          </w:p>
                          <w:p w14:paraId="2E5E8F81">
                            <w:pPr>
                              <w:pStyle w:val="10"/>
                            </w:pPr>
                          </w:p>
                          <w:p w14:paraId="624E6903">
                            <w:pPr>
                              <w:pStyle w:val="10"/>
                            </w:pPr>
                          </w:p>
                          <w:p w14:paraId="2484228F">
                            <w:pPr>
                              <w:pStyle w:val="10"/>
                            </w:pPr>
                          </w:p>
                        </w:txbxContent>
                      </wps:txbx>
                      <wps:bodyPr upright="1"/>
                    </wps:wsp>
                  </a:graphicData>
                </a:graphic>
              </wp:anchor>
            </w:drawing>
          </mc:Choice>
          <mc:Fallback>
            <w:pict>
              <v:roundrect id="圆角矩形 18" o:spid="_x0000_s1026" o:spt="2" style="position:absolute;left:0pt;margin-left:229.8pt;margin-top:19.5pt;height:109.1pt;width:163.55pt;z-index:251659264;mso-width-relative:page;mso-height-relative:page;" fillcolor="#FFFFFF" filled="t" stroked="t" coordsize="21600,21600" arcsize="0.166666666666667" o:gfxdata="UEsDBAoAAAAAAIdO4kAAAAAAAAAAAAAAAAAEAAAAZHJzL1BLAwQUAAAACACHTuJAnkil/dwAAAAK&#10;AQAADwAAAGRycy9kb3ducmV2LnhtbE2PwU7DMBBE70j8g7VI3KjdlMZtiFMhJJBAHNqUCzc3XpKo&#10;sR3FbtPw9SwnOK72aeZNvrnYjp1xCK13CuYzAQxd5U3ragUf++e7FbAQtTO68w4VTBhgU1xf5Toz&#10;fnQ7PJexZhTiQqYVNDH2GeehatDqMPM9Ovp9+cHqSOdQczPokcJtxxMhUm5166ih0T0+NVgdy5NV&#10;MH5Px5d3iYs3sXt9LPdy2n5uW6Vub+biAVjES/yD4Vef1KEgp4M/ORNYp+B+uU4JVbBY0yYC5CqV&#10;wA4KkqVMgBc5/z+h+AFQSwMEFAAAAAgAh07iQDYq+IMtAgAAZgQAAA4AAABkcnMvZTJvRG9jLnht&#10;bK1US67TMBSdI7EHy3NekkKbKGr6BpQyQfDEgwW4tpMY+SfbbdINsADGSEhMEItgOU+wDK7d0PeB&#10;QQckUnod33tyzrnXXV6OSqI9d14Y3eDiIseIa2qY0F2D37/bPKkw8oFoRqTRvMEH7vHl6vGj5WBr&#10;PjO9kYw7BCDa14NtcB+CrbPM054r4i+M5Ro2W+MUCbB0XcYcGQBdyWyW54tsMI5ZZyj3Ht6uj5t4&#10;QnTnAJq2FZSvDd0prsMR1XFJAkjyvbAerxLbtuU0vGlbzwOSDQalIT3hIxBv4zNbLUndOWJ7QScK&#10;5BwKDzQpIjR89AS1JoGgnRN/QSlBnfGmDRfUqOwoJDkCKor8gTfXPbE8aQGrvT2Z7v8fLH29v3JI&#10;MJiEfFZipImCnt98/vjr26efX77f/PiKiiq6NFhfQ/K1vXLTykMYJY+tU/EXxKAxOXs4OcvHgCi8&#10;nOVlmVfPMKKwVzyt5vMyeZ/dllvnw0tuFIpBg53ZafYW+pdsJftXPiR/2USRsA8YtUpCt/ZEomKx&#10;WJSRJyBOyRD9wYyV3kjBNkLKtHDd9rl0CEobvEnXVHwvTWo0AN95Vc6BOoFpb2HKIFQWHPO6S+Tu&#10;lfi7yFUe738hR2Zr4vsjg4QQ00iddKeo54S90AyFg4WWaDiMOLJRnGEkOZzdGKXMQIQ8JxMckRos&#10;ir08di9GYdyOABPDrWEHGIeddaLroQlFoh53YPySt9NRifN9d51Ab/8e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kil/dwAAAAKAQAADwAAAAAAAAABACAAAAAiAAAAZHJzL2Rvd25yZXYueG1s&#10;UEsBAhQAFAAAAAgAh07iQDYq+IMtAgAAZgQAAA4AAAAAAAAAAQAgAAAAKwEAAGRycy9lMm9Eb2Mu&#10;eG1sUEsFBgAAAAAGAAYAWQEAAMoFAAAAAA==&#10;">
                <v:fill on="t" focussize="0,0"/>
                <v:stroke weight="1.25pt" color="#808080" joinstyle="round"/>
                <v:imagedata o:title=""/>
                <o:lock v:ext="edit" aspectratio="f"/>
                <v:textbox>
                  <w:txbxContent>
                    <w:p w14:paraId="0095634F">
                      <w:pPr>
                        <w:jc w:val="center"/>
                        <w:rPr>
                          <w:rFonts w:hAnsi="宋体"/>
                          <w:szCs w:val="21"/>
                        </w:rPr>
                      </w:pPr>
                      <w:r>
                        <w:rPr>
                          <w:rFonts w:hint="eastAsia" w:hAnsi="宋体"/>
                          <w:szCs w:val="21"/>
                        </w:rPr>
                        <w:t xml:space="preserve">  </w:t>
                      </w:r>
                    </w:p>
                    <w:p w14:paraId="452AA683">
                      <w:pPr>
                        <w:jc w:val="center"/>
                        <w:rPr>
                          <w:rFonts w:hint="eastAsia" w:ascii="微软雅黑" w:hAnsi="微软雅黑" w:eastAsia="微软雅黑" w:cs="微软雅黑"/>
                        </w:rPr>
                      </w:pPr>
                      <w:r>
                        <w:rPr>
                          <w:rFonts w:hint="eastAsia" w:ascii="微软雅黑" w:hAnsi="微软雅黑" w:eastAsia="微软雅黑" w:cs="微软雅黑"/>
                        </w:rPr>
                        <w:t>法定代表人身份证复印件</w:t>
                      </w:r>
                    </w:p>
                    <w:p w14:paraId="7D5DB9BA">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反面</w:t>
                      </w:r>
                      <w:r>
                        <w:rPr>
                          <w:rFonts w:hint="eastAsia" w:ascii="微软雅黑" w:hAnsi="微软雅黑" w:eastAsia="微软雅黑" w:cs="微软雅黑"/>
                          <w:lang w:eastAsia="zh-CN"/>
                        </w:rPr>
                        <w:t>）</w:t>
                      </w:r>
                    </w:p>
                    <w:p w14:paraId="6FD1DCAA">
                      <w:pPr>
                        <w:jc w:val="center"/>
                        <w:rPr>
                          <w:rFonts w:hAnsi="宋体"/>
                          <w:szCs w:val="21"/>
                        </w:rPr>
                      </w:pPr>
                    </w:p>
                    <w:p w14:paraId="24EF0C92">
                      <w:pPr>
                        <w:jc w:val="center"/>
                        <w:rPr>
                          <w:rFonts w:hAnsi="宋体"/>
                          <w:szCs w:val="21"/>
                        </w:rPr>
                      </w:pPr>
                    </w:p>
                    <w:p w14:paraId="68177EC2">
                      <w:pPr>
                        <w:jc w:val="center"/>
                        <w:rPr>
                          <w:szCs w:val="21"/>
                        </w:rPr>
                      </w:pPr>
                    </w:p>
                    <w:p w14:paraId="255DD512"/>
                    <w:p w14:paraId="1E313B53">
                      <w:pPr>
                        <w:pStyle w:val="10"/>
                      </w:pPr>
                    </w:p>
                    <w:p w14:paraId="2E5E8F81">
                      <w:pPr>
                        <w:pStyle w:val="10"/>
                      </w:pPr>
                    </w:p>
                    <w:p w14:paraId="624E6903">
                      <w:pPr>
                        <w:pStyle w:val="10"/>
                      </w:pPr>
                    </w:p>
                    <w:p w14:paraId="2484228F">
                      <w:pPr>
                        <w:pStyle w:val="10"/>
                      </w:pPr>
                    </w:p>
                  </w:txbxContent>
                </v:textbox>
              </v:roundrect>
            </w:pict>
          </mc:Fallback>
        </mc:AlternateContent>
      </w:r>
    </w:p>
    <w:p w14:paraId="2D20D7DD">
      <w:pPr>
        <w:snapToGrid w:val="0"/>
        <w:spacing w:line="40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mc:AlternateContent>
          <mc:Choice Requires="wps">
            <w:drawing>
              <wp:anchor distT="0" distB="0" distL="0" distR="0" simplePos="0" relativeHeight="251659264" behindDoc="0" locked="0" layoutInCell="1" allowOverlap="1">
                <wp:simplePos x="0" y="0"/>
                <wp:positionH relativeFrom="column">
                  <wp:posOffset>615315</wp:posOffset>
                </wp:positionH>
                <wp:positionV relativeFrom="paragraph">
                  <wp:posOffset>10795</wp:posOffset>
                </wp:positionV>
                <wp:extent cx="2114550" cy="1375410"/>
                <wp:effectExtent l="4445" t="4445" r="14605" b="10795"/>
                <wp:wrapNone/>
                <wp:docPr id="1026" name="流程图: 可选过程 14"/>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C7A9ED7">
                            <w:pPr>
                              <w:jc w:val="center"/>
                              <w:rPr>
                                <w:rFonts w:hAnsi="宋体"/>
                                <w:szCs w:val="21"/>
                              </w:rPr>
                            </w:pPr>
                          </w:p>
                          <w:p w14:paraId="058E7CEA">
                            <w:pPr>
                              <w:jc w:val="center"/>
                              <w:rPr>
                                <w:rFonts w:hint="eastAsia" w:ascii="微软雅黑" w:hAnsi="微软雅黑" w:eastAsia="微软雅黑" w:cs="微软雅黑"/>
                              </w:rPr>
                            </w:pPr>
                            <w:r>
                              <w:rPr>
                                <w:rFonts w:hint="eastAsia" w:ascii="微软雅黑" w:hAnsi="微软雅黑" w:eastAsia="微软雅黑" w:cs="微软雅黑"/>
                              </w:rPr>
                              <w:t>法定代表人身份证复印件</w:t>
                            </w:r>
                          </w:p>
                          <w:p w14:paraId="2C5391B2">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正面</w:t>
                            </w:r>
                            <w:r>
                              <w:rPr>
                                <w:rFonts w:hint="eastAsia" w:ascii="微软雅黑" w:hAnsi="微软雅黑" w:eastAsia="微软雅黑" w:cs="微软雅黑"/>
                                <w:lang w:eastAsia="zh-CN"/>
                              </w:rPr>
                              <w:t>）</w:t>
                            </w:r>
                          </w:p>
                          <w:p w14:paraId="7DC0357C">
                            <w:pPr>
                              <w:jc w:val="center"/>
                              <w:rPr>
                                <w:rFonts w:hint="eastAsia" w:ascii="微软雅黑" w:hAnsi="微软雅黑" w:eastAsia="微软雅黑" w:cs="微软雅黑"/>
                              </w:rPr>
                            </w:pPr>
                          </w:p>
                        </w:txbxContent>
                      </wps:txbx>
                      <wps:bodyPr upright="1"/>
                    </wps:wsp>
                  </a:graphicData>
                </a:graphic>
              </wp:anchor>
            </w:drawing>
          </mc:Choice>
          <mc:Fallback>
            <w:pict>
              <v:shape id="流程图: 可选过程 14" o:spid="_x0000_s1026" o:spt="176" type="#_x0000_t176" style="position:absolute;left:0pt;margin-left:48.45pt;margin-top:0.85pt;height:108.3pt;width:166.5pt;z-index:251659264;mso-width-relative:page;mso-height-relative:page;" fillcolor="#FFFFFF" filled="t" stroked="t" coordsize="21600,21600" o:gfxdata="UEsDBAoAAAAAAIdO4kAAAAAAAAAAAAAAAAAEAAAAZHJzL1BLAwQUAAAACACHTuJAHDZdudUAAAAI&#10;AQAADwAAAGRycy9kb3ducmV2LnhtbE2PQU+EMBCF7yb+h2ZMvLkF1rCAlI3R6MmLuInXQkcg0imh&#10;hUV/veNJj2/ey5vvlcfNjmLF2Q+OFMS7CARS68xAnYLT29NNBsIHTUaPjlDBF3o4VpcXpS6MO9Mr&#10;rnXoBJeQL7SCPoSpkNK3PVrtd25CYu/DzVYHlnMnzazPXG5HmURRKq0eiD/0esKHHtvPerEKtpfv&#10;Jl+e47YOfZYe3vfr4/1JKnV9FUd3IAJu4S8Mv/iMDhUzNW4h48WoIE9zTvL9AILt2yRn3ShI4mwP&#10;sirl/wHVD1BLAwQUAAAACACHTuJA6DJAeC4CAABUBAAADgAAAGRycy9lMm9Eb2MueG1srVTLjtMw&#10;FN0j8Q+W9zRJaQeImo7QlLJBUGngA24dp7Hkl2y3SXewQogFH8APsGPFFr5mePwF107pPGAxC7JI&#10;rh/3+JxzrzM77ZUkO+68MLqixSinhGtmaqE3FX31cnnvISU+gK5BGs0ruueens7v3pl1tuRj0xpZ&#10;c0cQRPuysxVtQ7BllnnWcgV+ZCzXuNgYpyDg0G2y2kGH6Epm4zw/yTrjausM497j7GJYpAdEdxtA&#10;0zSC8YVhW8V1GFAdlxBQkm+F9XSe2DYNZ+FF03geiKwoKg3pjYdgvI7vbD6DcuPAtoIdKMBtKNzQ&#10;pEBoPPQItYAAZOvEX1BKMGe8acKIGZUNQpIjqKLIb3hz3oLlSQta7e3RdP//YNnz3coRUWMn5OMT&#10;SjQorPn3L29+fHp/8fFrSS4+fP71+t3Pb29xghSTaFhnfYl553blDiOPYVTfN07FL+oifTJ5fzSZ&#10;94EwnBwXxWQ6Rf8ZrhX3H0wnRSpDdplunQ9PuVEkBhVtpOnOWnDhsQzcaQh8NbRPchx2z3xAHpj/&#10;Jy9S8EaKeimkTAO3WZ9JR3aAbbBMTxSCKde2SU26ij6ajqfIDrC3G+wpDJVFf7zepPOuZfirwHl6&#10;/gUciS3AtwOBhBC3QakEKkpRy6F+omsS9hYLoPHq0UhG8ZoSyfGmxijtDCDkbXaiOqlRZCzXUKAY&#10;hX7dI0wM16beY/G31olNiz4XiXpcwWZL7hwuRuzmq+MEevkz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DZdudUAAAAIAQAADwAAAAAAAAABACAAAAAiAAAAZHJzL2Rvd25yZXYueG1sUEsBAhQA&#10;FAAAAAgAh07iQOgyQHguAgAAVAQAAA4AAAAAAAAAAQAgAAAAJAEAAGRycy9lMm9Eb2MueG1sUEsF&#10;BgAAAAAGAAYAWQEAAMQFAAAAAA==&#10;">
                <v:fill on="t" focussize="0,0"/>
                <v:stroke color="#000000" joinstyle="miter"/>
                <v:imagedata o:title=""/>
                <o:lock v:ext="edit" aspectratio="f"/>
                <v:textbox>
                  <w:txbxContent>
                    <w:p w14:paraId="3C7A9ED7">
                      <w:pPr>
                        <w:jc w:val="center"/>
                        <w:rPr>
                          <w:rFonts w:hAnsi="宋体"/>
                          <w:szCs w:val="21"/>
                        </w:rPr>
                      </w:pPr>
                    </w:p>
                    <w:p w14:paraId="058E7CEA">
                      <w:pPr>
                        <w:jc w:val="center"/>
                        <w:rPr>
                          <w:rFonts w:hint="eastAsia" w:ascii="微软雅黑" w:hAnsi="微软雅黑" w:eastAsia="微软雅黑" w:cs="微软雅黑"/>
                        </w:rPr>
                      </w:pPr>
                      <w:r>
                        <w:rPr>
                          <w:rFonts w:hint="eastAsia" w:ascii="微软雅黑" w:hAnsi="微软雅黑" w:eastAsia="微软雅黑" w:cs="微软雅黑"/>
                        </w:rPr>
                        <w:t>法定代表人身份证复印件</w:t>
                      </w:r>
                    </w:p>
                    <w:p w14:paraId="2C5391B2">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正面</w:t>
                      </w:r>
                      <w:r>
                        <w:rPr>
                          <w:rFonts w:hint="eastAsia" w:ascii="微软雅黑" w:hAnsi="微软雅黑" w:eastAsia="微软雅黑" w:cs="微软雅黑"/>
                          <w:lang w:eastAsia="zh-CN"/>
                        </w:rPr>
                        <w:t>）</w:t>
                      </w:r>
                    </w:p>
                    <w:p w14:paraId="7DC0357C">
                      <w:pPr>
                        <w:jc w:val="center"/>
                        <w:rPr>
                          <w:rFonts w:hint="eastAsia" w:ascii="微软雅黑" w:hAnsi="微软雅黑" w:eastAsia="微软雅黑" w:cs="微软雅黑"/>
                        </w:rPr>
                      </w:pPr>
                    </w:p>
                  </w:txbxContent>
                </v:textbox>
              </v:shape>
            </w:pict>
          </mc:Fallback>
        </mc:AlternateContent>
      </w:r>
    </w:p>
    <w:p w14:paraId="65D005A6">
      <w:pPr>
        <w:snapToGrid w:val="0"/>
        <w:spacing w:line="400" w:lineRule="exact"/>
        <w:textAlignment w:val="baseline"/>
        <w:rPr>
          <w:rFonts w:hint="eastAsia" w:ascii="微软雅黑" w:hAnsi="微软雅黑" w:eastAsia="微软雅黑" w:cs="微软雅黑"/>
          <w:color w:val="auto"/>
          <w:sz w:val="24"/>
        </w:rPr>
      </w:pPr>
    </w:p>
    <w:p w14:paraId="67E91F33">
      <w:pPr>
        <w:snapToGrid w:val="0"/>
        <w:spacing w:line="400" w:lineRule="exact"/>
        <w:textAlignment w:val="baseline"/>
        <w:rPr>
          <w:rFonts w:hint="eastAsia" w:ascii="微软雅黑" w:hAnsi="微软雅黑" w:eastAsia="微软雅黑" w:cs="微软雅黑"/>
          <w:color w:val="auto"/>
          <w:sz w:val="24"/>
        </w:rPr>
      </w:pPr>
    </w:p>
    <w:p w14:paraId="3CA3BC7B">
      <w:pPr>
        <w:pStyle w:val="27"/>
        <w:spacing w:line="400" w:lineRule="exact"/>
        <w:rPr>
          <w:rFonts w:hint="eastAsia" w:ascii="微软雅黑" w:hAnsi="微软雅黑" w:eastAsia="微软雅黑" w:cs="微软雅黑"/>
          <w:color w:val="auto"/>
          <w:sz w:val="24"/>
        </w:rPr>
      </w:pPr>
    </w:p>
    <w:p w14:paraId="268EE8D6">
      <w:pPr>
        <w:pStyle w:val="27"/>
        <w:spacing w:line="400" w:lineRule="exact"/>
        <w:rPr>
          <w:rFonts w:hint="eastAsia" w:ascii="微软雅黑" w:hAnsi="微软雅黑" w:eastAsia="微软雅黑" w:cs="微软雅黑"/>
          <w:color w:val="auto"/>
          <w:sz w:val="24"/>
        </w:rPr>
      </w:pPr>
    </w:p>
    <w:p w14:paraId="143D95B5">
      <w:pPr>
        <w:snapToGrid w:val="0"/>
        <w:spacing w:line="400" w:lineRule="exact"/>
        <w:ind w:right="246"/>
        <w:textAlignment w:val="baseline"/>
        <w:rPr>
          <w:rFonts w:hint="eastAsia" w:ascii="微软雅黑" w:hAnsi="微软雅黑" w:eastAsia="微软雅黑" w:cs="微软雅黑"/>
          <w:color w:val="auto"/>
          <w:sz w:val="24"/>
        </w:rPr>
      </w:pPr>
    </w:p>
    <w:p w14:paraId="0A845F45">
      <w:pPr>
        <w:snapToGrid w:val="0"/>
        <w:spacing w:line="400" w:lineRule="exact"/>
        <w:ind w:right="246" w:firstLine="784" w:firstLineChars="327"/>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供应商（盖章）：                              </w:t>
      </w:r>
    </w:p>
    <w:p w14:paraId="70C7E654">
      <w:pPr>
        <w:snapToGrid w:val="0"/>
        <w:spacing w:line="400" w:lineRule="exact"/>
        <w:ind w:firstLine="784" w:firstLineChars="327"/>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法定代表人(签/章)： </w:t>
      </w:r>
    </w:p>
    <w:p w14:paraId="0C4BB751">
      <w:pPr>
        <w:pStyle w:val="18"/>
        <w:tabs>
          <w:tab w:val="left" w:pos="5370"/>
        </w:tabs>
        <w:snapToGrid w:val="0"/>
        <w:spacing w:line="400" w:lineRule="exact"/>
        <w:ind w:left="1155" w:leftChars="371" w:hanging="376" w:hangingChars="157"/>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rPr>
        <w:t xml:space="preserve">                 </w:t>
      </w:r>
    </w:p>
    <w:p w14:paraId="2EF583DF">
      <w:pPr>
        <w:snapToGrid w:val="0"/>
        <w:spacing w:line="400" w:lineRule="exact"/>
        <w:ind w:firstLine="784" w:firstLineChars="327"/>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14:paraId="496B6BE6">
      <w:pPr>
        <w:snapToGrid w:val="0"/>
        <w:spacing w:line="400" w:lineRule="exact"/>
        <w:ind w:firstLine="784" w:firstLineChars="327"/>
        <w:textAlignment w:val="baseline"/>
        <w:rPr>
          <w:rFonts w:hint="eastAsia" w:ascii="微软雅黑" w:hAnsi="微软雅黑" w:eastAsia="微软雅黑" w:cs="微软雅黑"/>
          <w:color w:val="auto"/>
          <w:sz w:val="24"/>
        </w:rPr>
      </w:pPr>
    </w:p>
    <w:p w14:paraId="2C547C6A">
      <w:pPr>
        <w:snapToGrid w:val="0"/>
        <w:spacing w:line="400" w:lineRule="exact"/>
        <w:ind w:firstLine="784" w:firstLineChars="327"/>
        <w:textAlignment w:val="baseline"/>
        <w:rPr>
          <w:rFonts w:hint="eastAsia" w:ascii="微软雅黑" w:hAnsi="微软雅黑" w:eastAsia="微软雅黑" w:cs="微软雅黑"/>
          <w:color w:val="auto"/>
          <w:sz w:val="24"/>
        </w:rPr>
      </w:pPr>
      <w:r>
        <w:rPr>
          <w:rFonts w:hint="eastAsia" w:ascii="微软雅黑" w:hAnsi="微软雅黑" w:eastAsia="微软雅黑" w:cs="微软雅黑"/>
          <w:b w:val="0"/>
          <w:bCs w:val="0"/>
          <w:color w:val="auto"/>
          <w:sz w:val="24"/>
          <w:szCs w:val="24"/>
          <w:highlight w:val="none"/>
          <w:lang w:val="en-US" w:eastAsia="zh-CN"/>
        </w:rPr>
        <w:t>注：身份证印有国徽的一面是正面，人像的一面为反面</w:t>
      </w:r>
      <w:r>
        <w:rPr>
          <w:rFonts w:hint="eastAsia" w:ascii="微软雅黑" w:hAnsi="微软雅黑" w:eastAsia="微软雅黑" w:cs="微软雅黑"/>
          <w:color w:val="auto"/>
          <w:sz w:val="24"/>
        </w:rPr>
        <w:t xml:space="preserve">                             </w:t>
      </w:r>
    </w:p>
    <w:p w14:paraId="28D44536">
      <w:pPr>
        <w:rPr>
          <w:rFonts w:hint="eastAsia" w:ascii="微软雅黑" w:hAnsi="微软雅黑" w:eastAsia="微软雅黑" w:cs="微软雅黑"/>
          <w:b/>
          <w:bCs/>
          <w:color w:val="auto"/>
          <w:sz w:val="24"/>
        </w:rPr>
      </w:pPr>
      <w:bookmarkStart w:id="518" w:name="_Toc5436"/>
      <w:bookmarkStart w:id="519" w:name="_Toc8491"/>
      <w:bookmarkStart w:id="520" w:name="_Toc27943"/>
      <w:bookmarkStart w:id="521" w:name="_Toc14483"/>
      <w:bookmarkStart w:id="522" w:name="_Toc6829"/>
      <w:bookmarkStart w:id="523" w:name="_Toc16635"/>
      <w:bookmarkStart w:id="524" w:name="_Toc13107"/>
      <w:bookmarkStart w:id="525" w:name="_Toc16640"/>
      <w:bookmarkStart w:id="526" w:name="_Toc4082"/>
      <w:bookmarkStart w:id="527" w:name="_Toc515647807"/>
      <w:bookmarkStart w:id="528" w:name="_Toc21867"/>
      <w:bookmarkStart w:id="529" w:name="_Toc22472"/>
      <w:bookmarkStart w:id="530" w:name="_Toc1083"/>
      <w:bookmarkStart w:id="531" w:name="_Toc7748"/>
      <w:bookmarkStart w:id="532" w:name="_Toc4926"/>
      <w:r>
        <w:rPr>
          <w:rFonts w:hint="eastAsia" w:ascii="微软雅黑" w:hAnsi="微软雅黑" w:eastAsia="微软雅黑" w:cs="微软雅黑"/>
          <w:b/>
          <w:bCs/>
          <w:color w:val="auto"/>
          <w:sz w:val="24"/>
        </w:rPr>
        <w:br w:type="page"/>
      </w:r>
    </w:p>
    <w:p w14:paraId="7882B6BF">
      <w:pPr>
        <w:snapToGrid w:val="0"/>
        <w:spacing w:line="400" w:lineRule="exact"/>
        <w:ind w:left="1080" w:leftChars="257" w:hanging="540"/>
        <w:jc w:val="center"/>
        <w:textAlignment w:val="baseline"/>
        <w:rPr>
          <w:rFonts w:hint="eastAsia" w:ascii="微软雅黑" w:hAnsi="微软雅黑" w:eastAsia="微软雅黑" w:cs="微软雅黑"/>
          <w:b/>
          <w:bCs/>
          <w:color w:val="auto"/>
          <w:sz w:val="24"/>
          <w:u w:val="single" w:color="000000"/>
        </w:rPr>
      </w:pPr>
      <w:r>
        <w:rPr>
          <w:rFonts w:hint="eastAsia" w:ascii="微软雅黑" w:hAnsi="微软雅黑" w:eastAsia="微软雅黑" w:cs="微软雅黑"/>
          <w:b/>
          <w:bCs/>
          <w:color w:val="auto"/>
          <w:sz w:val="24"/>
        </w:rPr>
        <w:t>法定代表人授权委托书</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00D29A74">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bookmarkStart w:id="533" w:name="_Toc32520"/>
      <w:bookmarkStart w:id="534" w:name="_Toc515647808"/>
      <w:bookmarkStart w:id="535" w:name="_Toc7039"/>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14:paraId="7273A202">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本授权书于           年     月     日签字生效,特此声明。</w:t>
      </w:r>
    </w:p>
    <w:p w14:paraId="364ACEFB">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59264" behindDoc="0" locked="0" layoutInCell="1" allowOverlap="1">
                <wp:simplePos x="0" y="0"/>
                <wp:positionH relativeFrom="column">
                  <wp:posOffset>3039110</wp:posOffset>
                </wp:positionH>
                <wp:positionV relativeFrom="paragraph">
                  <wp:posOffset>111125</wp:posOffset>
                </wp:positionV>
                <wp:extent cx="2569845" cy="1387475"/>
                <wp:effectExtent l="7620" t="7620" r="13335" b="14605"/>
                <wp:wrapNone/>
                <wp:docPr id="1028" name="圆角矩形 15"/>
                <wp:cNvGraphicFramePr/>
                <a:graphic xmlns:a="http://schemas.openxmlformats.org/drawingml/2006/main">
                  <a:graphicData uri="http://schemas.microsoft.com/office/word/2010/wordprocessingShape">
                    <wps:wsp>
                      <wps:cNvSpPr/>
                      <wps:spPr>
                        <a:xfrm>
                          <a:off x="0" y="0"/>
                          <a:ext cx="256984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2CADDC7">
                            <w:pPr>
                              <w:rPr>
                                <w:rFonts w:hAnsi="宋体"/>
                              </w:rPr>
                            </w:pPr>
                          </w:p>
                          <w:p w14:paraId="5048C441">
                            <w:pPr>
                              <w:rPr>
                                <w:rFonts w:hAnsi="宋体"/>
                              </w:rPr>
                            </w:pPr>
                          </w:p>
                          <w:p w14:paraId="6FA1EEB1">
                            <w:pPr>
                              <w:rPr>
                                <w:rFonts w:hAnsi="宋体"/>
                              </w:rPr>
                            </w:pPr>
                          </w:p>
                          <w:p w14:paraId="6F0FFA43">
                            <w:pPr>
                              <w:jc w:val="center"/>
                              <w:rPr>
                                <w:rFonts w:hint="eastAsia" w:ascii="微软雅黑" w:hAnsi="微软雅黑" w:eastAsia="微软雅黑" w:cs="微软雅黑"/>
                              </w:rPr>
                            </w:pPr>
                            <w:r>
                              <w:rPr>
                                <w:rFonts w:hint="eastAsia" w:ascii="微软雅黑" w:hAnsi="微软雅黑" w:eastAsia="微软雅黑" w:cs="微软雅黑"/>
                              </w:rPr>
                              <w:t>授权委托人身份证复印件反面</w:t>
                            </w:r>
                          </w:p>
                          <w:p w14:paraId="44F869AD">
                            <w:pPr>
                              <w:jc w:val="center"/>
                              <w:rPr>
                                <w:rFonts w:hint="eastAsia" w:ascii="微软雅黑" w:hAnsi="微软雅黑" w:eastAsia="微软雅黑" w:cs="微软雅黑"/>
                              </w:rPr>
                            </w:pPr>
                          </w:p>
                        </w:txbxContent>
                      </wps:txbx>
                      <wps:bodyPr upright="1"/>
                    </wps:wsp>
                  </a:graphicData>
                </a:graphic>
              </wp:anchor>
            </w:drawing>
          </mc:Choice>
          <mc:Fallback>
            <w:pict>
              <v:roundrect id="圆角矩形 15" o:spid="_x0000_s1026" o:spt="2" style="position:absolute;left:0pt;margin-left:239.3pt;margin-top:8.75pt;height:109.25pt;width:202.35pt;z-index:251659264;mso-width-relative:page;mso-height-relative:page;" fillcolor="#FFFFFF" filled="t" stroked="t" coordsize="21600,21600" arcsize="0.166666666666667" o:gfxdata="UEsDBAoAAAAAAIdO4kAAAAAAAAAAAAAAAAAEAAAAZHJzL1BLAwQUAAAACACHTuJAIsJGhdsAAAAK&#10;AQAADwAAAGRycy9kb3ducmV2LnhtbE2PQU+DQBCF7yb+h82YeLO7LQoEWRpjoonGQ0u9eNvCCKTs&#10;LGG3pfjrnZ70OHlf3vsmX59tL044+s6RhuVCgUCqXN1Ro+Fz93KXgvDBUG16R6hhRg/r4voqN1nt&#10;JtriqQyN4BLymdHQhjBkUvqqRWv8wg1InH270ZrA59jIejQTl9terpSKpTUd8UJrBnxusTqUR6th&#10;+pkPrx8JRu9q+/ZU7pJ587XptL69WapHEAHP4Q+Giz6rQ8FOe3ek2otew32SxoxykDyAYCBNowjE&#10;XsMqihXIIpf/Xyh+AVBLAwQUAAAACACHTuJAASNBiC0CAABmBAAADgAAAGRycy9lMm9Eb2MueG1s&#10;rVRLrtMwFJ0jsQfLc5qkvLYhavoGlDJB8MSDBbi2kxj5J9tt0g2wAMZISEwQi2A5T7AMrt3Q94FB&#10;ByRSeh3fe3LOudddXg5Koj13Xhhd42KSY8Q1NUzotsbv322elBj5QDQj0mhe4wP3+HL1+NGytxWf&#10;ms5Ixh0CEO2r3ta4C8FWWeZpxxXxE2O5hs3GOEUCLF2bMUd6QFcym+b5POuNY9YZyr2Ht+vjJh4R&#10;3TmApmkE5WtDd4rrcER1XJIAknwnrMerxLZpOA1vmsbzgGSNQWlIT/gIxNv4zFZLUrWO2E7QkQI5&#10;h8IDTYoIDR89Qa1JIGjnxF9QSlBnvGnChBqVHYUkR0BFkT/w5rojlictYLW3J9P9/4Olr/dXDgkG&#10;k5BPofOaKOj5zeePv759+vnl+82Pr6iYRZd66ytIvrZXblx5CKPkoXEq/oIYNCRnDydn+RAQhZfT&#10;2fxZeTHDiMJe8bRcXCwSanZbbp0PL7lRKAY1dman2VvoX7KV7F/5kPxlI0XCPmDUKAnd2hOJivl8&#10;vog8AXFMhugPZqz0Rgq2EVKmhWu3z6VDUFrjTbrG4ntpUqMe+M5KYIsogWlvYMogVBYc87pN5O6V&#10;+LvIZR7vfyFHZmviuyODhBDTSJV0p6jjhL3QDIWDhZZoOIw4slGcYSQ5nN0YpcxAhDwnExyRGiyK&#10;vTx2L0Zh2A4AE8OtYQcYh511ou2gCUWiHndg/JK341GJ8313nUBv/x5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iwkaF2wAAAAoBAAAPAAAAAAAAAAEAIAAAACIAAABkcnMvZG93bnJldi54bWxQ&#10;SwECFAAUAAAACACHTuJAASNBiC0CAABmBAAADgAAAAAAAAABACAAAAAqAQAAZHJzL2Uyb0RvYy54&#10;bWxQSwUGAAAAAAYABgBZAQAAyQUAAAAA&#10;">
                <v:fill on="t" focussize="0,0"/>
                <v:stroke weight="1.25pt" color="#808080" joinstyle="round"/>
                <v:imagedata o:title=""/>
                <o:lock v:ext="edit" aspectratio="f"/>
                <v:textbox>
                  <w:txbxContent>
                    <w:p w14:paraId="22CADDC7">
                      <w:pPr>
                        <w:rPr>
                          <w:rFonts w:hAnsi="宋体"/>
                        </w:rPr>
                      </w:pPr>
                    </w:p>
                    <w:p w14:paraId="5048C441">
                      <w:pPr>
                        <w:rPr>
                          <w:rFonts w:hAnsi="宋体"/>
                        </w:rPr>
                      </w:pPr>
                    </w:p>
                    <w:p w14:paraId="6FA1EEB1">
                      <w:pPr>
                        <w:rPr>
                          <w:rFonts w:hAnsi="宋体"/>
                        </w:rPr>
                      </w:pPr>
                    </w:p>
                    <w:p w14:paraId="6F0FFA43">
                      <w:pPr>
                        <w:jc w:val="center"/>
                        <w:rPr>
                          <w:rFonts w:hint="eastAsia" w:ascii="微软雅黑" w:hAnsi="微软雅黑" w:eastAsia="微软雅黑" w:cs="微软雅黑"/>
                        </w:rPr>
                      </w:pPr>
                      <w:r>
                        <w:rPr>
                          <w:rFonts w:hint="eastAsia" w:ascii="微软雅黑" w:hAnsi="微软雅黑" w:eastAsia="微软雅黑" w:cs="微软雅黑"/>
                        </w:rPr>
                        <w:t>授权委托人身份证复印件反面</w:t>
                      </w:r>
                    </w:p>
                    <w:p w14:paraId="44F869AD">
                      <w:pPr>
                        <w:jc w:val="center"/>
                        <w:rPr>
                          <w:rFonts w:hint="eastAsia" w:ascii="微软雅黑" w:hAnsi="微软雅黑" w:eastAsia="微软雅黑" w:cs="微软雅黑"/>
                        </w:rPr>
                      </w:pPr>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0" distR="0" simplePos="0" relativeHeight="251659264" behindDoc="0" locked="0" layoutInCell="1" allowOverlap="1">
                <wp:simplePos x="0" y="0"/>
                <wp:positionH relativeFrom="column">
                  <wp:posOffset>258445</wp:posOffset>
                </wp:positionH>
                <wp:positionV relativeFrom="paragraph">
                  <wp:posOffset>135890</wp:posOffset>
                </wp:positionV>
                <wp:extent cx="2507615" cy="1405890"/>
                <wp:effectExtent l="4445" t="4445" r="21590" b="1841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D79CD39">
                            <w:pPr>
                              <w:jc w:val="center"/>
                              <w:rPr>
                                <w:rFonts w:hAnsi="宋体"/>
                              </w:rPr>
                            </w:pPr>
                          </w:p>
                          <w:p w14:paraId="339E5853">
                            <w:pPr>
                              <w:jc w:val="both"/>
                              <w:rPr>
                                <w:rFonts w:hint="eastAsia" w:ascii="微软雅黑" w:hAnsi="微软雅黑" w:eastAsia="微软雅黑" w:cs="微软雅黑"/>
                              </w:rPr>
                            </w:pPr>
                          </w:p>
                          <w:p w14:paraId="25727C91">
                            <w:pPr>
                              <w:jc w:val="center"/>
                              <w:rPr>
                                <w:rFonts w:hint="eastAsia" w:ascii="微软雅黑" w:hAnsi="微软雅黑" w:eastAsia="微软雅黑" w:cs="微软雅黑"/>
                              </w:rPr>
                            </w:pPr>
                            <w:r>
                              <w:rPr>
                                <w:rFonts w:hint="eastAsia" w:ascii="微软雅黑" w:hAnsi="微软雅黑" w:eastAsia="微软雅黑" w:cs="微软雅黑"/>
                              </w:rPr>
                              <w:t>授权委托人身份证复印件正面</w:t>
                            </w:r>
                          </w:p>
                        </w:txbxContent>
                      </wps:txbx>
                      <wps:bodyPr upright="1"/>
                    </wps:wsp>
                  </a:graphicData>
                </a:graphic>
              </wp:anchor>
            </w:drawing>
          </mc:Choice>
          <mc:Fallback>
            <w:pict>
              <v:shape id="流程图: 可选过程 19" o:spid="_x0000_s1026" o:spt="176" type="#_x0000_t176" style="position:absolute;left:0pt;margin-left:20.35pt;margin-top:10.7pt;height:110.7pt;width:197.45pt;z-index:251659264;mso-width-relative:page;mso-height-relative:page;" fillcolor="#FFFFFF" filled="t" stroked="t" coordsize="21600,21600" o:gfxdata="UEsDBAoAAAAAAIdO4kAAAAAAAAAAAAAAAAAEAAAAZHJzL1BLAwQUAAAACACHTuJAmF7DWdgAAAAJ&#10;AQAADwAAAGRycy9kb3ducmV2LnhtbE2PQU+EMBCF7yb+h2ZMvLktLLLIUjZGoycv4iZeC50FIp0S&#10;Wlj011tP7vHNe3nvm+KwmoEtOLnekoRoI4AhNVb31Eo4frzcZcCcV6TVYAklfKODQ3l9Vahc2zO9&#10;41L5loUScrmS0Hk/5py7pkOj3MaOSME72ckoH+TUcj2pcyg3A4+FSLlRPYWFTo341GHzVc1Gwvr2&#10;Uz/Mr1FT+S5Ld5/b5fnxyKW8vYnEHpjH1f+H4Q8/oEMZmGo7k3ZskJCIXUhKiKMEWPCT7X0KrA6H&#10;JM6AlwW//KD8BVBLAwQUAAAACACHTuJAbjjyqS4CAABUBAAADgAAAGRycy9lMm9Eb2MueG1srVTL&#10;jtMwFN0j8Q+W9zRJRYdp1HSEppQNgkoDH3DrOI0lv2S7TbqDFUIs+AB+gB0rtvA1w+MvuHZK5wGL&#10;WZBFcv24x+ece53ZWa8k2XHnhdEVLUY5JVwzUwu9qeirl8sHp5T4ALoGaTSv6J57eja/f2/W2ZKP&#10;TWtkzR1BEO3Lzla0DcGWWeZZyxX4kbFc42JjnIKAQ7fJagcdoiuZjfP8JOuMq60zjHuPs4thkR4Q&#10;3V0ATdMIxheGbRXXYUB1XEJASb4V1tN5Yts0nIUXTeN5ILKiqDSkNx6C8Tq+s/kMyo0D2wp2oAB3&#10;oXBLkwKh8dAj1AICkK0Tf0EpwZzxpgkjZlQ2CEmOoIoiv+XNRQuWJy1otbdH0/3/g2XPdytHRI2d&#10;kI+nlGhQWPPvX978+PT+8uPXklx++Pzr9buf397iBCmm0bDO+hLzLuzKHUYew6i+b5yKX9RF+mTy&#10;/mgy7wNhODme5I9OigklDNeKh/nkdJrKkF2lW+fDU24UiUFFG2m68xZceCwDdxoCXw3tkxyH3TMf&#10;kAfm/8mLFLyRol4KKdPAbdbn0pEdYBss0xOFYMqNbVKTrqLTyTiyA+ztBnsKQ2XRH6836bwbGf46&#10;cJ6efwFHYgvw7UAgIcRtUCqBilLUcqif6JqEvcUCaLx6NJJRvKZEcrypMUo7Awh5l52oTmoUGcs1&#10;FChGoV/3CBPDtan3WPytdWLTos9Foh5XsNmSO4eLEbv5+jiBXv0M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F7DWdgAAAAJAQAADwAAAAAAAAABACAAAAAiAAAAZHJzL2Rvd25yZXYueG1sUEsB&#10;AhQAFAAAAAgAh07iQG448qkuAgAAVAQAAA4AAAAAAAAAAQAgAAAAJwEAAGRycy9lMm9Eb2MueG1s&#10;UEsFBgAAAAAGAAYAWQEAAMcFAAAAAA==&#10;">
                <v:fill on="t" focussize="0,0"/>
                <v:stroke color="#000000" joinstyle="miter"/>
                <v:imagedata o:title=""/>
                <o:lock v:ext="edit" aspectratio="f"/>
                <v:textbox>
                  <w:txbxContent>
                    <w:p w14:paraId="7D79CD39">
                      <w:pPr>
                        <w:jc w:val="center"/>
                        <w:rPr>
                          <w:rFonts w:hAnsi="宋体"/>
                        </w:rPr>
                      </w:pPr>
                    </w:p>
                    <w:p w14:paraId="339E5853">
                      <w:pPr>
                        <w:jc w:val="both"/>
                        <w:rPr>
                          <w:rFonts w:hint="eastAsia" w:ascii="微软雅黑" w:hAnsi="微软雅黑" w:eastAsia="微软雅黑" w:cs="微软雅黑"/>
                        </w:rPr>
                      </w:pPr>
                    </w:p>
                    <w:p w14:paraId="25727C91">
                      <w:pPr>
                        <w:jc w:val="center"/>
                        <w:rPr>
                          <w:rFonts w:hint="eastAsia" w:ascii="微软雅黑" w:hAnsi="微软雅黑" w:eastAsia="微软雅黑" w:cs="微软雅黑"/>
                        </w:rPr>
                      </w:pPr>
                      <w:r>
                        <w:rPr>
                          <w:rFonts w:hint="eastAsia" w:ascii="微软雅黑" w:hAnsi="微软雅黑" w:eastAsia="微软雅黑" w:cs="微软雅黑"/>
                        </w:rPr>
                        <w:t>授权委托人身份证复印件正面</w:t>
                      </w:r>
                    </w:p>
                  </w:txbxContent>
                </v:textbox>
              </v:shape>
            </w:pict>
          </mc:Fallback>
        </mc:AlternateContent>
      </w:r>
    </w:p>
    <w:p w14:paraId="73E73C68">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p>
    <w:p w14:paraId="574FA64C">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57C97A73">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56153B85">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44D9C471">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1016602E">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5CA157BA">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59264" behindDoc="0" locked="0" layoutInCell="1" allowOverlap="1">
                <wp:simplePos x="0" y="0"/>
                <wp:positionH relativeFrom="column">
                  <wp:posOffset>253365</wp:posOffset>
                </wp:positionH>
                <wp:positionV relativeFrom="paragraph">
                  <wp:posOffset>235585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FA7B5E6">
                            <w:pPr>
                              <w:jc w:val="center"/>
                              <w:rPr>
                                <w:rFonts w:hAnsi="宋体"/>
                              </w:rPr>
                            </w:pPr>
                          </w:p>
                          <w:p w14:paraId="18C2E0D1">
                            <w:pPr>
                              <w:jc w:val="center"/>
                              <w:rPr>
                                <w:rFonts w:hAnsi="宋体"/>
                              </w:rPr>
                            </w:pPr>
                          </w:p>
                          <w:p w14:paraId="372CDD99">
                            <w:pPr>
                              <w:jc w:val="center"/>
                              <w:rPr>
                                <w:rFonts w:hAnsi="宋体"/>
                              </w:rPr>
                            </w:pPr>
                          </w:p>
                          <w:p w14:paraId="60655A7C">
                            <w:pPr>
                              <w:jc w:val="center"/>
                              <w:rPr>
                                <w:rFonts w:hint="eastAsia" w:ascii="微软雅黑" w:hAnsi="微软雅黑" w:eastAsia="微软雅黑" w:cs="微软雅黑"/>
                              </w:rPr>
                            </w:pPr>
                            <w:r>
                              <w:rPr>
                                <w:rFonts w:hint="eastAsia" w:ascii="微软雅黑" w:hAnsi="微软雅黑" w:eastAsia="微软雅黑" w:cs="微软雅黑"/>
                              </w:rPr>
                              <w:t>法人身份证复印件正面</w:t>
                            </w:r>
                          </w:p>
                          <w:p w14:paraId="15608B9C"/>
                        </w:txbxContent>
                      </wps:txbx>
                      <wps:bodyPr upright="1"/>
                    </wps:wsp>
                  </a:graphicData>
                </a:graphic>
              </wp:anchor>
            </w:drawing>
          </mc:Choice>
          <mc:Fallback>
            <w:pict>
              <v:roundrect id="圆角矩形 16" o:spid="_x0000_s1026" o:spt="2" style="position:absolute;left:0pt;margin-left:19.95pt;margin-top:18.55pt;height:110.95pt;width:201.2pt;z-index:251659264;mso-width-relative:page;mso-height-relative:page;" fillcolor="#FFFFFF" filled="t" stroked="t" coordsize="21600,21600" arcsize="0.166666666666667" o:gfxdata="UEsDBAoAAAAAAIdO4kAAAAAAAAAAAAAAAAAEAAAAZHJzL1BLAwQUAAAACACHTuJAT+726tsAAAAJ&#10;AQAADwAAAGRycy9kb3ducmV2LnhtbE2PwU7DMBBE70j8g7VI3KidpBCSxqkQEkggDm3KpTc3XpKo&#10;sR3FbtPw9SwnOI1WM5p5W6wvpmdnHH3nrIRoIYChrZ3ubCPhc/dy9wjMB2W16p1FCTN6WJfXV4XK&#10;tZvsFs9VaBiVWJ8rCW0IQ865r1s0yi/cgJa8LzcaFegcG65HNVG56XksxAM3qrO00KoBn1usj9XJ&#10;SJi+5+PrR4rJu9i+PVW7dN7sN52UtzeRWAELeAl/YfjFJ3QoiengTlZ71ktIsoySpGkEjPzlMk6A&#10;HSTE95kAXhb8/wflD1BLAwQUAAAACACHTuJAMJ9qKCsCAABmBAAADgAAAGRycy9lMm9Eb2MueG1s&#10;rVTLjtMwFN0j8Q+W90zSMumUqOksKGWDYMTAB7h+JEZ+yXab9Af4ANZISGwQH8HnjOAzuHZD5wGL&#10;Lkik9Dq+9+Scc6+7uBy0Qjvug7SmwZOzEiNuqGXStA1+/279ZI5RiMQwoqzhDd7zgC+Xjx8telfz&#10;qe2sYtwjADGh7l2DuxhdXRSBdlyTcGYdN7AprNckwtK3BfOkB3StimlZzoreeua8pTwEeLs6bOIR&#10;0Z8CaIWQlK8s3Wpu4gHVc0UiSAqddAEvM1shOI1vhAg8ItVgUBrzEz4C8SY9i+WC1K0nrpN0pEBO&#10;ofBAkybSwEePUCsSCdp6+ReUltTbYEU8o1YXByHZEVAxKR94c90Rx7MWsDq4o+nh/8HS17srjySD&#10;SSifgimGaOj5zeePv759+vnl+82Pr2gySy71LtSQfO2u/LgKECbJg/A6/YIYNGRn90dn+RARhZfT&#10;qqqm54BPYW9yXj4rZ1VCLW7LnQ/xJbcapaDB3m4Newv9y7aS3asQs79spEjYB4yEVtCtHVFAcja7&#10;GBHHZMD+g5kqg1WSraVSeeHbzXPlEZQ2eJ2vsfhemjKoB77V/KIC6gSmXcCUQagdOBZMm8ndKwl3&#10;kedluv+FnJitSOgODDJCSiN11p2jjhP2wjAU9w5aYuAw4sRGc4aR4nB2U5QzI5HqlExwRBkwPfXy&#10;0L0UxWEzAEwKN5btYRy2zsu2gyZMMvW0A+OXuzUelTTfd9cZ9PbvY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726tsAAAAJAQAADwAAAAAAAAABACAAAAAiAAAAZHJzL2Rvd25yZXYueG1sUEsB&#10;AhQAFAAAAAgAh07iQDCfaigrAgAAZgQAAA4AAAAAAAAAAQAgAAAAKgEAAGRycy9lMm9Eb2MueG1s&#10;UEsFBgAAAAAGAAYAWQEAAMcFAAAAAA==&#10;">
                <v:fill on="t" focussize="0,0"/>
                <v:stroke weight="1.25pt" color="#808080" joinstyle="round"/>
                <v:imagedata o:title=""/>
                <o:lock v:ext="edit" aspectratio="f"/>
                <v:textbox>
                  <w:txbxContent>
                    <w:p w14:paraId="5FA7B5E6">
                      <w:pPr>
                        <w:jc w:val="center"/>
                        <w:rPr>
                          <w:rFonts w:hAnsi="宋体"/>
                        </w:rPr>
                      </w:pPr>
                    </w:p>
                    <w:p w14:paraId="18C2E0D1">
                      <w:pPr>
                        <w:jc w:val="center"/>
                        <w:rPr>
                          <w:rFonts w:hAnsi="宋体"/>
                        </w:rPr>
                      </w:pPr>
                    </w:p>
                    <w:p w14:paraId="372CDD99">
                      <w:pPr>
                        <w:jc w:val="center"/>
                        <w:rPr>
                          <w:rFonts w:hAnsi="宋体"/>
                        </w:rPr>
                      </w:pPr>
                    </w:p>
                    <w:p w14:paraId="60655A7C">
                      <w:pPr>
                        <w:jc w:val="center"/>
                        <w:rPr>
                          <w:rFonts w:hint="eastAsia" w:ascii="微软雅黑" w:hAnsi="微软雅黑" w:eastAsia="微软雅黑" w:cs="微软雅黑"/>
                        </w:rPr>
                      </w:pPr>
                      <w:r>
                        <w:rPr>
                          <w:rFonts w:hint="eastAsia" w:ascii="微软雅黑" w:hAnsi="微软雅黑" w:eastAsia="微软雅黑" w:cs="微软雅黑"/>
                        </w:rPr>
                        <w:t>法人身份证复印件正面</w:t>
                      </w:r>
                    </w:p>
                    <w:p w14:paraId="15608B9C"/>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0" distR="0" simplePos="0" relativeHeight="251659264" behindDoc="0" locked="0" layoutInCell="1" allowOverlap="1">
                <wp:simplePos x="0" y="0"/>
                <wp:positionH relativeFrom="column">
                  <wp:posOffset>3118485</wp:posOffset>
                </wp:positionH>
                <wp:positionV relativeFrom="paragraph">
                  <wp:posOffset>246380</wp:posOffset>
                </wp:positionV>
                <wp:extent cx="2535555" cy="1400175"/>
                <wp:effectExtent l="8255" t="7620" r="8890" b="14605"/>
                <wp:wrapNone/>
                <wp:docPr id="1031" name="圆角矩形 13"/>
                <wp:cNvGraphicFramePr/>
                <a:graphic xmlns:a="http://schemas.openxmlformats.org/drawingml/2006/main">
                  <a:graphicData uri="http://schemas.microsoft.com/office/word/2010/wordprocessingShape">
                    <wps:wsp>
                      <wps:cNvSpPr/>
                      <wps:spPr>
                        <a:xfrm>
                          <a:off x="0" y="0"/>
                          <a:ext cx="2535554" cy="14001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5B8C371">
                            <w:pPr>
                              <w:jc w:val="center"/>
                              <w:rPr>
                                <w:rFonts w:hAnsi="宋体"/>
                              </w:rPr>
                            </w:pPr>
                            <w:r>
                              <w:rPr>
                                <w:rFonts w:hint="eastAsia" w:hAnsi="宋体"/>
                              </w:rPr>
                              <w:t xml:space="preserve">  </w:t>
                            </w:r>
                          </w:p>
                          <w:p w14:paraId="6F6A47F8">
                            <w:pPr>
                              <w:jc w:val="center"/>
                              <w:rPr>
                                <w:rFonts w:hAnsi="宋体"/>
                              </w:rPr>
                            </w:pPr>
                          </w:p>
                          <w:p w14:paraId="1205E154">
                            <w:pPr>
                              <w:jc w:val="center"/>
                              <w:rPr>
                                <w:rFonts w:hint="eastAsia" w:ascii="微软雅黑" w:hAnsi="微软雅黑" w:eastAsia="微软雅黑" w:cs="微软雅黑"/>
                              </w:rPr>
                            </w:pPr>
                            <w:r>
                              <w:rPr>
                                <w:rFonts w:hint="eastAsia" w:ascii="微软雅黑" w:hAnsi="微软雅黑" w:eastAsia="微软雅黑" w:cs="微软雅黑"/>
                              </w:rPr>
                              <w:t>法人身份证复印件反面</w:t>
                            </w:r>
                          </w:p>
                          <w:p w14:paraId="75E93C21"/>
                        </w:txbxContent>
                      </wps:txbx>
                      <wps:bodyPr upright="1"/>
                    </wps:wsp>
                  </a:graphicData>
                </a:graphic>
              </wp:anchor>
            </w:drawing>
          </mc:Choice>
          <mc:Fallback>
            <w:pict>
              <v:roundrect id="圆角矩形 13" o:spid="_x0000_s1026" o:spt="2" style="position:absolute;left:0pt;margin-left:245.55pt;margin-top:19.4pt;height:110.25pt;width:199.65pt;z-index:251659264;mso-width-relative:page;mso-height-relative:page;" fillcolor="#FFFFFF" filled="t" stroked="t" coordsize="21600,21600" arcsize="0.166666666666667" o:gfxdata="UEsDBAoAAAAAAIdO4kAAAAAAAAAAAAAAAAAEAAAAZHJzL1BLAwQUAAAACACHTuJAN0LXhdwAAAAK&#10;AQAADwAAAGRycy9kb3ducmV2LnhtbE2PwU7DMBBE70j8g7VI3KidptAkjVMhJJBAPbQpl97ceEmi&#10;xusodpuGr8ec4Ljap5k3+fpqOnbBwbWWJEQzAQypsrqlWsLn/vUhAea8Iq06SyhhQgfr4vYmV5m2&#10;I+3wUvqahRBymZLQeN9nnLuqQaPczPZI4fdlB6N8OIea60GNIdx0fC7EEzeqpdDQqB5fGqxO5dlI&#10;GL+n09tmifGH2L0/l/vltD1sWynv7yKxAubx6v9g+NUP6lAEp6M9k3ask7BIoyigEuIkTAhAkooF&#10;sKOE+WMaAy9y/n9C8QNQSwMEFAAAAAgAh07iQPBY5oYsAgAAZgQAAA4AAABkcnMvZTJvRG9jLnht&#10;bK1UTY7TMBTeI3EHy3uapJ10qqjpLChlg2DEwAFc20mM/CfbbdILcADWSEhsEIfgOCM4Bs9u6PzA&#10;ogsSKX2O3/vyfd977vJqUBLtufPC6BoXkxwjrqlhQrc1fv9u82yBkQ9EMyKN5jU+cI+vVk+fLHtb&#10;8anpjGTcIQDRvuptjbsQbJVlnnZcET8xlmvYbIxTJMDStRlzpAd0JbNpns+z3jhmnaHce3i7Pm7i&#10;EdGdA2iaRlC+NnSnuA5HVMclCSDJd8J6vEpsm4bT8KZpPA9I1hiUhvSEj0C8jc9stSRV64jtBB0p&#10;kHMoPNKkiNDw0RPUmgSCdk78BaUEdcabJkyoUdlRSHIEVBT5I29uOmJ50gJWe3sy3f8/WPp6f+2Q&#10;YDAJ+azASBMFPb/9/PHXt08/v3y//fEVFbPoUm99Bck39tqNKw9hlDw0TsVfEIOG5Ozh5CwfAqLw&#10;clrOyrK8wIjCXnGR58VlGVGzu3LrfHjJjUIxqLEzO83eQv+SrWT/yofkLxspEvYBo0ZJ6NaeSFTM&#10;5/PLEXFMBuw/mLHSGynYRkiZFq7dPpcOQWmNN+kaix+kSY164FsugC2iBKa9gSmDUFlwzOs2kXtQ&#10;4u8jL/J4/ws5MlsT3x0ZJISYRqqkO0UdJ+yFZigcLLREw2HEkY3iDCPJ4ezGKGUGIuQ5meCI1GB6&#10;7OWxezEKw3YAmBhuDTvAOOysE20HTSgS9bgD45e6NR6VON/31wn07u9h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3QteF3AAAAAoBAAAPAAAAAAAAAAEAIAAAACIAAABkcnMvZG93bnJldi54bWxQ&#10;SwECFAAUAAAACACHTuJA8FjmhiwCAABmBAAADgAAAAAAAAABACAAAAArAQAAZHJzL2Uyb0RvYy54&#10;bWxQSwUGAAAAAAYABgBZAQAAyQUAAAAA&#10;">
                <v:fill on="t" focussize="0,0"/>
                <v:stroke weight="1.25pt" color="#808080" joinstyle="round"/>
                <v:imagedata o:title=""/>
                <o:lock v:ext="edit" aspectratio="f"/>
                <v:textbox>
                  <w:txbxContent>
                    <w:p w14:paraId="35B8C371">
                      <w:pPr>
                        <w:jc w:val="center"/>
                        <w:rPr>
                          <w:rFonts w:hAnsi="宋体"/>
                        </w:rPr>
                      </w:pPr>
                      <w:r>
                        <w:rPr>
                          <w:rFonts w:hint="eastAsia" w:hAnsi="宋体"/>
                        </w:rPr>
                        <w:t xml:space="preserve">  </w:t>
                      </w:r>
                    </w:p>
                    <w:p w14:paraId="6F6A47F8">
                      <w:pPr>
                        <w:jc w:val="center"/>
                        <w:rPr>
                          <w:rFonts w:hAnsi="宋体"/>
                        </w:rPr>
                      </w:pPr>
                    </w:p>
                    <w:p w14:paraId="1205E154">
                      <w:pPr>
                        <w:jc w:val="center"/>
                        <w:rPr>
                          <w:rFonts w:hint="eastAsia" w:ascii="微软雅黑" w:hAnsi="微软雅黑" w:eastAsia="微软雅黑" w:cs="微软雅黑"/>
                        </w:rPr>
                      </w:pPr>
                      <w:r>
                        <w:rPr>
                          <w:rFonts w:hint="eastAsia" w:ascii="微软雅黑" w:hAnsi="微软雅黑" w:eastAsia="微软雅黑" w:cs="微软雅黑"/>
                        </w:rPr>
                        <w:t>法人身份证复印件反面</w:t>
                      </w:r>
                    </w:p>
                    <w:p w14:paraId="75E93C21"/>
                  </w:txbxContent>
                </v:textbox>
              </v:roundrect>
            </w:pict>
          </mc:Fallback>
        </mc:AlternateContent>
      </w:r>
    </w:p>
    <w:p w14:paraId="44990D82">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40241BED">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2963D58C">
      <w:pPr>
        <w:pStyle w:val="18"/>
        <w:tabs>
          <w:tab w:val="left" w:pos="5580"/>
        </w:tabs>
        <w:snapToGrid w:val="0"/>
        <w:spacing w:line="400" w:lineRule="exact"/>
        <w:textAlignment w:val="baseline"/>
        <w:rPr>
          <w:rFonts w:hint="eastAsia" w:ascii="微软雅黑" w:hAnsi="微软雅黑" w:eastAsia="微软雅黑" w:cs="微软雅黑"/>
          <w:color w:val="auto"/>
          <w:sz w:val="24"/>
          <w:szCs w:val="24"/>
        </w:rPr>
      </w:pPr>
    </w:p>
    <w:p w14:paraId="66ECC0FD">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供应商（盖单位章）;               </w:t>
      </w:r>
    </w:p>
    <w:p w14:paraId="2ADAA9B3">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p>
    <w:p w14:paraId="27F34E30">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71A3FAFC">
      <w:pPr>
        <w:pStyle w:val="18"/>
        <w:tabs>
          <w:tab w:val="left" w:pos="5370"/>
        </w:tabs>
        <w:snapToGrid w:val="0"/>
        <w:spacing w:line="400" w:lineRule="exact"/>
        <w:ind w:firstLine="480" w:firstLineChars="20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p>
    <w:p w14:paraId="573B14E8">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法定代表人（签/章）：                     </w:t>
      </w:r>
    </w:p>
    <w:p w14:paraId="14FE0D88">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14:paraId="49EB48D4">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委托代理人（签/章）：                                   </w:t>
      </w:r>
    </w:p>
    <w:p w14:paraId="36A548AC">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14:paraId="3C100432">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详细通讯地址：                                 </w:t>
      </w:r>
    </w:p>
    <w:p w14:paraId="747A1DF5">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邮 政 编 码 ：                                 </w:t>
      </w:r>
    </w:p>
    <w:p w14:paraId="33D4C324">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传　　　　真：                                 </w:t>
      </w:r>
    </w:p>
    <w:p w14:paraId="4605C4BD">
      <w:pPr>
        <w:pStyle w:val="18"/>
        <w:tabs>
          <w:tab w:val="left" w:pos="5580"/>
        </w:tabs>
        <w:snapToGrid w:val="0"/>
        <w:spacing w:line="400" w:lineRule="exac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电　　　　话：                                 </w:t>
      </w:r>
      <w:bookmarkEnd w:id="533"/>
      <w:bookmarkEnd w:id="534"/>
      <w:bookmarkEnd w:id="535"/>
    </w:p>
    <w:p w14:paraId="5804B211">
      <w:pPr>
        <w:pStyle w:val="18"/>
        <w:tabs>
          <w:tab w:val="left" w:pos="5580"/>
        </w:tabs>
        <w:snapToGrid w:val="0"/>
        <w:spacing w:line="240" w:lineRule="atLeast"/>
        <w:textAlignment w:val="baseline"/>
        <w:rPr>
          <w:rFonts w:hint="eastAsia" w:ascii="微软雅黑" w:hAnsi="微软雅黑" w:eastAsia="微软雅黑" w:cs="微软雅黑"/>
          <w:color w:val="auto"/>
          <w:sz w:val="24"/>
          <w:szCs w:val="24"/>
        </w:rPr>
      </w:pPr>
    </w:p>
    <w:p w14:paraId="127812A8">
      <w:pPr>
        <w:pStyle w:val="18"/>
        <w:tabs>
          <w:tab w:val="left" w:pos="5580"/>
        </w:tabs>
        <w:snapToGrid w:val="0"/>
        <w:spacing w:line="240" w:lineRule="atLeast"/>
        <w:ind w:firstLine="480" w:firstLineChars="200"/>
        <w:textAlignment w:val="baseline"/>
        <w:rPr>
          <w:rFonts w:hint="eastAsia" w:ascii="微软雅黑" w:hAnsi="微软雅黑" w:eastAsia="微软雅黑" w:cs="微软雅黑"/>
          <w:b w:val="0"/>
          <w:bCs w:val="0"/>
          <w:color w:val="auto"/>
          <w:sz w:val="24"/>
          <w:szCs w:val="24"/>
          <w:highlight w:val="none"/>
          <w:lang w:val="en-US" w:eastAsia="zh-CN"/>
        </w:rPr>
      </w:pPr>
    </w:p>
    <w:p w14:paraId="5059779C">
      <w:pPr>
        <w:pStyle w:val="18"/>
        <w:tabs>
          <w:tab w:val="left" w:pos="5580"/>
        </w:tabs>
        <w:snapToGrid w:val="0"/>
        <w:spacing w:line="240" w:lineRule="atLeast"/>
        <w:ind w:firstLine="480" w:firstLineChars="20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b w:val="0"/>
          <w:bCs w:val="0"/>
          <w:color w:val="auto"/>
          <w:sz w:val="24"/>
          <w:szCs w:val="24"/>
          <w:highlight w:val="none"/>
          <w:lang w:val="en-US" w:eastAsia="zh-CN"/>
        </w:rPr>
        <w:t>注：身份证印有国徽的一面是正面，人像的一面为反面</w:t>
      </w:r>
    </w:p>
    <w:p w14:paraId="63C51F59">
      <w:pPr>
        <w:rPr>
          <w:rFonts w:hint="eastAsia" w:ascii="微软雅黑" w:hAnsi="微软雅黑" w:eastAsia="微软雅黑" w:cs="微软雅黑"/>
          <w:color w:val="auto"/>
        </w:rPr>
      </w:pPr>
    </w:p>
    <w:p w14:paraId="03300F6F">
      <w:pPr>
        <w:rPr>
          <w:rFonts w:hint="eastAsia" w:ascii="微软雅黑" w:hAnsi="微软雅黑" w:eastAsia="微软雅黑" w:cs="微软雅黑"/>
          <w:color w:val="auto"/>
        </w:rPr>
      </w:pPr>
    </w:p>
    <w:p w14:paraId="39ACFF91">
      <w:pPr>
        <w:rPr>
          <w:rFonts w:hint="eastAsia" w:ascii="微软雅黑" w:hAnsi="微软雅黑" w:eastAsia="微软雅黑" w:cs="微软雅黑"/>
          <w:color w:val="auto"/>
        </w:rPr>
      </w:pPr>
    </w:p>
    <w:p w14:paraId="2D7FB9AC">
      <w:pPr>
        <w:rPr>
          <w:rFonts w:hint="eastAsia" w:ascii="微软雅黑" w:hAnsi="微软雅黑" w:eastAsia="微软雅黑" w:cs="微软雅黑"/>
          <w:b/>
          <w:color w:val="auto"/>
          <w:kern w:val="0"/>
          <w:lang w:val="en-US" w:eastAsia="zh-CN"/>
        </w:rPr>
      </w:pPr>
      <w:r>
        <w:rPr>
          <w:rFonts w:hint="eastAsia" w:ascii="微软雅黑" w:hAnsi="微软雅黑" w:eastAsia="微软雅黑" w:cs="微软雅黑"/>
          <w:b/>
          <w:color w:val="auto"/>
          <w:kern w:val="0"/>
          <w:lang w:val="en-US" w:eastAsia="zh-CN"/>
        </w:rPr>
        <w:br w:type="page"/>
      </w:r>
    </w:p>
    <w:p w14:paraId="42C4EBBD">
      <w:pPr>
        <w:pStyle w:val="35"/>
        <w:snapToGrid w:val="0"/>
        <w:ind w:firstLine="480"/>
        <w:textAlignment w:val="baseline"/>
        <w:outlineLvl w:val="2"/>
        <w:rPr>
          <w:rFonts w:hint="eastAsia" w:ascii="微软雅黑" w:hAnsi="微软雅黑" w:eastAsia="微软雅黑" w:cs="微软雅黑"/>
          <w:b/>
          <w:color w:val="auto"/>
          <w:kern w:val="0"/>
        </w:rPr>
      </w:pPr>
      <w:bookmarkStart w:id="536" w:name="_Toc547"/>
      <w:r>
        <w:rPr>
          <w:rFonts w:hint="eastAsia" w:ascii="微软雅黑" w:hAnsi="微软雅黑" w:eastAsia="微软雅黑" w:cs="微软雅黑"/>
          <w:b/>
          <w:color w:val="auto"/>
          <w:kern w:val="0"/>
          <w:lang w:val="en-US" w:eastAsia="zh-CN"/>
        </w:rPr>
        <w:t>③</w:t>
      </w:r>
      <w:r>
        <w:rPr>
          <w:rFonts w:hint="eastAsia" w:ascii="微软雅黑" w:hAnsi="微软雅黑" w:eastAsia="微软雅黑" w:cs="微软雅黑"/>
          <w:b/>
          <w:color w:val="auto"/>
          <w:kern w:val="0"/>
          <w:lang w:eastAsia="zh-CN"/>
        </w:rPr>
        <w:t>本单位依法缴纳的近3个月内任意1个月的社会保险的凭据；</w:t>
      </w:r>
      <w:bookmarkEnd w:id="536"/>
    </w:p>
    <w:p w14:paraId="271B4C2E">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说明：1、社保证明可含：社保缴费凭证或社保缴费证明或社保缴费汇总单或依法缴纳社保的完税证明。</w:t>
      </w:r>
    </w:p>
    <w:p w14:paraId="2959BD91">
      <w:pPr>
        <w:pStyle w:val="18"/>
        <w:numPr>
          <w:ilvl w:val="0"/>
          <w:numId w:val="0"/>
        </w:numPr>
        <w:tabs>
          <w:tab w:val="left" w:pos="5580"/>
        </w:tabs>
        <w:snapToGrid w:val="0"/>
        <w:spacing w:line="240" w:lineRule="atLeast"/>
        <w:ind w:firstLine="720" w:firstLineChars="3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2、近3个月是指本项目响应文件递交及开启截止时间前3个月。</w:t>
      </w:r>
    </w:p>
    <w:p w14:paraId="023E3D8A">
      <w:pPr>
        <w:pStyle w:val="35"/>
        <w:snapToGrid w:val="0"/>
        <w:ind w:left="0" w:leftChars="0" w:firstLine="0" w:firstLineChars="0"/>
        <w:textAlignment w:val="baseline"/>
        <w:rPr>
          <w:rFonts w:hint="eastAsia" w:ascii="微软雅黑" w:hAnsi="微软雅黑" w:eastAsia="微软雅黑" w:cs="微软雅黑"/>
          <w:b/>
          <w:color w:val="auto"/>
          <w:kern w:val="0"/>
          <w:sz w:val="21"/>
        </w:rPr>
      </w:pPr>
    </w:p>
    <w:p w14:paraId="75278942">
      <w:pPr>
        <w:pStyle w:val="18"/>
        <w:numPr>
          <w:ilvl w:val="0"/>
          <w:numId w:val="0"/>
        </w:numPr>
        <w:tabs>
          <w:tab w:val="left" w:pos="5580"/>
        </w:tabs>
        <w:snapToGrid w:val="0"/>
        <w:spacing w:line="240" w:lineRule="atLeast"/>
        <w:ind w:firstLine="480" w:firstLineChars="200"/>
        <w:textAlignment w:val="baseline"/>
        <w:outlineLvl w:val="2"/>
        <w:rPr>
          <w:rFonts w:hint="eastAsia" w:ascii="微软雅黑" w:hAnsi="微软雅黑" w:eastAsia="微软雅黑" w:cs="微软雅黑"/>
          <w:b/>
          <w:color w:val="auto"/>
          <w:kern w:val="0"/>
          <w:sz w:val="24"/>
          <w:szCs w:val="24"/>
          <w:lang w:val="en-US" w:eastAsia="zh-CN" w:bidi="ar-SA"/>
        </w:rPr>
      </w:pPr>
      <w:bookmarkStart w:id="537" w:name="_Toc18854"/>
      <w:r>
        <w:rPr>
          <w:rFonts w:hint="eastAsia" w:ascii="微软雅黑" w:hAnsi="微软雅黑" w:eastAsia="微软雅黑" w:cs="微软雅黑"/>
          <w:b/>
          <w:color w:val="auto"/>
          <w:kern w:val="0"/>
          <w:sz w:val="24"/>
          <w:szCs w:val="24"/>
          <w:lang w:val="en-US" w:eastAsia="zh-CN" w:bidi="ar-SA"/>
        </w:rPr>
        <w:t>④税务部门出具的近3个月内任意1个月的完税证明（依法免缴的应提供依法免缴的相关证明文件或零申报报表）；</w:t>
      </w:r>
      <w:bookmarkEnd w:id="537"/>
    </w:p>
    <w:p w14:paraId="32608932">
      <w:pPr>
        <w:pStyle w:val="18"/>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说明：1、新成立公司若无纳税记录，可开具无欠税证明或零申报报表。</w:t>
      </w:r>
    </w:p>
    <w:p w14:paraId="758D7FFA">
      <w:pPr>
        <w:pStyle w:val="18"/>
        <w:numPr>
          <w:ilvl w:val="0"/>
          <w:numId w:val="0"/>
        </w:numPr>
        <w:tabs>
          <w:tab w:val="left" w:pos="5580"/>
        </w:tabs>
        <w:snapToGrid w:val="0"/>
        <w:spacing w:line="240" w:lineRule="atLeast"/>
        <w:ind w:firstLine="960" w:firstLineChars="400"/>
        <w:textAlignment w:val="baseline"/>
        <w:rPr>
          <w:rFonts w:hint="eastAsia" w:ascii="微软雅黑" w:hAnsi="微软雅黑" w:eastAsia="微软雅黑" w:cs="微软雅黑"/>
          <w:b/>
          <w:color w:val="auto"/>
          <w:kern w:val="0"/>
          <w:sz w:val="24"/>
          <w:szCs w:val="24"/>
        </w:rPr>
      </w:pPr>
      <w:r>
        <w:rPr>
          <w:rFonts w:hint="eastAsia" w:ascii="微软雅黑" w:hAnsi="微软雅黑" w:eastAsia="微软雅黑" w:cs="微软雅黑"/>
          <w:b w:val="0"/>
          <w:bCs/>
          <w:color w:val="auto"/>
          <w:kern w:val="0"/>
          <w:sz w:val="24"/>
          <w:lang w:val="en-US" w:eastAsia="zh-CN"/>
        </w:rPr>
        <w:t>2、完税证明中“税种”非养老保险、医疗保险、失业保险、工伤保险和生育保险。</w:t>
      </w:r>
    </w:p>
    <w:p w14:paraId="35D3C599">
      <w:pPr>
        <w:pStyle w:val="18"/>
        <w:tabs>
          <w:tab w:val="left" w:pos="5580"/>
        </w:tabs>
        <w:snapToGrid w:val="0"/>
        <w:spacing w:line="240" w:lineRule="atLeast"/>
        <w:textAlignment w:val="baseline"/>
        <w:rPr>
          <w:rFonts w:hint="eastAsia" w:ascii="微软雅黑" w:hAnsi="微软雅黑" w:eastAsia="微软雅黑" w:cs="微软雅黑"/>
          <w:b/>
          <w:color w:val="auto"/>
          <w:kern w:val="0"/>
          <w:sz w:val="24"/>
          <w:szCs w:val="24"/>
        </w:rPr>
      </w:pPr>
    </w:p>
    <w:p w14:paraId="3C54992E">
      <w:pPr>
        <w:tabs>
          <w:tab w:val="left" w:pos="5580"/>
        </w:tabs>
        <w:spacing w:line="240" w:lineRule="atLeast"/>
        <w:ind w:left="1080" w:leftChars="257" w:hanging="540"/>
        <w:outlineLvl w:val="2"/>
        <w:rPr>
          <w:rFonts w:hint="eastAsia" w:ascii="微软雅黑" w:hAnsi="微软雅黑" w:eastAsia="微软雅黑" w:cs="微软雅黑"/>
          <w:b/>
          <w:color w:val="auto"/>
          <w:kern w:val="0"/>
          <w:sz w:val="24"/>
          <w:szCs w:val="24"/>
          <w:lang w:val="en-US" w:eastAsia="zh-CN" w:bidi="ar-SA"/>
        </w:rPr>
      </w:pPr>
      <w:bookmarkStart w:id="538" w:name="_Toc2470"/>
      <w:r>
        <w:rPr>
          <w:rFonts w:hint="eastAsia" w:ascii="微软雅黑" w:hAnsi="微软雅黑" w:eastAsia="微软雅黑" w:cs="微软雅黑"/>
          <w:b/>
          <w:color w:val="auto"/>
          <w:kern w:val="0"/>
          <w:sz w:val="24"/>
          <w:szCs w:val="24"/>
          <w:lang w:val="en-US" w:eastAsia="zh-CN" w:bidi="ar-SA"/>
        </w:rPr>
        <w:t>⑤提供2024年或2025年完整的财务审计报告（成立不满一年的可提供近一个月的银行资信证明）；</w:t>
      </w:r>
      <w:bookmarkEnd w:id="538"/>
    </w:p>
    <w:p w14:paraId="5EAE7B3F">
      <w:pPr>
        <w:tabs>
          <w:tab w:val="left" w:pos="5580"/>
        </w:tabs>
        <w:spacing w:line="240" w:lineRule="atLeast"/>
        <w:ind w:left="1080" w:leftChars="257" w:hanging="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w:t>
      </w:r>
    </w:p>
    <w:p w14:paraId="679AAF1C">
      <w:pPr>
        <w:tabs>
          <w:tab w:val="left" w:pos="5580"/>
        </w:tabs>
        <w:spacing w:line="240" w:lineRule="atLeast"/>
        <w:ind w:left="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1、如提供2024年或2025年经会计师事务所出具的完整审计报告复印件须加盖本单位章。</w:t>
      </w:r>
    </w:p>
    <w:p w14:paraId="357B3CC9">
      <w:pPr>
        <w:tabs>
          <w:tab w:val="left" w:pos="5580"/>
        </w:tabs>
        <w:spacing w:line="240" w:lineRule="atLeast"/>
        <w:ind w:left="540"/>
        <w:rPr>
          <w:rFonts w:hint="eastAsia" w:ascii="微软雅黑" w:hAnsi="微软雅黑" w:eastAsia="微软雅黑" w:cs="微软雅黑"/>
          <w:color w:val="auto"/>
          <w:highlight w:val="none"/>
          <w:lang w:val="en-US"/>
        </w:rPr>
      </w:pPr>
      <w:r>
        <w:rPr>
          <w:rFonts w:hint="eastAsia" w:ascii="微软雅黑" w:hAnsi="微软雅黑" w:eastAsia="微软雅黑" w:cs="微软雅黑"/>
          <w:b w:val="0"/>
          <w:bCs/>
          <w:color w:val="auto"/>
          <w:kern w:val="0"/>
          <w:sz w:val="24"/>
          <w:szCs w:val="20"/>
          <w:highlight w:val="none"/>
          <w:lang w:val="en-US" w:eastAsia="zh-CN" w:bidi="ar-SA"/>
        </w:rPr>
        <w:t>3、近一个月是指本项目响应文件递交及开启截止时间前后一个月。</w:t>
      </w:r>
    </w:p>
    <w:p w14:paraId="43D4FCBB">
      <w:pPr>
        <w:pStyle w:val="18"/>
        <w:tabs>
          <w:tab w:val="left" w:pos="5580"/>
        </w:tabs>
        <w:snapToGrid w:val="0"/>
        <w:spacing w:line="240" w:lineRule="atLeast"/>
        <w:textAlignment w:val="baseline"/>
        <w:rPr>
          <w:rFonts w:hint="eastAsia" w:ascii="微软雅黑" w:hAnsi="微软雅黑" w:eastAsia="微软雅黑" w:cs="微软雅黑"/>
          <w:b/>
          <w:color w:val="auto"/>
          <w:kern w:val="0"/>
          <w:sz w:val="24"/>
          <w:szCs w:val="24"/>
        </w:rPr>
      </w:pPr>
    </w:p>
    <w:p w14:paraId="20F6DCBE">
      <w:pPr>
        <w:pStyle w:val="18"/>
        <w:numPr>
          <w:ilvl w:val="0"/>
          <w:numId w:val="0"/>
        </w:numPr>
        <w:tabs>
          <w:tab w:val="left" w:pos="5580"/>
        </w:tabs>
        <w:snapToGrid w:val="0"/>
        <w:spacing w:line="240" w:lineRule="atLeast"/>
        <w:ind w:firstLine="480" w:firstLineChars="200"/>
        <w:textAlignment w:val="baseline"/>
        <w:outlineLvl w:val="2"/>
        <w:rPr>
          <w:rFonts w:hint="eastAsia" w:ascii="微软雅黑" w:hAnsi="微软雅黑" w:eastAsia="微软雅黑" w:cs="微软雅黑"/>
          <w:b/>
          <w:color w:val="auto"/>
          <w:kern w:val="0"/>
          <w:sz w:val="24"/>
          <w:szCs w:val="24"/>
          <w:lang w:val="en-US" w:eastAsia="zh-CN" w:bidi="ar-SA"/>
        </w:rPr>
      </w:pPr>
      <w:bookmarkStart w:id="539" w:name="_Toc4412"/>
      <w:r>
        <w:rPr>
          <w:rFonts w:hint="eastAsia" w:ascii="微软雅黑" w:hAnsi="微软雅黑" w:eastAsia="微软雅黑" w:cs="微软雅黑"/>
          <w:b/>
          <w:color w:val="auto"/>
          <w:kern w:val="0"/>
          <w:sz w:val="24"/>
          <w:szCs w:val="24"/>
          <w:lang w:val="en-US" w:eastAsia="zh-CN" w:bidi="ar-SA"/>
        </w:rPr>
        <w:t>⑥参与政府采购活动前3年内未被列入失信、重大税收违法案件、财政部门禁止参加政府采购活动的承诺书；</w:t>
      </w:r>
      <w:bookmarkEnd w:id="539"/>
    </w:p>
    <w:p w14:paraId="54D66EE6">
      <w:pPr>
        <w:pStyle w:val="10"/>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14:paraId="73634D6F">
      <w:pPr>
        <w:pStyle w:val="18"/>
        <w:tabs>
          <w:tab w:val="left" w:pos="5580"/>
        </w:tabs>
        <w:snapToGrid w:val="0"/>
        <w:spacing w:line="240" w:lineRule="atLeast"/>
        <w:textAlignment w:val="baseline"/>
        <w:rPr>
          <w:rFonts w:hint="eastAsia" w:ascii="微软雅黑" w:hAnsi="微软雅黑" w:eastAsia="微软雅黑" w:cs="微软雅黑"/>
          <w:b/>
          <w:color w:val="auto"/>
          <w:kern w:val="0"/>
          <w:sz w:val="24"/>
          <w:szCs w:val="24"/>
        </w:rPr>
      </w:pPr>
    </w:p>
    <w:p w14:paraId="37B01576">
      <w:pPr>
        <w:pStyle w:val="18"/>
        <w:numPr>
          <w:ilvl w:val="0"/>
          <w:numId w:val="0"/>
        </w:numPr>
        <w:tabs>
          <w:tab w:val="left" w:pos="5580"/>
        </w:tabs>
        <w:snapToGrid w:val="0"/>
        <w:spacing w:line="240" w:lineRule="atLeast"/>
        <w:ind w:firstLine="480" w:firstLineChars="200"/>
        <w:textAlignment w:val="baseline"/>
        <w:outlineLvl w:val="2"/>
        <w:rPr>
          <w:rFonts w:hint="eastAsia" w:ascii="微软雅黑" w:hAnsi="微软雅黑" w:eastAsia="微软雅黑" w:cs="微软雅黑"/>
          <w:b/>
          <w:color w:val="auto"/>
          <w:kern w:val="0"/>
          <w:sz w:val="24"/>
        </w:rPr>
      </w:pPr>
      <w:bookmarkStart w:id="540" w:name="_Toc16940"/>
      <w:bookmarkStart w:id="541" w:name="_Toc16326"/>
      <w:bookmarkStart w:id="542" w:name="_Toc10102"/>
      <w:bookmarkStart w:id="543" w:name="_Toc494296991"/>
      <w:bookmarkStart w:id="544" w:name="_Toc28525"/>
      <w:bookmarkStart w:id="545" w:name="_Toc20720"/>
      <w:bookmarkStart w:id="546" w:name="_Toc494296665"/>
      <w:bookmarkStart w:id="547" w:name="_Toc16480"/>
      <w:r>
        <w:rPr>
          <w:rFonts w:hint="eastAsia" w:ascii="微软雅黑" w:hAnsi="微软雅黑" w:eastAsia="微软雅黑" w:cs="微软雅黑"/>
          <w:b/>
          <w:color w:val="auto"/>
          <w:kern w:val="0"/>
          <w:sz w:val="24"/>
          <w:szCs w:val="24"/>
          <w:lang w:val="en-US" w:eastAsia="zh-CN" w:bidi="ar-SA"/>
        </w:rPr>
        <w:t>⑦提供针对本次项目的反商业贿赂承诺书。</w:t>
      </w:r>
      <w:bookmarkEnd w:id="540"/>
    </w:p>
    <w:p w14:paraId="7ED81032">
      <w:pPr>
        <w:pStyle w:val="10"/>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14:paraId="38A63768">
      <w:pPr>
        <w:rPr>
          <w:rFonts w:hint="eastAsia" w:ascii="微软雅黑" w:hAnsi="微软雅黑" w:eastAsia="微软雅黑" w:cs="微软雅黑"/>
          <w:color w:val="auto"/>
          <w:lang w:val="en-US" w:eastAsia="zh-CN"/>
        </w:rPr>
      </w:pPr>
    </w:p>
    <w:p w14:paraId="190469B3">
      <w:pPr>
        <w:pStyle w:val="18"/>
        <w:numPr>
          <w:ilvl w:val="0"/>
          <w:numId w:val="0"/>
        </w:numPr>
        <w:tabs>
          <w:tab w:val="left" w:pos="5580"/>
        </w:tabs>
        <w:snapToGrid w:val="0"/>
        <w:spacing w:line="240" w:lineRule="atLeast"/>
        <w:ind w:firstLine="480" w:firstLineChars="200"/>
        <w:textAlignment w:val="baseline"/>
        <w:outlineLvl w:val="2"/>
        <w:rPr>
          <w:rFonts w:hint="eastAsia" w:ascii="微软雅黑" w:hAnsi="微软雅黑" w:eastAsia="微软雅黑" w:cs="微软雅黑"/>
          <w:b/>
          <w:color w:val="auto"/>
          <w:kern w:val="0"/>
          <w:sz w:val="24"/>
          <w:szCs w:val="24"/>
          <w:lang w:val="en-US" w:eastAsia="zh-CN" w:bidi="ar-SA"/>
        </w:rPr>
      </w:pPr>
      <w:bookmarkStart w:id="548" w:name="_Toc15606"/>
      <w:r>
        <w:rPr>
          <w:rFonts w:hint="eastAsia" w:ascii="微软雅黑" w:hAnsi="微软雅黑" w:eastAsia="微软雅黑" w:cs="微软雅黑"/>
          <w:b/>
          <w:color w:val="auto"/>
          <w:kern w:val="0"/>
          <w:sz w:val="24"/>
          <w:szCs w:val="24"/>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bookmarkEnd w:id="548"/>
    </w:p>
    <w:p w14:paraId="6426A175">
      <w:pPr>
        <w:pStyle w:val="18"/>
        <w:numPr>
          <w:ilvl w:val="0"/>
          <w:numId w:val="0"/>
        </w:numPr>
        <w:tabs>
          <w:tab w:val="left" w:pos="5580"/>
        </w:tabs>
        <w:snapToGrid w:val="0"/>
        <w:spacing w:line="240" w:lineRule="atLeast"/>
        <w:textAlignment w:val="baseline"/>
        <w:rPr>
          <w:rFonts w:hint="eastAsia" w:ascii="微软雅黑" w:hAnsi="微软雅黑" w:eastAsia="微软雅黑" w:cs="微软雅黑"/>
          <w:b/>
          <w:color w:val="auto"/>
          <w:kern w:val="0"/>
          <w:sz w:val="24"/>
          <w:szCs w:val="24"/>
          <w:lang w:val="en-US" w:eastAsia="zh-CN" w:bidi="ar-SA"/>
        </w:rPr>
      </w:pPr>
    </w:p>
    <w:p w14:paraId="6E9C8AA0">
      <w:pPr>
        <w:rPr>
          <w:rFonts w:hint="eastAsia" w:ascii="微软雅黑" w:hAnsi="微软雅黑" w:eastAsia="微软雅黑" w:cs="微软雅黑"/>
          <w:b/>
          <w:bCs w:val="0"/>
          <w:iCs/>
          <w:color w:val="auto"/>
          <w:kern w:val="2"/>
          <w:sz w:val="24"/>
          <w:szCs w:val="24"/>
          <w:highlight w:val="none"/>
          <w:lang w:val="en-US" w:eastAsia="zh-CN"/>
        </w:rPr>
      </w:pPr>
      <w:bookmarkStart w:id="549" w:name="_Toc24047"/>
      <w:r>
        <w:rPr>
          <w:rFonts w:hint="eastAsia" w:ascii="微软雅黑" w:hAnsi="微软雅黑" w:eastAsia="微软雅黑" w:cs="微软雅黑"/>
          <w:b/>
          <w:bCs w:val="0"/>
          <w:iCs/>
          <w:color w:val="auto"/>
          <w:kern w:val="2"/>
          <w:sz w:val="24"/>
          <w:szCs w:val="24"/>
          <w:highlight w:val="none"/>
          <w:lang w:val="en-US" w:eastAsia="zh-CN"/>
        </w:rPr>
        <w:br w:type="page"/>
      </w:r>
    </w:p>
    <w:p w14:paraId="60FCA082">
      <w:pPr>
        <w:pageBreakBefore w:val="0"/>
        <w:kinsoku/>
        <w:wordWrap/>
        <w:overflowPunct/>
        <w:topLinePunct w:val="0"/>
        <w:bidi w:val="0"/>
        <w:spacing w:line="440" w:lineRule="exact"/>
        <w:ind w:firstLine="480" w:firstLineChars="200"/>
        <w:textAlignment w:val="auto"/>
        <w:outlineLvl w:val="2"/>
        <w:rPr>
          <w:rFonts w:hint="eastAsia" w:ascii="微软雅黑" w:hAnsi="微软雅黑" w:eastAsia="微软雅黑" w:cs="微软雅黑"/>
          <w:b/>
          <w:bCs w:val="0"/>
          <w:iCs/>
          <w:color w:val="auto"/>
          <w:kern w:val="2"/>
          <w:sz w:val="24"/>
          <w:szCs w:val="24"/>
          <w:highlight w:val="none"/>
          <w:lang w:val="en-US" w:eastAsia="zh-CN"/>
        </w:rPr>
      </w:pPr>
      <w:bookmarkStart w:id="550" w:name="_Toc13751"/>
      <w:r>
        <w:rPr>
          <w:rFonts w:hint="eastAsia" w:ascii="微软雅黑" w:hAnsi="微软雅黑" w:eastAsia="微软雅黑" w:cs="微软雅黑"/>
          <w:b/>
          <w:bCs w:val="0"/>
          <w:iCs/>
          <w:color w:val="auto"/>
          <w:kern w:val="2"/>
          <w:sz w:val="24"/>
          <w:szCs w:val="24"/>
          <w:highlight w:val="none"/>
          <w:lang w:val="en-US" w:eastAsia="zh-CN"/>
        </w:rPr>
        <w:t>⑨</w:t>
      </w:r>
      <w:bookmarkEnd w:id="549"/>
      <w:r>
        <w:rPr>
          <w:rFonts w:hint="eastAsia" w:ascii="微软雅黑" w:hAnsi="微软雅黑" w:eastAsia="微软雅黑" w:cs="微软雅黑"/>
          <w:b/>
          <w:bCs w:val="0"/>
          <w:iCs/>
          <w:color w:val="auto"/>
          <w:kern w:val="2"/>
          <w:sz w:val="24"/>
          <w:szCs w:val="24"/>
          <w:highlight w:val="none"/>
          <w:lang w:val="en-US" w:eastAsia="zh-CN"/>
        </w:rPr>
        <w:t>本项目专门面向中小企业（供应商须根据磋商文件中的法定格式填写中小企业声明函）</w:t>
      </w:r>
      <w:bookmarkEnd w:id="550"/>
    </w:p>
    <w:p w14:paraId="3FF79CD8">
      <w:pPr>
        <w:spacing w:before="0" w:line="240" w:lineRule="atLeast"/>
        <w:jc w:val="center"/>
        <w:outlineLvl w:val="9"/>
        <w:rPr>
          <w:rFonts w:hint="eastAsia" w:ascii="微软雅黑" w:hAnsi="微软雅黑" w:eastAsia="微软雅黑" w:cs="微软雅黑"/>
          <w:b/>
          <w:bCs/>
          <w:color w:val="auto"/>
          <w:kern w:val="0"/>
          <w:sz w:val="24"/>
          <w:szCs w:val="24"/>
          <w:lang w:val="en-US" w:eastAsia="zh-CN" w:bidi="ar-SA"/>
        </w:rPr>
      </w:pPr>
    </w:p>
    <w:p w14:paraId="3C9703A1">
      <w:pPr>
        <w:spacing w:before="0" w:line="240" w:lineRule="atLeast"/>
        <w:jc w:val="center"/>
        <w:outlineLvl w:val="9"/>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中小企业声明函（服务）</w:t>
      </w:r>
    </w:p>
    <w:p w14:paraId="35C8EC0D">
      <w:pPr>
        <w:widowControl/>
        <w:spacing w:before="100" w:beforeAutospacing="1" w:after="100" w:afterAutospacing="1" w:line="330" w:lineRule="atLeast"/>
        <w:ind w:firstLine="420" w:firstLineChars="200"/>
        <w:jc w:val="left"/>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Cs w:val="21"/>
          <w:u w:val="single"/>
        </w:rPr>
        <w:t>（单位名称  ）</w:t>
      </w:r>
      <w:r>
        <w:rPr>
          <w:rFonts w:hint="eastAsia" w:ascii="微软雅黑" w:hAnsi="微软雅黑" w:eastAsia="微软雅黑" w:cs="微软雅黑"/>
          <w:color w:val="auto"/>
          <w:kern w:val="0"/>
          <w:szCs w:val="21"/>
        </w:rPr>
        <w:t>的</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rPr>
        <w:t>采购活动，服务全部由符合政策要求的中小企业承接。相关企业（含联合 体中的中小企业、签订分包意向协议的中小企业）的具体情况如下：</w:t>
      </w:r>
    </w:p>
    <w:p w14:paraId="0E3CE5A4">
      <w:pPr>
        <w:pStyle w:val="84"/>
        <w:tabs>
          <w:tab w:val="left" w:pos="1243"/>
        </w:tabs>
        <w:spacing w:line="402" w:lineRule="exact"/>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rPr>
        <w:t>，属于</w:t>
      </w:r>
      <w:r>
        <w:rPr>
          <w:rFonts w:hint="eastAsia" w:ascii="微软雅黑" w:hAnsi="微软雅黑" w:eastAsia="微软雅黑" w:cs="微软雅黑"/>
          <w:i/>
          <w:iCs/>
          <w:color w:val="auto"/>
          <w:kern w:val="0"/>
          <w:szCs w:val="21"/>
          <w:u w:val="single"/>
        </w:rPr>
        <w:t>（采购文件中明确的所属行业）</w:t>
      </w:r>
      <w:r>
        <w:rPr>
          <w:rFonts w:hint="eastAsia" w:ascii="微软雅黑" w:hAnsi="微软雅黑" w:eastAsia="微软雅黑" w:cs="微软雅黑"/>
          <w:color w:val="auto"/>
          <w:kern w:val="0"/>
          <w:szCs w:val="21"/>
        </w:rPr>
        <w:t xml:space="preserve">；承接企业为 </w:t>
      </w:r>
      <w:r>
        <w:rPr>
          <w:rFonts w:hint="eastAsia" w:ascii="微软雅黑" w:hAnsi="微软雅黑" w:eastAsia="微软雅黑" w:cs="微软雅黑"/>
          <w:i/>
          <w:iCs/>
          <w:color w:val="auto"/>
          <w:kern w:val="0"/>
          <w:szCs w:val="21"/>
          <w:u w:val="single"/>
        </w:rPr>
        <w:t xml:space="preserve">  （企业名称） </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，从业人员</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rPr>
        <w:t>人，营业收入为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万元，资产总额为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rPr>
        <w:t>万元，属于</w:t>
      </w:r>
      <w:r>
        <w:rPr>
          <w:rFonts w:hint="eastAsia" w:ascii="微软雅黑" w:hAnsi="微软雅黑" w:eastAsia="微软雅黑" w:cs="微软雅黑"/>
          <w:i/>
          <w:iCs/>
          <w:color w:val="auto"/>
          <w:kern w:val="0"/>
          <w:szCs w:val="21"/>
          <w:u w:val="single"/>
        </w:rPr>
        <w:t>（中型企业、小型企业、微型企业）</w:t>
      </w:r>
      <w:r>
        <w:rPr>
          <w:rFonts w:hint="eastAsia" w:ascii="微软雅黑" w:hAnsi="微软雅黑" w:eastAsia="微软雅黑" w:cs="微软雅黑"/>
          <w:color w:val="auto"/>
          <w:kern w:val="0"/>
          <w:szCs w:val="21"/>
        </w:rPr>
        <w:t>；</w:t>
      </w:r>
    </w:p>
    <w:p w14:paraId="1895CFFF">
      <w:pPr>
        <w:pStyle w:val="84"/>
        <w:tabs>
          <w:tab w:val="left" w:pos="1243"/>
        </w:tabs>
        <w:spacing w:line="402" w:lineRule="exact"/>
        <w:rPr>
          <w:rFonts w:hint="eastAsia" w:ascii="微软雅黑" w:hAnsi="微软雅黑" w:eastAsia="微软雅黑" w:cs="微软雅黑"/>
          <w:color w:val="auto"/>
          <w:kern w:val="0"/>
          <w:szCs w:val="21"/>
          <w:u w:val="single"/>
        </w:rPr>
      </w:pPr>
      <w:r>
        <w:rPr>
          <w:rFonts w:hint="eastAsia" w:ascii="微软雅黑" w:hAnsi="微软雅黑" w:eastAsia="微软雅黑" w:cs="微软雅黑"/>
          <w:color w:val="auto"/>
          <w:kern w:val="0"/>
          <w:szCs w:val="21"/>
        </w:rPr>
        <w:t>2.</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u w:val="single"/>
        </w:rPr>
        <w:t>，</w:t>
      </w:r>
      <w:r>
        <w:rPr>
          <w:rFonts w:hint="eastAsia" w:ascii="微软雅黑" w:hAnsi="微软雅黑" w:eastAsia="微软雅黑" w:cs="微软雅黑"/>
          <w:color w:val="auto"/>
          <w:kern w:val="0"/>
          <w:szCs w:val="21"/>
        </w:rPr>
        <w:t>属于</w:t>
      </w:r>
      <w:r>
        <w:rPr>
          <w:rFonts w:hint="eastAsia" w:ascii="微软雅黑" w:hAnsi="微软雅黑" w:eastAsia="微软雅黑" w:cs="微软雅黑"/>
          <w:i/>
          <w:iCs/>
          <w:color w:val="auto"/>
          <w:kern w:val="0"/>
          <w:szCs w:val="21"/>
          <w:u w:val="single"/>
        </w:rPr>
        <w:t>（采购文件中明确的所属行业）</w:t>
      </w:r>
      <w:r>
        <w:rPr>
          <w:rFonts w:hint="eastAsia" w:ascii="微软雅黑" w:hAnsi="微软雅黑" w:eastAsia="微软雅黑" w:cs="微软雅黑"/>
          <w:color w:val="auto"/>
          <w:kern w:val="0"/>
          <w:szCs w:val="21"/>
        </w:rPr>
        <w:t>；承接企业为</w:t>
      </w:r>
      <w:r>
        <w:rPr>
          <w:rFonts w:hint="eastAsia" w:ascii="微软雅黑" w:hAnsi="微软雅黑" w:eastAsia="微软雅黑" w:cs="微软雅黑"/>
          <w:i/>
          <w:iCs/>
          <w:color w:val="auto"/>
          <w:kern w:val="0"/>
          <w:szCs w:val="21"/>
          <w:u w:val="single"/>
        </w:rPr>
        <w:t>（企业名称）</w:t>
      </w:r>
      <w:r>
        <w:rPr>
          <w:rFonts w:hint="eastAsia" w:ascii="微软雅黑" w:hAnsi="微软雅黑" w:eastAsia="微软雅黑" w:cs="微软雅黑"/>
          <w:color w:val="auto"/>
          <w:kern w:val="0"/>
          <w:szCs w:val="21"/>
        </w:rPr>
        <w:t>，从业人员</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人，营业收入为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万元，资产总额为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万元，属于</w:t>
      </w:r>
      <w:r>
        <w:rPr>
          <w:rFonts w:hint="eastAsia" w:ascii="微软雅黑" w:hAnsi="微软雅黑" w:eastAsia="微软雅黑" w:cs="微软雅黑"/>
          <w:i/>
          <w:iCs/>
          <w:color w:val="auto"/>
          <w:kern w:val="0"/>
          <w:szCs w:val="21"/>
          <w:u w:val="single"/>
        </w:rPr>
        <w:t>（中型企业、小型企业、微型企业）</w:t>
      </w:r>
      <w:r>
        <w:rPr>
          <w:rFonts w:hint="eastAsia" w:ascii="微软雅黑" w:hAnsi="微软雅黑" w:eastAsia="微软雅黑" w:cs="微软雅黑"/>
          <w:color w:val="auto"/>
          <w:kern w:val="0"/>
          <w:szCs w:val="21"/>
        </w:rPr>
        <w:t>；</w:t>
      </w:r>
    </w:p>
    <w:p w14:paraId="21C64D19">
      <w:pPr>
        <w:pStyle w:val="3"/>
        <w:spacing w:before="11"/>
        <w:ind w:left="86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w:t>
      </w:r>
    </w:p>
    <w:p w14:paraId="0E5BA3C0">
      <w:pPr>
        <w:pStyle w:val="3"/>
        <w:spacing w:before="108" w:line="304" w:lineRule="auto"/>
        <w:ind w:right="417"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以上企业，不属于大企业的分支机构，不存在控股股东为大企业的情形，也不存在与大企业的负责人为同一人的情形。</w:t>
      </w:r>
    </w:p>
    <w:p w14:paraId="771AFB52">
      <w:pPr>
        <w:pStyle w:val="3"/>
        <w:spacing w:before="108" w:line="304" w:lineRule="auto"/>
        <w:ind w:right="417"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本企业对上述声明内容的真实性负责。如有虚假，将依法承担相应责任。</w:t>
      </w:r>
    </w:p>
    <w:p w14:paraId="286CAC34">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2DEEDB17">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365EDA8D">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0AE03340">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供应商名称（盖章）：</w:t>
      </w:r>
    </w:p>
    <w:p w14:paraId="517D3AC2">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05A6359E">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79B90EB4">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日期：</w:t>
      </w:r>
    </w:p>
    <w:p w14:paraId="2743F5D3">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020947E0">
      <w:pPr>
        <w:pStyle w:val="84"/>
        <w:tabs>
          <w:tab w:val="left" w:pos="1243"/>
        </w:tabs>
        <w:spacing w:line="402" w:lineRule="exact"/>
        <w:ind w:left="420" w:leftChars="200" w:firstLine="0" w:firstLineChars="0"/>
        <w:rPr>
          <w:rFonts w:hint="eastAsia" w:ascii="微软雅黑" w:hAnsi="微软雅黑" w:eastAsia="微软雅黑" w:cs="微软雅黑"/>
          <w:color w:val="auto"/>
          <w:kern w:val="0"/>
          <w:szCs w:val="21"/>
        </w:rPr>
      </w:pPr>
    </w:p>
    <w:p w14:paraId="35F79552">
      <w:pPr>
        <w:widowControl/>
        <w:spacing w:before="100" w:beforeAutospacing="1" w:after="100" w:afterAutospacing="1" w:line="400" w:lineRule="exact"/>
        <w:ind w:left="420" w:hanging="420" w:hangingChars="200"/>
        <w:jc w:val="both"/>
        <w:rPr>
          <w:rFonts w:hint="eastAsia" w:ascii="微软雅黑" w:hAnsi="微软雅黑" w:eastAsia="微软雅黑" w:cs="微软雅黑"/>
          <w:color w:val="auto"/>
          <w:szCs w:val="21"/>
        </w:rPr>
      </w:pPr>
      <w:r>
        <w:rPr>
          <w:rFonts w:hint="eastAsia" w:ascii="微软雅黑" w:hAnsi="微软雅黑" w:eastAsia="微软雅黑" w:cs="微软雅黑"/>
          <w:b/>
          <w:bCs/>
          <w:color w:val="auto"/>
          <w:szCs w:val="21"/>
        </w:rPr>
        <w:t>注：</w:t>
      </w:r>
      <w:r>
        <w:rPr>
          <w:rFonts w:hint="eastAsia" w:ascii="微软雅黑" w:hAnsi="微软雅黑" w:eastAsia="微软雅黑" w:cs="微软雅黑"/>
          <w:b/>
          <w:bCs/>
          <w:color w:val="auto"/>
          <w:szCs w:val="21"/>
          <w:lang w:val="en-US" w:eastAsia="zh-CN"/>
        </w:rPr>
        <w:t xml:space="preserve">1、潜在投标企业属于中小微企业的，应在响应文件中提供‘’中小企业声明函”如果未提供或提供“中小企业声明函”内容不实的，供应商将承担由此造成的一切不利后果。  </w:t>
      </w:r>
      <w:r>
        <w:rPr>
          <w:rFonts w:hint="eastAsia" w:ascii="微软雅黑" w:hAnsi="微软雅黑" w:eastAsia="微软雅黑" w:cs="微软雅黑"/>
          <w:color w:val="auto"/>
          <w:szCs w:val="21"/>
          <w:lang w:val="en-US" w:eastAsia="zh-CN"/>
        </w:rPr>
        <w:t xml:space="preserve">    </w:t>
      </w:r>
    </w:p>
    <w:p w14:paraId="37643BCF">
      <w:pPr>
        <w:widowControl/>
        <w:spacing w:before="100" w:beforeAutospacing="1" w:after="100" w:afterAutospacing="1" w:line="400" w:lineRule="exact"/>
        <w:ind w:left="420" w:leftChars="200" w:firstLine="0" w:firstLineChars="0"/>
        <w:jc w:val="both"/>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2、本项目所属行业：</w:t>
      </w: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租赁和商务服务业</w:t>
      </w:r>
      <w:r>
        <w:rPr>
          <w:rFonts w:hint="eastAsia" w:ascii="微软雅黑" w:hAnsi="微软雅黑" w:eastAsia="微软雅黑" w:cs="微软雅黑"/>
          <w:b/>
          <w:bCs/>
          <w:color w:val="auto"/>
          <w:szCs w:val="21"/>
          <w:lang w:val="en-US" w:eastAsia="zh-CN"/>
        </w:rPr>
        <w:t>。</w:t>
      </w:r>
    </w:p>
    <w:p w14:paraId="546E538F">
      <w:pPr>
        <w:spacing w:line="240" w:lineRule="atLeast"/>
        <w:ind w:left="1080" w:leftChars="257" w:hanging="540"/>
        <w:jc w:val="center"/>
        <w:outlineLvl w:val="9"/>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w:t>
      </w:r>
    </w:p>
    <w:p w14:paraId="4D356AF0">
      <w:pPr>
        <w:spacing w:line="240" w:lineRule="atLeast"/>
        <w:outlineLvl w:val="9"/>
        <w:rPr>
          <w:rFonts w:hint="eastAsia" w:ascii="微软雅黑" w:hAnsi="微软雅黑" w:eastAsia="微软雅黑" w:cs="微软雅黑"/>
          <w:color w:val="auto"/>
          <w:szCs w:val="21"/>
        </w:rPr>
      </w:pPr>
    </w:p>
    <w:p w14:paraId="345B3BF4">
      <w:pPr>
        <w:spacing w:line="240" w:lineRule="atLeast"/>
        <w:outlineLvl w:val="9"/>
        <w:rPr>
          <w:rFonts w:hint="eastAsia" w:ascii="微软雅黑" w:hAnsi="微软雅黑" w:eastAsia="微软雅黑" w:cs="微软雅黑"/>
          <w:color w:val="auto"/>
          <w:szCs w:val="21"/>
        </w:rPr>
      </w:pPr>
    </w:p>
    <w:p w14:paraId="0B06540E">
      <w:pP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br w:type="page"/>
      </w:r>
    </w:p>
    <w:p w14:paraId="5A4D2358">
      <w:pPr>
        <w:keepNext w:val="0"/>
        <w:keepLines w:val="0"/>
        <w:pageBreakBefore w:val="0"/>
        <w:kinsoku/>
        <w:wordWrap/>
        <w:overflowPunct/>
        <w:topLinePunct w:val="0"/>
        <w:autoSpaceDE/>
        <w:autoSpaceDN/>
        <w:bidi w:val="0"/>
        <w:adjustRightInd/>
        <w:spacing w:line="400" w:lineRule="exact"/>
        <w:jc w:val="left"/>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附：</w:t>
      </w:r>
    </w:p>
    <w:p w14:paraId="7AC3DB03">
      <w:pPr>
        <w:widowControl/>
        <w:spacing w:before="100" w:beforeAutospacing="1" w:after="100" w:afterAutospacing="1" w:line="400" w:lineRule="exact"/>
        <w:ind w:left="420" w:leftChars="200" w:firstLine="0" w:firstLineChars="0"/>
        <w:jc w:val="center"/>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lang w:val="en-US" w:eastAsia="zh-CN"/>
        </w:rPr>
        <w:t>中小企业划分标准</w:t>
      </w:r>
    </w:p>
    <w:p w14:paraId="6636E607">
      <w:pPr>
        <w:keepNext w:val="0"/>
        <w:keepLines w:val="0"/>
        <w:pageBreakBefore w:val="0"/>
        <w:kinsoku/>
        <w:wordWrap/>
        <w:overflowPunct/>
        <w:topLinePunct w:val="0"/>
        <w:autoSpaceDE/>
        <w:autoSpaceDN/>
        <w:bidi w:val="0"/>
        <w:adjustRightInd/>
        <w:spacing w:line="420" w:lineRule="exact"/>
        <w:ind w:firstLine="480" w:firstLineChars="200"/>
        <w:jc w:val="left"/>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p>
    <w:tbl>
      <w:tblPr>
        <w:tblStyle w:val="36"/>
        <w:tblW w:w="9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1"/>
        <w:gridCol w:w="849"/>
        <w:gridCol w:w="6553"/>
      </w:tblGrid>
      <w:tr w14:paraId="440BF804">
        <w:tblPrEx>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8C1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28A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营业收入20000万元以下的为中小微型企业。</w:t>
            </w:r>
          </w:p>
        </w:tc>
      </w:tr>
      <w:tr w14:paraId="7EE6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CBAE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FF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029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500万元-20000万元</w:t>
            </w:r>
          </w:p>
        </w:tc>
      </w:tr>
      <w:tr w14:paraId="5CD7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73B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C3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C03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50万元-500万元</w:t>
            </w:r>
          </w:p>
        </w:tc>
      </w:tr>
      <w:tr w14:paraId="6C30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8CAE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D8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C28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50万元以下</w:t>
            </w:r>
          </w:p>
        </w:tc>
      </w:tr>
      <w:tr w14:paraId="6797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B0D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工业</w:t>
            </w:r>
          </w:p>
          <w:p w14:paraId="29F510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（包括采矿业，制造 业，电力、热力、燃 气及水生产和供应</w:t>
            </w:r>
          </w:p>
          <w:p w14:paraId="19DCD1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2C0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40000万元以下的为中小微型企业。</w:t>
            </w:r>
          </w:p>
        </w:tc>
      </w:tr>
      <w:tr w14:paraId="3EA1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DC3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A4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022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300人一1000人，且营业收入 2000万元一40000万元</w:t>
            </w:r>
          </w:p>
        </w:tc>
      </w:tr>
      <w:tr w14:paraId="5AEC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03D7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A4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3B7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从业人员20人一300人，且营业收入 300万元一2000万元</w:t>
            </w:r>
          </w:p>
        </w:tc>
      </w:tr>
      <w:tr w14:paraId="1D4F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FA0C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59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A78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 300万元以下</w:t>
            </w:r>
          </w:p>
        </w:tc>
      </w:tr>
      <w:tr w14:paraId="3050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208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8CB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营业收入80000万元以下或资产总额 80000万元以下的为中小微型企业。</w:t>
            </w:r>
          </w:p>
        </w:tc>
      </w:tr>
      <w:tr w14:paraId="086E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A2F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38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744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营业收入6000万元一80000万元，且资产总额 5000万元一80000万元</w:t>
            </w:r>
          </w:p>
        </w:tc>
      </w:tr>
      <w:tr w14:paraId="2E11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A3F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D7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755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 300万元一6000万元，且资产总额 300万一5000万元</w:t>
            </w:r>
          </w:p>
        </w:tc>
      </w:tr>
      <w:tr w14:paraId="4516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E838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8F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9F7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营业收入300万元以下或资产总额 300万元以下</w:t>
            </w:r>
          </w:p>
        </w:tc>
      </w:tr>
      <w:tr w14:paraId="175E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21F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734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从业人员200人以下或营业收入40000万元以下的为中小微型企业。</w:t>
            </w:r>
          </w:p>
        </w:tc>
      </w:tr>
      <w:tr w14:paraId="3198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42C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A0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FB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从业人员20人一200人，且营业收入5000万元一40000万元</w:t>
            </w:r>
          </w:p>
        </w:tc>
      </w:tr>
      <w:tr w14:paraId="4521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9EAA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85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2DD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从业人员5人一20人，且营业收入1000万元一5000万元</w:t>
            </w:r>
          </w:p>
        </w:tc>
      </w:tr>
      <w:tr w14:paraId="5040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722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C3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812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从业人员5人以下或营业收入1000万元以下</w:t>
            </w:r>
          </w:p>
        </w:tc>
      </w:tr>
      <w:tr w14:paraId="6DC5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8E8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B29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20000万元以下的为中小微型企业。</w:t>
            </w:r>
          </w:p>
        </w:tc>
      </w:tr>
      <w:tr w14:paraId="5E52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8AD0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46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9A0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50人一300人，且营业收入500万元一20000万元</w:t>
            </w:r>
          </w:p>
        </w:tc>
      </w:tr>
      <w:tr w14:paraId="2D37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8DF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88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31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从业人员10人一50人，且营业收入100万元一500万元</w:t>
            </w:r>
          </w:p>
        </w:tc>
      </w:tr>
      <w:tr w14:paraId="40D0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B152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03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A64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从业人员10人以下或营业收入100万元以下</w:t>
            </w:r>
          </w:p>
        </w:tc>
      </w:tr>
      <w:tr w14:paraId="48AF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45C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092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30000万元以下的为中小微型企业。</w:t>
            </w:r>
          </w:p>
        </w:tc>
      </w:tr>
      <w:tr w14:paraId="19D4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5489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97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84A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300人一1000人，且营业收入 3000万元一30000万元</w:t>
            </w:r>
          </w:p>
        </w:tc>
      </w:tr>
      <w:tr w14:paraId="09AE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041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FA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E37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从业人员20人一300人，且营业收入 200万元一3000万元</w:t>
            </w:r>
          </w:p>
        </w:tc>
      </w:tr>
      <w:tr w14:paraId="2177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25E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B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60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从业人员20人以下或营业收入200万元以下</w:t>
            </w:r>
          </w:p>
        </w:tc>
      </w:tr>
      <w:tr w14:paraId="1B91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385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8EA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从业人员200人以下或营业收入 30000万元以下的为中小微型企业。</w:t>
            </w:r>
          </w:p>
        </w:tc>
      </w:tr>
      <w:tr w14:paraId="2581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FAA7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7F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D84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从业人员100人一200人，且营业收入 1000万元一30000万元</w:t>
            </w:r>
          </w:p>
        </w:tc>
      </w:tr>
      <w:tr w14:paraId="4B95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0D4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5C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761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从业人员20人一100人，且营业收入 100万元一1000万元</w:t>
            </w:r>
          </w:p>
        </w:tc>
      </w:tr>
      <w:tr w14:paraId="736F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0B5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12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6CC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 100万元以下</w:t>
            </w:r>
          </w:p>
        </w:tc>
      </w:tr>
      <w:tr w14:paraId="72D7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FDA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80D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30000万元以下的为中小微型企业。</w:t>
            </w:r>
          </w:p>
        </w:tc>
      </w:tr>
      <w:tr w14:paraId="2EEE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D88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14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A63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300人一1000人，且营业收入 2000万元一30000万元</w:t>
            </w:r>
          </w:p>
        </w:tc>
      </w:tr>
      <w:tr w14:paraId="7A0F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ABCD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78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430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从业人员20人一300人，且营业收入 100万元一2000万元</w:t>
            </w:r>
          </w:p>
        </w:tc>
      </w:tr>
      <w:tr w14:paraId="36B3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6525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FF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6F2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从业人员20人以下或营业收入 100万元以下</w:t>
            </w:r>
          </w:p>
        </w:tc>
      </w:tr>
      <w:tr w14:paraId="4C93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49B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5BF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10000万元以下的为中小微型企业。</w:t>
            </w:r>
          </w:p>
        </w:tc>
      </w:tr>
      <w:tr w14:paraId="5269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EC7D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5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630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从业人员100人一300人，且营业收入 2000万元一10000万元</w:t>
            </w:r>
          </w:p>
        </w:tc>
      </w:tr>
      <w:tr w14:paraId="3049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879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7E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B1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100万元一2000万元</w:t>
            </w:r>
          </w:p>
        </w:tc>
      </w:tr>
      <w:tr w14:paraId="3907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6E3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EA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934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100万元以下</w:t>
            </w:r>
          </w:p>
        </w:tc>
      </w:tr>
      <w:tr w14:paraId="3938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62B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6C4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10000万元以下的为中小微型企业。</w:t>
            </w:r>
          </w:p>
        </w:tc>
      </w:tr>
      <w:tr w14:paraId="2571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0ED2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08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D77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 300人，且营业收入 2000万元一10000万元</w:t>
            </w:r>
          </w:p>
        </w:tc>
      </w:tr>
      <w:tr w14:paraId="02E4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A2D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0C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35C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100万元一2000万元</w:t>
            </w:r>
          </w:p>
        </w:tc>
      </w:tr>
      <w:tr w14:paraId="0553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CB1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F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3D3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100万元以下</w:t>
            </w:r>
          </w:p>
        </w:tc>
      </w:tr>
      <w:tr w14:paraId="4DF7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438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548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从业人员2000人以下或营业收入 100000万元以下的为中小微型企业。</w:t>
            </w:r>
          </w:p>
        </w:tc>
      </w:tr>
      <w:tr w14:paraId="46F2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856D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28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16E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从业人员100人一2000人，且营业收入 1000万元一10000万元</w:t>
            </w:r>
          </w:p>
        </w:tc>
      </w:tr>
      <w:tr w14:paraId="6C59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4CFB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E7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3A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100万元一1000万元</w:t>
            </w:r>
          </w:p>
        </w:tc>
      </w:tr>
      <w:tr w14:paraId="0465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A1F3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4E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5C6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100万元以下</w:t>
            </w:r>
          </w:p>
        </w:tc>
      </w:tr>
      <w:tr w14:paraId="27A6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D05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35B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从业人员300人以下或营业收入 10000万元以下的为中小微型企业。</w:t>
            </w:r>
          </w:p>
        </w:tc>
      </w:tr>
      <w:tr w14:paraId="4506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12F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62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960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 300人，且营业收入 1000万元一10000万元</w:t>
            </w:r>
          </w:p>
        </w:tc>
      </w:tr>
      <w:tr w14:paraId="7CC1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B07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11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068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从业人员10人一100人，且营业收入 50万元一1000万元</w:t>
            </w:r>
          </w:p>
        </w:tc>
      </w:tr>
      <w:tr w14:paraId="5A90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134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D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3A2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从业人员10人以下或营业收入 50万元以下</w:t>
            </w:r>
          </w:p>
        </w:tc>
      </w:tr>
      <w:tr w14:paraId="0B02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251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598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营业收入200000万元以下或资产总额 10000万元以下的为中小微型企业。</w:t>
            </w:r>
          </w:p>
        </w:tc>
      </w:tr>
      <w:tr w14:paraId="057E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156F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EA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47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营业收入1000万元一200000万元，且资产总额 5000万元一10000万元</w:t>
            </w:r>
          </w:p>
        </w:tc>
      </w:tr>
      <w:tr w14:paraId="7908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BD0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CA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E2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营业收入100万元一1000万元，且资产总额 2 000万元一5000 万元</w:t>
            </w:r>
          </w:p>
        </w:tc>
      </w:tr>
      <w:tr w14:paraId="7830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61A6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2D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68D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营业收入100万元以下或资产总额 2000万元以下的为微型企业</w:t>
            </w:r>
          </w:p>
        </w:tc>
      </w:tr>
      <w:tr w14:paraId="22D5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7B3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6D7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从业人员1000人以下或营业收入 5000万元以下的为中小微型企业。</w:t>
            </w:r>
          </w:p>
        </w:tc>
      </w:tr>
      <w:tr w14:paraId="7968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2E0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1F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B46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 300人一1 000人，且营业收入 1000万元一5000万元</w:t>
            </w:r>
          </w:p>
        </w:tc>
      </w:tr>
      <w:tr w14:paraId="15B8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AADE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19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923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从业人员100人一300人，且营业收入 500万元一1000万元</w:t>
            </w:r>
          </w:p>
        </w:tc>
      </w:tr>
      <w:tr w14:paraId="3C25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7F42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A9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241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spacing w:val="0"/>
                <w:w w:val="100"/>
                <w:kern w:val="0"/>
                <w:position w:val="0"/>
                <w:sz w:val="21"/>
                <w:szCs w:val="21"/>
                <w:u w:val="none"/>
                <w:shd w:val="clear" w:color="auto" w:fill="auto"/>
                <w:lang w:val="en-US" w:eastAsia="zh-CN" w:bidi="ar"/>
              </w:rPr>
              <w:t>从业人员100人以下或营业收入 500万元以下</w:t>
            </w:r>
          </w:p>
        </w:tc>
      </w:tr>
      <w:tr w14:paraId="7C22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0E4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AA3F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1C9F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4591">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b/>
                <w:bCs/>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6A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693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从业人员100人一300人，且资产总额 8000万元一120000万元</w:t>
            </w:r>
          </w:p>
        </w:tc>
      </w:tr>
      <w:tr w14:paraId="2731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B753F">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b/>
                <w:bCs/>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BA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853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从业人员10人一100人，且资产总额 100万元一8000万元</w:t>
            </w:r>
          </w:p>
        </w:tc>
      </w:tr>
      <w:tr w14:paraId="5C12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2389">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b/>
                <w:bCs/>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8F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68E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spacing w:val="0"/>
                <w:w w:val="100"/>
                <w:kern w:val="0"/>
                <w:position w:val="0"/>
                <w:sz w:val="21"/>
                <w:szCs w:val="21"/>
                <w:u w:val="none"/>
                <w:shd w:val="clear" w:color="auto" w:fill="auto"/>
                <w:lang w:val="en-US" w:eastAsia="zh-CN" w:bidi="ar"/>
              </w:rPr>
              <w:t>从业人员10人以下或资产总额 100万元以下</w:t>
            </w:r>
          </w:p>
        </w:tc>
      </w:tr>
      <w:tr w14:paraId="5D8D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9C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958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从业人员300人以下的为中小微型企业。</w:t>
            </w:r>
          </w:p>
        </w:tc>
      </w:tr>
      <w:tr w14:paraId="6870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0390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val="0"/>
                <w:bCs w:val="0"/>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6D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695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从业人员100— 300人</w:t>
            </w:r>
          </w:p>
        </w:tc>
      </w:tr>
      <w:tr w14:paraId="3E1A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64EC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val="0"/>
                <w:bCs w:val="0"/>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3F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3BB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从业人员10人一100人</w:t>
            </w:r>
          </w:p>
        </w:tc>
      </w:tr>
      <w:tr w14:paraId="3A41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D3F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val="0"/>
                <w:bCs w:val="0"/>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49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F2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val="0"/>
                <w:bCs w:val="0"/>
                <w:i w:val="0"/>
                <w:iCs w:val="0"/>
                <w:color w:val="auto"/>
                <w:sz w:val="21"/>
                <w:szCs w:val="21"/>
                <w:u w:val="none"/>
              </w:rPr>
            </w:pPr>
            <w:r>
              <w:rPr>
                <w:rFonts w:hint="eastAsia" w:ascii="微软雅黑" w:hAnsi="微软雅黑" w:eastAsia="微软雅黑" w:cs="微软雅黑"/>
                <w:b w:val="0"/>
                <w:bCs w:val="0"/>
                <w:i w:val="0"/>
                <w:iCs w:val="0"/>
                <w:color w:val="auto"/>
                <w:spacing w:val="0"/>
                <w:w w:val="100"/>
                <w:kern w:val="0"/>
                <w:position w:val="0"/>
                <w:sz w:val="21"/>
                <w:szCs w:val="21"/>
                <w:u w:val="none"/>
                <w:shd w:val="clear" w:color="auto" w:fill="auto"/>
                <w:lang w:val="en-US" w:eastAsia="zh-CN" w:bidi="ar"/>
              </w:rPr>
              <w:t>从业人员10人以下</w:t>
            </w:r>
          </w:p>
        </w:tc>
      </w:tr>
    </w:tbl>
    <w:p w14:paraId="7FC73170">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bCs w:val="0"/>
          <w:color w:val="auto"/>
          <w:sz w:val="24"/>
          <w:szCs w:val="24"/>
          <w:highlight w:val="none"/>
        </w:rPr>
      </w:pPr>
    </w:p>
    <w:p w14:paraId="692A2087">
      <w:pPr>
        <w:keepNext w:val="0"/>
        <w:keepLines w:val="0"/>
        <w:pageBreakBefore w:val="0"/>
        <w:widowControl w:val="0"/>
        <w:kinsoku/>
        <w:wordWrap/>
        <w:overflowPunct/>
        <w:topLinePunct w:val="0"/>
        <w:autoSpaceDE/>
        <w:autoSpaceDN/>
        <w:bidi w:val="0"/>
        <w:adjustRightInd/>
        <w:snapToGrid w:val="0"/>
        <w:spacing w:line="420" w:lineRule="exact"/>
        <w:ind w:firstLine="240" w:firstLineChars="100"/>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val="0"/>
          <w:color w:val="auto"/>
          <w:sz w:val="24"/>
          <w:szCs w:val="24"/>
          <w:highlight w:val="none"/>
        </w:rPr>
        <w:t>行业包括：</w:t>
      </w:r>
      <w:r>
        <w:rPr>
          <w:rFonts w:hint="eastAsia" w:ascii="微软雅黑" w:hAnsi="微软雅黑" w:eastAsia="微软雅黑" w:cs="微软雅黑"/>
          <w:b w:val="0"/>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szCs w:val="24"/>
          <w:highlight w:val="none"/>
        </w:rPr>
        <w:t>。</w:t>
      </w:r>
    </w:p>
    <w:p w14:paraId="58883309">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说明：</w:t>
      </w:r>
    </w:p>
    <w:p w14:paraId="5B74B7E6">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0C73738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所称中小企业，是指在中华人民共和国境内依法设立，依据国务院批准的</w:t>
      </w:r>
    </w:p>
    <w:p w14:paraId="2B4D828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w:t>
      </w:r>
    </w:p>
    <w:p w14:paraId="075DC2E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0BF7CF2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5BF6E59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ED8893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5A193C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规定享受扶持政策获得政府采购合同的，小微企业不得将合同分包给大中型企业，中型企业不得将合同分包给大型企业。</w:t>
      </w:r>
    </w:p>
    <w:p w14:paraId="288FE4FE">
      <w:pPr>
        <w:snapToGrid w:val="0"/>
        <w:spacing w:line="360" w:lineRule="exact"/>
        <w:textAlignment w:val="baseline"/>
        <w:outlineLvl w:val="9"/>
        <w:rPr>
          <w:rFonts w:hint="eastAsia" w:ascii="微软雅黑" w:hAnsi="微软雅黑" w:eastAsia="微软雅黑" w:cs="微软雅黑"/>
          <w:b/>
          <w:color w:val="auto"/>
          <w:kern w:val="0"/>
          <w:sz w:val="24"/>
          <w:lang w:val="en-US" w:eastAsia="zh-CN"/>
        </w:rPr>
      </w:pPr>
    </w:p>
    <w:p w14:paraId="382392CE">
      <w:pPr>
        <w:snapToGrid w:val="0"/>
        <w:spacing w:line="360" w:lineRule="exact"/>
        <w:ind w:firstLine="240" w:firstLineChars="100"/>
        <w:textAlignment w:val="baseline"/>
        <w:outlineLvl w:val="9"/>
        <w:rPr>
          <w:rFonts w:hint="eastAsia" w:ascii="微软雅黑" w:hAnsi="微软雅黑" w:eastAsia="微软雅黑" w:cs="微软雅黑"/>
          <w:b/>
          <w:color w:val="auto"/>
          <w:kern w:val="0"/>
          <w:sz w:val="24"/>
          <w:lang w:val="en-US" w:eastAsia="zh-CN"/>
        </w:rPr>
      </w:pPr>
    </w:p>
    <w:p w14:paraId="10528421">
      <w:pPr>
        <w:snapToGrid w:val="0"/>
        <w:spacing w:line="360" w:lineRule="exact"/>
        <w:ind w:firstLine="240" w:firstLineChars="100"/>
        <w:textAlignment w:val="baseline"/>
        <w:outlineLvl w:val="9"/>
        <w:rPr>
          <w:rFonts w:hint="eastAsia" w:ascii="微软雅黑" w:hAnsi="微软雅黑" w:eastAsia="微软雅黑" w:cs="微软雅黑"/>
          <w:b/>
          <w:color w:val="auto"/>
          <w:kern w:val="0"/>
          <w:sz w:val="24"/>
          <w:lang w:val="en-US" w:eastAsia="zh-CN"/>
        </w:rPr>
      </w:pPr>
    </w:p>
    <w:p w14:paraId="7F08091C">
      <w:pPr>
        <w:snapToGrid w:val="0"/>
        <w:spacing w:line="360" w:lineRule="exact"/>
        <w:ind w:firstLine="240" w:firstLineChars="100"/>
        <w:textAlignment w:val="baseline"/>
        <w:outlineLvl w:val="1"/>
        <w:rPr>
          <w:rFonts w:hint="eastAsia" w:ascii="微软雅黑" w:hAnsi="微软雅黑" w:eastAsia="微软雅黑" w:cs="微软雅黑"/>
          <w:b w:val="0"/>
          <w:bCs w:val="0"/>
          <w:color w:val="auto"/>
          <w:sz w:val="24"/>
        </w:rPr>
      </w:pPr>
      <w:bookmarkStart w:id="551" w:name="_Toc6732"/>
      <w:r>
        <w:rPr>
          <w:rFonts w:hint="eastAsia" w:ascii="微软雅黑" w:hAnsi="微软雅黑" w:eastAsia="微软雅黑" w:cs="微软雅黑"/>
          <w:b/>
          <w:color w:val="auto"/>
          <w:kern w:val="0"/>
          <w:sz w:val="24"/>
          <w:lang w:val="en-US" w:eastAsia="zh-CN"/>
        </w:rPr>
        <w:t>3</w:t>
      </w:r>
      <w:r>
        <w:rPr>
          <w:rFonts w:hint="eastAsia" w:ascii="微软雅黑" w:hAnsi="微软雅黑" w:eastAsia="微软雅黑" w:cs="微软雅黑"/>
          <w:b/>
          <w:color w:val="auto"/>
          <w:kern w:val="0"/>
          <w:sz w:val="24"/>
        </w:rPr>
        <w:t>、</w:t>
      </w:r>
      <w:bookmarkEnd w:id="541"/>
      <w:bookmarkEnd w:id="542"/>
      <w:bookmarkEnd w:id="543"/>
      <w:bookmarkEnd w:id="544"/>
      <w:bookmarkEnd w:id="545"/>
      <w:bookmarkEnd w:id="546"/>
      <w:bookmarkEnd w:id="547"/>
      <w:r>
        <w:rPr>
          <w:rFonts w:hint="eastAsia" w:ascii="微软雅黑" w:hAnsi="微软雅黑" w:eastAsia="微软雅黑" w:cs="微软雅黑"/>
          <w:b/>
          <w:color w:val="auto"/>
          <w:kern w:val="0"/>
          <w:sz w:val="24"/>
        </w:rPr>
        <w:t>缴纳磋商保证金有效凭证；</w:t>
      </w:r>
      <w:bookmarkEnd w:id="551"/>
    </w:p>
    <w:p w14:paraId="564C2A9B">
      <w:pPr>
        <w:snapToGrid w:val="0"/>
        <w:spacing w:line="360" w:lineRule="exact"/>
        <w:ind w:firstLine="480" w:firstLineChars="200"/>
        <w:textAlignment w:val="baseline"/>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注：本项目以缴纳磋商保证金有效凭证复印件盖公章为准。</w:t>
      </w:r>
    </w:p>
    <w:p w14:paraId="7891CD1A">
      <w:pPr>
        <w:rPr>
          <w:rFonts w:hint="eastAsia" w:ascii="微软雅黑" w:hAnsi="微软雅黑" w:eastAsia="微软雅黑" w:cs="微软雅黑"/>
          <w:color w:val="auto"/>
          <w:sz w:val="24"/>
          <w:szCs w:val="24"/>
        </w:rPr>
      </w:pPr>
      <w:bookmarkStart w:id="552" w:name="_Toc25827"/>
      <w:bookmarkStart w:id="553" w:name="_Toc3552"/>
      <w:bookmarkStart w:id="554" w:name="_Toc12440"/>
      <w:bookmarkStart w:id="555" w:name="_Toc515647816"/>
      <w:bookmarkStart w:id="556" w:name="_Toc22967"/>
      <w:bookmarkStart w:id="557" w:name="_Toc11956"/>
      <w:bookmarkStart w:id="558" w:name="_Toc11180"/>
      <w:r>
        <w:rPr>
          <w:rFonts w:hint="eastAsia" w:ascii="微软雅黑" w:hAnsi="微软雅黑" w:eastAsia="微软雅黑" w:cs="微软雅黑"/>
          <w:color w:val="auto"/>
          <w:sz w:val="24"/>
          <w:szCs w:val="24"/>
        </w:rPr>
        <w:br w:type="page"/>
      </w:r>
    </w:p>
    <w:p w14:paraId="63FFA260">
      <w:pPr>
        <w:pStyle w:val="6"/>
        <w:numPr>
          <w:ilvl w:val="0"/>
          <w:numId w:val="0"/>
        </w:numPr>
        <w:snapToGrid w:val="0"/>
        <w:spacing w:before="0" w:line="240" w:lineRule="atLeast"/>
        <w:ind w:left="1080" w:leftChars="257" w:hanging="540" w:firstLineChars="0"/>
        <w:textAlignment w:val="baseline"/>
        <w:rPr>
          <w:rFonts w:hint="eastAsia" w:ascii="微软雅黑" w:hAnsi="微软雅黑" w:eastAsia="微软雅黑" w:cs="微软雅黑"/>
          <w:color w:val="auto"/>
          <w:sz w:val="28"/>
          <w:szCs w:val="28"/>
        </w:rPr>
      </w:pPr>
      <w:bookmarkStart w:id="559" w:name="_Toc8559"/>
      <w:r>
        <w:rPr>
          <w:rFonts w:hint="eastAsia" w:ascii="微软雅黑" w:hAnsi="微软雅黑" w:eastAsia="微软雅黑" w:cs="微软雅黑"/>
          <w:b/>
          <w:color w:val="auto"/>
          <w:kern w:val="0"/>
          <w:sz w:val="28"/>
          <w:szCs w:val="28"/>
          <w:lang w:val="en-US" w:eastAsia="zh-CN" w:bidi="ar-SA"/>
        </w:rPr>
        <w:t>第二部分</w:t>
      </w:r>
      <w:r>
        <w:rPr>
          <w:rFonts w:hint="eastAsia" w:ascii="微软雅黑" w:hAnsi="微软雅黑" w:eastAsia="微软雅黑" w:cs="微软雅黑"/>
          <w:color w:val="auto"/>
          <w:sz w:val="28"/>
          <w:szCs w:val="28"/>
        </w:rPr>
        <w:t xml:space="preserve">  商务及技术文件</w:t>
      </w:r>
      <w:bookmarkEnd w:id="552"/>
      <w:bookmarkEnd w:id="553"/>
      <w:bookmarkEnd w:id="554"/>
      <w:bookmarkEnd w:id="555"/>
      <w:bookmarkEnd w:id="556"/>
      <w:bookmarkEnd w:id="557"/>
      <w:bookmarkEnd w:id="558"/>
      <w:bookmarkEnd w:id="559"/>
    </w:p>
    <w:p w14:paraId="35F13DF8">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1、磋商书</w:t>
      </w:r>
    </w:p>
    <w:p w14:paraId="53F54C95">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2、磋商分项报价表</w:t>
      </w:r>
    </w:p>
    <w:p w14:paraId="6C9382FB">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说明一览表</w:t>
      </w:r>
    </w:p>
    <w:p w14:paraId="188C17E1">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rPr>
        <w:t>、</w:t>
      </w:r>
      <w:bookmarkStart w:id="560" w:name="_Toc2883_WPSOffice_Level2"/>
      <w:bookmarkStart w:id="561" w:name="_Toc30193_WPSOffice_Level2"/>
      <w:bookmarkStart w:id="562" w:name="_Toc5136_WPSOffice_Level1"/>
      <w:r>
        <w:rPr>
          <w:rFonts w:hint="eastAsia" w:ascii="微软雅黑" w:hAnsi="微软雅黑" w:eastAsia="微软雅黑" w:cs="微软雅黑"/>
          <w:color w:val="auto"/>
          <w:sz w:val="24"/>
        </w:rPr>
        <w:t>商务条款偏离表</w:t>
      </w:r>
    </w:p>
    <w:bookmarkEnd w:id="560"/>
    <w:bookmarkEnd w:id="561"/>
    <w:bookmarkEnd w:id="562"/>
    <w:p w14:paraId="43AC8506">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残疾人福利性单位声明函</w:t>
      </w:r>
    </w:p>
    <w:p w14:paraId="125C68D9">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6</w:t>
      </w:r>
      <w:r>
        <w:rPr>
          <w:rFonts w:hint="eastAsia" w:ascii="微软雅黑" w:hAnsi="微软雅黑" w:eastAsia="微软雅黑" w:cs="微软雅黑"/>
          <w:color w:val="auto"/>
          <w:sz w:val="24"/>
        </w:rPr>
        <w:t>、监狱企业声明函</w:t>
      </w:r>
    </w:p>
    <w:p w14:paraId="6272F042">
      <w:pPr>
        <w:pStyle w:val="18"/>
        <w:spacing w:line="240" w:lineRule="auto"/>
        <w:ind w:firstLine="720" w:firstLineChars="300"/>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7、关于符合本国产品标准的声明函</w:t>
      </w:r>
    </w:p>
    <w:p w14:paraId="715A6DE0">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8、</w:t>
      </w:r>
      <w:r>
        <w:rPr>
          <w:rFonts w:hint="eastAsia" w:ascii="微软雅黑" w:hAnsi="微软雅黑" w:eastAsia="微软雅黑" w:cs="微软雅黑"/>
          <w:color w:val="auto"/>
          <w:sz w:val="24"/>
        </w:rPr>
        <w:t>供应商关联单位的说明</w:t>
      </w:r>
    </w:p>
    <w:p w14:paraId="4004DE62">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9</w:t>
      </w:r>
      <w:r>
        <w:rPr>
          <w:rFonts w:hint="eastAsia" w:ascii="微软雅黑" w:hAnsi="微软雅黑" w:eastAsia="微软雅黑" w:cs="微软雅黑"/>
          <w:color w:val="auto"/>
          <w:sz w:val="24"/>
        </w:rPr>
        <w:t>、其他有利于磋商的技术条件</w:t>
      </w:r>
    </w:p>
    <w:p w14:paraId="61249391">
      <w:pPr>
        <w:pStyle w:val="18"/>
        <w:spacing w:line="240" w:lineRule="auto"/>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10</w:t>
      </w:r>
      <w:r>
        <w:rPr>
          <w:rFonts w:hint="eastAsia" w:ascii="微软雅黑" w:hAnsi="微软雅黑" w:eastAsia="微软雅黑" w:cs="微软雅黑"/>
          <w:color w:val="auto"/>
          <w:sz w:val="24"/>
        </w:rPr>
        <w:t>、响应文件格式范本</w:t>
      </w:r>
    </w:p>
    <w:p w14:paraId="5AC12C27">
      <w:pPr>
        <w:pStyle w:val="18"/>
        <w:snapToGrid w:val="0"/>
        <w:ind w:left="1080" w:leftChars="257" w:hanging="540"/>
        <w:textAlignment w:val="baseline"/>
        <w:rPr>
          <w:rFonts w:hint="eastAsia" w:ascii="微软雅黑" w:hAnsi="微软雅黑" w:eastAsia="微软雅黑" w:cs="微软雅黑"/>
          <w:color w:val="auto"/>
          <w:sz w:val="24"/>
          <w:szCs w:val="24"/>
        </w:rPr>
      </w:pPr>
    </w:p>
    <w:bookmarkEnd w:id="507"/>
    <w:bookmarkEnd w:id="508"/>
    <w:bookmarkEnd w:id="509"/>
    <w:bookmarkEnd w:id="510"/>
    <w:p w14:paraId="172E5340">
      <w:pPr>
        <w:rPr>
          <w:rFonts w:hint="eastAsia" w:ascii="微软雅黑" w:hAnsi="微软雅黑" w:eastAsia="微软雅黑" w:cs="微软雅黑"/>
          <w:color w:val="auto"/>
          <w:sz w:val="24"/>
          <w:szCs w:val="24"/>
        </w:rPr>
      </w:pPr>
      <w:bookmarkStart w:id="563" w:name="_Toc12852"/>
      <w:bookmarkStart w:id="564" w:name="_Toc2041"/>
      <w:bookmarkStart w:id="565" w:name="_Toc14858"/>
      <w:bookmarkStart w:id="566" w:name="_Toc11475"/>
      <w:bookmarkStart w:id="567" w:name="_Toc18506"/>
      <w:bookmarkStart w:id="568" w:name="_Toc8940"/>
      <w:bookmarkStart w:id="569" w:name="_Toc14915"/>
      <w:bookmarkStart w:id="570" w:name="_Toc18614"/>
      <w:bookmarkStart w:id="571" w:name="_Toc22432"/>
      <w:bookmarkStart w:id="572" w:name="_Toc515647817"/>
      <w:bookmarkStart w:id="573" w:name="_Toc9529"/>
      <w:bookmarkStart w:id="574" w:name="_Toc18940"/>
      <w:bookmarkStart w:id="575" w:name="_Toc3467"/>
      <w:bookmarkStart w:id="576" w:name="_Toc16278"/>
      <w:bookmarkStart w:id="577" w:name="_Toc23195"/>
      <w:bookmarkStart w:id="578" w:name="_Toc11664"/>
      <w:bookmarkStart w:id="579" w:name="_Toc21814"/>
      <w:bookmarkStart w:id="580" w:name="_Toc32628"/>
      <w:bookmarkStart w:id="581" w:name="_Toc22132"/>
      <w:bookmarkStart w:id="582" w:name="_Toc25251"/>
      <w:bookmarkStart w:id="583" w:name="_Toc14037"/>
      <w:bookmarkStart w:id="584" w:name="_Toc22104"/>
      <w:bookmarkStart w:id="585" w:name="_Toc18267"/>
      <w:bookmarkStart w:id="586" w:name="_Toc515647819"/>
      <w:bookmarkStart w:id="587" w:name="_Toc6343"/>
      <w:bookmarkStart w:id="588" w:name="_Toc9921"/>
      <w:bookmarkStart w:id="589" w:name="_Toc12151"/>
      <w:bookmarkStart w:id="590" w:name="_Toc24292"/>
      <w:bookmarkStart w:id="591" w:name="_Toc216582816"/>
      <w:r>
        <w:rPr>
          <w:rFonts w:hint="eastAsia" w:ascii="微软雅黑" w:hAnsi="微软雅黑" w:eastAsia="微软雅黑" w:cs="微软雅黑"/>
          <w:color w:val="auto"/>
          <w:sz w:val="24"/>
          <w:szCs w:val="24"/>
        </w:rPr>
        <w:br w:type="page"/>
      </w:r>
    </w:p>
    <w:p w14:paraId="471155ED">
      <w:pPr>
        <w:pStyle w:val="6"/>
        <w:snapToGrid w:val="0"/>
        <w:spacing w:before="0" w:line="240" w:lineRule="atLeast"/>
        <w:ind w:firstLine="3842" w:firstLineChars="1600"/>
        <w:jc w:val="both"/>
        <w:textAlignment w:val="baseline"/>
        <w:rPr>
          <w:rFonts w:hint="eastAsia" w:ascii="微软雅黑" w:hAnsi="微软雅黑" w:eastAsia="微软雅黑" w:cs="微软雅黑"/>
          <w:color w:val="auto"/>
          <w:sz w:val="24"/>
        </w:rPr>
      </w:pPr>
      <w:bookmarkStart w:id="592" w:name="_Toc18703"/>
      <w:r>
        <w:rPr>
          <w:rFonts w:hint="eastAsia" w:ascii="微软雅黑" w:hAnsi="微软雅黑" w:eastAsia="微软雅黑" w:cs="微软雅黑"/>
          <w:color w:val="auto"/>
          <w:sz w:val="24"/>
          <w:szCs w:val="24"/>
        </w:rPr>
        <w:t>1</w:t>
      </w:r>
      <w:bookmarkStart w:id="593" w:name="_Hlt520355504"/>
      <w:bookmarkEnd w:id="593"/>
      <w:r>
        <w:rPr>
          <w:rFonts w:hint="eastAsia" w:ascii="微软雅黑" w:hAnsi="微软雅黑" w:eastAsia="微软雅黑" w:cs="微软雅黑"/>
          <w:color w:val="auto"/>
          <w:sz w:val="24"/>
          <w:szCs w:val="24"/>
        </w:rPr>
        <w:t xml:space="preserve"> 、磋商书</w:t>
      </w:r>
      <w:bookmarkEnd w:id="563"/>
      <w:bookmarkEnd w:id="564"/>
      <w:bookmarkEnd w:id="565"/>
      <w:bookmarkEnd w:id="566"/>
      <w:bookmarkEnd w:id="567"/>
      <w:bookmarkEnd w:id="568"/>
      <w:bookmarkEnd w:id="569"/>
      <w:bookmarkEnd w:id="570"/>
      <w:bookmarkEnd w:id="571"/>
      <w:bookmarkEnd w:id="572"/>
      <w:bookmarkEnd w:id="592"/>
    </w:p>
    <w:p w14:paraId="3567D771">
      <w:pPr>
        <w:tabs>
          <w:tab w:val="left" w:pos="5580"/>
        </w:tabs>
        <w:snapToGrid w:val="0"/>
        <w:spacing w:line="400" w:lineRule="atLeast"/>
        <w:ind w:left="1080" w:hanging="108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致：</w:t>
      </w:r>
    </w:p>
    <w:p w14:paraId="122DEFBB">
      <w:pPr>
        <w:pStyle w:val="18"/>
        <w:tabs>
          <w:tab w:val="left" w:pos="5580"/>
        </w:tabs>
        <w:snapToGrid w:val="0"/>
        <w:spacing w:line="400" w:lineRule="atLeast"/>
        <w:ind w:left="2" w:leftChars="1" w:firstLine="480" w:firstLineChars="20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根据贵方(</w:t>
      </w:r>
      <w:r>
        <w:rPr>
          <w:rFonts w:hint="eastAsia" w:ascii="微软雅黑" w:hAnsi="微软雅黑" w:eastAsia="微软雅黑" w:cs="微软雅黑"/>
          <w:i/>
          <w:color w:val="auto"/>
          <w:sz w:val="24"/>
          <w:szCs w:val="24"/>
          <w:u w:val="single" w:color="000000"/>
        </w:rPr>
        <w:t>项目名称</w:t>
      </w:r>
      <w:r>
        <w:rPr>
          <w:rFonts w:hint="eastAsia" w:ascii="微软雅黑" w:hAnsi="微软雅黑" w:eastAsia="微软雅黑" w:cs="微软雅黑"/>
          <w:color w:val="auto"/>
          <w:sz w:val="24"/>
          <w:szCs w:val="24"/>
        </w:rPr>
        <w:t>)项目的磋商邀请(</w:t>
      </w:r>
      <w:r>
        <w:rPr>
          <w:rFonts w:hint="eastAsia" w:ascii="微软雅黑" w:hAnsi="微软雅黑" w:eastAsia="微软雅黑" w:cs="微软雅黑"/>
          <w:i/>
          <w:color w:val="auto"/>
          <w:sz w:val="24"/>
          <w:szCs w:val="24"/>
          <w:u w:val="single" w:color="000000"/>
        </w:rPr>
        <w:t>项目编号</w:t>
      </w:r>
      <w:r>
        <w:rPr>
          <w:rFonts w:hint="eastAsia" w:ascii="微软雅黑" w:hAnsi="微软雅黑" w:eastAsia="微软雅黑" w:cs="微软雅黑"/>
          <w:color w:val="auto"/>
          <w:sz w:val="24"/>
          <w:szCs w:val="24"/>
        </w:rPr>
        <w:t>),签字代表(</w:t>
      </w:r>
      <w:r>
        <w:rPr>
          <w:rFonts w:hint="eastAsia" w:ascii="微软雅黑" w:hAnsi="微软雅黑" w:eastAsia="微软雅黑" w:cs="微软雅黑"/>
          <w:i/>
          <w:color w:val="auto"/>
          <w:sz w:val="24"/>
          <w:szCs w:val="24"/>
          <w:u w:val="single" w:color="000000"/>
        </w:rPr>
        <w:t>姓名、职务</w:t>
      </w:r>
      <w:r>
        <w:rPr>
          <w:rFonts w:hint="eastAsia" w:ascii="微软雅黑" w:hAnsi="微软雅黑" w:eastAsia="微软雅黑" w:cs="微软雅黑"/>
          <w:color w:val="auto"/>
          <w:sz w:val="24"/>
          <w:szCs w:val="24"/>
        </w:rPr>
        <w:t>)经正式授权并代表供应商（</w:t>
      </w:r>
      <w:r>
        <w:rPr>
          <w:rFonts w:hint="eastAsia" w:ascii="微软雅黑" w:hAnsi="微软雅黑" w:eastAsia="微软雅黑" w:cs="微软雅黑"/>
          <w:i/>
          <w:color w:val="auto"/>
          <w:sz w:val="24"/>
          <w:szCs w:val="24"/>
          <w:u w:val="single" w:color="000000"/>
        </w:rPr>
        <w:t>名称、地址</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上传并签署响应文件</w:t>
      </w:r>
      <w:r>
        <w:rPr>
          <w:rFonts w:hint="eastAsia" w:ascii="微软雅黑" w:hAnsi="微软雅黑" w:eastAsia="微软雅黑" w:cs="微软雅黑"/>
          <w:color w:val="auto"/>
          <w:sz w:val="24"/>
          <w:szCs w:val="24"/>
        </w:rPr>
        <w:t>，并以</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形式出具的金额为人民币</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rPr>
        <w:t>元的磋商保证金。</w:t>
      </w:r>
    </w:p>
    <w:p w14:paraId="1EFEF648">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据此，签字代表宣布同意如下：</w:t>
      </w:r>
    </w:p>
    <w:p w14:paraId="03628D12">
      <w:pPr>
        <w:pStyle w:val="18"/>
        <w:tabs>
          <w:tab w:val="left" w:pos="720"/>
          <w:tab w:val="left" w:pos="900"/>
        </w:tabs>
        <w:snapToGrid w:val="0"/>
        <w:spacing w:line="400" w:lineRule="atLeast"/>
        <w:ind w:left="769" w:leftChars="257" w:hanging="229"/>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（1）附磋商价格表中规定的应提供</w:t>
      </w:r>
      <w:r>
        <w:rPr>
          <w:rFonts w:hint="eastAsia" w:ascii="微软雅黑" w:hAnsi="微软雅黑" w:eastAsia="微软雅黑" w:cs="微软雅黑"/>
          <w:color w:val="auto"/>
          <w:sz w:val="24"/>
          <w:szCs w:val="24"/>
          <w:lang w:val="en-US" w:eastAsia="zh-CN"/>
        </w:rPr>
        <w:t>的服务</w:t>
      </w:r>
      <w:r>
        <w:rPr>
          <w:rFonts w:hint="eastAsia" w:ascii="微软雅黑" w:hAnsi="微软雅黑" w:eastAsia="微软雅黑" w:cs="微软雅黑"/>
          <w:color w:val="auto"/>
          <w:sz w:val="24"/>
          <w:szCs w:val="24"/>
        </w:rPr>
        <w:t>磋商总价详见磋商开启一览表，</w:t>
      </w:r>
      <w:r>
        <w:rPr>
          <w:rFonts w:hint="eastAsia" w:ascii="微软雅黑" w:hAnsi="微软雅黑" w:eastAsia="微软雅黑" w:cs="微软雅黑"/>
          <w:color w:val="auto"/>
          <w:sz w:val="24"/>
          <w:szCs w:val="24"/>
          <w:u w:val="single" w:color="000000"/>
        </w:rPr>
        <w:t>其中由小型和</w:t>
      </w:r>
      <w:r>
        <w:rPr>
          <w:rFonts w:hint="eastAsia" w:ascii="微软雅黑" w:hAnsi="微软雅黑" w:eastAsia="微软雅黑" w:cs="微软雅黑"/>
          <w:color w:val="auto"/>
          <w:sz w:val="24"/>
          <w:szCs w:val="24"/>
        </w:rPr>
        <w:t>微型企业</w:t>
      </w:r>
      <w:r>
        <w:rPr>
          <w:rFonts w:hint="eastAsia" w:ascii="微软雅黑" w:hAnsi="微软雅黑" w:eastAsia="微软雅黑" w:cs="微软雅黑"/>
          <w:color w:val="auto"/>
          <w:sz w:val="24"/>
          <w:szCs w:val="24"/>
          <w:lang w:eastAsia="zh-CN"/>
        </w:rPr>
        <w:t>承接商</w:t>
      </w:r>
      <w:r>
        <w:rPr>
          <w:rFonts w:hint="eastAsia" w:ascii="微软雅黑" w:hAnsi="微软雅黑" w:eastAsia="微软雅黑" w:cs="微软雅黑"/>
          <w:color w:val="auto"/>
          <w:sz w:val="24"/>
          <w:szCs w:val="24"/>
        </w:rPr>
        <w:t>的价格为</w:t>
      </w:r>
      <w:r>
        <w:rPr>
          <w:rFonts w:hint="eastAsia" w:ascii="微软雅黑" w:hAnsi="微软雅黑" w:eastAsia="微软雅黑" w:cs="微软雅黑"/>
          <w:color w:val="auto"/>
          <w:sz w:val="24"/>
          <w:szCs w:val="24"/>
          <w:u w:val="single" w:color="000000"/>
        </w:rPr>
        <w:t>　　  （用文字和数字表示），占磋商总价   %</w:t>
      </w:r>
      <w:r>
        <w:rPr>
          <w:rFonts w:hint="eastAsia" w:ascii="微软雅黑" w:hAnsi="微软雅黑" w:eastAsia="微软雅黑" w:cs="微软雅黑"/>
          <w:color w:val="auto"/>
          <w:sz w:val="24"/>
          <w:szCs w:val="24"/>
        </w:rPr>
        <w:t>。</w:t>
      </w:r>
    </w:p>
    <w:p w14:paraId="06EB0D76">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（2）本磋商有效期为自磋商截止之日起</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个日历日。</w:t>
      </w:r>
    </w:p>
    <w:p w14:paraId="0701A5F5">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（3）联合体中的大中型企业和其他自然人、法人或者非法人组织，与联合体中的小型、微型企业之间</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存在、不存在）投资关系（如果是联合体的话）。</w:t>
      </w:r>
    </w:p>
    <w:p w14:paraId="085D014A">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（4）已详细审查全部磋商文件，包括所有补充通知（如果有的话），完全理解并同意放弃对这方面有不明、误解和质疑的权力。</w:t>
      </w:r>
    </w:p>
    <w:p w14:paraId="6F3A9445">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（5）在规定的磋商开启时间后，遵守磋商文件中有关保证金的规定。</w:t>
      </w:r>
    </w:p>
    <w:p w14:paraId="3EE2BFFE">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（6）我方不是为本项目提供整体设计、规范编制或者项目管理、监理、检测等服务的供应商，我方不是采购代理机构的附属机构。</w:t>
      </w:r>
    </w:p>
    <w:p w14:paraId="71065EF7">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（7）在领取成交通知书的同时按磋商文件规定的形式，向贵方一次性支付成交服务费。</w:t>
      </w:r>
    </w:p>
    <w:p w14:paraId="267FE996">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（8）按照贵方可能要求，提供与其磋商有关的一切数据或资料，完全理解贵方不一定接受最低价的磋商或收到的任何磋商。</w:t>
      </w:r>
    </w:p>
    <w:p w14:paraId="73D39149">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（9）按照磋商文件的规定履行合同责任和义务。</w:t>
      </w:r>
    </w:p>
    <w:p w14:paraId="2B40DDA4">
      <w:pPr>
        <w:pStyle w:val="18"/>
        <w:tabs>
          <w:tab w:val="left" w:pos="5580"/>
        </w:tabs>
        <w:snapToGrid w:val="0"/>
        <w:spacing w:line="400" w:lineRule="atLeast"/>
        <w:ind w:left="359" w:leftChars="68" w:hanging="216" w:hangingChars="9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与本磋商有关的一切正式往来信函请寄：</w:t>
      </w:r>
    </w:p>
    <w:p w14:paraId="687D4224">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地址</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传真</w:t>
      </w:r>
      <w:r>
        <w:rPr>
          <w:rFonts w:hint="eastAsia" w:ascii="微软雅黑" w:hAnsi="微软雅黑" w:eastAsia="微软雅黑" w:cs="微软雅黑"/>
          <w:color w:val="auto"/>
          <w:sz w:val="24"/>
          <w:szCs w:val="24"/>
          <w:u w:val="single" w:color="000000"/>
        </w:rPr>
        <w:t xml:space="preserve">                             </w:t>
      </w:r>
    </w:p>
    <w:p w14:paraId="577D4758">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电子函件</w:t>
      </w:r>
      <w:r>
        <w:rPr>
          <w:rFonts w:hint="eastAsia" w:ascii="微软雅黑" w:hAnsi="微软雅黑" w:eastAsia="微软雅黑" w:cs="微软雅黑"/>
          <w:color w:val="auto"/>
          <w:sz w:val="24"/>
          <w:szCs w:val="24"/>
          <w:u w:val="single" w:color="000000"/>
        </w:rPr>
        <w:t xml:space="preserve">                         </w:t>
      </w:r>
    </w:p>
    <w:p w14:paraId="6A820037">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color="000000"/>
        </w:rPr>
        <w:t xml:space="preserve">　　　　　　 </w:t>
      </w:r>
    </w:p>
    <w:p w14:paraId="4E52059C">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供应商名称（全称）</w:t>
      </w:r>
      <w:r>
        <w:rPr>
          <w:rFonts w:hint="eastAsia" w:ascii="微软雅黑" w:hAnsi="微软雅黑" w:eastAsia="微软雅黑" w:cs="微软雅黑"/>
          <w:color w:val="auto"/>
          <w:sz w:val="24"/>
          <w:szCs w:val="24"/>
          <w:u w:val="single" w:color="000000"/>
        </w:rPr>
        <w:t xml:space="preserve">　　　　　　 </w:t>
      </w:r>
    </w:p>
    <w:p w14:paraId="2A17C3CB">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供应商开户银行（全称）</w:t>
      </w:r>
      <w:r>
        <w:rPr>
          <w:rFonts w:hint="eastAsia" w:ascii="微软雅黑" w:hAnsi="微软雅黑" w:eastAsia="微软雅黑" w:cs="微软雅黑"/>
          <w:color w:val="auto"/>
          <w:sz w:val="24"/>
          <w:szCs w:val="24"/>
          <w:u w:val="single" w:color="000000"/>
        </w:rPr>
        <w:t xml:space="preserve">　　　　　　 </w:t>
      </w:r>
    </w:p>
    <w:p w14:paraId="239636B5">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供应商银行帐号</w:t>
      </w:r>
      <w:r>
        <w:rPr>
          <w:rFonts w:hint="eastAsia" w:ascii="微软雅黑" w:hAnsi="微软雅黑" w:eastAsia="微软雅黑" w:cs="微软雅黑"/>
          <w:color w:val="auto"/>
          <w:sz w:val="24"/>
          <w:szCs w:val="24"/>
          <w:u w:val="single" w:color="000000"/>
        </w:rPr>
        <w:t>　　　　　　　　 　　</w:t>
      </w:r>
    </w:p>
    <w:p w14:paraId="14B8D57F">
      <w:pPr>
        <w:pStyle w:val="18"/>
        <w:tabs>
          <w:tab w:val="left" w:pos="5580"/>
        </w:tabs>
        <w:snapToGrid w:val="0"/>
        <w:spacing w:line="400" w:lineRule="atLeast"/>
        <w:ind w:left="1080" w:leftChars="257" w:hanging="540"/>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color="000000"/>
        </w:rPr>
        <w:t>　　　　　　</w:t>
      </w:r>
      <w:bookmarkStart w:id="594" w:name="_Toc20897"/>
      <w:bookmarkStart w:id="595" w:name="_Toc515647818"/>
      <w:bookmarkStart w:id="596" w:name="_Toc1881"/>
      <w:bookmarkStart w:id="597" w:name="_Toc216582815"/>
    </w:p>
    <w:bookmarkEnd w:id="594"/>
    <w:bookmarkEnd w:id="595"/>
    <w:bookmarkEnd w:id="596"/>
    <w:bookmarkEnd w:id="597"/>
    <w:p w14:paraId="3BE74153">
      <w:pPr>
        <w:pStyle w:val="18"/>
        <w:spacing w:line="360" w:lineRule="exact"/>
        <w:rPr>
          <w:rFonts w:hint="eastAsia" w:ascii="微软雅黑" w:hAnsi="微软雅黑" w:eastAsia="微软雅黑" w:cs="微软雅黑"/>
          <w:b/>
          <w:color w:val="auto"/>
          <w:kern w:val="0"/>
          <w:sz w:val="24"/>
        </w:rPr>
      </w:pPr>
    </w:p>
    <w:p w14:paraId="4C154FB1">
      <w:pPr>
        <w:pStyle w:val="18"/>
        <w:spacing w:line="360" w:lineRule="exact"/>
        <w:rPr>
          <w:rFonts w:hint="eastAsia" w:ascii="微软雅黑" w:hAnsi="微软雅黑" w:eastAsia="微软雅黑" w:cs="微软雅黑"/>
          <w:b/>
          <w:color w:val="auto"/>
          <w:kern w:val="0"/>
          <w:sz w:val="24"/>
        </w:rPr>
      </w:pPr>
    </w:p>
    <w:p w14:paraId="579CDE21">
      <w:pPr>
        <w:pStyle w:val="18"/>
        <w:spacing w:line="360" w:lineRule="exact"/>
        <w:rPr>
          <w:rFonts w:hint="eastAsia" w:ascii="微软雅黑" w:hAnsi="微软雅黑" w:eastAsia="微软雅黑" w:cs="微软雅黑"/>
          <w:b/>
          <w:color w:val="auto"/>
          <w:kern w:val="0"/>
          <w:sz w:val="24"/>
        </w:rPr>
      </w:pPr>
    </w:p>
    <w:p w14:paraId="39959971">
      <w:pPr>
        <w:pStyle w:val="18"/>
        <w:spacing w:line="360" w:lineRule="exact"/>
        <w:rPr>
          <w:rFonts w:hint="eastAsia" w:ascii="微软雅黑" w:hAnsi="微软雅黑" w:eastAsia="微软雅黑" w:cs="微软雅黑"/>
          <w:b/>
          <w:color w:val="auto"/>
          <w:kern w:val="0"/>
          <w:sz w:val="24"/>
        </w:rPr>
      </w:pPr>
    </w:p>
    <w:p w14:paraId="0F6BF15C">
      <w:pPr>
        <w:pStyle w:val="18"/>
        <w:spacing w:line="360" w:lineRule="exact"/>
        <w:rPr>
          <w:rFonts w:hint="eastAsia" w:ascii="微软雅黑" w:hAnsi="微软雅黑" w:eastAsia="微软雅黑" w:cs="微软雅黑"/>
          <w:b/>
          <w:color w:val="auto"/>
          <w:kern w:val="0"/>
          <w:sz w:val="24"/>
        </w:rPr>
      </w:pPr>
    </w:p>
    <w:p w14:paraId="6CF70370">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p>
    <w:p w14:paraId="5DF07A48">
      <w:pPr>
        <w:pStyle w:val="6"/>
        <w:spacing w:before="0" w:line="360" w:lineRule="exact"/>
        <w:ind w:left="1080" w:leftChars="257" w:hanging="540"/>
        <w:rPr>
          <w:rFonts w:hint="eastAsia" w:ascii="微软雅黑" w:hAnsi="微软雅黑" w:eastAsia="微软雅黑" w:cs="微软雅黑"/>
          <w:color w:val="auto"/>
          <w:sz w:val="24"/>
          <w:szCs w:val="24"/>
        </w:rPr>
      </w:pPr>
      <w:bookmarkStart w:id="598" w:name="_Toc18444"/>
      <w:r>
        <w:rPr>
          <w:rFonts w:hint="eastAsia" w:ascii="微软雅黑" w:hAnsi="微软雅黑" w:eastAsia="微软雅黑" w:cs="微软雅黑"/>
          <w:color w:val="auto"/>
          <w:sz w:val="24"/>
          <w:szCs w:val="24"/>
        </w:rPr>
        <w:t xml:space="preserve">2 </w:t>
      </w:r>
      <w:bookmarkStart w:id="599" w:name="_Toc5101"/>
      <w:r>
        <w:rPr>
          <w:rFonts w:hint="eastAsia" w:ascii="微软雅黑" w:hAnsi="微软雅黑" w:eastAsia="微软雅黑" w:cs="微软雅黑"/>
          <w:color w:val="auto"/>
          <w:sz w:val="24"/>
          <w:szCs w:val="24"/>
        </w:rPr>
        <w:t>、</w:t>
      </w:r>
      <w:r>
        <w:rPr>
          <w:rFonts w:hint="eastAsia" w:ascii="微软雅黑" w:hAnsi="微软雅黑" w:eastAsia="微软雅黑" w:cs="微软雅黑"/>
          <w:bCs/>
          <w:color w:val="auto"/>
          <w:sz w:val="24"/>
          <w:szCs w:val="24"/>
        </w:rPr>
        <w:t>磋商分项报价表</w:t>
      </w:r>
      <w:bookmarkEnd w:id="573"/>
      <w:bookmarkEnd w:id="598"/>
      <w:bookmarkEnd w:id="599"/>
    </w:p>
    <w:p w14:paraId="53B6DF56">
      <w:pPr>
        <w:pStyle w:val="18"/>
        <w:spacing w:line="360" w:lineRule="exact"/>
        <w:jc w:val="left"/>
        <w:rPr>
          <w:rFonts w:hint="eastAsia" w:ascii="微软雅黑" w:hAnsi="微软雅黑" w:eastAsia="微软雅黑" w:cs="微软雅黑"/>
          <w:color w:val="auto"/>
          <w:sz w:val="24"/>
          <w:szCs w:val="24"/>
        </w:rPr>
      </w:pPr>
    </w:p>
    <w:p w14:paraId="6BA4E919">
      <w:pPr>
        <w:pStyle w:val="18"/>
        <w:spacing w:line="400" w:lineRule="exact"/>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项目名称:                      招标编号:                       　 　             报价单位：</w:t>
      </w:r>
      <w:r>
        <w:rPr>
          <w:rFonts w:hint="eastAsia" w:ascii="微软雅黑" w:hAnsi="微软雅黑" w:eastAsia="微软雅黑" w:cs="微软雅黑"/>
          <w:color w:val="auto"/>
          <w:sz w:val="24"/>
          <w:szCs w:val="24"/>
          <w:lang w:eastAsia="zh-CN"/>
        </w:rPr>
        <w:t>人民币</w:t>
      </w:r>
      <w:r>
        <w:rPr>
          <w:rFonts w:hint="eastAsia" w:ascii="微软雅黑" w:hAnsi="微软雅黑" w:eastAsia="微软雅黑" w:cs="微软雅黑"/>
          <w:color w:val="auto"/>
          <w:sz w:val="24"/>
          <w:szCs w:val="24"/>
          <w:lang w:val="en-US" w:eastAsia="zh-CN"/>
        </w:rPr>
        <w:t xml:space="preserve"> 元</w:t>
      </w:r>
    </w:p>
    <w:tbl>
      <w:tblPr>
        <w:tblStyle w:val="36"/>
        <w:tblpPr w:leftFromText="180" w:rightFromText="180" w:vertAnchor="text" w:horzAnchor="page" w:tblpX="1365" w:tblpY="167"/>
        <w:tblOverlap w:val="never"/>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402"/>
        <w:gridCol w:w="1666"/>
        <w:gridCol w:w="1507"/>
        <w:gridCol w:w="1507"/>
        <w:gridCol w:w="1507"/>
        <w:gridCol w:w="880"/>
        <w:gridCol w:w="880"/>
      </w:tblGrid>
      <w:tr w14:paraId="0D79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86" w:type="dxa"/>
            <w:noWrap/>
            <w:vAlign w:val="center"/>
          </w:tcPr>
          <w:p w14:paraId="2AC46331">
            <w:pPr>
              <w:pStyle w:val="18"/>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402" w:type="dxa"/>
            <w:noWrap/>
            <w:vAlign w:val="center"/>
          </w:tcPr>
          <w:p w14:paraId="3B805C5C">
            <w:pPr>
              <w:pStyle w:val="18"/>
              <w:spacing w:line="36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服务名称</w:t>
            </w:r>
          </w:p>
        </w:tc>
        <w:tc>
          <w:tcPr>
            <w:tcW w:w="1666" w:type="dxa"/>
            <w:noWrap/>
            <w:vAlign w:val="center"/>
          </w:tcPr>
          <w:p w14:paraId="5F71F251">
            <w:pPr>
              <w:pStyle w:val="18"/>
              <w:spacing w:line="36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服务内容</w:t>
            </w:r>
          </w:p>
        </w:tc>
        <w:tc>
          <w:tcPr>
            <w:tcW w:w="1507" w:type="dxa"/>
            <w:noWrap/>
            <w:vAlign w:val="center"/>
          </w:tcPr>
          <w:p w14:paraId="46B13029">
            <w:pPr>
              <w:pStyle w:val="18"/>
              <w:spacing w:line="36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数量</w:t>
            </w:r>
          </w:p>
        </w:tc>
        <w:tc>
          <w:tcPr>
            <w:tcW w:w="1507" w:type="dxa"/>
            <w:noWrap/>
            <w:vAlign w:val="center"/>
          </w:tcPr>
          <w:p w14:paraId="71F53F9C">
            <w:pPr>
              <w:pStyle w:val="18"/>
              <w:spacing w:line="36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单位</w:t>
            </w:r>
          </w:p>
        </w:tc>
        <w:tc>
          <w:tcPr>
            <w:tcW w:w="1507" w:type="dxa"/>
            <w:noWrap/>
            <w:vAlign w:val="center"/>
          </w:tcPr>
          <w:p w14:paraId="2C8175F8">
            <w:pPr>
              <w:pStyle w:val="18"/>
              <w:spacing w:line="36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单价</w:t>
            </w:r>
          </w:p>
        </w:tc>
        <w:tc>
          <w:tcPr>
            <w:tcW w:w="880" w:type="dxa"/>
            <w:noWrap/>
            <w:vAlign w:val="center"/>
          </w:tcPr>
          <w:p w14:paraId="6E2EB30E">
            <w:pPr>
              <w:pStyle w:val="18"/>
              <w:spacing w:line="36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总价</w:t>
            </w:r>
          </w:p>
        </w:tc>
        <w:tc>
          <w:tcPr>
            <w:tcW w:w="880" w:type="dxa"/>
            <w:noWrap/>
            <w:vAlign w:val="center"/>
          </w:tcPr>
          <w:p w14:paraId="4704AE13">
            <w:pPr>
              <w:pStyle w:val="18"/>
              <w:spacing w:line="36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14:paraId="2D0B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86" w:type="dxa"/>
            <w:noWrap/>
            <w:vAlign w:val="center"/>
          </w:tcPr>
          <w:p w14:paraId="41E296F6">
            <w:pPr>
              <w:pStyle w:val="18"/>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1402" w:type="dxa"/>
            <w:noWrap/>
            <w:vAlign w:val="center"/>
          </w:tcPr>
          <w:p w14:paraId="4A8994C2">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666" w:type="dxa"/>
            <w:noWrap/>
            <w:vAlign w:val="center"/>
          </w:tcPr>
          <w:p w14:paraId="4E866CF3">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1449ED1B">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2D8907F1">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2F5A6F3B">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880" w:type="dxa"/>
            <w:noWrap/>
            <w:vAlign w:val="center"/>
          </w:tcPr>
          <w:p w14:paraId="2DD41817">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880" w:type="dxa"/>
            <w:noWrap/>
            <w:vAlign w:val="center"/>
          </w:tcPr>
          <w:p w14:paraId="433BCFAB">
            <w:pPr>
              <w:pStyle w:val="18"/>
              <w:spacing w:line="360" w:lineRule="exact"/>
              <w:ind w:left="1080" w:leftChars="257" w:hanging="540"/>
              <w:jc w:val="center"/>
              <w:rPr>
                <w:rFonts w:hint="eastAsia" w:ascii="微软雅黑" w:hAnsi="微软雅黑" w:eastAsia="微软雅黑" w:cs="微软雅黑"/>
                <w:color w:val="auto"/>
                <w:sz w:val="24"/>
                <w:szCs w:val="24"/>
              </w:rPr>
            </w:pPr>
          </w:p>
        </w:tc>
      </w:tr>
      <w:tr w14:paraId="057A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86" w:type="dxa"/>
            <w:noWrap/>
            <w:vAlign w:val="center"/>
          </w:tcPr>
          <w:p w14:paraId="238D9631">
            <w:pPr>
              <w:pStyle w:val="18"/>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1402" w:type="dxa"/>
            <w:noWrap/>
            <w:vAlign w:val="center"/>
          </w:tcPr>
          <w:p w14:paraId="7FD6FF6B">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666" w:type="dxa"/>
            <w:noWrap/>
            <w:vAlign w:val="center"/>
          </w:tcPr>
          <w:p w14:paraId="7BBDB01A">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4E4B9D28">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142611D0">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2002A277">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880" w:type="dxa"/>
            <w:noWrap/>
            <w:vAlign w:val="center"/>
          </w:tcPr>
          <w:p w14:paraId="11372D40">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880" w:type="dxa"/>
            <w:noWrap/>
            <w:vAlign w:val="center"/>
          </w:tcPr>
          <w:p w14:paraId="63C2E2CB">
            <w:pPr>
              <w:pStyle w:val="18"/>
              <w:spacing w:line="360" w:lineRule="exact"/>
              <w:ind w:left="1080" w:leftChars="257" w:hanging="540"/>
              <w:jc w:val="center"/>
              <w:rPr>
                <w:rFonts w:hint="eastAsia" w:ascii="微软雅黑" w:hAnsi="微软雅黑" w:eastAsia="微软雅黑" w:cs="微软雅黑"/>
                <w:color w:val="auto"/>
                <w:sz w:val="24"/>
                <w:szCs w:val="24"/>
              </w:rPr>
            </w:pPr>
          </w:p>
        </w:tc>
      </w:tr>
      <w:tr w14:paraId="2F79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86" w:type="dxa"/>
            <w:noWrap/>
            <w:vAlign w:val="center"/>
          </w:tcPr>
          <w:p w14:paraId="581AEBC1">
            <w:pPr>
              <w:pStyle w:val="18"/>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1402" w:type="dxa"/>
            <w:noWrap/>
            <w:vAlign w:val="center"/>
          </w:tcPr>
          <w:p w14:paraId="16844BE6">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666" w:type="dxa"/>
            <w:noWrap/>
            <w:vAlign w:val="center"/>
          </w:tcPr>
          <w:p w14:paraId="3E434C1C">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14664EFD">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5BEE6CDB">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719D46E2">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880" w:type="dxa"/>
            <w:noWrap/>
            <w:vAlign w:val="center"/>
          </w:tcPr>
          <w:p w14:paraId="24C09F27">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880" w:type="dxa"/>
            <w:noWrap/>
            <w:vAlign w:val="center"/>
          </w:tcPr>
          <w:p w14:paraId="3F99DE1A">
            <w:pPr>
              <w:pStyle w:val="18"/>
              <w:spacing w:line="360" w:lineRule="exact"/>
              <w:ind w:left="1080" w:leftChars="257" w:hanging="540"/>
              <w:jc w:val="center"/>
              <w:rPr>
                <w:rFonts w:hint="eastAsia" w:ascii="微软雅黑" w:hAnsi="微软雅黑" w:eastAsia="微软雅黑" w:cs="微软雅黑"/>
                <w:color w:val="auto"/>
                <w:sz w:val="24"/>
                <w:szCs w:val="24"/>
              </w:rPr>
            </w:pPr>
          </w:p>
        </w:tc>
      </w:tr>
      <w:tr w14:paraId="0419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86" w:type="dxa"/>
            <w:noWrap/>
            <w:vAlign w:val="center"/>
          </w:tcPr>
          <w:p w14:paraId="4AF1A41E">
            <w:pPr>
              <w:pStyle w:val="18"/>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p>
        </w:tc>
        <w:tc>
          <w:tcPr>
            <w:tcW w:w="1402" w:type="dxa"/>
            <w:noWrap/>
            <w:vAlign w:val="center"/>
          </w:tcPr>
          <w:p w14:paraId="058551B4">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666" w:type="dxa"/>
            <w:noWrap/>
            <w:vAlign w:val="center"/>
          </w:tcPr>
          <w:p w14:paraId="7D936B90">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3EAED2D0">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7A65D29F">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5CE27ED3">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880" w:type="dxa"/>
            <w:noWrap/>
            <w:vAlign w:val="center"/>
          </w:tcPr>
          <w:p w14:paraId="6E9412D8">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880" w:type="dxa"/>
            <w:noWrap/>
            <w:vAlign w:val="center"/>
          </w:tcPr>
          <w:p w14:paraId="43314B7C">
            <w:pPr>
              <w:pStyle w:val="18"/>
              <w:spacing w:line="360" w:lineRule="exact"/>
              <w:ind w:left="1080" w:leftChars="257" w:hanging="540"/>
              <w:jc w:val="center"/>
              <w:rPr>
                <w:rFonts w:hint="eastAsia" w:ascii="微软雅黑" w:hAnsi="微软雅黑" w:eastAsia="微软雅黑" w:cs="微软雅黑"/>
                <w:color w:val="auto"/>
                <w:sz w:val="24"/>
                <w:szCs w:val="24"/>
              </w:rPr>
            </w:pPr>
          </w:p>
        </w:tc>
      </w:tr>
      <w:tr w14:paraId="48BC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86" w:type="dxa"/>
            <w:noWrap/>
            <w:vAlign w:val="center"/>
          </w:tcPr>
          <w:p w14:paraId="08D8DC9A">
            <w:pPr>
              <w:pStyle w:val="18"/>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p>
        </w:tc>
        <w:tc>
          <w:tcPr>
            <w:tcW w:w="1402" w:type="dxa"/>
            <w:noWrap/>
            <w:vAlign w:val="center"/>
          </w:tcPr>
          <w:p w14:paraId="66B480A3">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666" w:type="dxa"/>
            <w:noWrap/>
            <w:vAlign w:val="center"/>
          </w:tcPr>
          <w:p w14:paraId="6BB2FC3D">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42292835">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4FF5C1CB">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1507" w:type="dxa"/>
            <w:noWrap/>
            <w:vAlign w:val="center"/>
          </w:tcPr>
          <w:p w14:paraId="0E93D9F6">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880" w:type="dxa"/>
            <w:noWrap/>
            <w:vAlign w:val="center"/>
          </w:tcPr>
          <w:p w14:paraId="319ACBF4">
            <w:pPr>
              <w:pStyle w:val="18"/>
              <w:spacing w:line="360" w:lineRule="exact"/>
              <w:ind w:left="1080" w:leftChars="257" w:hanging="540"/>
              <w:jc w:val="center"/>
              <w:rPr>
                <w:rFonts w:hint="eastAsia" w:ascii="微软雅黑" w:hAnsi="微软雅黑" w:eastAsia="微软雅黑" w:cs="微软雅黑"/>
                <w:color w:val="auto"/>
                <w:sz w:val="24"/>
                <w:szCs w:val="24"/>
              </w:rPr>
            </w:pPr>
          </w:p>
        </w:tc>
        <w:tc>
          <w:tcPr>
            <w:tcW w:w="880" w:type="dxa"/>
            <w:noWrap/>
            <w:vAlign w:val="center"/>
          </w:tcPr>
          <w:p w14:paraId="24BD62F8">
            <w:pPr>
              <w:pStyle w:val="18"/>
              <w:spacing w:line="360" w:lineRule="exact"/>
              <w:ind w:left="1080" w:leftChars="257" w:hanging="540"/>
              <w:jc w:val="center"/>
              <w:rPr>
                <w:rFonts w:hint="eastAsia" w:ascii="微软雅黑" w:hAnsi="微软雅黑" w:eastAsia="微软雅黑" w:cs="微软雅黑"/>
                <w:color w:val="auto"/>
                <w:sz w:val="24"/>
                <w:szCs w:val="24"/>
              </w:rPr>
            </w:pPr>
          </w:p>
        </w:tc>
      </w:tr>
      <w:tr w14:paraId="7235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935" w:type="dxa"/>
            <w:gridSpan w:val="8"/>
            <w:noWrap/>
            <w:vAlign w:val="center"/>
          </w:tcPr>
          <w:p w14:paraId="2706143A">
            <w:pPr>
              <w:pStyle w:val="18"/>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总价：</w:t>
            </w:r>
          </w:p>
        </w:tc>
      </w:tr>
    </w:tbl>
    <w:p w14:paraId="791825A0">
      <w:pPr>
        <w:pStyle w:val="18"/>
        <w:spacing w:line="400" w:lineRule="exact"/>
        <w:jc w:val="left"/>
        <w:rPr>
          <w:rFonts w:hint="eastAsia" w:ascii="微软雅黑" w:hAnsi="微软雅黑" w:eastAsia="微软雅黑" w:cs="微软雅黑"/>
          <w:color w:val="auto"/>
          <w:sz w:val="24"/>
          <w:szCs w:val="24"/>
        </w:rPr>
      </w:pPr>
    </w:p>
    <w:p w14:paraId="3DA11DFB">
      <w:pPr>
        <w:pStyle w:val="18"/>
        <w:spacing w:line="400" w:lineRule="exact"/>
        <w:ind w:left="1080" w:leftChars="257" w:hanging="540"/>
        <w:rPr>
          <w:rFonts w:hint="eastAsia" w:ascii="微软雅黑" w:hAnsi="微软雅黑" w:eastAsia="微软雅黑" w:cs="微软雅黑"/>
          <w:color w:val="auto"/>
          <w:sz w:val="24"/>
          <w:szCs w:val="24"/>
        </w:rPr>
      </w:pPr>
    </w:p>
    <w:p w14:paraId="250EEDE2">
      <w:pPr>
        <w:pStyle w:val="18"/>
        <w:spacing w:line="240" w:lineRule="atLeast"/>
        <w:ind w:left="1080" w:leftChars="257" w:hanging="540"/>
        <w:rPr>
          <w:rFonts w:hint="eastAsia"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法定代表人或其委托代理人</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签/章</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lang w:val="en-US" w:eastAsia="zh-CN"/>
        </w:rPr>
        <w:t xml:space="preserve">                  </w:t>
      </w:r>
    </w:p>
    <w:p w14:paraId="22B081E7">
      <w:pPr>
        <w:pStyle w:val="18"/>
        <w:spacing w:line="240" w:lineRule="atLeast"/>
        <w:ind w:left="1080" w:leftChars="257" w:hanging="540"/>
        <w:rPr>
          <w:rFonts w:hint="default"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供应商(</w:t>
      </w:r>
      <w:r>
        <w:rPr>
          <w:rFonts w:hint="eastAsia" w:ascii="微软雅黑" w:hAnsi="微软雅黑" w:eastAsia="微软雅黑" w:cs="微软雅黑"/>
          <w:color w:val="auto"/>
          <w:sz w:val="24"/>
          <w:lang w:val="en-US" w:eastAsia="zh-CN"/>
        </w:rPr>
        <w:t>公章</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u w:val="single"/>
          <w:lang w:val="en-US" w:eastAsia="zh-CN"/>
        </w:rPr>
        <w:t xml:space="preserve">                  </w:t>
      </w:r>
    </w:p>
    <w:p w14:paraId="2DFB3F68">
      <w:pPr>
        <w:pStyle w:val="18"/>
        <w:spacing w:line="400" w:lineRule="exact"/>
        <w:rPr>
          <w:rFonts w:hint="eastAsia" w:ascii="微软雅黑" w:hAnsi="微软雅黑" w:eastAsia="微软雅黑" w:cs="微软雅黑"/>
          <w:b/>
          <w:color w:val="auto"/>
          <w:kern w:val="0"/>
          <w:sz w:val="24"/>
          <w:szCs w:val="24"/>
          <w:lang w:val="en-US" w:eastAsia="zh-CN"/>
        </w:rPr>
      </w:pPr>
      <w:r>
        <w:rPr>
          <w:rFonts w:hint="eastAsia" w:ascii="微软雅黑" w:hAnsi="微软雅黑" w:eastAsia="微软雅黑" w:cs="微软雅黑"/>
          <w:color w:val="auto"/>
          <w:sz w:val="24"/>
          <w:szCs w:val="24"/>
          <w:lang w:val="en-US" w:eastAsia="zh-CN"/>
        </w:rPr>
        <w:t xml:space="preserve"> </w:t>
      </w:r>
    </w:p>
    <w:p w14:paraId="313C588E">
      <w:pPr>
        <w:pStyle w:val="18"/>
        <w:spacing w:line="400" w:lineRule="exac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注:1.如果按单价计算的结果与总价不一致,以单价为准修正总价。</w:t>
      </w:r>
    </w:p>
    <w:p w14:paraId="2CF310D4">
      <w:pPr>
        <w:pStyle w:val="18"/>
        <w:spacing w:line="400" w:lineRule="exac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2.如果供应商认为需要，每种服务填写一份该表。</w:t>
      </w:r>
    </w:p>
    <w:p w14:paraId="20103769">
      <w:pPr>
        <w:pStyle w:val="18"/>
        <w:spacing w:line="400" w:lineRule="exac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3.上述各项的详细分项报价，应另页描述。</w:t>
      </w:r>
    </w:p>
    <w:p w14:paraId="15898721">
      <w:pPr>
        <w:pStyle w:val="18"/>
        <w:spacing w:line="400" w:lineRule="exac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4.如果磋商一览表（报价表）内容与响应文件中明细表内容不一致的，以磋商一览表（报价表）内容为准。</w:t>
      </w:r>
    </w:p>
    <w:p w14:paraId="260CC0A4">
      <w:pPr>
        <w:pStyle w:val="30"/>
        <w:rPr>
          <w:rFonts w:hint="eastAsia" w:ascii="微软雅黑" w:hAnsi="微软雅黑" w:eastAsia="微软雅黑" w:cs="微软雅黑"/>
          <w:b/>
          <w:color w:val="auto"/>
          <w:kern w:val="0"/>
          <w:sz w:val="24"/>
          <w:szCs w:val="24"/>
        </w:rPr>
      </w:pPr>
    </w:p>
    <w:p w14:paraId="5CC26DC7">
      <w:pPr>
        <w:rPr>
          <w:rFonts w:hint="eastAsia" w:ascii="微软雅黑" w:hAnsi="微软雅黑" w:eastAsia="微软雅黑" w:cs="微软雅黑"/>
          <w:b/>
          <w:color w:val="auto"/>
          <w:kern w:val="0"/>
          <w:sz w:val="24"/>
          <w:szCs w:val="24"/>
        </w:rPr>
      </w:pPr>
    </w:p>
    <w:p w14:paraId="484C0925">
      <w:pPr>
        <w:rPr>
          <w:rFonts w:hint="eastAsia" w:ascii="微软雅黑" w:hAnsi="微软雅黑" w:eastAsia="微软雅黑" w:cs="微软雅黑"/>
          <w:b/>
          <w:color w:val="auto"/>
          <w:kern w:val="0"/>
          <w:sz w:val="24"/>
          <w:szCs w:val="24"/>
        </w:rPr>
      </w:pPr>
    </w:p>
    <w:p w14:paraId="02FAF03E">
      <w:pPr>
        <w:pStyle w:val="18"/>
        <w:spacing w:line="400" w:lineRule="exact"/>
        <w:rPr>
          <w:rFonts w:hint="eastAsia" w:ascii="微软雅黑" w:hAnsi="微软雅黑" w:eastAsia="微软雅黑" w:cs="微软雅黑"/>
          <w:b/>
          <w:color w:val="auto"/>
          <w:kern w:val="0"/>
          <w:sz w:val="24"/>
          <w:szCs w:val="24"/>
        </w:rPr>
      </w:pPr>
    </w:p>
    <w:p w14:paraId="35EC859F">
      <w:pPr>
        <w:pStyle w:val="18"/>
        <w:spacing w:line="400" w:lineRule="exact"/>
        <w:rPr>
          <w:rFonts w:hint="eastAsia" w:ascii="微软雅黑" w:hAnsi="微软雅黑" w:eastAsia="微软雅黑" w:cs="微软雅黑"/>
          <w:b/>
          <w:color w:val="auto"/>
          <w:kern w:val="0"/>
          <w:sz w:val="24"/>
          <w:szCs w:val="24"/>
        </w:rPr>
      </w:pPr>
    </w:p>
    <w:p w14:paraId="3166B75A">
      <w:pPr>
        <w:pStyle w:val="18"/>
        <w:spacing w:line="400" w:lineRule="exact"/>
        <w:rPr>
          <w:rFonts w:hint="eastAsia" w:ascii="微软雅黑" w:hAnsi="微软雅黑" w:eastAsia="微软雅黑" w:cs="微软雅黑"/>
          <w:b/>
          <w:color w:val="auto"/>
          <w:kern w:val="0"/>
          <w:sz w:val="24"/>
          <w:szCs w:val="24"/>
        </w:rPr>
      </w:pPr>
    </w:p>
    <w:p w14:paraId="3BFD9E12">
      <w:pPr>
        <w:pStyle w:val="18"/>
        <w:spacing w:line="400" w:lineRule="exact"/>
        <w:rPr>
          <w:rFonts w:hint="eastAsia" w:ascii="微软雅黑" w:hAnsi="微软雅黑" w:eastAsia="微软雅黑" w:cs="微软雅黑"/>
          <w:b/>
          <w:color w:val="auto"/>
          <w:kern w:val="0"/>
          <w:sz w:val="24"/>
          <w:szCs w:val="24"/>
        </w:rPr>
      </w:pPr>
    </w:p>
    <w:p w14:paraId="186CF6DD">
      <w:pPr>
        <w:pStyle w:val="30"/>
        <w:rPr>
          <w:rFonts w:hint="eastAsia" w:ascii="微软雅黑" w:hAnsi="微软雅黑" w:eastAsia="微软雅黑" w:cs="微软雅黑"/>
          <w:b/>
          <w:color w:val="auto"/>
          <w:kern w:val="0"/>
          <w:sz w:val="24"/>
          <w:szCs w:val="24"/>
        </w:rPr>
      </w:pPr>
    </w:p>
    <w:bookmarkEnd w:id="574"/>
    <w:bookmarkEnd w:id="575"/>
    <w:bookmarkEnd w:id="576"/>
    <w:bookmarkEnd w:id="577"/>
    <w:bookmarkEnd w:id="578"/>
    <w:bookmarkEnd w:id="579"/>
    <w:bookmarkEnd w:id="580"/>
    <w:p w14:paraId="11F66D3C">
      <w:pPr>
        <w:pStyle w:val="18"/>
        <w:spacing w:line="360" w:lineRule="exact"/>
        <w:jc w:val="center"/>
        <w:outlineLvl w:val="1"/>
        <w:rPr>
          <w:rFonts w:hint="eastAsia" w:ascii="微软雅黑" w:hAnsi="微软雅黑" w:eastAsia="微软雅黑" w:cs="微软雅黑"/>
          <w:color w:val="auto"/>
          <w:sz w:val="24"/>
        </w:rPr>
      </w:pPr>
      <w:bookmarkStart w:id="600" w:name="_Toc12459"/>
      <w:bookmarkStart w:id="601" w:name="_Toc2193"/>
      <w:bookmarkStart w:id="602" w:name="_Toc8879"/>
      <w:r>
        <w:rPr>
          <w:rFonts w:hint="eastAsia" w:ascii="微软雅黑" w:hAnsi="微软雅黑" w:eastAsia="微软雅黑" w:cs="微软雅黑"/>
          <w:b/>
          <w:color w:val="auto"/>
          <w:kern w:val="0"/>
          <w:sz w:val="24"/>
        </w:rPr>
        <w:t>3、服务说明一览表</w:t>
      </w:r>
      <w:bookmarkEnd w:id="600"/>
      <w:bookmarkEnd w:id="601"/>
      <w:bookmarkEnd w:id="602"/>
    </w:p>
    <w:p w14:paraId="6484F99D">
      <w:pPr>
        <w:pStyle w:val="18"/>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rPr>
        <w:t xml:space="preserve">项目编号:                                         </w:t>
      </w:r>
    </w:p>
    <w:tbl>
      <w:tblPr>
        <w:tblStyle w:val="3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14:paraId="1AF9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0EC97998">
            <w:pPr>
              <w:pStyle w:val="18"/>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1640" w:type="dxa"/>
            <w:noWrap w:val="0"/>
            <w:vAlign w:val="center"/>
          </w:tcPr>
          <w:p w14:paraId="41127C19">
            <w:pPr>
              <w:pStyle w:val="18"/>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服务名称</w:t>
            </w:r>
          </w:p>
        </w:tc>
        <w:tc>
          <w:tcPr>
            <w:tcW w:w="1452" w:type="dxa"/>
            <w:noWrap w:val="0"/>
            <w:vAlign w:val="center"/>
          </w:tcPr>
          <w:p w14:paraId="0D6AC848">
            <w:pPr>
              <w:pStyle w:val="18"/>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服务内容</w:t>
            </w:r>
          </w:p>
        </w:tc>
        <w:tc>
          <w:tcPr>
            <w:tcW w:w="1428" w:type="dxa"/>
            <w:noWrap w:val="0"/>
            <w:vAlign w:val="center"/>
          </w:tcPr>
          <w:p w14:paraId="6E77407C">
            <w:pPr>
              <w:pStyle w:val="18"/>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服务期</w:t>
            </w:r>
          </w:p>
        </w:tc>
        <w:tc>
          <w:tcPr>
            <w:tcW w:w="1584" w:type="dxa"/>
            <w:noWrap w:val="0"/>
            <w:vAlign w:val="center"/>
          </w:tcPr>
          <w:p w14:paraId="5BF0894E">
            <w:pPr>
              <w:pStyle w:val="18"/>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服务地点</w:t>
            </w:r>
          </w:p>
        </w:tc>
        <w:tc>
          <w:tcPr>
            <w:tcW w:w="1584" w:type="dxa"/>
            <w:noWrap w:val="0"/>
            <w:vAlign w:val="center"/>
          </w:tcPr>
          <w:p w14:paraId="3A46290C">
            <w:pPr>
              <w:pStyle w:val="18"/>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其它</w:t>
            </w:r>
          </w:p>
        </w:tc>
      </w:tr>
      <w:tr w14:paraId="5173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30AF5919">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433176ED">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3C12E3FA">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228E8F56">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02483E33">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0DAFF323">
            <w:pPr>
              <w:pStyle w:val="18"/>
              <w:spacing w:line="240" w:lineRule="atLeast"/>
              <w:ind w:left="1080" w:leftChars="257" w:hanging="540"/>
              <w:rPr>
                <w:rFonts w:hint="eastAsia" w:ascii="微软雅黑" w:hAnsi="微软雅黑" w:eastAsia="微软雅黑" w:cs="微软雅黑"/>
                <w:color w:val="auto"/>
                <w:sz w:val="24"/>
              </w:rPr>
            </w:pPr>
          </w:p>
        </w:tc>
      </w:tr>
      <w:tr w14:paraId="1CEC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65ADF541">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268E4AB6">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6297E5C7">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6A552AE4">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094EF1DD">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1831B367">
            <w:pPr>
              <w:pStyle w:val="18"/>
              <w:spacing w:line="240" w:lineRule="atLeast"/>
              <w:ind w:left="1080" w:leftChars="257" w:hanging="540"/>
              <w:rPr>
                <w:rFonts w:hint="eastAsia" w:ascii="微软雅黑" w:hAnsi="微软雅黑" w:eastAsia="微软雅黑" w:cs="微软雅黑"/>
                <w:color w:val="auto"/>
                <w:sz w:val="24"/>
              </w:rPr>
            </w:pPr>
          </w:p>
        </w:tc>
      </w:tr>
      <w:tr w14:paraId="0772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03FE5302">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1CACB3DC">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66A9E7DE">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7AE13EE7">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0D711884">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5E4EC84D">
            <w:pPr>
              <w:pStyle w:val="18"/>
              <w:spacing w:line="240" w:lineRule="atLeast"/>
              <w:ind w:left="1080" w:leftChars="257" w:hanging="540"/>
              <w:rPr>
                <w:rFonts w:hint="eastAsia" w:ascii="微软雅黑" w:hAnsi="微软雅黑" w:eastAsia="微软雅黑" w:cs="微软雅黑"/>
                <w:color w:val="auto"/>
                <w:sz w:val="24"/>
              </w:rPr>
            </w:pPr>
          </w:p>
        </w:tc>
      </w:tr>
      <w:tr w14:paraId="418B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47095A08">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56FD2277">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32D4570F">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56BAEEAE">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2ED9B9CD">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6F8A5F21">
            <w:pPr>
              <w:pStyle w:val="18"/>
              <w:spacing w:line="240" w:lineRule="atLeast"/>
              <w:ind w:left="1080" w:leftChars="257" w:hanging="540"/>
              <w:rPr>
                <w:rFonts w:hint="eastAsia" w:ascii="微软雅黑" w:hAnsi="微软雅黑" w:eastAsia="微软雅黑" w:cs="微软雅黑"/>
                <w:color w:val="auto"/>
                <w:sz w:val="24"/>
              </w:rPr>
            </w:pPr>
          </w:p>
        </w:tc>
      </w:tr>
      <w:tr w14:paraId="1802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03A043E0">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4D9D7B95">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1999D461">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6E79E8D9">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78365814">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73B8E8E2">
            <w:pPr>
              <w:pStyle w:val="18"/>
              <w:spacing w:line="240" w:lineRule="atLeast"/>
              <w:ind w:left="1080" w:leftChars="257" w:hanging="540"/>
              <w:rPr>
                <w:rFonts w:hint="eastAsia" w:ascii="微软雅黑" w:hAnsi="微软雅黑" w:eastAsia="微软雅黑" w:cs="微软雅黑"/>
                <w:color w:val="auto"/>
                <w:sz w:val="24"/>
              </w:rPr>
            </w:pPr>
          </w:p>
        </w:tc>
      </w:tr>
      <w:tr w14:paraId="7FE9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09218598">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3BE88210">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632FB42C">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3956B9D8">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7A843368">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146044DF">
            <w:pPr>
              <w:pStyle w:val="18"/>
              <w:spacing w:line="240" w:lineRule="atLeast"/>
              <w:ind w:left="1080" w:leftChars="257" w:hanging="540"/>
              <w:rPr>
                <w:rFonts w:hint="eastAsia" w:ascii="微软雅黑" w:hAnsi="微软雅黑" w:eastAsia="微软雅黑" w:cs="微软雅黑"/>
                <w:color w:val="auto"/>
                <w:sz w:val="24"/>
              </w:rPr>
            </w:pPr>
          </w:p>
        </w:tc>
      </w:tr>
      <w:tr w14:paraId="5680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42CE115F">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064B6E16">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1587C4BE">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28356CB2">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479420AD">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780C886E">
            <w:pPr>
              <w:pStyle w:val="18"/>
              <w:spacing w:line="240" w:lineRule="atLeast"/>
              <w:ind w:left="1080" w:leftChars="257" w:hanging="540"/>
              <w:rPr>
                <w:rFonts w:hint="eastAsia" w:ascii="微软雅黑" w:hAnsi="微软雅黑" w:eastAsia="微软雅黑" w:cs="微软雅黑"/>
                <w:color w:val="auto"/>
                <w:sz w:val="24"/>
              </w:rPr>
            </w:pPr>
          </w:p>
        </w:tc>
      </w:tr>
      <w:tr w14:paraId="41D6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4B5FCF19">
            <w:pPr>
              <w:pStyle w:val="18"/>
              <w:spacing w:line="240" w:lineRule="atLeast"/>
              <w:ind w:left="1080" w:leftChars="257" w:hanging="540"/>
              <w:rPr>
                <w:rFonts w:hint="eastAsia" w:ascii="微软雅黑" w:hAnsi="微软雅黑" w:eastAsia="微软雅黑" w:cs="微软雅黑"/>
                <w:color w:val="auto"/>
                <w:sz w:val="24"/>
              </w:rPr>
            </w:pPr>
          </w:p>
        </w:tc>
        <w:tc>
          <w:tcPr>
            <w:tcW w:w="1640" w:type="dxa"/>
            <w:noWrap w:val="0"/>
            <w:vAlign w:val="top"/>
          </w:tcPr>
          <w:p w14:paraId="4A841300">
            <w:pPr>
              <w:pStyle w:val="18"/>
              <w:spacing w:line="240" w:lineRule="atLeast"/>
              <w:ind w:left="1080" w:leftChars="257" w:hanging="540"/>
              <w:rPr>
                <w:rFonts w:hint="eastAsia" w:ascii="微软雅黑" w:hAnsi="微软雅黑" w:eastAsia="微软雅黑" w:cs="微软雅黑"/>
                <w:color w:val="auto"/>
                <w:sz w:val="24"/>
              </w:rPr>
            </w:pPr>
          </w:p>
        </w:tc>
        <w:tc>
          <w:tcPr>
            <w:tcW w:w="1452" w:type="dxa"/>
            <w:noWrap w:val="0"/>
            <w:vAlign w:val="top"/>
          </w:tcPr>
          <w:p w14:paraId="47D818D3">
            <w:pPr>
              <w:pStyle w:val="18"/>
              <w:spacing w:line="240" w:lineRule="atLeast"/>
              <w:ind w:left="1080" w:leftChars="257" w:hanging="540"/>
              <w:rPr>
                <w:rFonts w:hint="eastAsia" w:ascii="微软雅黑" w:hAnsi="微软雅黑" w:eastAsia="微软雅黑" w:cs="微软雅黑"/>
                <w:color w:val="auto"/>
                <w:sz w:val="24"/>
              </w:rPr>
            </w:pPr>
          </w:p>
        </w:tc>
        <w:tc>
          <w:tcPr>
            <w:tcW w:w="1428" w:type="dxa"/>
            <w:noWrap w:val="0"/>
            <w:vAlign w:val="top"/>
          </w:tcPr>
          <w:p w14:paraId="3636BE4D">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7897B961">
            <w:pPr>
              <w:pStyle w:val="18"/>
              <w:spacing w:line="240" w:lineRule="atLeast"/>
              <w:ind w:left="1080" w:leftChars="257" w:hanging="540"/>
              <w:rPr>
                <w:rFonts w:hint="eastAsia" w:ascii="微软雅黑" w:hAnsi="微软雅黑" w:eastAsia="微软雅黑" w:cs="微软雅黑"/>
                <w:color w:val="auto"/>
                <w:sz w:val="24"/>
              </w:rPr>
            </w:pPr>
          </w:p>
        </w:tc>
        <w:tc>
          <w:tcPr>
            <w:tcW w:w="1584" w:type="dxa"/>
            <w:noWrap w:val="0"/>
            <w:vAlign w:val="top"/>
          </w:tcPr>
          <w:p w14:paraId="7EB21D98">
            <w:pPr>
              <w:pStyle w:val="18"/>
              <w:spacing w:line="240" w:lineRule="atLeast"/>
              <w:ind w:left="1080" w:leftChars="257" w:hanging="540"/>
              <w:rPr>
                <w:rFonts w:hint="eastAsia" w:ascii="微软雅黑" w:hAnsi="微软雅黑" w:eastAsia="微软雅黑" w:cs="微软雅黑"/>
                <w:color w:val="auto"/>
                <w:sz w:val="24"/>
              </w:rPr>
            </w:pPr>
          </w:p>
        </w:tc>
      </w:tr>
    </w:tbl>
    <w:p w14:paraId="1294D326">
      <w:pPr>
        <w:pStyle w:val="18"/>
        <w:spacing w:line="240" w:lineRule="atLeast"/>
        <w:ind w:left="1080" w:leftChars="257" w:hanging="540"/>
        <w:rPr>
          <w:rFonts w:hint="eastAsia" w:ascii="微软雅黑" w:hAnsi="微软雅黑" w:eastAsia="微软雅黑" w:cs="微软雅黑"/>
          <w:color w:val="auto"/>
          <w:sz w:val="24"/>
        </w:rPr>
      </w:pPr>
    </w:p>
    <w:p w14:paraId="643DD06A">
      <w:pPr>
        <w:pStyle w:val="18"/>
        <w:spacing w:line="240" w:lineRule="atLeast"/>
        <w:ind w:left="1080" w:leftChars="257" w:hanging="540"/>
        <w:rPr>
          <w:rFonts w:hint="eastAsia"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法定代表人或其委托代理人</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签/章</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lang w:val="en-US" w:eastAsia="zh-CN"/>
        </w:rPr>
        <w:t xml:space="preserve">                  </w:t>
      </w:r>
    </w:p>
    <w:p w14:paraId="162D4594">
      <w:pPr>
        <w:pStyle w:val="18"/>
        <w:spacing w:line="240" w:lineRule="atLeast"/>
        <w:ind w:left="1080" w:leftChars="257" w:hanging="540"/>
        <w:rPr>
          <w:rFonts w:hint="default"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供应商(</w:t>
      </w:r>
      <w:r>
        <w:rPr>
          <w:rFonts w:hint="eastAsia" w:ascii="微软雅黑" w:hAnsi="微软雅黑" w:eastAsia="微软雅黑" w:cs="微软雅黑"/>
          <w:color w:val="auto"/>
          <w:sz w:val="24"/>
          <w:lang w:val="en-US" w:eastAsia="zh-CN"/>
        </w:rPr>
        <w:t>公章</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u w:val="single"/>
          <w:lang w:val="en-US" w:eastAsia="zh-CN"/>
        </w:rPr>
        <w:t xml:space="preserve">                  </w:t>
      </w:r>
    </w:p>
    <w:p w14:paraId="6AE13951">
      <w:pPr>
        <w:pStyle w:val="18"/>
        <w:spacing w:line="240" w:lineRule="atLeast"/>
        <w:ind w:left="1080" w:leftChars="257" w:hanging="540"/>
        <w:rPr>
          <w:rFonts w:hint="eastAsia" w:ascii="微软雅黑" w:hAnsi="微软雅黑" w:eastAsia="微软雅黑" w:cs="微软雅黑"/>
          <w:color w:val="auto"/>
          <w:sz w:val="24"/>
        </w:rPr>
      </w:pPr>
    </w:p>
    <w:p w14:paraId="56526A50">
      <w:pPr>
        <w:pStyle w:val="18"/>
        <w:spacing w:line="240" w:lineRule="atLeast"/>
        <w:ind w:left="1080" w:leftChars="257" w:hanging="54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 各项服务详细技术性能应另页描述。</w:t>
      </w:r>
    </w:p>
    <w:p w14:paraId="08CB2247">
      <w:pPr>
        <w:spacing w:line="360" w:lineRule="exact"/>
        <w:ind w:left="1080" w:leftChars="257" w:hanging="540"/>
        <w:rPr>
          <w:rFonts w:hint="eastAsia" w:ascii="微软雅黑" w:hAnsi="微软雅黑" w:eastAsia="微软雅黑" w:cs="微软雅黑"/>
          <w:color w:val="auto"/>
          <w:sz w:val="24"/>
        </w:rPr>
      </w:pPr>
    </w:p>
    <w:p w14:paraId="4B7E6196">
      <w:pPr>
        <w:pStyle w:val="18"/>
        <w:spacing w:line="240" w:lineRule="atLeast"/>
        <w:ind w:left="1080" w:leftChars="257" w:hanging="540"/>
        <w:rPr>
          <w:rFonts w:hint="eastAsia" w:ascii="微软雅黑" w:hAnsi="微软雅黑" w:eastAsia="微软雅黑" w:cs="微软雅黑"/>
          <w:color w:val="auto"/>
          <w:sz w:val="24"/>
        </w:rPr>
      </w:pPr>
    </w:p>
    <w:p w14:paraId="28D14671">
      <w:pPr>
        <w:spacing w:line="360" w:lineRule="exact"/>
        <w:ind w:left="1080" w:leftChars="257" w:hanging="540"/>
        <w:rPr>
          <w:rFonts w:hint="eastAsia" w:ascii="微软雅黑" w:hAnsi="微软雅黑" w:eastAsia="微软雅黑" w:cs="微软雅黑"/>
          <w:color w:val="auto"/>
          <w:sz w:val="24"/>
        </w:rPr>
      </w:pPr>
    </w:p>
    <w:p w14:paraId="60B48386">
      <w:pPr>
        <w:pStyle w:val="10"/>
        <w:rPr>
          <w:rFonts w:hint="eastAsia" w:ascii="微软雅黑" w:hAnsi="微软雅黑" w:eastAsia="微软雅黑" w:cs="微软雅黑"/>
          <w:color w:val="auto"/>
        </w:rPr>
      </w:pPr>
    </w:p>
    <w:p w14:paraId="42AA6272">
      <w:pPr>
        <w:rPr>
          <w:rFonts w:hint="eastAsia" w:ascii="微软雅黑" w:hAnsi="微软雅黑" w:eastAsia="微软雅黑" w:cs="微软雅黑"/>
          <w:color w:val="auto"/>
        </w:rPr>
      </w:pPr>
    </w:p>
    <w:p w14:paraId="1BE8B1E5">
      <w:pPr>
        <w:pStyle w:val="27"/>
        <w:rPr>
          <w:rFonts w:hint="eastAsia" w:ascii="微软雅黑" w:hAnsi="微软雅黑" w:eastAsia="微软雅黑" w:cs="微软雅黑"/>
          <w:color w:val="auto"/>
        </w:rPr>
      </w:pPr>
    </w:p>
    <w:p w14:paraId="349203D0">
      <w:pPr>
        <w:pStyle w:val="27"/>
        <w:rPr>
          <w:rFonts w:hint="eastAsia" w:ascii="微软雅黑" w:hAnsi="微软雅黑" w:eastAsia="微软雅黑" w:cs="微软雅黑"/>
          <w:color w:val="auto"/>
        </w:rPr>
      </w:pPr>
    </w:p>
    <w:p w14:paraId="275FFDEF">
      <w:pPr>
        <w:pStyle w:val="27"/>
        <w:rPr>
          <w:rFonts w:hint="eastAsia" w:ascii="微软雅黑" w:hAnsi="微软雅黑" w:eastAsia="微软雅黑" w:cs="微软雅黑"/>
          <w:color w:val="auto"/>
        </w:rPr>
      </w:pPr>
    </w:p>
    <w:p w14:paraId="0ABAF196">
      <w:pPr>
        <w:pStyle w:val="27"/>
        <w:rPr>
          <w:rFonts w:hint="eastAsia" w:ascii="微软雅黑" w:hAnsi="微软雅黑" w:eastAsia="微软雅黑" w:cs="微软雅黑"/>
          <w:color w:val="auto"/>
        </w:rPr>
      </w:pPr>
    </w:p>
    <w:p w14:paraId="6FE738AF">
      <w:pPr>
        <w:pStyle w:val="27"/>
        <w:rPr>
          <w:rFonts w:hint="eastAsia" w:ascii="微软雅黑" w:hAnsi="微软雅黑" w:eastAsia="微软雅黑" w:cs="微软雅黑"/>
          <w:color w:val="auto"/>
        </w:rPr>
      </w:pPr>
    </w:p>
    <w:p w14:paraId="07F7E417">
      <w:pPr>
        <w:pStyle w:val="10"/>
        <w:ind w:firstLine="0"/>
        <w:rPr>
          <w:rFonts w:hint="eastAsia" w:ascii="微软雅黑" w:hAnsi="微软雅黑" w:eastAsia="微软雅黑" w:cs="微软雅黑"/>
          <w:color w:val="auto"/>
        </w:rPr>
      </w:pPr>
    </w:p>
    <w:bookmarkEnd w:id="581"/>
    <w:bookmarkEnd w:id="582"/>
    <w:bookmarkEnd w:id="583"/>
    <w:bookmarkEnd w:id="584"/>
    <w:bookmarkEnd w:id="585"/>
    <w:bookmarkEnd w:id="586"/>
    <w:bookmarkEnd w:id="587"/>
    <w:bookmarkEnd w:id="588"/>
    <w:bookmarkEnd w:id="589"/>
    <w:bookmarkEnd w:id="590"/>
    <w:bookmarkEnd w:id="591"/>
    <w:p w14:paraId="460C9044">
      <w:pPr>
        <w:rPr>
          <w:rFonts w:hint="eastAsia" w:ascii="微软雅黑" w:hAnsi="微软雅黑" w:eastAsia="微软雅黑" w:cs="微软雅黑"/>
          <w:bCs/>
          <w:color w:val="auto"/>
          <w:sz w:val="24"/>
          <w:szCs w:val="24"/>
          <w:lang w:val="en-US" w:eastAsia="zh-CN"/>
        </w:rPr>
      </w:pPr>
      <w:bookmarkStart w:id="603" w:name="_Toc23233"/>
      <w:bookmarkStart w:id="604" w:name="_Toc13229"/>
      <w:bookmarkStart w:id="605" w:name="_Toc338"/>
      <w:bookmarkStart w:id="606" w:name="_Toc22563"/>
      <w:bookmarkStart w:id="607" w:name="_Toc10773"/>
      <w:bookmarkStart w:id="608" w:name="_Toc28414"/>
      <w:bookmarkStart w:id="609" w:name="_Toc32666"/>
      <w:bookmarkStart w:id="610" w:name="_Toc216582817"/>
      <w:bookmarkStart w:id="611" w:name="_Toc1130"/>
      <w:bookmarkStart w:id="612" w:name="_Toc1232"/>
      <w:bookmarkStart w:id="613" w:name="_Toc28959"/>
      <w:bookmarkStart w:id="614" w:name="_Toc9012"/>
      <w:bookmarkStart w:id="615" w:name="_Toc24864"/>
      <w:bookmarkStart w:id="616" w:name="_Toc4880"/>
      <w:bookmarkStart w:id="617" w:name="_Toc26490"/>
      <w:bookmarkStart w:id="618" w:name="_Toc32689"/>
      <w:bookmarkStart w:id="619" w:name="_Toc3537"/>
      <w:bookmarkStart w:id="620" w:name="_Toc515647820"/>
      <w:bookmarkStart w:id="621" w:name="_Toc23542"/>
      <w:bookmarkStart w:id="622" w:name="_Toc13093"/>
      <w:r>
        <w:rPr>
          <w:rFonts w:hint="eastAsia" w:ascii="微软雅黑" w:hAnsi="微软雅黑" w:eastAsia="微软雅黑" w:cs="微软雅黑"/>
          <w:bCs/>
          <w:color w:val="auto"/>
          <w:sz w:val="24"/>
          <w:szCs w:val="24"/>
          <w:lang w:val="en-US" w:eastAsia="zh-CN"/>
        </w:rPr>
        <w:br w:type="page"/>
      </w:r>
    </w:p>
    <w:p w14:paraId="73F829A6">
      <w:pPr>
        <w:pStyle w:val="6"/>
        <w:spacing w:before="0" w:line="240" w:lineRule="atLeast"/>
        <w:rPr>
          <w:rFonts w:hint="eastAsia" w:ascii="微软雅黑" w:hAnsi="微软雅黑" w:eastAsia="微软雅黑" w:cs="微软雅黑"/>
          <w:color w:val="auto"/>
          <w:sz w:val="24"/>
          <w:szCs w:val="24"/>
        </w:rPr>
      </w:pPr>
      <w:bookmarkStart w:id="623" w:name="_Toc8294"/>
      <w:r>
        <w:rPr>
          <w:rFonts w:hint="eastAsia" w:ascii="微软雅黑" w:hAnsi="微软雅黑" w:eastAsia="微软雅黑" w:cs="微软雅黑"/>
          <w:bCs/>
          <w:color w:val="auto"/>
          <w:sz w:val="24"/>
          <w:szCs w:val="24"/>
          <w:lang w:val="en-US" w:eastAsia="zh-CN"/>
        </w:rPr>
        <w:t>4</w:t>
      </w:r>
      <w:r>
        <w:rPr>
          <w:rFonts w:hint="eastAsia" w:ascii="微软雅黑" w:hAnsi="微软雅黑" w:eastAsia="微软雅黑" w:cs="微软雅黑"/>
          <w:bCs/>
          <w:color w:val="auto"/>
          <w:sz w:val="24"/>
          <w:szCs w:val="24"/>
          <w:lang w:eastAsia="zh-CN"/>
        </w:rPr>
        <w:t>、</w:t>
      </w:r>
      <w:r>
        <w:rPr>
          <w:rFonts w:hint="eastAsia" w:ascii="微软雅黑" w:hAnsi="微软雅黑" w:eastAsia="微软雅黑" w:cs="微软雅黑"/>
          <w:bCs/>
          <w:color w:val="auto"/>
          <w:sz w:val="24"/>
          <w:szCs w:val="24"/>
        </w:rPr>
        <w:t>商务条款偏离表</w:t>
      </w:r>
      <w:bookmarkEnd w:id="603"/>
      <w:bookmarkEnd w:id="623"/>
    </w:p>
    <w:p w14:paraId="367C4C81">
      <w:pPr>
        <w:pStyle w:val="18"/>
        <w:spacing w:line="400" w:lineRule="exac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招标编号:            </w:t>
      </w:r>
    </w:p>
    <w:tbl>
      <w:tblPr>
        <w:tblStyle w:val="36"/>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50"/>
        <w:gridCol w:w="2285"/>
        <w:gridCol w:w="2285"/>
        <w:gridCol w:w="919"/>
        <w:gridCol w:w="919"/>
      </w:tblGrid>
      <w:tr w14:paraId="2C2E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531E22BA">
            <w:pPr>
              <w:pStyle w:val="18"/>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850" w:type="dxa"/>
          </w:tcPr>
          <w:p w14:paraId="7600369F">
            <w:pPr>
              <w:pStyle w:val="18"/>
              <w:spacing w:line="400" w:lineRule="exact"/>
              <w:jc w:val="center"/>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lang w:val="en-US" w:eastAsia="zh-CN"/>
              </w:rPr>
              <w:t>服务名称</w:t>
            </w:r>
          </w:p>
        </w:tc>
        <w:tc>
          <w:tcPr>
            <w:tcW w:w="2285" w:type="dxa"/>
          </w:tcPr>
          <w:p w14:paraId="638CA695">
            <w:pPr>
              <w:pStyle w:val="18"/>
              <w:spacing w:line="40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val="en-US" w:eastAsia="zh-CN"/>
              </w:rPr>
              <w:t>服务内容</w:t>
            </w:r>
          </w:p>
        </w:tc>
        <w:tc>
          <w:tcPr>
            <w:tcW w:w="2285" w:type="dxa"/>
          </w:tcPr>
          <w:p w14:paraId="2C69A0BC">
            <w:pPr>
              <w:pStyle w:val="18"/>
              <w:spacing w:line="40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val="en-US" w:eastAsia="zh-CN"/>
              </w:rPr>
              <w:t>服务内容</w:t>
            </w:r>
          </w:p>
        </w:tc>
        <w:tc>
          <w:tcPr>
            <w:tcW w:w="919" w:type="dxa"/>
          </w:tcPr>
          <w:p w14:paraId="1F0587EE">
            <w:pPr>
              <w:pStyle w:val="18"/>
              <w:spacing w:line="400" w:lineRule="exact"/>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偏离</w:t>
            </w:r>
          </w:p>
        </w:tc>
        <w:tc>
          <w:tcPr>
            <w:tcW w:w="919" w:type="dxa"/>
          </w:tcPr>
          <w:p w14:paraId="1308A09A">
            <w:pPr>
              <w:pStyle w:val="18"/>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tc>
      </w:tr>
      <w:tr w14:paraId="1DAD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034823A0">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1F701B63">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061AD91C">
            <w:pPr>
              <w:pStyle w:val="18"/>
              <w:spacing w:line="400" w:lineRule="exact"/>
              <w:ind w:left="1080" w:leftChars="257" w:hanging="540"/>
              <w:jc w:val="center"/>
              <w:rPr>
                <w:rFonts w:hint="eastAsia" w:ascii="微软雅黑" w:hAnsi="微软雅黑" w:eastAsia="微软雅黑" w:cs="微软雅黑"/>
                <w:color w:val="auto"/>
                <w:sz w:val="24"/>
                <w:szCs w:val="24"/>
              </w:rPr>
            </w:pPr>
          </w:p>
        </w:tc>
        <w:tc>
          <w:tcPr>
            <w:tcW w:w="2285" w:type="dxa"/>
          </w:tcPr>
          <w:p w14:paraId="689F0124">
            <w:pPr>
              <w:pStyle w:val="18"/>
              <w:spacing w:line="400" w:lineRule="exact"/>
              <w:ind w:left="1080" w:leftChars="257" w:hanging="540"/>
              <w:jc w:val="center"/>
              <w:rPr>
                <w:rFonts w:hint="eastAsia" w:ascii="微软雅黑" w:hAnsi="微软雅黑" w:eastAsia="微软雅黑" w:cs="微软雅黑"/>
                <w:color w:val="auto"/>
                <w:sz w:val="24"/>
                <w:szCs w:val="24"/>
              </w:rPr>
            </w:pPr>
          </w:p>
        </w:tc>
        <w:tc>
          <w:tcPr>
            <w:tcW w:w="919" w:type="dxa"/>
          </w:tcPr>
          <w:p w14:paraId="289A42EC">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1C19487">
            <w:pPr>
              <w:pStyle w:val="18"/>
              <w:spacing w:line="400" w:lineRule="exact"/>
              <w:ind w:left="1080" w:leftChars="257" w:hanging="540"/>
              <w:rPr>
                <w:rFonts w:hint="eastAsia" w:ascii="微软雅黑" w:hAnsi="微软雅黑" w:eastAsia="微软雅黑" w:cs="微软雅黑"/>
                <w:color w:val="auto"/>
                <w:sz w:val="24"/>
                <w:szCs w:val="24"/>
              </w:rPr>
            </w:pPr>
          </w:p>
        </w:tc>
      </w:tr>
      <w:tr w14:paraId="14C7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2B4FA00F">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2FA6A571">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6AC274C7">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45ED6C7C">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3A440D46">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4420F31D">
            <w:pPr>
              <w:pStyle w:val="18"/>
              <w:spacing w:line="400" w:lineRule="exact"/>
              <w:ind w:left="1080" w:leftChars="257" w:hanging="540"/>
              <w:rPr>
                <w:rFonts w:hint="eastAsia" w:ascii="微软雅黑" w:hAnsi="微软雅黑" w:eastAsia="微软雅黑" w:cs="微软雅黑"/>
                <w:color w:val="auto"/>
                <w:sz w:val="24"/>
                <w:szCs w:val="24"/>
              </w:rPr>
            </w:pPr>
          </w:p>
        </w:tc>
      </w:tr>
      <w:tr w14:paraId="7C22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071E040E">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3D08F07B">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507CCB95">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152B8D59">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E8C2837">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09C18BC2">
            <w:pPr>
              <w:pStyle w:val="18"/>
              <w:spacing w:line="400" w:lineRule="exact"/>
              <w:ind w:left="1080" w:leftChars="257" w:hanging="540"/>
              <w:rPr>
                <w:rFonts w:hint="eastAsia" w:ascii="微软雅黑" w:hAnsi="微软雅黑" w:eastAsia="微软雅黑" w:cs="微软雅黑"/>
                <w:color w:val="auto"/>
                <w:sz w:val="24"/>
                <w:szCs w:val="24"/>
              </w:rPr>
            </w:pPr>
          </w:p>
        </w:tc>
      </w:tr>
      <w:tr w14:paraId="3A30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01D0E39E">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45ABE17B">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763F9FC2">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2B3BC074">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4C07CC99">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41585A63">
            <w:pPr>
              <w:pStyle w:val="18"/>
              <w:spacing w:line="400" w:lineRule="exact"/>
              <w:ind w:left="1080" w:leftChars="257" w:hanging="540"/>
              <w:rPr>
                <w:rFonts w:hint="eastAsia" w:ascii="微软雅黑" w:hAnsi="微软雅黑" w:eastAsia="微软雅黑" w:cs="微软雅黑"/>
                <w:color w:val="auto"/>
                <w:sz w:val="24"/>
                <w:szCs w:val="24"/>
              </w:rPr>
            </w:pPr>
          </w:p>
        </w:tc>
      </w:tr>
      <w:tr w14:paraId="4187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0897F9A2">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360BE50B">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3DB1298B">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61103BC0">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03919BBD">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6D6A1531">
            <w:pPr>
              <w:pStyle w:val="18"/>
              <w:spacing w:line="400" w:lineRule="exact"/>
              <w:ind w:left="1080" w:leftChars="257" w:hanging="540"/>
              <w:rPr>
                <w:rFonts w:hint="eastAsia" w:ascii="微软雅黑" w:hAnsi="微软雅黑" w:eastAsia="微软雅黑" w:cs="微软雅黑"/>
                <w:color w:val="auto"/>
                <w:sz w:val="24"/>
                <w:szCs w:val="24"/>
              </w:rPr>
            </w:pPr>
          </w:p>
        </w:tc>
      </w:tr>
      <w:tr w14:paraId="6CD9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218A04F9">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2AFE9ADE">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118ADB68">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3A061F85">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3F5F646D">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31343560">
            <w:pPr>
              <w:pStyle w:val="18"/>
              <w:spacing w:line="400" w:lineRule="exact"/>
              <w:ind w:left="1080" w:leftChars="257" w:hanging="540"/>
              <w:rPr>
                <w:rFonts w:hint="eastAsia" w:ascii="微软雅黑" w:hAnsi="微软雅黑" w:eastAsia="微软雅黑" w:cs="微软雅黑"/>
                <w:color w:val="auto"/>
                <w:sz w:val="24"/>
                <w:szCs w:val="24"/>
              </w:rPr>
            </w:pPr>
          </w:p>
        </w:tc>
      </w:tr>
      <w:tr w14:paraId="0A1C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61F2C375">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1A59B280">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38A4597A">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2EB06703">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E4EC815">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1CC88F39">
            <w:pPr>
              <w:pStyle w:val="18"/>
              <w:spacing w:line="400" w:lineRule="exact"/>
              <w:ind w:left="1080" w:leftChars="257" w:hanging="540"/>
              <w:rPr>
                <w:rFonts w:hint="eastAsia" w:ascii="微软雅黑" w:hAnsi="微软雅黑" w:eastAsia="微软雅黑" w:cs="微软雅黑"/>
                <w:color w:val="auto"/>
                <w:sz w:val="24"/>
                <w:szCs w:val="24"/>
              </w:rPr>
            </w:pPr>
          </w:p>
        </w:tc>
      </w:tr>
      <w:tr w14:paraId="26F5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3D7CAF44">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24259B51">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3E38F89B">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24E8C06E">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6F02AFBF">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22C0E17D">
            <w:pPr>
              <w:pStyle w:val="18"/>
              <w:spacing w:line="400" w:lineRule="exact"/>
              <w:ind w:left="1080" w:leftChars="257" w:hanging="540"/>
              <w:rPr>
                <w:rFonts w:hint="eastAsia" w:ascii="微软雅黑" w:hAnsi="微软雅黑" w:eastAsia="微软雅黑" w:cs="微软雅黑"/>
                <w:color w:val="auto"/>
                <w:sz w:val="24"/>
                <w:szCs w:val="24"/>
              </w:rPr>
            </w:pPr>
          </w:p>
        </w:tc>
      </w:tr>
      <w:tr w14:paraId="57B8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47C9CDB3">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0ACA46BC">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08E0C095">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018A4685">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59B4E62D">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0B43B91">
            <w:pPr>
              <w:pStyle w:val="18"/>
              <w:spacing w:line="400" w:lineRule="exact"/>
              <w:ind w:left="1080" w:leftChars="257" w:hanging="540"/>
              <w:rPr>
                <w:rFonts w:hint="eastAsia" w:ascii="微软雅黑" w:hAnsi="微软雅黑" w:eastAsia="微软雅黑" w:cs="微软雅黑"/>
                <w:color w:val="auto"/>
                <w:sz w:val="24"/>
                <w:szCs w:val="24"/>
              </w:rPr>
            </w:pPr>
          </w:p>
        </w:tc>
      </w:tr>
      <w:tr w14:paraId="7EC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1F0515E0">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11EA7438">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03197B61">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16482C7F">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BF55E50">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091C0894">
            <w:pPr>
              <w:pStyle w:val="18"/>
              <w:spacing w:line="400" w:lineRule="exact"/>
              <w:ind w:left="1080" w:leftChars="257" w:hanging="540"/>
              <w:rPr>
                <w:rFonts w:hint="eastAsia" w:ascii="微软雅黑" w:hAnsi="微软雅黑" w:eastAsia="微软雅黑" w:cs="微软雅黑"/>
                <w:color w:val="auto"/>
                <w:sz w:val="24"/>
                <w:szCs w:val="24"/>
              </w:rPr>
            </w:pPr>
          </w:p>
        </w:tc>
      </w:tr>
      <w:tr w14:paraId="40E1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3087F47C">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30FC7C93">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198166CA">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297AE8B2">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251AB53D">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0763C2F7">
            <w:pPr>
              <w:pStyle w:val="18"/>
              <w:spacing w:line="400" w:lineRule="exact"/>
              <w:ind w:left="1080" w:leftChars="257" w:hanging="540"/>
              <w:rPr>
                <w:rFonts w:hint="eastAsia" w:ascii="微软雅黑" w:hAnsi="微软雅黑" w:eastAsia="微软雅黑" w:cs="微软雅黑"/>
                <w:color w:val="auto"/>
                <w:sz w:val="24"/>
                <w:szCs w:val="24"/>
              </w:rPr>
            </w:pPr>
          </w:p>
        </w:tc>
      </w:tr>
      <w:tr w14:paraId="482F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65CDAF31">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06ECA4B9">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2B1632E5">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2152CBE0">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06D7182A">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663171EF">
            <w:pPr>
              <w:pStyle w:val="18"/>
              <w:spacing w:line="400" w:lineRule="exact"/>
              <w:ind w:left="1080" w:leftChars="257" w:hanging="540"/>
              <w:rPr>
                <w:rFonts w:hint="eastAsia" w:ascii="微软雅黑" w:hAnsi="微软雅黑" w:eastAsia="微软雅黑" w:cs="微软雅黑"/>
                <w:color w:val="auto"/>
                <w:sz w:val="24"/>
                <w:szCs w:val="24"/>
              </w:rPr>
            </w:pPr>
          </w:p>
        </w:tc>
      </w:tr>
      <w:tr w14:paraId="379F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9" w:type="dxa"/>
          </w:tcPr>
          <w:p w14:paraId="0B5552AC">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15338291">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54B3F8E5">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7ED8C3AD">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69AEADB8">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750BC13">
            <w:pPr>
              <w:pStyle w:val="18"/>
              <w:spacing w:line="400" w:lineRule="exact"/>
              <w:ind w:left="1080" w:leftChars="257" w:hanging="540"/>
              <w:rPr>
                <w:rFonts w:hint="eastAsia" w:ascii="微软雅黑" w:hAnsi="微软雅黑" w:eastAsia="微软雅黑" w:cs="微软雅黑"/>
                <w:color w:val="auto"/>
                <w:sz w:val="24"/>
                <w:szCs w:val="24"/>
              </w:rPr>
            </w:pPr>
          </w:p>
        </w:tc>
      </w:tr>
      <w:tr w14:paraId="1555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9" w:type="dxa"/>
          </w:tcPr>
          <w:p w14:paraId="3A2A53B5">
            <w:pPr>
              <w:pStyle w:val="18"/>
              <w:spacing w:line="400" w:lineRule="exact"/>
              <w:ind w:left="1080" w:leftChars="257" w:hanging="540"/>
              <w:rPr>
                <w:rFonts w:hint="eastAsia" w:ascii="微软雅黑" w:hAnsi="微软雅黑" w:eastAsia="微软雅黑" w:cs="微软雅黑"/>
                <w:color w:val="auto"/>
                <w:sz w:val="24"/>
                <w:szCs w:val="24"/>
              </w:rPr>
            </w:pPr>
          </w:p>
        </w:tc>
        <w:tc>
          <w:tcPr>
            <w:tcW w:w="1850" w:type="dxa"/>
          </w:tcPr>
          <w:p w14:paraId="172071B0">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13108623">
            <w:pPr>
              <w:pStyle w:val="18"/>
              <w:spacing w:line="400" w:lineRule="exact"/>
              <w:ind w:left="1080" w:leftChars="257" w:hanging="540"/>
              <w:rPr>
                <w:rFonts w:hint="eastAsia" w:ascii="微软雅黑" w:hAnsi="微软雅黑" w:eastAsia="微软雅黑" w:cs="微软雅黑"/>
                <w:color w:val="auto"/>
                <w:sz w:val="24"/>
                <w:szCs w:val="24"/>
              </w:rPr>
            </w:pPr>
          </w:p>
        </w:tc>
        <w:tc>
          <w:tcPr>
            <w:tcW w:w="2285" w:type="dxa"/>
          </w:tcPr>
          <w:p w14:paraId="409F59D6">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2BB43E3C">
            <w:pPr>
              <w:pStyle w:val="18"/>
              <w:spacing w:line="400" w:lineRule="exact"/>
              <w:ind w:left="1080" w:leftChars="257" w:hanging="540"/>
              <w:rPr>
                <w:rFonts w:hint="eastAsia" w:ascii="微软雅黑" w:hAnsi="微软雅黑" w:eastAsia="微软雅黑" w:cs="微软雅黑"/>
                <w:color w:val="auto"/>
                <w:sz w:val="24"/>
                <w:szCs w:val="24"/>
              </w:rPr>
            </w:pPr>
          </w:p>
        </w:tc>
        <w:tc>
          <w:tcPr>
            <w:tcW w:w="919" w:type="dxa"/>
          </w:tcPr>
          <w:p w14:paraId="7CAE3B65">
            <w:pPr>
              <w:pStyle w:val="18"/>
              <w:spacing w:line="400" w:lineRule="exact"/>
              <w:ind w:left="1080" w:leftChars="257" w:hanging="540"/>
              <w:rPr>
                <w:rFonts w:hint="eastAsia" w:ascii="微软雅黑" w:hAnsi="微软雅黑" w:eastAsia="微软雅黑" w:cs="微软雅黑"/>
                <w:color w:val="auto"/>
                <w:sz w:val="24"/>
                <w:szCs w:val="24"/>
              </w:rPr>
            </w:pPr>
          </w:p>
        </w:tc>
      </w:tr>
    </w:tbl>
    <w:p w14:paraId="070771EB">
      <w:pPr>
        <w:pStyle w:val="18"/>
        <w:spacing w:line="400" w:lineRule="exact"/>
        <w:ind w:left="1080" w:leftChars="257" w:hanging="540"/>
        <w:rPr>
          <w:rFonts w:hint="eastAsia" w:ascii="微软雅黑" w:hAnsi="微软雅黑" w:eastAsia="微软雅黑" w:cs="微软雅黑"/>
          <w:color w:val="auto"/>
          <w:sz w:val="24"/>
          <w:szCs w:val="24"/>
        </w:rPr>
      </w:pPr>
    </w:p>
    <w:p w14:paraId="136A1C6A">
      <w:pPr>
        <w:pStyle w:val="18"/>
        <w:spacing w:line="400" w:lineRule="exact"/>
        <w:ind w:left="1080" w:leftChars="257" w:hanging="540"/>
        <w:rPr>
          <w:rFonts w:hint="eastAsia" w:ascii="微软雅黑" w:hAnsi="微软雅黑" w:eastAsia="微软雅黑" w:cs="微软雅黑"/>
          <w:color w:val="auto"/>
          <w:sz w:val="24"/>
          <w:szCs w:val="24"/>
        </w:rPr>
      </w:pPr>
    </w:p>
    <w:p w14:paraId="65C9785E">
      <w:pPr>
        <w:pStyle w:val="18"/>
        <w:spacing w:line="240" w:lineRule="atLeast"/>
        <w:ind w:left="1080" w:leftChars="257" w:hanging="540"/>
        <w:rPr>
          <w:rFonts w:hint="eastAsia"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法定代表人或其委托代理人</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签/章</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lang w:val="en-US" w:eastAsia="zh-CN"/>
        </w:rPr>
        <w:t xml:space="preserve">                  </w:t>
      </w:r>
    </w:p>
    <w:p w14:paraId="3F6B17FC">
      <w:pPr>
        <w:pStyle w:val="18"/>
        <w:spacing w:line="240" w:lineRule="atLeast"/>
        <w:ind w:left="1080" w:leftChars="257" w:hanging="540"/>
        <w:rPr>
          <w:rFonts w:hint="default" w:ascii="微软雅黑" w:hAnsi="微软雅黑" w:eastAsia="微软雅黑" w:cs="微软雅黑"/>
          <w:color w:val="auto"/>
          <w:sz w:val="24"/>
          <w:u w:val="single"/>
          <w:lang w:val="en-US" w:eastAsia="zh-CN"/>
        </w:rPr>
      </w:pPr>
      <w:r>
        <w:rPr>
          <w:rFonts w:hint="eastAsia" w:ascii="微软雅黑" w:hAnsi="微软雅黑" w:eastAsia="微软雅黑" w:cs="微软雅黑"/>
          <w:color w:val="auto"/>
          <w:sz w:val="24"/>
        </w:rPr>
        <w:t>供应商(</w:t>
      </w:r>
      <w:r>
        <w:rPr>
          <w:rFonts w:hint="eastAsia" w:ascii="微软雅黑" w:hAnsi="微软雅黑" w:eastAsia="微软雅黑" w:cs="微软雅黑"/>
          <w:color w:val="auto"/>
          <w:sz w:val="24"/>
          <w:lang w:val="en-US" w:eastAsia="zh-CN"/>
        </w:rPr>
        <w:t>公章</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u w:val="single"/>
          <w:lang w:val="en-US" w:eastAsia="zh-CN"/>
        </w:rPr>
        <w:t xml:space="preserve">                  </w:t>
      </w:r>
    </w:p>
    <w:p w14:paraId="7BE67D87">
      <w:pPr>
        <w:pStyle w:val="18"/>
        <w:tabs>
          <w:tab w:val="left" w:pos="5370"/>
        </w:tabs>
        <w:spacing w:line="400" w:lineRule="exact"/>
        <w:ind w:left="1080" w:leftChars="257" w:hanging="540"/>
        <w:rPr>
          <w:rFonts w:hint="eastAsia" w:ascii="微软雅黑" w:hAnsi="微软雅黑" w:eastAsia="微软雅黑" w:cs="微软雅黑"/>
          <w:color w:val="auto"/>
          <w:sz w:val="24"/>
          <w:szCs w:val="24"/>
          <w:u w:val="single"/>
        </w:rPr>
      </w:pPr>
    </w:p>
    <w:p w14:paraId="2D6712E2">
      <w:pPr>
        <w:pStyle w:val="18"/>
        <w:spacing w:line="360" w:lineRule="exact"/>
        <w:rPr>
          <w:rFonts w:hint="eastAsia" w:ascii="微软雅黑" w:hAnsi="微软雅黑" w:eastAsia="微软雅黑" w:cs="微软雅黑"/>
          <w:color w:val="auto"/>
          <w:sz w:val="24"/>
          <w:u w:val="single"/>
        </w:rPr>
      </w:pPr>
    </w:p>
    <w:p w14:paraId="640260E8">
      <w:pPr>
        <w:pStyle w:val="18"/>
        <w:spacing w:line="360" w:lineRule="exact"/>
        <w:ind w:left="1080" w:leftChars="257" w:hanging="540"/>
        <w:rPr>
          <w:rFonts w:hint="eastAsia" w:ascii="微软雅黑" w:hAnsi="微软雅黑" w:eastAsia="微软雅黑" w:cs="微软雅黑"/>
          <w:color w:val="auto"/>
          <w:sz w:val="24"/>
          <w:u w:val="single"/>
        </w:rPr>
      </w:pPr>
    </w:p>
    <w:p w14:paraId="25783E42">
      <w:pPr>
        <w:pStyle w:val="18"/>
        <w:spacing w:line="360" w:lineRule="exact"/>
        <w:ind w:left="1080" w:leftChars="257" w:hanging="540"/>
        <w:rPr>
          <w:rFonts w:hint="eastAsia" w:ascii="微软雅黑" w:hAnsi="微软雅黑" w:eastAsia="微软雅黑" w:cs="微软雅黑"/>
          <w:color w:val="auto"/>
          <w:sz w:val="24"/>
          <w:u w:val="single"/>
        </w:rPr>
      </w:pPr>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14:paraId="298210CB">
      <w:pPr>
        <w:rPr>
          <w:rFonts w:hint="eastAsia" w:ascii="微软雅黑" w:hAnsi="微软雅黑" w:eastAsia="微软雅黑" w:cs="微软雅黑"/>
          <w:b/>
          <w:bCs/>
          <w:color w:val="auto"/>
          <w:kern w:val="0"/>
          <w:sz w:val="24"/>
          <w:szCs w:val="24"/>
          <w:lang w:val="en-US" w:eastAsia="zh-CN" w:bidi="ar-SA"/>
        </w:rPr>
      </w:pPr>
      <w:bookmarkStart w:id="624" w:name="_Hlt520343000"/>
      <w:bookmarkEnd w:id="624"/>
      <w:bookmarkStart w:id="625" w:name="_Hlt520350957"/>
      <w:bookmarkEnd w:id="625"/>
      <w:bookmarkStart w:id="626" w:name="_Hlt520271212"/>
      <w:bookmarkEnd w:id="626"/>
      <w:bookmarkStart w:id="627" w:name="_Hlt520274393"/>
      <w:bookmarkEnd w:id="627"/>
      <w:bookmarkStart w:id="628" w:name="_Hlt520274911"/>
      <w:bookmarkEnd w:id="628"/>
      <w:bookmarkStart w:id="629" w:name="_Hlt520343392"/>
      <w:bookmarkEnd w:id="629"/>
      <w:bookmarkStart w:id="630" w:name="_Hlt520273973"/>
      <w:bookmarkEnd w:id="630"/>
      <w:bookmarkStart w:id="631" w:name="_Hlt520274407"/>
      <w:bookmarkEnd w:id="631"/>
      <w:bookmarkStart w:id="632" w:name="_Hlt520350918"/>
      <w:bookmarkEnd w:id="632"/>
      <w:bookmarkStart w:id="633" w:name="_Hlt520273711"/>
      <w:bookmarkEnd w:id="633"/>
      <w:bookmarkStart w:id="634" w:name="_Hlt520274065"/>
      <w:bookmarkEnd w:id="634"/>
      <w:bookmarkStart w:id="635" w:name="_Toc23103"/>
      <w:bookmarkStart w:id="636" w:name="_Toc10530"/>
      <w:bookmarkStart w:id="637" w:name="_Toc23068"/>
      <w:bookmarkStart w:id="638" w:name="_Toc30321"/>
      <w:bookmarkStart w:id="639" w:name="_Toc13191"/>
      <w:bookmarkStart w:id="640" w:name="_Toc26116"/>
      <w:bookmarkStart w:id="641" w:name="_Toc515647825"/>
      <w:bookmarkStart w:id="642" w:name="OLE_LINK14"/>
      <w:bookmarkStart w:id="643" w:name="_Toc19284"/>
      <w:bookmarkStart w:id="644" w:name="OLE_LINK13"/>
      <w:bookmarkStart w:id="645" w:name="_Toc5825"/>
      <w:bookmarkStart w:id="646" w:name="_Toc15209"/>
      <w:bookmarkStart w:id="647" w:name="_Toc10900"/>
      <w:bookmarkStart w:id="648" w:name="_Toc1860"/>
      <w:bookmarkStart w:id="649" w:name="_Toc20471"/>
      <w:bookmarkStart w:id="650" w:name="_Toc13385"/>
      <w:bookmarkStart w:id="651" w:name="_Toc25307"/>
      <w:bookmarkStart w:id="652" w:name="_Toc24705"/>
      <w:bookmarkStart w:id="653" w:name="_Toc2099"/>
      <w:bookmarkStart w:id="654" w:name="_Toc8073"/>
      <w:bookmarkStart w:id="655" w:name="_Toc29345"/>
      <w:r>
        <w:rPr>
          <w:rFonts w:hint="eastAsia" w:ascii="微软雅黑" w:hAnsi="微软雅黑" w:eastAsia="微软雅黑" w:cs="微软雅黑"/>
          <w:b/>
          <w:bCs/>
          <w:color w:val="auto"/>
          <w:kern w:val="0"/>
          <w:sz w:val="24"/>
          <w:szCs w:val="24"/>
          <w:lang w:val="en-US" w:eastAsia="zh-CN" w:bidi="ar-SA"/>
        </w:rPr>
        <w:br w:type="page"/>
      </w:r>
    </w:p>
    <w:p w14:paraId="566A4F47">
      <w:pPr>
        <w:jc w:val="center"/>
        <w:outlineLvl w:val="1"/>
        <w:rPr>
          <w:rFonts w:hint="eastAsia" w:ascii="微软雅黑" w:hAnsi="微软雅黑" w:eastAsia="微软雅黑" w:cs="微软雅黑"/>
          <w:b/>
          <w:bCs/>
          <w:color w:val="auto"/>
          <w:sz w:val="24"/>
        </w:rPr>
      </w:pPr>
      <w:bookmarkStart w:id="656" w:name="_Toc270"/>
      <w:r>
        <w:rPr>
          <w:rFonts w:hint="eastAsia" w:ascii="微软雅黑" w:hAnsi="微软雅黑" w:eastAsia="微软雅黑" w:cs="微软雅黑"/>
          <w:b/>
          <w:bCs/>
          <w:color w:val="auto"/>
          <w:kern w:val="0"/>
          <w:sz w:val="24"/>
          <w:szCs w:val="24"/>
          <w:lang w:val="en-US" w:eastAsia="zh-CN" w:bidi="ar-SA"/>
        </w:rPr>
        <w:t>5、</w:t>
      </w:r>
      <w:r>
        <w:rPr>
          <w:rFonts w:hint="eastAsia" w:ascii="微软雅黑" w:hAnsi="微软雅黑" w:eastAsia="微软雅黑" w:cs="微软雅黑"/>
          <w:b/>
          <w:bCs/>
          <w:color w:val="auto"/>
          <w:sz w:val="24"/>
        </w:rPr>
        <w:t>残疾人福利性单位声明函</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Pr>
          <w:rFonts w:hint="eastAsia" w:ascii="微软雅黑" w:hAnsi="微软雅黑" w:eastAsia="微软雅黑" w:cs="微软雅黑"/>
          <w:b/>
          <w:bCs/>
          <w:color w:val="auto"/>
          <w:sz w:val="24"/>
        </w:rPr>
        <w:t>（若无，可不填）</w:t>
      </w:r>
      <w:bookmarkEnd w:id="656"/>
    </w:p>
    <w:p w14:paraId="3830DEDD">
      <w:pPr>
        <w:spacing w:line="240" w:lineRule="atLeast"/>
        <w:ind w:left="1080" w:leftChars="257" w:hanging="540"/>
        <w:jc w:val="center"/>
        <w:rPr>
          <w:rFonts w:hint="eastAsia" w:ascii="微软雅黑" w:hAnsi="微软雅黑" w:eastAsia="微软雅黑" w:cs="微软雅黑"/>
          <w:color w:val="auto"/>
          <w:kern w:val="0"/>
          <w:sz w:val="24"/>
        </w:rPr>
      </w:pPr>
    </w:p>
    <w:p w14:paraId="2645E95C">
      <w:pPr>
        <w:spacing w:line="240" w:lineRule="atLeast"/>
        <w:ind w:firstLine="567"/>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6278AA1C">
      <w:pPr>
        <w:spacing w:line="240" w:lineRule="atLeast"/>
        <w:ind w:left="1080" w:leftChars="257" w:hanging="540"/>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本单位对上述声明的真实性负责。如有虚假，将依法承担相应责任。</w:t>
      </w:r>
    </w:p>
    <w:p w14:paraId="3F1EA803">
      <w:pPr>
        <w:spacing w:line="240" w:lineRule="atLeast"/>
        <w:ind w:left="1080" w:leftChars="257" w:hanging="540"/>
        <w:jc w:val="center"/>
        <w:rPr>
          <w:rFonts w:hint="eastAsia" w:ascii="微软雅黑" w:hAnsi="微软雅黑" w:eastAsia="微软雅黑" w:cs="微软雅黑"/>
          <w:color w:val="auto"/>
          <w:kern w:val="0"/>
          <w:sz w:val="24"/>
        </w:rPr>
      </w:pPr>
    </w:p>
    <w:p w14:paraId="1B80F6EF">
      <w:pPr>
        <w:spacing w:line="240" w:lineRule="atLeast"/>
        <w:ind w:left="1080" w:leftChars="257" w:hanging="540"/>
        <w:jc w:val="center"/>
        <w:rPr>
          <w:rFonts w:hint="eastAsia" w:ascii="微软雅黑" w:hAnsi="微软雅黑" w:eastAsia="微软雅黑" w:cs="微软雅黑"/>
          <w:color w:val="auto"/>
          <w:kern w:val="0"/>
          <w:sz w:val="24"/>
        </w:rPr>
      </w:pPr>
    </w:p>
    <w:p w14:paraId="67474603">
      <w:pPr>
        <w:spacing w:line="240" w:lineRule="atLeast"/>
        <w:ind w:left="1080" w:leftChars="257" w:hanging="540"/>
        <w:jc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 残疾人福利性单位名称（公章）：</w:t>
      </w:r>
    </w:p>
    <w:p w14:paraId="345BBB6F">
      <w:pPr>
        <w:spacing w:line="240" w:lineRule="atLeast"/>
        <w:ind w:left="1080" w:leftChars="257" w:hanging="540"/>
        <w:jc w:val="center"/>
        <w:rPr>
          <w:rFonts w:hint="eastAsia" w:ascii="微软雅黑" w:hAnsi="微软雅黑" w:eastAsia="微软雅黑" w:cs="微软雅黑"/>
          <w:b/>
          <w:color w:val="auto"/>
          <w:kern w:val="0"/>
          <w:sz w:val="24"/>
        </w:rPr>
      </w:pPr>
      <w:r>
        <w:rPr>
          <w:rFonts w:hint="eastAsia" w:ascii="微软雅黑" w:hAnsi="微软雅黑" w:eastAsia="微软雅黑" w:cs="微软雅黑"/>
          <w:color w:val="auto"/>
          <w:kern w:val="0"/>
          <w:sz w:val="24"/>
        </w:rPr>
        <w:t xml:space="preserve">                 日  期：</w:t>
      </w:r>
    </w:p>
    <w:p w14:paraId="2F873DE9">
      <w:pPr>
        <w:spacing w:line="240" w:lineRule="atLeast"/>
        <w:ind w:left="1080" w:leftChars="257" w:hanging="540"/>
        <w:jc w:val="center"/>
        <w:rPr>
          <w:rFonts w:hint="eastAsia" w:ascii="微软雅黑" w:hAnsi="微软雅黑" w:eastAsia="微软雅黑" w:cs="微软雅黑"/>
          <w:b/>
          <w:color w:val="auto"/>
          <w:kern w:val="0"/>
          <w:sz w:val="24"/>
        </w:rPr>
      </w:pPr>
    </w:p>
    <w:p w14:paraId="4A54BB19">
      <w:pPr>
        <w:spacing w:line="480" w:lineRule="exact"/>
        <w:jc w:val="both"/>
        <w:rPr>
          <w:rFonts w:hint="eastAsia" w:ascii="微软雅黑" w:hAnsi="微软雅黑" w:eastAsia="微软雅黑" w:cs="微软雅黑"/>
          <w:color w:val="auto"/>
          <w:szCs w:val="21"/>
        </w:rPr>
      </w:pPr>
    </w:p>
    <w:p w14:paraId="44756F01">
      <w:pPr>
        <w:widowControl/>
        <w:spacing w:before="100" w:beforeAutospacing="1" w:after="100" w:afterAutospacing="1" w:line="400" w:lineRule="exact"/>
        <w:jc w:val="center"/>
        <w:outlineLvl w:val="1"/>
        <w:rPr>
          <w:rFonts w:hint="eastAsia" w:ascii="微软雅黑" w:hAnsi="微软雅黑" w:eastAsia="微软雅黑" w:cs="微软雅黑"/>
          <w:b/>
          <w:bCs/>
          <w:color w:val="auto"/>
          <w:kern w:val="2"/>
          <w:sz w:val="24"/>
          <w:szCs w:val="24"/>
          <w:highlight w:val="none"/>
          <w:lang w:val="en-US" w:eastAsia="zh-CN" w:bidi="ar-SA"/>
        </w:rPr>
      </w:pPr>
      <w:bookmarkStart w:id="657" w:name="_Toc2463"/>
      <w:bookmarkStart w:id="658" w:name="_Toc28099"/>
      <w:bookmarkStart w:id="659" w:name="_Toc6004"/>
      <w:bookmarkStart w:id="660" w:name="_Toc30946"/>
      <w:bookmarkStart w:id="661" w:name="_Toc16850"/>
      <w:bookmarkStart w:id="662" w:name="_Toc5568"/>
      <w:bookmarkStart w:id="663" w:name="_Toc515647827"/>
      <w:bookmarkStart w:id="664" w:name="_Toc11868"/>
      <w:bookmarkStart w:id="665" w:name="_Toc30795"/>
      <w:bookmarkStart w:id="666" w:name="_Toc19223"/>
      <w:bookmarkStart w:id="667" w:name="_Toc26133"/>
      <w:bookmarkStart w:id="668" w:name="_Toc452"/>
      <w:bookmarkStart w:id="669" w:name="_Toc6009"/>
      <w:bookmarkStart w:id="670" w:name="_Toc2304"/>
      <w:bookmarkStart w:id="671" w:name="_Toc22378"/>
      <w:bookmarkStart w:id="672" w:name="_Toc5527"/>
      <w:bookmarkStart w:id="673" w:name="_Toc22561"/>
      <w:r>
        <w:rPr>
          <w:rFonts w:hint="eastAsia" w:ascii="微软雅黑" w:hAnsi="微软雅黑" w:eastAsia="微软雅黑" w:cs="微软雅黑"/>
          <w:b/>
          <w:bCs/>
          <w:color w:val="auto"/>
          <w:sz w:val="24"/>
          <w:lang w:val="en-US" w:eastAsia="zh-CN"/>
        </w:rPr>
        <w:t>6、</w:t>
      </w:r>
      <w:r>
        <w:rPr>
          <w:rFonts w:hint="eastAsia" w:ascii="微软雅黑" w:hAnsi="微软雅黑" w:eastAsia="微软雅黑" w:cs="微软雅黑"/>
          <w:b/>
          <w:bCs/>
          <w:color w:val="auto"/>
          <w:kern w:val="2"/>
          <w:sz w:val="24"/>
          <w:szCs w:val="24"/>
          <w:highlight w:val="none"/>
          <w:lang w:val="en-US" w:eastAsia="zh-CN" w:bidi="ar-SA"/>
        </w:rPr>
        <w:t>监狱企业声明函（若无，可不填）</w:t>
      </w:r>
      <w:bookmarkEnd w:id="657"/>
    </w:p>
    <w:p w14:paraId="46DD72D2">
      <w:pPr>
        <w:spacing w:line="400" w:lineRule="exact"/>
        <w:ind w:left="1080" w:leftChars="257" w:hanging="540"/>
        <w:jc w:val="center"/>
        <w:rPr>
          <w:rFonts w:hint="eastAsia" w:ascii="微软雅黑" w:hAnsi="微软雅黑" w:eastAsia="微软雅黑" w:cs="微软雅黑"/>
          <w:b/>
          <w:color w:val="auto"/>
          <w:kern w:val="0"/>
          <w:sz w:val="24"/>
          <w:szCs w:val="24"/>
          <w:highlight w:val="none"/>
        </w:rPr>
      </w:pPr>
    </w:p>
    <w:p w14:paraId="1649336B">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本公司（联合体）郑重声明，根据《政府采购促进中小企业发展管理办法》（财库﹝2020﹞46 号）的规定，本公司（联合体）参加</w:t>
      </w:r>
      <w:r>
        <w:rPr>
          <w:rFonts w:hint="eastAsia" w:ascii="微软雅黑" w:hAnsi="微软雅黑" w:eastAsia="微软雅黑" w:cs="微软雅黑"/>
          <w:color w:val="auto"/>
          <w:kern w:val="0"/>
          <w:sz w:val="24"/>
          <w:szCs w:val="24"/>
          <w:highlight w:val="none"/>
          <w:u w:val="single"/>
        </w:rPr>
        <w:t xml:space="preserve"> （单位名称）</w:t>
      </w:r>
      <w:r>
        <w:rPr>
          <w:rFonts w:hint="eastAsia" w:ascii="微软雅黑" w:hAnsi="微软雅黑" w:eastAsia="微软雅黑" w:cs="微软雅黑"/>
          <w:color w:val="auto"/>
          <w:kern w:val="0"/>
          <w:sz w:val="24"/>
          <w:szCs w:val="24"/>
          <w:highlight w:val="none"/>
        </w:rPr>
        <w:t xml:space="preserve"> 的 </w:t>
      </w:r>
      <w:r>
        <w:rPr>
          <w:rFonts w:hint="eastAsia" w:ascii="微软雅黑" w:hAnsi="微软雅黑" w:eastAsia="微软雅黑" w:cs="微软雅黑"/>
          <w:color w:val="auto"/>
          <w:kern w:val="0"/>
          <w:sz w:val="24"/>
          <w:szCs w:val="24"/>
          <w:highlight w:val="none"/>
          <w:u w:val="single"/>
        </w:rPr>
        <w:t>（项目名称）</w:t>
      </w:r>
      <w:r>
        <w:rPr>
          <w:rFonts w:hint="eastAsia" w:ascii="微软雅黑" w:hAnsi="微软雅黑" w:eastAsia="微软雅黑" w:cs="微软雅黑"/>
          <w:color w:val="auto"/>
          <w:kern w:val="0"/>
          <w:sz w:val="24"/>
          <w:szCs w:val="24"/>
          <w:highlight w:val="none"/>
        </w:rPr>
        <w:t xml:space="preserve"> 采购活动，货物全部为符合政策要求的中小企业（或者：服务全部由符合政策要求的中小企业承接）。相关企业（含联合体中的中小企业、签订分包意向协议的中小企业）的具体情况如下：</w:t>
      </w:r>
    </w:p>
    <w:p w14:paraId="434EF79C">
      <w:pPr>
        <w:snapToGrid w:val="0"/>
        <w:spacing w:line="400" w:lineRule="exact"/>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u w:val="single"/>
        </w:rPr>
        <w:t>（标的名称）</w:t>
      </w:r>
      <w:r>
        <w:rPr>
          <w:rFonts w:hint="eastAsia" w:ascii="微软雅黑" w:hAnsi="微软雅黑" w:eastAsia="微软雅黑" w:cs="微软雅黑"/>
          <w:color w:val="auto"/>
          <w:sz w:val="24"/>
          <w:szCs w:val="24"/>
          <w:highlight w:val="none"/>
        </w:rPr>
        <w:t>，承接单位为</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1C4520F5">
      <w:pPr>
        <w:spacing w:after="60" w:afterLines="25"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u w:val="single"/>
        </w:rPr>
        <w:t>（标的名称）</w:t>
      </w:r>
      <w:r>
        <w:rPr>
          <w:rFonts w:hint="eastAsia" w:ascii="微软雅黑" w:hAnsi="微软雅黑" w:eastAsia="微软雅黑" w:cs="微软雅黑"/>
          <w:color w:val="auto"/>
          <w:sz w:val="24"/>
          <w:szCs w:val="24"/>
          <w:highlight w:val="none"/>
        </w:rPr>
        <w:t>，承接单位为</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0F5261C8">
      <w:pPr>
        <w:spacing w:after="60" w:afterLines="25"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 </w:t>
      </w:r>
    </w:p>
    <w:p w14:paraId="155B2F7F">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本单位对上述声明的真实性负责。如有虚假，依法承担相应责任。</w:t>
      </w:r>
    </w:p>
    <w:p w14:paraId="2A448DEF">
      <w:pPr>
        <w:snapToGrid w:val="0"/>
        <w:spacing w:line="400" w:lineRule="exact"/>
        <w:textAlignment w:val="baseline"/>
        <w:rPr>
          <w:rFonts w:hint="eastAsia" w:ascii="微软雅黑" w:hAnsi="微软雅黑" w:eastAsia="微软雅黑" w:cs="微软雅黑"/>
          <w:color w:val="auto"/>
          <w:kern w:val="0"/>
          <w:sz w:val="24"/>
          <w:szCs w:val="24"/>
          <w:highlight w:val="none"/>
        </w:rPr>
      </w:pPr>
    </w:p>
    <w:p w14:paraId="75EF7F6A">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附：省级以上监狱管理局、戒毒管理局（含新疆生产建设兵团）出具的监狱企业证明文件。</w:t>
      </w:r>
    </w:p>
    <w:p w14:paraId="2B4B6E98">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p>
    <w:p w14:paraId="233B3F5E">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投标人（单位盖章）：________</w:t>
      </w:r>
    </w:p>
    <w:p w14:paraId="2992F3CA">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日  期：_______</w:t>
      </w:r>
    </w:p>
    <w:p w14:paraId="2CA9A6D0">
      <w:pPr>
        <w:spacing w:line="240" w:lineRule="atLeast"/>
        <w:jc w:val="center"/>
        <w:outlineLvl w:val="9"/>
        <w:rPr>
          <w:rFonts w:hint="eastAsia" w:ascii="微软雅黑" w:hAnsi="微软雅黑" w:eastAsia="微软雅黑" w:cs="微软雅黑"/>
          <w:b/>
          <w:bCs/>
          <w:color w:val="auto"/>
          <w:sz w:val="24"/>
          <w:lang w:val="en-US" w:eastAsia="zh-CN"/>
        </w:rPr>
      </w:pPr>
    </w:p>
    <w:p w14:paraId="4FC95596">
      <w:pPr>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br w:type="page"/>
      </w:r>
    </w:p>
    <w:p w14:paraId="7C0B6C10">
      <w:pPr>
        <w:widowControl/>
        <w:spacing w:before="100" w:beforeAutospacing="1" w:after="100" w:afterAutospacing="1" w:line="400" w:lineRule="exact"/>
        <w:jc w:val="center"/>
        <w:outlineLvl w:val="1"/>
        <w:rPr>
          <w:rFonts w:hint="eastAsia" w:ascii="微软雅黑" w:hAnsi="微软雅黑" w:eastAsia="微软雅黑" w:cs="微软雅黑"/>
          <w:b/>
          <w:bCs/>
          <w:color w:val="auto"/>
          <w:kern w:val="2"/>
          <w:sz w:val="24"/>
          <w:szCs w:val="24"/>
          <w:highlight w:val="none"/>
          <w:lang w:val="en-US" w:eastAsia="zh-CN" w:bidi="ar-SA"/>
        </w:rPr>
      </w:pPr>
      <w:bookmarkStart w:id="674" w:name="_Toc2177"/>
      <w:r>
        <w:rPr>
          <w:rFonts w:hint="eastAsia" w:ascii="微软雅黑" w:hAnsi="微软雅黑" w:eastAsia="微软雅黑" w:cs="微软雅黑"/>
          <w:b/>
          <w:bCs/>
          <w:color w:val="auto"/>
          <w:sz w:val="24"/>
          <w:lang w:val="en-US" w:eastAsia="zh-CN"/>
        </w:rPr>
        <w:t>7、</w:t>
      </w:r>
      <w:r>
        <w:rPr>
          <w:rFonts w:hint="eastAsia" w:ascii="微软雅黑" w:hAnsi="微软雅黑" w:eastAsia="微软雅黑" w:cs="微软雅黑"/>
          <w:b/>
          <w:bCs/>
          <w:color w:val="auto"/>
          <w:kern w:val="2"/>
          <w:sz w:val="24"/>
          <w:szCs w:val="24"/>
          <w:highlight w:val="none"/>
          <w:lang w:val="en-US" w:eastAsia="zh-CN" w:bidi="ar-SA"/>
        </w:rPr>
        <w:t>关于符合本国产品标准的声明函</w:t>
      </w:r>
      <w:bookmarkEnd w:id="674"/>
      <w:r>
        <w:rPr>
          <w:rFonts w:hint="eastAsia" w:ascii="微软雅黑" w:hAnsi="微软雅黑" w:eastAsia="微软雅黑" w:cs="微软雅黑"/>
          <w:b/>
          <w:bCs/>
          <w:color w:val="auto"/>
          <w:kern w:val="2"/>
          <w:sz w:val="24"/>
          <w:szCs w:val="24"/>
          <w:highlight w:val="none"/>
          <w:lang w:val="en-US" w:eastAsia="zh-CN" w:bidi="ar-SA"/>
        </w:rPr>
        <w:t>（本项目不适用）</w:t>
      </w:r>
    </w:p>
    <w:p w14:paraId="1E5AC30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1AB59C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1.</w:t>
      </w:r>
      <w:r>
        <w:rPr>
          <w:rFonts w:hint="eastAsia" w:ascii="微软雅黑" w:hAnsi="微软雅黑" w:eastAsia="微软雅黑" w:cs="微软雅黑"/>
          <w:i w:val="0"/>
          <w:iCs w:val="0"/>
          <w:caps w:val="0"/>
          <w:color w:val="000000"/>
          <w:spacing w:val="0"/>
          <w:sz w:val="24"/>
          <w:szCs w:val="24"/>
          <w:u w:val="single"/>
          <w:shd w:val="clear" w:color="auto" w:fill="FFFFFF"/>
        </w:rPr>
        <w:t>（产品名称1）</w:t>
      </w:r>
      <w:r>
        <w:rPr>
          <w:rFonts w:hint="eastAsia" w:ascii="微软雅黑" w:hAnsi="微软雅黑" w:eastAsia="微软雅黑" w:cs="微软雅黑"/>
          <w:i w:val="0"/>
          <w:iCs w:val="0"/>
          <w:caps w:val="0"/>
          <w:color w:val="000000"/>
          <w:spacing w:val="0"/>
          <w:sz w:val="24"/>
          <w:szCs w:val="24"/>
          <w:shd w:val="clear" w:color="auto" w:fill="FFFFFF"/>
        </w:rPr>
        <w:t>1，生产厂为</w:t>
      </w:r>
      <w:r>
        <w:rPr>
          <w:rFonts w:hint="eastAsia" w:ascii="微软雅黑" w:hAnsi="微软雅黑" w:eastAsia="微软雅黑" w:cs="微软雅黑"/>
          <w:i w:val="0"/>
          <w:iCs w:val="0"/>
          <w:caps w:val="0"/>
          <w:color w:val="000000"/>
          <w:spacing w:val="0"/>
          <w:sz w:val="24"/>
          <w:szCs w:val="24"/>
          <w:u w:val="single"/>
          <w:shd w:val="clear" w:color="auto" w:fill="FFFFFF"/>
        </w:rPr>
        <w:t>（厂名）</w:t>
      </w:r>
      <w:r>
        <w:rPr>
          <w:rFonts w:hint="eastAsia" w:ascii="微软雅黑" w:hAnsi="微软雅黑" w:eastAsia="微软雅黑" w:cs="微软雅黑"/>
          <w:i w:val="0"/>
          <w:iCs w:val="0"/>
          <w:caps w:val="0"/>
          <w:color w:val="000000"/>
          <w:spacing w:val="0"/>
          <w:sz w:val="24"/>
          <w:szCs w:val="24"/>
          <w:shd w:val="clear" w:color="auto" w:fill="FFFFFF"/>
        </w:rPr>
        <w:t>2，厂址为</w:t>
      </w:r>
      <w:r>
        <w:rPr>
          <w:rFonts w:hint="eastAsia" w:ascii="微软雅黑" w:hAnsi="微软雅黑" w:eastAsia="微软雅黑" w:cs="微软雅黑"/>
          <w:i w:val="0"/>
          <w:iCs w:val="0"/>
          <w:caps w:val="0"/>
          <w:color w:val="000000"/>
          <w:spacing w:val="0"/>
          <w:sz w:val="24"/>
          <w:szCs w:val="24"/>
          <w:u w:val="single"/>
          <w:shd w:val="clear" w:color="auto" w:fill="FFFFFF"/>
        </w:rPr>
        <w:t>（生产厂址）</w:t>
      </w:r>
      <w:r>
        <w:rPr>
          <w:rFonts w:hint="eastAsia" w:ascii="微软雅黑" w:hAnsi="微软雅黑" w:eastAsia="微软雅黑" w:cs="微软雅黑"/>
          <w:i w:val="0"/>
          <w:iCs w:val="0"/>
          <w:caps w:val="0"/>
          <w:color w:val="000000"/>
          <w:spacing w:val="0"/>
          <w:sz w:val="24"/>
          <w:szCs w:val="24"/>
          <w:shd w:val="clear" w:color="auto" w:fill="FFFFFF"/>
        </w:rPr>
        <w:t>。</w:t>
      </w:r>
      <w:r>
        <w:rPr>
          <w:rFonts w:hint="eastAsia" w:ascii="微软雅黑" w:hAnsi="微软雅黑" w:eastAsia="微软雅黑" w:cs="微软雅黑"/>
          <w:i w:val="0"/>
          <w:iCs w:val="0"/>
          <w:caps w:val="0"/>
          <w:color w:val="000000"/>
          <w:spacing w:val="0"/>
          <w:sz w:val="24"/>
          <w:szCs w:val="24"/>
          <w:u w:val="single"/>
          <w:shd w:val="clear" w:color="auto" w:fill="FFFFFF"/>
        </w:rPr>
        <w:t>（产品名称1）</w:t>
      </w:r>
      <w:r>
        <w:rPr>
          <w:rFonts w:hint="eastAsia" w:ascii="微软雅黑" w:hAnsi="微软雅黑" w:eastAsia="微软雅黑" w:cs="微软雅黑"/>
          <w:i w:val="0"/>
          <w:iCs w:val="0"/>
          <w:caps w:val="0"/>
          <w:color w:val="000000"/>
          <w:spacing w:val="0"/>
          <w:sz w:val="24"/>
          <w:szCs w:val="24"/>
          <w:shd w:val="clear" w:color="auto" w:fill="FFFFFF"/>
        </w:rPr>
        <w:t>的中国境内生产的组件成本占比≥</w:t>
      </w:r>
      <w:r>
        <w:rPr>
          <w:rFonts w:hint="eastAsia" w:ascii="微软雅黑" w:hAnsi="微软雅黑" w:eastAsia="微软雅黑" w:cs="微软雅黑"/>
          <w:i w:val="0"/>
          <w:iCs w:val="0"/>
          <w:caps w:val="0"/>
          <w:color w:val="000000"/>
          <w:spacing w:val="0"/>
          <w:sz w:val="24"/>
          <w:szCs w:val="24"/>
          <w:u w:val="single"/>
          <w:shd w:val="clear" w:color="auto" w:fill="FFFFFF"/>
        </w:rPr>
        <w:t>（规定比例）3</w:t>
      </w:r>
      <w:r>
        <w:rPr>
          <w:rFonts w:hint="eastAsia" w:ascii="微软雅黑" w:hAnsi="微软雅黑" w:eastAsia="微软雅黑" w:cs="微软雅黑"/>
          <w:i w:val="0"/>
          <w:iCs w:val="0"/>
          <w:caps w:val="0"/>
          <w:color w:val="000000"/>
          <w:spacing w:val="0"/>
          <w:sz w:val="24"/>
          <w:szCs w:val="24"/>
          <w:shd w:val="clear" w:color="auto" w:fill="FFFFFF"/>
        </w:rPr>
        <w:t>。</w:t>
      </w:r>
      <w:r>
        <w:rPr>
          <w:rFonts w:hint="eastAsia" w:ascii="微软雅黑" w:hAnsi="微软雅黑" w:eastAsia="微软雅黑" w:cs="微软雅黑"/>
          <w:i w:val="0"/>
          <w:iCs w:val="0"/>
          <w:caps w:val="0"/>
          <w:color w:val="000000"/>
          <w:spacing w:val="0"/>
          <w:sz w:val="24"/>
          <w:szCs w:val="24"/>
          <w:u w:val="single"/>
          <w:shd w:val="clear" w:color="auto" w:fill="FFFFFF"/>
        </w:rPr>
        <w:t>（产品名称1）</w:t>
      </w:r>
      <w:r>
        <w:rPr>
          <w:rFonts w:hint="eastAsia" w:ascii="微软雅黑" w:hAnsi="微软雅黑" w:eastAsia="微软雅黑" w:cs="微软雅黑"/>
          <w:i w:val="0"/>
          <w:iCs w:val="0"/>
          <w:caps w:val="0"/>
          <w:color w:val="000000"/>
          <w:spacing w:val="0"/>
          <w:sz w:val="24"/>
          <w:szCs w:val="24"/>
          <w:shd w:val="clear" w:color="auto" w:fill="FFFFFF"/>
        </w:rPr>
        <w:t>的</w:t>
      </w:r>
      <w:r>
        <w:rPr>
          <w:rFonts w:hint="eastAsia" w:ascii="微软雅黑" w:hAnsi="微软雅黑" w:eastAsia="微软雅黑" w:cs="微软雅黑"/>
          <w:i w:val="0"/>
          <w:iCs w:val="0"/>
          <w:caps w:val="0"/>
          <w:color w:val="000000"/>
          <w:spacing w:val="0"/>
          <w:sz w:val="24"/>
          <w:szCs w:val="24"/>
          <w:u w:val="single"/>
          <w:shd w:val="clear" w:color="auto" w:fill="FFFFFF"/>
        </w:rPr>
        <w:t>（关键组件）4</w:t>
      </w:r>
      <w:r>
        <w:rPr>
          <w:rFonts w:hint="eastAsia" w:ascii="微软雅黑" w:hAnsi="微软雅黑" w:eastAsia="微软雅黑" w:cs="微软雅黑"/>
          <w:i w:val="0"/>
          <w:iCs w:val="0"/>
          <w:caps w:val="0"/>
          <w:color w:val="000000"/>
          <w:spacing w:val="0"/>
          <w:sz w:val="24"/>
          <w:szCs w:val="24"/>
          <w:shd w:val="clear" w:color="auto" w:fill="FFFFFF"/>
        </w:rPr>
        <w:t>在中国境内生产。</w:t>
      </w:r>
      <w:r>
        <w:rPr>
          <w:rFonts w:hint="eastAsia" w:ascii="微软雅黑" w:hAnsi="微软雅黑" w:eastAsia="微软雅黑" w:cs="微软雅黑"/>
          <w:i w:val="0"/>
          <w:iCs w:val="0"/>
          <w:caps w:val="0"/>
          <w:color w:val="000000"/>
          <w:spacing w:val="0"/>
          <w:sz w:val="24"/>
          <w:szCs w:val="24"/>
          <w:u w:val="single"/>
          <w:shd w:val="clear" w:color="auto" w:fill="FFFFFF"/>
        </w:rPr>
        <w:t>（产品名称1）</w:t>
      </w:r>
      <w:r>
        <w:rPr>
          <w:rFonts w:hint="eastAsia" w:ascii="微软雅黑" w:hAnsi="微软雅黑" w:eastAsia="微软雅黑" w:cs="微软雅黑"/>
          <w:i w:val="0"/>
          <w:iCs w:val="0"/>
          <w:caps w:val="0"/>
          <w:color w:val="000000"/>
          <w:spacing w:val="0"/>
          <w:sz w:val="24"/>
          <w:szCs w:val="24"/>
          <w:shd w:val="clear" w:color="auto" w:fill="FFFFFF"/>
        </w:rPr>
        <w:t>的</w:t>
      </w:r>
      <w:r>
        <w:rPr>
          <w:rFonts w:hint="eastAsia" w:ascii="微软雅黑" w:hAnsi="微软雅黑" w:eastAsia="微软雅黑" w:cs="微软雅黑"/>
          <w:i w:val="0"/>
          <w:iCs w:val="0"/>
          <w:caps w:val="0"/>
          <w:color w:val="000000"/>
          <w:spacing w:val="0"/>
          <w:sz w:val="24"/>
          <w:szCs w:val="24"/>
          <w:u w:val="single"/>
          <w:shd w:val="clear" w:color="auto" w:fill="FFFFFF"/>
        </w:rPr>
        <w:t>（关键工序）5</w:t>
      </w:r>
      <w:r>
        <w:rPr>
          <w:rFonts w:hint="eastAsia" w:ascii="微软雅黑" w:hAnsi="微软雅黑" w:eastAsia="微软雅黑" w:cs="微软雅黑"/>
          <w:i w:val="0"/>
          <w:iCs w:val="0"/>
          <w:caps w:val="0"/>
          <w:color w:val="000000"/>
          <w:spacing w:val="0"/>
          <w:sz w:val="24"/>
          <w:szCs w:val="24"/>
          <w:shd w:val="clear" w:color="auto" w:fill="FFFFFF"/>
        </w:rPr>
        <w:t>在中国境内完成。</w:t>
      </w:r>
    </w:p>
    <w:p w14:paraId="02D4F40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2.</w:t>
      </w:r>
      <w:r>
        <w:rPr>
          <w:rFonts w:hint="eastAsia" w:ascii="微软雅黑" w:hAnsi="微软雅黑" w:eastAsia="微软雅黑" w:cs="微软雅黑"/>
          <w:i w:val="0"/>
          <w:iCs w:val="0"/>
          <w:caps w:val="0"/>
          <w:color w:val="000000"/>
          <w:spacing w:val="0"/>
          <w:sz w:val="24"/>
          <w:szCs w:val="24"/>
          <w:u w:val="single"/>
          <w:shd w:val="clear" w:color="auto" w:fill="FFFFFF"/>
        </w:rPr>
        <w:t>（产品名称2）</w:t>
      </w:r>
      <w:r>
        <w:rPr>
          <w:rFonts w:hint="eastAsia" w:ascii="微软雅黑" w:hAnsi="微软雅黑" w:eastAsia="微软雅黑" w:cs="微软雅黑"/>
          <w:i w:val="0"/>
          <w:iCs w:val="0"/>
          <w:caps w:val="0"/>
          <w:color w:val="000000"/>
          <w:spacing w:val="0"/>
          <w:sz w:val="24"/>
          <w:szCs w:val="24"/>
          <w:shd w:val="clear" w:color="auto" w:fill="FFFFFF"/>
        </w:rPr>
        <w:t>，生产厂为</w:t>
      </w:r>
      <w:r>
        <w:rPr>
          <w:rFonts w:hint="eastAsia" w:ascii="微软雅黑" w:hAnsi="微软雅黑" w:eastAsia="微软雅黑" w:cs="微软雅黑"/>
          <w:i w:val="0"/>
          <w:iCs w:val="0"/>
          <w:caps w:val="0"/>
          <w:color w:val="000000"/>
          <w:spacing w:val="0"/>
          <w:sz w:val="24"/>
          <w:szCs w:val="24"/>
          <w:u w:val="single"/>
          <w:shd w:val="clear" w:color="auto" w:fill="FFFFFF"/>
        </w:rPr>
        <w:t>（厂名）</w:t>
      </w:r>
      <w:r>
        <w:rPr>
          <w:rFonts w:hint="eastAsia" w:ascii="微软雅黑" w:hAnsi="微软雅黑" w:eastAsia="微软雅黑" w:cs="微软雅黑"/>
          <w:i w:val="0"/>
          <w:iCs w:val="0"/>
          <w:caps w:val="0"/>
          <w:color w:val="000000"/>
          <w:spacing w:val="0"/>
          <w:sz w:val="24"/>
          <w:szCs w:val="24"/>
          <w:shd w:val="clear" w:color="auto" w:fill="FFFFFF"/>
        </w:rPr>
        <w:t>，厂址为</w:t>
      </w:r>
      <w:r>
        <w:rPr>
          <w:rFonts w:hint="eastAsia" w:ascii="微软雅黑" w:hAnsi="微软雅黑" w:eastAsia="微软雅黑" w:cs="微软雅黑"/>
          <w:i w:val="0"/>
          <w:iCs w:val="0"/>
          <w:caps w:val="0"/>
          <w:color w:val="000000"/>
          <w:spacing w:val="0"/>
          <w:sz w:val="24"/>
          <w:szCs w:val="24"/>
          <w:u w:val="single"/>
          <w:shd w:val="clear" w:color="auto" w:fill="FFFFFF"/>
        </w:rPr>
        <w:t>（生产厂址）</w:t>
      </w:r>
      <w:r>
        <w:rPr>
          <w:rFonts w:hint="eastAsia" w:ascii="微软雅黑" w:hAnsi="微软雅黑" w:eastAsia="微软雅黑" w:cs="微软雅黑"/>
          <w:i w:val="0"/>
          <w:iCs w:val="0"/>
          <w:caps w:val="0"/>
          <w:color w:val="000000"/>
          <w:spacing w:val="0"/>
          <w:sz w:val="24"/>
          <w:szCs w:val="24"/>
          <w:shd w:val="clear" w:color="auto" w:fill="FFFFFF"/>
        </w:rPr>
        <w:t>。</w:t>
      </w:r>
      <w:r>
        <w:rPr>
          <w:rFonts w:hint="eastAsia" w:ascii="微软雅黑" w:hAnsi="微软雅黑" w:eastAsia="微软雅黑" w:cs="微软雅黑"/>
          <w:i w:val="0"/>
          <w:iCs w:val="0"/>
          <w:caps w:val="0"/>
          <w:color w:val="000000"/>
          <w:spacing w:val="0"/>
          <w:sz w:val="24"/>
          <w:szCs w:val="24"/>
          <w:u w:val="single"/>
          <w:shd w:val="clear" w:color="auto" w:fill="FFFFFF"/>
        </w:rPr>
        <w:t>（产品名称2）</w:t>
      </w:r>
      <w:r>
        <w:rPr>
          <w:rFonts w:hint="eastAsia" w:ascii="微软雅黑" w:hAnsi="微软雅黑" w:eastAsia="微软雅黑" w:cs="微软雅黑"/>
          <w:i w:val="0"/>
          <w:iCs w:val="0"/>
          <w:caps w:val="0"/>
          <w:color w:val="000000"/>
          <w:spacing w:val="0"/>
          <w:sz w:val="24"/>
          <w:szCs w:val="24"/>
          <w:shd w:val="clear" w:color="auto" w:fill="FFFFFF"/>
        </w:rPr>
        <w:t>的中国境内生产的组件成本占比≥</w:t>
      </w:r>
      <w:r>
        <w:rPr>
          <w:rFonts w:hint="eastAsia" w:ascii="微软雅黑" w:hAnsi="微软雅黑" w:eastAsia="微软雅黑" w:cs="微软雅黑"/>
          <w:i w:val="0"/>
          <w:iCs w:val="0"/>
          <w:caps w:val="0"/>
          <w:color w:val="000000"/>
          <w:spacing w:val="0"/>
          <w:sz w:val="24"/>
          <w:szCs w:val="24"/>
          <w:u w:val="single"/>
          <w:shd w:val="clear" w:color="auto" w:fill="FFFFFF"/>
        </w:rPr>
        <w:t>（规定比例）</w:t>
      </w:r>
      <w:r>
        <w:rPr>
          <w:rFonts w:hint="eastAsia" w:ascii="微软雅黑" w:hAnsi="微软雅黑" w:eastAsia="微软雅黑" w:cs="微软雅黑"/>
          <w:i w:val="0"/>
          <w:iCs w:val="0"/>
          <w:caps w:val="0"/>
          <w:color w:val="000000"/>
          <w:spacing w:val="0"/>
          <w:sz w:val="24"/>
          <w:szCs w:val="24"/>
          <w:shd w:val="clear" w:color="auto" w:fill="FFFFFF"/>
        </w:rPr>
        <w:t>。</w:t>
      </w:r>
      <w:r>
        <w:rPr>
          <w:rFonts w:hint="eastAsia" w:ascii="微软雅黑" w:hAnsi="微软雅黑" w:eastAsia="微软雅黑" w:cs="微软雅黑"/>
          <w:i w:val="0"/>
          <w:iCs w:val="0"/>
          <w:caps w:val="0"/>
          <w:color w:val="000000"/>
          <w:spacing w:val="0"/>
          <w:sz w:val="24"/>
          <w:szCs w:val="24"/>
          <w:u w:val="single"/>
          <w:shd w:val="clear" w:color="auto" w:fill="FFFFFF"/>
        </w:rPr>
        <w:t>（产品名称2）</w:t>
      </w:r>
      <w:r>
        <w:rPr>
          <w:rFonts w:hint="eastAsia" w:ascii="微软雅黑" w:hAnsi="微软雅黑" w:eastAsia="微软雅黑" w:cs="微软雅黑"/>
          <w:i w:val="0"/>
          <w:iCs w:val="0"/>
          <w:caps w:val="0"/>
          <w:color w:val="000000"/>
          <w:spacing w:val="0"/>
          <w:sz w:val="24"/>
          <w:szCs w:val="24"/>
          <w:shd w:val="clear" w:color="auto" w:fill="FFFFFF"/>
        </w:rPr>
        <w:t>的</w:t>
      </w:r>
      <w:r>
        <w:rPr>
          <w:rFonts w:hint="eastAsia" w:ascii="微软雅黑" w:hAnsi="微软雅黑" w:eastAsia="微软雅黑" w:cs="微软雅黑"/>
          <w:i w:val="0"/>
          <w:iCs w:val="0"/>
          <w:caps w:val="0"/>
          <w:color w:val="000000"/>
          <w:spacing w:val="0"/>
          <w:sz w:val="24"/>
          <w:szCs w:val="24"/>
          <w:u w:val="single"/>
          <w:shd w:val="clear" w:color="auto" w:fill="FFFFFF"/>
        </w:rPr>
        <w:t>（关键组件）</w:t>
      </w:r>
      <w:r>
        <w:rPr>
          <w:rFonts w:hint="eastAsia" w:ascii="微软雅黑" w:hAnsi="微软雅黑" w:eastAsia="微软雅黑" w:cs="微软雅黑"/>
          <w:i w:val="0"/>
          <w:iCs w:val="0"/>
          <w:caps w:val="0"/>
          <w:color w:val="000000"/>
          <w:spacing w:val="0"/>
          <w:sz w:val="24"/>
          <w:szCs w:val="24"/>
          <w:shd w:val="clear" w:color="auto" w:fill="FFFFFF"/>
        </w:rPr>
        <w:t>在中国境内生产。</w:t>
      </w:r>
      <w:r>
        <w:rPr>
          <w:rFonts w:hint="eastAsia" w:ascii="微软雅黑" w:hAnsi="微软雅黑" w:eastAsia="微软雅黑" w:cs="微软雅黑"/>
          <w:i w:val="0"/>
          <w:iCs w:val="0"/>
          <w:caps w:val="0"/>
          <w:color w:val="000000"/>
          <w:spacing w:val="0"/>
          <w:sz w:val="24"/>
          <w:szCs w:val="24"/>
          <w:u w:val="single"/>
          <w:shd w:val="clear" w:color="auto" w:fill="FFFFFF"/>
        </w:rPr>
        <w:t>（产品名称2）</w:t>
      </w:r>
      <w:r>
        <w:rPr>
          <w:rFonts w:hint="eastAsia" w:ascii="微软雅黑" w:hAnsi="微软雅黑" w:eastAsia="微软雅黑" w:cs="微软雅黑"/>
          <w:i w:val="0"/>
          <w:iCs w:val="0"/>
          <w:caps w:val="0"/>
          <w:color w:val="000000"/>
          <w:spacing w:val="0"/>
          <w:sz w:val="24"/>
          <w:szCs w:val="24"/>
          <w:shd w:val="clear" w:color="auto" w:fill="FFFFFF"/>
        </w:rPr>
        <w:t>的</w:t>
      </w:r>
      <w:r>
        <w:rPr>
          <w:rFonts w:hint="eastAsia" w:ascii="微软雅黑" w:hAnsi="微软雅黑" w:eastAsia="微软雅黑" w:cs="微软雅黑"/>
          <w:i w:val="0"/>
          <w:iCs w:val="0"/>
          <w:caps w:val="0"/>
          <w:color w:val="000000"/>
          <w:spacing w:val="0"/>
          <w:sz w:val="24"/>
          <w:szCs w:val="24"/>
          <w:u w:val="single"/>
          <w:shd w:val="clear" w:color="auto" w:fill="FFFFFF"/>
        </w:rPr>
        <w:t>（关键工序）</w:t>
      </w:r>
      <w:r>
        <w:rPr>
          <w:rFonts w:hint="eastAsia" w:ascii="微软雅黑" w:hAnsi="微软雅黑" w:eastAsia="微软雅黑" w:cs="微软雅黑"/>
          <w:i w:val="0"/>
          <w:iCs w:val="0"/>
          <w:caps w:val="0"/>
          <w:color w:val="000000"/>
          <w:spacing w:val="0"/>
          <w:sz w:val="24"/>
          <w:szCs w:val="24"/>
          <w:shd w:val="clear" w:color="auto" w:fill="FFFFFF"/>
        </w:rPr>
        <w:t>在中国境内完成。</w:t>
      </w:r>
    </w:p>
    <w:p w14:paraId="62F76D3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w:t>
      </w:r>
    </w:p>
    <w:p w14:paraId="3A96325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本公司（单位）对上述声明内容的真实性负责。如有虚假，愿承担相应法律责任。</w:t>
      </w:r>
    </w:p>
    <w:p w14:paraId="21301FA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公司（单位）名称（盖章）：　        </w:t>
      </w:r>
    </w:p>
    <w:p w14:paraId="5FE1608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日期：　 年　  月　  日  </w:t>
      </w:r>
      <w:r>
        <w:rPr>
          <w:rFonts w:hint="eastAsia" w:ascii="微软雅黑" w:hAnsi="微软雅黑" w:eastAsia="微软雅黑" w:cs="微软雅黑"/>
          <w:i w:val="0"/>
          <w:iCs w:val="0"/>
          <w:caps w:val="0"/>
          <w:color w:val="333333"/>
          <w:spacing w:val="0"/>
          <w:sz w:val="24"/>
          <w:szCs w:val="24"/>
          <w:shd w:val="clear" w:color="auto" w:fill="FFFFFF"/>
        </w:rPr>
        <w:t>       </w:t>
      </w:r>
    </w:p>
    <w:p w14:paraId="63825B3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210" w:afterAutospacing="0" w:line="460" w:lineRule="exact"/>
        <w:ind w:left="0" w:leftChars="0" w:right="0" w:firstLine="0" w:firstLineChars="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1.产品如有型号，请在“产品名称”栏一并填写。</w:t>
      </w:r>
    </w:p>
    <w:p w14:paraId="06C9812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210" w:afterAutospacing="0" w:line="460" w:lineRule="exact"/>
        <w:ind w:left="0" w:leftChars="0" w:right="0" w:firstLine="0" w:firstLineChars="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2.生产厂名与厂址应与生产厂营业执照载明的相关信息保持一致。</w:t>
      </w:r>
    </w:p>
    <w:p w14:paraId="32426E7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210" w:afterAutospacing="0" w:line="460" w:lineRule="exact"/>
        <w:ind w:left="0" w:leftChars="0" w:right="0" w:firstLine="0" w:firstLineChars="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3.该产品的中国境内生产的组件成本占比相关要求实施前，“规定比例”栏可不填，下同。</w:t>
      </w:r>
    </w:p>
    <w:p w14:paraId="6ABC378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210" w:afterAutospacing="0" w:line="460" w:lineRule="exact"/>
        <w:ind w:left="0" w:leftChars="0" w:right="0" w:firstLine="0" w:firstLineChars="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4.该产品的关键组件要求实施前，“关键组件”栏可不填，下同。</w:t>
      </w:r>
    </w:p>
    <w:p w14:paraId="12F98824">
      <w:pPr>
        <w:keepNext w:val="0"/>
        <w:keepLines w:val="0"/>
        <w:pageBreakBefore w:val="0"/>
        <w:kinsoku/>
        <w:wordWrap/>
        <w:overflowPunct/>
        <w:topLinePunct w:val="0"/>
        <w:autoSpaceDE/>
        <w:autoSpaceDN/>
        <w:bidi w:val="0"/>
        <w:adjustRightInd/>
        <w:snapToGrid/>
        <w:spacing w:line="460" w:lineRule="exact"/>
        <w:jc w:val="both"/>
        <w:textAlignment w:val="auto"/>
        <w:outlineLvl w:val="9"/>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5.该产品的关键工序要求实施前，“关键工序”栏可不填，下同。</w:t>
      </w:r>
    </w:p>
    <w:p w14:paraId="292E5225">
      <w:pPr>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br w:type="page"/>
      </w:r>
    </w:p>
    <w:p w14:paraId="145F9431">
      <w:pPr>
        <w:spacing w:line="240" w:lineRule="atLeast"/>
        <w:jc w:val="center"/>
        <w:outlineLvl w:val="1"/>
        <w:rPr>
          <w:rFonts w:hint="eastAsia" w:ascii="微软雅黑" w:hAnsi="微软雅黑" w:eastAsia="微软雅黑" w:cs="微软雅黑"/>
          <w:b/>
          <w:bCs/>
          <w:color w:val="auto"/>
          <w:sz w:val="24"/>
          <w:lang w:val="en-US" w:eastAsia="zh-CN"/>
        </w:rPr>
      </w:pPr>
      <w:bookmarkStart w:id="675" w:name="_Toc14726"/>
      <w:r>
        <w:rPr>
          <w:rFonts w:hint="eastAsia" w:ascii="微软雅黑" w:hAnsi="微软雅黑" w:eastAsia="微软雅黑" w:cs="微软雅黑"/>
          <w:b/>
          <w:bCs/>
          <w:color w:val="auto"/>
          <w:sz w:val="24"/>
          <w:lang w:val="en-US" w:eastAsia="zh-CN"/>
        </w:rPr>
        <w:t>8、供应商关联单位的说明</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5"/>
    </w:p>
    <w:p w14:paraId="28B8D048">
      <w:pPr>
        <w:pStyle w:val="10"/>
        <w:spacing w:line="480" w:lineRule="exact"/>
        <w:jc w:val="center"/>
        <w:rPr>
          <w:rFonts w:hint="eastAsia" w:ascii="微软雅黑" w:hAnsi="微软雅黑" w:eastAsia="微软雅黑" w:cs="微软雅黑"/>
          <w:color w:val="auto"/>
          <w:kern w:val="2"/>
          <w:sz w:val="21"/>
          <w:szCs w:val="21"/>
        </w:rPr>
      </w:pPr>
    </w:p>
    <w:p w14:paraId="0C4C1E46">
      <w:pPr>
        <w:pStyle w:val="10"/>
        <w:spacing w:line="480" w:lineRule="exact"/>
        <w:ind w:firstLineChars="200"/>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说明：供应商应当如实披露与本单位存在下列关联关系的单位名称：</w:t>
      </w:r>
    </w:p>
    <w:p w14:paraId="579B9424">
      <w:pPr>
        <w:pStyle w:val="10"/>
        <w:spacing w:line="480" w:lineRule="exact"/>
        <w:ind w:firstLineChars="200"/>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（1）与供应商单位负责人为同一人的其他单位；</w:t>
      </w:r>
    </w:p>
    <w:p w14:paraId="334F5C50">
      <w:pPr>
        <w:pStyle w:val="10"/>
        <w:spacing w:line="480" w:lineRule="exact"/>
        <w:ind w:firstLineChars="200"/>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 xml:space="preserve">    （2）与供应商存在直接控股、管理关系的其他单位。</w:t>
      </w:r>
    </w:p>
    <w:p w14:paraId="3A8787BE">
      <w:pPr>
        <w:pStyle w:val="10"/>
        <w:spacing w:line="480" w:lineRule="exact"/>
        <w:rPr>
          <w:rFonts w:hint="eastAsia" w:ascii="微软雅黑" w:hAnsi="微软雅黑" w:eastAsia="微软雅黑" w:cs="微软雅黑"/>
          <w:color w:val="auto"/>
          <w:kern w:val="2"/>
          <w:sz w:val="21"/>
          <w:szCs w:val="21"/>
        </w:rPr>
      </w:pPr>
    </w:p>
    <w:p w14:paraId="6B676CB2">
      <w:pPr>
        <w:pStyle w:val="10"/>
        <w:spacing w:line="480" w:lineRule="exact"/>
        <w:rPr>
          <w:rFonts w:hint="eastAsia" w:ascii="微软雅黑" w:hAnsi="微软雅黑" w:eastAsia="微软雅黑" w:cs="微软雅黑"/>
          <w:color w:val="auto"/>
          <w:kern w:val="2"/>
          <w:sz w:val="21"/>
          <w:szCs w:val="21"/>
        </w:rPr>
      </w:pPr>
    </w:p>
    <w:p w14:paraId="217775E7">
      <w:pPr>
        <w:pStyle w:val="10"/>
        <w:spacing w:line="480" w:lineRule="exact"/>
        <w:rPr>
          <w:rFonts w:hint="eastAsia" w:ascii="微软雅黑" w:hAnsi="微软雅黑" w:eastAsia="微软雅黑" w:cs="微软雅黑"/>
          <w:color w:val="auto"/>
          <w:kern w:val="2"/>
          <w:sz w:val="21"/>
          <w:szCs w:val="21"/>
        </w:rPr>
      </w:pPr>
    </w:p>
    <w:p w14:paraId="423FDA87">
      <w:pPr>
        <w:spacing w:line="480" w:lineRule="exact"/>
        <w:ind w:left="1080" w:leftChars="257" w:hanging="540"/>
        <w:jc w:val="center"/>
        <w:rPr>
          <w:rFonts w:hint="eastAsia" w:ascii="微软雅黑" w:hAnsi="微软雅黑" w:eastAsia="微软雅黑" w:cs="微软雅黑"/>
          <w:color w:val="auto"/>
          <w:szCs w:val="21"/>
        </w:rPr>
      </w:pPr>
    </w:p>
    <w:bookmarkEnd w:id="649"/>
    <w:bookmarkEnd w:id="650"/>
    <w:bookmarkEnd w:id="651"/>
    <w:bookmarkEnd w:id="652"/>
    <w:bookmarkEnd w:id="653"/>
    <w:bookmarkEnd w:id="654"/>
    <w:bookmarkEnd w:id="655"/>
    <w:p w14:paraId="0A1BCA66">
      <w:pPr>
        <w:spacing w:line="240" w:lineRule="atLeast"/>
        <w:jc w:val="center"/>
        <w:outlineLvl w:val="1"/>
        <w:rPr>
          <w:rFonts w:hint="eastAsia" w:ascii="微软雅黑" w:hAnsi="微软雅黑" w:eastAsia="微软雅黑" w:cs="微软雅黑"/>
          <w:b/>
          <w:bCs/>
          <w:color w:val="auto"/>
          <w:sz w:val="24"/>
          <w:lang w:val="en-US" w:eastAsia="zh-CN"/>
        </w:rPr>
      </w:pPr>
      <w:bookmarkStart w:id="676" w:name="_Toc30505"/>
      <w:bookmarkStart w:id="677" w:name="_Toc25126"/>
      <w:bookmarkStart w:id="678" w:name="_Toc15535"/>
      <w:bookmarkStart w:id="679" w:name="_Toc16811"/>
      <w:bookmarkStart w:id="680" w:name="_Toc6932"/>
      <w:bookmarkStart w:id="681" w:name="_Toc27058"/>
      <w:bookmarkStart w:id="682" w:name="_Toc17843"/>
      <w:bookmarkStart w:id="683" w:name="_Toc31226"/>
      <w:bookmarkStart w:id="684" w:name="_Toc20015"/>
      <w:bookmarkStart w:id="685" w:name="_Toc27478"/>
      <w:bookmarkStart w:id="686" w:name="_Toc12486"/>
      <w:bookmarkStart w:id="687" w:name="_Toc23897"/>
      <w:bookmarkStart w:id="688" w:name="_Toc7966"/>
      <w:bookmarkStart w:id="689" w:name="_Toc16370"/>
      <w:bookmarkStart w:id="690" w:name="_Toc219175634"/>
      <w:bookmarkStart w:id="691" w:name="_Toc515647829"/>
      <w:bookmarkStart w:id="692" w:name="_Toc216582822"/>
      <w:bookmarkStart w:id="693" w:name="_Toc218935350"/>
      <w:bookmarkStart w:id="694" w:name="_Toc507399902"/>
      <w:bookmarkStart w:id="695" w:name="_Toc28765"/>
      <w:r>
        <w:rPr>
          <w:rFonts w:hint="eastAsia" w:ascii="微软雅黑" w:hAnsi="微软雅黑" w:eastAsia="微软雅黑" w:cs="微软雅黑"/>
          <w:b/>
          <w:bCs/>
          <w:color w:val="auto"/>
          <w:sz w:val="24"/>
          <w:lang w:val="en-US" w:eastAsia="zh-CN"/>
        </w:rPr>
        <w:t>9、供应商可提供有利于投标的其他资格证明材料</w:t>
      </w:r>
      <w:bookmarkEnd w:id="676"/>
      <w:bookmarkEnd w:id="677"/>
      <w:bookmarkEnd w:id="678"/>
      <w:bookmarkEnd w:id="679"/>
      <w:bookmarkEnd w:id="680"/>
      <w:bookmarkEnd w:id="681"/>
      <w:bookmarkEnd w:id="682"/>
      <w:bookmarkEnd w:id="683"/>
      <w:bookmarkEnd w:id="684"/>
      <w:bookmarkEnd w:id="685"/>
      <w:bookmarkEnd w:id="686"/>
      <w:bookmarkEnd w:id="687"/>
      <w:bookmarkEnd w:id="688"/>
    </w:p>
    <w:p w14:paraId="0E5F1242">
      <w:pPr>
        <w:spacing w:line="480" w:lineRule="exact"/>
        <w:jc w:val="left"/>
        <w:rPr>
          <w:rFonts w:hint="eastAsia" w:ascii="微软雅黑" w:hAnsi="微软雅黑" w:eastAsia="微软雅黑" w:cs="微软雅黑"/>
          <w:color w:val="auto"/>
          <w:sz w:val="24"/>
        </w:rPr>
      </w:pPr>
    </w:p>
    <w:p w14:paraId="071395B7">
      <w:pPr>
        <w:pStyle w:val="35"/>
        <w:ind w:firstLine="480"/>
        <w:rPr>
          <w:rFonts w:hint="eastAsia" w:ascii="微软雅黑" w:hAnsi="微软雅黑" w:eastAsia="微软雅黑" w:cs="微软雅黑"/>
          <w:color w:val="auto"/>
        </w:rPr>
      </w:pPr>
    </w:p>
    <w:p w14:paraId="72B4FB5F">
      <w:pPr>
        <w:pStyle w:val="35"/>
        <w:ind w:firstLine="480"/>
        <w:rPr>
          <w:rFonts w:hint="eastAsia" w:ascii="微软雅黑" w:hAnsi="微软雅黑" w:eastAsia="微软雅黑" w:cs="微软雅黑"/>
          <w:color w:val="auto"/>
        </w:rPr>
      </w:pPr>
    </w:p>
    <w:p w14:paraId="6B7EE4F1">
      <w:pPr>
        <w:pStyle w:val="35"/>
        <w:ind w:firstLine="480"/>
        <w:rPr>
          <w:rFonts w:hint="eastAsia" w:ascii="微软雅黑" w:hAnsi="微软雅黑" w:eastAsia="微软雅黑" w:cs="微软雅黑"/>
          <w:color w:val="auto"/>
        </w:rPr>
      </w:pPr>
    </w:p>
    <w:p w14:paraId="7CB4D58C">
      <w:pPr>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br w:type="page"/>
      </w:r>
    </w:p>
    <w:p w14:paraId="63C269C2">
      <w:pPr>
        <w:spacing w:line="240" w:lineRule="atLeast"/>
        <w:jc w:val="center"/>
        <w:outlineLvl w:val="1"/>
        <w:rPr>
          <w:rFonts w:hint="eastAsia" w:ascii="微软雅黑" w:hAnsi="微软雅黑" w:eastAsia="微软雅黑" w:cs="微软雅黑"/>
          <w:b/>
          <w:bCs/>
          <w:color w:val="auto"/>
          <w:sz w:val="24"/>
          <w:lang w:val="en-US" w:eastAsia="zh-CN"/>
        </w:rPr>
      </w:pPr>
      <w:bookmarkStart w:id="696" w:name="_Toc32542"/>
      <w:r>
        <w:rPr>
          <w:rFonts w:hint="eastAsia" w:ascii="微软雅黑" w:hAnsi="微软雅黑" w:eastAsia="微软雅黑" w:cs="微软雅黑"/>
          <w:b/>
          <w:bCs/>
          <w:color w:val="auto"/>
          <w:sz w:val="24"/>
          <w:lang w:val="en-US" w:eastAsia="zh-CN"/>
        </w:rPr>
        <w:t>10、响应文件格式范本</w:t>
      </w:r>
      <w:bookmarkEnd w:id="696"/>
    </w:p>
    <w:tbl>
      <w:tblPr>
        <w:tblStyle w:val="36"/>
        <w:tblpPr w:leftFromText="180" w:rightFromText="180" w:vertAnchor="text" w:horzAnchor="page" w:tblpX="1343" w:tblpY="413"/>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486FC718">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00A83C9A">
            <w:pPr>
              <w:pStyle w:val="3"/>
              <w:snapToGrid w:val="0"/>
              <w:jc w:val="center"/>
              <w:textAlignment w:val="baseline"/>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                                               </w:t>
            </w:r>
          </w:p>
          <w:p w14:paraId="72CF5E9D">
            <w:pPr>
              <w:pStyle w:val="3"/>
              <w:snapToGrid w:val="0"/>
              <w:ind w:firstLine="4202" w:firstLineChars="1500"/>
              <w:textAlignment w:val="baseline"/>
              <w:rPr>
                <w:rFonts w:hint="eastAsia" w:ascii="微软雅黑" w:hAnsi="微软雅黑" w:eastAsia="微软雅黑" w:cs="微软雅黑"/>
                <w:b/>
                <w:bCs/>
                <w:color w:val="auto"/>
                <w:sz w:val="28"/>
                <w:szCs w:val="28"/>
              </w:rPr>
            </w:pPr>
          </w:p>
          <w:p w14:paraId="31B9F063">
            <w:pPr>
              <w:pStyle w:val="3"/>
              <w:snapToGrid w:val="0"/>
              <w:ind w:firstLine="4202" w:firstLineChars="1500"/>
              <w:textAlignment w:val="baseline"/>
              <w:rPr>
                <w:rFonts w:hint="eastAsia" w:ascii="微软雅黑" w:hAnsi="微软雅黑" w:eastAsia="微软雅黑" w:cs="微软雅黑"/>
                <w:b/>
                <w:bCs/>
                <w:color w:val="auto"/>
                <w:sz w:val="28"/>
                <w:szCs w:val="28"/>
              </w:rPr>
            </w:pPr>
          </w:p>
          <w:p w14:paraId="49ABDF61">
            <w:pPr>
              <w:pStyle w:val="3"/>
              <w:snapToGrid w:val="0"/>
              <w:textAlignment w:val="baseline"/>
              <w:rPr>
                <w:rFonts w:hint="eastAsia" w:ascii="微软雅黑" w:hAnsi="微软雅黑" w:eastAsia="微软雅黑" w:cs="微软雅黑"/>
                <w:b/>
                <w:bCs/>
                <w:color w:val="auto"/>
                <w:sz w:val="28"/>
                <w:szCs w:val="28"/>
              </w:rPr>
            </w:pPr>
          </w:p>
          <w:p w14:paraId="3E5603BE">
            <w:pPr>
              <w:pStyle w:val="3"/>
              <w:snapToGrid w:val="0"/>
              <w:ind w:firstLine="2521" w:firstLineChars="900"/>
              <w:textAlignment w:val="baseline"/>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 *** *** ***   项目***</w:t>
            </w:r>
          </w:p>
          <w:p w14:paraId="4A16D985">
            <w:pPr>
              <w:pStyle w:val="3"/>
              <w:snapToGrid w:val="0"/>
              <w:jc w:val="center"/>
              <w:textAlignment w:val="baseline"/>
              <w:rPr>
                <w:rFonts w:hint="eastAsia" w:ascii="微软雅黑" w:hAnsi="微软雅黑" w:eastAsia="微软雅黑" w:cs="微软雅黑"/>
                <w:b/>
                <w:bCs/>
                <w:color w:val="auto"/>
                <w:sz w:val="21"/>
                <w:szCs w:val="21"/>
              </w:rPr>
            </w:pPr>
          </w:p>
          <w:p w14:paraId="4412F1FE">
            <w:pPr>
              <w:pStyle w:val="3"/>
              <w:snapToGrid w:val="0"/>
              <w:ind w:firstLine="3152" w:firstLineChars="1500"/>
              <w:textAlignment w:val="baseline"/>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编号 ＊＊＊</w:t>
            </w:r>
          </w:p>
          <w:p w14:paraId="766B667A">
            <w:pPr>
              <w:pStyle w:val="3"/>
              <w:snapToGrid w:val="0"/>
              <w:jc w:val="center"/>
              <w:textAlignment w:val="baseline"/>
              <w:rPr>
                <w:rFonts w:hint="eastAsia" w:ascii="微软雅黑" w:hAnsi="微软雅黑" w:eastAsia="微软雅黑" w:cs="微软雅黑"/>
                <w:b/>
                <w:bCs/>
                <w:color w:val="auto"/>
                <w:sz w:val="48"/>
              </w:rPr>
            </w:pPr>
          </w:p>
          <w:p w14:paraId="7226EE28">
            <w:pPr>
              <w:pStyle w:val="3"/>
              <w:snapToGrid w:val="0"/>
              <w:jc w:val="center"/>
              <w:textAlignment w:val="baseline"/>
              <w:rPr>
                <w:rFonts w:hint="eastAsia" w:ascii="微软雅黑" w:hAnsi="微软雅黑" w:eastAsia="微软雅黑" w:cs="微软雅黑"/>
                <w:b/>
                <w:bCs/>
                <w:color w:val="auto"/>
                <w:sz w:val="48"/>
              </w:rPr>
            </w:pPr>
            <w:r>
              <w:rPr>
                <w:rFonts w:hint="eastAsia" w:ascii="微软雅黑" w:hAnsi="微软雅黑" w:eastAsia="微软雅黑" w:cs="微软雅黑"/>
                <w:b/>
                <w:bCs/>
                <w:color w:val="auto"/>
                <w:sz w:val="48"/>
              </w:rPr>
              <w:t>响 应 文 件</w:t>
            </w:r>
          </w:p>
          <w:p w14:paraId="486BFCEA">
            <w:pPr>
              <w:snapToGrid w:val="0"/>
              <w:jc w:val="center"/>
              <w:textAlignment w:val="baseline"/>
              <w:rPr>
                <w:rFonts w:hint="eastAsia" w:ascii="微软雅黑" w:hAnsi="微软雅黑" w:eastAsia="微软雅黑" w:cs="微软雅黑"/>
                <w:b/>
                <w:color w:val="auto"/>
                <w:sz w:val="32"/>
              </w:rPr>
            </w:pPr>
          </w:p>
          <w:p w14:paraId="2E628460">
            <w:pPr>
              <w:pStyle w:val="10"/>
              <w:snapToGrid w:val="0"/>
              <w:ind w:firstLine="0"/>
              <w:textAlignment w:val="baseline"/>
              <w:rPr>
                <w:rFonts w:hint="eastAsia" w:ascii="微软雅黑" w:hAnsi="微软雅黑" w:eastAsia="微软雅黑" w:cs="微软雅黑"/>
                <w:b/>
                <w:color w:val="auto"/>
                <w:sz w:val="32"/>
              </w:rPr>
            </w:pPr>
          </w:p>
          <w:p w14:paraId="4727676B">
            <w:pPr>
              <w:snapToGrid w:val="0"/>
              <w:spacing w:line="360" w:lineRule="auto"/>
              <w:ind w:left="176" w:leftChars="84" w:firstLine="840" w:firstLineChars="400"/>
              <w:textAlignment w:val="baseline"/>
              <w:rPr>
                <w:rFonts w:hint="eastAsia" w:ascii="微软雅黑" w:hAnsi="微软雅黑" w:eastAsia="微软雅黑" w:cs="微软雅黑"/>
                <w:color w:val="auto"/>
                <w:sz w:val="20"/>
                <w:szCs w:val="21"/>
              </w:rPr>
            </w:pPr>
            <w:r>
              <w:rPr>
                <w:rFonts w:hint="eastAsia" w:ascii="微软雅黑" w:hAnsi="微软雅黑" w:eastAsia="微软雅黑" w:cs="微软雅黑"/>
                <w:color w:val="auto"/>
                <w:szCs w:val="21"/>
              </w:rPr>
              <w:t>磋商单位：</w:t>
            </w:r>
            <w:r>
              <w:rPr>
                <w:rFonts w:hint="eastAsia" w:ascii="微软雅黑" w:hAnsi="微软雅黑" w:eastAsia="微软雅黑" w:cs="微软雅黑"/>
                <w:color w:val="auto"/>
                <w:szCs w:val="21"/>
                <w:u w:val="single" w:color="000000"/>
              </w:rPr>
              <w:t xml:space="preserve">                                       </w:t>
            </w:r>
            <w:r>
              <w:rPr>
                <w:rFonts w:hint="eastAsia" w:ascii="微软雅黑" w:hAnsi="微软雅黑" w:eastAsia="微软雅黑" w:cs="微软雅黑"/>
                <w:color w:val="auto"/>
                <w:szCs w:val="21"/>
              </w:rPr>
              <w:t>（公章）</w:t>
            </w:r>
          </w:p>
          <w:p w14:paraId="5B1897D2">
            <w:pPr>
              <w:snapToGrid w:val="0"/>
              <w:spacing w:line="360" w:lineRule="auto"/>
              <w:ind w:left="176" w:leftChars="84" w:firstLine="840" w:firstLineChars="400"/>
              <w:textAlignment w:val="baseline"/>
              <w:rPr>
                <w:rFonts w:hint="eastAsia"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项目名称：</w:t>
            </w:r>
            <w:r>
              <w:rPr>
                <w:rFonts w:hint="eastAsia" w:ascii="微软雅黑" w:hAnsi="微软雅黑" w:eastAsia="微软雅黑" w:cs="微软雅黑"/>
                <w:color w:val="auto"/>
                <w:szCs w:val="21"/>
                <w:u w:val="single" w:color="000000"/>
              </w:rPr>
              <w:t xml:space="preserve">                                          </w:t>
            </w:r>
          </w:p>
          <w:p w14:paraId="244EAD49">
            <w:pPr>
              <w:snapToGrid w:val="0"/>
              <w:spacing w:line="360" w:lineRule="auto"/>
              <w:ind w:left="176" w:leftChars="84" w:firstLine="840" w:firstLineChars="400"/>
              <w:textAlignment w:val="baseline"/>
              <w:rPr>
                <w:rFonts w:hint="eastAsia"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项目编号：</w:t>
            </w:r>
            <w:r>
              <w:rPr>
                <w:rFonts w:hint="eastAsia" w:ascii="微软雅黑" w:hAnsi="微软雅黑" w:eastAsia="微软雅黑" w:cs="微软雅黑"/>
                <w:color w:val="auto"/>
                <w:szCs w:val="21"/>
                <w:u w:val="single" w:color="000000"/>
              </w:rPr>
              <w:t xml:space="preserve">                                        </w:t>
            </w:r>
          </w:p>
          <w:p w14:paraId="5D4013C2">
            <w:pPr>
              <w:snapToGrid w:val="0"/>
              <w:spacing w:line="360" w:lineRule="auto"/>
              <w:ind w:left="176" w:leftChars="84" w:firstLine="840" w:firstLineChars="400"/>
              <w:textAlignment w:val="baseline"/>
              <w:rPr>
                <w:rFonts w:hint="eastAsia"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联 系 人：</w:t>
            </w:r>
            <w:r>
              <w:rPr>
                <w:rFonts w:hint="eastAsia" w:ascii="微软雅黑" w:hAnsi="微软雅黑" w:eastAsia="微软雅黑" w:cs="微软雅黑"/>
                <w:color w:val="auto"/>
                <w:szCs w:val="21"/>
                <w:u w:val="single" w:color="000000"/>
              </w:rPr>
              <w:t xml:space="preserve">                                        </w:t>
            </w:r>
          </w:p>
          <w:p w14:paraId="1B50AA26">
            <w:pPr>
              <w:snapToGrid w:val="0"/>
              <w:spacing w:line="360" w:lineRule="auto"/>
              <w:ind w:left="176" w:leftChars="84" w:firstLine="840" w:firstLineChars="400"/>
              <w:textAlignment w:val="baseline"/>
              <w:rPr>
                <w:rFonts w:hint="eastAsia" w:ascii="微软雅黑" w:hAnsi="微软雅黑" w:eastAsia="微软雅黑" w:cs="微软雅黑"/>
                <w:color w:val="auto"/>
                <w:sz w:val="20"/>
                <w:szCs w:val="21"/>
              </w:rPr>
            </w:pPr>
            <w:r>
              <w:rPr>
                <w:rFonts w:hint="eastAsia" w:ascii="微软雅黑" w:hAnsi="微软雅黑" w:eastAsia="微软雅黑" w:cs="微软雅黑"/>
                <w:color w:val="auto"/>
                <w:szCs w:val="21"/>
              </w:rPr>
              <w:t>电    话：</w:t>
            </w:r>
            <w:r>
              <w:rPr>
                <w:rFonts w:hint="eastAsia" w:ascii="微软雅黑" w:hAnsi="微软雅黑" w:eastAsia="微软雅黑" w:cs="微软雅黑"/>
                <w:color w:val="auto"/>
                <w:szCs w:val="21"/>
                <w:u w:val="single" w:color="000000"/>
              </w:rPr>
              <w:t xml:space="preserve">                                        </w:t>
            </w:r>
          </w:p>
          <w:p w14:paraId="3907C556">
            <w:pPr>
              <w:snapToGrid w:val="0"/>
              <w:spacing w:line="360" w:lineRule="auto"/>
              <w:ind w:left="176" w:leftChars="84" w:firstLine="840" w:firstLineChars="400"/>
              <w:textAlignment w:val="baseline"/>
              <w:rPr>
                <w:rFonts w:hint="eastAsia"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 xml:space="preserve">地    址  ：  </w:t>
            </w:r>
            <w:r>
              <w:rPr>
                <w:rFonts w:hint="eastAsia" w:ascii="微软雅黑" w:hAnsi="微软雅黑" w:eastAsia="微软雅黑" w:cs="微软雅黑"/>
                <w:color w:val="auto"/>
                <w:szCs w:val="21"/>
                <w:u w:val="single" w:color="000000"/>
              </w:rPr>
              <w:t xml:space="preserve">                                    </w:t>
            </w:r>
          </w:p>
          <w:p w14:paraId="126B1F5A">
            <w:pPr>
              <w:snapToGrid w:val="0"/>
              <w:spacing w:line="360" w:lineRule="auto"/>
              <w:ind w:left="176" w:leftChars="84" w:firstLine="960" w:firstLineChars="400"/>
              <w:textAlignment w:val="baseline"/>
              <w:rPr>
                <w:rFonts w:hint="eastAsia" w:ascii="微软雅黑" w:hAnsi="微软雅黑" w:eastAsia="微软雅黑" w:cs="微软雅黑"/>
                <w:color w:val="auto"/>
                <w:sz w:val="24"/>
              </w:rPr>
            </w:pPr>
          </w:p>
          <w:p w14:paraId="503595DA">
            <w:pPr>
              <w:snapToGrid w:val="0"/>
              <w:jc w:val="center"/>
              <w:textAlignment w:val="baseline"/>
              <w:rPr>
                <w:rFonts w:hint="eastAsia" w:ascii="微软雅黑" w:hAnsi="微软雅黑" w:eastAsia="微软雅黑" w:cs="微软雅黑"/>
                <w:b/>
                <w:bCs/>
                <w:color w:val="auto"/>
                <w:sz w:val="20"/>
              </w:rPr>
            </w:pPr>
          </w:p>
          <w:p w14:paraId="0BCB0AA7">
            <w:pPr>
              <w:snapToGrid w:val="0"/>
              <w:jc w:val="center"/>
              <w:textAlignment w:val="baseline"/>
              <w:rPr>
                <w:rFonts w:hint="eastAsia" w:ascii="微软雅黑" w:hAnsi="微软雅黑" w:eastAsia="微软雅黑" w:cs="微软雅黑"/>
                <w:b/>
                <w:bCs/>
                <w:color w:val="auto"/>
                <w:sz w:val="20"/>
              </w:rPr>
            </w:pPr>
          </w:p>
          <w:p w14:paraId="5D7BDEA8">
            <w:pPr>
              <w:snapToGrid w:val="0"/>
              <w:jc w:val="center"/>
              <w:textAlignment w:val="baseline"/>
              <w:rPr>
                <w:rFonts w:hint="eastAsia" w:ascii="微软雅黑" w:hAnsi="微软雅黑" w:eastAsia="微软雅黑" w:cs="微软雅黑"/>
                <w:b/>
                <w:bCs/>
                <w:color w:val="auto"/>
                <w:sz w:val="20"/>
              </w:rPr>
            </w:pPr>
          </w:p>
          <w:p w14:paraId="5A8590ED">
            <w:pPr>
              <w:snapToGrid w:val="0"/>
              <w:jc w:val="center"/>
              <w:textAlignment w:val="baseline"/>
              <w:rPr>
                <w:rFonts w:hint="eastAsia" w:ascii="微软雅黑" w:hAnsi="微软雅黑" w:eastAsia="微软雅黑" w:cs="微软雅黑"/>
                <w:b/>
                <w:bCs/>
                <w:color w:val="auto"/>
                <w:sz w:val="20"/>
                <w:lang w:eastAsia="zh-CN"/>
              </w:rPr>
            </w:pPr>
            <w:r>
              <w:rPr>
                <w:rFonts w:hint="eastAsia" w:ascii="微软雅黑" w:hAnsi="微软雅黑" w:eastAsia="微软雅黑" w:cs="微软雅黑"/>
                <w:b/>
                <w:bCs/>
                <w:color w:val="auto"/>
              </w:rPr>
              <w:t>注：   在20XX年   月  日 X午</w:t>
            </w:r>
            <w:r>
              <w:rPr>
                <w:rFonts w:hint="eastAsia" w:ascii="微软雅黑" w:hAnsi="微软雅黑" w:eastAsia="微软雅黑" w:cs="微软雅黑"/>
                <w:color w:val="auto"/>
                <w:kern w:val="0"/>
                <w:szCs w:val="21"/>
              </w:rPr>
              <w:t>XX</w:t>
            </w:r>
            <w:r>
              <w:rPr>
                <w:rFonts w:hint="eastAsia" w:ascii="微软雅黑" w:hAnsi="微软雅黑" w:eastAsia="微软雅黑" w:cs="微软雅黑"/>
                <w:b/>
                <w:bCs/>
                <w:color w:val="auto"/>
              </w:rPr>
              <w:t>之前不得</w:t>
            </w:r>
            <w:r>
              <w:rPr>
                <w:rFonts w:hint="eastAsia" w:ascii="微软雅黑" w:hAnsi="微软雅黑" w:eastAsia="微软雅黑" w:cs="微软雅黑"/>
                <w:b/>
                <w:bCs/>
                <w:color w:val="auto"/>
                <w:lang w:val="en-US" w:eastAsia="zh-CN"/>
              </w:rPr>
              <w:t>解密</w:t>
            </w:r>
          </w:p>
          <w:p w14:paraId="07D4EEB3">
            <w:pPr>
              <w:snapToGrid w:val="0"/>
              <w:jc w:val="center"/>
              <w:textAlignment w:val="baseline"/>
              <w:rPr>
                <w:rFonts w:hint="eastAsia" w:ascii="微软雅黑" w:hAnsi="微软雅黑" w:eastAsia="微软雅黑" w:cs="微软雅黑"/>
                <w:b/>
                <w:bCs/>
                <w:color w:val="auto"/>
                <w:sz w:val="20"/>
              </w:rPr>
            </w:pPr>
          </w:p>
        </w:tc>
      </w:tr>
    </w:tbl>
    <w:p w14:paraId="67846311">
      <w:pPr>
        <w:snapToGrid w:val="0"/>
        <w:spacing w:line="240" w:lineRule="atLeast"/>
        <w:textAlignment w:val="baseline"/>
        <w:rPr>
          <w:rFonts w:hint="eastAsia" w:ascii="微软雅黑" w:hAnsi="微软雅黑" w:eastAsia="微软雅黑" w:cs="微软雅黑"/>
          <w:b/>
          <w:color w:val="auto"/>
          <w:sz w:val="30"/>
          <w:szCs w:val="30"/>
        </w:rPr>
      </w:pPr>
      <w:r>
        <w:rPr>
          <w:rFonts w:hint="eastAsia" w:ascii="微软雅黑" w:hAnsi="微软雅黑" w:eastAsia="微软雅黑" w:cs="微软雅黑"/>
          <w:color w:val="auto"/>
          <w:sz w:val="24"/>
        </w:rPr>
        <w:br w:type="page"/>
      </w:r>
    </w:p>
    <w:p w14:paraId="55CF4190">
      <w:pPr>
        <w:snapToGrid w:val="0"/>
        <w:spacing w:line="240" w:lineRule="atLeast"/>
        <w:jc w:val="center"/>
        <w:textAlignment w:val="baseline"/>
        <w:rPr>
          <w:rFonts w:hint="eastAsia" w:ascii="微软雅黑" w:hAnsi="微软雅黑" w:eastAsia="微软雅黑" w:cs="微软雅黑"/>
          <w:b/>
          <w:color w:val="auto"/>
          <w:sz w:val="44"/>
          <w:szCs w:val="44"/>
        </w:rPr>
      </w:pPr>
    </w:p>
    <w:p w14:paraId="50D10981">
      <w:pPr>
        <w:pStyle w:val="35"/>
        <w:snapToGrid w:val="0"/>
        <w:ind w:firstLine="0" w:firstLineChars="0"/>
        <w:textAlignment w:val="baseline"/>
        <w:rPr>
          <w:rFonts w:hint="eastAsia" w:ascii="微软雅黑" w:hAnsi="微软雅黑" w:eastAsia="微软雅黑" w:cs="微软雅黑"/>
          <w:b/>
          <w:color w:val="auto"/>
          <w:sz w:val="44"/>
          <w:szCs w:val="44"/>
        </w:rPr>
      </w:pPr>
    </w:p>
    <w:p w14:paraId="0AA38FC5">
      <w:pPr>
        <w:rPr>
          <w:rFonts w:hint="eastAsia" w:ascii="微软雅黑" w:hAnsi="微软雅黑" w:eastAsia="微软雅黑" w:cs="微软雅黑"/>
          <w:b/>
          <w:color w:val="auto"/>
          <w:sz w:val="44"/>
          <w:szCs w:val="44"/>
        </w:rPr>
      </w:pPr>
    </w:p>
    <w:p w14:paraId="0621C46A">
      <w:pPr>
        <w:pStyle w:val="35"/>
        <w:rPr>
          <w:rFonts w:hint="eastAsia" w:ascii="微软雅黑" w:hAnsi="微软雅黑" w:eastAsia="微软雅黑" w:cs="微软雅黑"/>
        </w:rPr>
      </w:pPr>
    </w:p>
    <w:p w14:paraId="44B762FE">
      <w:pPr>
        <w:jc w:val="center"/>
        <w:outlineLvl w:val="9"/>
        <w:rPr>
          <w:rFonts w:hint="eastAsia" w:ascii="微软雅黑" w:hAnsi="微软雅黑" w:eastAsia="微软雅黑" w:cs="微软雅黑"/>
          <w:b/>
          <w:color w:val="auto"/>
          <w:sz w:val="44"/>
          <w:szCs w:val="44"/>
          <w:lang w:eastAsia="zh-CN"/>
        </w:rPr>
      </w:pPr>
      <w:r>
        <w:rPr>
          <w:rFonts w:hint="eastAsia" w:ascii="微软雅黑" w:hAnsi="微软雅黑" w:eastAsia="微软雅黑" w:cs="微软雅黑"/>
          <w:b/>
          <w:color w:val="auto"/>
          <w:sz w:val="44"/>
          <w:szCs w:val="44"/>
          <w:lang w:eastAsia="zh-CN"/>
        </w:rPr>
        <w:t>疏附县公安局采购2026年全局广告宣传制作</w:t>
      </w:r>
    </w:p>
    <w:p w14:paraId="62FC4D92">
      <w:pPr>
        <w:jc w:val="center"/>
        <w:outlineLvl w:val="9"/>
        <w:rPr>
          <w:rFonts w:hint="eastAsia" w:ascii="微软雅黑" w:hAnsi="微软雅黑" w:eastAsia="微软雅黑" w:cs="微软雅黑"/>
          <w:color w:val="auto"/>
          <w:sz w:val="22"/>
          <w:szCs w:val="28"/>
        </w:rPr>
      </w:pPr>
      <w:r>
        <w:rPr>
          <w:rFonts w:hint="eastAsia" w:ascii="微软雅黑" w:hAnsi="微软雅黑" w:eastAsia="微软雅黑" w:cs="微软雅黑"/>
          <w:b/>
          <w:color w:val="auto"/>
          <w:sz w:val="44"/>
          <w:szCs w:val="44"/>
          <w:lang w:eastAsia="zh-CN"/>
        </w:rPr>
        <w:t>服务项目</w:t>
      </w:r>
    </w:p>
    <w:p w14:paraId="3F9E9329">
      <w:pPr>
        <w:snapToGrid w:val="0"/>
        <w:spacing w:line="240" w:lineRule="atLeast"/>
        <w:jc w:val="both"/>
        <w:textAlignment w:val="baseline"/>
        <w:rPr>
          <w:rFonts w:hint="eastAsia" w:ascii="微软雅黑" w:hAnsi="微软雅黑" w:eastAsia="微软雅黑" w:cs="微软雅黑"/>
          <w:b/>
          <w:color w:val="auto"/>
          <w:sz w:val="44"/>
          <w:szCs w:val="44"/>
        </w:rPr>
      </w:pPr>
    </w:p>
    <w:p w14:paraId="236AD0E3">
      <w:pPr>
        <w:snapToGrid w:val="0"/>
        <w:spacing w:line="240" w:lineRule="atLeast"/>
        <w:jc w:val="center"/>
        <w:textAlignment w:val="baseline"/>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竞争性磋商文件</w:t>
      </w:r>
    </w:p>
    <w:p w14:paraId="5CF22528">
      <w:pPr>
        <w:pStyle w:val="35"/>
        <w:snapToGrid w:val="0"/>
        <w:textAlignment w:val="baseline"/>
        <w:rPr>
          <w:rFonts w:hint="eastAsia" w:ascii="微软雅黑" w:hAnsi="微软雅黑" w:eastAsia="微软雅黑" w:cs="微软雅黑"/>
          <w:color w:val="auto"/>
          <w:sz w:val="21"/>
        </w:rPr>
      </w:pPr>
    </w:p>
    <w:p w14:paraId="363FC757">
      <w:pPr>
        <w:pStyle w:val="35"/>
        <w:snapToGrid w:val="0"/>
        <w:textAlignment w:val="baseline"/>
        <w:rPr>
          <w:rFonts w:hint="eastAsia" w:ascii="微软雅黑" w:hAnsi="微软雅黑" w:eastAsia="微软雅黑" w:cs="微软雅黑"/>
          <w:color w:val="auto"/>
          <w:sz w:val="21"/>
        </w:rPr>
      </w:pPr>
    </w:p>
    <w:p w14:paraId="7196B91F">
      <w:pPr>
        <w:snapToGrid w:val="0"/>
        <w:spacing w:line="240" w:lineRule="atLeast"/>
        <w:jc w:val="center"/>
        <w:textAlignment w:val="baseline"/>
        <w:rPr>
          <w:rFonts w:hint="eastAsia" w:ascii="微软雅黑" w:hAnsi="微软雅黑" w:eastAsia="微软雅黑" w:cs="微软雅黑"/>
          <w:b/>
          <w:color w:val="auto"/>
          <w:sz w:val="32"/>
          <w:szCs w:val="32"/>
          <w:lang w:eastAsia="zh-CN"/>
        </w:rPr>
      </w:pPr>
      <w:r>
        <w:rPr>
          <w:rFonts w:hint="eastAsia" w:ascii="微软雅黑" w:hAnsi="微软雅黑" w:eastAsia="微软雅黑" w:cs="微软雅黑"/>
          <w:b/>
          <w:color w:val="auto"/>
          <w:sz w:val="32"/>
          <w:szCs w:val="32"/>
        </w:rPr>
        <w:t>项目编号：QXJ(CS)2026-06</w:t>
      </w:r>
      <w:r>
        <w:rPr>
          <w:rFonts w:hint="eastAsia" w:ascii="微软雅黑" w:hAnsi="微软雅黑" w:eastAsia="微软雅黑" w:cs="微软雅黑"/>
          <w:b/>
          <w:color w:val="auto"/>
          <w:sz w:val="32"/>
          <w:szCs w:val="32"/>
          <w:lang w:eastAsia="zh-CN"/>
        </w:rPr>
        <w:t>号</w:t>
      </w:r>
    </w:p>
    <w:p w14:paraId="322CBD61">
      <w:pPr>
        <w:snapToGrid w:val="0"/>
        <w:spacing w:line="240" w:lineRule="atLeast"/>
        <w:textAlignment w:val="baseline"/>
        <w:rPr>
          <w:rFonts w:hint="eastAsia" w:ascii="微软雅黑" w:hAnsi="微软雅黑" w:eastAsia="微软雅黑" w:cs="微软雅黑"/>
          <w:b/>
          <w:color w:val="auto"/>
          <w:sz w:val="52"/>
        </w:rPr>
      </w:pPr>
    </w:p>
    <w:p w14:paraId="69BB88A7">
      <w:pPr>
        <w:snapToGrid w:val="0"/>
        <w:spacing w:line="240" w:lineRule="atLeast"/>
        <w:jc w:val="center"/>
        <w:textAlignment w:val="baseline"/>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第二册</w:t>
      </w:r>
    </w:p>
    <w:p w14:paraId="18B59D35">
      <w:pPr>
        <w:snapToGrid w:val="0"/>
        <w:spacing w:line="240" w:lineRule="atLeast"/>
        <w:ind w:left="1080" w:leftChars="257" w:hanging="540"/>
        <w:textAlignment w:val="baseline"/>
        <w:rPr>
          <w:rFonts w:hint="eastAsia" w:ascii="微软雅黑" w:hAnsi="微软雅黑" w:eastAsia="微软雅黑" w:cs="微软雅黑"/>
          <w:b/>
          <w:color w:val="auto"/>
          <w:sz w:val="28"/>
        </w:rPr>
      </w:pPr>
    </w:p>
    <w:p w14:paraId="0A4E0CD5">
      <w:pPr>
        <w:snapToGrid w:val="0"/>
        <w:spacing w:line="240" w:lineRule="atLeast"/>
        <w:ind w:left="1080" w:leftChars="257" w:hanging="540"/>
        <w:textAlignment w:val="baseline"/>
        <w:rPr>
          <w:rFonts w:hint="eastAsia" w:ascii="微软雅黑" w:hAnsi="微软雅黑" w:eastAsia="微软雅黑" w:cs="微软雅黑"/>
          <w:b/>
          <w:color w:val="auto"/>
          <w:sz w:val="28"/>
        </w:rPr>
      </w:pPr>
    </w:p>
    <w:p w14:paraId="2F84F796">
      <w:pPr>
        <w:snapToGrid w:val="0"/>
        <w:spacing w:line="240" w:lineRule="atLeast"/>
        <w:ind w:left="1080" w:leftChars="257" w:hanging="540"/>
        <w:textAlignment w:val="baseline"/>
        <w:rPr>
          <w:rFonts w:hint="eastAsia" w:ascii="微软雅黑" w:hAnsi="微软雅黑" w:eastAsia="微软雅黑" w:cs="微软雅黑"/>
          <w:b/>
          <w:color w:val="auto"/>
          <w:sz w:val="28"/>
        </w:rPr>
      </w:pPr>
    </w:p>
    <w:p w14:paraId="65D652E1">
      <w:pPr>
        <w:pStyle w:val="35"/>
        <w:snapToGrid w:val="0"/>
        <w:ind w:firstLine="560"/>
        <w:textAlignment w:val="baseline"/>
        <w:rPr>
          <w:rFonts w:hint="eastAsia" w:ascii="微软雅黑" w:hAnsi="微软雅黑" w:eastAsia="微软雅黑" w:cs="微软雅黑"/>
          <w:b/>
          <w:color w:val="auto"/>
          <w:sz w:val="28"/>
        </w:rPr>
      </w:pPr>
    </w:p>
    <w:p w14:paraId="260CF38B">
      <w:pPr>
        <w:pStyle w:val="35"/>
        <w:snapToGrid w:val="0"/>
        <w:ind w:firstLine="560"/>
        <w:textAlignment w:val="baseline"/>
        <w:rPr>
          <w:rFonts w:hint="eastAsia" w:ascii="微软雅黑" w:hAnsi="微软雅黑" w:eastAsia="微软雅黑" w:cs="微软雅黑"/>
          <w:b/>
          <w:color w:val="auto"/>
          <w:sz w:val="28"/>
        </w:rPr>
      </w:pPr>
    </w:p>
    <w:p w14:paraId="27086BBD">
      <w:pPr>
        <w:pStyle w:val="10"/>
        <w:snapToGrid w:val="0"/>
        <w:ind w:firstLine="0"/>
        <w:textAlignment w:val="baseline"/>
        <w:rPr>
          <w:rFonts w:hint="eastAsia" w:ascii="微软雅黑" w:hAnsi="微软雅黑" w:eastAsia="微软雅黑" w:cs="微软雅黑"/>
          <w:b/>
          <w:color w:val="auto"/>
          <w:sz w:val="52"/>
        </w:rPr>
      </w:pPr>
    </w:p>
    <w:bookmarkEnd w:id="689"/>
    <w:bookmarkEnd w:id="690"/>
    <w:bookmarkEnd w:id="691"/>
    <w:bookmarkEnd w:id="692"/>
    <w:bookmarkEnd w:id="693"/>
    <w:bookmarkEnd w:id="694"/>
    <w:bookmarkEnd w:id="695"/>
    <w:p w14:paraId="1C44A0E4">
      <w:pPr>
        <w:rPr>
          <w:rFonts w:hint="eastAsia" w:ascii="微软雅黑" w:hAnsi="微软雅黑" w:eastAsia="微软雅黑" w:cs="微软雅黑"/>
          <w:color w:val="auto"/>
        </w:rPr>
      </w:pPr>
      <w:bookmarkStart w:id="697" w:name="_Toc10488"/>
      <w:bookmarkStart w:id="698" w:name="_Toc31583"/>
      <w:bookmarkStart w:id="699" w:name="_Toc515647830"/>
      <w:bookmarkStart w:id="700" w:name="_Toc512937850"/>
      <w:bookmarkStart w:id="701" w:name="_Toc507399903"/>
      <w:bookmarkStart w:id="702" w:name="_Toc216582823"/>
      <w:r>
        <w:rPr>
          <w:rFonts w:hint="eastAsia" w:ascii="微软雅黑" w:hAnsi="微软雅黑" w:eastAsia="微软雅黑" w:cs="微软雅黑"/>
          <w:color w:val="auto"/>
        </w:rPr>
        <w:br w:type="page"/>
      </w:r>
    </w:p>
    <w:p w14:paraId="20DE6AA4">
      <w:pPr>
        <w:pStyle w:val="5"/>
        <w:tabs>
          <w:tab w:val="left" w:pos="0"/>
        </w:tabs>
        <w:snapToGrid w:val="0"/>
        <w:spacing w:before="0" w:after="0" w:line="240" w:lineRule="auto"/>
        <w:textAlignment w:val="baseline"/>
        <w:rPr>
          <w:rFonts w:hint="eastAsia" w:ascii="微软雅黑" w:hAnsi="微软雅黑" w:eastAsia="微软雅黑" w:cs="微软雅黑"/>
          <w:color w:val="auto"/>
        </w:rPr>
      </w:pPr>
      <w:bookmarkStart w:id="703" w:name="_Toc19408"/>
      <w:r>
        <w:rPr>
          <w:rFonts w:hint="eastAsia" w:ascii="微软雅黑" w:hAnsi="微软雅黑" w:eastAsia="微软雅黑" w:cs="微软雅黑"/>
          <w:color w:val="auto"/>
        </w:rPr>
        <w:t>第3章 磋商邀请</w:t>
      </w:r>
      <w:bookmarkEnd w:id="703"/>
    </w:p>
    <w:p w14:paraId="3CF69546">
      <w:pPr>
        <w:pStyle w:val="27"/>
        <w:jc w:val="center"/>
        <w:rPr>
          <w:rFonts w:hint="eastAsia" w:ascii="微软雅黑" w:hAnsi="微软雅黑" w:eastAsia="微软雅黑" w:cs="微软雅黑"/>
          <w:b/>
          <w:color w:val="auto"/>
          <w:sz w:val="30"/>
          <w:szCs w:val="30"/>
          <w:lang w:val="en-US" w:eastAsia="zh-CN"/>
        </w:rPr>
      </w:pPr>
      <w:bookmarkStart w:id="704" w:name="_Toc35393797"/>
      <w:bookmarkStart w:id="705" w:name="_Toc28359011"/>
      <w:r>
        <w:rPr>
          <w:rFonts w:hint="eastAsia" w:ascii="微软雅黑" w:hAnsi="微软雅黑" w:eastAsia="微软雅黑" w:cs="微软雅黑"/>
          <w:b/>
          <w:color w:val="auto"/>
          <w:sz w:val="30"/>
          <w:szCs w:val="30"/>
          <w:lang w:val="en-US" w:eastAsia="zh-CN"/>
        </w:rPr>
        <w:t>疏附县公安局采购2026年全局广告宣传制作服务项目</w:t>
      </w:r>
    </w:p>
    <w:p w14:paraId="26865962">
      <w:pPr>
        <w:pStyle w:val="27"/>
        <w:jc w:val="center"/>
        <w:rPr>
          <w:rFonts w:hint="eastAsia" w:ascii="微软雅黑" w:hAnsi="微软雅黑" w:eastAsia="微软雅黑" w:cs="微软雅黑"/>
          <w:color w:val="auto"/>
          <w:sz w:val="30"/>
          <w:szCs w:val="30"/>
        </w:rPr>
      </w:pPr>
      <w:r>
        <w:rPr>
          <w:rFonts w:hint="eastAsia" w:ascii="微软雅黑" w:hAnsi="微软雅黑" w:eastAsia="微软雅黑" w:cs="微软雅黑"/>
          <w:b/>
          <w:bCs/>
          <w:color w:val="auto"/>
          <w:kern w:val="44"/>
          <w:sz w:val="30"/>
          <w:szCs w:val="30"/>
        </w:rPr>
        <w:t>竞争性磋商公告</w:t>
      </w:r>
      <w:bookmarkEnd w:id="704"/>
      <w:bookmarkEnd w:id="705"/>
    </w:p>
    <w:p w14:paraId="31183F48">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项目概况</w:t>
      </w:r>
    </w:p>
    <w:p w14:paraId="5C28DB82">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 xml:space="preserve"> 疏附县公安局采购2026年全局广告宣传制作服务</w:t>
      </w:r>
      <w:r>
        <w:rPr>
          <w:rFonts w:hint="eastAsia" w:ascii="微软雅黑" w:hAnsi="微软雅黑" w:eastAsia="微软雅黑" w:cs="微软雅黑"/>
          <w:color w:val="auto"/>
          <w:sz w:val="24"/>
        </w:rPr>
        <w:t>项目的潜在供应商应在政采云平台（https://www.zcygov.cn/） 获取采购文件，并于</w:t>
      </w:r>
      <w:r>
        <w:rPr>
          <w:rFonts w:hint="eastAsia" w:ascii="微软雅黑" w:hAnsi="微软雅黑" w:eastAsia="微软雅黑" w:cs="微软雅黑"/>
          <w:color w:val="auto"/>
          <w:sz w:val="24"/>
          <w:u w:val="none"/>
          <w:lang w:val="en-US" w:eastAsia="zh-CN"/>
        </w:rPr>
        <w:t>2026</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06月01</w:t>
      </w:r>
      <w:r>
        <w:rPr>
          <w:rFonts w:hint="eastAsia" w:ascii="微软雅黑" w:hAnsi="微软雅黑" w:eastAsia="微软雅黑" w:cs="微软雅黑"/>
          <w:bCs/>
          <w:color w:val="auto"/>
          <w:sz w:val="24"/>
          <w:u w:val="none"/>
        </w:rPr>
        <w:t>日</w:t>
      </w:r>
      <w:r>
        <w:rPr>
          <w:rFonts w:hint="eastAsia" w:ascii="微软雅黑" w:hAnsi="微软雅黑" w:eastAsia="微软雅黑" w:cs="微软雅黑"/>
          <w:bCs/>
          <w:color w:val="auto"/>
          <w:sz w:val="24"/>
          <w:u w:val="none"/>
          <w:lang w:val="en-US" w:eastAsia="zh-CN"/>
        </w:rPr>
        <w:t>11</w:t>
      </w:r>
      <w:r>
        <w:rPr>
          <w:rFonts w:hint="eastAsia" w:ascii="微软雅黑" w:hAnsi="微软雅黑" w:eastAsia="微软雅黑" w:cs="微软雅黑"/>
          <w:bCs/>
          <w:color w:val="auto"/>
          <w:sz w:val="24"/>
          <w:u w:val="none"/>
        </w:rPr>
        <w:t>点</w:t>
      </w:r>
      <w:r>
        <w:rPr>
          <w:rFonts w:hint="eastAsia" w:ascii="微软雅黑" w:hAnsi="微软雅黑" w:eastAsia="微软雅黑" w:cs="微软雅黑"/>
          <w:bCs/>
          <w:color w:val="auto"/>
          <w:sz w:val="24"/>
          <w:u w:val="none"/>
          <w:lang w:val="en-US" w:eastAsia="zh-CN"/>
        </w:rPr>
        <w:t>30</w:t>
      </w:r>
      <w:r>
        <w:rPr>
          <w:rFonts w:hint="eastAsia" w:ascii="微软雅黑" w:hAnsi="微软雅黑" w:eastAsia="微软雅黑" w:cs="微软雅黑"/>
          <w:bCs/>
          <w:color w:val="auto"/>
          <w:sz w:val="24"/>
          <w:u w:val="none"/>
        </w:rPr>
        <w:t>分</w:t>
      </w:r>
      <w:r>
        <w:rPr>
          <w:rFonts w:hint="eastAsia" w:ascii="微软雅黑" w:hAnsi="微软雅黑" w:eastAsia="微软雅黑" w:cs="微软雅黑"/>
          <w:bCs/>
          <w:color w:val="auto"/>
          <w:sz w:val="24"/>
          <w:u w:val="none"/>
        </w:rPr>
        <w:t>（北京时间）</w:t>
      </w:r>
      <w:r>
        <w:rPr>
          <w:rFonts w:hint="eastAsia" w:ascii="微软雅黑" w:hAnsi="微软雅黑" w:eastAsia="微软雅黑" w:cs="微软雅黑"/>
          <w:bCs/>
          <w:color w:val="auto"/>
          <w:sz w:val="24"/>
        </w:rPr>
        <w:t>前提交响应文件</w:t>
      </w:r>
      <w:r>
        <w:rPr>
          <w:rFonts w:hint="eastAsia" w:ascii="微软雅黑" w:hAnsi="微软雅黑" w:eastAsia="微软雅黑" w:cs="微软雅黑"/>
          <w:color w:val="auto"/>
          <w:sz w:val="24"/>
        </w:rPr>
        <w:t>。</w:t>
      </w:r>
    </w:p>
    <w:p w14:paraId="43A8702E">
      <w:pPr>
        <w:keepNext/>
        <w:keepLines/>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color w:val="auto"/>
          <w:sz w:val="24"/>
        </w:rPr>
      </w:pPr>
      <w:bookmarkStart w:id="706" w:name="_Toc28359012"/>
      <w:bookmarkStart w:id="707" w:name="_Toc35393629"/>
      <w:bookmarkStart w:id="708" w:name="_Toc35393798"/>
      <w:bookmarkStart w:id="709" w:name="_Toc28359089"/>
      <w:r>
        <w:rPr>
          <w:rFonts w:hint="eastAsia" w:ascii="微软雅黑" w:hAnsi="微软雅黑" w:eastAsia="微软雅黑" w:cs="微软雅黑"/>
          <w:b/>
          <w:color w:val="auto"/>
          <w:sz w:val="24"/>
        </w:rPr>
        <w:t>一、项目基本情况</w:t>
      </w:r>
      <w:bookmarkEnd w:id="706"/>
      <w:bookmarkEnd w:id="707"/>
      <w:bookmarkEnd w:id="708"/>
      <w:bookmarkEnd w:id="709"/>
    </w:p>
    <w:p w14:paraId="14EE9991">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rPr>
      </w:pPr>
      <w:r>
        <w:rPr>
          <w:rFonts w:hint="eastAsia" w:ascii="微软雅黑" w:hAnsi="微软雅黑" w:eastAsia="微软雅黑" w:cs="微软雅黑"/>
          <w:i w:val="0"/>
          <w:iCs w:val="0"/>
          <w:color w:val="auto"/>
          <w:sz w:val="24"/>
          <w:szCs w:val="24"/>
          <w:lang w:val="en-US" w:eastAsia="zh-CN"/>
        </w:rPr>
        <w:t>1、</w:t>
      </w:r>
      <w:r>
        <w:rPr>
          <w:rFonts w:hint="eastAsia" w:ascii="微软雅黑" w:hAnsi="微软雅黑" w:eastAsia="微软雅黑" w:cs="微软雅黑"/>
          <w:i w:val="0"/>
          <w:iCs w:val="0"/>
          <w:color w:val="auto"/>
          <w:sz w:val="24"/>
          <w:szCs w:val="24"/>
        </w:rPr>
        <w:t>项目编号：QXJ(CS)2026-06</w:t>
      </w:r>
      <w:r>
        <w:rPr>
          <w:rFonts w:hint="eastAsia" w:ascii="微软雅黑" w:hAnsi="微软雅黑" w:eastAsia="微软雅黑" w:cs="微软雅黑"/>
          <w:i w:val="0"/>
          <w:iCs w:val="0"/>
          <w:color w:val="auto"/>
          <w:sz w:val="24"/>
          <w:szCs w:val="24"/>
          <w:lang w:val="en-US" w:eastAsia="zh-CN"/>
        </w:rPr>
        <w:t>号</w:t>
      </w:r>
    </w:p>
    <w:p w14:paraId="3F2DAD37">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lang w:eastAsia="zh-CN"/>
        </w:rPr>
      </w:pPr>
      <w:r>
        <w:rPr>
          <w:rFonts w:hint="eastAsia" w:ascii="微软雅黑" w:hAnsi="微软雅黑" w:eastAsia="微软雅黑" w:cs="微软雅黑"/>
          <w:i w:val="0"/>
          <w:iCs w:val="0"/>
          <w:color w:val="auto"/>
          <w:sz w:val="24"/>
          <w:szCs w:val="24"/>
          <w:lang w:val="en-US" w:eastAsia="zh-CN"/>
        </w:rPr>
        <w:t>2、</w:t>
      </w:r>
      <w:r>
        <w:rPr>
          <w:rFonts w:hint="eastAsia" w:ascii="微软雅黑" w:hAnsi="微软雅黑" w:eastAsia="微软雅黑" w:cs="微软雅黑"/>
          <w:i w:val="0"/>
          <w:iCs w:val="0"/>
          <w:color w:val="auto"/>
          <w:sz w:val="24"/>
          <w:szCs w:val="24"/>
        </w:rPr>
        <w:t>项目名称：疏附县公安局采购2026年全局广告宣传制作服务项目</w:t>
      </w:r>
    </w:p>
    <w:p w14:paraId="5A5A8A96">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val="en-US" w:eastAsia="zh-CN"/>
        </w:rPr>
        <w:t>3、</w:t>
      </w:r>
      <w:r>
        <w:rPr>
          <w:rFonts w:hint="eastAsia" w:ascii="微软雅黑" w:hAnsi="微软雅黑" w:eastAsia="微软雅黑" w:cs="微软雅黑"/>
          <w:i w:val="0"/>
          <w:iCs w:val="0"/>
          <w:color w:val="auto"/>
          <w:sz w:val="24"/>
          <w:szCs w:val="24"/>
          <w:highlight w:val="none"/>
        </w:rPr>
        <w:t>采购方式：竞争性磋商</w:t>
      </w:r>
    </w:p>
    <w:p w14:paraId="3A4E6C16">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4、</w:t>
      </w:r>
      <w:r>
        <w:rPr>
          <w:rFonts w:hint="eastAsia" w:ascii="微软雅黑" w:hAnsi="微软雅黑" w:eastAsia="微软雅黑" w:cs="微软雅黑"/>
          <w:i w:val="0"/>
          <w:iCs w:val="0"/>
          <w:color w:val="auto"/>
          <w:sz w:val="24"/>
          <w:szCs w:val="24"/>
          <w:highlight w:val="none"/>
        </w:rPr>
        <w:t>预算金额：</w:t>
      </w:r>
      <w:r>
        <w:rPr>
          <w:rFonts w:hint="eastAsia" w:ascii="微软雅黑" w:hAnsi="微软雅黑" w:eastAsia="微软雅黑" w:cs="微软雅黑"/>
          <w:i w:val="0"/>
          <w:iCs w:val="0"/>
          <w:color w:val="auto"/>
          <w:sz w:val="24"/>
          <w:szCs w:val="24"/>
          <w:highlight w:val="none"/>
          <w:lang w:val="en-US" w:eastAsia="zh-CN"/>
        </w:rPr>
        <w:t>50万</w:t>
      </w:r>
      <w:r>
        <w:rPr>
          <w:rFonts w:hint="eastAsia" w:ascii="微软雅黑" w:hAnsi="微软雅黑" w:eastAsia="微软雅黑" w:cs="微软雅黑"/>
          <w:i w:val="0"/>
          <w:iCs w:val="0"/>
          <w:color w:val="auto"/>
          <w:sz w:val="24"/>
          <w:szCs w:val="24"/>
          <w:highlight w:val="none"/>
        </w:rPr>
        <w:t>元</w:t>
      </w:r>
    </w:p>
    <w:p w14:paraId="7B911AA9">
      <w:pPr>
        <w:keepNext w:val="0"/>
        <w:keepLines w:val="0"/>
        <w:pageBreakBefore w:val="0"/>
        <w:widowControl w:val="0"/>
        <w:kinsoku/>
        <w:wordWrap/>
        <w:overflowPunct/>
        <w:topLinePunct w:val="0"/>
        <w:autoSpaceDE/>
        <w:autoSpaceDN/>
        <w:bidi w:val="0"/>
        <w:adjustRightInd/>
        <w:snapToGrid/>
        <w:spacing w:line="480" w:lineRule="exact"/>
        <w:ind w:left="479" w:leftChars="228" w:right="0" w:rightChars="0" w:firstLine="0" w:firstLineChars="0"/>
        <w:textAlignment w:val="auto"/>
        <w:outlineLvl w:val="9"/>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val="en-US" w:eastAsia="zh-CN"/>
        </w:rPr>
        <w:t>5、</w:t>
      </w:r>
      <w:r>
        <w:rPr>
          <w:rFonts w:hint="eastAsia" w:ascii="微软雅黑" w:hAnsi="微软雅黑" w:eastAsia="微软雅黑" w:cs="微软雅黑"/>
          <w:i w:val="0"/>
          <w:iCs w:val="0"/>
          <w:color w:val="auto"/>
          <w:sz w:val="24"/>
          <w:szCs w:val="24"/>
          <w:highlight w:val="none"/>
        </w:rPr>
        <w:t>采购需求：制作背景墙、宣传展板、制度牌、橫幅、印刷警务站台账，禁毒、交警、治安等业务工作宣传架、公安现场会宣传栏等产品服务（具体</w:t>
      </w:r>
      <w:r>
        <w:rPr>
          <w:rFonts w:hint="eastAsia" w:ascii="微软雅黑" w:hAnsi="微软雅黑" w:eastAsia="微软雅黑" w:cs="微软雅黑"/>
          <w:i w:val="0"/>
          <w:iCs w:val="0"/>
          <w:color w:val="auto"/>
          <w:sz w:val="24"/>
          <w:szCs w:val="24"/>
          <w:highlight w:val="none"/>
          <w:lang w:eastAsia="zh-CN"/>
        </w:rPr>
        <w:t>服务</w:t>
      </w:r>
      <w:r>
        <w:rPr>
          <w:rFonts w:hint="eastAsia" w:ascii="微软雅黑" w:hAnsi="微软雅黑" w:eastAsia="微软雅黑" w:cs="微软雅黑"/>
          <w:i w:val="0"/>
          <w:iCs w:val="0"/>
          <w:color w:val="auto"/>
          <w:sz w:val="24"/>
          <w:szCs w:val="24"/>
          <w:highlight w:val="none"/>
        </w:rPr>
        <w:t>要求详见</w:t>
      </w:r>
      <w:r>
        <w:rPr>
          <w:rFonts w:hint="eastAsia" w:ascii="微软雅黑" w:hAnsi="微软雅黑" w:eastAsia="微软雅黑" w:cs="微软雅黑"/>
          <w:i w:val="0"/>
          <w:iCs w:val="0"/>
          <w:color w:val="auto"/>
          <w:sz w:val="24"/>
          <w:szCs w:val="24"/>
          <w:highlight w:val="none"/>
          <w:lang w:eastAsia="zh-CN"/>
        </w:rPr>
        <w:t>磋商</w:t>
      </w:r>
      <w:r>
        <w:rPr>
          <w:rFonts w:hint="eastAsia" w:ascii="微软雅黑" w:hAnsi="微软雅黑" w:eastAsia="微软雅黑" w:cs="微软雅黑"/>
          <w:i w:val="0"/>
          <w:iCs w:val="0"/>
          <w:color w:val="auto"/>
          <w:sz w:val="24"/>
          <w:szCs w:val="24"/>
          <w:highlight w:val="none"/>
        </w:rPr>
        <w:t>文件）</w:t>
      </w:r>
    </w:p>
    <w:p w14:paraId="2087AF70">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本项目（否）接受联合体。</w:t>
      </w:r>
      <w:bookmarkStart w:id="710" w:name="_Toc28359090"/>
      <w:bookmarkStart w:id="711" w:name="_Toc35393630"/>
      <w:bookmarkStart w:id="712" w:name="_Toc28359013"/>
      <w:bookmarkStart w:id="713" w:name="_Toc35393799"/>
    </w:p>
    <w:p w14:paraId="5BBA35ED">
      <w:pPr>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二、供应商资格要求：</w:t>
      </w:r>
      <w:bookmarkEnd w:id="710"/>
      <w:bookmarkEnd w:id="711"/>
      <w:bookmarkEnd w:id="712"/>
      <w:bookmarkEnd w:id="713"/>
      <w:bookmarkStart w:id="714" w:name="_Toc35393801"/>
      <w:bookmarkStart w:id="715" w:name="_Toc28359015"/>
      <w:bookmarkStart w:id="716" w:name="_Toc35393632"/>
      <w:bookmarkStart w:id="717" w:name="_Toc28359092"/>
    </w:p>
    <w:p w14:paraId="397C240F">
      <w:pPr>
        <w:pStyle w:val="32"/>
        <w:pageBreakBefore w:val="0"/>
        <w:widowControl/>
        <w:kinsoku/>
        <w:wordWrap/>
        <w:overflowPunct/>
        <w:topLinePunct w:val="0"/>
        <w:autoSpaceDE/>
        <w:autoSpaceDN/>
        <w:bidi w:val="0"/>
        <w:adjustRightInd/>
        <w:spacing w:before="75" w:beforeAutospacing="0" w:after="75" w:afterAutospacing="0" w:line="480" w:lineRule="exact"/>
        <w:ind w:left="458" w:leftChars="218"/>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1、符合《中华人民共和国政府采购法》第二十二条的规定；</w:t>
      </w:r>
    </w:p>
    <w:p w14:paraId="6204CEA1">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278C0344">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12320FB4">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w:t>
      </w:r>
      <w:r>
        <w:rPr>
          <w:rFonts w:hint="eastAsia" w:ascii="微软雅黑" w:hAnsi="微软雅黑" w:eastAsia="微软雅黑" w:cs="微软雅黑"/>
          <w:i w:val="0"/>
          <w:iCs w:val="0"/>
          <w:caps w:val="0"/>
          <w:color w:val="auto"/>
          <w:spacing w:val="0"/>
          <w:sz w:val="24"/>
          <w:szCs w:val="24"/>
          <w:highlight w:val="none"/>
          <w:lang w:eastAsia="zh-CN"/>
        </w:rPr>
        <w:t>本单位依法缴纳的近3个月内任意1个月的社会保险的凭据；</w:t>
      </w:r>
    </w:p>
    <w:p w14:paraId="6F940C58">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lang w:eastAsia="zh-CN"/>
        </w:rPr>
        <w:t>税务部门出具的近3个月内任意1个月的完税证明（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14:paraId="3BB2B51E">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⑤提供2024年或2025年完整的财务审计报告（成立不满一年的可提供近一个月的银行资信证明）；</w:t>
      </w:r>
    </w:p>
    <w:p w14:paraId="454D5411">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14:paraId="31DA61CA">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14:paraId="31D4122B">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34C9D7F7">
      <w:pPr>
        <w:pStyle w:val="32"/>
        <w:keepNext w:val="0"/>
        <w:keepLines w:val="0"/>
        <w:pageBreakBefore w:val="0"/>
        <w:widowControl/>
        <w:numPr>
          <w:ilvl w:val="0"/>
          <w:numId w:val="6"/>
        </w:numPr>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落实政府采购政策需满足的资格要求：本项目专门面向中小企业采购。</w:t>
      </w:r>
    </w:p>
    <w:p w14:paraId="772D4464">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3、本项目的特定资格要求：无</w:t>
      </w:r>
    </w:p>
    <w:p w14:paraId="3ED4EB36">
      <w:pPr>
        <w:keepNext/>
        <w:keepLines/>
        <w:pageBreakBefore w:val="0"/>
        <w:kinsoku/>
        <w:wordWrap/>
        <w:overflowPunct/>
        <w:topLinePunct w:val="0"/>
        <w:autoSpaceDE/>
        <w:autoSpaceDN/>
        <w:bidi w:val="0"/>
        <w:adjustRightInd/>
        <w:spacing w:line="480" w:lineRule="exact"/>
        <w:jc w:val="left"/>
        <w:textAlignment w:val="auto"/>
        <w:rPr>
          <w:rFonts w:hint="eastAsia" w:ascii="微软雅黑" w:hAnsi="微软雅黑" w:eastAsia="微软雅黑" w:cs="微软雅黑"/>
          <w:b/>
          <w:color w:val="auto"/>
          <w:kern w:val="0"/>
          <w:sz w:val="24"/>
        </w:rPr>
      </w:pPr>
      <w:r>
        <w:rPr>
          <w:rFonts w:hint="eastAsia" w:ascii="微软雅黑" w:hAnsi="微软雅黑" w:eastAsia="微软雅黑" w:cs="微软雅黑"/>
          <w:b/>
          <w:color w:val="auto"/>
          <w:sz w:val="24"/>
        </w:rPr>
        <w:t>三、获取采购文件</w:t>
      </w:r>
    </w:p>
    <w:p w14:paraId="47605486">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时间：</w:t>
      </w:r>
      <w:r>
        <w:rPr>
          <w:rFonts w:hint="eastAsia" w:ascii="微软雅黑" w:hAnsi="微软雅黑" w:eastAsia="微软雅黑" w:cs="微软雅黑"/>
          <w:i w:val="0"/>
          <w:iCs w:val="0"/>
          <w:caps w:val="0"/>
          <w:color w:val="auto"/>
          <w:spacing w:val="0"/>
          <w:sz w:val="24"/>
          <w:szCs w:val="24"/>
          <w:highlight w:val="none"/>
          <w:lang w:val="en-US" w:eastAsia="zh-CN"/>
        </w:rPr>
        <w:t xml:space="preserve"> 2026</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05</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18</w:t>
      </w:r>
      <w:r>
        <w:rPr>
          <w:rFonts w:hint="eastAsia" w:ascii="微软雅黑" w:hAnsi="微软雅黑" w:eastAsia="微软雅黑" w:cs="微软雅黑"/>
          <w:i w:val="0"/>
          <w:iCs w:val="0"/>
          <w:caps w:val="0"/>
          <w:color w:val="auto"/>
          <w:spacing w:val="0"/>
          <w:sz w:val="24"/>
          <w:szCs w:val="24"/>
          <w:highlight w:val="none"/>
        </w:rPr>
        <w:t>日至</w:t>
      </w:r>
      <w:r>
        <w:rPr>
          <w:rFonts w:hint="eastAsia" w:ascii="微软雅黑" w:hAnsi="微软雅黑" w:eastAsia="微软雅黑" w:cs="微软雅黑"/>
          <w:i w:val="0"/>
          <w:iCs w:val="0"/>
          <w:caps w:val="0"/>
          <w:color w:val="auto"/>
          <w:spacing w:val="0"/>
          <w:sz w:val="24"/>
          <w:szCs w:val="24"/>
          <w:highlight w:val="none"/>
          <w:lang w:val="en-US" w:eastAsia="zh-CN"/>
        </w:rPr>
        <w:t>2026</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05</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25</w:t>
      </w:r>
      <w:r>
        <w:rPr>
          <w:rFonts w:hint="eastAsia" w:ascii="微软雅黑" w:hAnsi="微软雅黑" w:eastAsia="微软雅黑" w:cs="微软雅黑"/>
          <w:i w:val="0"/>
          <w:iCs w:val="0"/>
          <w:caps w:val="0"/>
          <w:color w:val="auto"/>
          <w:spacing w:val="0"/>
          <w:sz w:val="24"/>
          <w:szCs w:val="24"/>
          <w:highlight w:val="none"/>
        </w:rPr>
        <w:t>日</w:t>
      </w:r>
      <w:r>
        <w:rPr>
          <w:rFonts w:hint="eastAsia" w:ascii="微软雅黑" w:hAnsi="微软雅黑" w:eastAsia="微软雅黑" w:cs="微软雅黑"/>
          <w:i w:val="0"/>
          <w:iCs w:val="0"/>
          <w:caps w:val="0"/>
          <w:color w:val="auto"/>
          <w:spacing w:val="0"/>
          <w:sz w:val="24"/>
          <w:szCs w:val="24"/>
          <w:highlight w:val="none"/>
        </w:rPr>
        <w:t>，每天上午00:00至12:00，下午12:00至23:59（北京时间，法定节假日除外）</w:t>
      </w:r>
    </w:p>
    <w:p w14:paraId="288EA7B2">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 </w:t>
      </w:r>
    </w:p>
    <w:p w14:paraId="07428770">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获取磋商文件）。（2）供应商获取磋商文件前应注册成为政府采购云平台正式供应商。</w:t>
      </w:r>
    </w:p>
    <w:p w14:paraId="557BDB63">
      <w:pPr>
        <w:keepNext/>
        <w:keepLines/>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四、响应文件提交</w:t>
      </w:r>
      <w:bookmarkEnd w:id="714"/>
      <w:bookmarkEnd w:id="715"/>
      <w:bookmarkEnd w:id="716"/>
      <w:bookmarkEnd w:id="717"/>
      <w:r>
        <w:rPr>
          <w:rFonts w:hint="eastAsia" w:ascii="微软雅黑" w:hAnsi="微软雅黑" w:eastAsia="微软雅黑" w:cs="微软雅黑"/>
          <w:b/>
          <w:color w:val="auto"/>
          <w:sz w:val="24"/>
        </w:rPr>
        <w:t>及开启</w:t>
      </w:r>
    </w:p>
    <w:p w14:paraId="0024A36F">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Cs/>
          <w:color w:val="auto"/>
          <w:sz w:val="24"/>
        </w:rPr>
      </w:pPr>
      <w:r>
        <w:rPr>
          <w:rFonts w:hint="eastAsia" w:ascii="微软雅黑" w:hAnsi="微软雅黑" w:eastAsia="微软雅黑" w:cs="微软雅黑"/>
          <w:color w:val="auto"/>
          <w:sz w:val="24"/>
        </w:rPr>
        <w:t>截止时间：</w:t>
      </w:r>
      <w:r>
        <w:rPr>
          <w:rFonts w:hint="eastAsia" w:ascii="微软雅黑" w:hAnsi="微软雅黑" w:eastAsia="微软雅黑" w:cs="微软雅黑"/>
          <w:color w:val="auto"/>
          <w:sz w:val="24"/>
          <w:u w:val="none"/>
          <w:lang w:val="en-US" w:eastAsia="zh-CN"/>
        </w:rPr>
        <w:t>2026</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06月01</w:t>
      </w:r>
      <w:r>
        <w:rPr>
          <w:rFonts w:hint="eastAsia" w:ascii="微软雅黑" w:hAnsi="微软雅黑" w:eastAsia="微软雅黑" w:cs="微软雅黑"/>
          <w:bCs/>
          <w:color w:val="auto"/>
          <w:sz w:val="24"/>
          <w:u w:val="none"/>
        </w:rPr>
        <w:t>日</w:t>
      </w:r>
      <w:r>
        <w:rPr>
          <w:rFonts w:hint="eastAsia" w:ascii="微软雅黑" w:hAnsi="微软雅黑" w:eastAsia="微软雅黑" w:cs="微软雅黑"/>
          <w:bCs/>
          <w:color w:val="auto"/>
          <w:sz w:val="24"/>
          <w:u w:val="none"/>
          <w:lang w:val="en-US" w:eastAsia="zh-CN"/>
        </w:rPr>
        <w:t>11</w:t>
      </w:r>
      <w:r>
        <w:rPr>
          <w:rFonts w:hint="eastAsia" w:ascii="微软雅黑" w:hAnsi="微软雅黑" w:eastAsia="微软雅黑" w:cs="微软雅黑"/>
          <w:bCs/>
          <w:color w:val="auto"/>
          <w:sz w:val="24"/>
          <w:u w:val="none"/>
        </w:rPr>
        <w:t>点</w:t>
      </w:r>
      <w:r>
        <w:rPr>
          <w:rFonts w:hint="eastAsia" w:ascii="微软雅黑" w:hAnsi="微软雅黑" w:eastAsia="微软雅黑" w:cs="微软雅黑"/>
          <w:bCs/>
          <w:color w:val="auto"/>
          <w:sz w:val="24"/>
          <w:u w:val="none"/>
          <w:lang w:val="en-US" w:eastAsia="zh-CN"/>
        </w:rPr>
        <w:t>30</w:t>
      </w:r>
      <w:r>
        <w:rPr>
          <w:rFonts w:hint="eastAsia" w:ascii="微软雅黑" w:hAnsi="微软雅黑" w:eastAsia="微软雅黑" w:cs="微软雅黑"/>
          <w:bCs/>
          <w:color w:val="auto"/>
          <w:sz w:val="24"/>
          <w:u w:val="none"/>
        </w:rPr>
        <w:t>分</w:t>
      </w:r>
      <w:r>
        <w:rPr>
          <w:rFonts w:hint="eastAsia" w:ascii="微软雅黑" w:hAnsi="微软雅黑" w:eastAsia="微软雅黑" w:cs="微软雅黑"/>
          <w:bCs/>
          <w:color w:val="auto"/>
          <w:sz w:val="24"/>
          <w:u w:val="none"/>
        </w:rPr>
        <w:t>（北京时间）</w:t>
      </w:r>
    </w:p>
    <w:p w14:paraId="6C59E16E">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地点：政采云平台（https://www.zcygov.cn/） </w:t>
      </w:r>
    </w:p>
    <w:p w14:paraId="67B27ED5">
      <w:pPr>
        <w:keepNext/>
        <w:keepLines/>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color w:val="auto"/>
          <w:sz w:val="24"/>
        </w:rPr>
      </w:pPr>
      <w:bookmarkStart w:id="718" w:name="_Toc35393633"/>
      <w:bookmarkStart w:id="719" w:name="_Toc35393802"/>
      <w:bookmarkStart w:id="720" w:name="_Toc28359016"/>
      <w:bookmarkStart w:id="721" w:name="_Toc28359093"/>
      <w:r>
        <w:rPr>
          <w:rFonts w:hint="eastAsia" w:ascii="微软雅黑" w:hAnsi="微软雅黑" w:eastAsia="微软雅黑" w:cs="微软雅黑"/>
          <w:b/>
          <w:color w:val="auto"/>
          <w:sz w:val="24"/>
        </w:rPr>
        <w:t>五、</w:t>
      </w:r>
      <w:bookmarkEnd w:id="718"/>
      <w:bookmarkEnd w:id="719"/>
      <w:bookmarkEnd w:id="720"/>
      <w:bookmarkEnd w:id="721"/>
      <w:bookmarkStart w:id="722" w:name="_Toc35393634"/>
      <w:bookmarkStart w:id="723" w:name="_Toc35393803"/>
      <w:bookmarkStart w:id="724" w:name="_Toc28359094"/>
      <w:bookmarkStart w:id="725" w:name="_Toc28359017"/>
      <w:r>
        <w:rPr>
          <w:rFonts w:hint="eastAsia" w:ascii="微软雅黑" w:hAnsi="微软雅黑" w:eastAsia="微软雅黑" w:cs="微软雅黑"/>
          <w:b/>
          <w:color w:val="auto"/>
          <w:sz w:val="24"/>
        </w:rPr>
        <w:t>公告期限</w:t>
      </w:r>
      <w:bookmarkEnd w:id="722"/>
      <w:bookmarkEnd w:id="723"/>
      <w:bookmarkEnd w:id="724"/>
      <w:bookmarkEnd w:id="725"/>
    </w:p>
    <w:p w14:paraId="7BDD96F2">
      <w:pPr>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自本公告发布之日起3个工作日。</w:t>
      </w:r>
    </w:p>
    <w:p w14:paraId="505C0ECB">
      <w:pPr>
        <w:keepNext/>
        <w:keepLines/>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b/>
          <w:color w:val="auto"/>
          <w:sz w:val="24"/>
        </w:rPr>
        <w:t>六、其他补充事宜</w:t>
      </w:r>
    </w:p>
    <w:p w14:paraId="177D5666">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6D16313C">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2.本项目实行网上投标，采用电子响应文件(供应商须使用CA加密设备通过政采云电子投标客户端制作响应文件)。若供应商参与投标，自行承担投标一切费用。</w:t>
      </w:r>
    </w:p>
    <w:p w14:paraId="4000D53F">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2392976D">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5F2E4E4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14:paraId="0EADBD5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00792DD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6142841">
      <w:pPr>
        <w:pStyle w:val="27"/>
        <w:pageBreakBefore w:val="0"/>
        <w:kinsoku/>
        <w:wordWrap/>
        <w:overflowPunct/>
        <w:topLinePunct w:val="0"/>
        <w:autoSpaceDE/>
        <w:autoSpaceDN/>
        <w:bidi w:val="0"/>
        <w:adjustRightInd/>
        <w:spacing w:line="480" w:lineRule="exact"/>
        <w:ind w:firstLine="240" w:firstLineChars="100"/>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特别提示：</w:t>
      </w:r>
    </w:p>
    <w:p w14:paraId="5C5B4BB0">
      <w:pPr>
        <w:pStyle w:val="27"/>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1、超过200万元的货物和服务采购项目、超过400万元的工程采购项目中适宜由中小企业提供的，预留该部分采购项目预算总额的40%以上专门面向中小企业采购，其中预留给小微企业的比例不低于60%。</w:t>
      </w:r>
    </w:p>
    <w:p w14:paraId="37BC0CAF">
      <w:pPr>
        <w:pStyle w:val="27"/>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2、对于未预留份额专门面向中小企业的采购项目，以及预留份额项目中的非预留部分采购包，采购人、采购代理机构应当对符合规定的小微企业报价给予10%~20%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65762266">
      <w:pPr>
        <w:pStyle w:val="27"/>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微软雅黑" w:hAnsi="微软雅黑" w:eastAsia="微软雅黑" w:cs="微软雅黑"/>
          <w:b w:val="0"/>
          <w:bCs w:val="0"/>
          <w:color w:val="auto"/>
          <w:kern w:val="0"/>
          <w:sz w:val="24"/>
          <w:lang w:val="en-US" w:eastAsia="zh-CN"/>
        </w:rPr>
        <w:t>6</w:t>
      </w:r>
      <w:r>
        <w:rPr>
          <w:rFonts w:hint="eastAsia" w:ascii="微软雅黑" w:hAnsi="微软雅黑" w:eastAsia="微软雅黑" w:cs="微软雅黑"/>
          <w:b w:val="0"/>
          <w:bCs w:val="0"/>
          <w:color w:val="auto"/>
          <w:kern w:val="0"/>
          <w:sz w:val="24"/>
        </w:rPr>
        <w:t>%~</w:t>
      </w:r>
      <w:r>
        <w:rPr>
          <w:rFonts w:hint="eastAsia" w:ascii="微软雅黑" w:hAnsi="微软雅黑" w:eastAsia="微软雅黑" w:cs="微软雅黑"/>
          <w:b w:val="0"/>
          <w:bCs w:val="0"/>
          <w:color w:val="auto"/>
          <w:kern w:val="0"/>
          <w:sz w:val="24"/>
          <w:lang w:val="en-US" w:eastAsia="zh-CN"/>
        </w:rPr>
        <w:t>10</w:t>
      </w:r>
      <w:r>
        <w:rPr>
          <w:rFonts w:hint="eastAsia" w:ascii="微软雅黑" w:hAnsi="微软雅黑" w:eastAsia="微软雅黑" w:cs="微软雅黑"/>
          <w:b w:val="0"/>
          <w:bCs w:val="0"/>
          <w:color w:val="auto"/>
          <w:kern w:val="0"/>
          <w:sz w:val="24"/>
        </w:rPr>
        <w:t>%作为其价格分。</w:t>
      </w:r>
      <w:bookmarkStart w:id="726" w:name="_Toc35393804"/>
      <w:bookmarkStart w:id="727" w:name="_Toc35393635"/>
    </w:p>
    <w:p w14:paraId="210A054A">
      <w:pPr>
        <w:pStyle w:val="27"/>
        <w:pageBreakBefore w:val="0"/>
        <w:kinsoku/>
        <w:wordWrap/>
        <w:overflowPunct/>
        <w:topLinePunct w:val="0"/>
        <w:autoSpaceDE/>
        <w:autoSpaceDN/>
        <w:bidi w:val="0"/>
        <w:adjustRightInd/>
        <w:spacing w:line="480" w:lineRule="exact"/>
        <w:textAlignment w:val="auto"/>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七、</w:t>
      </w:r>
      <w:bookmarkEnd w:id="726"/>
      <w:bookmarkEnd w:id="727"/>
      <w:bookmarkStart w:id="728" w:name="_Toc35393805"/>
      <w:bookmarkStart w:id="729" w:name="_Toc35393636"/>
      <w:bookmarkStart w:id="730" w:name="_Toc28359018"/>
      <w:bookmarkStart w:id="731" w:name="_Toc28359095"/>
      <w:r>
        <w:rPr>
          <w:rFonts w:hint="eastAsia" w:ascii="微软雅黑" w:hAnsi="微软雅黑" w:eastAsia="微软雅黑" w:cs="微软雅黑"/>
          <w:b/>
          <w:color w:val="auto"/>
          <w:sz w:val="24"/>
        </w:rPr>
        <w:t>凡对本次采购提出询问，请按以下方式联系。</w:t>
      </w:r>
      <w:bookmarkEnd w:id="728"/>
      <w:bookmarkEnd w:id="729"/>
      <w:bookmarkEnd w:id="730"/>
      <w:bookmarkEnd w:id="731"/>
      <w:bookmarkStart w:id="732" w:name="_Toc28359096"/>
      <w:bookmarkStart w:id="733" w:name="_Toc4002"/>
      <w:bookmarkStart w:id="734" w:name="_Toc35393806"/>
      <w:bookmarkStart w:id="735" w:name="_Toc35393637"/>
      <w:bookmarkStart w:id="736" w:name="_Toc28359019"/>
    </w:p>
    <w:bookmarkEnd w:id="732"/>
    <w:bookmarkEnd w:id="733"/>
    <w:bookmarkEnd w:id="734"/>
    <w:bookmarkEnd w:id="735"/>
    <w:bookmarkEnd w:id="736"/>
    <w:p w14:paraId="2BDD02A3">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Style w:val="44"/>
          <w:rFonts w:hint="eastAsia" w:ascii="微软雅黑" w:hAnsi="微软雅黑" w:eastAsia="微软雅黑" w:cs="微软雅黑"/>
          <w:i w:val="0"/>
          <w:iCs w:val="0"/>
          <w:caps w:val="0"/>
          <w:color w:val="auto"/>
          <w:spacing w:val="0"/>
          <w:sz w:val="24"/>
          <w:szCs w:val="24"/>
          <w:highlight w:val="none"/>
          <w:lang w:val="en-US" w:eastAsia="zh-CN"/>
        </w:rPr>
      </w:pPr>
      <w:r>
        <w:rPr>
          <w:rStyle w:val="44"/>
          <w:rFonts w:hint="eastAsia" w:ascii="微软雅黑" w:hAnsi="微软雅黑" w:eastAsia="微软雅黑" w:cs="微软雅黑"/>
          <w:i w:val="0"/>
          <w:iCs w:val="0"/>
          <w:caps w:val="0"/>
          <w:color w:val="auto"/>
          <w:spacing w:val="0"/>
          <w:sz w:val="24"/>
          <w:szCs w:val="24"/>
          <w:highlight w:val="none"/>
          <w:lang w:val="en-US" w:eastAsia="zh-CN"/>
        </w:rPr>
        <w:t>1.采购人信息</w:t>
      </w:r>
    </w:p>
    <w:p w14:paraId="1F9A2FB6">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名    称：疏附县公安局 </w:t>
      </w:r>
    </w:p>
    <w:p w14:paraId="0C3F2C8E">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地    址：喀什地区疏附县托克扎克镇人民北路50号</w:t>
      </w:r>
    </w:p>
    <w:p w14:paraId="6A502ECB">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联 系 人：孜亚屯·胡达白尔地 </w:t>
      </w:r>
    </w:p>
    <w:p w14:paraId="2778A685">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联系方式：15509084663  </w:t>
      </w:r>
    </w:p>
    <w:p w14:paraId="4C1375D7">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2.采购代理机构信息</w:t>
      </w:r>
    </w:p>
    <w:p w14:paraId="1476CEE0">
      <w:pPr>
        <w:pStyle w:val="3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名    称：新疆乾行健招标有限公司</w:t>
      </w:r>
    </w:p>
    <w:p w14:paraId="628AB714">
      <w:pPr>
        <w:pStyle w:val="3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地　　址：喀什市明宇广场写字楼B座</w:t>
      </w:r>
    </w:p>
    <w:p w14:paraId="4D455698">
      <w:pPr>
        <w:pStyle w:val="3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联 系 人：廖爱玲 </w:t>
      </w:r>
    </w:p>
    <w:p w14:paraId="4A78D616">
      <w:pPr>
        <w:pStyle w:val="32"/>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44"/>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lang w:val="en-US" w:eastAsia="zh-CN"/>
        </w:rPr>
        <w:t xml:space="preserve">联系电话：17354834608 </w:t>
      </w:r>
    </w:p>
    <w:p w14:paraId="775CADC0">
      <w:pPr>
        <w:pStyle w:val="27"/>
        <w:pageBreakBefore w:val="0"/>
        <w:kinsoku/>
        <w:wordWrap/>
        <w:overflowPunct/>
        <w:topLinePunct w:val="0"/>
        <w:autoSpaceDE/>
        <w:autoSpaceDN/>
        <w:bidi w:val="0"/>
        <w:adjustRightInd/>
        <w:spacing w:line="480" w:lineRule="exact"/>
        <w:ind w:firstLine="480" w:firstLineChars="200"/>
        <w:textAlignment w:val="auto"/>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 xml:space="preserve"> </w:t>
      </w:r>
    </w:p>
    <w:p w14:paraId="3A9846E4">
      <w:pPr>
        <w:pageBreakBefore w:val="0"/>
        <w:kinsoku/>
        <w:wordWrap/>
        <w:overflowPunct/>
        <w:topLinePunct w:val="0"/>
        <w:autoSpaceDE/>
        <w:autoSpaceDN/>
        <w:bidi w:val="0"/>
        <w:adjustRightInd/>
        <w:spacing w:line="480" w:lineRule="exact"/>
        <w:ind w:firstLine="720" w:firstLineChars="300"/>
        <w:textAlignment w:val="auto"/>
        <w:rPr>
          <w:rFonts w:hint="eastAsia" w:ascii="微软雅黑" w:hAnsi="微软雅黑" w:eastAsia="微软雅黑" w:cs="微软雅黑"/>
          <w:color w:val="auto"/>
          <w:sz w:val="24"/>
          <w:u w:val="single"/>
        </w:rPr>
      </w:pPr>
    </w:p>
    <w:p w14:paraId="4B29C9EA">
      <w:pPr>
        <w:rPr>
          <w:rFonts w:hint="eastAsia" w:ascii="微软雅黑" w:hAnsi="微软雅黑" w:eastAsia="微软雅黑" w:cs="微软雅黑"/>
          <w:color w:val="auto"/>
        </w:rPr>
      </w:pPr>
    </w:p>
    <w:p w14:paraId="62A5DDE7">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01458E3D">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2F9F6F60">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4A24702B">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3BF394C4">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529001CD">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28A90575">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5BFE63B5">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54E0D863">
      <w:pPr>
        <w:rPr>
          <w:rFonts w:hint="eastAsia" w:ascii="微软雅黑" w:hAnsi="微软雅黑" w:eastAsia="微软雅黑" w:cs="微软雅黑"/>
          <w:color w:val="auto"/>
        </w:rPr>
      </w:pPr>
    </w:p>
    <w:p w14:paraId="6D4B1555">
      <w:pPr>
        <w:pageBreakBefore w:val="0"/>
        <w:kinsoku/>
        <w:wordWrap/>
        <w:overflowPunct/>
        <w:topLinePunct w:val="0"/>
        <w:autoSpaceDE/>
        <w:autoSpaceDN/>
        <w:bidi w:val="0"/>
        <w:adjustRightInd/>
        <w:spacing w:line="380" w:lineRule="exact"/>
        <w:ind w:firstLine="720" w:firstLineChars="300"/>
        <w:textAlignment w:val="auto"/>
        <w:rPr>
          <w:rFonts w:hint="eastAsia" w:ascii="微软雅黑" w:hAnsi="微软雅黑" w:eastAsia="微软雅黑" w:cs="微软雅黑"/>
          <w:color w:val="auto"/>
          <w:sz w:val="24"/>
          <w:u w:val="single"/>
        </w:rPr>
      </w:pPr>
    </w:p>
    <w:p w14:paraId="31341AF3">
      <w:pPr>
        <w:rPr>
          <w:rFonts w:hint="eastAsia" w:ascii="微软雅黑" w:hAnsi="微软雅黑" w:eastAsia="微软雅黑" w:cs="微软雅黑"/>
          <w:color w:val="auto"/>
        </w:rPr>
      </w:pPr>
    </w:p>
    <w:p w14:paraId="435BC37C">
      <w:pPr>
        <w:rPr>
          <w:rFonts w:hint="eastAsia" w:ascii="微软雅黑" w:hAnsi="微软雅黑" w:eastAsia="微软雅黑" w:cs="微软雅黑"/>
          <w:color w:val="auto"/>
          <w:szCs w:val="32"/>
        </w:rPr>
      </w:pPr>
      <w:r>
        <w:rPr>
          <w:rFonts w:hint="eastAsia" w:ascii="微软雅黑" w:hAnsi="微软雅黑" w:eastAsia="微软雅黑" w:cs="微软雅黑"/>
          <w:color w:val="auto"/>
          <w:szCs w:val="32"/>
        </w:rPr>
        <w:br w:type="page"/>
      </w:r>
    </w:p>
    <w:p w14:paraId="2738F9D5">
      <w:pPr>
        <w:pStyle w:val="5"/>
        <w:tabs>
          <w:tab w:val="left" w:pos="0"/>
        </w:tabs>
        <w:snapToGrid w:val="0"/>
        <w:spacing w:before="0" w:after="0" w:line="240" w:lineRule="auto"/>
        <w:textAlignment w:val="baseline"/>
        <w:rPr>
          <w:rFonts w:hint="eastAsia" w:ascii="微软雅黑" w:hAnsi="微软雅黑" w:eastAsia="微软雅黑" w:cs="微软雅黑"/>
          <w:color w:val="auto"/>
          <w:szCs w:val="32"/>
        </w:rPr>
      </w:pPr>
      <w:bookmarkStart w:id="737" w:name="_Toc636"/>
      <w:r>
        <w:rPr>
          <w:rFonts w:hint="eastAsia" w:ascii="微软雅黑" w:hAnsi="微软雅黑" w:eastAsia="微软雅黑" w:cs="微软雅黑"/>
          <w:color w:val="auto"/>
          <w:szCs w:val="32"/>
        </w:rPr>
        <w:t>第4章 供应商须知资料表</w:t>
      </w:r>
      <w:bookmarkEnd w:id="697"/>
      <w:bookmarkEnd w:id="698"/>
      <w:bookmarkEnd w:id="699"/>
      <w:bookmarkEnd w:id="700"/>
      <w:bookmarkEnd w:id="701"/>
      <w:bookmarkEnd w:id="702"/>
      <w:bookmarkEnd w:id="737"/>
    </w:p>
    <w:p w14:paraId="1285F032">
      <w:pPr>
        <w:snapToGrid w:val="0"/>
        <w:spacing w:line="240" w:lineRule="atLeast"/>
        <w:ind w:firstLine="360" w:firstLineChars="150"/>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本表是本采购项目的具体资料，是对供应商须知的具体补充和修改，如有矛盾，应以本资料表为准。</w:t>
      </w:r>
    </w:p>
    <w:tbl>
      <w:tblPr>
        <w:tblStyle w:val="36"/>
        <w:tblW w:w="9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0"/>
        <w:gridCol w:w="8140"/>
      </w:tblGrid>
      <w:tr w14:paraId="640DE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1370" w:type="dxa"/>
            <w:vAlign w:val="center"/>
          </w:tcPr>
          <w:p w14:paraId="1A128D7B">
            <w:pPr>
              <w:snapToGrid w:val="0"/>
              <w:jc w:val="center"/>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条款号</w:t>
            </w:r>
          </w:p>
        </w:tc>
        <w:tc>
          <w:tcPr>
            <w:tcW w:w="8140" w:type="dxa"/>
            <w:vAlign w:val="center"/>
          </w:tcPr>
          <w:p w14:paraId="26721B4D">
            <w:pPr>
              <w:snapToGrid w:val="0"/>
              <w:ind w:left="1080" w:leftChars="257" w:hanging="540"/>
              <w:textAlignment w:val="baseline"/>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内      容</w:t>
            </w:r>
          </w:p>
        </w:tc>
      </w:tr>
      <w:tr w14:paraId="21617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jc w:val="center"/>
        </w:trPr>
        <w:tc>
          <w:tcPr>
            <w:tcW w:w="1370" w:type="dxa"/>
            <w:vAlign w:val="center"/>
          </w:tcPr>
          <w:p w14:paraId="0CF70243">
            <w:pPr>
              <w:snapToGrid w:val="0"/>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8140" w:type="dxa"/>
            <w:vAlign w:val="center"/>
          </w:tcPr>
          <w:p w14:paraId="6EBA81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rPr>
              <w:t>采购人</w:t>
            </w:r>
            <w:r>
              <w:rPr>
                <w:rFonts w:hint="eastAsia" w:ascii="微软雅黑" w:hAnsi="微软雅黑" w:eastAsia="微软雅黑" w:cs="微软雅黑"/>
                <w:color w:val="auto"/>
                <w:sz w:val="24"/>
                <w:szCs w:val="24"/>
                <w:highlight w:val="none"/>
                <w:u w:val="none"/>
                <w:lang w:eastAsia="zh-CN"/>
              </w:rPr>
              <w:t xml:space="preserve">：疏附县公安局 </w:t>
            </w:r>
          </w:p>
          <w:p w14:paraId="73FF74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u w:val="none"/>
                <w:lang w:eastAsia="zh-CN"/>
              </w:rPr>
              <w:t xml:space="preserve">联 系 人：孜亚屯·胡达白尔地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none"/>
                <w:lang w:eastAsia="zh-CN"/>
              </w:rPr>
              <w:t xml:space="preserve">联系方式：15509084663 </w:t>
            </w:r>
            <w:r>
              <w:rPr>
                <w:rFonts w:hint="eastAsia" w:ascii="微软雅黑" w:hAnsi="微软雅黑" w:eastAsia="微软雅黑" w:cs="微软雅黑"/>
                <w:color w:val="auto"/>
                <w:sz w:val="24"/>
                <w:szCs w:val="24"/>
                <w:highlight w:val="none"/>
                <w:u w:val="none"/>
                <w:lang w:val="en-US" w:eastAsia="zh-CN"/>
              </w:rPr>
              <w:t xml:space="preserve"> </w:t>
            </w:r>
          </w:p>
        </w:tc>
      </w:tr>
      <w:tr w14:paraId="0A7C5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46F40DD6">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w:t>
            </w:r>
          </w:p>
        </w:tc>
        <w:tc>
          <w:tcPr>
            <w:tcW w:w="8140" w:type="dxa"/>
            <w:vAlign w:val="center"/>
          </w:tcPr>
          <w:p w14:paraId="64358E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采购代理机构：新疆乾行健招标有限公司</w:t>
            </w:r>
          </w:p>
          <w:p w14:paraId="5EF064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highlight w:val="none"/>
              </w:rPr>
              <w:t xml:space="preserve">联 系 人：廖爱玲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联系电话：17354834608</w:t>
            </w:r>
            <w:r>
              <w:rPr>
                <w:rFonts w:hint="eastAsia" w:ascii="微软雅黑" w:hAnsi="微软雅黑" w:eastAsia="微软雅黑" w:cs="微软雅黑"/>
                <w:color w:val="auto"/>
                <w:sz w:val="24"/>
                <w:highlight w:val="none"/>
                <w:lang w:val="en-US" w:eastAsia="zh-CN"/>
              </w:rPr>
              <w:t xml:space="preserve"> </w:t>
            </w:r>
          </w:p>
        </w:tc>
      </w:tr>
      <w:tr w14:paraId="03FD8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370" w:type="dxa"/>
            <w:vAlign w:val="center"/>
          </w:tcPr>
          <w:p w14:paraId="5C6C3DE0">
            <w:pPr>
              <w:widowControl/>
              <w:snapToGrid w:val="0"/>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1.3.4</w:t>
            </w:r>
          </w:p>
        </w:tc>
        <w:tc>
          <w:tcPr>
            <w:tcW w:w="8140" w:type="dxa"/>
            <w:vAlign w:val="center"/>
          </w:tcPr>
          <w:p w14:paraId="73E193DE">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合格供应商的其他资格要求：</w:t>
            </w:r>
          </w:p>
          <w:p w14:paraId="4483459E">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1、符合《中华人民共和国政府采购法》第二十二条的规定；</w:t>
            </w:r>
          </w:p>
          <w:p w14:paraId="4FAC8069">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①具有独立承担民事责任的能力；（投标时，提供在中华人民共和国境内注册的法人或其他组织的营业执照或事业单位法人证书或社会团体法人登记证书）</w:t>
            </w:r>
          </w:p>
          <w:p w14:paraId="708C25BA">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②提供法定代表人资格证明及授权书、被授权人身份证；(法定代表人投标需提供法定代表人身份证)；</w:t>
            </w:r>
          </w:p>
          <w:p w14:paraId="3CDA8B91">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③本单位依法缴纳的近3个月内任意1个月的社会保险的凭据；</w:t>
            </w:r>
          </w:p>
          <w:p w14:paraId="085280C2">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④税务部门出具的近3个月内任意1个月的完税证明（依法免缴的应提供依法免缴的相关证明文件或零申报报表）；</w:t>
            </w:r>
          </w:p>
          <w:p w14:paraId="32196934">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⑤提供2024年或2025年完整的财务审计报告（成立不满一年的可提供近一个月的银行资信证明）；</w:t>
            </w:r>
          </w:p>
          <w:p w14:paraId="58B66F86">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⑥参与政府采购活动前3年内未被列入失信、重大税收违法案件、财政部门禁止参加政府采购活动的承诺书；</w:t>
            </w:r>
          </w:p>
          <w:p w14:paraId="47B7426F">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⑦提供针对本次项目的反商业贿赂承诺书。</w:t>
            </w:r>
          </w:p>
          <w:p w14:paraId="59BE1042">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2B1D3186">
            <w:pPr>
              <w:pStyle w:val="35"/>
              <w:ind w:left="0" w:leftChars="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⑨本项目专门面向中小企业（供应商须根据磋商文件中的法定格式填写中小企业声明函）</w:t>
            </w:r>
          </w:p>
          <w:p w14:paraId="066E0C58">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2、缴纳磋商保证金有效凭证。</w:t>
            </w:r>
          </w:p>
          <w:p w14:paraId="0A163482">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注：</w:t>
            </w:r>
          </w:p>
          <w:p w14:paraId="2241C249">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1、完税证明中“税种”非养老保险、医疗保险、失业保险、工伤保险和生育保险。请各供应商注意！</w:t>
            </w:r>
          </w:p>
          <w:p w14:paraId="2CA19E82">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color w:val="auto"/>
                <w:lang w:val="en-US" w:eastAsia="zh-CN"/>
              </w:rPr>
            </w:pPr>
            <w:r>
              <w:rPr>
                <w:rFonts w:hint="eastAsia" w:ascii="微软雅黑" w:hAnsi="微软雅黑" w:eastAsia="微软雅黑" w:cs="微软雅黑"/>
                <w:b/>
                <w:bCs/>
                <w:color w:val="auto"/>
                <w:sz w:val="24"/>
                <w:szCs w:val="24"/>
                <w:lang w:val="en-US" w:eastAsia="zh-CN"/>
              </w:rPr>
              <w:t>2、上述资质能够通过官方网络查证的，均视为合格供应商。</w:t>
            </w:r>
          </w:p>
        </w:tc>
      </w:tr>
      <w:tr w14:paraId="27605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648CB76F">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1.3.5   </w:t>
            </w:r>
          </w:p>
        </w:tc>
        <w:tc>
          <w:tcPr>
            <w:tcW w:w="8140" w:type="dxa"/>
            <w:vAlign w:val="center"/>
          </w:tcPr>
          <w:p w14:paraId="4194CBE5">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是否允许采购进口产品：</w:t>
            </w:r>
            <w:r>
              <w:rPr>
                <w:rFonts w:hint="eastAsia" w:ascii="微软雅黑" w:hAnsi="微软雅黑" w:eastAsia="微软雅黑" w:cs="微软雅黑"/>
                <w:color w:val="auto"/>
                <w:sz w:val="24"/>
                <w:szCs w:val="24"/>
                <w:u w:val="single" w:color="000000"/>
              </w:rPr>
              <w:t xml:space="preserve">  否  </w:t>
            </w:r>
          </w:p>
        </w:tc>
      </w:tr>
      <w:tr w14:paraId="0E15A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2223375E">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1.3.6</w:t>
            </w:r>
          </w:p>
        </w:tc>
        <w:tc>
          <w:tcPr>
            <w:tcW w:w="8140" w:type="dxa"/>
            <w:vAlign w:val="center"/>
          </w:tcPr>
          <w:p w14:paraId="589877EB">
            <w:pPr>
              <w:snapToGrid w:val="0"/>
              <w:textAlignment w:val="baseline"/>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color w:val="auto"/>
                <w:sz w:val="24"/>
                <w:szCs w:val="24"/>
                <w:highlight w:val="none"/>
              </w:rPr>
              <w:t>是否为专门面向中小企业采购：</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i w:val="0"/>
                <w:iCs w:val="0"/>
                <w:color w:val="auto"/>
                <w:sz w:val="24"/>
                <w:szCs w:val="24"/>
                <w:highlight w:val="none"/>
                <w:u w:val="single"/>
              </w:rPr>
              <w:t xml:space="preserve"> </w:t>
            </w:r>
            <w:r>
              <w:rPr>
                <w:rFonts w:hint="eastAsia" w:ascii="微软雅黑" w:hAnsi="微软雅黑" w:eastAsia="微软雅黑" w:cs="微软雅黑"/>
                <w:i w:val="0"/>
                <w:iCs w:val="0"/>
                <w:color w:val="auto"/>
                <w:sz w:val="24"/>
                <w:szCs w:val="24"/>
                <w:highlight w:val="none"/>
              </w:rPr>
              <w:t>（是、否）</w:t>
            </w:r>
            <w:r>
              <w:rPr>
                <w:rFonts w:hint="eastAsia" w:ascii="微软雅黑" w:hAnsi="微软雅黑" w:eastAsia="微软雅黑" w:cs="微软雅黑"/>
                <w:b/>
                <w:bCs/>
                <w:i w:val="0"/>
                <w:iCs w:val="0"/>
                <w:color w:val="auto"/>
                <w:sz w:val="24"/>
                <w:szCs w:val="24"/>
                <w:highlight w:val="none"/>
              </w:rPr>
              <w:t>（注：本项目为专门面向中小企业项目，供应商报价不享受价格扣除后参与评审。供应商须根据招标文件中的法定格式提供中小企业声明函。）</w:t>
            </w:r>
          </w:p>
        </w:tc>
      </w:tr>
      <w:tr w14:paraId="4E258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6EACE85D">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p>
        </w:tc>
        <w:tc>
          <w:tcPr>
            <w:tcW w:w="8140" w:type="dxa"/>
            <w:vAlign w:val="center"/>
          </w:tcPr>
          <w:p w14:paraId="6D1058CF">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是否允许联合体磋商：</w:t>
            </w:r>
            <w:r>
              <w:rPr>
                <w:rFonts w:hint="eastAsia" w:ascii="微软雅黑" w:hAnsi="微软雅黑" w:eastAsia="微软雅黑" w:cs="微软雅黑"/>
                <w:color w:val="auto"/>
                <w:sz w:val="24"/>
                <w:szCs w:val="24"/>
                <w:u w:val="single" w:color="000000"/>
              </w:rPr>
              <w:t xml:space="preserve">   否   </w:t>
            </w:r>
          </w:p>
        </w:tc>
      </w:tr>
      <w:tr w14:paraId="2DB57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4205165A">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1.4.8</w:t>
            </w:r>
          </w:p>
        </w:tc>
        <w:tc>
          <w:tcPr>
            <w:tcW w:w="8140" w:type="dxa"/>
            <w:vAlign w:val="center"/>
          </w:tcPr>
          <w:p w14:paraId="1F27C011">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联合体的其他资格要求：无</w:t>
            </w:r>
          </w:p>
        </w:tc>
      </w:tr>
      <w:tr w14:paraId="0E9F3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1370" w:type="dxa"/>
            <w:vAlign w:val="center"/>
          </w:tcPr>
          <w:p w14:paraId="098B9CE3">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p>
        </w:tc>
        <w:tc>
          <w:tcPr>
            <w:tcW w:w="8140" w:type="dxa"/>
            <w:vAlign w:val="center"/>
          </w:tcPr>
          <w:p w14:paraId="71D0EFDA">
            <w:pPr>
              <w:pStyle w:val="10"/>
              <w:snapToGrid w:val="0"/>
              <w:ind w:firstLine="0"/>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color w:val="auto"/>
                <w:kern w:val="2"/>
                <w:sz w:val="24"/>
                <w:szCs w:val="24"/>
              </w:rPr>
              <w:t>项目预算金额：</w:t>
            </w:r>
            <w:r>
              <w:rPr>
                <w:rFonts w:hint="eastAsia" w:ascii="微软雅黑" w:hAnsi="微软雅黑" w:eastAsia="微软雅黑" w:cs="微软雅黑"/>
                <w:b/>
                <w:bCs/>
                <w:color w:val="auto"/>
                <w:kern w:val="2"/>
                <w:sz w:val="24"/>
                <w:szCs w:val="24"/>
                <w:lang w:val="en-US" w:eastAsia="zh-CN"/>
              </w:rPr>
              <w:t>50万元</w:t>
            </w:r>
          </w:p>
        </w:tc>
      </w:tr>
      <w:tr w14:paraId="7CF6D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1370" w:type="dxa"/>
            <w:vAlign w:val="center"/>
          </w:tcPr>
          <w:p w14:paraId="348829E1">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12.1</w:t>
            </w:r>
          </w:p>
        </w:tc>
        <w:tc>
          <w:tcPr>
            <w:tcW w:w="8140" w:type="dxa"/>
            <w:vAlign w:val="center"/>
          </w:tcPr>
          <w:p w14:paraId="552A5A68">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磋商保证金形式：</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保函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电汇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支票   ☑对公转账   </w:t>
            </w:r>
          </w:p>
          <w:p w14:paraId="0E31A1F1">
            <w:pPr>
              <w:snapToGrid w:val="0"/>
              <w:textAlignment w:val="baseline"/>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磋商保证金金额：</w:t>
            </w:r>
            <w:r>
              <w:rPr>
                <w:rFonts w:hint="eastAsia" w:ascii="微软雅黑" w:hAnsi="微软雅黑" w:eastAsia="微软雅黑" w:cs="微软雅黑"/>
                <w:b/>
                <w:bCs/>
                <w:color w:val="auto"/>
                <w:sz w:val="24"/>
                <w:szCs w:val="24"/>
                <w:lang w:val="en-US" w:eastAsia="zh-CN"/>
              </w:rPr>
              <w:t>¥10000</w:t>
            </w:r>
            <w:r>
              <w:rPr>
                <w:rFonts w:hint="eastAsia" w:ascii="微软雅黑" w:hAnsi="微软雅黑" w:eastAsia="微软雅黑" w:cs="微软雅黑"/>
                <w:b/>
                <w:bCs/>
                <w:color w:val="auto"/>
                <w:sz w:val="24"/>
                <w:szCs w:val="24"/>
              </w:rPr>
              <w:t>元(大写：</w:t>
            </w:r>
            <w:r>
              <w:rPr>
                <w:rFonts w:hint="eastAsia" w:ascii="微软雅黑" w:hAnsi="微软雅黑" w:eastAsia="微软雅黑" w:cs="微软雅黑"/>
                <w:b/>
                <w:bCs/>
                <w:color w:val="auto"/>
                <w:sz w:val="24"/>
                <w:szCs w:val="24"/>
                <w:lang w:val="en-US" w:eastAsia="zh-CN"/>
              </w:rPr>
              <w:t>壹万元整</w:t>
            </w:r>
            <w:r>
              <w:rPr>
                <w:rFonts w:hint="eastAsia" w:ascii="微软雅黑" w:hAnsi="微软雅黑" w:eastAsia="微软雅黑" w:cs="微软雅黑"/>
                <w:b/>
                <w:bCs/>
                <w:color w:val="auto"/>
                <w:sz w:val="24"/>
                <w:szCs w:val="24"/>
              </w:rPr>
              <w:t>）</w:t>
            </w:r>
          </w:p>
          <w:p w14:paraId="251CA2C7">
            <w:pPr>
              <w:snapToGrid w:val="0"/>
              <w:textAlignment w:val="baseline"/>
              <w:rPr>
                <w:rFonts w:hint="eastAsia" w:ascii="微软雅黑" w:hAnsi="微软雅黑" w:eastAsia="微软雅黑" w:cs="微软雅黑"/>
                <w:b/>
                <w:color w:val="auto"/>
                <w:sz w:val="24"/>
                <w:szCs w:val="24"/>
              </w:rPr>
            </w:pPr>
            <w:r>
              <w:rPr>
                <w:rFonts w:hint="eastAsia" w:ascii="微软雅黑" w:hAnsi="微软雅黑" w:eastAsia="微软雅黑" w:cs="微软雅黑"/>
                <w:i/>
                <w:color w:val="auto"/>
                <w:sz w:val="24"/>
                <w:szCs w:val="24"/>
              </w:rPr>
              <w:t>（按照各分包控制金额2%以内的整数计算）</w:t>
            </w:r>
          </w:p>
          <w:p w14:paraId="610CE0D0">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保证金收款人：</w:t>
            </w:r>
          </w:p>
          <w:p w14:paraId="61F16F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单位名称：新疆乾行健招标有限公司</w:t>
            </w:r>
          </w:p>
          <w:p w14:paraId="09E5A1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 xml:space="preserve">开 户 行：中国建设银行股份有限公司疏附支行 </w:t>
            </w:r>
          </w:p>
          <w:p w14:paraId="161969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账   号：65050174602600001745</w:t>
            </w:r>
          </w:p>
          <w:p w14:paraId="360FC1AB">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highlight w:val="none"/>
              </w:rPr>
              <w:t>联系人：廖爱玲  联系电话：17354834608</w:t>
            </w:r>
            <w:r>
              <w:rPr>
                <w:rFonts w:hint="eastAsia" w:ascii="微软雅黑" w:hAnsi="微软雅黑" w:eastAsia="微软雅黑" w:cs="微软雅黑"/>
                <w:b/>
                <w:bCs/>
                <w:color w:val="auto"/>
                <w:sz w:val="24"/>
                <w:szCs w:val="24"/>
              </w:rPr>
              <w:t>（电汇时请在汇款备注栏注明项目名称及</w:t>
            </w:r>
            <w:r>
              <w:rPr>
                <w:rFonts w:hint="eastAsia" w:ascii="微软雅黑" w:hAnsi="微软雅黑" w:eastAsia="微软雅黑" w:cs="微软雅黑"/>
                <w:b/>
                <w:bCs/>
                <w:color w:val="auto"/>
                <w:sz w:val="24"/>
                <w:szCs w:val="24"/>
                <w:lang w:val="en-US" w:eastAsia="zh-CN"/>
              </w:rPr>
              <w:t>包号</w:t>
            </w:r>
            <w:r>
              <w:rPr>
                <w:rFonts w:hint="eastAsia" w:ascii="微软雅黑" w:hAnsi="微软雅黑" w:eastAsia="微软雅黑" w:cs="微软雅黑"/>
                <w:b/>
                <w:bCs/>
                <w:color w:val="auto"/>
                <w:sz w:val="24"/>
                <w:szCs w:val="24"/>
              </w:rPr>
              <w:t>，并注明是</w:t>
            </w:r>
            <w:r>
              <w:rPr>
                <w:rFonts w:hint="eastAsia" w:ascii="微软雅黑" w:hAnsi="微软雅黑" w:eastAsia="微软雅黑" w:cs="微软雅黑"/>
                <w:b/>
                <w:bCs/>
                <w:color w:val="auto"/>
                <w:sz w:val="24"/>
                <w:szCs w:val="24"/>
                <w:lang w:val="en-US" w:eastAsia="zh-CN"/>
              </w:rPr>
              <w:t>磋商</w:t>
            </w:r>
            <w:r>
              <w:rPr>
                <w:rFonts w:hint="eastAsia" w:ascii="微软雅黑" w:hAnsi="微软雅黑" w:eastAsia="微软雅黑" w:cs="微软雅黑"/>
                <w:b/>
                <w:bCs/>
                <w:color w:val="auto"/>
                <w:sz w:val="24"/>
                <w:szCs w:val="24"/>
              </w:rPr>
              <w:t>保证金，否则视为无效</w:t>
            </w:r>
            <w:r>
              <w:rPr>
                <w:rFonts w:hint="eastAsia" w:ascii="微软雅黑" w:hAnsi="微软雅黑" w:eastAsia="微软雅黑" w:cs="微软雅黑"/>
                <w:b/>
                <w:bCs/>
                <w:color w:val="auto"/>
                <w:sz w:val="24"/>
                <w:szCs w:val="24"/>
                <w:lang w:val="en-US" w:eastAsia="zh-CN"/>
              </w:rPr>
              <w:t>磋商</w:t>
            </w:r>
            <w:r>
              <w:rPr>
                <w:rFonts w:hint="eastAsia" w:ascii="微软雅黑" w:hAnsi="微软雅黑" w:eastAsia="微软雅黑" w:cs="微软雅黑"/>
                <w:b/>
                <w:bCs/>
                <w:color w:val="auto"/>
                <w:sz w:val="24"/>
                <w:szCs w:val="24"/>
              </w:rPr>
              <w:t>保证金。）</w:t>
            </w:r>
          </w:p>
          <w:p w14:paraId="7C71EF67">
            <w:pP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A:缴纳保证金要求：</w:t>
            </w:r>
            <w:r>
              <w:rPr>
                <w:rFonts w:hint="eastAsia" w:ascii="微软雅黑" w:hAnsi="微软雅黑" w:eastAsia="微软雅黑" w:cs="微软雅黑"/>
                <w:b w:val="0"/>
                <w:bCs w:val="0"/>
                <w:color w:val="auto"/>
                <w:sz w:val="24"/>
                <w:szCs w:val="24"/>
              </w:rPr>
              <w:t>供应商向银行办理保证金汇（转）款时，应在用途栏（备注栏）注明项目名称，并注明是</w:t>
            </w:r>
            <w:r>
              <w:rPr>
                <w:rFonts w:hint="eastAsia" w:ascii="微软雅黑" w:hAnsi="微软雅黑" w:eastAsia="微软雅黑" w:cs="微软雅黑"/>
                <w:b w:val="0"/>
                <w:bCs w:val="0"/>
                <w:color w:val="auto"/>
                <w:sz w:val="24"/>
                <w:szCs w:val="24"/>
                <w:lang w:eastAsia="zh-CN"/>
              </w:rPr>
              <w:t>磋商</w:t>
            </w:r>
            <w:r>
              <w:rPr>
                <w:rFonts w:hint="eastAsia" w:ascii="微软雅黑" w:hAnsi="微软雅黑" w:eastAsia="微软雅黑" w:cs="微软雅黑"/>
                <w:b w:val="0"/>
                <w:bCs w:val="0"/>
                <w:color w:val="auto"/>
                <w:sz w:val="24"/>
                <w:szCs w:val="24"/>
              </w:rPr>
              <w:t>保证金字样，如填写字数有要求可简写项目名称，由于未按要求注明信息而导致的一切后果由供应商自行承担。</w:t>
            </w:r>
          </w:p>
          <w:p w14:paraId="29D0E03D">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B：</w:t>
            </w:r>
            <w:r>
              <w:rPr>
                <w:rFonts w:hint="eastAsia" w:ascii="微软雅黑" w:hAnsi="微软雅黑" w:eastAsia="微软雅黑" w:cs="微软雅黑"/>
                <w:b/>
                <w:bCs/>
                <w:color w:val="auto"/>
                <w:sz w:val="24"/>
                <w:szCs w:val="24"/>
                <w:lang w:eastAsia="zh-CN"/>
              </w:rPr>
              <w:t>保证金的退还</w:t>
            </w:r>
            <w:r>
              <w:rPr>
                <w:rFonts w:hint="eastAsia" w:ascii="微软雅黑" w:hAnsi="微软雅黑" w:eastAsia="微软雅黑" w:cs="微软雅黑"/>
                <w:b/>
                <w:bCs/>
                <w:color w:val="auto"/>
                <w:sz w:val="24"/>
                <w:szCs w:val="24"/>
              </w:rPr>
              <w:t>：</w:t>
            </w:r>
            <w:r>
              <w:rPr>
                <w:rFonts w:hint="eastAsia" w:ascii="微软雅黑" w:hAnsi="微软雅黑" w:eastAsia="微软雅黑" w:cs="微软雅黑"/>
                <w:b w:val="0"/>
                <w:bCs w:val="0"/>
                <w:color w:val="auto"/>
                <w:sz w:val="24"/>
                <w:szCs w:val="24"/>
                <w:lang w:eastAsia="zh-CN"/>
              </w:rPr>
              <w:t>根据</w:t>
            </w:r>
            <w:r>
              <w:rPr>
                <w:rFonts w:hint="eastAsia" w:ascii="微软雅黑" w:hAnsi="微软雅黑" w:eastAsia="微软雅黑" w:cs="微软雅黑"/>
                <w:b w:val="0"/>
                <w:bCs w:val="0"/>
                <w:color w:val="auto"/>
                <w:sz w:val="24"/>
                <w:szCs w:val="24"/>
                <w:highlight w:val="none"/>
                <w:lang w:val="en-US" w:eastAsia="zh-CN"/>
              </w:rPr>
              <w:fldChar w:fldCharType="begin"/>
            </w:r>
            <w:r>
              <w:rPr>
                <w:rFonts w:hint="eastAsia" w:ascii="微软雅黑" w:hAnsi="微软雅黑" w:eastAsia="微软雅黑" w:cs="微软雅黑"/>
                <w:b w:val="0"/>
                <w:bCs w:val="0"/>
                <w:color w:val="auto"/>
                <w:sz w:val="24"/>
                <w:szCs w:val="24"/>
                <w:highlight w:val="none"/>
                <w:lang w:val="en-US" w:eastAsia="zh-CN"/>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微软雅黑" w:hAnsi="微软雅黑" w:eastAsia="微软雅黑" w:cs="微软雅黑"/>
                <w:b w:val="0"/>
                <w:bCs w:val="0"/>
                <w:color w:val="auto"/>
                <w:sz w:val="24"/>
                <w:szCs w:val="24"/>
                <w:highlight w:val="none"/>
                <w:lang w:val="en-US" w:eastAsia="zh-CN"/>
              </w:rPr>
              <w:fldChar w:fldCharType="separate"/>
            </w:r>
            <w:r>
              <w:rPr>
                <w:rFonts w:hint="eastAsia" w:ascii="微软雅黑" w:hAnsi="微软雅黑" w:eastAsia="微软雅黑" w:cs="微软雅黑"/>
                <w:b w:val="0"/>
                <w:bCs w:val="0"/>
                <w:color w:val="auto"/>
                <w:sz w:val="24"/>
                <w:szCs w:val="24"/>
                <w:highlight w:val="none"/>
                <w:lang w:val="en-US" w:eastAsia="zh-CN"/>
              </w:rPr>
              <w:t>《政府采购竞争性磋商采购方式管理暂行办法》第三十一条规定，①未成交供应商的磋商保证金应在成交通知书发出后5个工作日内退还；②成交供应商的磋商保证金应在采购合同签订后5个工作日内退还（供应商需将采购合同发至邮箱1983850190@qq.com后</w:t>
            </w:r>
            <w:r>
              <w:rPr>
                <w:rFonts w:hint="eastAsia" w:ascii="微软雅黑" w:hAnsi="微软雅黑" w:eastAsia="微软雅黑" w:cs="微软雅黑"/>
                <w:b w:val="0"/>
                <w:bCs w:val="0"/>
                <w:color w:val="auto"/>
                <w:sz w:val="24"/>
                <w:szCs w:val="24"/>
                <w:highlight w:val="none"/>
                <w:lang w:val="en-US" w:eastAsia="zh-CN"/>
              </w:rPr>
              <w:fldChar w:fldCharType="end"/>
            </w:r>
            <w:r>
              <w:rPr>
                <w:rFonts w:hint="eastAsia" w:ascii="微软雅黑" w:hAnsi="微软雅黑" w:eastAsia="微软雅黑" w:cs="微软雅黑"/>
                <w:b w:val="0"/>
                <w:bCs w:val="0"/>
                <w:color w:val="auto"/>
                <w:sz w:val="24"/>
                <w:szCs w:val="24"/>
                <w:highlight w:val="none"/>
                <w:lang w:val="en-US" w:eastAsia="zh-CN"/>
              </w:rPr>
              <w:t>，5个工作日内原账户退回）。</w:t>
            </w:r>
          </w:p>
        </w:tc>
      </w:tr>
      <w:tr w14:paraId="79FDE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5EE7D56A">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w:t>
            </w:r>
          </w:p>
        </w:tc>
        <w:tc>
          <w:tcPr>
            <w:tcW w:w="8140" w:type="dxa"/>
            <w:vAlign w:val="center"/>
          </w:tcPr>
          <w:p w14:paraId="0F92219A">
            <w:pPr>
              <w:snapToGrid w:val="0"/>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磋商有效期：</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u w:val="single" w:color="000000"/>
                <w:lang w:val="en-US" w:eastAsia="zh-CN"/>
              </w:rPr>
              <w:t>90</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rPr>
              <w:t>日历日</w:t>
            </w:r>
          </w:p>
        </w:tc>
      </w:tr>
      <w:tr w14:paraId="5CD3F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70" w:type="dxa"/>
            <w:vAlign w:val="center"/>
          </w:tcPr>
          <w:p w14:paraId="23FE3E05">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w:t>
            </w:r>
          </w:p>
        </w:tc>
        <w:tc>
          <w:tcPr>
            <w:tcW w:w="8140" w:type="dxa"/>
            <w:vAlign w:val="center"/>
          </w:tcPr>
          <w:p w14:paraId="36D73C37">
            <w:pPr>
              <w:pStyle w:val="10"/>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二楼企业服务专区数字证书窗口。）</w:t>
            </w:r>
          </w:p>
          <w:p w14:paraId="223D535E">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（2）本项目实行网上投标响应，采用电子响应文件(供应商须使用CA加密设备通过政采云电子投标客户端制作响应文件)。若供应商参与投标，自行承担投标一切费用。</w:t>
            </w:r>
          </w:p>
          <w:p w14:paraId="07879B07">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104E35DC">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137C4E8E">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14:paraId="5966CCA3">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14:paraId="07332F81">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1E916AAE">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（8）各供应商</w:t>
            </w:r>
            <w:r>
              <w:rPr>
                <w:rFonts w:hint="eastAsia" w:ascii="微软雅黑" w:hAnsi="微软雅黑" w:eastAsia="微软雅黑" w:cs="微软雅黑"/>
                <w:color w:val="auto"/>
                <w:sz w:val="24"/>
                <w:szCs w:val="24"/>
                <w:highlight w:val="none"/>
              </w:rPr>
              <w:t>须在投标截止时间前完成在系统上递交电子</w:t>
            </w:r>
            <w:r>
              <w:rPr>
                <w:rFonts w:hint="eastAsia" w:ascii="微软雅黑" w:hAnsi="微软雅黑" w:eastAsia="微软雅黑" w:cs="微软雅黑"/>
                <w:color w:val="auto"/>
                <w:sz w:val="24"/>
                <w:szCs w:val="24"/>
                <w:highlight w:val="none"/>
                <w:lang w:val="en-US" w:eastAsia="zh-CN"/>
              </w:rPr>
              <w:t>响应文件</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的电子</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w:t>
            </w:r>
          </w:p>
          <w:p w14:paraId="12A86374">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各供应商在投标截止时间前将“响应文件”上传至政采云平台。响应文件包括“开标一览表表及资格证明文件”与“商务及技术文件”两部分合并成一册。响应文件应按照磋商文件规定的格式填写、签署和盖章，并以.jmbs格式上传至政采云开评标平台（响应文件为正本扫描件）。</w:t>
            </w:r>
          </w:p>
          <w:p w14:paraId="0AD2F231">
            <w:pPr>
              <w:pStyle w:val="10"/>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szCs w:val="24"/>
                <w:highlight w:val="none"/>
                <w:lang w:val="en-US" w:eastAsia="zh-CN"/>
              </w:rPr>
              <w:t>（10）解密时长为30分钟，</w:t>
            </w:r>
            <w:r>
              <w:rPr>
                <w:rFonts w:hint="eastAsia" w:ascii="微软雅黑" w:hAnsi="微软雅黑" w:eastAsia="微软雅黑" w:cs="微软雅黑"/>
                <w:b/>
                <w:bCs/>
                <w:color w:val="auto"/>
                <w:sz w:val="24"/>
                <w:highlight w:val="none"/>
                <w:lang w:val="en-US" w:eastAsia="zh-CN"/>
              </w:rPr>
              <w:t>超出解密时长，作无效投标处理。</w:t>
            </w:r>
          </w:p>
          <w:p w14:paraId="7AE7EAAC">
            <w:pPr>
              <w:rPr>
                <w:rFonts w:hint="eastAsia" w:ascii="微软雅黑" w:hAnsi="微软雅黑" w:eastAsia="微软雅黑" w:cs="微软雅黑"/>
              </w:rPr>
            </w:pPr>
            <w:r>
              <w:rPr>
                <w:rFonts w:hint="eastAsia" w:ascii="微软雅黑" w:hAnsi="微软雅黑" w:eastAsia="微软雅黑" w:cs="微软雅黑"/>
                <w:b/>
                <w:bCs/>
                <w:color w:val="auto"/>
                <w:highlight w:val="none"/>
                <w:lang w:val="en-US" w:eastAsia="zh-CN"/>
              </w:rPr>
              <w:t>（11）须供应商提供备份的投标文件,后缀为.bfbs。</w:t>
            </w:r>
          </w:p>
        </w:tc>
      </w:tr>
      <w:tr w14:paraId="4D6C8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70" w:type="dxa"/>
            <w:vAlign w:val="center"/>
          </w:tcPr>
          <w:p w14:paraId="69F39A77">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16.1</w:t>
            </w:r>
          </w:p>
        </w:tc>
        <w:tc>
          <w:tcPr>
            <w:tcW w:w="8140" w:type="dxa"/>
            <w:vAlign w:val="center"/>
          </w:tcPr>
          <w:p w14:paraId="48D183EB">
            <w:pPr>
              <w:snapToGrid w:val="0"/>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响应文件递交截止时间：</w:t>
            </w:r>
            <w:r>
              <w:rPr>
                <w:rFonts w:hint="eastAsia" w:ascii="微软雅黑" w:hAnsi="微软雅黑" w:eastAsia="微软雅黑" w:cs="微软雅黑"/>
                <w:color w:val="auto"/>
                <w:sz w:val="24"/>
                <w:u w:val="none"/>
                <w:lang w:val="en-US" w:eastAsia="zh-CN"/>
              </w:rPr>
              <w:t>2026</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06月01</w:t>
            </w:r>
            <w:r>
              <w:rPr>
                <w:rFonts w:hint="eastAsia" w:ascii="微软雅黑" w:hAnsi="微软雅黑" w:eastAsia="微软雅黑" w:cs="微软雅黑"/>
                <w:bCs/>
                <w:color w:val="auto"/>
                <w:sz w:val="24"/>
                <w:u w:val="none"/>
              </w:rPr>
              <w:t>日</w:t>
            </w:r>
            <w:r>
              <w:rPr>
                <w:rFonts w:hint="eastAsia" w:ascii="微软雅黑" w:hAnsi="微软雅黑" w:eastAsia="微软雅黑" w:cs="微软雅黑"/>
                <w:bCs/>
                <w:color w:val="auto"/>
                <w:sz w:val="24"/>
                <w:u w:val="none"/>
                <w:lang w:val="en-US" w:eastAsia="zh-CN"/>
              </w:rPr>
              <w:t>11</w:t>
            </w:r>
            <w:r>
              <w:rPr>
                <w:rFonts w:hint="eastAsia" w:ascii="微软雅黑" w:hAnsi="微软雅黑" w:eastAsia="微软雅黑" w:cs="微软雅黑"/>
                <w:bCs/>
                <w:color w:val="auto"/>
                <w:sz w:val="24"/>
                <w:u w:val="none"/>
              </w:rPr>
              <w:t>点</w:t>
            </w:r>
            <w:r>
              <w:rPr>
                <w:rFonts w:hint="eastAsia" w:ascii="微软雅黑" w:hAnsi="微软雅黑" w:eastAsia="微软雅黑" w:cs="微软雅黑"/>
                <w:bCs/>
                <w:color w:val="auto"/>
                <w:sz w:val="24"/>
                <w:u w:val="none"/>
                <w:lang w:val="en-US" w:eastAsia="zh-CN"/>
              </w:rPr>
              <w:t>30</w:t>
            </w:r>
            <w:r>
              <w:rPr>
                <w:rFonts w:hint="eastAsia" w:ascii="微软雅黑" w:hAnsi="微软雅黑" w:eastAsia="微软雅黑" w:cs="微软雅黑"/>
                <w:bCs/>
                <w:color w:val="auto"/>
                <w:sz w:val="24"/>
                <w:u w:val="none"/>
              </w:rPr>
              <w:t>分</w:t>
            </w:r>
            <w:r>
              <w:rPr>
                <w:rFonts w:hint="eastAsia" w:ascii="微软雅黑" w:hAnsi="微软雅黑" w:eastAsia="微软雅黑" w:cs="微软雅黑"/>
                <w:bCs/>
                <w:color w:val="auto"/>
                <w:sz w:val="24"/>
                <w:u w:val="none"/>
              </w:rPr>
              <w:t>（北京时间）</w:t>
            </w:r>
          </w:p>
          <w:p w14:paraId="44973D37">
            <w:pPr>
              <w:pStyle w:val="10"/>
              <w:ind w:left="0" w:leftChars="0" w:firstLine="0" w:firstLineChars="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kern w:val="0"/>
                <w:sz w:val="24"/>
                <w:szCs w:val="24"/>
                <w:highlight w:val="none"/>
                <w:lang w:val="en-US" w:eastAsia="zh-CN" w:bidi="ar-SA"/>
              </w:rPr>
              <w:t>响应文件递交地点：政采云平台（https://www.zcygov.cn/） </w:t>
            </w:r>
          </w:p>
        </w:tc>
      </w:tr>
      <w:tr w14:paraId="592A0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36E58A67">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18.1</w:t>
            </w:r>
          </w:p>
        </w:tc>
        <w:tc>
          <w:tcPr>
            <w:tcW w:w="8140" w:type="dxa"/>
            <w:vAlign w:val="center"/>
          </w:tcPr>
          <w:p w14:paraId="4B6CA20D">
            <w:pPr>
              <w:snapToGrid w:val="0"/>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磋商开启时间：</w:t>
            </w:r>
            <w:r>
              <w:rPr>
                <w:rFonts w:hint="eastAsia" w:ascii="微软雅黑" w:hAnsi="微软雅黑" w:eastAsia="微软雅黑" w:cs="微软雅黑"/>
                <w:color w:val="auto"/>
                <w:sz w:val="24"/>
                <w:u w:val="none"/>
                <w:lang w:val="en-US" w:eastAsia="zh-CN"/>
              </w:rPr>
              <w:t>2026</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06月01</w:t>
            </w:r>
            <w:r>
              <w:rPr>
                <w:rFonts w:hint="eastAsia" w:ascii="微软雅黑" w:hAnsi="微软雅黑" w:eastAsia="微软雅黑" w:cs="微软雅黑"/>
                <w:bCs/>
                <w:color w:val="auto"/>
                <w:sz w:val="24"/>
                <w:u w:val="none"/>
              </w:rPr>
              <w:t>日</w:t>
            </w:r>
            <w:r>
              <w:rPr>
                <w:rFonts w:hint="eastAsia" w:ascii="微软雅黑" w:hAnsi="微软雅黑" w:eastAsia="微软雅黑" w:cs="微软雅黑"/>
                <w:bCs/>
                <w:color w:val="auto"/>
                <w:sz w:val="24"/>
                <w:u w:val="none"/>
                <w:lang w:val="en-US" w:eastAsia="zh-CN"/>
              </w:rPr>
              <w:t>11</w:t>
            </w:r>
            <w:r>
              <w:rPr>
                <w:rFonts w:hint="eastAsia" w:ascii="微软雅黑" w:hAnsi="微软雅黑" w:eastAsia="微软雅黑" w:cs="微软雅黑"/>
                <w:bCs/>
                <w:color w:val="auto"/>
                <w:sz w:val="24"/>
                <w:u w:val="none"/>
              </w:rPr>
              <w:t>点</w:t>
            </w:r>
            <w:r>
              <w:rPr>
                <w:rFonts w:hint="eastAsia" w:ascii="微软雅黑" w:hAnsi="微软雅黑" w:eastAsia="微软雅黑" w:cs="微软雅黑"/>
                <w:bCs/>
                <w:color w:val="auto"/>
                <w:sz w:val="24"/>
                <w:u w:val="none"/>
                <w:lang w:val="en-US" w:eastAsia="zh-CN"/>
              </w:rPr>
              <w:t>30</w:t>
            </w:r>
            <w:r>
              <w:rPr>
                <w:rFonts w:hint="eastAsia" w:ascii="微软雅黑" w:hAnsi="微软雅黑" w:eastAsia="微软雅黑" w:cs="微软雅黑"/>
                <w:bCs/>
                <w:color w:val="auto"/>
                <w:sz w:val="24"/>
                <w:u w:val="none"/>
              </w:rPr>
              <w:t>分</w:t>
            </w:r>
            <w:r>
              <w:rPr>
                <w:rFonts w:hint="eastAsia" w:ascii="微软雅黑" w:hAnsi="微软雅黑" w:eastAsia="微软雅黑" w:cs="微软雅黑"/>
                <w:bCs/>
                <w:color w:val="auto"/>
                <w:sz w:val="24"/>
                <w:u w:val="none"/>
              </w:rPr>
              <w:t>（北京时间）</w:t>
            </w:r>
          </w:p>
          <w:p w14:paraId="3DF11088">
            <w:pPr>
              <w:snapToGrid w:val="0"/>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磋商开启地点：政采云平台（https://www.zcygov.cn/） </w:t>
            </w:r>
          </w:p>
        </w:tc>
      </w:tr>
      <w:tr w14:paraId="7C480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70" w:type="dxa"/>
            <w:vAlign w:val="center"/>
          </w:tcPr>
          <w:p w14:paraId="44A3D884">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w:t>
            </w:r>
          </w:p>
        </w:tc>
        <w:tc>
          <w:tcPr>
            <w:tcW w:w="8140" w:type="dxa"/>
            <w:vAlign w:val="center"/>
          </w:tcPr>
          <w:p w14:paraId="028E3F16">
            <w:pPr>
              <w:snapToGrid w:val="0"/>
              <w:textAlignment w:val="baseline"/>
              <w:rPr>
                <w:rFonts w:hint="eastAsia" w:ascii="微软雅黑" w:hAnsi="微软雅黑" w:eastAsia="微软雅黑" w:cs="微软雅黑"/>
                <w:i/>
                <w:color w:val="auto"/>
                <w:sz w:val="24"/>
                <w:szCs w:val="24"/>
              </w:rPr>
            </w:pPr>
            <w:r>
              <w:rPr>
                <w:rFonts w:hint="eastAsia" w:ascii="微软雅黑" w:hAnsi="微软雅黑" w:eastAsia="微软雅黑" w:cs="微软雅黑"/>
                <w:color w:val="auto"/>
                <w:sz w:val="24"/>
                <w:szCs w:val="24"/>
              </w:rPr>
              <w:t>评审方法：</w:t>
            </w:r>
            <w:r>
              <w:rPr>
                <w:rFonts w:hint="eastAsia" w:ascii="微软雅黑" w:hAnsi="微软雅黑" w:eastAsia="微软雅黑" w:cs="微软雅黑"/>
                <w:color w:val="auto"/>
                <w:sz w:val="24"/>
                <w:szCs w:val="24"/>
                <w:u w:val="single" w:color="000000"/>
              </w:rPr>
              <w:t>　综合评分法　</w:t>
            </w:r>
            <w:r>
              <w:rPr>
                <w:rFonts w:hint="eastAsia" w:ascii="微软雅黑" w:hAnsi="微软雅黑" w:eastAsia="微软雅黑" w:cs="微软雅黑"/>
                <w:color w:val="auto"/>
                <w:sz w:val="24"/>
                <w:szCs w:val="24"/>
              </w:rPr>
              <w:t>　　　　　</w:t>
            </w:r>
          </w:p>
        </w:tc>
      </w:tr>
      <w:tr w14:paraId="4369D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70" w:type="dxa"/>
            <w:vAlign w:val="center"/>
          </w:tcPr>
          <w:p w14:paraId="501D6E27">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w:t>
            </w:r>
          </w:p>
        </w:tc>
        <w:tc>
          <w:tcPr>
            <w:tcW w:w="8140" w:type="dxa"/>
            <w:vAlign w:val="center"/>
          </w:tcPr>
          <w:p w14:paraId="28018612">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推荐成交候选供应商的数量：</w:t>
            </w:r>
            <w:r>
              <w:rPr>
                <w:rFonts w:hint="eastAsia" w:ascii="微软雅黑" w:hAnsi="微软雅黑" w:eastAsia="微软雅黑" w:cs="微软雅黑"/>
                <w:color w:val="auto"/>
                <w:sz w:val="24"/>
                <w:szCs w:val="24"/>
                <w:u w:val="single" w:color="000000"/>
              </w:rPr>
              <w:t>　   3　　</w:t>
            </w:r>
          </w:p>
        </w:tc>
      </w:tr>
      <w:tr w14:paraId="795F1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317033D4">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w:t>
            </w:r>
          </w:p>
        </w:tc>
        <w:tc>
          <w:tcPr>
            <w:tcW w:w="8140" w:type="dxa"/>
            <w:vAlign w:val="center"/>
          </w:tcPr>
          <w:p w14:paraId="757B5729">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采购人是否委托评审委员会直接确定成交人：</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u w:val="single" w:color="000000"/>
                <w:lang w:eastAsia="zh-CN"/>
              </w:rPr>
              <w:t>否</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w:t>
            </w:r>
          </w:p>
        </w:tc>
      </w:tr>
      <w:tr w14:paraId="02DA6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70" w:type="dxa"/>
            <w:vAlign w:val="center"/>
          </w:tcPr>
          <w:p w14:paraId="2B9BB95C">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w:t>
            </w:r>
          </w:p>
        </w:tc>
        <w:tc>
          <w:tcPr>
            <w:tcW w:w="8140" w:type="dxa"/>
            <w:vAlign w:val="center"/>
          </w:tcPr>
          <w:p w14:paraId="6FE0F27A">
            <w:pPr>
              <w:snapToGrid w:val="0"/>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履约保证金金额：合同总价的</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u w:val="single" w:color="000000"/>
                <w:lang w:val="en-US" w:eastAsia="zh-CN"/>
              </w:rPr>
              <w:t>5</w:t>
            </w:r>
            <w:r>
              <w:rPr>
                <w:rFonts w:hint="eastAsia" w:ascii="微软雅黑" w:hAnsi="微软雅黑" w:eastAsia="微软雅黑" w:cs="微软雅黑"/>
                <w:color w:val="auto"/>
                <w:sz w:val="24"/>
                <w:szCs w:val="24"/>
                <w:u w:val="single" w:color="000000"/>
              </w:rPr>
              <w:t>%　</w:t>
            </w:r>
          </w:p>
          <w:p w14:paraId="0A9AAA57">
            <w:pPr>
              <w:snapToGrid w:val="0"/>
              <w:textAlignment w:val="baseline"/>
              <w:rPr>
                <w:rFonts w:hint="eastAsia"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 xml:space="preserve">履约保证金形式：☑保函  ☑电汇  </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支票   ☑对公转账 </w:t>
            </w:r>
          </w:p>
          <w:p w14:paraId="6FBF209C">
            <w:pPr>
              <w:snapToGrid w:val="0"/>
              <w:textAlignment w:val="baseline"/>
              <w:rPr>
                <w:rFonts w:hint="eastAsia" w:ascii="微软雅黑" w:hAnsi="微软雅黑" w:eastAsia="微软雅黑" w:cs="微软雅黑"/>
                <w:color w:val="auto"/>
                <w:sz w:val="24"/>
                <w:szCs w:val="24"/>
                <w:u w:val="single" w:color="000000"/>
                <w:lang w:val="en-US" w:eastAsia="zh-CN"/>
              </w:rPr>
            </w:pPr>
            <w:r>
              <w:rPr>
                <w:rFonts w:hint="eastAsia" w:ascii="微软雅黑" w:hAnsi="微软雅黑" w:eastAsia="微软雅黑" w:cs="微软雅黑"/>
                <w:color w:val="auto"/>
                <w:sz w:val="24"/>
                <w:szCs w:val="24"/>
                <w:u w:val="single" w:color="000000"/>
              </w:rPr>
              <w:t>提交履约保证金的时间：签订合同</w:t>
            </w:r>
            <w:r>
              <w:rPr>
                <w:rFonts w:hint="eastAsia" w:ascii="微软雅黑" w:hAnsi="微软雅黑" w:eastAsia="微软雅黑" w:cs="微软雅黑"/>
                <w:color w:val="auto"/>
                <w:sz w:val="24"/>
                <w:szCs w:val="24"/>
                <w:u w:val="single" w:color="000000"/>
                <w:lang w:val="en-US" w:eastAsia="zh-CN"/>
              </w:rPr>
              <w:t>后3个工作日</w:t>
            </w:r>
          </w:p>
          <w:p w14:paraId="3AC1EA5E">
            <w:pPr>
              <w:snapToGrid w:val="0"/>
              <w:textAlignment w:val="baseline"/>
              <w:rPr>
                <w:rFonts w:hint="eastAsia" w:ascii="微软雅黑" w:hAnsi="微软雅黑" w:eastAsia="微软雅黑" w:cs="微软雅黑"/>
                <w:color w:val="auto"/>
                <w:lang w:val="en-US"/>
              </w:rPr>
            </w:pPr>
            <w:r>
              <w:rPr>
                <w:rFonts w:hint="eastAsia" w:ascii="微软雅黑" w:hAnsi="微软雅黑" w:eastAsia="微软雅黑" w:cs="微软雅黑"/>
                <w:color w:val="auto"/>
                <w:sz w:val="24"/>
                <w:szCs w:val="24"/>
                <w:u w:val="single" w:color="000000"/>
                <w:lang w:val="en-US" w:eastAsia="zh-CN"/>
              </w:rPr>
              <w:t>退还时间：中标人按合同规定完成全部供货且验收合格后，如中标人未发生违约行为，采购单位将履约保证金无息退还。</w:t>
            </w:r>
          </w:p>
        </w:tc>
      </w:tr>
      <w:tr w14:paraId="24042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2D603673">
            <w:pPr>
              <w:snapToGrid w:val="0"/>
              <w:ind w:left="1080" w:leftChars="257" w:hanging="540"/>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32</w:t>
            </w:r>
          </w:p>
        </w:tc>
        <w:tc>
          <w:tcPr>
            <w:tcW w:w="8140" w:type="dxa"/>
            <w:vAlign w:val="center"/>
          </w:tcPr>
          <w:p w14:paraId="66CBF140">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成交服务费：根据《国家发展改革委关于进一步放开建设项目专业服务价格的通知》发改价格〔2015〕299 号按差额定率累进法计算收取代理服务费。（由中标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供应商支付）</w:t>
            </w:r>
          </w:p>
          <w:p w14:paraId="69B1496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成交金额100万元至500万元的部分,服务类费率0.80%；</w:t>
            </w:r>
          </w:p>
          <w:p w14:paraId="648370E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成交金额500万元至1000万元的部分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服务类费率0.45%。</w:t>
            </w:r>
          </w:p>
          <w:p w14:paraId="2C272A8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成交金额1000万元至5000万元的部分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服务类费率0.10%</w:t>
            </w:r>
          </w:p>
          <w:p w14:paraId="7F49A4C5">
            <w:pPr>
              <w:snapToGrid w:val="0"/>
              <w:ind w:left="900" w:hanging="900" w:hangingChars="375"/>
              <w:textAlignment w:val="baseline"/>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支付形式：</w:t>
            </w:r>
            <w:r>
              <w:rPr>
                <w:rFonts w:hint="eastAsia" w:ascii="微软雅黑" w:hAnsi="微软雅黑" w:eastAsia="微软雅黑" w:cs="微软雅黑"/>
                <w:color w:val="auto"/>
                <w:sz w:val="24"/>
                <w:szCs w:val="24"/>
                <w:u w:val="single" w:color="000000"/>
              </w:rPr>
              <w:t xml:space="preserve"> 对公转账  </w:t>
            </w:r>
            <w:r>
              <w:rPr>
                <w:rFonts w:hint="eastAsia" w:ascii="微软雅黑" w:hAnsi="微软雅黑" w:eastAsia="微软雅黑" w:cs="微软雅黑"/>
                <w:color w:val="auto"/>
                <w:sz w:val="24"/>
                <w:szCs w:val="24"/>
                <w:u w:val="single" w:color="000000"/>
                <w:lang w:val="en-US" w:eastAsia="zh-CN"/>
              </w:rPr>
              <w:t xml:space="preserve"> </w:t>
            </w:r>
          </w:p>
          <w:p w14:paraId="48C66C00">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支付时间：</w:t>
            </w:r>
            <w:r>
              <w:rPr>
                <w:rFonts w:hint="eastAsia" w:ascii="微软雅黑" w:hAnsi="微软雅黑" w:eastAsia="微软雅黑" w:cs="微软雅黑"/>
                <w:color w:val="auto"/>
                <w:sz w:val="24"/>
                <w:szCs w:val="24"/>
                <w:u w:val="single" w:color="000000"/>
              </w:rPr>
              <w:t xml:space="preserve"> 领取成交通知书时 </w:t>
            </w:r>
          </w:p>
        </w:tc>
      </w:tr>
      <w:tr w14:paraId="30603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7C153B86">
            <w:pPr>
              <w:snapToGrid w:val="0"/>
              <w:ind w:left="1080" w:leftChars="257" w:hanging="54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w:t>
            </w:r>
          </w:p>
        </w:tc>
        <w:tc>
          <w:tcPr>
            <w:tcW w:w="8140" w:type="dxa"/>
            <w:vAlign w:val="center"/>
          </w:tcPr>
          <w:p w14:paraId="78E67A30">
            <w:pPr>
              <w:snapToGrid w:val="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本项目是否属于信用担保试点范围：</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u w:val="single" w:color="000000"/>
                <w:lang w:val="en-US" w:eastAsia="zh-CN"/>
              </w:rPr>
              <w:t>否</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w:t>
            </w:r>
          </w:p>
        </w:tc>
      </w:tr>
      <w:tr w14:paraId="26814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27471C40">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根据财库〔2026〕2号《关于推动解决政府采购异常低价问题的通知》，评审中出现下列情形之一的，评审委员会应当启动异常低价投标（响应）审查程序：</w:t>
            </w:r>
          </w:p>
          <w:p w14:paraId="48947F03">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①.投标（响应）报价低于全部通过符合性审查供应商投标（响应）报价平均值50%的，即投标（响应）报价&lt;全部通过符合性审查供应商投标（响应）报价平均值×50%； </w:t>
            </w:r>
          </w:p>
          <w:p w14:paraId="49ED9D4A">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②.投标（响应）报价低于通过符合性审查的次低报价供应商投标（响应）报价50%的，即投标（响应）报价&lt;通过符合性审查的次低报价供应商投标（响应）报价×50%； </w:t>
            </w:r>
          </w:p>
          <w:p w14:paraId="3982C817">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③.投标（响应）报价低于采购项目最高限价45%的，即投标（响应）报价&lt;采购项目最高限价×45%；</w:t>
            </w:r>
          </w:p>
          <w:p w14:paraId="7BC40773">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④.评审委员会基于专业判断，认为供应商报价过低，有可能影响产品质量或者不能诚信履约的其他情形。</w:t>
            </w:r>
          </w:p>
          <w:p w14:paraId="0EBCB3D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BFD34FC">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4357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754CA72F">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注：供应商通过PS造假等手段提供虚假证明材料，隐瞒事实、虚假投标并中标（成交），验收过程中经过严格验收发现问题后，立即终止并反馈当地采购办要求列入黑名单，并承担造成的一切后果。 </w:t>
            </w:r>
          </w:p>
          <w:p w14:paraId="6836FC2A">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供应商以他人名义投标或者以其他方式弄虚作假，骗取中标（成交）的，中标（成交）无效，给采购人造成损失的，依法承担赔偿责任；构成犯罪的，依法追究刑事责任。</w:t>
            </w:r>
          </w:p>
        </w:tc>
      </w:tr>
    </w:tbl>
    <w:p w14:paraId="359243C8">
      <w:pPr>
        <w:pStyle w:val="35"/>
        <w:ind w:firstLine="0" w:firstLineChars="0"/>
        <w:rPr>
          <w:rFonts w:hint="eastAsia" w:ascii="微软雅黑" w:hAnsi="微软雅黑" w:eastAsia="微软雅黑" w:cs="微软雅黑"/>
          <w:b/>
          <w:bCs/>
          <w:color w:val="auto"/>
        </w:rPr>
        <w:sectPr>
          <w:pgSz w:w="11905" w:h="16838"/>
          <w:pgMar w:top="1440" w:right="1080" w:bottom="1440" w:left="1080" w:header="851" w:footer="992" w:gutter="0"/>
          <w:pgNumType w:fmt="decimal"/>
          <w:cols w:space="0" w:num="1"/>
          <w:docGrid w:linePitch="312" w:charSpace="0"/>
        </w:sectPr>
      </w:pPr>
    </w:p>
    <w:p w14:paraId="6C3106D3">
      <w:pPr>
        <w:pStyle w:val="5"/>
        <w:tabs>
          <w:tab w:val="left" w:pos="0"/>
        </w:tabs>
        <w:snapToGrid w:val="0"/>
        <w:spacing w:before="0" w:after="0" w:line="240" w:lineRule="atLeast"/>
        <w:jc w:val="center"/>
        <w:textAlignment w:val="baseline"/>
        <w:rPr>
          <w:rFonts w:hint="eastAsia" w:ascii="微软雅黑" w:hAnsi="微软雅黑" w:eastAsia="微软雅黑" w:cs="微软雅黑"/>
          <w:color w:val="auto"/>
          <w:sz w:val="24"/>
          <w:szCs w:val="24"/>
        </w:rPr>
      </w:pPr>
      <w:bookmarkStart w:id="738" w:name="_Toc26854"/>
      <w:bookmarkStart w:id="739" w:name="_Toc219175639"/>
      <w:bookmarkStart w:id="740" w:name="_Toc218935355"/>
      <w:bookmarkStart w:id="741" w:name="_Toc216582826"/>
      <w:r>
        <w:rPr>
          <w:rFonts w:hint="eastAsia" w:ascii="微软雅黑" w:hAnsi="微软雅黑" w:eastAsia="微软雅黑" w:cs="微软雅黑"/>
          <w:color w:val="auto"/>
        </w:rPr>
        <w:t>第5章</w:t>
      </w:r>
      <w:bookmarkStart w:id="742" w:name="_Toc18397"/>
      <w:bookmarkStart w:id="743" w:name="_Toc6081"/>
      <w:bookmarkStart w:id="744" w:name="_Toc13644"/>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服务内容及项目需求</w:t>
      </w:r>
      <w:bookmarkEnd w:id="738"/>
    </w:p>
    <w:p w14:paraId="6A3E043A">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一、项目概述</w:t>
      </w:r>
    </w:p>
    <w:p w14:paraId="137BDBB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1、项目名称：疏附县公安局采购2026年全局广告宣传制作服务项目</w:t>
      </w:r>
    </w:p>
    <w:p w14:paraId="10FC23A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2、预算费用：50万元。</w:t>
      </w:r>
    </w:p>
    <w:p w14:paraId="0000FA4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3、采购内容:制作背景墙、宣传展板、制度牌、橫幅、印刷警务站台账，禁毒、交警、治安等业务工作宣传架、公安现场会宣传栏等产品.</w:t>
      </w:r>
    </w:p>
    <w:p w14:paraId="3877A3C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4、采购数量:1批</w:t>
      </w:r>
    </w:p>
    <w:p w14:paraId="36BA83F4">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二、商务要求</w:t>
      </w:r>
    </w:p>
    <w:p w14:paraId="6FA827A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1、服务期限：自合同签订之日起1年。</w:t>
      </w:r>
    </w:p>
    <w:p w14:paraId="4A257A8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2、服务地点：疏附县公安局</w:t>
      </w:r>
    </w:p>
    <w:p w14:paraId="70CEBBD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3、质保期一年，自最终验收合格之日起算。质保期内货物质量出现问题,</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负责三包(包修、包换、包退),费用由</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承担。</w:t>
      </w:r>
    </w:p>
    <w:p w14:paraId="11C2A51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4、履约验收方案</w:t>
      </w:r>
    </w:p>
    <w:p w14:paraId="38C3C15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(1)履约验收程序：一次性验收</w:t>
      </w:r>
    </w:p>
    <w:p w14:paraId="1A556E9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(2)履约验收时间：达到验收条件1日内组织验收，验收合同总金额：100%</w:t>
      </w:r>
    </w:p>
    <w:p w14:paraId="548C483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(3)验收组织的其他事项：由</w:t>
      </w:r>
      <w:r>
        <w:rPr>
          <w:rFonts w:hint="eastAsia" w:ascii="微软雅黑" w:hAnsi="微软雅黑" w:eastAsia="微软雅黑" w:cs="微软雅黑"/>
          <w:sz w:val="24"/>
          <w:szCs w:val="24"/>
          <w:lang w:eastAsia="zh-CN"/>
        </w:rPr>
        <w:t>采购单位</w:t>
      </w:r>
      <w:r>
        <w:rPr>
          <w:rFonts w:hint="eastAsia" w:ascii="微软雅黑" w:hAnsi="微软雅黑" w:eastAsia="微软雅黑" w:cs="微软雅黑"/>
          <w:sz w:val="24"/>
          <w:szCs w:val="24"/>
        </w:rPr>
        <w:t>主管部门进行检查验收。</w:t>
      </w:r>
    </w:p>
    <w:p w14:paraId="348DC39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(4)技术履约验收内容：按照本项目采购文件中“技术、服务要求”约定执行</w:t>
      </w:r>
    </w:p>
    <w:p w14:paraId="500E734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(5)商务履约验收内容：按照本项目采购文件中“商务条款”约定执行</w:t>
      </w:r>
    </w:p>
    <w:p w14:paraId="420AA24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(6)履约验收标准：按照财政部《关于进一步加强政府采购需求和履约验收管理的指导意见》(财库〔2016〕205号)的要求进行验收。</w:t>
      </w:r>
    </w:p>
    <w:p w14:paraId="2DC8A12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(7)其他验收要求：</w:t>
      </w:r>
      <w:r>
        <w:rPr>
          <w:rFonts w:hint="eastAsia" w:ascii="微软雅黑" w:hAnsi="微软雅黑" w:eastAsia="微软雅黑" w:cs="微软雅黑"/>
          <w:sz w:val="24"/>
          <w:szCs w:val="24"/>
          <w:lang w:eastAsia="zh-CN"/>
        </w:rPr>
        <w:t>采购人</w:t>
      </w:r>
      <w:r>
        <w:rPr>
          <w:rFonts w:hint="eastAsia" w:ascii="微软雅黑" w:hAnsi="微软雅黑" w:eastAsia="微软雅黑" w:cs="微软雅黑"/>
          <w:sz w:val="24"/>
          <w:szCs w:val="24"/>
        </w:rPr>
        <w:t>验收仅是对货物外观及数量的初步验收，</w:t>
      </w:r>
      <w:r>
        <w:rPr>
          <w:rFonts w:hint="eastAsia" w:ascii="微软雅黑" w:hAnsi="微软雅黑" w:eastAsia="微软雅黑" w:cs="微软雅黑"/>
          <w:sz w:val="24"/>
          <w:szCs w:val="24"/>
          <w:lang w:eastAsia="zh-CN"/>
        </w:rPr>
        <w:t>采购人</w:t>
      </w:r>
      <w:r>
        <w:rPr>
          <w:rFonts w:hint="eastAsia" w:ascii="微软雅黑" w:hAnsi="微软雅黑" w:eastAsia="微软雅黑" w:cs="微软雅黑"/>
          <w:sz w:val="24"/>
          <w:szCs w:val="24"/>
        </w:rPr>
        <w:t>在使用过程中发现货物存在不符合合同约定的质量标准时，</w:t>
      </w:r>
      <w:r>
        <w:rPr>
          <w:rFonts w:hint="eastAsia" w:ascii="微软雅黑" w:hAnsi="微软雅黑" w:eastAsia="微软雅黑" w:cs="微软雅黑"/>
          <w:sz w:val="24"/>
          <w:szCs w:val="24"/>
          <w:lang w:eastAsia="zh-CN"/>
        </w:rPr>
        <w:t>采购人</w:t>
      </w:r>
      <w:r>
        <w:rPr>
          <w:rFonts w:hint="eastAsia" w:ascii="微软雅黑" w:hAnsi="微软雅黑" w:eastAsia="微软雅黑" w:cs="微软雅黑"/>
          <w:sz w:val="24"/>
          <w:szCs w:val="24"/>
        </w:rPr>
        <w:t>有权通知中标人免费换货。</w:t>
      </w:r>
    </w:p>
    <w:p w14:paraId="5BEEF9E4">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三、配送要求</w:t>
      </w:r>
    </w:p>
    <w:p w14:paraId="4225FAB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所配送货物应先送达采购人库房或送到采购人指定地点办理相关手续。</w:t>
      </w:r>
    </w:p>
    <w:p w14:paraId="19EBCC9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2、如配送货物在质保期内经</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免费维修、更换仍未能达到约定的质量标准，采购人有权退货。</w:t>
      </w:r>
    </w:p>
    <w:p w14:paraId="501BDD6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3、如遇紧急、重大突发事件，</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有义务及时主动与采购人进行联系，确保采购人应急配送物资供应，</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日常有义务进行应急物资供应储备，在采购人下达配送计划后1.5个小时内送达采购人指定地点。</w:t>
      </w:r>
    </w:p>
    <w:p w14:paraId="17FBB96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4、结算方式：根据实际配送数量结算，最终结算金额不超过本项目预算。</w:t>
      </w:r>
    </w:p>
    <w:p w14:paraId="39D6921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5、具有售后服务机构或承诺中标后建立售后服务机构。如配送产品出现质量问题，</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须在接到采购人通知后2小时内赶到现场进行更换和相关的技术服务。</w:t>
      </w:r>
    </w:p>
    <w:p w14:paraId="26F9488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6、必须指派专人负责售后服务事宜，并提供售后服务电话。</w:t>
      </w:r>
    </w:p>
    <w:p w14:paraId="0E18A2D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应无条件配合、协助采购人完成配送货物的物资系统对接、出入库办理等事宜。</w:t>
      </w:r>
    </w:p>
    <w:p w14:paraId="5FB5864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所配送货物应保证有30天的备货量，根据采购人需求随时配送，确保采购人需要。采购人下达配送计划应当在1.5小时内供应，紧急配送计划必须保证下达计划后1小时内供应。</w:t>
      </w:r>
    </w:p>
    <w:p w14:paraId="5D94B48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9、配送货物产品质量要求优于或者质量等同于出厂标准或国家(行业)标准或国家强制标准。</w:t>
      </w:r>
    </w:p>
    <w:p w14:paraId="75EC6A26">
      <w:pPr>
        <w:spacing w:line="240" w:lineRule="auto"/>
        <w:rPr>
          <w:rFonts w:hint="eastAsia" w:ascii="微软雅黑" w:hAnsi="微软雅黑" w:eastAsia="微软雅黑" w:cs="微软雅黑"/>
          <w:sz w:val="24"/>
          <w:szCs w:val="24"/>
        </w:rPr>
      </w:pPr>
    </w:p>
    <w:p w14:paraId="1C188EF8">
      <w:pPr>
        <w:jc w:val="center"/>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eastAsia="zh-CN"/>
        </w:rPr>
        <w:t>疏附县公安局采购2026年全局广告宣传制作服务项目</w:t>
      </w:r>
      <w:r>
        <w:rPr>
          <w:rFonts w:hint="eastAsia" w:ascii="微软雅黑" w:hAnsi="微软雅黑" w:eastAsia="微软雅黑" w:cs="微软雅黑"/>
          <w:b/>
          <w:bCs/>
          <w:sz w:val="24"/>
          <w:szCs w:val="24"/>
        </w:rPr>
        <w:t>清单</w:t>
      </w:r>
    </w:p>
    <w:tbl>
      <w:tblPr>
        <w:tblStyle w:val="36"/>
        <w:tblpPr w:leftFromText="180" w:rightFromText="180" w:vertAnchor="text" w:horzAnchor="page" w:tblpX="1509" w:tblpY="261"/>
        <w:tblOverlap w:val="never"/>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7"/>
        <w:gridCol w:w="4558"/>
        <w:gridCol w:w="1202"/>
        <w:gridCol w:w="1202"/>
      </w:tblGrid>
      <w:tr w14:paraId="67AB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56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名称</w:t>
            </w:r>
          </w:p>
        </w:tc>
        <w:tc>
          <w:tcPr>
            <w:tcW w:w="4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8A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规格型号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C74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18B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r>
      <w:tr w14:paraId="3A9E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F0D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背景墙</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50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喷绘布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765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76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180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B72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35铁架子</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39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93"/>
                <w:rFonts w:hint="eastAsia" w:ascii="微软雅黑" w:hAnsi="微软雅黑" w:eastAsia="微软雅黑" w:cs="微软雅黑"/>
                <w:snapToGrid w:val="0"/>
                <w:sz w:val="24"/>
                <w:szCs w:val="24"/>
                <w:lang w:val="en-US" w:eastAsia="zh-CN" w:bidi="ar"/>
              </w:rPr>
              <w:t>50*70</w:t>
            </w:r>
            <w:r>
              <w:rPr>
                <w:rStyle w:val="67"/>
                <w:rFonts w:hint="eastAsia" w:ascii="微软雅黑" w:hAnsi="微软雅黑" w:eastAsia="微软雅黑" w:cs="微软雅黑"/>
                <w:snapToGrid w:val="0"/>
                <w:sz w:val="24"/>
                <w:szCs w:val="24"/>
                <w:lang w:val="en-US" w:eastAsia="zh-CN" w:bidi="ar"/>
              </w:rPr>
              <w:t>，</w:t>
            </w:r>
            <w:r>
              <w:rPr>
                <w:rStyle w:val="93"/>
                <w:rFonts w:hint="eastAsia" w:ascii="微软雅黑" w:hAnsi="微软雅黑" w:eastAsia="微软雅黑" w:cs="微软雅黑"/>
                <w:snapToGrid w:val="0"/>
                <w:sz w:val="24"/>
                <w:szCs w:val="24"/>
                <w:lang w:val="en-US" w:eastAsia="zh-CN" w:bidi="ar"/>
              </w:rPr>
              <w:t>1.2</w:t>
            </w:r>
            <w:r>
              <w:rPr>
                <w:rStyle w:val="67"/>
                <w:rFonts w:hint="eastAsia" w:ascii="微软雅黑" w:hAnsi="微软雅黑" w:eastAsia="微软雅黑" w:cs="微软雅黑"/>
                <w:snapToGrid w:val="0"/>
                <w:sz w:val="24"/>
                <w:szCs w:val="24"/>
                <w:lang w:val="en-US" w:eastAsia="zh-CN" w:bidi="ar"/>
              </w:rPr>
              <w:t>米高。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FB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F9A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w:t>
            </w:r>
          </w:p>
        </w:tc>
      </w:tr>
      <w:tr w14:paraId="547E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72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喷绘布</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B0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彩色喷绘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B4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6EE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2046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E1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铁架子+喷绘布</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C9B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80*80，1.6米高。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A6B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5D4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w:t>
            </w:r>
          </w:p>
        </w:tc>
      </w:tr>
      <w:tr w14:paraId="25FA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DE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写真字</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EB0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BF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62D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r>
      <w:tr w14:paraId="58DC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8C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刻字</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BAE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即时贴，彩色，窗口贴140*20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98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7F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w:t>
            </w:r>
          </w:p>
        </w:tc>
      </w:tr>
      <w:tr w14:paraId="482D5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C3D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PVC+亚克力雕刻</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EF1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雕刻字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93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700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6786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C7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亚克力+PVC灯箱</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9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发光字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08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6B5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071F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BBD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金属边框+亚克力板+PVC雕刻</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BA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UV喷绘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14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7BA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4C04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B1D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照片喷绘</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ED9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亚克力板+喷绘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9B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BF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7310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99B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铝塑</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130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铝塑板制作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27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178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4845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EA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登记本印刷</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59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黑白，复印+胶装A4，双面印刷，50页/本。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FF6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AC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本</w:t>
            </w:r>
          </w:p>
        </w:tc>
      </w:tr>
      <w:tr w14:paraId="18D1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CA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台金字</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C0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固定台金字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47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BB4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3637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84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印刷工作资料</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CA3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黑白，单面，100页/本，A4规格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50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49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本</w:t>
            </w:r>
          </w:p>
        </w:tc>
      </w:tr>
      <w:tr w14:paraId="6D87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54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公章</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73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塑料公章，自带印油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DD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3FB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4CAC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08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公章</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3B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铜制公章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8C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B1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5E3F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7B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展板</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11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不锈钢架子，喷绘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4E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0E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w:t>
            </w:r>
          </w:p>
        </w:tc>
      </w:tr>
      <w:tr w14:paraId="40F2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56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横幅</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0B0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红色布材质，印字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90A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BAE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米</w:t>
            </w:r>
          </w:p>
        </w:tc>
      </w:tr>
      <w:tr w14:paraId="0E19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4B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宣传挂图印刷</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BC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设计服务，包含：扫黑除恶、防诈骗宣传、禁毒、交通安全宣传、悬赏通报等内容的公告，彩色，油印纸.120*80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FAB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2C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r>
      <w:tr w14:paraId="320D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39D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宣传单</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6E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A4规格彩色宣传单，包含禁毒、法制、政工宣传、扫黑除恶、交通安全、反电信诈骗等彩色宣传单，包含设计服务。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1AD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2A9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r>
      <w:tr w14:paraId="051B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14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宣传单</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E29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A3规格彩色宣传单，包含禁毒、法制、政工宣传、扫黑除恶、交通安全、反电信诈骗等彩色宣传单，包含设计服务。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02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FD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r>
      <w:tr w14:paraId="4515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E7B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纸张印刷</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F5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A3规格,黑白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8AB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E4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r>
      <w:tr w14:paraId="5017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47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奖状</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FEB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金属包边+玻璃+奖状36*55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55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656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r>
      <w:tr w14:paraId="59C2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6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卡片印刷</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F8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8.6*5.6，PVC纸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8D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C2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r>
      <w:tr w14:paraId="3020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7E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卡片印刷</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DA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8.6*5.6，名片纸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8E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3E6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r>
      <w:tr w14:paraId="2FFC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674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卡片印刷</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EC0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8.6*5.6，过塑+彩色印刷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32A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ED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r>
      <w:tr w14:paraId="3211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D5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纪念章</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CD8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纯铜材质，彩色，主题含警蓝色、红色、黄色等主题色彩，包含设计服务，长*宽≥15cm*7cm，每个均需要定制，含姓名和警号等不同内容（各不相同）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31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8BC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5B4B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A13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牛皮纸印刷</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1EC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A4规格,彩色印刷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A5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666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r>
      <w:tr w14:paraId="6CA4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EE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门牌</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C30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铝合金门牌28*12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12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76E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3061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FF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门牌</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25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亚克力门牌28*12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CC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732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0689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816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门牌</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DD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不锈钢门牌28*12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BF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EE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5BD1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FEB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门贴</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8C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背胶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E4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A53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60D0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51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制度牌</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96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亚克力制度牌，60*80，彩色，含设计服务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30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F9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208D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4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制度牌</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E15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弱溶剂背胶PP+泡沫板+包边，60*80，含设计服务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6A9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B8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1D95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33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袖标</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53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红色布材质，袖标带印字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C4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DC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2D39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12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锦旗</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14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红色绒布材质，颜色鲜亮，红色，带印字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B0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67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6F8B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3C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绶带</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AF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红色绸缎材质，颜色鲜亮，红色，带印字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9AF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FC1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条</w:t>
            </w:r>
          </w:p>
        </w:tc>
      </w:tr>
      <w:tr w14:paraId="069E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2B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亚克力喷绘</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982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亚克力板+UV喷绘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3C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738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4A4A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C9D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PVC喷绘</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84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93"/>
                <w:rFonts w:hint="eastAsia" w:ascii="微软雅黑" w:hAnsi="微软雅黑" w:eastAsia="微软雅黑" w:cs="微软雅黑"/>
                <w:snapToGrid w:val="0"/>
                <w:sz w:val="24"/>
                <w:szCs w:val="24"/>
                <w:lang w:val="en-US" w:eastAsia="zh-CN" w:bidi="ar"/>
              </w:rPr>
              <w:t>PVC+UV</w:t>
            </w:r>
            <w:r>
              <w:rPr>
                <w:rStyle w:val="67"/>
                <w:rFonts w:hint="eastAsia" w:ascii="微软雅黑" w:hAnsi="微软雅黑" w:eastAsia="微软雅黑" w:cs="微软雅黑"/>
                <w:snapToGrid w:val="0"/>
                <w:sz w:val="24"/>
                <w:szCs w:val="24"/>
                <w:lang w:val="en-US" w:eastAsia="zh-CN" w:bidi="ar"/>
              </w:rPr>
              <w:t>喷绘</w:t>
            </w:r>
            <w:r>
              <w:rPr>
                <w:rStyle w:val="90"/>
                <w:rFonts w:hint="eastAsia" w:ascii="微软雅黑" w:hAnsi="微软雅黑" w:eastAsia="微软雅黑" w:cs="微软雅黑"/>
                <w:snapToGrid w:val="0"/>
                <w:sz w:val="24"/>
                <w:szCs w:val="24"/>
                <w:lang w:val="en-US" w:eastAsia="zh-CN" w:bidi="ar"/>
              </w:rPr>
              <w:t>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5CB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48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06D4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20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红色圆形车贴</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05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即时贴，带刻字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A7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C04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5CCD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AE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临时车牌</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561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44*15，铝塑板+反光膜，彩色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A9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77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40CF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70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台签</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F4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亚克力台签，定制印刷，双面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60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DE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65C6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C5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吊牌</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DC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80*30,PVC+UV喷绘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D2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40A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5813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D1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通道警示灯（绿、红灯）</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AD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检查站使用，需根据情况安装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49A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C95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w:t>
            </w:r>
          </w:p>
        </w:tc>
      </w:tr>
      <w:tr w14:paraId="754F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99B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发光字</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598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吸塑字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C53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28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5ADA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05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发光字</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6E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带灯光，金属反光字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D9B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B1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0237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6A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反光膜</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50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反光膜+喷绘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A8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A9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5C93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E2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木边框照片</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8D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木制边框+彩色喷绘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16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234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4B90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3E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显示屏</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7A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户外Q4全彩LED显示屏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6E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A68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30D1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EB0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显示屏</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6C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户外p10单色LED显示屏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29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BF4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6F68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4D5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定制钢化玻璃</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32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Style w:val="63"/>
                <w:rFonts w:hint="eastAsia" w:ascii="微软雅黑" w:hAnsi="微软雅黑" w:eastAsia="微软雅黑" w:cs="微软雅黑"/>
                <w:snapToGrid w:val="0"/>
                <w:sz w:val="24"/>
                <w:szCs w:val="24"/>
                <w:lang w:val="en-US" w:eastAsia="zh-CN" w:bidi="ar"/>
              </w:rPr>
              <w:t>1.2mm</w:t>
            </w:r>
            <w:r>
              <w:rPr>
                <w:rStyle w:val="102"/>
                <w:rFonts w:hint="eastAsia" w:ascii="微软雅黑" w:hAnsi="微软雅黑" w:eastAsia="微软雅黑" w:cs="微软雅黑"/>
                <w:snapToGrid w:val="0"/>
                <w:sz w:val="24"/>
                <w:szCs w:val="24"/>
                <w:lang w:val="en-US" w:eastAsia="zh-CN" w:bidi="ar"/>
              </w:rPr>
              <w:t>钢化</w:t>
            </w:r>
            <w:r>
              <w:rPr>
                <w:rStyle w:val="63"/>
                <w:rFonts w:hint="eastAsia" w:ascii="微软雅黑" w:hAnsi="微软雅黑" w:eastAsia="微软雅黑" w:cs="微软雅黑"/>
                <w:snapToGrid w:val="0"/>
                <w:sz w:val="24"/>
                <w:szCs w:val="24"/>
                <w:lang w:val="en-US" w:eastAsia="zh-CN" w:bidi="ar"/>
              </w:rPr>
              <w:t>玻璃定制安装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E9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329DBA1">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0FCB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35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不锈钢宣传栏</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9D3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总体尺寸：6m*3m*0.4m画面尺寸：4m*2m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2B0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4C3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组</w:t>
            </w:r>
          </w:p>
        </w:tc>
      </w:tr>
      <w:tr w14:paraId="202F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C1A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立牌导视牌</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6B8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1.0铁皮雕刻异性焊接+抛光打磨+烤漆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25C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8B9F13F">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210B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6B4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卡布灯箱</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51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铝边型材+反光底板+220v高光灯带+室外3p布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03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9402576">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74C2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9C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腰线贴</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53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磨砂雕刻、磨砂喷绘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90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8CC1110">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4202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AB7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文化墙、文化展板</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1D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1.2pvc+uv喷绘雕刻+水晶膜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2F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top"/>
          </w:tcPr>
          <w:p w14:paraId="09B20E52">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39FE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C4B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铜牌</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46D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不锈钢（金、银色）腐蚀喷漆制作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FD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B1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3007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B2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奖牌</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BB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0.4m*0.6m木托+金（银）底版内容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CE8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1AF1815">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1AB2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87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荣誉证书</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D83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A4规格宣绒荣誉证书+内页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CA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365C3E0">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本</w:t>
            </w:r>
          </w:p>
        </w:tc>
      </w:tr>
      <w:tr w14:paraId="6D7E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A3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异型宣传栏</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DE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1.0铁皮雕刻异性焊接+抛光打磨+烤漆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DD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top"/>
          </w:tcPr>
          <w:p w14:paraId="3376C5BE">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519F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A75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LDE显示屏</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53A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室内1.5p全彩LED高清显示屏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58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45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62A6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EB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LDE显示屏</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54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室内2.0p全彩LED高清显示屏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7CD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29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4A35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E3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LDE显示屏</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07B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室内2.5p全彩LED高清显示屏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78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A6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5AA1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40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墙体文化</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D6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墙体喷绘机移动打印制作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5E8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725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1794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1CD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铝合金边框</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A6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0.6m*0.9m铝合金边框+pvc底版+亚力克面板+画面内容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10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9D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r>
      <w:tr w14:paraId="5205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85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发光字</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6A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穿孔字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65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4A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5ABC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E1D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警示牌/温馨提示牌</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4D7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帐篷式0.6m*0.9m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35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85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组</w:t>
            </w:r>
          </w:p>
        </w:tc>
      </w:tr>
      <w:tr w14:paraId="2171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67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展架</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EE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门型展架0.8m*1.8m+画面内容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86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B24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组</w:t>
            </w:r>
          </w:p>
        </w:tc>
      </w:tr>
      <w:tr w14:paraId="1B33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90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水晶字</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2F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11mm亚克力+3mm面板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89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AD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334A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2B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钛金字</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C1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1.5mm不锈钢 拉丝/镜面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F1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68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2C30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7A7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铁皮烤漆字</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47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1.5mm铁皮、颜色定制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794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9B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1DFF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16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地贴</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AD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磨砂防滑140g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1A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E2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0516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C71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文化墙</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CA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化纤油画布/纯棉油画布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76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6B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1981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DA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旗帜</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248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春亚纺双面透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D8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332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14:paraId="6C7C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0C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广告宣传灯箱</w:t>
            </w:r>
          </w:p>
        </w:tc>
        <w:tc>
          <w:tcPr>
            <w:tcW w:w="4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B55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1.4m*2.8m*0.4m2mm镀锌板，12mm钢化玻璃，50方管厚4mm,led光源，双面开启。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BF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993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组</w:t>
            </w:r>
          </w:p>
        </w:tc>
      </w:tr>
    </w:tbl>
    <w:p w14:paraId="2F72D962">
      <w:pPr>
        <w:spacing w:line="240" w:lineRule="auto"/>
        <w:rPr>
          <w:rFonts w:hint="eastAsia" w:ascii="微软雅黑" w:hAnsi="微软雅黑" w:eastAsia="微软雅黑" w:cs="微软雅黑"/>
          <w:sz w:val="24"/>
          <w:szCs w:val="24"/>
        </w:rPr>
      </w:pPr>
    </w:p>
    <w:p w14:paraId="2A6738F6">
      <w:pPr>
        <w:spacing w:line="240" w:lineRule="auto"/>
        <w:rPr>
          <w:rFonts w:hint="eastAsia" w:ascii="微软雅黑" w:hAnsi="微软雅黑" w:eastAsia="微软雅黑" w:cs="微软雅黑"/>
          <w:sz w:val="24"/>
          <w:szCs w:val="24"/>
        </w:rPr>
      </w:pPr>
    </w:p>
    <w:p w14:paraId="3CFBFC02">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四、其它： </w:t>
      </w:r>
    </w:p>
    <w:p w14:paraId="5AB373E6">
      <w:pPr>
        <w:pStyle w:val="12"/>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   其他未尽事宜由采购人与投标人在合同中商议约定。</w:t>
      </w:r>
    </w:p>
    <w:p w14:paraId="53548F20">
      <w:pPr>
        <w:rPr>
          <w:rFonts w:hint="eastAsia" w:ascii="微软雅黑" w:hAnsi="微软雅黑" w:eastAsia="微软雅黑" w:cs="微软雅黑"/>
          <w:color w:val="auto"/>
        </w:rPr>
      </w:pPr>
    </w:p>
    <w:p w14:paraId="33CA2718">
      <w:pPr>
        <w:pStyle w:val="10"/>
        <w:rPr>
          <w:rFonts w:hint="eastAsia" w:ascii="微软雅黑" w:hAnsi="微软雅黑" w:eastAsia="微软雅黑" w:cs="微软雅黑"/>
          <w:color w:val="auto"/>
        </w:rPr>
      </w:pPr>
    </w:p>
    <w:bookmarkEnd w:id="742"/>
    <w:bookmarkEnd w:id="743"/>
    <w:bookmarkEnd w:id="744"/>
    <w:p w14:paraId="43F044F2">
      <w:pPr>
        <w:pStyle w:val="10"/>
        <w:ind w:left="0" w:leftChars="0" w:firstLine="0" w:firstLineChars="0"/>
        <w:rPr>
          <w:rFonts w:hint="eastAsia" w:ascii="微软雅黑" w:hAnsi="微软雅黑" w:eastAsia="微软雅黑" w:cs="微软雅黑"/>
          <w:color w:val="auto"/>
        </w:rPr>
      </w:pPr>
    </w:p>
    <w:p w14:paraId="44CE001C">
      <w:pPr>
        <w:rPr>
          <w:rFonts w:hint="eastAsia" w:ascii="微软雅黑" w:hAnsi="微软雅黑" w:eastAsia="微软雅黑" w:cs="微软雅黑"/>
          <w:color w:val="auto"/>
        </w:rPr>
      </w:pPr>
      <w:r>
        <w:rPr>
          <w:rFonts w:hint="eastAsia" w:ascii="微软雅黑" w:hAnsi="微软雅黑" w:eastAsia="微软雅黑" w:cs="微软雅黑"/>
          <w:color w:val="auto"/>
        </w:rPr>
        <w:br w:type="page"/>
      </w:r>
    </w:p>
    <w:p w14:paraId="1EEC715E">
      <w:pPr>
        <w:pStyle w:val="5"/>
        <w:tabs>
          <w:tab w:val="left" w:pos="0"/>
        </w:tabs>
        <w:snapToGrid w:val="0"/>
        <w:spacing w:before="0" w:after="0" w:line="240" w:lineRule="atLeast"/>
        <w:jc w:val="center"/>
        <w:textAlignment w:val="baseline"/>
        <w:rPr>
          <w:rFonts w:hint="eastAsia" w:ascii="微软雅黑" w:hAnsi="微软雅黑" w:eastAsia="微软雅黑" w:cs="微软雅黑"/>
          <w:color w:val="auto"/>
        </w:rPr>
      </w:pPr>
      <w:bookmarkStart w:id="745" w:name="_Toc13386"/>
      <w:r>
        <w:rPr>
          <w:rFonts w:hint="eastAsia" w:ascii="微软雅黑" w:hAnsi="微软雅黑" w:eastAsia="微软雅黑" w:cs="微软雅黑"/>
          <w:color w:val="auto"/>
        </w:rPr>
        <w:t xml:space="preserve">第6章 </w:t>
      </w:r>
      <w:bookmarkStart w:id="746" w:name="_Toc32647"/>
      <w:bookmarkStart w:id="747" w:name="_Toc515647832"/>
      <w:bookmarkStart w:id="748" w:name="_Toc7971"/>
      <w:bookmarkStart w:id="749" w:name="_Toc507399907"/>
      <w:r>
        <w:rPr>
          <w:rFonts w:hint="eastAsia" w:ascii="微软雅黑" w:hAnsi="微软雅黑" w:eastAsia="微软雅黑" w:cs="微软雅黑"/>
          <w:color w:val="auto"/>
        </w:rPr>
        <w:t>评审方法和标准</w:t>
      </w:r>
      <w:bookmarkEnd w:id="739"/>
      <w:bookmarkEnd w:id="740"/>
      <w:bookmarkEnd w:id="741"/>
      <w:bookmarkEnd w:id="745"/>
      <w:bookmarkEnd w:id="746"/>
      <w:bookmarkEnd w:id="747"/>
      <w:bookmarkEnd w:id="748"/>
      <w:bookmarkEnd w:id="749"/>
    </w:p>
    <w:p w14:paraId="5B0F5F11">
      <w:pPr>
        <w:pStyle w:val="3"/>
        <w:keepNext w:val="0"/>
        <w:keepLines w:val="0"/>
        <w:pageBreakBefore w:val="0"/>
        <w:kinsoku/>
        <w:wordWrap/>
        <w:overflowPunct/>
        <w:topLinePunct w:val="0"/>
        <w:bidi w:val="0"/>
        <w:snapToGrid w:val="0"/>
        <w:spacing w:before="0" w:beforeAutospacing="0" w:after="0" w:afterAutospacing="0" w:line="52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本项目将按照磋商文件第一章供应商须知中“五 磋商开启及评审”、“六 确定成交”及本章的规定评标。</w:t>
      </w:r>
    </w:p>
    <w:p w14:paraId="7111618B">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1、落实政府采购政策</w:t>
      </w:r>
    </w:p>
    <w:p w14:paraId="7704D309">
      <w:pPr>
        <w:keepNext w:val="0"/>
        <w:keepLines w:val="0"/>
        <w:pageBreakBefore w:val="0"/>
        <w:widowControl/>
        <w:kinsoku/>
        <w:wordWrap/>
        <w:overflowPunct/>
        <w:topLinePunct w:val="0"/>
        <w:autoSpaceDE/>
        <w:autoSpaceDN/>
        <w:bidi w:val="0"/>
        <w:adjustRightInd/>
        <w:spacing w:line="480" w:lineRule="exact"/>
        <w:ind w:firstLine="480" w:firstLineChars="2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①根据《政府采购促进中小企业发展管理办法》（财库﹝2020﹞46 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关于落实好政府采购支持中小企业发展的通知</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新财购 〔2022〕22号</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kern w:val="2"/>
          <w:sz w:val="24"/>
          <w:szCs w:val="24"/>
          <w:highlight w:val="none"/>
          <w:lang w:val="en-US" w:eastAsia="zh-CN" w:bidi="ar-SA"/>
        </w:rPr>
        <w:t>、《财政部司法部关于政府采购支持监狱企业发展有关问题的通知》（财库〔2014〕68号）和《三部门联合发布关于促进残疾人就业政府采购政策的通知》（财库〔2017〕141号）的规定，其中小型、微型企业在响应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color w:val="auto"/>
          <w:kern w:val="2"/>
          <w:sz w:val="24"/>
          <w:szCs w:val="24"/>
          <w:highlight w:val="none"/>
          <w:u w:val="single"/>
          <w:lang w:val="en-US" w:eastAsia="zh-CN" w:bidi="ar-SA"/>
        </w:rPr>
        <w:t xml:space="preserve"> 10  </w:t>
      </w:r>
      <w:r>
        <w:rPr>
          <w:rFonts w:hint="eastAsia" w:ascii="微软雅黑" w:hAnsi="微软雅黑" w:eastAsia="微软雅黑" w:cs="微软雅黑"/>
          <w:b/>
          <w:bCs/>
          <w:color w:val="auto"/>
          <w:kern w:val="2"/>
          <w:sz w:val="24"/>
          <w:szCs w:val="24"/>
          <w:highlight w:val="none"/>
          <w:lang w:val="en-US" w:eastAsia="zh-CN" w:bidi="ar-SA"/>
        </w:rPr>
        <w:t>%后参与评审。对于同时属于小型、微型及小微企业、监狱企业或残疾人福利性单位的，不重复进行报价扣除。</w:t>
      </w:r>
    </w:p>
    <w:p w14:paraId="264456DB">
      <w:pPr>
        <w:pStyle w:val="10"/>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②</w:t>
      </w:r>
      <w:r>
        <w:rPr>
          <w:rFonts w:hint="eastAsia" w:ascii="微软雅黑" w:hAnsi="微软雅黑" w:eastAsia="微软雅黑" w:cs="微软雅黑"/>
          <w:b/>
          <w:bCs/>
          <w:i w:val="0"/>
          <w:caps w:val="0"/>
          <w:color w:val="auto"/>
          <w:spacing w:val="0"/>
          <w:w w:val="100"/>
          <w:sz w:val="24"/>
          <w:szCs w:val="24"/>
          <w:highlight w:val="none"/>
        </w:rPr>
        <w:t>联合协议中约定，小型、微型企业和监狱企业的协议合同金额占到联合体协议合同总金额40%以上的，可给予联合体4%~6%的价格扣除。（本项目不适用）联合体各方均为小型、微型企业和监狱企业的，联合体视同为小型、微型企业和监狱企业。</w:t>
      </w:r>
    </w:p>
    <w:p w14:paraId="15FD3C83">
      <w:pPr>
        <w:pStyle w:val="10"/>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③</w:t>
      </w:r>
      <w:r>
        <w:rPr>
          <w:rFonts w:hint="eastAsia" w:ascii="微软雅黑" w:hAnsi="微软雅黑" w:eastAsia="微软雅黑" w:cs="微软雅黑"/>
          <w:b/>
          <w:bCs/>
          <w:i w:val="0"/>
          <w:caps w:val="0"/>
          <w:color w:val="auto"/>
          <w:spacing w:val="0"/>
          <w:w w:val="100"/>
          <w:sz w:val="24"/>
          <w:szCs w:val="24"/>
          <w:highlight w:val="none"/>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14:paraId="68B675AE">
      <w:pPr>
        <w:pStyle w:val="10"/>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④</w:t>
      </w:r>
      <w:r>
        <w:rPr>
          <w:rFonts w:hint="eastAsia" w:ascii="微软雅黑" w:hAnsi="微软雅黑" w:eastAsia="微软雅黑" w:cs="微软雅黑"/>
          <w:b/>
          <w:bCs/>
          <w:i w:val="0"/>
          <w:caps w:val="0"/>
          <w:color w:val="auto"/>
          <w:spacing w:val="0"/>
          <w:w w:val="100"/>
          <w:sz w:val="24"/>
          <w:szCs w:val="24"/>
          <w:highlight w:val="none"/>
        </w:rPr>
        <w:t>如采购人所采购产品为政府强制采购的节能产品，供应商所投产品的品牌及型号必须为清单中有效期内产品并提供证明文件，否则其投标将被认定为投标无效。</w:t>
      </w:r>
    </w:p>
    <w:p w14:paraId="403FFAD1">
      <w:pPr>
        <w:ind w:firstLine="480" w:firstLineChars="200"/>
        <w:rPr>
          <w:rFonts w:hint="eastAsia" w:ascii="微软雅黑" w:hAnsi="微软雅黑" w:eastAsia="微软雅黑" w:cs="微软雅黑"/>
          <w:color w:val="auto"/>
        </w:rPr>
      </w:pPr>
      <w:r>
        <w:rPr>
          <w:rFonts w:hint="eastAsia" w:ascii="微软雅黑" w:hAnsi="微软雅黑" w:eastAsia="微软雅黑" w:cs="微软雅黑"/>
          <w:b/>
          <w:bCs/>
          <w:i w:val="0"/>
          <w:caps w:val="0"/>
          <w:color w:val="auto"/>
          <w:spacing w:val="0"/>
          <w:w w:val="100"/>
          <w:sz w:val="24"/>
          <w:szCs w:val="24"/>
          <w:highlight w:val="none"/>
          <w:lang w:eastAsia="zh-CN"/>
        </w:rPr>
        <w:t>⑤</w:t>
      </w:r>
      <w:r>
        <w:rPr>
          <w:rFonts w:hint="eastAsia" w:ascii="微软雅黑" w:hAnsi="微软雅黑" w:eastAsia="微软雅黑" w:cs="微软雅黑"/>
          <w:b/>
          <w:bCs/>
          <w:i w:val="0"/>
          <w:caps w:val="0"/>
          <w:color w:val="auto"/>
          <w:spacing w:val="0"/>
          <w:w w:val="100"/>
          <w:sz w:val="24"/>
          <w:szCs w:val="24"/>
          <w:highlight w:val="none"/>
        </w:rPr>
        <w:t>对创新产品或创新性企业的优惠措施为：</w:t>
      </w:r>
      <w:r>
        <w:rPr>
          <w:rFonts w:hint="eastAsia" w:ascii="微软雅黑" w:hAnsi="微软雅黑" w:eastAsia="微软雅黑" w:cs="微软雅黑"/>
          <w:b/>
          <w:bCs/>
          <w:i w:val="0"/>
          <w:caps w:val="0"/>
          <w:color w:val="auto"/>
          <w:spacing w:val="0"/>
          <w:w w:val="100"/>
          <w:sz w:val="24"/>
          <w:szCs w:val="24"/>
          <w:highlight w:val="none"/>
          <w:u w:val="single"/>
        </w:rPr>
        <w:t xml:space="preserve">    / </w:t>
      </w:r>
      <w:r>
        <w:rPr>
          <w:rFonts w:hint="eastAsia" w:ascii="微软雅黑" w:hAnsi="微软雅黑" w:eastAsia="微软雅黑" w:cs="微软雅黑"/>
          <w:b w:val="0"/>
          <w:color w:val="auto"/>
          <w:kern w:val="2"/>
          <w:sz w:val="24"/>
          <w:szCs w:val="24"/>
          <w:u w:val="single"/>
          <w:lang w:val="en-US" w:eastAsia="zh-CN" w:bidi="ar-SA"/>
        </w:rPr>
        <w:t xml:space="preserve">    </w:t>
      </w:r>
    </w:p>
    <w:p w14:paraId="03828BC7">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750" w:name="_Toc5997"/>
      <w:bookmarkStart w:id="751" w:name="_Toc4729"/>
      <w:bookmarkStart w:id="752" w:name="_Toc9048"/>
      <w:bookmarkStart w:id="753" w:name="_Toc15607"/>
      <w:bookmarkStart w:id="754" w:name="_Toc18284"/>
      <w:bookmarkStart w:id="755" w:name="_Toc25450"/>
      <w:bookmarkStart w:id="756" w:name="_Toc11629"/>
      <w:bookmarkStart w:id="757" w:name="_Toc5480"/>
      <w:bookmarkStart w:id="758" w:name="_Toc3722"/>
      <w:bookmarkStart w:id="759" w:name="_Toc19292"/>
      <w:r>
        <w:rPr>
          <w:rFonts w:hint="eastAsia" w:ascii="微软雅黑" w:hAnsi="微软雅黑" w:eastAsia="微软雅黑" w:cs="微软雅黑"/>
          <w:b/>
          <w:bCs/>
          <w:color w:val="auto"/>
          <w:sz w:val="24"/>
          <w:szCs w:val="24"/>
          <w:highlight w:val="none"/>
          <w:lang w:val="en-US" w:eastAsia="zh-CN"/>
        </w:rPr>
        <w:t>2、 开标</w:t>
      </w:r>
    </w:p>
    <w:p w14:paraId="21ACD23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760" w:name="_Toc73975822"/>
      <w:r>
        <w:rPr>
          <w:rFonts w:hint="eastAsia" w:ascii="微软雅黑" w:hAnsi="微软雅黑" w:eastAsia="微软雅黑" w:cs="微软雅黑"/>
          <w:b/>
          <w:bCs/>
          <w:color w:val="auto"/>
          <w:sz w:val="24"/>
          <w:szCs w:val="24"/>
          <w:highlight w:val="none"/>
          <w:lang w:val="en-US" w:eastAsia="zh-CN"/>
        </w:rPr>
        <w:t>2.1开标邀请</w:t>
      </w:r>
      <w:bookmarkEnd w:id="760"/>
    </w:p>
    <w:p w14:paraId="5D026FF4">
      <w:pPr>
        <w:pStyle w:val="18"/>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1</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开标准备：本项目开标的准备工作由采购组织机构负责落实，开标过程由采购组织机构负责记录；</w:t>
      </w:r>
    </w:p>
    <w:p w14:paraId="7FE8FA7A">
      <w:pPr>
        <w:pStyle w:val="18"/>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2）</w:t>
      </w:r>
      <w:r>
        <w:rPr>
          <w:rFonts w:hint="eastAsia" w:ascii="微软雅黑" w:hAnsi="微软雅黑" w:eastAsia="微软雅黑" w:cs="微软雅黑"/>
          <w:b w:val="0"/>
          <w:bCs/>
          <w:color w:val="auto"/>
          <w:sz w:val="24"/>
          <w:szCs w:val="24"/>
          <w:highlight w:val="none"/>
        </w:rPr>
        <w:t>开标主持：本项目开标由采购人或者采购代理机构主持；</w:t>
      </w:r>
    </w:p>
    <w:p w14:paraId="7C50C6B8">
      <w:pPr>
        <w:pStyle w:val="18"/>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3</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开标邀请：本项目采用电子交易，采购组织机构将按照</w:t>
      </w:r>
      <w:r>
        <w:rPr>
          <w:rFonts w:hint="eastAsia" w:ascii="微软雅黑" w:hAnsi="微软雅黑" w:eastAsia="微软雅黑" w:cs="微软雅黑"/>
          <w:b w:val="0"/>
          <w:color w:val="auto"/>
          <w:sz w:val="24"/>
          <w:szCs w:val="24"/>
          <w:highlight w:val="none"/>
          <w:lang w:eastAsia="zh-CN"/>
        </w:rPr>
        <w:t>竞争性磋商文件</w:t>
      </w:r>
      <w:r>
        <w:rPr>
          <w:rFonts w:hint="eastAsia" w:ascii="微软雅黑" w:hAnsi="微软雅黑" w:eastAsia="微软雅黑" w:cs="微软雅黑"/>
          <w:b w:val="0"/>
          <w:color w:val="auto"/>
          <w:sz w:val="24"/>
          <w:szCs w:val="24"/>
          <w:highlight w:val="none"/>
        </w:rPr>
        <w:t>规定的时间通过“</w:t>
      </w:r>
      <w:r>
        <w:rPr>
          <w:rFonts w:hint="eastAsia" w:ascii="微软雅黑" w:hAnsi="微软雅黑" w:eastAsia="微软雅黑" w:cs="微软雅黑"/>
          <w:b w:val="0"/>
          <w:color w:val="auto"/>
          <w:sz w:val="24"/>
          <w:szCs w:val="24"/>
          <w:highlight w:val="none"/>
          <w:lang w:eastAsia="zh-CN"/>
        </w:rPr>
        <w:t>新疆</w:t>
      </w:r>
      <w:r>
        <w:rPr>
          <w:rFonts w:hint="eastAsia" w:ascii="微软雅黑" w:hAnsi="微软雅黑" w:eastAsia="微软雅黑" w:cs="微软雅黑"/>
          <w:b w:val="0"/>
          <w:color w:val="auto"/>
          <w:sz w:val="24"/>
          <w:szCs w:val="24"/>
          <w:highlight w:val="none"/>
        </w:rPr>
        <w:t>政府采购云平台，网址：</w:t>
      </w:r>
      <w:r>
        <w:rPr>
          <w:rFonts w:hint="eastAsia" w:ascii="微软雅黑" w:hAnsi="微软雅黑" w:eastAsia="微软雅黑" w:cs="微软雅黑"/>
          <w:b w:val="0"/>
          <w:color w:val="auto"/>
          <w:sz w:val="24"/>
          <w:szCs w:val="24"/>
          <w:highlight w:val="none"/>
        </w:rPr>
        <w:fldChar w:fldCharType="begin"/>
      </w:r>
      <w:r>
        <w:rPr>
          <w:rFonts w:hint="eastAsia" w:ascii="微软雅黑" w:hAnsi="微软雅黑" w:eastAsia="微软雅黑" w:cs="微软雅黑"/>
          <w:b w:val="0"/>
          <w:color w:val="auto"/>
          <w:sz w:val="24"/>
          <w:szCs w:val="24"/>
          <w:highlight w:val="none"/>
        </w:rPr>
        <w:instrText xml:space="preserve">HYPERLINK "http://www.zcygov.cn"</w:instrText>
      </w:r>
      <w:r>
        <w:rPr>
          <w:rFonts w:hint="eastAsia" w:ascii="微软雅黑" w:hAnsi="微软雅黑" w:eastAsia="微软雅黑" w:cs="微软雅黑"/>
          <w:b w:val="0"/>
          <w:color w:val="auto"/>
          <w:sz w:val="24"/>
          <w:szCs w:val="24"/>
          <w:highlight w:val="none"/>
        </w:rPr>
        <w:fldChar w:fldCharType="separate"/>
      </w:r>
      <w:r>
        <w:rPr>
          <w:rStyle w:val="42"/>
          <w:rFonts w:hint="eastAsia" w:ascii="微软雅黑" w:hAnsi="微软雅黑" w:eastAsia="微软雅黑" w:cs="微软雅黑"/>
          <w:b w:val="0"/>
          <w:color w:val="auto"/>
          <w:sz w:val="24"/>
          <w:szCs w:val="24"/>
          <w:highlight w:val="none"/>
          <w:u w:val="none"/>
        </w:rPr>
        <w:t>www.zcygov.cn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b w:val="0"/>
          <w:color w:val="auto"/>
          <w:sz w:val="24"/>
          <w:szCs w:val="24"/>
          <w:highlight w:val="none"/>
        </w:rPr>
        <w:t>”组织开标、开启投标响应文件，所有供应商均应当准时在线参加。</w:t>
      </w:r>
    </w:p>
    <w:p w14:paraId="5107330C">
      <w:pPr>
        <w:pStyle w:val="18"/>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4</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因未在线参加开标而导致</w:t>
      </w:r>
      <w:r>
        <w:rPr>
          <w:rFonts w:hint="eastAsia" w:ascii="微软雅黑" w:hAnsi="微软雅黑" w:eastAsia="微软雅黑" w:cs="微软雅黑"/>
          <w:b w:val="0"/>
          <w:color w:val="auto"/>
          <w:sz w:val="24"/>
          <w:szCs w:val="24"/>
          <w:highlight w:val="none"/>
          <w:lang w:eastAsia="zh-CN"/>
        </w:rPr>
        <w:t>响应文件</w:t>
      </w:r>
      <w:r>
        <w:rPr>
          <w:rFonts w:hint="eastAsia" w:ascii="微软雅黑" w:hAnsi="微软雅黑" w:eastAsia="微软雅黑" w:cs="微软雅黑"/>
          <w:b w:val="0"/>
          <w:color w:val="auto"/>
          <w:sz w:val="24"/>
          <w:szCs w:val="24"/>
          <w:highlight w:val="none"/>
        </w:rPr>
        <w:t>无法按时解密等一切后果由供应商自行承担。</w:t>
      </w:r>
    </w:p>
    <w:p w14:paraId="6900D19B">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微软雅黑" w:hAnsi="微软雅黑" w:eastAsia="微软雅黑" w:cs="微软雅黑"/>
          <w:b/>
          <w:color w:val="auto"/>
          <w:sz w:val="24"/>
          <w:szCs w:val="24"/>
          <w:highlight w:val="none"/>
        </w:rPr>
      </w:pPr>
      <w:bookmarkStart w:id="761" w:name="_Toc32193"/>
      <w:bookmarkStart w:id="762" w:name="_Toc73975823"/>
      <w:bookmarkStart w:id="763" w:name="_Toc22653"/>
      <w:bookmarkStart w:id="764" w:name="_Toc21384"/>
      <w:bookmarkStart w:id="765" w:name="_Toc27602"/>
      <w:bookmarkStart w:id="766" w:name="_Toc19065"/>
      <w:bookmarkStart w:id="767" w:name="_Toc32017"/>
      <w:r>
        <w:rPr>
          <w:rFonts w:hint="eastAsia" w:ascii="微软雅黑" w:hAnsi="微软雅黑" w:eastAsia="微软雅黑" w:cs="微软雅黑"/>
          <w:b/>
          <w:color w:val="auto"/>
          <w:sz w:val="24"/>
          <w:szCs w:val="24"/>
          <w:highlight w:val="none"/>
          <w:lang w:val="en-US" w:eastAsia="zh-CN"/>
        </w:rPr>
        <w:t>2.2</w:t>
      </w:r>
      <w:r>
        <w:rPr>
          <w:rFonts w:hint="eastAsia" w:ascii="微软雅黑" w:hAnsi="微软雅黑" w:eastAsia="微软雅黑" w:cs="微软雅黑"/>
          <w:b/>
          <w:bCs/>
          <w:color w:val="auto"/>
          <w:sz w:val="24"/>
          <w:szCs w:val="24"/>
          <w:highlight w:val="none"/>
        </w:rPr>
        <w:t>开标程序（</w:t>
      </w:r>
      <w:r>
        <w:rPr>
          <w:rFonts w:hint="eastAsia" w:ascii="微软雅黑" w:hAnsi="微软雅黑" w:eastAsia="微软雅黑" w:cs="微软雅黑"/>
          <w:b/>
          <w:bCs/>
          <w:color w:val="auto"/>
          <w:sz w:val="24"/>
          <w:szCs w:val="24"/>
          <w:highlight w:val="none"/>
          <w:lang w:val="en-US" w:eastAsia="zh-CN"/>
        </w:rPr>
        <w:t>先资格性</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后符合性、最终报价、再商务</w:t>
      </w:r>
      <w:r>
        <w:rPr>
          <w:rFonts w:hint="eastAsia" w:ascii="微软雅黑" w:hAnsi="微软雅黑" w:eastAsia="微软雅黑" w:cs="微软雅黑"/>
          <w:b/>
          <w:bCs/>
          <w:color w:val="auto"/>
          <w:sz w:val="24"/>
          <w:szCs w:val="24"/>
          <w:highlight w:val="none"/>
        </w:rPr>
        <w:t>技术）</w:t>
      </w:r>
      <w:bookmarkEnd w:id="761"/>
      <w:bookmarkEnd w:id="762"/>
      <w:bookmarkEnd w:id="763"/>
      <w:bookmarkEnd w:id="764"/>
      <w:bookmarkEnd w:id="765"/>
      <w:bookmarkEnd w:id="766"/>
      <w:bookmarkEnd w:id="767"/>
    </w:p>
    <w:p w14:paraId="4944F69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开标时间到后，主持人宣布开标会议开始。</w:t>
      </w:r>
    </w:p>
    <w:p w14:paraId="1ED4911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w:t>
      </w:r>
      <w:r>
        <w:rPr>
          <w:rFonts w:hint="eastAsia" w:ascii="微软雅黑" w:hAnsi="微软雅黑" w:eastAsia="微软雅黑" w:cs="微软雅黑"/>
          <w:b/>
          <w:color w:val="auto"/>
          <w:kern w:val="0"/>
          <w:sz w:val="24"/>
          <w:szCs w:val="24"/>
          <w:highlight w:val="none"/>
        </w:rPr>
        <w:t>解密规定见《供应商须知前附表》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1EFCBB0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解密异常情况处理（</w:t>
      </w:r>
      <w:r>
        <w:rPr>
          <w:rFonts w:hint="eastAsia" w:ascii="微软雅黑" w:hAnsi="微软雅黑" w:eastAsia="微软雅黑" w:cs="微软雅黑"/>
          <w:b/>
          <w:color w:val="auto"/>
          <w:kern w:val="0"/>
          <w:sz w:val="24"/>
          <w:szCs w:val="24"/>
          <w:highlight w:val="none"/>
        </w:rPr>
        <w:t>处理办法见《供应商须知前附表》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04D8DA7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公布</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解密情况（</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成功解密的供应商名单等信息）。</w:t>
      </w:r>
    </w:p>
    <w:p w14:paraId="39B8FB3D">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5</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开启标书信息（资格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文件、商务技术文件）。标书信息开启后，首先由采购人或采购代理机构依法对供应商的资格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文件进行审查， 审查结束公布供应商的资格符合情况。资格审查未获通过的供应商，其</w:t>
      </w:r>
      <w:r>
        <w:rPr>
          <w:rFonts w:hint="eastAsia" w:ascii="微软雅黑" w:hAnsi="微软雅黑" w:eastAsia="微软雅黑" w:cs="微软雅黑"/>
          <w:color w:val="auto"/>
          <w:kern w:val="0"/>
          <w:sz w:val="24"/>
          <w:szCs w:val="24"/>
          <w:highlight w:val="none"/>
          <w:lang w:eastAsia="zh-CN"/>
        </w:rPr>
        <w:t>符合性</w:t>
      </w:r>
      <w:r>
        <w:rPr>
          <w:rFonts w:hint="eastAsia" w:ascii="微软雅黑" w:hAnsi="微软雅黑" w:eastAsia="微软雅黑" w:cs="微软雅黑"/>
          <w:color w:val="auto"/>
          <w:kern w:val="0"/>
          <w:sz w:val="24"/>
          <w:szCs w:val="24"/>
          <w:highlight w:val="none"/>
        </w:rPr>
        <w:t>不再进入评审。</w:t>
      </w:r>
    </w:p>
    <w:p w14:paraId="3BF5C3E5">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通过资格性审查的供应商，</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依法对供应商的</w:t>
      </w:r>
      <w:r>
        <w:rPr>
          <w:rFonts w:hint="eastAsia" w:ascii="微软雅黑" w:hAnsi="微软雅黑" w:eastAsia="微软雅黑" w:cs="微软雅黑"/>
          <w:color w:val="auto"/>
          <w:kern w:val="0"/>
          <w:sz w:val="24"/>
          <w:szCs w:val="24"/>
          <w:highlight w:val="none"/>
          <w:lang w:eastAsia="zh-CN"/>
        </w:rPr>
        <w:t>符合性证明</w:t>
      </w:r>
      <w:r>
        <w:rPr>
          <w:rFonts w:hint="eastAsia" w:ascii="微软雅黑" w:hAnsi="微软雅黑" w:eastAsia="微软雅黑" w:cs="微软雅黑"/>
          <w:color w:val="auto"/>
          <w:kern w:val="0"/>
          <w:sz w:val="24"/>
          <w:szCs w:val="24"/>
          <w:highlight w:val="none"/>
        </w:rPr>
        <w:t>文件进行审查， 审查结束公布</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审查情况。</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审查未获通过的供应商，其</w:t>
      </w:r>
      <w:r>
        <w:rPr>
          <w:rFonts w:hint="eastAsia" w:ascii="微软雅黑" w:hAnsi="微软雅黑" w:eastAsia="微软雅黑" w:cs="微软雅黑"/>
          <w:color w:val="auto"/>
          <w:kern w:val="0"/>
          <w:sz w:val="24"/>
          <w:szCs w:val="24"/>
          <w:highlight w:val="none"/>
          <w:lang w:eastAsia="zh-CN"/>
        </w:rPr>
        <w:t>不再进入磋商环节</w:t>
      </w:r>
      <w:r>
        <w:rPr>
          <w:rFonts w:hint="eastAsia" w:ascii="微软雅黑" w:hAnsi="微软雅黑" w:eastAsia="微软雅黑" w:cs="微软雅黑"/>
          <w:color w:val="auto"/>
          <w:kern w:val="0"/>
          <w:sz w:val="24"/>
          <w:szCs w:val="24"/>
          <w:highlight w:val="none"/>
        </w:rPr>
        <w:t>。</w:t>
      </w:r>
    </w:p>
    <w:p w14:paraId="1114BE73">
      <w:pPr>
        <w:keepNext w:val="0"/>
        <w:keepLines w:val="0"/>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（7）通过符合性审查的供应商，评审小组所有成员集中于单一供应商分别进行磋商；</w:t>
      </w:r>
      <w:r>
        <w:rPr>
          <w:rFonts w:hint="eastAsia" w:ascii="微软雅黑" w:hAnsi="微软雅黑" w:eastAsia="微软雅黑" w:cs="微软雅黑"/>
          <w:color w:val="auto"/>
          <w:sz w:val="24"/>
          <w:szCs w:val="24"/>
          <w:lang w:val="en-US" w:eastAsia="zh-CN"/>
        </w:rPr>
        <w:t>并给予所有参加磋商的供应商平等的磋商机会。在磋商中，磋商的任何一方不得透露与磋商有关的其他供应商的技术资料、价格和其他信息。磋商文件有实质性变动的，磋商小组应当以书面</w:t>
      </w:r>
      <w:r>
        <w:rPr>
          <w:rFonts w:hint="eastAsia" w:ascii="微软雅黑" w:hAnsi="微软雅黑" w:eastAsia="微软雅黑" w:cs="微软雅黑"/>
          <w:color w:val="auto"/>
          <w:kern w:val="0"/>
          <w:sz w:val="24"/>
          <w:szCs w:val="24"/>
          <w:highlight w:val="none"/>
          <w:lang w:val="en-US" w:eastAsia="zh-CN"/>
        </w:rPr>
        <w:t>形式通知所有参加磋商的供应商。</w:t>
      </w:r>
    </w:p>
    <w:p w14:paraId="03CDFFE6">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（8）磋商结束后，磋商小组应当要求所有实质性响应的供应商在规定时间内提交最终报价，</w:t>
      </w:r>
      <w:r>
        <w:rPr>
          <w:rFonts w:hint="eastAsia" w:ascii="微软雅黑" w:hAnsi="微软雅黑" w:eastAsia="微软雅黑" w:cs="微软雅黑"/>
          <w:color w:val="auto"/>
          <w:sz w:val="24"/>
          <w:szCs w:val="24"/>
          <w:highlight w:val="none"/>
          <w:lang w:bidi="zh-CN"/>
        </w:rPr>
        <w:t>供应商对</w:t>
      </w:r>
      <w:r>
        <w:rPr>
          <w:rFonts w:hint="eastAsia" w:ascii="微软雅黑" w:hAnsi="微软雅黑" w:eastAsia="微软雅黑" w:cs="微软雅黑"/>
          <w:color w:val="auto"/>
          <w:sz w:val="24"/>
          <w:szCs w:val="24"/>
          <w:highlight w:val="none"/>
          <w:lang w:val="en-US" w:bidi="zh-CN"/>
        </w:rPr>
        <w:t>最终报价</w:t>
      </w:r>
      <w:r>
        <w:rPr>
          <w:rFonts w:hint="eastAsia" w:ascii="微软雅黑" w:hAnsi="微软雅黑" w:eastAsia="微软雅黑" w:cs="微软雅黑"/>
          <w:color w:val="auto"/>
          <w:sz w:val="24"/>
          <w:szCs w:val="24"/>
          <w:highlight w:val="none"/>
          <w:lang w:bidi="zh-CN"/>
        </w:rPr>
        <w:t>进行在线签字确认（不予确认的应说明理由，否则视为无异议）</w:t>
      </w:r>
      <w:r>
        <w:rPr>
          <w:rFonts w:hint="eastAsia" w:ascii="微软雅黑" w:hAnsi="微软雅黑" w:eastAsia="微软雅黑" w:cs="微软雅黑"/>
          <w:color w:val="auto"/>
          <w:kern w:val="0"/>
          <w:sz w:val="24"/>
          <w:szCs w:val="24"/>
          <w:highlight w:val="none"/>
        </w:rPr>
        <w:t>。开标结束后，由评标委员会对报价的合理性、准确性等进行审查核实</w:t>
      </w:r>
      <w:r>
        <w:rPr>
          <w:rFonts w:hint="eastAsia" w:ascii="微软雅黑" w:hAnsi="微软雅黑" w:eastAsia="微软雅黑" w:cs="微软雅黑"/>
          <w:color w:val="auto"/>
          <w:sz w:val="24"/>
          <w:szCs w:val="24"/>
          <w:highlight w:val="none"/>
        </w:rPr>
        <w:t>。</w:t>
      </w:r>
    </w:p>
    <w:p w14:paraId="6BF66E3E">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（9）最终报价结束后，</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eastAsia="zh-CN"/>
        </w:rPr>
        <w:t>商务</w:t>
      </w:r>
      <w:r>
        <w:rPr>
          <w:rFonts w:hint="eastAsia" w:ascii="微软雅黑" w:hAnsi="微软雅黑" w:eastAsia="微软雅黑" w:cs="微软雅黑"/>
          <w:color w:val="auto"/>
          <w:kern w:val="0"/>
          <w:sz w:val="24"/>
          <w:szCs w:val="24"/>
          <w:highlight w:val="none"/>
          <w:lang w:val="en-US" w:eastAsia="zh-CN"/>
        </w:rPr>
        <w:t>技术</w:t>
      </w:r>
      <w:r>
        <w:rPr>
          <w:rFonts w:hint="eastAsia" w:ascii="微软雅黑" w:hAnsi="微软雅黑" w:eastAsia="微软雅黑" w:cs="微软雅黑"/>
          <w:color w:val="auto"/>
          <w:kern w:val="0"/>
          <w:sz w:val="24"/>
          <w:szCs w:val="24"/>
          <w:highlight w:val="none"/>
        </w:rPr>
        <w:t>进行</w:t>
      </w:r>
      <w:r>
        <w:rPr>
          <w:rFonts w:hint="eastAsia" w:ascii="微软雅黑" w:hAnsi="微软雅黑" w:eastAsia="微软雅黑" w:cs="微软雅黑"/>
          <w:color w:val="auto"/>
          <w:kern w:val="0"/>
          <w:sz w:val="24"/>
          <w:szCs w:val="24"/>
          <w:highlight w:val="none"/>
          <w:lang w:val="en-US" w:eastAsia="zh-CN"/>
        </w:rPr>
        <w:t>评分</w:t>
      </w:r>
      <w:r>
        <w:rPr>
          <w:rFonts w:hint="eastAsia" w:ascii="微软雅黑" w:hAnsi="微软雅黑" w:eastAsia="微软雅黑" w:cs="微软雅黑"/>
          <w:color w:val="auto"/>
          <w:kern w:val="0"/>
          <w:sz w:val="24"/>
          <w:szCs w:val="24"/>
          <w:highlight w:val="none"/>
          <w:lang w:eastAsia="zh-CN"/>
        </w:rPr>
        <w:t>。</w:t>
      </w:r>
    </w:p>
    <w:p w14:paraId="3756AA2D">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rPr>
        <w:t>评审结束后，采购代理机构在系统上公布评审结果。</w:t>
      </w:r>
    </w:p>
    <w:p w14:paraId="19224847">
      <w:pPr>
        <w:keepNext w:val="0"/>
        <w:keepLines w:val="0"/>
        <w:pageBreakBefore w:val="0"/>
        <w:shd w:val="clear" w:color="auto" w:fill="auto"/>
        <w:kinsoku/>
        <w:wordWrap/>
        <w:overflowPunct/>
        <w:topLinePunct w:val="0"/>
        <w:bidi w:val="0"/>
        <w:snapToGrid w:val="0"/>
        <w:spacing w:line="480" w:lineRule="exact"/>
        <w:ind w:left="48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14:paraId="2093A650">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w:t>
      </w:r>
      <w:r>
        <w:rPr>
          <w:rFonts w:hint="eastAsia" w:ascii="微软雅黑" w:hAnsi="微软雅黑" w:eastAsia="微软雅黑" w:cs="微软雅黑"/>
          <w:b/>
          <w:color w:val="auto"/>
          <w:kern w:val="0"/>
          <w:sz w:val="24"/>
          <w:szCs w:val="24"/>
          <w:highlight w:val="none"/>
          <w:lang w:eastAsia="zh-CN"/>
        </w:rPr>
        <w:t>新疆</w:t>
      </w:r>
      <w:r>
        <w:rPr>
          <w:rFonts w:hint="eastAsia" w:ascii="微软雅黑" w:hAnsi="微软雅黑" w:eastAsia="微软雅黑" w:cs="微软雅黑"/>
          <w:b/>
          <w:color w:val="auto"/>
          <w:kern w:val="0"/>
          <w:sz w:val="24"/>
          <w:szCs w:val="24"/>
          <w:highlight w:val="none"/>
        </w:rPr>
        <w:t>政府采购云平台”电子化开标或评审程序调整的，按调整后程序执行。</w:t>
      </w:r>
    </w:p>
    <w:p w14:paraId="4D4F81B3">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highlight w:val="none"/>
        </w:rPr>
        <w:t>。</w:t>
      </w:r>
    </w:p>
    <w:p w14:paraId="7FF225E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lang w:val="en-US" w:eastAsia="zh-CN"/>
        </w:rPr>
        <w:t>2.3</w:t>
      </w:r>
      <w:r>
        <w:rPr>
          <w:rFonts w:hint="eastAsia" w:ascii="微软雅黑" w:hAnsi="微软雅黑" w:eastAsia="微软雅黑" w:cs="微软雅黑"/>
          <w:b/>
          <w:color w:val="auto"/>
          <w:kern w:val="0"/>
          <w:sz w:val="24"/>
          <w:szCs w:val="24"/>
          <w:highlight w:val="none"/>
        </w:rPr>
        <w:t xml:space="preserve"> </w:t>
      </w:r>
      <w:r>
        <w:rPr>
          <w:rFonts w:hint="eastAsia" w:ascii="微软雅黑" w:hAnsi="微软雅黑" w:eastAsia="微软雅黑" w:cs="微软雅黑"/>
          <w:b/>
          <w:color w:val="auto"/>
          <w:kern w:val="0"/>
          <w:sz w:val="24"/>
          <w:szCs w:val="24"/>
          <w:highlight w:val="none"/>
          <w:lang w:eastAsia="zh-CN"/>
        </w:rPr>
        <w:t>供应商</w:t>
      </w:r>
      <w:r>
        <w:rPr>
          <w:rFonts w:hint="eastAsia" w:ascii="微软雅黑" w:hAnsi="微软雅黑" w:eastAsia="微软雅黑" w:cs="微软雅黑"/>
          <w:b/>
          <w:color w:val="auto"/>
          <w:kern w:val="0"/>
          <w:sz w:val="24"/>
          <w:szCs w:val="24"/>
          <w:highlight w:val="none"/>
        </w:rPr>
        <w:t>资格审查：</w:t>
      </w:r>
    </w:p>
    <w:p w14:paraId="583C0F1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开标（标书信息开启）后，采购人或采购代理机构首先依法对</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的资格文件进行审查，审查各</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的资格符合情况。</w:t>
      </w:r>
      <w:r>
        <w:rPr>
          <w:rFonts w:hint="eastAsia" w:ascii="微软雅黑" w:hAnsi="微软雅黑" w:eastAsia="微软雅黑" w:cs="微软雅黑"/>
          <w:color w:val="auto"/>
          <w:sz w:val="24"/>
          <w:szCs w:val="24"/>
          <w:highlight w:val="none"/>
        </w:rPr>
        <w:t>采购人或采购代理机构对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所提交的资格证明材料仅负审核的责任。如发现</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所提交的资格证明材料不合法或与事实不符，采购人可取消其中标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资格并追究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的法律责任。</w:t>
      </w:r>
    </w:p>
    <w:p w14:paraId="4BD800F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提交的资格证明材料无法证明其符合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资格要求”的，采购人或采购代理机构将对其作“资格审查不合格”处理（无效投标），并不再将其投标提交评标委员会进行后续评审。</w:t>
      </w:r>
    </w:p>
    <w:p w14:paraId="1C5644F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（3）供应商信用记录查询与使用：见《供应商须知前附表》。</w:t>
      </w:r>
    </w:p>
    <w:p w14:paraId="751909C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rPr>
        <w:t>评审工作的组织</w:t>
      </w:r>
    </w:p>
    <w:p w14:paraId="0C6F4F5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采购人或采购代理机构负责组织本项目的评审工作，并依据《政府采购货物和服务招标投标管理办法（财政部第87号令）》第四十五条的相关规定履行职责。</w:t>
      </w:r>
    </w:p>
    <w:p w14:paraId="2CB5E29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评标委员会的组建</w:t>
      </w:r>
    </w:p>
    <w:p w14:paraId="42CFF362">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.1评标委员会由采购人或采购代理机构依法组建，成员由采购人代表和评审专家组成，成员人数为</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人或以上单数，其中评审专家不少于成员总数的三分之二。</w:t>
      </w:r>
    </w:p>
    <w:p w14:paraId="6226D17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color w:val="auto"/>
          <w:sz w:val="24"/>
        </w:rPr>
        <w:t>按照《中华人民共和国政府采购法》、《中华人民共和国政府采购法实施条例》及本项目本级和上级财政部门的有关规定依法在政采云平台</w:t>
      </w:r>
      <w:r>
        <w:rPr>
          <w:rFonts w:hint="eastAsia" w:ascii="微软雅黑" w:hAnsi="微软雅黑" w:eastAsia="微软雅黑" w:cs="微软雅黑"/>
          <w:b/>
          <w:bCs/>
          <w:color w:val="auto"/>
          <w:sz w:val="24"/>
          <w:lang w:eastAsia="zh-CN"/>
        </w:rPr>
        <w:t>随机</w:t>
      </w:r>
      <w:r>
        <w:rPr>
          <w:rFonts w:hint="eastAsia" w:ascii="微软雅黑" w:hAnsi="微软雅黑" w:eastAsia="微软雅黑" w:cs="微软雅黑"/>
          <w:b/>
          <w:bCs/>
          <w:color w:val="auto"/>
          <w:sz w:val="24"/>
        </w:rPr>
        <w:t>抽取3人，组成</w:t>
      </w:r>
      <w:r>
        <w:rPr>
          <w:rFonts w:hint="eastAsia" w:ascii="微软雅黑" w:hAnsi="微软雅黑" w:eastAsia="微软雅黑" w:cs="微软雅黑"/>
          <w:b/>
          <w:bCs/>
          <w:color w:val="auto"/>
          <w:sz w:val="24"/>
          <w:lang w:eastAsia="zh-CN"/>
        </w:rPr>
        <w:t>磋商</w:t>
      </w:r>
      <w:r>
        <w:rPr>
          <w:rFonts w:hint="eastAsia" w:ascii="微软雅黑" w:hAnsi="微软雅黑" w:eastAsia="微软雅黑" w:cs="微软雅黑"/>
          <w:b/>
          <w:bCs/>
          <w:color w:val="auto"/>
          <w:sz w:val="24"/>
        </w:rPr>
        <w:t>小组，负责评审工作</w:t>
      </w:r>
      <w:r>
        <w:rPr>
          <w:rFonts w:hint="eastAsia" w:ascii="微软雅黑" w:hAnsi="微软雅黑" w:eastAsia="微软雅黑" w:cs="微软雅黑"/>
          <w:color w:val="auto"/>
          <w:sz w:val="24"/>
          <w:szCs w:val="24"/>
          <w:highlight w:val="none"/>
        </w:rPr>
        <w:t>。</w:t>
      </w:r>
    </w:p>
    <w:p w14:paraId="251AABD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评标委员会的职责</w:t>
      </w:r>
    </w:p>
    <w:p w14:paraId="022BB96D">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.1审查、评价</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是否符合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的商务、技术等实质性要求。</w:t>
      </w:r>
    </w:p>
    <w:p w14:paraId="4EB99952">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.2要求供应商对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有关事项作出澄清或者说明。</w:t>
      </w:r>
    </w:p>
    <w:p w14:paraId="336381E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.3对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进行比较和评价。</w:t>
      </w:r>
    </w:p>
    <w:p w14:paraId="0CBC371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.4确定中标候选人名单，以及根据采购人委托直接确定中标人。</w:t>
      </w:r>
    </w:p>
    <w:p w14:paraId="0C95103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.5向采购人、采购代理机构或者有关部门报告评审中发现的违法行为。</w:t>
      </w:r>
    </w:p>
    <w:p w14:paraId="25940DDF">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评标原则</w:t>
      </w:r>
    </w:p>
    <w:p w14:paraId="5431C7A6">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.1评标委员会将遵循公平、公正、科学的原则，对供应商提交的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进行综合评审，评标委员会按照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规定的评标细则进行评分。</w:t>
      </w:r>
    </w:p>
    <w:p w14:paraId="3E25C570">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.2客观公正对待所有供应商，对所有投标评价均采用相同的程序和标准。 </w:t>
      </w:r>
    </w:p>
    <w:p w14:paraId="2874EC87">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4E29C326">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人推荐资格；评审得分相同的，由采购人或者采购人委托评标委员会按照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规定的方式确定一个供应商获得中标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未规定的采取随机抽取方式确定，其他同品牌供应商不作为中标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候选人。</w:t>
      </w:r>
    </w:p>
    <w:p w14:paraId="1E0F1953">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非单一产品采购项目，采购人应当根据采购项目技术构成、产品价格比重等合理确定核心产品，并在</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 xml:space="preserve">中载明。多家供应商提供的核心产品品牌相同的，按前款规定处理。      </w:t>
      </w:r>
    </w:p>
    <w:p w14:paraId="5630CA0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评委纪律</w:t>
      </w:r>
    </w:p>
    <w:p w14:paraId="1985B03B">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7.1</w:t>
      </w:r>
      <w:r>
        <w:rPr>
          <w:rFonts w:hint="eastAsia" w:ascii="微软雅黑" w:hAnsi="微软雅黑" w:eastAsia="微软雅黑" w:cs="微软雅黑"/>
          <w:color w:val="auto"/>
          <w:sz w:val="24"/>
          <w:szCs w:val="24"/>
          <w:highlight w:val="none"/>
        </w:rPr>
        <w:t>评标委员会成员必须严格遵守保密规定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不得携带手机进入评标场所</w:t>
      </w:r>
      <w:r>
        <w:rPr>
          <w:rFonts w:hint="eastAsia" w:ascii="微软雅黑" w:hAnsi="微软雅黑" w:eastAsia="微软雅黑" w:cs="微软雅黑"/>
          <w:color w:val="auto"/>
          <w:sz w:val="24"/>
          <w:szCs w:val="24"/>
          <w:highlight w:val="none"/>
        </w:rPr>
        <w:t>，不得泄露评审的有关情况，任何单位和个人不得干扰、影响评标的正常进行，评标委员会成员不得私下与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接触，不得出现</w:t>
      </w:r>
      <w:r>
        <w:rPr>
          <w:rFonts w:hint="eastAsia" w:ascii="微软雅黑" w:hAnsi="微软雅黑" w:eastAsia="微软雅黑" w:cs="微软雅黑"/>
          <w:color w:val="auto"/>
          <w:sz w:val="24"/>
          <w:szCs w:val="24"/>
          <w:highlight w:val="none"/>
          <w:lang w:val="en-US" w:eastAsia="zh-CN"/>
        </w:rPr>
        <w:t>新疆</w:t>
      </w:r>
      <w:r>
        <w:rPr>
          <w:rFonts w:hint="eastAsia" w:ascii="微软雅黑" w:hAnsi="微软雅黑" w:eastAsia="微软雅黑" w:cs="微软雅黑"/>
          <w:color w:val="auto"/>
          <w:sz w:val="24"/>
          <w:szCs w:val="24"/>
          <w:highlight w:val="none"/>
        </w:rPr>
        <w:t>政府采购活动现场组织管理办法中规定的其他禁止行为。</w:t>
      </w:r>
    </w:p>
    <w:p w14:paraId="7457F2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7.2</w:t>
      </w:r>
      <w:r>
        <w:rPr>
          <w:rFonts w:hint="eastAsia" w:ascii="微软雅黑" w:hAnsi="微软雅黑" w:eastAsia="微软雅黑" w:cs="微软雅黑"/>
          <w:b/>
          <w:bCs/>
          <w:color w:val="auto"/>
          <w:sz w:val="24"/>
          <w:szCs w:val="24"/>
        </w:rPr>
        <w:t>评标专家</w:t>
      </w:r>
      <w:r>
        <w:rPr>
          <w:rFonts w:hint="eastAsia" w:ascii="微软雅黑" w:hAnsi="微软雅黑" w:eastAsia="微软雅黑" w:cs="微软雅黑"/>
          <w:b/>
          <w:bCs/>
          <w:color w:val="auto"/>
          <w:kern w:val="0"/>
          <w:sz w:val="24"/>
          <w:szCs w:val="24"/>
        </w:rPr>
        <w:t>与供应商有下列利害关系之一的人员，应当回避</w:t>
      </w:r>
    </w:p>
    <w:p w14:paraId="53284AA7">
      <w:pPr>
        <w:pStyle w:val="49"/>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1）参加采购活动前3年内与供应商存在劳动关系；</w:t>
      </w:r>
    </w:p>
    <w:p w14:paraId="0FAB938C">
      <w:pPr>
        <w:pStyle w:val="49"/>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2）参加采购活动前3年内担任供应商的董事、监事；</w:t>
      </w:r>
    </w:p>
    <w:p w14:paraId="7342B685">
      <w:pPr>
        <w:pStyle w:val="49"/>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3）参加采购活动前3年内是供应商的控股股东或者实际控制人；</w:t>
      </w:r>
    </w:p>
    <w:p w14:paraId="4BF8270C">
      <w:pPr>
        <w:pStyle w:val="49"/>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4）与供应商的法定代表人或者负责人有夫妻、直系血亲、三代以内旁系血亲或者近姻亲关系。</w:t>
      </w:r>
    </w:p>
    <w:p w14:paraId="336D50F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评标程序</w:t>
      </w:r>
    </w:p>
    <w:p w14:paraId="07487C99">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在评审专家中推选评标委员会组长，采购人代表不得担任评标委员会组长。</w:t>
      </w:r>
    </w:p>
    <w:p w14:paraId="2E90B045">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评标委员会组长召集成员认真阅读</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无效情形，评审方法、评审依据、评审标准等。</w:t>
      </w:r>
    </w:p>
    <w:p w14:paraId="2019905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xml:space="preserve">3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对符合资格的供应商的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的有效性、符合性、完整性和响应程度进行审查，确定是否对</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作出实质性响应。</w:t>
      </w:r>
    </w:p>
    <w:p w14:paraId="57C3E93E">
      <w:pPr>
        <w:ind w:firstLine="480" w:firstLineChars="200"/>
        <w:jc w:val="both"/>
        <w:outlineLvl w:val="9"/>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8.4竞争性磋商共有两次报价，二次报价为最终报价，对竞争性磋商文件做出实质性响应的供应商，评审专家所有成员应当集中与单一供应商分别进行磋商，并给予所有参加磋商的供应商平等的磋商机会。评审专家要求所有实质性响应的供应商在规定时间内提交最后报价（提交最后报价的供应商不得少于3家），最后报价是供应商响应文件的有效组成部分，经磋商确定最终采购需求和提交最后报价的供应商后，由评审专家采用综合评分法对提交最后报价的供应商的响应文件进行综合评分。</w:t>
      </w:r>
    </w:p>
    <w:p w14:paraId="17722F7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8.5</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按</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规定的评审方法和评审标准，依法独立对供应商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进行评估、比较，并给予评价或打分，不受任何单位和个人的干预。</w:t>
      </w:r>
    </w:p>
    <w:p w14:paraId="41925E63">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本项目采用：</w:t>
      </w:r>
      <w:r>
        <w:rPr>
          <w:rFonts w:hint="eastAsia" w:ascii="微软雅黑" w:hAnsi="微软雅黑" w:eastAsia="微软雅黑" w:cs="微软雅黑"/>
          <w:b/>
          <w:bCs/>
          <w:color w:val="auto"/>
          <w:kern w:val="0"/>
          <w:sz w:val="24"/>
          <w:szCs w:val="24"/>
          <w:highlight w:val="none"/>
        </w:rPr>
        <w:t>综合评分法</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是指响应文件满足磋商文件全部实质性要求且按评审因素的量化指标评审得分最高的供应商为成交候选供应商的评审方法。</w:t>
      </w:r>
    </w:p>
    <w:p w14:paraId="6A9DB4C6">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综合评分法中的价格分统一采用低价优先法计算，即满足</w:t>
      </w:r>
      <w:r>
        <w:rPr>
          <w:rFonts w:hint="eastAsia" w:ascii="微软雅黑" w:hAnsi="微软雅黑" w:eastAsia="微软雅黑" w:cs="微软雅黑"/>
          <w:color w:val="auto"/>
          <w:kern w:val="0"/>
          <w:sz w:val="24"/>
          <w:szCs w:val="24"/>
          <w:highlight w:val="none"/>
          <w:lang w:eastAsia="zh-CN"/>
        </w:rPr>
        <w:t>磋商文件</w:t>
      </w:r>
      <w:r>
        <w:rPr>
          <w:rFonts w:hint="eastAsia" w:ascii="微软雅黑" w:hAnsi="微软雅黑" w:eastAsia="微软雅黑" w:cs="微软雅黑"/>
          <w:color w:val="auto"/>
          <w:kern w:val="0"/>
          <w:sz w:val="24"/>
          <w:szCs w:val="24"/>
          <w:highlight w:val="none"/>
        </w:rPr>
        <w:t>要求且最后报价最低的供应商的价格为</w:t>
      </w:r>
      <w:r>
        <w:rPr>
          <w:rFonts w:hint="eastAsia" w:ascii="微软雅黑" w:hAnsi="微软雅黑" w:eastAsia="微软雅黑" w:cs="微软雅黑"/>
          <w:color w:val="auto"/>
          <w:kern w:val="0"/>
          <w:sz w:val="24"/>
          <w:szCs w:val="24"/>
          <w:highlight w:val="none"/>
          <w:lang w:eastAsia="zh-CN"/>
        </w:rPr>
        <w:t>招标</w:t>
      </w:r>
      <w:r>
        <w:rPr>
          <w:rFonts w:hint="eastAsia" w:ascii="微软雅黑" w:hAnsi="微软雅黑" w:eastAsia="微软雅黑" w:cs="微软雅黑"/>
          <w:color w:val="auto"/>
          <w:kern w:val="0"/>
          <w:sz w:val="24"/>
          <w:szCs w:val="24"/>
          <w:highlight w:val="none"/>
        </w:rPr>
        <w:t>基准价，其价格分为满分。</w:t>
      </w:r>
    </w:p>
    <w:p w14:paraId="6DD2D0BF">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项目评审过程中，不得去掉最后报价中的最高报价和最低报价。</w:t>
      </w:r>
    </w:p>
    <w:p w14:paraId="192BA6A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8.6</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对各供应商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6D047473">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8.7</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13ADDC7F">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8.8</w:t>
      </w:r>
      <w:r>
        <w:rPr>
          <w:rFonts w:hint="eastAsia" w:ascii="微软雅黑" w:hAnsi="微软雅黑" w:eastAsia="微软雅黑" w:cs="微软雅黑"/>
          <w:color w:val="auto"/>
          <w:sz w:val="24"/>
          <w:szCs w:val="24"/>
          <w:highlight w:val="none"/>
        </w:rPr>
        <w:t xml:space="preserve"> 评标委员会根据评审汇总情况和</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w:t>
      </w:r>
      <w:r>
        <w:rPr>
          <w:rFonts w:hint="eastAsia" w:ascii="微软雅黑" w:hAnsi="微软雅黑" w:eastAsia="微软雅黑" w:cs="微软雅黑"/>
          <w:color w:val="auto"/>
          <w:sz w:val="24"/>
          <w:szCs w:val="24"/>
          <w:highlight w:val="none"/>
          <w:lang w:eastAsia="zh-CN"/>
        </w:rPr>
        <w:t>推荐</w:t>
      </w:r>
      <w:r>
        <w:rPr>
          <w:rFonts w:hint="eastAsia" w:ascii="微软雅黑" w:hAnsi="微软雅黑" w:eastAsia="微软雅黑" w:cs="微软雅黑"/>
          <w:color w:val="auto"/>
          <w:sz w:val="24"/>
          <w:szCs w:val="24"/>
          <w:highlight w:val="none"/>
        </w:rPr>
        <w:t>中标中标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候选供应商排序名单。</w:t>
      </w:r>
    </w:p>
    <w:p w14:paraId="3F8CD496">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8.9</w:t>
      </w:r>
      <w:r>
        <w:rPr>
          <w:rFonts w:hint="eastAsia" w:ascii="微软雅黑" w:hAnsi="微软雅黑" w:eastAsia="微软雅黑" w:cs="微软雅黑"/>
          <w:color w:val="auto"/>
          <w:sz w:val="24"/>
          <w:szCs w:val="24"/>
          <w:highlight w:val="none"/>
        </w:rPr>
        <w:t xml:space="preserve"> 起草评审报告，所有</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 xml:space="preserve">须在评审报告上签字确认，对自己的评审意见承担法律责任。 </w:t>
      </w:r>
    </w:p>
    <w:p w14:paraId="33EF930E">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8.10</w:t>
      </w:r>
      <w:r>
        <w:rPr>
          <w:rFonts w:hint="eastAsia" w:ascii="微软雅黑" w:hAnsi="微软雅黑" w:eastAsia="微软雅黑" w:cs="微软雅黑"/>
          <w:color w:val="auto"/>
          <w:sz w:val="24"/>
          <w:szCs w:val="24"/>
          <w:highlight w:val="none"/>
        </w:rPr>
        <w:t xml:space="preserve"> 采购组织机构对评标委员会评审专家进行评价。</w:t>
      </w:r>
    </w:p>
    <w:p w14:paraId="02B52CC8">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8.11</w:t>
      </w:r>
      <w:r>
        <w:rPr>
          <w:rFonts w:hint="eastAsia" w:ascii="微软雅黑" w:hAnsi="微软雅黑" w:eastAsia="微软雅黑" w:cs="微软雅黑"/>
          <w:color w:val="auto"/>
          <w:sz w:val="24"/>
          <w:szCs w:val="24"/>
          <w:highlight w:val="none"/>
        </w:rPr>
        <w:t>修改评审结果</w:t>
      </w:r>
    </w:p>
    <w:p w14:paraId="6183645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14:paraId="5C07699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14:paraId="23267396">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14:paraId="2B187EDD">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14:paraId="215D7D99">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14:paraId="33DE90AC">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3C2813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9、澄清、说明或补正的形式</w:t>
      </w:r>
    </w:p>
    <w:p w14:paraId="73B54EF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9.1对于响应文件中含义不明确、同类问题表述不一致或者有明显文字和计算错误的内容，评标委员会将通过“政府采购云平台”在线询标的方式要求供应商在规定的时间内作出必要的澄清、说明或者补正，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lang w:val="en-US" w:eastAsia="zh-CN"/>
        </w:rPr>
        <w:t>供应商澄清、说明或补正时间为20分钟</w:t>
      </w:r>
      <w:r>
        <w:rPr>
          <w:rFonts w:hint="eastAsia" w:ascii="微软雅黑" w:hAnsi="微软雅黑" w:eastAsia="微软雅黑" w:cs="微软雅黑"/>
          <w:b w:val="0"/>
          <w:bCs w:val="0"/>
          <w:color w:val="auto"/>
          <w:sz w:val="24"/>
          <w:szCs w:val="24"/>
          <w:highlight w:val="none"/>
          <w:lang w:val="en-US" w:eastAsia="zh-CN"/>
        </w:rPr>
        <w:t>。</w:t>
      </w:r>
    </w:p>
    <w:p w14:paraId="5CE0074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响应文件的范围或者改变响应文件的实质性内容，不接受供应商主动对响应文件的澄清、说明或者补正。</w:t>
      </w:r>
    </w:p>
    <w:p w14:paraId="46EA91B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3E2FEC2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10、错误修正的原则</w:t>
      </w:r>
    </w:p>
    <w:p w14:paraId="3BE66B1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10.1电子交易平台客户端里开标一览表录入的磋商报价或优惠率与扫描上传的报价文件信息不一致的，以扫描上传的报价文件信息为准进行修正。</w:t>
      </w:r>
    </w:p>
    <w:p w14:paraId="4010A04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10.2响应文件报价出现前后不一致的，除竞争性磋商文件另有规定外，按照下列规定修正：</w:t>
      </w:r>
    </w:p>
    <w:p w14:paraId="4E87D6F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10.3 投标函中表述的内容与报价表中不一致的，以报价表为准；报价表中的内容与报价明细表不一致的，以报价表为准；</w:t>
      </w:r>
    </w:p>
    <w:p w14:paraId="615B199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10.4响应文件中的大写金额和小写金额不一致的，以大写金额为准；</w:t>
      </w:r>
    </w:p>
    <w:p w14:paraId="4A41469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10.5 单价金额小数点或者百分比有明显错位的，以开标一览表的总价为准，并修改单价；</w:t>
      </w:r>
    </w:p>
    <w:p w14:paraId="599AECE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10.6 总价金额与按单价汇总金额不一致的，以单价金额计算结果为准；</w:t>
      </w:r>
    </w:p>
    <w:p w14:paraId="271BB74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10.7若用文字表示的数值与用数字表示的数值不一致，以文字表示的数值为准；</w:t>
      </w:r>
    </w:p>
    <w:p w14:paraId="74A8629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10.8 如有多报（指数量超出竞争性磋商文件需求）、重报（指同一货物重复报价），其投标总价在评标过程中不予调整，如其中标，其合同价按其投标单价予以调整；</w:t>
      </w:r>
    </w:p>
    <w:p w14:paraId="56EFA7D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10.9对不同文字文本响应文件的解释发生异议的，以中文文本为准；</w:t>
      </w:r>
    </w:p>
    <w:p w14:paraId="5516C24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微软雅黑" w:hAnsi="微软雅黑" w:eastAsia="微软雅黑" w:cs="微软雅黑"/>
          <w:b/>
          <w:bCs/>
          <w:color w:val="auto"/>
          <w:sz w:val="24"/>
          <w:szCs w:val="24"/>
          <w:highlight w:val="none"/>
          <w:lang w:val="en-US" w:eastAsia="zh-CN"/>
        </w:rPr>
        <w:t>修正应当采用电子标的形式，并加盖公章（电子印章）。</w:t>
      </w:r>
    </w:p>
    <w:p w14:paraId="60E5269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11、有下列情形之一的，响应文件按无效标处理：</w:t>
      </w:r>
    </w:p>
    <w:p w14:paraId="1283C5E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 报名的供应商与参加投标的供应商发生实质性变更的且未提供有效证明的；</w:t>
      </w:r>
    </w:p>
    <w:p w14:paraId="2F2A526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11.2供应商提交两份或两份以上内容不同的响应文件，未声明哪一份有效的；</w:t>
      </w:r>
    </w:p>
    <w:p w14:paraId="5751CC7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11.3 响应文件非供应商法定代表人签署的，未提供或提供无效的法定代表人授权书的；</w:t>
      </w:r>
    </w:p>
    <w:p w14:paraId="688ACC5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11.4响应文件内容未按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磋商文件规定签字或盖章的；</w:t>
      </w:r>
    </w:p>
    <w:p w14:paraId="0AD9476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11.5 响应文件组成漏项或未按规定的格式编制或上传的响应文件内容不全或内容字迹模糊辨认不清的而导致评标活动无法正常进行；</w:t>
      </w:r>
    </w:p>
    <w:p w14:paraId="2E06D64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11.6供应商未按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磋商文件变更通知更改响应文件的；</w:t>
      </w:r>
    </w:p>
    <w:p w14:paraId="7ADD301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11.7《开标一览表》和《投标分项报价表》内容不完整且不接受修正意见或字迹不能辨认的或未提供的；</w:t>
      </w:r>
    </w:p>
    <w:p w14:paraId="751D9A8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11.8标项投标报价超过</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磋商文件规定的预算金额或最高限价；</w:t>
      </w:r>
    </w:p>
    <w:p w14:paraId="01F22FF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11.9 因供应商原因编制错误造成经评标委员会修正后的报价达到或超过投标报价的0.5%；</w:t>
      </w:r>
    </w:p>
    <w:p w14:paraId="1F95C3C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14:paraId="799AA51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11.11 未实质性响应</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磋商文件中条款要求的响应文件；</w:t>
      </w:r>
    </w:p>
    <w:p w14:paraId="3D92B9A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11.12 不符合招标范围、技术规格、技术标准的要求无法满足采购人使用要求；</w:t>
      </w:r>
    </w:p>
    <w:p w14:paraId="024067B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11.13 响应文件附有采购人不能接受的条款；</w:t>
      </w:r>
    </w:p>
    <w:p w14:paraId="582BA21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11.14 响应文件中提供了赠品或者与本项目采购无关的其他商品、服务；</w:t>
      </w:r>
    </w:p>
    <w:p w14:paraId="35403FC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11.15响应文件中承诺的投标有效期少于磋商文件中载明的投标有效期；</w:t>
      </w:r>
    </w:p>
    <w:p w14:paraId="2C6767B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11.16供应商串通投标，妨碍其他供应商的竞争行为，损害采购人或者其他供应商的合法权益；</w:t>
      </w:r>
    </w:p>
    <w:p w14:paraId="23BD590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11.17违反国家及政府部门相关法律、法规、文件规定或经评标委员会认定的其他属于重大偏离；</w:t>
      </w:r>
    </w:p>
    <w:p w14:paraId="17907DF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12、废标</w:t>
      </w:r>
    </w:p>
    <w:p w14:paraId="1EEA13F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12.1 符合</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磋商文件规定废标情形的；</w:t>
      </w:r>
    </w:p>
    <w:p w14:paraId="5F589BE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12.2出现影响采购公正的违法、违规行为的；</w:t>
      </w:r>
    </w:p>
    <w:p w14:paraId="655DC74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12.3供应商的报价均超过了采购预算（或最高限价），采购人不能支付的;</w:t>
      </w:r>
    </w:p>
    <w:p w14:paraId="45E99AB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12.4因重大变故，采购任务取消的。</w:t>
      </w:r>
    </w:p>
    <w:p w14:paraId="45535B4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13、突发情况处理</w:t>
      </w:r>
    </w:p>
    <w:p w14:paraId="4BE99F1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13.1 采购过程中出现以下情形，导致电子交易平台无法正常运行，或者无法保证电子交易的公平、公正和安全时，采购组织机构可中止电子交易活动：</w:t>
      </w:r>
    </w:p>
    <w:p w14:paraId="63B495B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（1）电子交易平台发生故障而无法登录访问的； </w:t>
      </w:r>
    </w:p>
    <w:p w14:paraId="22CE78E4">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（2）电子交易平台应用或数据库出现错误，不能进行正常操作的；</w:t>
      </w:r>
    </w:p>
    <w:p w14:paraId="5F3BA6F4">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（3）电子交易平台发现严重安全漏洞，有潜在泄密危险的；</w:t>
      </w:r>
    </w:p>
    <w:p w14:paraId="5E2CE863">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（4）病毒发作导致不能进行正常操作的； </w:t>
      </w:r>
    </w:p>
    <w:p w14:paraId="0BBD3E0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（5）其他无法保证电子交易的公平、公正和安全的情况。</w:t>
      </w:r>
    </w:p>
    <w:p w14:paraId="250DE527">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F1E802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13.2 采购代理机构或评审小组因不可抗力（不可抗力包括但不限于自然灾害、断电、传播疫病等）原因造成电子交易活动无法正常运行的，将采取以下措施：</w:t>
      </w:r>
    </w:p>
    <w:p w14:paraId="3B506C7B">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14:paraId="353D4D5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40D51037">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14.保密要求：</w:t>
      </w:r>
    </w:p>
    <w:p w14:paraId="32384D24">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采购人、采购代理机构确保</w:t>
      </w:r>
      <w:r>
        <w:rPr>
          <w:rFonts w:hint="eastAsia" w:ascii="微软雅黑" w:hAnsi="微软雅黑" w:eastAsia="微软雅黑" w:cs="微软雅黑"/>
          <w:color w:val="auto"/>
          <w:kern w:val="0"/>
          <w:sz w:val="24"/>
          <w:szCs w:val="24"/>
          <w:lang w:val="en-US" w:eastAsia="zh-CN"/>
        </w:rPr>
        <w:t>评标</w:t>
      </w:r>
      <w:r>
        <w:rPr>
          <w:rFonts w:hint="eastAsia" w:ascii="微软雅黑" w:hAnsi="微软雅黑" w:eastAsia="微软雅黑" w:cs="微软雅黑"/>
          <w:color w:val="auto"/>
          <w:kern w:val="0"/>
          <w:sz w:val="24"/>
          <w:szCs w:val="24"/>
        </w:rPr>
        <w:t>活动在严格保密的情况下进行。在采购结果确定前，采购人、采购代理机构对</w:t>
      </w:r>
      <w:r>
        <w:rPr>
          <w:rFonts w:hint="eastAsia" w:ascii="微软雅黑" w:hAnsi="微软雅黑" w:eastAsia="微软雅黑" w:cs="微软雅黑"/>
          <w:color w:val="auto"/>
          <w:kern w:val="0"/>
          <w:sz w:val="24"/>
          <w:szCs w:val="24"/>
          <w:lang w:val="en-US" w:eastAsia="zh-CN"/>
        </w:rPr>
        <w:t>评审专家</w:t>
      </w:r>
      <w:r>
        <w:rPr>
          <w:rFonts w:hint="eastAsia" w:ascii="微软雅黑" w:hAnsi="微软雅黑" w:eastAsia="微软雅黑" w:cs="微软雅黑"/>
          <w:color w:val="auto"/>
          <w:kern w:val="0"/>
          <w:sz w:val="24"/>
          <w:szCs w:val="24"/>
        </w:rPr>
        <w:t>名单保密。</w:t>
      </w:r>
      <w:r>
        <w:rPr>
          <w:rFonts w:hint="eastAsia" w:ascii="微软雅黑" w:hAnsi="微软雅黑" w:eastAsia="微软雅黑" w:cs="微软雅黑"/>
          <w:color w:val="auto"/>
          <w:sz w:val="24"/>
          <w:szCs w:val="24"/>
        </w:rPr>
        <w:t>与</w:t>
      </w:r>
      <w:r>
        <w:rPr>
          <w:rFonts w:hint="eastAsia" w:ascii="微软雅黑" w:hAnsi="微软雅黑" w:eastAsia="微软雅黑" w:cs="微软雅黑"/>
          <w:color w:val="auto"/>
          <w:sz w:val="24"/>
          <w:szCs w:val="24"/>
          <w:lang w:eastAsia="zh-CN"/>
        </w:rPr>
        <w:t>评审</w:t>
      </w:r>
      <w:r>
        <w:rPr>
          <w:rFonts w:hint="eastAsia" w:ascii="微软雅黑" w:hAnsi="微软雅黑" w:eastAsia="微软雅黑" w:cs="微软雅黑"/>
          <w:color w:val="auto"/>
          <w:sz w:val="24"/>
          <w:szCs w:val="24"/>
        </w:rPr>
        <w:t>工作无关的人员不得进入现场</w:t>
      </w:r>
      <w:r>
        <w:rPr>
          <w:rFonts w:hint="eastAsia" w:ascii="微软雅黑" w:hAnsi="微软雅黑" w:eastAsia="微软雅黑" w:cs="微软雅黑"/>
          <w:color w:val="auto"/>
          <w:kern w:val="0"/>
          <w:sz w:val="24"/>
          <w:szCs w:val="24"/>
          <w:lang w:val="en-US" w:eastAsia="zh-CN"/>
        </w:rPr>
        <w:t>。有关人员须对评审情况以及在评审过程中获悉的国家秘密、商业秘密负有保密责任</w:t>
      </w:r>
      <w:r>
        <w:rPr>
          <w:rFonts w:hint="eastAsia" w:ascii="微软雅黑" w:hAnsi="微软雅黑" w:eastAsia="微软雅黑" w:cs="微软雅黑"/>
          <w:color w:val="auto"/>
          <w:kern w:val="0"/>
          <w:sz w:val="24"/>
          <w:szCs w:val="24"/>
        </w:rPr>
        <w:t>。</w:t>
      </w:r>
    </w:p>
    <w:p w14:paraId="3041FED0">
      <w:pPr>
        <w:keepNext w:val="0"/>
        <w:keepLines w:val="0"/>
        <w:pageBreakBefore w:val="0"/>
        <w:shd w:val="clear" w:color="auto" w:fill="auto"/>
        <w:kinsoku/>
        <w:wordWrap/>
        <w:overflowPunct/>
        <w:topLinePunct w:val="0"/>
        <w:bidi w:val="0"/>
        <w:snapToGrid w:val="0"/>
        <w:spacing w:line="480" w:lineRule="exact"/>
        <w:ind w:firstLine="42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15、</w:t>
      </w:r>
      <w:r>
        <w:rPr>
          <w:rFonts w:hint="eastAsia" w:ascii="微软雅黑" w:hAnsi="微软雅黑" w:eastAsia="微软雅黑" w:cs="微软雅黑"/>
          <w:b/>
          <w:color w:val="auto"/>
          <w:sz w:val="24"/>
          <w:szCs w:val="24"/>
          <w:highlight w:val="none"/>
        </w:rPr>
        <w:t xml:space="preserve"> 定标</w:t>
      </w:r>
    </w:p>
    <w:p w14:paraId="47E7A46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val="0"/>
          <w:bCs w:val="0"/>
          <w:color w:val="auto"/>
          <w:sz w:val="24"/>
          <w:szCs w:val="24"/>
          <w:highlight w:val="none"/>
          <w:lang w:val="en-US" w:eastAsia="zh-CN"/>
        </w:rPr>
        <w:t>15.1采购结果确认（确定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w:t>
      </w:r>
    </w:p>
    <w:p w14:paraId="0DEF912E">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供应商）：本项目由采购人根据评审专家提交的《评审报告》，通过“政府采购云平台”依法确认采购结果、确定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供应商。具体流程如下：</w:t>
      </w:r>
    </w:p>
    <w:p w14:paraId="38CF7B85">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（1）采购代理机构将在评审结束后2个工作日内将评审报告送采购人，同时在政采云平台提交采购结果至采购人确认。</w:t>
      </w:r>
    </w:p>
    <w:p w14:paraId="1A5E7FA3">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（2）采购人将在收到评审报告之日起5个工作日内，在评审报告推荐的</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候选供应商名单中按顺序确定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 xml:space="preserve">供应商，并将确认意见以书面形式回复采购代理机构，同时在政采云平台线上确认采购结果。 </w:t>
      </w:r>
    </w:p>
    <w:p w14:paraId="0747B09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15.2采购结果经采购人确认后2个工作日内，采购代理机构将在</w:t>
      </w:r>
      <w:r>
        <w:rPr>
          <w:rFonts w:hint="eastAsia" w:ascii="微软雅黑" w:hAnsi="微软雅黑" w:eastAsia="微软雅黑" w:cs="微软雅黑"/>
          <w:b/>
          <w:bCs/>
          <w:color w:val="auto"/>
          <w:sz w:val="24"/>
          <w:szCs w:val="24"/>
          <w:highlight w:val="none"/>
          <w:lang w:val="en-US" w:eastAsia="zh-CN"/>
        </w:rPr>
        <w:t>新疆政府采购网（www.zjzfcg.gov.cn）上公示采购结果，中标（成交）公示期限为1个工作日。</w:t>
      </w:r>
    </w:p>
    <w:p w14:paraId="78DBF19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16、 中标（成交）通知书</w:t>
      </w:r>
    </w:p>
    <w:p w14:paraId="7E4337B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16.1</w:t>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val="en-US" w:eastAsia="zh-CN"/>
        </w:rPr>
        <w:t>中标（成交）</w:t>
      </w:r>
      <w:r>
        <w:rPr>
          <w:rFonts w:hint="eastAsia" w:ascii="微软雅黑" w:hAnsi="微软雅黑" w:eastAsia="微软雅黑" w:cs="微软雅黑"/>
          <w:color w:val="auto"/>
          <w:sz w:val="24"/>
          <w:szCs w:val="24"/>
          <w:highlight w:val="none"/>
        </w:rPr>
        <w:t>通知书发出前，</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将</w:t>
      </w:r>
      <w:r>
        <w:rPr>
          <w:rFonts w:hint="eastAsia" w:ascii="微软雅黑" w:hAnsi="微软雅黑" w:eastAsia="微软雅黑" w:cs="微软雅黑"/>
          <w:color w:val="auto"/>
          <w:sz w:val="24"/>
          <w:szCs w:val="24"/>
          <w:highlight w:val="none"/>
          <w:lang w:eastAsia="zh-CN"/>
        </w:rPr>
        <w:t>中标（成交）供应商</w:t>
      </w:r>
      <w:r>
        <w:rPr>
          <w:rFonts w:hint="eastAsia" w:ascii="微软雅黑" w:hAnsi="微软雅黑" w:eastAsia="微软雅黑" w:cs="微软雅黑"/>
          <w:color w:val="auto"/>
          <w:sz w:val="24"/>
          <w:szCs w:val="24"/>
          <w:highlight w:val="none"/>
        </w:rPr>
        <w:t>的情况在</w:t>
      </w:r>
      <w:r>
        <w:rPr>
          <w:rFonts w:hint="eastAsia" w:ascii="微软雅黑" w:hAnsi="微软雅黑" w:eastAsia="微软雅黑" w:cs="微软雅黑"/>
          <w:color w:val="auto"/>
          <w:sz w:val="24"/>
          <w:szCs w:val="24"/>
          <w:highlight w:val="none"/>
          <w:lang w:eastAsia="zh-CN"/>
        </w:rPr>
        <w:t>新疆政府采购网</w:t>
      </w:r>
      <w:r>
        <w:rPr>
          <w:rFonts w:hint="eastAsia" w:ascii="微软雅黑" w:hAnsi="微软雅黑" w:eastAsia="微软雅黑" w:cs="微软雅黑"/>
          <w:color w:val="auto"/>
          <w:sz w:val="24"/>
          <w:szCs w:val="24"/>
          <w:highlight w:val="none"/>
        </w:rPr>
        <w:t>予以公示，</w:t>
      </w:r>
      <w:r>
        <w:rPr>
          <w:rFonts w:hint="eastAsia" w:ascii="微软雅黑" w:hAnsi="微软雅黑" w:eastAsia="微软雅黑" w:cs="微软雅黑"/>
          <w:b/>
          <w:bCs/>
          <w:color w:val="auto"/>
          <w:sz w:val="24"/>
          <w:szCs w:val="24"/>
          <w:highlight w:val="none"/>
        </w:rPr>
        <w:t>公示期为</w:t>
      </w:r>
      <w:r>
        <w:rPr>
          <w:rFonts w:hint="eastAsia" w:ascii="微软雅黑" w:hAnsi="微软雅黑" w:eastAsia="微软雅黑" w:cs="微软雅黑"/>
          <w:b/>
          <w:bCs/>
          <w:color w:val="auto"/>
          <w:sz w:val="24"/>
          <w:szCs w:val="24"/>
          <w:highlight w:val="none"/>
          <w:lang w:eastAsia="zh-CN"/>
        </w:rPr>
        <w:t>一</w:t>
      </w:r>
      <w:r>
        <w:rPr>
          <w:rFonts w:hint="eastAsia" w:ascii="微软雅黑" w:hAnsi="微软雅黑" w:eastAsia="微软雅黑" w:cs="微软雅黑"/>
          <w:b/>
          <w:bCs/>
          <w:color w:val="auto"/>
          <w:sz w:val="24"/>
          <w:szCs w:val="24"/>
          <w:highlight w:val="none"/>
        </w:rPr>
        <w:t>个工作日。</w:t>
      </w:r>
      <w:r>
        <w:rPr>
          <w:rFonts w:hint="eastAsia" w:ascii="微软雅黑" w:hAnsi="微软雅黑" w:eastAsia="微软雅黑" w:cs="微软雅黑"/>
          <w:b/>
          <w:bCs/>
          <w:color w:val="auto"/>
          <w:sz w:val="24"/>
          <w:szCs w:val="24"/>
          <w:highlight w:val="none"/>
          <w:lang w:eastAsia="zh-CN"/>
        </w:rPr>
        <w:t>待公示期结束后，</w:t>
      </w:r>
      <w:r>
        <w:rPr>
          <w:rFonts w:hint="eastAsia" w:ascii="微软雅黑" w:hAnsi="微软雅黑" w:eastAsia="微软雅黑" w:cs="微软雅黑"/>
          <w:b w:val="0"/>
          <w:bCs w:val="0"/>
          <w:color w:val="auto"/>
          <w:sz w:val="24"/>
          <w:szCs w:val="24"/>
          <w:highlight w:val="none"/>
          <w:lang w:val="en-US" w:eastAsia="zh-CN"/>
        </w:rPr>
        <w:t>采购组织机构向</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(成交)供应商</w:t>
      </w:r>
      <w:r>
        <w:rPr>
          <w:rFonts w:hint="eastAsia" w:ascii="微软雅黑" w:hAnsi="微软雅黑" w:eastAsia="微软雅黑" w:cs="微软雅黑"/>
          <w:b w:val="0"/>
          <w:bCs w:val="0"/>
          <w:color w:val="auto"/>
          <w:sz w:val="24"/>
          <w:szCs w:val="24"/>
          <w:highlight w:val="none"/>
          <w:lang w:val="en-US" w:eastAsia="zh-CN"/>
        </w:rPr>
        <w:t>发出中标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通知书。</w:t>
      </w:r>
    </w:p>
    <w:p w14:paraId="229C05D7">
      <w:pPr>
        <w:pStyle w:val="10"/>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4D0A0748">
      <w:pPr>
        <w:pStyle w:val="2"/>
        <w:keepNext w:val="0"/>
        <w:keepLines w:val="0"/>
        <w:pageBreakBefore w:val="0"/>
        <w:numPr>
          <w:ilvl w:val="0"/>
          <w:numId w:val="7"/>
        </w:numPr>
        <w:kinsoku/>
        <w:wordWrap/>
        <w:overflowPunct/>
        <w:topLinePunct w:val="0"/>
        <w:bidi w:val="0"/>
        <w:spacing w:line="480" w:lineRule="exact"/>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磋商小组推荐成交候选供应商的数量</w:t>
      </w:r>
      <w:r>
        <w:rPr>
          <w:rFonts w:hint="eastAsia" w:ascii="微软雅黑" w:hAnsi="微软雅黑" w:eastAsia="微软雅黑" w:cs="微软雅黑"/>
          <w:b/>
          <w:bCs/>
          <w:color w:val="auto"/>
          <w:kern w:val="2"/>
          <w:sz w:val="24"/>
          <w:szCs w:val="24"/>
          <w:highlight w:val="none"/>
          <w:u w:val="single"/>
          <w:lang w:val="en-US" w:eastAsia="zh-CN" w:bidi="ar-SA"/>
        </w:rPr>
        <w:t>：3</w:t>
      </w:r>
      <w:r>
        <w:rPr>
          <w:rFonts w:hint="eastAsia" w:ascii="微软雅黑" w:hAnsi="微软雅黑" w:eastAsia="微软雅黑" w:cs="微软雅黑"/>
          <w:b/>
          <w:bCs/>
          <w:color w:val="auto"/>
          <w:kern w:val="2"/>
          <w:sz w:val="24"/>
          <w:szCs w:val="24"/>
          <w:highlight w:val="none"/>
          <w:lang w:val="en-US" w:eastAsia="zh-CN" w:bidi="ar-SA"/>
        </w:rPr>
        <w:t xml:space="preserve">。 </w:t>
      </w:r>
    </w:p>
    <w:p w14:paraId="2585AB15">
      <w:pPr>
        <w:pStyle w:val="35"/>
        <w:widowControl w:val="0"/>
        <w:numPr>
          <w:ilvl w:val="0"/>
          <w:numId w:val="0"/>
        </w:numPr>
        <w:spacing w:line="360" w:lineRule="auto"/>
        <w:jc w:val="both"/>
        <w:rPr>
          <w:rFonts w:hint="eastAsia" w:ascii="微软雅黑" w:hAnsi="微软雅黑" w:eastAsia="微软雅黑" w:cs="微软雅黑"/>
          <w:color w:val="auto"/>
          <w:lang w:val="en-US" w:eastAsia="zh-CN"/>
        </w:rPr>
      </w:pPr>
    </w:p>
    <w:p w14:paraId="05325930">
      <w:pPr>
        <w:pStyle w:val="10"/>
        <w:rPr>
          <w:rFonts w:hint="eastAsia" w:ascii="微软雅黑" w:hAnsi="微软雅黑" w:eastAsia="微软雅黑" w:cs="微软雅黑"/>
          <w:color w:val="auto"/>
          <w:lang w:val="en-US" w:eastAsia="zh-CN"/>
        </w:rPr>
      </w:pPr>
    </w:p>
    <w:p w14:paraId="305D76C4">
      <w:pPr>
        <w:pStyle w:val="12"/>
        <w:rPr>
          <w:rFonts w:hint="eastAsia" w:ascii="微软雅黑" w:hAnsi="微软雅黑" w:eastAsia="微软雅黑" w:cs="微软雅黑"/>
          <w:color w:val="auto"/>
          <w:lang w:val="en-US" w:eastAsia="zh-CN"/>
        </w:rPr>
      </w:pPr>
    </w:p>
    <w:p w14:paraId="0701619C">
      <w:pPr>
        <w:rPr>
          <w:rFonts w:hint="eastAsia" w:ascii="微软雅黑" w:hAnsi="微软雅黑" w:eastAsia="微软雅黑" w:cs="微软雅黑"/>
          <w:b/>
          <w:bCs/>
          <w:color w:val="auto"/>
          <w:sz w:val="24"/>
        </w:rPr>
      </w:pPr>
      <w:bookmarkStart w:id="768" w:name="_Toc10077"/>
      <w:bookmarkStart w:id="769" w:name="_Toc1826"/>
      <w:r>
        <w:rPr>
          <w:rFonts w:hint="eastAsia" w:ascii="微软雅黑" w:hAnsi="微软雅黑" w:eastAsia="微软雅黑" w:cs="微软雅黑"/>
          <w:b/>
          <w:bCs/>
          <w:color w:val="auto"/>
          <w:sz w:val="24"/>
        </w:rPr>
        <w:br w:type="page"/>
      </w:r>
    </w:p>
    <w:p w14:paraId="108EC6A7">
      <w:pPr>
        <w:snapToGrid w:val="0"/>
        <w:spacing w:line="360" w:lineRule="exact"/>
        <w:jc w:val="center"/>
        <w:textAlignment w:val="baseline"/>
        <w:outlineLvl w:val="1"/>
        <w:rPr>
          <w:rFonts w:hint="eastAsia" w:ascii="微软雅黑" w:hAnsi="微软雅黑" w:eastAsia="微软雅黑" w:cs="微软雅黑"/>
          <w:b/>
          <w:bCs/>
          <w:color w:val="auto"/>
          <w:sz w:val="24"/>
        </w:rPr>
      </w:pPr>
      <w:bookmarkStart w:id="770" w:name="_Toc15461"/>
      <w:r>
        <w:rPr>
          <w:rFonts w:hint="eastAsia" w:ascii="微软雅黑" w:hAnsi="微软雅黑" w:eastAsia="微软雅黑" w:cs="微软雅黑"/>
          <w:b/>
          <w:bCs/>
          <w:color w:val="auto"/>
          <w:sz w:val="24"/>
        </w:rPr>
        <w:t>初步评审—资格性审查表</w:t>
      </w:r>
      <w:bookmarkEnd w:id="750"/>
      <w:bookmarkEnd w:id="751"/>
      <w:bookmarkEnd w:id="752"/>
      <w:bookmarkEnd w:id="753"/>
      <w:bookmarkEnd w:id="754"/>
      <w:bookmarkEnd w:id="755"/>
      <w:bookmarkEnd w:id="756"/>
      <w:bookmarkEnd w:id="757"/>
      <w:bookmarkEnd w:id="758"/>
      <w:bookmarkEnd w:id="759"/>
      <w:bookmarkEnd w:id="768"/>
      <w:bookmarkEnd w:id="769"/>
      <w:bookmarkEnd w:id="770"/>
    </w:p>
    <w:tbl>
      <w:tblPr>
        <w:tblStyle w:val="36"/>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14:paraId="5EF3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14:paraId="3BC4548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序号</w:t>
            </w:r>
          </w:p>
        </w:tc>
        <w:tc>
          <w:tcPr>
            <w:tcW w:w="7225" w:type="dxa"/>
            <w:vMerge w:val="restart"/>
            <w:vAlign w:val="center"/>
          </w:tcPr>
          <w:p w14:paraId="300B3847">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评审内容</w:t>
            </w:r>
          </w:p>
        </w:tc>
        <w:tc>
          <w:tcPr>
            <w:tcW w:w="2389" w:type="dxa"/>
            <w:gridSpan w:val="3"/>
            <w:vAlign w:val="center"/>
          </w:tcPr>
          <w:p w14:paraId="649F5201">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供应商</w:t>
            </w:r>
          </w:p>
        </w:tc>
      </w:tr>
      <w:tr w14:paraId="1037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14:paraId="7E398458">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Cs/>
                <w:color w:val="auto"/>
                <w:sz w:val="24"/>
              </w:rPr>
            </w:pPr>
          </w:p>
        </w:tc>
        <w:tc>
          <w:tcPr>
            <w:tcW w:w="7225" w:type="dxa"/>
            <w:vMerge w:val="continue"/>
            <w:vAlign w:val="center"/>
          </w:tcPr>
          <w:p w14:paraId="1CCE03ED">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Cs/>
                <w:color w:val="auto"/>
                <w:sz w:val="24"/>
              </w:rPr>
            </w:pPr>
          </w:p>
        </w:tc>
        <w:tc>
          <w:tcPr>
            <w:tcW w:w="912" w:type="dxa"/>
            <w:vAlign w:val="center"/>
          </w:tcPr>
          <w:p w14:paraId="1551FCE1">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c>
          <w:tcPr>
            <w:tcW w:w="750" w:type="dxa"/>
            <w:vAlign w:val="center"/>
          </w:tcPr>
          <w:p w14:paraId="6FDB4816">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c>
          <w:tcPr>
            <w:tcW w:w="727" w:type="dxa"/>
            <w:vAlign w:val="center"/>
          </w:tcPr>
          <w:p w14:paraId="70168C31">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r>
      <w:tr w14:paraId="4CE2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14:paraId="385C7133">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7225" w:type="dxa"/>
            <w:vAlign w:val="center"/>
          </w:tcPr>
          <w:p w14:paraId="48232BA9">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具有独立承担民事责任的能力；（提供在中华人民共和国境内注册的法人或其他组织的营业执照或事业单位法人证书或社会团体法人登记证书）；</w:t>
            </w:r>
          </w:p>
        </w:tc>
        <w:tc>
          <w:tcPr>
            <w:tcW w:w="912" w:type="dxa"/>
          </w:tcPr>
          <w:p w14:paraId="398CCBF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713DA51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73BB841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6479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53" w:type="dxa"/>
            <w:vAlign w:val="center"/>
          </w:tcPr>
          <w:p w14:paraId="02FC00B5">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7225" w:type="dxa"/>
            <w:vAlign w:val="center"/>
          </w:tcPr>
          <w:p w14:paraId="663B2CAA">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法定代表人资格证明及授权书、被授权人身份证；(法定代表人投标需提供法定代表人身份证)；</w:t>
            </w:r>
          </w:p>
        </w:tc>
        <w:tc>
          <w:tcPr>
            <w:tcW w:w="912" w:type="dxa"/>
          </w:tcPr>
          <w:p w14:paraId="6840CE4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7B1A37C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6D9F289B">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44E5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vAlign w:val="center"/>
          </w:tcPr>
          <w:p w14:paraId="774F937E">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7225" w:type="dxa"/>
            <w:vAlign w:val="center"/>
          </w:tcPr>
          <w:p w14:paraId="35AABF3A">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i w:val="0"/>
                <w:iCs w:val="0"/>
                <w:caps w:val="0"/>
                <w:color w:val="auto"/>
                <w:spacing w:val="0"/>
                <w:sz w:val="24"/>
                <w:szCs w:val="24"/>
                <w:highlight w:val="none"/>
                <w:lang w:eastAsia="zh-CN"/>
              </w:rPr>
              <w:t>本单位依法缴纳的近3个月内任意1个月的社会保险的凭据；</w:t>
            </w:r>
          </w:p>
        </w:tc>
        <w:tc>
          <w:tcPr>
            <w:tcW w:w="912" w:type="dxa"/>
          </w:tcPr>
          <w:p w14:paraId="4FD2B537">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6614398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3BC1F3F0">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1929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vAlign w:val="center"/>
          </w:tcPr>
          <w:p w14:paraId="733AD012">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4</w:t>
            </w:r>
          </w:p>
        </w:tc>
        <w:tc>
          <w:tcPr>
            <w:tcW w:w="7225" w:type="dxa"/>
            <w:vAlign w:val="center"/>
          </w:tcPr>
          <w:p w14:paraId="0B71B3BD">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i w:val="0"/>
                <w:iCs w:val="0"/>
                <w:caps w:val="0"/>
                <w:color w:val="auto"/>
                <w:spacing w:val="0"/>
                <w:sz w:val="24"/>
                <w:szCs w:val="24"/>
                <w:highlight w:val="none"/>
                <w:lang w:eastAsia="zh-CN"/>
              </w:rPr>
              <w:t>税务部门出具的近3个月内任意1个月的完税证明（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tc>
        <w:tc>
          <w:tcPr>
            <w:tcW w:w="912" w:type="dxa"/>
          </w:tcPr>
          <w:p w14:paraId="7683B87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7C6951B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3F181E0B">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119D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14:paraId="02D998FA">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bCs/>
                <w:color w:val="auto"/>
                <w:sz w:val="24"/>
              </w:rPr>
            </w:pPr>
            <w:r>
              <w:rPr>
                <w:rFonts w:hint="eastAsia" w:ascii="微软雅黑" w:hAnsi="微软雅黑" w:eastAsia="微软雅黑" w:cs="微软雅黑"/>
                <w:color w:val="auto"/>
                <w:kern w:val="0"/>
                <w:sz w:val="24"/>
              </w:rPr>
              <w:t>5</w:t>
            </w:r>
          </w:p>
        </w:tc>
        <w:tc>
          <w:tcPr>
            <w:tcW w:w="7225" w:type="dxa"/>
            <w:vAlign w:val="center"/>
          </w:tcPr>
          <w:p w14:paraId="229B015E">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提供2024年或2025年完整的财务审计报告（成立不满一年的可提供近一个月的银行资信证明）；</w:t>
            </w:r>
          </w:p>
        </w:tc>
        <w:tc>
          <w:tcPr>
            <w:tcW w:w="912" w:type="dxa"/>
          </w:tcPr>
          <w:p w14:paraId="17B932E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7F11811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227F1DF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3C2E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14:paraId="6EC21AB0">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6</w:t>
            </w:r>
          </w:p>
        </w:tc>
        <w:tc>
          <w:tcPr>
            <w:tcW w:w="7225" w:type="dxa"/>
            <w:vAlign w:val="center"/>
          </w:tcPr>
          <w:p w14:paraId="6F622E97">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tc>
        <w:tc>
          <w:tcPr>
            <w:tcW w:w="912" w:type="dxa"/>
          </w:tcPr>
          <w:p w14:paraId="60809EBB">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7C160A00">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4DAB6DA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351F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53" w:type="dxa"/>
            <w:vAlign w:val="center"/>
          </w:tcPr>
          <w:p w14:paraId="05E77F37">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7</w:t>
            </w:r>
          </w:p>
        </w:tc>
        <w:tc>
          <w:tcPr>
            <w:tcW w:w="7225" w:type="dxa"/>
            <w:vAlign w:val="center"/>
          </w:tcPr>
          <w:p w14:paraId="17DF60C5">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tc>
        <w:tc>
          <w:tcPr>
            <w:tcW w:w="912" w:type="dxa"/>
          </w:tcPr>
          <w:p w14:paraId="6164C559">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13E6C9E3">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61AFF903">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3243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53" w:type="dxa"/>
            <w:vAlign w:val="center"/>
          </w:tcPr>
          <w:p w14:paraId="4682B0F6">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8</w:t>
            </w:r>
          </w:p>
        </w:tc>
        <w:tc>
          <w:tcPr>
            <w:tcW w:w="7225" w:type="dxa"/>
            <w:vAlign w:val="center"/>
          </w:tcPr>
          <w:p w14:paraId="41197033">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根据《政府采购领域“整顿市场秩序、建设法规体系、促进产业发展”三年行动方案（2024—2026年）》的通知，凡拟参加本次采购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tc>
        <w:tc>
          <w:tcPr>
            <w:tcW w:w="912" w:type="dxa"/>
          </w:tcPr>
          <w:p w14:paraId="7A6B2CC7">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69B6A87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163232A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7164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14:paraId="0342F23E">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9</w:t>
            </w:r>
          </w:p>
        </w:tc>
        <w:tc>
          <w:tcPr>
            <w:tcW w:w="7225" w:type="dxa"/>
            <w:vAlign w:val="center"/>
          </w:tcPr>
          <w:p w14:paraId="3ADE0757">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中小企业声明函</w:t>
            </w:r>
          </w:p>
        </w:tc>
        <w:tc>
          <w:tcPr>
            <w:tcW w:w="912" w:type="dxa"/>
          </w:tcPr>
          <w:p w14:paraId="58EF4FAB">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5C671CB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0DBFB35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38D0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14:paraId="040AA9AE">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10</w:t>
            </w:r>
          </w:p>
        </w:tc>
        <w:tc>
          <w:tcPr>
            <w:tcW w:w="7225" w:type="dxa"/>
            <w:vAlign w:val="center"/>
          </w:tcPr>
          <w:p w14:paraId="4D13D5DA">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sz w:val="24"/>
                <w:highlight w:val="none"/>
              </w:rPr>
              <w:t>缴纳磋商保证金有效凭证</w:t>
            </w:r>
            <w:r>
              <w:rPr>
                <w:rFonts w:hint="eastAsia" w:ascii="微软雅黑" w:hAnsi="微软雅黑" w:eastAsia="微软雅黑" w:cs="微软雅黑"/>
                <w:color w:val="auto"/>
                <w:sz w:val="24"/>
                <w:highlight w:val="none"/>
                <w:lang w:eastAsia="zh-CN"/>
              </w:rPr>
              <w:t>；</w:t>
            </w:r>
          </w:p>
        </w:tc>
        <w:tc>
          <w:tcPr>
            <w:tcW w:w="912" w:type="dxa"/>
          </w:tcPr>
          <w:p w14:paraId="24BC618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798873F3">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3860E377">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r w14:paraId="74B1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14:paraId="4AFD831F">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color w:val="auto"/>
                <w:sz w:val="24"/>
              </w:rPr>
            </w:pPr>
          </w:p>
        </w:tc>
        <w:tc>
          <w:tcPr>
            <w:tcW w:w="7225" w:type="dxa"/>
            <w:vAlign w:val="center"/>
          </w:tcPr>
          <w:p w14:paraId="4445C06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结论</w:t>
            </w:r>
          </w:p>
        </w:tc>
        <w:tc>
          <w:tcPr>
            <w:tcW w:w="912" w:type="dxa"/>
          </w:tcPr>
          <w:p w14:paraId="3A20975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50" w:type="dxa"/>
          </w:tcPr>
          <w:p w14:paraId="683A9B7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c>
          <w:tcPr>
            <w:tcW w:w="727" w:type="dxa"/>
          </w:tcPr>
          <w:p w14:paraId="7DA81893">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微软雅黑" w:hAnsi="微软雅黑" w:eastAsia="微软雅黑" w:cs="微软雅黑"/>
                <w:color w:val="auto"/>
                <w:sz w:val="24"/>
              </w:rPr>
            </w:pPr>
          </w:p>
        </w:tc>
      </w:tr>
    </w:tbl>
    <w:p w14:paraId="0388CCE6">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说明：（1）上述各项中用“</w:t>
      </w:r>
      <w:r>
        <w:rPr>
          <w:rFonts w:hint="eastAsia" w:ascii="微软雅黑" w:hAnsi="微软雅黑" w:eastAsia="微软雅黑" w:cs="微软雅黑"/>
          <w:color w:val="auto"/>
          <w:sz w:val="24"/>
          <w:lang w:val="en-US" w:eastAsia="zh-CN"/>
        </w:rPr>
        <w:t>符合</w:t>
      </w:r>
      <w:r>
        <w:rPr>
          <w:rFonts w:hint="eastAsia" w:ascii="微软雅黑" w:hAnsi="微软雅黑" w:eastAsia="微软雅黑" w:cs="微软雅黑"/>
          <w:color w:val="auto"/>
          <w:sz w:val="24"/>
        </w:rPr>
        <w:t>”表示通过，“</w:t>
      </w:r>
      <w:r>
        <w:rPr>
          <w:rFonts w:hint="eastAsia" w:ascii="微软雅黑" w:hAnsi="微软雅黑" w:eastAsia="微软雅黑" w:cs="微软雅黑"/>
          <w:color w:val="auto"/>
          <w:sz w:val="24"/>
          <w:lang w:val="en-US" w:eastAsia="zh-CN"/>
        </w:rPr>
        <w:t>不符合</w:t>
      </w:r>
      <w:r>
        <w:rPr>
          <w:rFonts w:hint="eastAsia" w:ascii="微软雅黑" w:hAnsi="微软雅黑" w:eastAsia="微软雅黑" w:cs="微软雅黑"/>
          <w:color w:val="auto"/>
          <w:sz w:val="24"/>
        </w:rPr>
        <w:t>”表示不通过；</w:t>
      </w:r>
    </w:p>
    <w:p w14:paraId="02A30B14">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（2）上述各项中如有一项为“</w:t>
      </w:r>
      <w:r>
        <w:rPr>
          <w:rFonts w:hint="eastAsia" w:ascii="微软雅黑" w:hAnsi="微软雅黑" w:eastAsia="微软雅黑" w:cs="微软雅黑"/>
          <w:color w:val="auto"/>
          <w:sz w:val="24"/>
          <w:lang w:val="en-US" w:eastAsia="zh-CN"/>
        </w:rPr>
        <w:t>不符合</w:t>
      </w:r>
      <w:r>
        <w:rPr>
          <w:rFonts w:hint="eastAsia" w:ascii="微软雅黑" w:hAnsi="微软雅黑" w:eastAsia="微软雅黑" w:cs="微软雅黑"/>
          <w:color w:val="auto"/>
          <w:sz w:val="24"/>
        </w:rPr>
        <w:t>”，则结论为“</w:t>
      </w:r>
      <w:r>
        <w:rPr>
          <w:rFonts w:hint="eastAsia" w:ascii="微软雅黑" w:hAnsi="微软雅黑" w:eastAsia="微软雅黑" w:cs="微软雅黑"/>
          <w:color w:val="auto"/>
          <w:sz w:val="24"/>
          <w:lang w:val="en-US" w:eastAsia="zh-CN"/>
        </w:rPr>
        <w:t>不通过</w:t>
      </w:r>
      <w:r>
        <w:rPr>
          <w:rFonts w:hint="eastAsia" w:ascii="微软雅黑" w:hAnsi="微软雅黑" w:eastAsia="微软雅黑" w:cs="微软雅黑"/>
          <w:color w:val="auto"/>
          <w:sz w:val="24"/>
        </w:rPr>
        <w:t>”，表示该磋商文件中存在重大偏差，不能通过初步评审；评委对某一分项评审认为不合格时，必须要写明原因。</w:t>
      </w:r>
    </w:p>
    <w:p w14:paraId="7AB0A43A">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（3）磋商文件最终合格与否，以所有评委的评审意见中少数服从多数为原则定论。</w:t>
      </w:r>
    </w:p>
    <w:p w14:paraId="1BCAAE1C">
      <w:pPr>
        <w:snapToGrid w:val="0"/>
        <w:spacing w:line="360" w:lineRule="exact"/>
        <w:textAlignment w:val="baseline"/>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备注：如果磋商文件中有一项未通过上述审查标准，评审委员会将认定整个磋商文件未响应磋商文件而予以废标处理。</w:t>
      </w:r>
      <w:bookmarkStart w:id="771" w:name="_Toc19552"/>
      <w:bookmarkStart w:id="772" w:name="_Toc22896"/>
    </w:p>
    <w:p w14:paraId="181C7B8A">
      <w:pPr>
        <w:pStyle w:val="27"/>
        <w:rPr>
          <w:rFonts w:hint="eastAsia" w:ascii="微软雅黑" w:hAnsi="微软雅黑" w:eastAsia="微软雅黑" w:cs="微软雅黑"/>
          <w:b/>
          <w:bCs/>
          <w:color w:val="auto"/>
          <w:sz w:val="24"/>
        </w:rPr>
      </w:pPr>
    </w:p>
    <w:p w14:paraId="7ED22146">
      <w:pPr>
        <w:pStyle w:val="27"/>
        <w:rPr>
          <w:rFonts w:hint="eastAsia" w:ascii="微软雅黑" w:hAnsi="微软雅黑" w:eastAsia="微软雅黑" w:cs="微软雅黑"/>
          <w:b/>
          <w:bCs/>
          <w:color w:val="auto"/>
          <w:sz w:val="24"/>
        </w:rPr>
      </w:pPr>
    </w:p>
    <w:p w14:paraId="7B341395">
      <w:pPr>
        <w:rPr>
          <w:rFonts w:hint="eastAsia" w:ascii="微软雅黑" w:hAnsi="微软雅黑" w:eastAsia="微软雅黑" w:cs="微软雅黑"/>
          <w:b/>
          <w:color w:val="auto"/>
          <w:sz w:val="28"/>
          <w:szCs w:val="28"/>
        </w:rPr>
      </w:pPr>
      <w:bookmarkStart w:id="773" w:name="_Toc10503"/>
      <w:bookmarkStart w:id="774" w:name="_Toc17652"/>
      <w:bookmarkStart w:id="775" w:name="_Toc347"/>
      <w:bookmarkStart w:id="776" w:name="_Toc25729"/>
      <w:bookmarkStart w:id="777" w:name="_Toc22949"/>
      <w:bookmarkStart w:id="778" w:name="_Toc29597"/>
      <w:bookmarkStart w:id="779" w:name="_Toc17473"/>
      <w:bookmarkStart w:id="780" w:name="_Toc13208"/>
      <w:bookmarkStart w:id="781" w:name="_Toc23517"/>
      <w:bookmarkStart w:id="782" w:name="_Toc11623"/>
      <w:r>
        <w:rPr>
          <w:rFonts w:hint="eastAsia" w:ascii="微软雅黑" w:hAnsi="微软雅黑" w:eastAsia="微软雅黑" w:cs="微软雅黑"/>
          <w:b/>
          <w:color w:val="auto"/>
          <w:sz w:val="28"/>
          <w:szCs w:val="28"/>
        </w:rPr>
        <w:br w:type="page"/>
      </w:r>
    </w:p>
    <w:p w14:paraId="74283520">
      <w:pPr>
        <w:pStyle w:val="10"/>
        <w:snapToGrid w:val="0"/>
        <w:spacing w:line="300" w:lineRule="auto"/>
        <w:ind w:firstLine="0"/>
        <w:jc w:val="center"/>
        <w:textAlignment w:val="baseline"/>
        <w:outlineLvl w:val="1"/>
        <w:rPr>
          <w:rFonts w:hint="eastAsia" w:ascii="微软雅黑" w:hAnsi="微软雅黑" w:eastAsia="微软雅黑" w:cs="微软雅黑"/>
          <w:b/>
          <w:color w:val="auto"/>
          <w:sz w:val="28"/>
          <w:szCs w:val="28"/>
        </w:rPr>
      </w:pPr>
      <w:bookmarkStart w:id="783" w:name="_Toc29366"/>
      <w:r>
        <w:rPr>
          <w:rFonts w:hint="eastAsia" w:ascii="微软雅黑" w:hAnsi="微软雅黑" w:eastAsia="微软雅黑" w:cs="微软雅黑"/>
          <w:b/>
          <w:color w:val="auto"/>
          <w:sz w:val="28"/>
          <w:szCs w:val="28"/>
        </w:rPr>
        <w:t>初步评审—符合性审查表</w:t>
      </w:r>
      <w:bookmarkEnd w:id="771"/>
      <w:bookmarkEnd w:id="772"/>
      <w:bookmarkEnd w:id="773"/>
      <w:bookmarkEnd w:id="774"/>
      <w:bookmarkEnd w:id="775"/>
      <w:bookmarkEnd w:id="776"/>
      <w:bookmarkEnd w:id="777"/>
      <w:bookmarkEnd w:id="778"/>
      <w:bookmarkEnd w:id="779"/>
      <w:bookmarkEnd w:id="780"/>
      <w:bookmarkEnd w:id="781"/>
      <w:bookmarkEnd w:id="782"/>
      <w:bookmarkEnd w:id="783"/>
    </w:p>
    <w:tbl>
      <w:tblPr>
        <w:tblStyle w:val="36"/>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887"/>
        <w:gridCol w:w="1668"/>
      </w:tblGrid>
      <w:tr w14:paraId="501F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Merge w:val="restart"/>
            <w:vAlign w:val="center"/>
          </w:tcPr>
          <w:p w14:paraId="7E4513F7">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6887" w:type="dxa"/>
            <w:vMerge w:val="restart"/>
            <w:vAlign w:val="center"/>
          </w:tcPr>
          <w:p w14:paraId="49687898">
            <w:pPr>
              <w:spacing w:line="400" w:lineRule="exact"/>
              <w:jc w:val="center"/>
              <w:rPr>
                <w:rFonts w:hint="eastAsia"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评审内容</w:t>
            </w:r>
          </w:p>
        </w:tc>
        <w:tc>
          <w:tcPr>
            <w:tcW w:w="1668" w:type="dxa"/>
            <w:vAlign w:val="center"/>
          </w:tcPr>
          <w:p w14:paraId="0F6F3F4D">
            <w:pPr>
              <w:spacing w:line="400" w:lineRule="exact"/>
              <w:jc w:val="center"/>
              <w:rPr>
                <w:rFonts w:hint="eastAsia" w:ascii="微软雅黑" w:hAnsi="微软雅黑" w:eastAsia="微软雅黑" w:cs="微软雅黑"/>
                <w:color w:val="auto"/>
                <w:spacing w:val="-2"/>
                <w:sz w:val="24"/>
              </w:rPr>
            </w:pPr>
            <w:r>
              <w:rPr>
                <w:rFonts w:hint="eastAsia" w:ascii="微软雅黑" w:hAnsi="微软雅黑" w:eastAsia="微软雅黑" w:cs="微软雅黑"/>
                <w:b/>
                <w:color w:val="auto"/>
                <w:sz w:val="24"/>
              </w:rPr>
              <w:t>评审意见</w:t>
            </w:r>
          </w:p>
        </w:tc>
      </w:tr>
      <w:tr w14:paraId="4A23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Merge w:val="continue"/>
            <w:vAlign w:val="center"/>
          </w:tcPr>
          <w:p w14:paraId="6DB2BA90">
            <w:pPr>
              <w:spacing w:line="400" w:lineRule="exact"/>
              <w:jc w:val="center"/>
              <w:rPr>
                <w:rFonts w:hint="eastAsia" w:ascii="微软雅黑" w:hAnsi="微软雅黑" w:eastAsia="微软雅黑" w:cs="微软雅黑"/>
                <w:color w:val="auto"/>
                <w:sz w:val="24"/>
              </w:rPr>
            </w:pPr>
          </w:p>
        </w:tc>
        <w:tc>
          <w:tcPr>
            <w:tcW w:w="6887" w:type="dxa"/>
            <w:vMerge w:val="continue"/>
            <w:vAlign w:val="center"/>
          </w:tcPr>
          <w:p w14:paraId="6A955298">
            <w:pPr>
              <w:spacing w:line="400" w:lineRule="exact"/>
              <w:rPr>
                <w:rFonts w:hint="eastAsia" w:ascii="微软雅黑" w:hAnsi="微软雅黑" w:eastAsia="微软雅黑" w:cs="微软雅黑"/>
                <w:color w:val="auto"/>
                <w:spacing w:val="-2"/>
                <w:sz w:val="24"/>
              </w:rPr>
            </w:pPr>
          </w:p>
        </w:tc>
        <w:tc>
          <w:tcPr>
            <w:tcW w:w="1668" w:type="dxa"/>
            <w:vAlign w:val="center"/>
          </w:tcPr>
          <w:p w14:paraId="241F7D00">
            <w:pPr>
              <w:spacing w:line="400" w:lineRule="exact"/>
              <w:jc w:val="center"/>
              <w:rPr>
                <w:rFonts w:hint="eastAsia"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是否合格</w:t>
            </w:r>
          </w:p>
        </w:tc>
      </w:tr>
      <w:tr w14:paraId="3AD1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1A038C27">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p>
        </w:tc>
        <w:tc>
          <w:tcPr>
            <w:tcW w:w="6887" w:type="dxa"/>
            <w:vAlign w:val="center"/>
          </w:tcPr>
          <w:p w14:paraId="04591367">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rPr>
              <w:t>各供应商</w:t>
            </w:r>
            <w:r>
              <w:rPr>
                <w:rFonts w:hint="eastAsia" w:ascii="微软雅黑" w:hAnsi="微软雅黑" w:eastAsia="微软雅黑" w:cs="微软雅黑"/>
                <w:color w:val="auto"/>
                <w:spacing w:val="-2"/>
                <w:sz w:val="24"/>
                <w:lang w:val="en-US" w:eastAsia="zh-CN"/>
              </w:rPr>
              <w:t>磋商</w:t>
            </w:r>
            <w:r>
              <w:rPr>
                <w:rFonts w:hint="eastAsia" w:ascii="微软雅黑" w:hAnsi="微软雅黑" w:eastAsia="微软雅黑" w:cs="微软雅黑"/>
                <w:color w:val="auto"/>
                <w:spacing w:val="-2"/>
                <w:sz w:val="24"/>
              </w:rPr>
              <w:t>报价未高于预算金额</w:t>
            </w:r>
            <w:r>
              <w:rPr>
                <w:rFonts w:hint="eastAsia" w:ascii="微软雅黑" w:hAnsi="微软雅黑" w:eastAsia="微软雅黑" w:cs="微软雅黑"/>
                <w:color w:val="auto"/>
                <w:spacing w:val="-2"/>
                <w:sz w:val="24"/>
                <w:lang w:eastAsia="zh-CN"/>
              </w:rPr>
              <w:t>；</w:t>
            </w:r>
          </w:p>
        </w:tc>
        <w:tc>
          <w:tcPr>
            <w:tcW w:w="1668" w:type="dxa"/>
            <w:vAlign w:val="center"/>
          </w:tcPr>
          <w:p w14:paraId="5A5678E5">
            <w:pPr>
              <w:spacing w:line="400" w:lineRule="exact"/>
              <w:rPr>
                <w:rFonts w:hint="eastAsia" w:ascii="微软雅黑" w:hAnsi="微软雅黑" w:eastAsia="微软雅黑" w:cs="微软雅黑"/>
                <w:color w:val="auto"/>
                <w:spacing w:val="-2"/>
                <w:sz w:val="24"/>
              </w:rPr>
            </w:pPr>
          </w:p>
        </w:tc>
      </w:tr>
      <w:tr w14:paraId="2F58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003AFA8F">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w:t>
            </w:r>
          </w:p>
        </w:tc>
        <w:tc>
          <w:tcPr>
            <w:tcW w:w="6887" w:type="dxa"/>
            <w:vAlign w:val="center"/>
          </w:tcPr>
          <w:p w14:paraId="6855E9FF">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lang w:eastAsia="zh-CN"/>
              </w:rPr>
              <w:t>评审小组成员</w:t>
            </w:r>
            <w:r>
              <w:rPr>
                <w:rFonts w:hint="eastAsia" w:ascii="微软雅黑" w:hAnsi="微软雅黑" w:eastAsia="微软雅黑" w:cs="微软雅黑"/>
                <w:color w:val="auto"/>
                <w:spacing w:val="-2"/>
                <w:sz w:val="24"/>
              </w:rPr>
              <w:t>认为供应商的报价无明显低于其他通过资格性审查供应商的报价的，供应商的报价不存在异常一致并成规律性的，其报价合理</w:t>
            </w:r>
            <w:r>
              <w:rPr>
                <w:rFonts w:hint="eastAsia" w:ascii="微软雅黑" w:hAnsi="微软雅黑" w:eastAsia="微软雅黑" w:cs="微软雅黑"/>
                <w:color w:val="auto"/>
                <w:spacing w:val="-2"/>
                <w:sz w:val="24"/>
                <w:lang w:eastAsia="zh-CN"/>
              </w:rPr>
              <w:t>；</w:t>
            </w:r>
          </w:p>
        </w:tc>
        <w:tc>
          <w:tcPr>
            <w:tcW w:w="1668" w:type="dxa"/>
            <w:vAlign w:val="center"/>
          </w:tcPr>
          <w:p w14:paraId="385A368E">
            <w:pPr>
              <w:spacing w:line="400" w:lineRule="exact"/>
              <w:rPr>
                <w:rFonts w:hint="eastAsia" w:ascii="微软雅黑" w:hAnsi="微软雅黑" w:eastAsia="微软雅黑" w:cs="微软雅黑"/>
                <w:color w:val="auto"/>
                <w:spacing w:val="-2"/>
                <w:sz w:val="24"/>
              </w:rPr>
            </w:pPr>
          </w:p>
        </w:tc>
      </w:tr>
      <w:tr w14:paraId="259B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2026838B">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p>
        </w:tc>
        <w:tc>
          <w:tcPr>
            <w:tcW w:w="6887" w:type="dxa"/>
            <w:vAlign w:val="center"/>
          </w:tcPr>
          <w:p w14:paraId="427B1C71">
            <w:pPr>
              <w:spacing w:line="400" w:lineRule="exact"/>
              <w:jc w:val="left"/>
              <w:rPr>
                <w:rFonts w:hint="eastAsia" w:ascii="微软雅黑" w:hAnsi="微软雅黑" w:eastAsia="微软雅黑" w:cs="微软雅黑"/>
                <w:color w:val="auto"/>
                <w:spacing w:val="-2"/>
                <w:sz w:val="24"/>
              </w:rPr>
            </w:pPr>
            <w:r>
              <w:rPr>
                <w:rFonts w:hint="eastAsia" w:ascii="微软雅黑" w:hAnsi="微软雅黑" w:eastAsia="微软雅黑" w:cs="微软雅黑"/>
                <w:color w:val="auto"/>
                <w:spacing w:val="-2"/>
                <w:sz w:val="24"/>
                <w:lang w:val="en-US" w:eastAsia="zh-CN"/>
              </w:rPr>
              <w:t>响应</w:t>
            </w:r>
            <w:r>
              <w:rPr>
                <w:rFonts w:hint="eastAsia" w:ascii="微软雅黑" w:hAnsi="微软雅黑" w:eastAsia="微软雅黑" w:cs="微软雅黑"/>
                <w:color w:val="auto"/>
                <w:spacing w:val="-2"/>
                <w:sz w:val="24"/>
              </w:rPr>
              <w:t>文件按照磋商文件的规定编制、标记及签署盖章的，法定代表人或其授权代表签字（章）和加盖供应商公章的（</w:t>
            </w:r>
            <w:r>
              <w:rPr>
                <w:rFonts w:hint="eastAsia" w:ascii="微软雅黑" w:hAnsi="微软雅黑" w:eastAsia="微软雅黑" w:cs="微软雅黑"/>
                <w:color w:val="auto"/>
                <w:spacing w:val="-2"/>
                <w:sz w:val="24"/>
                <w:lang w:eastAsia="zh-CN"/>
              </w:rPr>
              <w:t>所上传的响应</w:t>
            </w:r>
            <w:r>
              <w:rPr>
                <w:rFonts w:hint="eastAsia" w:ascii="微软雅黑" w:hAnsi="微软雅黑" w:eastAsia="微软雅黑" w:cs="微软雅黑"/>
                <w:color w:val="auto"/>
                <w:spacing w:val="-2"/>
                <w:sz w:val="24"/>
              </w:rPr>
              <w:t>文件印章和签字不能为复印件）</w:t>
            </w:r>
          </w:p>
        </w:tc>
        <w:tc>
          <w:tcPr>
            <w:tcW w:w="1668" w:type="dxa"/>
            <w:vAlign w:val="center"/>
          </w:tcPr>
          <w:p w14:paraId="60D49ADA">
            <w:pPr>
              <w:spacing w:line="400" w:lineRule="exact"/>
              <w:rPr>
                <w:rFonts w:hint="eastAsia" w:ascii="微软雅黑" w:hAnsi="微软雅黑" w:eastAsia="微软雅黑" w:cs="微软雅黑"/>
                <w:color w:val="auto"/>
                <w:spacing w:val="-2"/>
                <w:sz w:val="24"/>
              </w:rPr>
            </w:pPr>
          </w:p>
        </w:tc>
      </w:tr>
      <w:tr w14:paraId="1549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23755E06">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w:t>
            </w:r>
          </w:p>
        </w:tc>
        <w:tc>
          <w:tcPr>
            <w:tcW w:w="6887" w:type="dxa"/>
            <w:vAlign w:val="center"/>
          </w:tcPr>
          <w:p w14:paraId="36CE3754">
            <w:pPr>
              <w:spacing w:line="400" w:lineRule="exact"/>
              <w:jc w:val="left"/>
              <w:rPr>
                <w:rFonts w:hint="eastAsia"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按磋商文件规定的格式填写，内容全</w:t>
            </w:r>
            <w:r>
              <w:rPr>
                <w:rFonts w:hint="eastAsia" w:ascii="微软雅黑" w:hAnsi="微软雅黑" w:eastAsia="微软雅黑" w:cs="微软雅黑"/>
                <w:color w:val="auto"/>
                <w:spacing w:val="-2"/>
                <w:sz w:val="24"/>
                <w:lang w:eastAsia="zh-CN"/>
              </w:rPr>
              <w:t>、</w:t>
            </w:r>
            <w:r>
              <w:rPr>
                <w:rFonts w:hint="eastAsia" w:ascii="微软雅黑" w:hAnsi="微软雅黑" w:eastAsia="微软雅黑" w:cs="微软雅黑"/>
                <w:color w:val="auto"/>
                <w:spacing w:val="-2"/>
                <w:sz w:val="24"/>
              </w:rPr>
              <w:t>关键字迹清晰；</w:t>
            </w:r>
          </w:p>
        </w:tc>
        <w:tc>
          <w:tcPr>
            <w:tcW w:w="1668" w:type="dxa"/>
            <w:vAlign w:val="center"/>
          </w:tcPr>
          <w:p w14:paraId="389947F0">
            <w:pPr>
              <w:spacing w:line="400" w:lineRule="exact"/>
              <w:rPr>
                <w:rFonts w:hint="eastAsia" w:ascii="微软雅黑" w:hAnsi="微软雅黑" w:eastAsia="微软雅黑" w:cs="微软雅黑"/>
                <w:color w:val="auto"/>
                <w:spacing w:val="-2"/>
                <w:sz w:val="24"/>
              </w:rPr>
            </w:pPr>
          </w:p>
        </w:tc>
      </w:tr>
      <w:tr w14:paraId="520D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1AEF2444">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w:t>
            </w:r>
          </w:p>
        </w:tc>
        <w:tc>
          <w:tcPr>
            <w:tcW w:w="6887" w:type="dxa"/>
            <w:vAlign w:val="center"/>
          </w:tcPr>
          <w:p w14:paraId="36E58DF8">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rPr>
              <w:t>符合磋商文件中规定的其他实质性要求</w:t>
            </w:r>
            <w:r>
              <w:rPr>
                <w:rFonts w:hint="eastAsia" w:ascii="微软雅黑" w:hAnsi="微软雅黑" w:eastAsia="微软雅黑" w:cs="微软雅黑"/>
                <w:color w:val="auto"/>
                <w:spacing w:val="-2"/>
                <w:sz w:val="24"/>
                <w:lang w:eastAsia="zh-CN"/>
              </w:rPr>
              <w:t>；</w:t>
            </w:r>
          </w:p>
        </w:tc>
        <w:tc>
          <w:tcPr>
            <w:tcW w:w="1668" w:type="dxa"/>
            <w:vAlign w:val="center"/>
          </w:tcPr>
          <w:p w14:paraId="5EDA2AAC">
            <w:pPr>
              <w:spacing w:line="400" w:lineRule="exact"/>
              <w:rPr>
                <w:rFonts w:hint="eastAsia" w:ascii="微软雅黑" w:hAnsi="微软雅黑" w:eastAsia="微软雅黑" w:cs="微软雅黑"/>
                <w:color w:val="auto"/>
                <w:spacing w:val="-2"/>
                <w:sz w:val="24"/>
              </w:rPr>
            </w:pPr>
          </w:p>
        </w:tc>
      </w:tr>
      <w:tr w14:paraId="3DD2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7C995A85">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w:t>
            </w:r>
          </w:p>
        </w:tc>
        <w:tc>
          <w:tcPr>
            <w:tcW w:w="6887" w:type="dxa"/>
            <w:vAlign w:val="center"/>
          </w:tcPr>
          <w:p w14:paraId="7A11469C">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rPr>
              <w:t>没有采购人不能接受的附加条件的</w:t>
            </w:r>
            <w:r>
              <w:rPr>
                <w:rFonts w:hint="eastAsia" w:ascii="微软雅黑" w:hAnsi="微软雅黑" w:eastAsia="微软雅黑" w:cs="微软雅黑"/>
                <w:color w:val="auto"/>
                <w:spacing w:val="-2"/>
                <w:sz w:val="24"/>
                <w:lang w:eastAsia="zh-CN"/>
              </w:rPr>
              <w:t>；</w:t>
            </w:r>
          </w:p>
        </w:tc>
        <w:tc>
          <w:tcPr>
            <w:tcW w:w="1668" w:type="dxa"/>
            <w:vAlign w:val="center"/>
          </w:tcPr>
          <w:p w14:paraId="373A5D07">
            <w:pPr>
              <w:spacing w:line="400" w:lineRule="exact"/>
              <w:rPr>
                <w:rFonts w:hint="eastAsia" w:ascii="微软雅黑" w:hAnsi="微软雅黑" w:eastAsia="微软雅黑" w:cs="微软雅黑"/>
                <w:color w:val="auto"/>
                <w:spacing w:val="-2"/>
                <w:sz w:val="24"/>
              </w:rPr>
            </w:pPr>
          </w:p>
        </w:tc>
      </w:tr>
      <w:tr w14:paraId="5276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1941EFEE">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w:t>
            </w:r>
          </w:p>
        </w:tc>
        <w:tc>
          <w:tcPr>
            <w:tcW w:w="6887" w:type="dxa"/>
            <w:vAlign w:val="center"/>
          </w:tcPr>
          <w:p w14:paraId="70BDA373">
            <w:pPr>
              <w:spacing w:line="400" w:lineRule="exact"/>
              <w:jc w:val="left"/>
              <w:rPr>
                <w:rFonts w:hint="eastAsia" w:ascii="微软雅黑" w:hAnsi="微软雅黑" w:eastAsia="微软雅黑" w:cs="微软雅黑"/>
                <w:color w:val="auto"/>
                <w:spacing w:val="-2"/>
                <w:sz w:val="24"/>
                <w:lang w:eastAsia="zh-CN"/>
              </w:rPr>
            </w:pPr>
            <w:r>
              <w:rPr>
                <w:rFonts w:hint="eastAsia" w:ascii="微软雅黑" w:hAnsi="微软雅黑" w:eastAsia="微软雅黑" w:cs="微软雅黑"/>
                <w:color w:val="auto"/>
                <w:spacing w:val="-2"/>
                <w:sz w:val="24"/>
              </w:rPr>
              <w:t>不同供应商的响应文件没有错漏一致的情况</w:t>
            </w:r>
            <w:r>
              <w:rPr>
                <w:rFonts w:hint="eastAsia" w:ascii="微软雅黑" w:hAnsi="微软雅黑" w:eastAsia="微软雅黑" w:cs="微软雅黑"/>
                <w:color w:val="auto"/>
                <w:spacing w:val="-2"/>
                <w:sz w:val="24"/>
                <w:lang w:eastAsia="zh-CN"/>
              </w:rPr>
              <w:t>；</w:t>
            </w:r>
          </w:p>
        </w:tc>
        <w:tc>
          <w:tcPr>
            <w:tcW w:w="1668" w:type="dxa"/>
            <w:vAlign w:val="center"/>
          </w:tcPr>
          <w:p w14:paraId="23D2D767">
            <w:pPr>
              <w:spacing w:line="400" w:lineRule="exact"/>
              <w:rPr>
                <w:rFonts w:hint="eastAsia" w:ascii="微软雅黑" w:hAnsi="微软雅黑" w:eastAsia="微软雅黑" w:cs="微软雅黑"/>
                <w:color w:val="auto"/>
                <w:spacing w:val="-2"/>
                <w:sz w:val="24"/>
              </w:rPr>
            </w:pPr>
          </w:p>
        </w:tc>
      </w:tr>
      <w:tr w14:paraId="7B9F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14:paraId="2D91C9B0">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w:t>
            </w:r>
          </w:p>
        </w:tc>
        <w:tc>
          <w:tcPr>
            <w:tcW w:w="6887" w:type="dxa"/>
            <w:vAlign w:val="center"/>
          </w:tcPr>
          <w:p w14:paraId="4429635F">
            <w:pPr>
              <w:spacing w:line="400" w:lineRule="exact"/>
              <w:jc w:val="left"/>
              <w:rPr>
                <w:rFonts w:hint="eastAsia"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供应商附有详细地址、联系人、电话标明的。</w:t>
            </w:r>
          </w:p>
        </w:tc>
        <w:tc>
          <w:tcPr>
            <w:tcW w:w="1668" w:type="dxa"/>
            <w:vAlign w:val="center"/>
          </w:tcPr>
          <w:p w14:paraId="1456DB1F">
            <w:pPr>
              <w:spacing w:line="400" w:lineRule="exact"/>
              <w:rPr>
                <w:rFonts w:hint="eastAsia" w:ascii="微软雅黑" w:hAnsi="微软雅黑" w:eastAsia="微软雅黑" w:cs="微软雅黑"/>
                <w:color w:val="auto"/>
                <w:spacing w:val="-2"/>
                <w:sz w:val="24"/>
              </w:rPr>
            </w:pPr>
          </w:p>
        </w:tc>
      </w:tr>
      <w:tr w14:paraId="3643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14:paraId="736E3E43">
            <w:pPr>
              <w:spacing w:line="400" w:lineRule="exact"/>
              <w:ind w:firstLine="424" w:firstLineChars="180"/>
              <w:jc w:val="center"/>
              <w:rPr>
                <w:rFonts w:hint="eastAsia" w:ascii="微软雅黑" w:hAnsi="微软雅黑" w:eastAsia="微软雅黑" w:cs="微软雅黑"/>
                <w:color w:val="auto"/>
                <w:spacing w:val="-2"/>
                <w:sz w:val="24"/>
              </w:rPr>
            </w:pPr>
            <w:r>
              <w:rPr>
                <w:rFonts w:hint="eastAsia" w:ascii="微软雅黑" w:hAnsi="微软雅黑" w:eastAsia="微软雅黑" w:cs="微软雅黑"/>
                <w:color w:val="auto"/>
                <w:spacing w:val="-2"/>
                <w:sz w:val="24"/>
              </w:rPr>
              <w:t>结论</w:t>
            </w:r>
          </w:p>
        </w:tc>
        <w:tc>
          <w:tcPr>
            <w:tcW w:w="1668" w:type="dxa"/>
            <w:vAlign w:val="center"/>
          </w:tcPr>
          <w:p w14:paraId="23EDF2E7">
            <w:pPr>
              <w:spacing w:line="400" w:lineRule="exact"/>
              <w:ind w:firstLine="424" w:firstLineChars="180"/>
              <w:rPr>
                <w:rFonts w:hint="eastAsia" w:ascii="微软雅黑" w:hAnsi="微软雅黑" w:eastAsia="微软雅黑" w:cs="微软雅黑"/>
                <w:color w:val="auto"/>
                <w:spacing w:val="-2"/>
                <w:sz w:val="24"/>
              </w:rPr>
            </w:pPr>
          </w:p>
        </w:tc>
      </w:tr>
    </w:tbl>
    <w:p w14:paraId="01D5D567">
      <w:pPr>
        <w:snapToGrid w:val="0"/>
        <w:spacing w:line="360" w:lineRule="exact"/>
        <w:textAlignment w:val="baseline"/>
        <w:rPr>
          <w:rFonts w:hint="eastAsia" w:ascii="微软雅黑" w:hAnsi="微软雅黑" w:eastAsia="微软雅黑" w:cs="微软雅黑"/>
          <w:color w:val="auto"/>
          <w:sz w:val="24"/>
        </w:rPr>
      </w:pPr>
    </w:p>
    <w:p w14:paraId="6851617E">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说明：</w:t>
      </w:r>
    </w:p>
    <w:p w14:paraId="50691379">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（1）上述各项中用“</w:t>
      </w:r>
      <w:r>
        <w:rPr>
          <w:rFonts w:hint="eastAsia" w:ascii="微软雅黑" w:hAnsi="微软雅黑" w:eastAsia="微软雅黑" w:cs="微软雅黑"/>
          <w:color w:val="auto"/>
          <w:sz w:val="24"/>
          <w:lang w:val="en-US" w:eastAsia="zh-CN"/>
        </w:rPr>
        <w:t>符合</w:t>
      </w:r>
      <w:r>
        <w:rPr>
          <w:rFonts w:hint="eastAsia" w:ascii="微软雅黑" w:hAnsi="微软雅黑" w:eastAsia="微软雅黑" w:cs="微软雅黑"/>
          <w:color w:val="auto"/>
          <w:sz w:val="24"/>
        </w:rPr>
        <w:t>”表示通过，“</w:t>
      </w:r>
      <w:r>
        <w:rPr>
          <w:rFonts w:hint="eastAsia" w:ascii="微软雅黑" w:hAnsi="微软雅黑" w:eastAsia="微软雅黑" w:cs="微软雅黑"/>
          <w:color w:val="auto"/>
          <w:sz w:val="24"/>
          <w:lang w:val="en-US" w:eastAsia="zh-CN"/>
        </w:rPr>
        <w:t>不符合</w:t>
      </w:r>
      <w:r>
        <w:rPr>
          <w:rFonts w:hint="eastAsia" w:ascii="微软雅黑" w:hAnsi="微软雅黑" w:eastAsia="微软雅黑" w:cs="微软雅黑"/>
          <w:color w:val="auto"/>
          <w:sz w:val="24"/>
        </w:rPr>
        <w:t>”表示不通过；</w:t>
      </w:r>
    </w:p>
    <w:p w14:paraId="414854FA">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（2）上述各项中如有一项为“</w:t>
      </w:r>
      <w:r>
        <w:rPr>
          <w:rFonts w:hint="eastAsia" w:ascii="微软雅黑" w:hAnsi="微软雅黑" w:eastAsia="微软雅黑" w:cs="微软雅黑"/>
          <w:color w:val="auto"/>
          <w:sz w:val="24"/>
          <w:lang w:val="en-US" w:eastAsia="zh-CN"/>
        </w:rPr>
        <w:t>不符合</w:t>
      </w:r>
      <w:r>
        <w:rPr>
          <w:rFonts w:hint="eastAsia" w:ascii="微软雅黑" w:hAnsi="微软雅黑" w:eastAsia="微软雅黑" w:cs="微软雅黑"/>
          <w:color w:val="auto"/>
          <w:sz w:val="24"/>
        </w:rPr>
        <w:t>”，则结论为“</w:t>
      </w:r>
      <w:r>
        <w:rPr>
          <w:rFonts w:hint="eastAsia" w:ascii="微软雅黑" w:hAnsi="微软雅黑" w:eastAsia="微软雅黑" w:cs="微软雅黑"/>
          <w:color w:val="auto"/>
          <w:sz w:val="24"/>
          <w:lang w:val="en-US" w:eastAsia="zh-CN"/>
        </w:rPr>
        <w:t>不通过</w:t>
      </w:r>
      <w:r>
        <w:rPr>
          <w:rFonts w:hint="eastAsia" w:ascii="微软雅黑" w:hAnsi="微软雅黑" w:eastAsia="微软雅黑" w:cs="微软雅黑"/>
          <w:color w:val="auto"/>
          <w:sz w:val="24"/>
        </w:rPr>
        <w:t>”，表示该磋商文件中存在重大偏差，不能通过初步评审；评委对某一分项评审认为不合格时，必须要写明原因。</w:t>
      </w:r>
    </w:p>
    <w:p w14:paraId="6303CA76">
      <w:pPr>
        <w:snapToGrid w:val="0"/>
        <w:spacing w:line="36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（3）磋商文件最终合格与否，以所有评委的评审意见中少数服从多数为原则定论。</w:t>
      </w:r>
    </w:p>
    <w:p w14:paraId="7A33BCA5">
      <w:pPr>
        <w:snapToGrid w:val="0"/>
        <w:spacing w:line="240" w:lineRule="atLeast"/>
        <w:ind w:left="1080" w:leftChars="257" w:hanging="540"/>
        <w:jc w:val="left"/>
        <w:textAlignment w:val="baseline"/>
        <w:rPr>
          <w:rFonts w:hint="eastAsia" w:ascii="微软雅黑" w:hAnsi="微软雅黑" w:eastAsia="微软雅黑" w:cs="微软雅黑"/>
          <w:b/>
          <w:color w:val="auto"/>
          <w:sz w:val="28"/>
          <w:szCs w:val="28"/>
        </w:rPr>
      </w:pPr>
      <w:r>
        <w:rPr>
          <w:rFonts w:hint="eastAsia" w:ascii="微软雅黑" w:hAnsi="微软雅黑" w:eastAsia="微软雅黑" w:cs="微软雅黑"/>
          <w:b/>
          <w:bCs/>
          <w:color w:val="auto"/>
          <w:sz w:val="24"/>
        </w:rPr>
        <w:t>备注：如果磋商文件中有一项未通过上述审查标准，评审委员会将认定整个磋商文件未响应磋商文件而予以废标处理。</w:t>
      </w:r>
      <w:bookmarkStart w:id="784" w:name="_Toc20930"/>
      <w:bookmarkStart w:id="785" w:name="_Toc25310"/>
      <w:bookmarkStart w:id="786" w:name="_Toc507399904"/>
    </w:p>
    <w:p w14:paraId="6D674C55">
      <w:pPr>
        <w:rPr>
          <w:rFonts w:hint="eastAsia" w:ascii="微软雅黑" w:hAnsi="微软雅黑" w:eastAsia="微软雅黑" w:cs="微软雅黑"/>
          <w:b/>
          <w:bCs/>
          <w:color w:val="auto"/>
          <w:sz w:val="24"/>
        </w:rPr>
      </w:pPr>
    </w:p>
    <w:p w14:paraId="2993959A">
      <w:pPr>
        <w:snapToGrid w:val="0"/>
        <w:spacing w:line="360" w:lineRule="exact"/>
        <w:jc w:val="center"/>
        <w:textAlignment w:val="baseline"/>
        <w:rPr>
          <w:rFonts w:hint="eastAsia" w:ascii="微软雅黑" w:hAnsi="微软雅黑" w:eastAsia="微软雅黑" w:cs="微软雅黑"/>
          <w:b/>
          <w:bCs/>
          <w:color w:val="auto"/>
          <w:sz w:val="24"/>
        </w:rPr>
      </w:pPr>
    </w:p>
    <w:p w14:paraId="61F09E9A">
      <w:pPr>
        <w:pStyle w:val="35"/>
        <w:snapToGrid w:val="0"/>
        <w:ind w:firstLine="0" w:firstLineChars="0"/>
        <w:textAlignment w:val="baseline"/>
        <w:rPr>
          <w:rFonts w:hint="eastAsia" w:ascii="微软雅黑" w:hAnsi="微软雅黑" w:eastAsia="微软雅黑" w:cs="微软雅黑"/>
          <w:b/>
          <w:color w:val="auto"/>
          <w:sz w:val="28"/>
          <w:szCs w:val="28"/>
        </w:rPr>
      </w:pPr>
    </w:p>
    <w:p w14:paraId="749C808E">
      <w:pPr>
        <w:pStyle w:val="35"/>
        <w:snapToGrid w:val="0"/>
        <w:ind w:firstLine="0" w:firstLineChars="0"/>
        <w:textAlignment w:val="baseline"/>
        <w:rPr>
          <w:rFonts w:hint="eastAsia" w:ascii="微软雅黑" w:hAnsi="微软雅黑" w:eastAsia="微软雅黑" w:cs="微软雅黑"/>
          <w:b/>
          <w:color w:val="auto"/>
          <w:sz w:val="28"/>
          <w:szCs w:val="28"/>
        </w:rPr>
      </w:pPr>
    </w:p>
    <w:bookmarkEnd w:id="784"/>
    <w:bookmarkEnd w:id="785"/>
    <w:p w14:paraId="088268CC">
      <w:pP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br w:type="page"/>
      </w:r>
    </w:p>
    <w:bookmarkEnd w:id="786"/>
    <w:p w14:paraId="6D0758B8">
      <w:pPr>
        <w:snapToGrid w:val="0"/>
        <w:spacing w:line="240" w:lineRule="atLeast"/>
        <w:ind w:left="1080" w:leftChars="257" w:hanging="540"/>
        <w:jc w:val="center"/>
        <w:textAlignment w:val="baseline"/>
        <w:outlineLvl w:val="1"/>
        <w:rPr>
          <w:rFonts w:hint="eastAsia" w:ascii="微软雅黑" w:hAnsi="微软雅黑" w:eastAsia="微软雅黑" w:cs="微软雅黑"/>
          <w:b/>
          <w:color w:val="auto"/>
          <w:sz w:val="28"/>
          <w:szCs w:val="28"/>
        </w:rPr>
      </w:pPr>
      <w:bookmarkStart w:id="787" w:name="_Toc31628"/>
      <w:bookmarkStart w:id="788" w:name="_Toc5754"/>
      <w:bookmarkStart w:id="789" w:name="_Toc514"/>
      <w:r>
        <w:rPr>
          <w:rFonts w:hint="eastAsia" w:ascii="微软雅黑" w:hAnsi="微软雅黑" w:eastAsia="微软雅黑" w:cs="微软雅黑"/>
          <w:b/>
          <w:color w:val="auto"/>
          <w:sz w:val="28"/>
          <w:szCs w:val="28"/>
        </w:rPr>
        <w:t>综合评分表</w:t>
      </w:r>
      <w:bookmarkEnd w:id="787"/>
      <w:r>
        <w:rPr>
          <w:rFonts w:hint="eastAsia" w:ascii="微软雅黑" w:hAnsi="微软雅黑" w:eastAsia="微软雅黑" w:cs="微软雅黑"/>
          <w:b/>
          <w:color w:val="auto"/>
          <w:sz w:val="28"/>
          <w:szCs w:val="28"/>
        </w:rPr>
        <w:t xml:space="preserve"> </w:t>
      </w:r>
    </w:p>
    <w:tbl>
      <w:tblPr>
        <w:tblStyle w:val="36"/>
        <w:tblpPr w:leftFromText="180" w:rightFromText="180" w:vertAnchor="text" w:horzAnchor="page" w:tblpXSpec="center" w:tblpY="317"/>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246"/>
        <w:gridCol w:w="592"/>
        <w:gridCol w:w="5809"/>
        <w:gridCol w:w="1288"/>
      </w:tblGrid>
      <w:tr w14:paraId="4DD8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03" w:type="dxa"/>
            <w:shd w:val="clear" w:color="auto" w:fill="auto"/>
            <w:vAlign w:val="center"/>
          </w:tcPr>
          <w:p w14:paraId="3B3E5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序号</w:t>
            </w:r>
          </w:p>
        </w:tc>
        <w:tc>
          <w:tcPr>
            <w:tcW w:w="1246" w:type="dxa"/>
            <w:shd w:val="clear" w:color="auto" w:fill="auto"/>
            <w:vAlign w:val="center"/>
          </w:tcPr>
          <w:p w14:paraId="5EDD052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评分因素及权重</w:t>
            </w:r>
          </w:p>
        </w:tc>
        <w:tc>
          <w:tcPr>
            <w:tcW w:w="592" w:type="dxa"/>
            <w:shd w:val="clear" w:color="auto" w:fill="auto"/>
            <w:vAlign w:val="center"/>
          </w:tcPr>
          <w:p w14:paraId="5D204A9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分值</w:t>
            </w:r>
          </w:p>
        </w:tc>
        <w:tc>
          <w:tcPr>
            <w:tcW w:w="5809" w:type="dxa"/>
            <w:shd w:val="clear" w:color="auto" w:fill="auto"/>
            <w:vAlign w:val="center"/>
          </w:tcPr>
          <w:p w14:paraId="0359D96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评分标准</w:t>
            </w:r>
          </w:p>
          <w:p w14:paraId="3842651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价   格：</w:t>
            </w:r>
            <w:r>
              <w:rPr>
                <w:rFonts w:hint="eastAsia" w:ascii="微软雅黑" w:hAnsi="微软雅黑" w:eastAsia="微软雅黑" w:cs="微软雅黑"/>
                <w:b w:val="0"/>
                <w:bCs w:val="0"/>
                <w:color w:val="auto"/>
                <w:kern w:val="0"/>
                <w:sz w:val="24"/>
                <w:szCs w:val="24"/>
                <w:highlight w:val="none"/>
                <w:lang w:val="en-US" w:eastAsia="zh-CN"/>
              </w:rPr>
              <w:t>10</w:t>
            </w:r>
            <w:r>
              <w:rPr>
                <w:rFonts w:hint="eastAsia" w:ascii="微软雅黑" w:hAnsi="微软雅黑" w:eastAsia="微软雅黑" w:cs="微软雅黑"/>
                <w:b w:val="0"/>
                <w:bCs w:val="0"/>
                <w:color w:val="auto"/>
                <w:kern w:val="0"/>
                <w:sz w:val="24"/>
                <w:szCs w:val="24"/>
                <w:highlight w:val="none"/>
              </w:rPr>
              <w:t xml:space="preserve">分  </w:t>
            </w:r>
            <w:r>
              <w:rPr>
                <w:rFonts w:hint="eastAsia" w:ascii="微软雅黑" w:hAnsi="微软雅黑" w:eastAsia="微软雅黑" w:cs="微软雅黑"/>
                <w:b w:val="0"/>
                <w:bCs w:val="0"/>
                <w:color w:val="auto"/>
                <w:kern w:val="0"/>
                <w:sz w:val="24"/>
                <w:szCs w:val="24"/>
                <w:highlight w:val="none"/>
                <w:lang w:val="en-US" w:eastAsia="zh-CN"/>
              </w:rPr>
              <w:t xml:space="preserve">   </w:t>
            </w:r>
            <w:r>
              <w:rPr>
                <w:rFonts w:hint="eastAsia" w:ascii="微软雅黑" w:hAnsi="微软雅黑" w:eastAsia="微软雅黑" w:cs="微软雅黑"/>
                <w:b w:val="0"/>
                <w:bCs w:val="0"/>
                <w:color w:val="auto"/>
                <w:kern w:val="0"/>
                <w:sz w:val="24"/>
                <w:szCs w:val="24"/>
                <w:highlight w:val="none"/>
              </w:rPr>
              <w:t>商务</w:t>
            </w:r>
            <w:r>
              <w:rPr>
                <w:rFonts w:hint="eastAsia" w:ascii="微软雅黑" w:hAnsi="微软雅黑" w:eastAsia="微软雅黑" w:cs="微软雅黑"/>
                <w:b w:val="0"/>
                <w:bCs w:val="0"/>
                <w:color w:val="auto"/>
                <w:kern w:val="0"/>
                <w:sz w:val="24"/>
                <w:szCs w:val="24"/>
                <w:highlight w:val="none"/>
                <w:lang w:eastAsia="zh-CN"/>
              </w:rPr>
              <w:t>及</w:t>
            </w:r>
            <w:r>
              <w:rPr>
                <w:rFonts w:hint="eastAsia" w:ascii="微软雅黑" w:hAnsi="微软雅黑" w:eastAsia="微软雅黑" w:cs="微软雅黑"/>
                <w:b w:val="0"/>
                <w:bCs w:val="0"/>
                <w:color w:val="auto"/>
                <w:kern w:val="0"/>
                <w:sz w:val="24"/>
                <w:szCs w:val="24"/>
                <w:highlight w:val="none"/>
              </w:rPr>
              <w:t>技术：</w:t>
            </w:r>
            <w:r>
              <w:rPr>
                <w:rFonts w:hint="eastAsia" w:ascii="微软雅黑" w:hAnsi="微软雅黑" w:eastAsia="微软雅黑" w:cs="微软雅黑"/>
                <w:b w:val="0"/>
                <w:bCs w:val="0"/>
                <w:color w:val="auto"/>
                <w:kern w:val="0"/>
                <w:sz w:val="24"/>
                <w:szCs w:val="24"/>
                <w:highlight w:val="none"/>
                <w:lang w:val="en-US" w:eastAsia="zh-CN"/>
              </w:rPr>
              <w:t>90</w:t>
            </w:r>
            <w:r>
              <w:rPr>
                <w:rFonts w:hint="eastAsia" w:ascii="微软雅黑" w:hAnsi="微软雅黑" w:eastAsia="微软雅黑" w:cs="微软雅黑"/>
                <w:b w:val="0"/>
                <w:bCs w:val="0"/>
                <w:color w:val="auto"/>
                <w:kern w:val="0"/>
                <w:sz w:val="24"/>
                <w:szCs w:val="24"/>
                <w:highlight w:val="none"/>
              </w:rPr>
              <w:t xml:space="preserve">分              </w:t>
            </w:r>
          </w:p>
        </w:tc>
        <w:tc>
          <w:tcPr>
            <w:tcW w:w="1288" w:type="dxa"/>
            <w:shd w:val="clear" w:color="auto" w:fill="auto"/>
            <w:vAlign w:val="center"/>
          </w:tcPr>
          <w:p w14:paraId="5E73859E">
            <w:pPr>
              <w:pStyle w:val="52"/>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说明</w:t>
            </w:r>
          </w:p>
        </w:tc>
      </w:tr>
      <w:tr w14:paraId="3376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803" w:type="dxa"/>
            <w:shd w:val="clear" w:color="auto" w:fill="auto"/>
            <w:vAlign w:val="center"/>
          </w:tcPr>
          <w:p w14:paraId="50724B8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eastAsia="zh-CN"/>
              </w:rPr>
            </w:pPr>
            <w:r>
              <w:rPr>
                <w:rFonts w:hint="eastAsia" w:ascii="微软雅黑" w:hAnsi="微软雅黑" w:eastAsia="微软雅黑" w:cs="微软雅黑"/>
                <w:b w:val="0"/>
                <w:bCs w:val="0"/>
                <w:color w:val="auto"/>
                <w:kern w:val="0"/>
                <w:sz w:val="24"/>
                <w:szCs w:val="24"/>
                <w:highlight w:val="none"/>
              </w:rPr>
              <w:t>价格评分标准</w:t>
            </w:r>
          </w:p>
        </w:tc>
        <w:tc>
          <w:tcPr>
            <w:tcW w:w="1246" w:type="dxa"/>
            <w:shd w:val="clear" w:color="auto" w:fill="auto"/>
            <w:vAlign w:val="center"/>
          </w:tcPr>
          <w:p w14:paraId="0EB9FB25">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投标报价</w:t>
            </w:r>
          </w:p>
        </w:tc>
        <w:tc>
          <w:tcPr>
            <w:tcW w:w="592" w:type="dxa"/>
            <w:shd w:val="clear" w:color="auto" w:fill="auto"/>
            <w:vAlign w:val="center"/>
          </w:tcPr>
          <w:p w14:paraId="2766BC9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10</w:t>
            </w:r>
          </w:p>
        </w:tc>
        <w:tc>
          <w:tcPr>
            <w:tcW w:w="5809" w:type="dxa"/>
            <w:shd w:val="clear" w:color="auto" w:fill="auto"/>
            <w:vAlign w:val="center"/>
          </w:tcPr>
          <w:p w14:paraId="51B2E85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微软雅黑" w:hAnsi="微软雅黑" w:eastAsia="微软雅黑" w:cs="微软雅黑"/>
                <w:b w:val="0"/>
                <w:bCs w:val="0"/>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完全满足</w:t>
            </w:r>
            <w:r>
              <w:rPr>
                <w:rFonts w:hint="eastAsia" w:ascii="微软雅黑" w:hAnsi="微软雅黑" w:eastAsia="微软雅黑" w:cs="微软雅黑"/>
                <w:color w:val="auto"/>
                <w:kern w:val="0"/>
                <w:sz w:val="24"/>
                <w:szCs w:val="24"/>
                <w:highlight w:val="none"/>
                <w:lang w:eastAsia="zh-CN"/>
              </w:rPr>
              <w:t>招标文件</w:t>
            </w:r>
            <w:r>
              <w:rPr>
                <w:rFonts w:hint="eastAsia" w:ascii="微软雅黑" w:hAnsi="微软雅黑" w:eastAsia="微软雅黑" w:cs="微软雅黑"/>
                <w:color w:val="auto"/>
                <w:kern w:val="0"/>
                <w:sz w:val="24"/>
                <w:szCs w:val="24"/>
                <w:highlight w:val="none"/>
              </w:rPr>
              <w:t>参数的投标报价中的最低价为</w:t>
            </w:r>
            <w:r>
              <w:rPr>
                <w:rFonts w:hint="eastAsia" w:ascii="微软雅黑" w:hAnsi="微软雅黑" w:eastAsia="微软雅黑" w:cs="微软雅黑"/>
                <w:color w:val="auto"/>
                <w:kern w:val="0"/>
                <w:sz w:val="24"/>
                <w:szCs w:val="24"/>
                <w:highlight w:val="none"/>
                <w:lang w:eastAsia="zh-CN"/>
              </w:rPr>
              <w:t>评审</w:t>
            </w:r>
            <w:r>
              <w:rPr>
                <w:rFonts w:hint="eastAsia" w:ascii="微软雅黑" w:hAnsi="微软雅黑" w:eastAsia="微软雅黑" w:cs="微软雅黑"/>
                <w:color w:val="auto"/>
                <w:kern w:val="0"/>
                <w:sz w:val="24"/>
                <w:szCs w:val="24"/>
                <w:highlight w:val="none"/>
              </w:rPr>
              <w:t>基准价，按照下列公式计算每个</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的投标价格得分。投标报价得分＝（基准价/投标报价）×价格权重×100。</w:t>
            </w:r>
            <w:bookmarkStart w:id="790" w:name="_Toc19607"/>
            <w:bookmarkStart w:id="791" w:name="_Toc16347"/>
            <w:bookmarkStart w:id="792" w:name="_Toc30205"/>
            <w:r>
              <w:rPr>
                <w:rFonts w:hint="eastAsia" w:ascii="微软雅黑" w:hAnsi="微软雅黑" w:eastAsia="微软雅黑" w:cs="微软雅黑"/>
                <w:b/>
                <w:bCs/>
                <w:color w:val="auto"/>
                <w:kern w:val="0"/>
                <w:sz w:val="24"/>
                <w:szCs w:val="24"/>
                <w:highlight w:val="none"/>
                <w:lang w:val="en-US" w:eastAsia="zh-CN"/>
              </w:rPr>
              <w:t>（本项目属于专门面向中小企业项目，不享受价格优惠扣除，请在响应文件中提供“中小企业声明函”，如果未提供或提供虚假的“中小企业声明函”的，供应商将承担由此造成的一切不利后果。）</w:t>
            </w:r>
            <w:bookmarkEnd w:id="790"/>
            <w:bookmarkEnd w:id="791"/>
            <w:bookmarkEnd w:id="792"/>
          </w:p>
        </w:tc>
        <w:tc>
          <w:tcPr>
            <w:tcW w:w="1288" w:type="dxa"/>
            <w:shd w:val="clear" w:color="auto" w:fill="auto"/>
            <w:vAlign w:val="center"/>
          </w:tcPr>
          <w:p w14:paraId="1FF6AD17">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投标报价超过采购预算价的按废标处理</w:t>
            </w:r>
          </w:p>
        </w:tc>
      </w:tr>
      <w:tr w14:paraId="5F43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803" w:type="dxa"/>
            <w:vMerge w:val="restart"/>
            <w:shd w:val="clear" w:color="auto" w:fill="auto"/>
            <w:vAlign w:val="center"/>
          </w:tcPr>
          <w:p w14:paraId="006D0E6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商务</w:t>
            </w:r>
            <w:r>
              <w:rPr>
                <w:rFonts w:hint="eastAsia" w:ascii="微软雅黑" w:hAnsi="微软雅黑" w:eastAsia="微软雅黑" w:cs="微软雅黑"/>
                <w:b w:val="0"/>
                <w:bCs w:val="0"/>
                <w:color w:val="auto"/>
                <w:kern w:val="0"/>
                <w:sz w:val="24"/>
                <w:szCs w:val="24"/>
                <w:highlight w:val="none"/>
                <w:lang w:eastAsia="zh-CN"/>
              </w:rPr>
              <w:t>及</w:t>
            </w:r>
            <w:r>
              <w:rPr>
                <w:rFonts w:hint="eastAsia" w:ascii="微软雅黑" w:hAnsi="微软雅黑" w:eastAsia="微软雅黑" w:cs="微软雅黑"/>
                <w:b w:val="0"/>
                <w:bCs w:val="0"/>
                <w:color w:val="auto"/>
                <w:kern w:val="0"/>
                <w:sz w:val="24"/>
                <w:szCs w:val="24"/>
                <w:highlight w:val="none"/>
                <w:lang w:val="en-US" w:eastAsia="zh-CN"/>
              </w:rPr>
              <w:t>技术评分标准</w:t>
            </w:r>
          </w:p>
          <w:p w14:paraId="2AFAB6A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eastAsia="zh-CN"/>
              </w:rPr>
            </w:pPr>
          </w:p>
        </w:tc>
        <w:tc>
          <w:tcPr>
            <w:tcW w:w="1246" w:type="dxa"/>
            <w:shd w:val="clear" w:color="auto" w:fill="auto"/>
            <w:vAlign w:val="center"/>
          </w:tcPr>
          <w:p w14:paraId="054A3D6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业绩</w:t>
            </w:r>
          </w:p>
        </w:tc>
        <w:tc>
          <w:tcPr>
            <w:tcW w:w="592" w:type="dxa"/>
            <w:shd w:val="clear" w:color="auto" w:fill="auto"/>
            <w:vAlign w:val="center"/>
          </w:tcPr>
          <w:p w14:paraId="6BADF8B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4</w:t>
            </w:r>
          </w:p>
        </w:tc>
        <w:tc>
          <w:tcPr>
            <w:tcW w:w="5809" w:type="dxa"/>
            <w:shd w:val="clear" w:color="auto" w:fill="auto"/>
            <w:vAlign w:val="center"/>
          </w:tcPr>
          <w:p w14:paraId="3F5C9CC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供应商提供近3年内（2023年5月1日至投标截止时间止）类似业绩证明材料（中标（成交）通知书或合同），每提供一套资料得2分，最多得4分。</w:t>
            </w:r>
          </w:p>
          <w:p w14:paraId="7E1E1356">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bidi="ar"/>
              </w:rPr>
              <w:t>注：提供的合同须包含：合同首页、合同标的页、合同金额页、合同签字盖章页，未提供或提供不全的不计入得分。</w:t>
            </w:r>
          </w:p>
        </w:tc>
        <w:tc>
          <w:tcPr>
            <w:tcW w:w="1288" w:type="dxa"/>
            <w:shd w:val="clear" w:color="auto" w:fill="auto"/>
            <w:vAlign w:val="center"/>
          </w:tcPr>
          <w:p w14:paraId="4D7EC95D">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根据需求提供必要的证明资料</w:t>
            </w:r>
          </w:p>
        </w:tc>
      </w:tr>
      <w:tr w14:paraId="4A6B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803" w:type="dxa"/>
            <w:vMerge w:val="continue"/>
            <w:shd w:val="clear" w:color="auto" w:fill="auto"/>
            <w:vAlign w:val="center"/>
          </w:tcPr>
          <w:p w14:paraId="3D632D4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eastAsia="zh-CN"/>
              </w:rPr>
            </w:pPr>
          </w:p>
        </w:tc>
        <w:tc>
          <w:tcPr>
            <w:tcW w:w="1246" w:type="dxa"/>
            <w:shd w:val="clear" w:color="auto" w:fill="auto"/>
            <w:vAlign w:val="center"/>
          </w:tcPr>
          <w:p w14:paraId="5DEAE07B">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项目团队</w:t>
            </w:r>
          </w:p>
        </w:tc>
        <w:tc>
          <w:tcPr>
            <w:tcW w:w="592" w:type="dxa"/>
            <w:shd w:val="clear" w:color="auto" w:fill="auto"/>
            <w:vAlign w:val="center"/>
          </w:tcPr>
          <w:p w14:paraId="3790EFE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6</w:t>
            </w:r>
          </w:p>
        </w:tc>
        <w:tc>
          <w:tcPr>
            <w:tcW w:w="5809" w:type="dxa"/>
            <w:shd w:val="clear" w:color="auto" w:fill="auto"/>
            <w:vAlign w:val="center"/>
          </w:tcPr>
          <w:p w14:paraId="410185AB">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拟投入本项目各岗位人员安排</w:t>
            </w:r>
            <w:r>
              <w:rPr>
                <w:rFonts w:hint="eastAsia" w:ascii="微软雅黑" w:hAnsi="微软雅黑" w:eastAsia="微软雅黑" w:cs="微软雅黑"/>
                <w:sz w:val="24"/>
                <w:szCs w:val="24"/>
                <w:lang w:val="en-US" w:eastAsia="zh-CN"/>
              </w:rPr>
              <w:t>包含但不限于：项目负责人、设计人员、制作人员、送货人员、安装人员、售后服务人员不少于6人员，</w:t>
            </w:r>
            <w:r>
              <w:rPr>
                <w:rFonts w:hint="eastAsia" w:ascii="微软雅黑" w:hAnsi="微软雅黑" w:eastAsia="微软雅黑" w:cs="微软雅黑"/>
                <w:color w:val="auto"/>
                <w:kern w:val="0"/>
                <w:sz w:val="24"/>
                <w:szCs w:val="24"/>
                <w:highlight w:val="none"/>
                <w:lang w:val="en-US" w:eastAsia="zh-CN" w:bidi="ar"/>
              </w:rPr>
              <w:t>得6分，</w:t>
            </w:r>
            <w:r>
              <w:rPr>
                <w:rFonts w:hint="eastAsia" w:ascii="微软雅黑" w:hAnsi="微软雅黑" w:eastAsia="微软雅黑" w:cs="微软雅黑"/>
                <w:color w:val="auto"/>
                <w:sz w:val="24"/>
                <w:szCs w:val="24"/>
                <w:lang w:val="en-US" w:eastAsia="zh-CN"/>
              </w:rPr>
              <w:t>其中缺少1人扣1分</w:t>
            </w:r>
            <w:r>
              <w:rPr>
                <w:rFonts w:hint="eastAsia" w:ascii="微软雅黑" w:hAnsi="微软雅黑" w:eastAsia="微软雅黑" w:cs="微软雅黑"/>
                <w:color w:val="auto"/>
                <w:kern w:val="0"/>
                <w:sz w:val="24"/>
                <w:szCs w:val="24"/>
                <w:highlight w:val="none"/>
                <w:lang w:val="en-US" w:eastAsia="zh-CN" w:bidi="ar"/>
              </w:rPr>
              <w:t>。</w:t>
            </w:r>
          </w:p>
          <w:p w14:paraId="7361CFFB">
            <w:pPr>
              <w:pStyle w:val="35"/>
              <w:keepNext w:val="0"/>
              <w:keepLines w:val="0"/>
              <w:pageBreakBefore w:val="0"/>
              <w:kinsoku/>
              <w:wordWrap w:val="0"/>
              <w:overflowPunct/>
              <w:topLinePunct w:val="0"/>
              <w:bidi w:val="0"/>
              <w:snapToGrid/>
              <w:ind w:left="0" w:lef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注：需提供人员花名册、岗位职责表、身份证、劳动合同等证明材料，</w:t>
            </w:r>
            <w:r>
              <w:rPr>
                <w:rFonts w:hint="eastAsia" w:ascii="微软雅黑" w:hAnsi="微软雅黑" w:eastAsia="微软雅黑" w:cs="微软雅黑"/>
                <w:color w:val="auto"/>
                <w:kern w:val="0"/>
                <w:sz w:val="24"/>
                <w:szCs w:val="24"/>
                <w:highlight w:val="none"/>
                <w:lang w:val="en-US" w:eastAsia="zh-CN" w:bidi="ar"/>
              </w:rPr>
              <w:t>未提供或提供不全的不计入得分。</w:t>
            </w:r>
          </w:p>
        </w:tc>
        <w:tc>
          <w:tcPr>
            <w:tcW w:w="1288" w:type="dxa"/>
            <w:shd w:val="clear" w:color="auto" w:fill="auto"/>
            <w:vAlign w:val="center"/>
          </w:tcPr>
          <w:p w14:paraId="3BCA94C1">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rPr>
            </w:pPr>
          </w:p>
        </w:tc>
      </w:tr>
      <w:tr w14:paraId="7411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shd w:val="clear" w:color="auto" w:fill="auto"/>
            <w:vAlign w:val="center"/>
          </w:tcPr>
          <w:p w14:paraId="02DC77B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eastAsia="zh-CN"/>
              </w:rPr>
            </w:pPr>
          </w:p>
        </w:tc>
        <w:tc>
          <w:tcPr>
            <w:tcW w:w="1246" w:type="dxa"/>
            <w:shd w:val="clear" w:color="auto" w:fill="auto"/>
            <w:vAlign w:val="center"/>
          </w:tcPr>
          <w:p w14:paraId="504A370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企业场地</w:t>
            </w:r>
          </w:p>
        </w:tc>
        <w:tc>
          <w:tcPr>
            <w:tcW w:w="592" w:type="dxa"/>
            <w:shd w:val="clear" w:color="auto" w:fill="auto"/>
            <w:vAlign w:val="center"/>
          </w:tcPr>
          <w:p w14:paraId="6268699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8</w:t>
            </w:r>
          </w:p>
        </w:tc>
        <w:tc>
          <w:tcPr>
            <w:tcW w:w="5809" w:type="dxa"/>
            <w:shd w:val="clear" w:color="auto" w:fill="auto"/>
            <w:vAlign w:val="center"/>
          </w:tcPr>
          <w:p w14:paraId="09514219">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①具有固定办公场所或厂房及广告产品制作的相关设备，100㎡以上得8分。</w:t>
            </w:r>
          </w:p>
          <w:p w14:paraId="5F247B6E">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②具有固定办公场所或厂房及广告产品制作的相关设备，80㎡以上得5分。</w:t>
            </w:r>
          </w:p>
          <w:p w14:paraId="69E9448C">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③具有固定办公场所或厂房及广告产品制作的相关设备，50㎡以下得2分。</w:t>
            </w:r>
          </w:p>
          <w:p w14:paraId="7318B454">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注：需提供租赁协议或产权证明和设备证明资料（设备发票及图片），没有具有固定办公场所或厂房及广告产品制作的相关设备或不符合要求的不得分。</w:t>
            </w:r>
          </w:p>
        </w:tc>
        <w:tc>
          <w:tcPr>
            <w:tcW w:w="1288" w:type="dxa"/>
            <w:shd w:val="clear" w:color="auto" w:fill="auto"/>
            <w:vAlign w:val="center"/>
          </w:tcPr>
          <w:p w14:paraId="767C2446">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rPr>
            </w:pPr>
          </w:p>
        </w:tc>
      </w:tr>
      <w:tr w14:paraId="0B26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803" w:type="dxa"/>
            <w:vMerge w:val="continue"/>
            <w:shd w:val="clear" w:color="auto" w:fill="auto"/>
            <w:vAlign w:val="center"/>
          </w:tcPr>
          <w:p w14:paraId="1059DB3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p>
        </w:tc>
        <w:tc>
          <w:tcPr>
            <w:tcW w:w="1246" w:type="dxa"/>
            <w:shd w:val="clear" w:color="auto" w:fill="auto"/>
            <w:vAlign w:val="center"/>
          </w:tcPr>
          <w:p w14:paraId="0133C205">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项目整体服务方案</w:t>
            </w:r>
          </w:p>
        </w:tc>
        <w:tc>
          <w:tcPr>
            <w:tcW w:w="592" w:type="dxa"/>
            <w:shd w:val="clear" w:color="auto" w:fill="auto"/>
            <w:vAlign w:val="center"/>
          </w:tcPr>
          <w:p w14:paraId="652952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15</w:t>
            </w:r>
          </w:p>
        </w:tc>
        <w:tc>
          <w:tcPr>
            <w:tcW w:w="5809" w:type="dxa"/>
            <w:shd w:val="clear" w:color="auto" w:fill="auto"/>
            <w:vAlign w:val="center"/>
          </w:tcPr>
          <w:p w14:paraId="44CB4356">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项目整体服务方案包含但不限于：①项目理解分析、②项目管理制度、③项目管理组织机构及人员分工、④设计与制作进度计划安排、⑤反馈与沟通协调方案；提供上述5项方案内容且5项方案内容无缺陷的得15分，其中缺少1项方案内容扣3分，每项方案内容中存在1处缺陷的扣1.5分，扣完为止。不提供者不得分。</w:t>
            </w:r>
          </w:p>
          <w:p w14:paraId="4829B88E">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288" w:type="dxa"/>
            <w:shd w:val="clear" w:color="auto" w:fill="auto"/>
            <w:vAlign w:val="center"/>
          </w:tcPr>
          <w:p w14:paraId="04F60312">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lang w:eastAsia="zh-CN"/>
              </w:rPr>
            </w:pPr>
          </w:p>
        </w:tc>
      </w:tr>
      <w:tr w14:paraId="1606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803" w:type="dxa"/>
            <w:vMerge w:val="continue"/>
            <w:shd w:val="clear" w:color="auto" w:fill="auto"/>
            <w:vAlign w:val="center"/>
          </w:tcPr>
          <w:p w14:paraId="65BA15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eastAsia="zh-CN"/>
              </w:rPr>
            </w:pPr>
          </w:p>
        </w:tc>
        <w:tc>
          <w:tcPr>
            <w:tcW w:w="1246" w:type="dxa"/>
            <w:shd w:val="clear" w:color="auto" w:fill="auto"/>
            <w:vAlign w:val="center"/>
          </w:tcPr>
          <w:p w14:paraId="71F83EBB">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制作安装方案</w:t>
            </w:r>
          </w:p>
        </w:tc>
        <w:tc>
          <w:tcPr>
            <w:tcW w:w="592" w:type="dxa"/>
            <w:shd w:val="clear" w:color="auto" w:fill="auto"/>
            <w:vAlign w:val="center"/>
          </w:tcPr>
          <w:p w14:paraId="2E1D89A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18</w:t>
            </w:r>
          </w:p>
        </w:tc>
        <w:tc>
          <w:tcPr>
            <w:tcW w:w="5809" w:type="dxa"/>
            <w:shd w:val="clear" w:color="auto" w:fill="auto"/>
            <w:vAlign w:val="center"/>
          </w:tcPr>
          <w:p w14:paraId="4B09163A">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val="0"/>
                <w:bCs w:val="0"/>
                <w:color w:val="auto"/>
                <w:sz w:val="24"/>
                <w:szCs w:val="24"/>
                <w:highlight w:val="none"/>
                <w:lang w:val="en-US" w:eastAsia="zh-CN"/>
              </w:rPr>
              <w:t>制作安装方案包含但不限于：①安装进度计划、②制作方法及工艺、②安装方法及工艺、③安装流程各环节技术重点分析、④</w:t>
            </w:r>
            <w:r>
              <w:rPr>
                <w:rFonts w:hint="eastAsia" w:ascii="微软雅黑" w:hAnsi="微软雅黑" w:eastAsia="微软雅黑" w:cs="微软雅黑"/>
                <w:sz w:val="24"/>
                <w:szCs w:val="24"/>
              </w:rPr>
              <w:t>材料需用量计划</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⑤安装人员安排、⑥</w:t>
            </w:r>
            <w:r>
              <w:rPr>
                <w:rFonts w:hint="eastAsia" w:ascii="微软雅黑" w:hAnsi="微软雅黑" w:eastAsia="微软雅黑" w:cs="微软雅黑"/>
                <w:b w:val="0"/>
                <w:bCs w:val="0"/>
                <w:color w:val="auto"/>
                <w:sz w:val="24"/>
                <w:szCs w:val="24"/>
                <w:highlight w:val="none"/>
                <w:lang w:val="en-US" w:eastAsia="zh-CN"/>
              </w:rPr>
              <w:t>安装后使用培训讲解；</w:t>
            </w:r>
            <w:r>
              <w:rPr>
                <w:rFonts w:hint="eastAsia" w:ascii="微软雅黑" w:hAnsi="微软雅黑" w:eastAsia="微软雅黑" w:cs="微软雅黑"/>
                <w:color w:val="auto"/>
                <w:sz w:val="24"/>
                <w:szCs w:val="24"/>
                <w:lang w:val="en-US" w:eastAsia="zh-CN"/>
              </w:rPr>
              <w:t>提供上述6项方案内容且6项方案内容无缺陷的得18分，其中缺少1项方案内容扣3分，每项方案内容中存在1处缺陷的扣1.5分，扣完为止。不提供者不得分。</w:t>
            </w:r>
          </w:p>
          <w:p w14:paraId="694AB8CD">
            <w:pPr>
              <w:keepNext w:val="0"/>
              <w:keepLines w:val="0"/>
              <w:pageBreakBefore w:val="0"/>
              <w:kinsoku/>
              <w:wordWrap w:val="0"/>
              <w:overflowPunct/>
              <w:topLinePunct w:val="0"/>
              <w:bidi w:val="0"/>
              <w:snapToGrid/>
              <w:spacing w:line="4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288" w:type="dxa"/>
            <w:shd w:val="clear" w:color="auto" w:fill="auto"/>
            <w:vAlign w:val="center"/>
          </w:tcPr>
          <w:p w14:paraId="2CBFD566">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lang w:eastAsia="zh-CN"/>
              </w:rPr>
            </w:pPr>
          </w:p>
        </w:tc>
      </w:tr>
      <w:tr w14:paraId="7C7A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803" w:type="dxa"/>
            <w:vMerge w:val="continue"/>
            <w:shd w:val="clear" w:color="auto" w:fill="auto"/>
            <w:vAlign w:val="center"/>
          </w:tcPr>
          <w:p w14:paraId="7ECCE03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p>
        </w:tc>
        <w:tc>
          <w:tcPr>
            <w:tcW w:w="1246" w:type="dxa"/>
            <w:shd w:val="clear" w:color="auto" w:fill="auto"/>
            <w:vAlign w:val="center"/>
          </w:tcPr>
          <w:p w14:paraId="067E7E1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服务质量保障措施方案</w:t>
            </w:r>
          </w:p>
        </w:tc>
        <w:tc>
          <w:tcPr>
            <w:tcW w:w="592" w:type="dxa"/>
            <w:shd w:val="clear" w:color="auto" w:fill="auto"/>
            <w:vAlign w:val="center"/>
          </w:tcPr>
          <w:p w14:paraId="5C93C74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spacing w:val="-10"/>
                <w:sz w:val="24"/>
                <w:szCs w:val="24"/>
                <w:lang w:val="en-US" w:eastAsia="zh-CN"/>
              </w:rPr>
              <w:t>15</w:t>
            </w:r>
          </w:p>
        </w:tc>
        <w:tc>
          <w:tcPr>
            <w:tcW w:w="5809" w:type="dxa"/>
            <w:shd w:val="clear" w:color="auto" w:fill="auto"/>
            <w:vAlign w:val="center"/>
          </w:tcPr>
          <w:p w14:paraId="2A7A910B">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服务质量保障措施方案包含但不限于：①现场实施服务保证措施、②质量保障措施（包括不限于材料选择、印刷质量、制作安装等方面）、③紧急安全保障措施</w:t>
            </w:r>
          </w:p>
          <w:p w14:paraId="0A9339C3">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、④突发、应急事件的处理措施、⑤备品备件保障方案；提供上述5项方案内容且5项方案内容无缺陷的得15分，其中缺少1项方案内容扣3分，每项方案内容中存在1处缺陷的扣1.5分，扣完为止。不提供者不得分。</w:t>
            </w:r>
          </w:p>
          <w:p w14:paraId="28B90651">
            <w:pPr>
              <w:keepNext w:val="0"/>
              <w:keepLines w:val="0"/>
              <w:pageBreakBefore w:val="0"/>
              <w:numPr>
                <w:ilvl w:val="0"/>
                <w:numId w:val="0"/>
              </w:numPr>
              <w:kinsoku/>
              <w:wordWrap w:val="0"/>
              <w:overflowPunct/>
              <w:topLinePunct w:val="0"/>
              <w:bidi w:val="0"/>
              <w:snapToGrid/>
              <w:spacing w:line="44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288" w:type="dxa"/>
            <w:shd w:val="clear" w:color="auto" w:fill="auto"/>
            <w:vAlign w:val="center"/>
          </w:tcPr>
          <w:p w14:paraId="6E811C04">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lang w:eastAsia="zh-CN"/>
              </w:rPr>
            </w:pPr>
          </w:p>
        </w:tc>
      </w:tr>
      <w:tr w14:paraId="2ABB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803" w:type="dxa"/>
            <w:vMerge w:val="continue"/>
            <w:shd w:val="clear" w:color="auto" w:fill="auto"/>
            <w:vAlign w:val="center"/>
          </w:tcPr>
          <w:p w14:paraId="1FD6539B">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p>
        </w:tc>
        <w:tc>
          <w:tcPr>
            <w:tcW w:w="1246" w:type="dxa"/>
            <w:shd w:val="clear" w:color="auto" w:fill="auto"/>
            <w:vAlign w:val="center"/>
          </w:tcPr>
          <w:p w14:paraId="60CFF72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后续服务方案</w:t>
            </w:r>
          </w:p>
        </w:tc>
        <w:tc>
          <w:tcPr>
            <w:tcW w:w="592" w:type="dxa"/>
            <w:shd w:val="clear" w:color="auto" w:fill="auto"/>
            <w:vAlign w:val="center"/>
          </w:tcPr>
          <w:p w14:paraId="22AB7F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spacing w:val="-10"/>
                <w:sz w:val="24"/>
                <w:szCs w:val="24"/>
                <w:lang w:val="en-US" w:eastAsia="zh-CN"/>
              </w:rPr>
              <w:t>12</w:t>
            </w:r>
          </w:p>
        </w:tc>
        <w:tc>
          <w:tcPr>
            <w:tcW w:w="5809" w:type="dxa"/>
            <w:shd w:val="clear" w:color="auto" w:fill="auto"/>
            <w:vAlign w:val="center"/>
          </w:tcPr>
          <w:p w14:paraId="6E1E6469">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后续服务方案包含但不限于：①售后巡检方案，②后续涉及的标识拆除和搬移方案，③售后服务保障措施，④售后维护方案；提供上述4项方案内容且4项方案内容无缺陷的得12分，其中缺少1项方案内容扣3分，每项方案内容中存在1处缺陷的扣1.5分，扣完为止。不提供者不得分。</w:t>
            </w:r>
          </w:p>
          <w:p w14:paraId="3FC3711C">
            <w:pPr>
              <w:keepNext w:val="0"/>
              <w:keepLines w:val="0"/>
              <w:pageBreakBefore w:val="0"/>
              <w:numPr>
                <w:ilvl w:val="0"/>
                <w:numId w:val="0"/>
              </w:numPr>
              <w:kinsoku/>
              <w:wordWrap w:val="0"/>
              <w:overflowPunct/>
              <w:topLinePunct w:val="0"/>
              <w:bidi w:val="0"/>
              <w:snapToGrid/>
              <w:spacing w:line="440" w:lineRule="exac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288" w:type="dxa"/>
            <w:shd w:val="clear" w:color="auto" w:fill="auto"/>
            <w:vAlign w:val="center"/>
          </w:tcPr>
          <w:p w14:paraId="014352B8">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lang w:eastAsia="zh-CN"/>
              </w:rPr>
            </w:pPr>
          </w:p>
        </w:tc>
      </w:tr>
      <w:tr w14:paraId="5AEF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803" w:type="dxa"/>
            <w:vMerge w:val="continue"/>
            <w:shd w:val="clear" w:color="auto" w:fill="auto"/>
            <w:vAlign w:val="center"/>
          </w:tcPr>
          <w:p w14:paraId="6A223E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rPr>
            </w:pPr>
          </w:p>
        </w:tc>
        <w:tc>
          <w:tcPr>
            <w:tcW w:w="1246" w:type="dxa"/>
            <w:shd w:val="clear" w:color="auto" w:fill="auto"/>
            <w:vAlign w:val="center"/>
          </w:tcPr>
          <w:p w14:paraId="482C385B">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服务承诺</w:t>
            </w:r>
          </w:p>
        </w:tc>
        <w:tc>
          <w:tcPr>
            <w:tcW w:w="592" w:type="dxa"/>
            <w:shd w:val="clear" w:color="auto" w:fill="auto"/>
            <w:vAlign w:val="center"/>
          </w:tcPr>
          <w:p w14:paraId="728962D4">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12</w:t>
            </w:r>
          </w:p>
        </w:tc>
        <w:tc>
          <w:tcPr>
            <w:tcW w:w="5809" w:type="dxa"/>
            <w:shd w:val="clear" w:color="auto" w:fill="auto"/>
            <w:vAlign w:val="center"/>
          </w:tcPr>
          <w:p w14:paraId="754C10E8">
            <w:pPr>
              <w:pStyle w:val="10"/>
              <w:keepNext w:val="0"/>
              <w:keepLines w:val="0"/>
              <w:pageBreakBefore w:val="0"/>
              <w:numPr>
                <w:ilvl w:val="0"/>
                <w:numId w:val="0"/>
              </w:numPr>
              <w:kinsoku/>
              <w:wordWrap w:val="0"/>
              <w:overflowPunct/>
              <w:topLinePunct w:val="0"/>
              <w:bidi w:val="0"/>
              <w:snapToGrid/>
              <w:spacing w:line="4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供应商针对本项目提供服务承诺包括：①服务承诺：加急制作内容24小时内完成，普通内容2天内完成，大型活动相关物料7天内完成；</w:t>
            </w:r>
          </w:p>
          <w:p w14:paraId="6C358B74">
            <w:pPr>
              <w:pStyle w:val="10"/>
              <w:keepNext w:val="0"/>
              <w:keepLines w:val="0"/>
              <w:pageBreakBefore w:val="0"/>
              <w:numPr>
                <w:ilvl w:val="0"/>
                <w:numId w:val="0"/>
              </w:numPr>
              <w:kinsoku/>
              <w:wordWrap w:val="0"/>
              <w:overflowPunct/>
              <w:topLinePunct w:val="0"/>
              <w:bidi w:val="0"/>
              <w:snapToGrid/>
              <w:spacing w:line="4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②设计服务承诺：提供专业人员对口衔接项目的总体设计风格及功能要求服务承诺，24小时内响应，并根据问题性质安排专业人员处理，确保服务效率。定期与客户沟通，根据需求变化调整服务内容，对阶段整体设计方案、创意稿及时沟通修改意见和建议；</w:t>
            </w:r>
          </w:p>
          <w:p w14:paraId="2729910A">
            <w:pPr>
              <w:pStyle w:val="10"/>
              <w:keepNext w:val="0"/>
              <w:keepLines w:val="0"/>
              <w:pageBreakBefore w:val="0"/>
              <w:numPr>
                <w:ilvl w:val="0"/>
                <w:numId w:val="0"/>
              </w:numPr>
              <w:kinsoku/>
              <w:wordWrap w:val="0"/>
              <w:overflowPunct/>
              <w:topLinePunct w:val="0"/>
              <w:bidi w:val="0"/>
              <w:snapToGrid/>
              <w:spacing w:line="4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③质量及售后承诺：需按照甲方要求制作，提供的产品需符合国家生产标准，产品提供质保6个月以上，如产品未通过甲方验收或出现损坏等情况需维修更换的，需在24小时内完成。</w:t>
            </w:r>
          </w:p>
          <w:p w14:paraId="636D0EEF">
            <w:pPr>
              <w:pStyle w:val="10"/>
              <w:keepNext w:val="0"/>
              <w:keepLines w:val="0"/>
              <w:pageBreakBefore w:val="0"/>
              <w:numPr>
                <w:ilvl w:val="0"/>
                <w:numId w:val="0"/>
              </w:numPr>
              <w:kinsoku/>
              <w:wordWrap w:val="0"/>
              <w:overflowPunct/>
              <w:topLinePunct w:val="0"/>
              <w:bidi w:val="0"/>
              <w:snapToGrid/>
              <w:spacing w:line="4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④其它产品承诺：如有需要本项目产品清单外的产品，其产品供应商报价不得高于同期同地区同品质同规格产品的市场价。</w:t>
            </w:r>
          </w:p>
          <w:p w14:paraId="13BFC7C8">
            <w:pPr>
              <w:pStyle w:val="10"/>
              <w:keepNext w:val="0"/>
              <w:keepLines w:val="0"/>
              <w:pageBreakBefore w:val="0"/>
              <w:kinsoku/>
              <w:wordWrap w:val="0"/>
              <w:overflowPunct/>
              <w:topLinePunct w:val="0"/>
              <w:bidi w:val="0"/>
              <w:snapToGrid/>
              <w:spacing w:line="440" w:lineRule="exact"/>
              <w:ind w:left="0" w:leftChars="0" w:firstLine="0" w:firstLineChars="0"/>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4项承诺内容完整无漏项得12分，</w:t>
            </w:r>
            <w:r>
              <w:rPr>
                <w:rFonts w:hint="eastAsia" w:ascii="微软雅黑" w:hAnsi="微软雅黑" w:eastAsia="微软雅黑" w:cs="微软雅黑"/>
                <w:color w:val="auto"/>
                <w:sz w:val="24"/>
                <w:szCs w:val="24"/>
                <w:lang w:val="en-US" w:eastAsia="zh-CN"/>
              </w:rPr>
              <w:t>其中缺少1项承诺扣3分，扣完为止，不提供者不得分。</w:t>
            </w:r>
          </w:p>
        </w:tc>
        <w:tc>
          <w:tcPr>
            <w:tcW w:w="1288" w:type="dxa"/>
            <w:shd w:val="clear" w:color="auto" w:fill="auto"/>
            <w:vAlign w:val="center"/>
          </w:tcPr>
          <w:p w14:paraId="2E2677B5">
            <w:pPr>
              <w:keepNext w:val="0"/>
              <w:keepLines w:val="0"/>
              <w:pageBreakBefore w:val="0"/>
              <w:kinsoku/>
              <w:wordWrap w:val="0"/>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sz w:val="24"/>
                <w:szCs w:val="24"/>
                <w:highlight w:val="none"/>
                <w:lang w:eastAsia="zh-CN"/>
              </w:rPr>
            </w:pPr>
          </w:p>
        </w:tc>
      </w:tr>
    </w:tbl>
    <w:p w14:paraId="51FD1C29">
      <w:pPr>
        <w:rPr>
          <w:rFonts w:hint="eastAsia" w:ascii="微软雅黑" w:hAnsi="微软雅黑" w:eastAsia="微软雅黑" w:cs="微软雅黑"/>
          <w:b/>
          <w:color w:val="auto"/>
          <w:sz w:val="44"/>
          <w:szCs w:val="44"/>
        </w:rPr>
      </w:pPr>
    </w:p>
    <w:p w14:paraId="0248C4C3">
      <w:pPr>
        <w:pStyle w:val="35"/>
        <w:rPr>
          <w:rFonts w:hint="eastAsia" w:ascii="微软雅黑" w:hAnsi="微软雅黑" w:eastAsia="微软雅黑" w:cs="微软雅黑"/>
        </w:rPr>
      </w:pPr>
    </w:p>
    <w:p w14:paraId="1433291B">
      <w:pPr>
        <w:jc w:val="center"/>
        <w:outlineLvl w:val="9"/>
        <w:rPr>
          <w:rFonts w:hint="eastAsia" w:ascii="微软雅黑" w:hAnsi="微软雅黑" w:eastAsia="微软雅黑" w:cs="微软雅黑"/>
          <w:b/>
          <w:color w:val="auto"/>
          <w:sz w:val="44"/>
          <w:szCs w:val="44"/>
          <w:lang w:eastAsia="zh-CN"/>
        </w:rPr>
      </w:pPr>
      <w:r>
        <w:rPr>
          <w:rFonts w:hint="eastAsia" w:ascii="微软雅黑" w:hAnsi="微软雅黑" w:eastAsia="微软雅黑" w:cs="微软雅黑"/>
          <w:b/>
          <w:color w:val="auto"/>
          <w:sz w:val="44"/>
          <w:szCs w:val="44"/>
          <w:lang w:eastAsia="zh-CN"/>
        </w:rPr>
        <w:t>疏附县公安局采购2026年全局广告宣传制作</w:t>
      </w:r>
    </w:p>
    <w:p w14:paraId="648DEE0C">
      <w:pPr>
        <w:jc w:val="center"/>
        <w:outlineLvl w:val="9"/>
        <w:rPr>
          <w:rFonts w:hint="eastAsia" w:ascii="微软雅黑" w:hAnsi="微软雅黑" w:eastAsia="微软雅黑" w:cs="微软雅黑"/>
          <w:color w:val="auto"/>
          <w:sz w:val="22"/>
          <w:szCs w:val="28"/>
        </w:rPr>
      </w:pPr>
      <w:r>
        <w:rPr>
          <w:rFonts w:hint="eastAsia" w:ascii="微软雅黑" w:hAnsi="微软雅黑" w:eastAsia="微软雅黑" w:cs="微软雅黑"/>
          <w:b/>
          <w:color w:val="auto"/>
          <w:sz w:val="44"/>
          <w:szCs w:val="44"/>
          <w:lang w:eastAsia="zh-CN"/>
        </w:rPr>
        <w:t>服务项目</w:t>
      </w:r>
    </w:p>
    <w:p w14:paraId="49965923">
      <w:pPr>
        <w:snapToGrid w:val="0"/>
        <w:spacing w:line="240" w:lineRule="atLeast"/>
        <w:jc w:val="both"/>
        <w:textAlignment w:val="baseline"/>
        <w:rPr>
          <w:rFonts w:hint="eastAsia" w:ascii="微软雅黑" w:hAnsi="微软雅黑" w:eastAsia="微软雅黑" w:cs="微软雅黑"/>
          <w:b/>
          <w:color w:val="auto"/>
          <w:sz w:val="44"/>
          <w:szCs w:val="44"/>
        </w:rPr>
      </w:pPr>
    </w:p>
    <w:p w14:paraId="13006239">
      <w:pPr>
        <w:snapToGrid w:val="0"/>
        <w:spacing w:line="240" w:lineRule="atLeast"/>
        <w:jc w:val="center"/>
        <w:textAlignment w:val="baseline"/>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竞争性磋商文件</w:t>
      </w:r>
    </w:p>
    <w:p w14:paraId="555F8847">
      <w:pPr>
        <w:pStyle w:val="35"/>
        <w:snapToGrid w:val="0"/>
        <w:textAlignment w:val="baseline"/>
        <w:rPr>
          <w:rFonts w:hint="eastAsia" w:ascii="微软雅黑" w:hAnsi="微软雅黑" w:eastAsia="微软雅黑" w:cs="微软雅黑"/>
          <w:color w:val="auto"/>
          <w:sz w:val="21"/>
        </w:rPr>
      </w:pPr>
    </w:p>
    <w:p w14:paraId="6808B709">
      <w:pPr>
        <w:pStyle w:val="35"/>
        <w:snapToGrid w:val="0"/>
        <w:textAlignment w:val="baseline"/>
        <w:rPr>
          <w:rFonts w:hint="eastAsia" w:ascii="微软雅黑" w:hAnsi="微软雅黑" w:eastAsia="微软雅黑" w:cs="微软雅黑"/>
          <w:color w:val="auto"/>
          <w:sz w:val="21"/>
        </w:rPr>
      </w:pPr>
    </w:p>
    <w:p w14:paraId="2B63938C">
      <w:pPr>
        <w:snapToGrid w:val="0"/>
        <w:spacing w:line="240" w:lineRule="atLeast"/>
        <w:jc w:val="center"/>
        <w:textAlignment w:val="baseline"/>
        <w:rPr>
          <w:rFonts w:hint="eastAsia" w:ascii="微软雅黑" w:hAnsi="微软雅黑" w:eastAsia="微软雅黑" w:cs="微软雅黑"/>
          <w:b/>
          <w:color w:val="auto"/>
          <w:sz w:val="32"/>
          <w:szCs w:val="32"/>
          <w:lang w:eastAsia="zh-CN"/>
        </w:rPr>
      </w:pPr>
      <w:r>
        <w:rPr>
          <w:rFonts w:hint="eastAsia" w:ascii="微软雅黑" w:hAnsi="微软雅黑" w:eastAsia="微软雅黑" w:cs="微软雅黑"/>
          <w:b/>
          <w:color w:val="auto"/>
          <w:sz w:val="32"/>
          <w:szCs w:val="32"/>
        </w:rPr>
        <w:t>项目编号：QXJ(CS)2026-06</w:t>
      </w:r>
      <w:r>
        <w:rPr>
          <w:rFonts w:hint="eastAsia" w:ascii="微软雅黑" w:hAnsi="微软雅黑" w:eastAsia="微软雅黑" w:cs="微软雅黑"/>
          <w:b/>
          <w:color w:val="auto"/>
          <w:sz w:val="32"/>
          <w:szCs w:val="32"/>
          <w:lang w:eastAsia="zh-CN"/>
        </w:rPr>
        <w:t>号</w:t>
      </w:r>
    </w:p>
    <w:p w14:paraId="14E8B682">
      <w:pPr>
        <w:snapToGrid w:val="0"/>
        <w:spacing w:line="240" w:lineRule="atLeast"/>
        <w:textAlignment w:val="baseline"/>
        <w:rPr>
          <w:rFonts w:hint="eastAsia" w:ascii="微软雅黑" w:hAnsi="微软雅黑" w:eastAsia="微软雅黑" w:cs="微软雅黑"/>
          <w:b/>
          <w:color w:val="auto"/>
          <w:sz w:val="52"/>
        </w:rPr>
      </w:pPr>
    </w:p>
    <w:p w14:paraId="1F6E50A1">
      <w:pPr>
        <w:snapToGrid w:val="0"/>
        <w:spacing w:line="240" w:lineRule="atLeast"/>
        <w:jc w:val="center"/>
        <w:textAlignment w:val="baseline"/>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w:t>
      </w:r>
      <w:r>
        <w:rPr>
          <w:rFonts w:hint="eastAsia" w:ascii="微软雅黑" w:hAnsi="微软雅黑" w:eastAsia="微软雅黑" w:cs="微软雅黑"/>
          <w:b/>
          <w:color w:val="auto"/>
          <w:sz w:val="48"/>
          <w:szCs w:val="48"/>
          <w:lang w:val="en-US" w:eastAsia="zh-CN"/>
        </w:rPr>
        <w:t>三</w:t>
      </w:r>
      <w:r>
        <w:rPr>
          <w:rFonts w:hint="eastAsia" w:ascii="微软雅黑" w:hAnsi="微软雅黑" w:eastAsia="微软雅黑" w:cs="微软雅黑"/>
          <w:b/>
          <w:color w:val="auto"/>
          <w:sz w:val="48"/>
          <w:szCs w:val="48"/>
        </w:rPr>
        <w:t>册</w:t>
      </w:r>
    </w:p>
    <w:p w14:paraId="0EC083B9">
      <w:pPr>
        <w:pStyle w:val="35"/>
        <w:ind w:left="0" w:leftChars="0" w:firstLine="0" w:firstLineChars="0"/>
        <w:rPr>
          <w:rFonts w:hint="eastAsia" w:ascii="微软雅黑" w:hAnsi="微软雅黑" w:eastAsia="微软雅黑" w:cs="微软雅黑"/>
          <w:b/>
          <w:color w:val="auto"/>
          <w:sz w:val="48"/>
          <w:szCs w:val="48"/>
        </w:rPr>
      </w:pPr>
    </w:p>
    <w:p w14:paraId="31CEE728">
      <w:pPr>
        <w:pStyle w:val="35"/>
        <w:ind w:firstLine="960"/>
        <w:rPr>
          <w:rFonts w:hint="eastAsia" w:ascii="微软雅黑" w:hAnsi="微软雅黑" w:eastAsia="微软雅黑" w:cs="微软雅黑"/>
          <w:b/>
          <w:color w:val="auto"/>
          <w:sz w:val="48"/>
          <w:szCs w:val="48"/>
        </w:rPr>
      </w:pPr>
    </w:p>
    <w:p w14:paraId="18D1B899">
      <w:pPr>
        <w:pStyle w:val="10"/>
        <w:rPr>
          <w:rFonts w:hint="eastAsia" w:ascii="微软雅黑" w:hAnsi="微软雅黑" w:eastAsia="微软雅黑" w:cs="微软雅黑"/>
          <w:b/>
          <w:color w:val="auto"/>
          <w:sz w:val="48"/>
          <w:szCs w:val="48"/>
        </w:rPr>
      </w:pPr>
    </w:p>
    <w:p w14:paraId="22759584">
      <w:pPr>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br w:type="page"/>
      </w:r>
    </w:p>
    <w:p w14:paraId="6CD1E076">
      <w:pPr>
        <w:pStyle w:val="5"/>
        <w:tabs>
          <w:tab w:val="left" w:pos="0"/>
        </w:tabs>
        <w:spacing w:before="0" w:after="0" w:line="400" w:lineRule="exact"/>
        <w:rPr>
          <w:rFonts w:hint="eastAsia" w:ascii="微软雅黑" w:hAnsi="微软雅黑" w:eastAsia="微软雅黑" w:cs="微软雅黑"/>
          <w:color w:val="auto"/>
        </w:rPr>
      </w:pPr>
      <w:bookmarkStart w:id="793" w:name="_Toc22173"/>
      <w:r>
        <w:rPr>
          <w:rFonts w:hint="eastAsia" w:ascii="微软雅黑" w:hAnsi="微软雅黑" w:eastAsia="微软雅黑" w:cs="微软雅黑"/>
          <w:color w:val="auto"/>
        </w:rPr>
        <w:t>第7章  政府采购合同</w:t>
      </w:r>
      <w:bookmarkEnd w:id="788"/>
      <w:bookmarkEnd w:id="789"/>
      <w:bookmarkEnd w:id="793"/>
    </w:p>
    <w:p w14:paraId="6E10DA7C">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合同编号：           </w:t>
      </w:r>
    </w:p>
    <w:p w14:paraId="43EE8EAE">
      <w:pPr>
        <w:rPr>
          <w:rFonts w:hint="eastAsia" w:ascii="微软雅黑" w:hAnsi="微软雅黑" w:eastAsia="微软雅黑" w:cs="微软雅黑"/>
          <w:color w:val="auto"/>
          <w:sz w:val="24"/>
        </w:rPr>
      </w:pPr>
    </w:p>
    <w:p w14:paraId="201F686B">
      <w:pPr>
        <w:rPr>
          <w:rFonts w:hint="eastAsia" w:ascii="微软雅黑" w:hAnsi="微软雅黑" w:eastAsia="微软雅黑" w:cs="微软雅黑"/>
          <w:color w:val="auto"/>
          <w:sz w:val="24"/>
        </w:rPr>
      </w:pPr>
    </w:p>
    <w:p w14:paraId="2926A30E">
      <w:pPr>
        <w:rPr>
          <w:rFonts w:hint="eastAsia" w:ascii="微软雅黑" w:hAnsi="微软雅黑" w:eastAsia="微软雅黑" w:cs="微软雅黑"/>
          <w:color w:val="auto"/>
          <w:sz w:val="24"/>
        </w:rPr>
      </w:pPr>
    </w:p>
    <w:p w14:paraId="43F98353">
      <w:pPr>
        <w:pageBreakBefore w:val="0"/>
        <w:widowControl w:val="0"/>
        <w:kinsoku/>
        <w:wordWrap/>
        <w:overflowPunct/>
        <w:topLinePunct w:val="0"/>
        <w:bidi w:val="0"/>
        <w:snapToGrid/>
        <w:spacing w:line="420" w:lineRule="exact"/>
        <w:jc w:val="center"/>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政府采购合同参考范本</w:t>
      </w:r>
    </w:p>
    <w:p w14:paraId="773638A4">
      <w:pPr>
        <w:pageBreakBefore w:val="0"/>
        <w:widowControl w:val="0"/>
        <w:kinsoku/>
        <w:wordWrap/>
        <w:overflowPunct/>
        <w:topLinePunct w:val="0"/>
        <w:bidi w:val="0"/>
        <w:snapToGrid/>
        <w:spacing w:line="420" w:lineRule="exact"/>
        <w:jc w:val="center"/>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（服务类）</w:t>
      </w:r>
    </w:p>
    <w:p w14:paraId="2D0F7F34">
      <w:pPr>
        <w:pStyle w:val="58"/>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color w:val="auto"/>
          <w:sz w:val="24"/>
          <w:szCs w:val="24"/>
        </w:rPr>
      </w:pPr>
    </w:p>
    <w:p w14:paraId="550F87F9">
      <w:pPr>
        <w:pStyle w:val="58"/>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color w:val="auto"/>
          <w:sz w:val="24"/>
          <w:szCs w:val="24"/>
        </w:rPr>
      </w:pPr>
    </w:p>
    <w:p w14:paraId="3462027C">
      <w:pPr>
        <w:pStyle w:val="58"/>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color w:val="auto"/>
          <w:sz w:val="24"/>
          <w:szCs w:val="24"/>
        </w:rPr>
      </w:pPr>
    </w:p>
    <w:p w14:paraId="490A78A1">
      <w:pPr>
        <w:pStyle w:val="58"/>
        <w:pageBreakBefore w:val="0"/>
        <w:widowControl w:val="0"/>
        <w:kinsoku/>
        <w:wordWrap/>
        <w:overflowPunct/>
        <w:topLinePunct w:val="0"/>
        <w:bidi w:val="0"/>
        <w:snapToGrid/>
        <w:spacing w:line="420" w:lineRule="exact"/>
        <w:ind w:firstLine="0"/>
        <w:jc w:val="center"/>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第一部分 合同书</w:t>
      </w:r>
    </w:p>
    <w:p w14:paraId="577625F1">
      <w:pPr>
        <w:pStyle w:val="58"/>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color w:val="auto"/>
          <w:sz w:val="24"/>
          <w:szCs w:val="24"/>
        </w:rPr>
      </w:pPr>
    </w:p>
    <w:p w14:paraId="62D25C3F">
      <w:pPr>
        <w:pStyle w:val="58"/>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color w:val="auto"/>
          <w:sz w:val="24"/>
          <w:szCs w:val="24"/>
        </w:rPr>
      </w:pPr>
    </w:p>
    <w:p w14:paraId="41301725">
      <w:pPr>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color w:val="auto"/>
          <w:sz w:val="24"/>
          <w:szCs w:val="24"/>
        </w:rPr>
      </w:pPr>
    </w:p>
    <w:p w14:paraId="363AFCBA">
      <w:pPr>
        <w:pageBreakBefore w:val="0"/>
        <w:widowControl w:val="0"/>
        <w:kinsoku/>
        <w:wordWrap/>
        <w:overflowPunct/>
        <w:topLinePunct w:val="0"/>
        <w:bidi w:val="0"/>
        <w:snapToGrid/>
        <w:spacing w:before="120" w:line="420" w:lineRule="exact"/>
        <w:ind w:left="96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u w:val="single"/>
        </w:rPr>
        <w:t xml:space="preserve">                                   </w:t>
      </w:r>
    </w:p>
    <w:p w14:paraId="28ABB036">
      <w:pPr>
        <w:pStyle w:val="46"/>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color w:val="auto"/>
          <w:sz w:val="24"/>
          <w:szCs w:val="24"/>
        </w:rPr>
      </w:pPr>
    </w:p>
    <w:p w14:paraId="66469496">
      <w:pPr>
        <w:pageBreakBefore w:val="0"/>
        <w:widowControl w:val="0"/>
        <w:kinsoku/>
        <w:wordWrap/>
        <w:overflowPunct/>
        <w:topLinePunct w:val="0"/>
        <w:bidi w:val="0"/>
        <w:snapToGrid/>
        <w:spacing w:line="420" w:lineRule="exact"/>
        <w:textAlignment w:val="auto"/>
        <w:rPr>
          <w:rFonts w:hint="eastAsia" w:ascii="微软雅黑" w:hAnsi="微软雅黑" w:eastAsia="微软雅黑" w:cs="微软雅黑"/>
          <w:color w:val="auto"/>
          <w:sz w:val="24"/>
          <w:szCs w:val="24"/>
        </w:rPr>
      </w:pPr>
    </w:p>
    <w:p w14:paraId="099DC8B6">
      <w:pPr>
        <w:pageBreakBefore w:val="0"/>
        <w:widowControl w:val="0"/>
        <w:kinsoku/>
        <w:wordWrap/>
        <w:overflowPunct/>
        <w:topLinePunct w:val="0"/>
        <w:bidi w:val="0"/>
        <w:snapToGrid/>
        <w:spacing w:before="120" w:line="420" w:lineRule="exact"/>
        <w:ind w:left="96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甲方：</w:t>
      </w:r>
      <w:r>
        <w:rPr>
          <w:rFonts w:hint="eastAsia" w:ascii="微软雅黑" w:hAnsi="微软雅黑" w:eastAsia="微软雅黑" w:cs="微软雅黑"/>
          <w:color w:val="auto"/>
          <w:sz w:val="24"/>
          <w:szCs w:val="24"/>
          <w:u w:val="single"/>
        </w:rPr>
        <w:t xml:space="preserve">                                       </w:t>
      </w:r>
    </w:p>
    <w:p w14:paraId="143D4677">
      <w:pPr>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color w:val="auto"/>
          <w:sz w:val="24"/>
          <w:szCs w:val="24"/>
        </w:rPr>
      </w:pPr>
    </w:p>
    <w:p w14:paraId="3716E3C9">
      <w:pPr>
        <w:pageBreakBefore w:val="0"/>
        <w:widowControl w:val="0"/>
        <w:kinsoku/>
        <w:wordWrap/>
        <w:overflowPunct/>
        <w:topLinePunct w:val="0"/>
        <w:bidi w:val="0"/>
        <w:snapToGrid/>
        <w:spacing w:before="120" w:line="420" w:lineRule="exact"/>
        <w:ind w:left="96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乙方：</w:t>
      </w:r>
      <w:r>
        <w:rPr>
          <w:rFonts w:hint="eastAsia" w:ascii="微软雅黑" w:hAnsi="微软雅黑" w:eastAsia="微软雅黑" w:cs="微软雅黑"/>
          <w:color w:val="auto"/>
          <w:sz w:val="24"/>
          <w:szCs w:val="24"/>
          <w:u w:val="single"/>
        </w:rPr>
        <w:t xml:space="preserve">                                       </w:t>
      </w:r>
    </w:p>
    <w:p w14:paraId="71B5C20D">
      <w:pPr>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color w:val="auto"/>
          <w:sz w:val="24"/>
          <w:szCs w:val="24"/>
        </w:rPr>
      </w:pPr>
    </w:p>
    <w:p w14:paraId="02275D48">
      <w:pPr>
        <w:pageBreakBefore w:val="0"/>
        <w:widowControl w:val="0"/>
        <w:kinsoku/>
        <w:wordWrap/>
        <w:overflowPunct/>
        <w:topLinePunct w:val="0"/>
        <w:bidi w:val="0"/>
        <w:snapToGrid/>
        <w:spacing w:before="120" w:line="420" w:lineRule="exact"/>
        <w:ind w:firstLine="960" w:firstLineChars="4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签订地：</w:t>
      </w:r>
      <w:r>
        <w:rPr>
          <w:rFonts w:hint="eastAsia" w:ascii="微软雅黑" w:hAnsi="微软雅黑" w:eastAsia="微软雅黑" w:cs="微软雅黑"/>
          <w:color w:val="auto"/>
          <w:sz w:val="24"/>
          <w:szCs w:val="24"/>
          <w:u w:val="single"/>
        </w:rPr>
        <w:t xml:space="preserve">                                     </w:t>
      </w:r>
    </w:p>
    <w:p w14:paraId="58159F6C">
      <w:pPr>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color w:val="auto"/>
          <w:sz w:val="24"/>
          <w:szCs w:val="24"/>
        </w:rPr>
      </w:pPr>
    </w:p>
    <w:p w14:paraId="6849B468">
      <w:pPr>
        <w:pageBreakBefore w:val="0"/>
        <w:widowControl w:val="0"/>
        <w:kinsoku/>
        <w:wordWrap/>
        <w:overflowPunct/>
        <w:topLinePunct w:val="0"/>
        <w:bidi w:val="0"/>
        <w:snapToGrid/>
        <w:spacing w:before="120" w:line="420" w:lineRule="exact"/>
        <w:ind w:firstLine="960" w:firstLineChars="4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签订日期：</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w:t>
      </w:r>
    </w:p>
    <w:p w14:paraId="5D43C960">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微软雅黑" w:hAnsi="微软雅黑" w:eastAsia="微软雅黑" w:cs="微软雅黑"/>
          <w:color w:val="auto"/>
          <w:sz w:val="24"/>
          <w:szCs w:val="24"/>
        </w:rPr>
        <w:sectPr>
          <w:headerReference r:id="rId7" w:type="first"/>
          <w:footerReference r:id="rId10" w:type="first"/>
          <w:headerReference r:id="rId5" w:type="default"/>
          <w:footerReference r:id="rId8" w:type="default"/>
          <w:headerReference r:id="rId6" w:type="even"/>
          <w:footerReference r:id="rId9" w:type="even"/>
          <w:pgSz w:w="11907" w:h="16840"/>
          <w:pgMar w:top="1440" w:right="1417" w:bottom="1440" w:left="1417" w:header="851" w:footer="850" w:gutter="0"/>
          <w:pgNumType w:fmt="decimal"/>
          <w:cols w:space="0" w:num="1"/>
          <w:rtlGutter w:val="0"/>
          <w:docGrid w:type="lines" w:linePitch="317" w:charSpace="0"/>
        </w:sectPr>
      </w:pPr>
    </w:p>
    <w:p w14:paraId="06AB7C0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lang w:val="zh-CN"/>
        </w:rPr>
        <w:t xml:space="preserve">        </w:t>
      </w:r>
      <w:r>
        <w:rPr>
          <w:rFonts w:hint="eastAsia" w:ascii="微软雅黑" w:hAnsi="微软雅黑" w:eastAsia="微软雅黑" w:cs="微软雅黑"/>
          <w:color w:val="auto"/>
          <w:sz w:val="24"/>
          <w:szCs w:val="24"/>
          <w:lang w:val="zh-CN"/>
        </w:rPr>
        <w:t>年</w:t>
      </w:r>
      <w:r>
        <w:rPr>
          <w:rFonts w:hint="eastAsia" w:ascii="微软雅黑" w:hAnsi="微软雅黑" w:eastAsia="微软雅黑" w:cs="微软雅黑"/>
          <w:color w:val="auto"/>
          <w:sz w:val="24"/>
          <w:szCs w:val="24"/>
          <w:u w:val="single"/>
          <w:lang w:val="zh-CN"/>
        </w:rPr>
        <w:t xml:space="preserve">    </w:t>
      </w:r>
      <w:r>
        <w:rPr>
          <w:rFonts w:hint="eastAsia" w:ascii="微软雅黑" w:hAnsi="微软雅黑" w:eastAsia="微软雅黑" w:cs="微软雅黑"/>
          <w:color w:val="auto"/>
          <w:sz w:val="24"/>
          <w:szCs w:val="24"/>
          <w:lang w:val="zh-CN"/>
        </w:rPr>
        <w:t>月</w:t>
      </w:r>
      <w:r>
        <w:rPr>
          <w:rFonts w:hint="eastAsia" w:ascii="微软雅黑" w:hAnsi="微软雅黑" w:eastAsia="微软雅黑" w:cs="微软雅黑"/>
          <w:color w:val="auto"/>
          <w:sz w:val="24"/>
          <w:szCs w:val="24"/>
          <w:u w:val="single"/>
          <w:lang w:val="zh-CN"/>
        </w:rPr>
        <w:t xml:space="preserve">    </w:t>
      </w:r>
      <w:r>
        <w:rPr>
          <w:rFonts w:hint="eastAsia" w:ascii="微软雅黑" w:hAnsi="微软雅黑" w:eastAsia="微软雅黑" w:cs="微软雅黑"/>
          <w:color w:val="auto"/>
          <w:sz w:val="24"/>
          <w:szCs w:val="24"/>
          <w:lang w:val="zh-CN"/>
        </w:rPr>
        <w:t>日</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（采购人名称）   </w:t>
      </w:r>
      <w:r>
        <w:rPr>
          <w:rFonts w:hint="eastAsia" w:ascii="微软雅黑" w:hAnsi="微软雅黑" w:eastAsia="微软雅黑" w:cs="微软雅黑"/>
          <w:color w:val="auto"/>
          <w:sz w:val="24"/>
          <w:szCs w:val="24"/>
        </w:rPr>
        <w:t>以</w:t>
      </w:r>
      <w:r>
        <w:rPr>
          <w:rFonts w:hint="eastAsia" w:ascii="微软雅黑" w:hAnsi="微软雅黑" w:eastAsia="微软雅黑" w:cs="微软雅黑"/>
          <w:color w:val="auto"/>
          <w:sz w:val="24"/>
          <w:szCs w:val="24"/>
          <w:u w:val="single"/>
        </w:rPr>
        <w:t xml:space="preserve">   （政府采购方式）  </w:t>
      </w:r>
      <w:r>
        <w:rPr>
          <w:rFonts w:hint="eastAsia" w:ascii="微软雅黑" w:hAnsi="微软雅黑" w:eastAsia="微软雅黑" w:cs="微软雅黑"/>
          <w:color w:val="auto"/>
          <w:sz w:val="24"/>
          <w:szCs w:val="24"/>
        </w:rPr>
        <w:t>对</w:t>
      </w:r>
      <w:r>
        <w:rPr>
          <w:rFonts w:hint="eastAsia" w:ascii="微软雅黑" w:hAnsi="微软雅黑" w:eastAsia="微软雅黑" w:cs="微软雅黑"/>
          <w:color w:val="auto"/>
          <w:sz w:val="24"/>
          <w:szCs w:val="24"/>
          <w:u w:val="single"/>
        </w:rPr>
        <w:t xml:space="preserve">   （同前页项目名称）   </w:t>
      </w:r>
      <w:r>
        <w:rPr>
          <w:rFonts w:hint="eastAsia" w:ascii="微软雅黑" w:hAnsi="微软雅黑" w:eastAsia="微软雅黑" w:cs="微软雅黑"/>
          <w:color w:val="auto"/>
          <w:sz w:val="24"/>
          <w:szCs w:val="24"/>
        </w:rPr>
        <w:t>项目进行了采购。经</w:t>
      </w:r>
      <w:r>
        <w:rPr>
          <w:rFonts w:hint="eastAsia" w:ascii="微软雅黑" w:hAnsi="微软雅黑" w:eastAsia="微软雅黑" w:cs="微软雅黑"/>
          <w:color w:val="auto"/>
          <w:sz w:val="24"/>
          <w:szCs w:val="24"/>
          <w:u w:val="single"/>
        </w:rPr>
        <w:t xml:space="preserve">   （相关评定主体名称）   </w:t>
      </w:r>
      <w:r>
        <w:rPr>
          <w:rFonts w:hint="eastAsia" w:ascii="微软雅黑" w:hAnsi="微软雅黑" w:eastAsia="微软雅黑" w:cs="微软雅黑"/>
          <w:color w:val="auto"/>
          <w:sz w:val="24"/>
          <w:szCs w:val="24"/>
        </w:rPr>
        <w:t>评定，</w:t>
      </w:r>
      <w:r>
        <w:rPr>
          <w:rFonts w:hint="eastAsia" w:ascii="微软雅黑" w:hAnsi="微软雅黑" w:eastAsia="微软雅黑" w:cs="微软雅黑"/>
          <w:color w:val="auto"/>
          <w:sz w:val="24"/>
          <w:szCs w:val="24"/>
          <w:u w:val="single"/>
        </w:rPr>
        <w:t xml:space="preserve">   （中标供应商名称） </w:t>
      </w:r>
      <w:r>
        <w:rPr>
          <w:rFonts w:hint="eastAsia" w:ascii="微软雅黑" w:hAnsi="微软雅黑" w:eastAsia="微软雅黑" w:cs="微软雅黑"/>
          <w:color w:val="auto"/>
          <w:sz w:val="24"/>
          <w:szCs w:val="24"/>
        </w:rPr>
        <w:t>为该项目中标供应商。现于中标通知书发出之日起三十日内，按照采购文件确定的事项签订本合同。</w:t>
      </w:r>
    </w:p>
    <w:p w14:paraId="351A416F">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zh-CN"/>
        </w:rPr>
        <w:t>根据《中华人民共和国民法典》、《中华人民共和国政府采购法》等相关法律法规之规定，按照平等、自愿、公平和诚实信用的原则，经</w:t>
      </w:r>
      <w:r>
        <w:rPr>
          <w:rFonts w:hint="eastAsia" w:ascii="微软雅黑" w:hAnsi="微软雅黑" w:eastAsia="微软雅黑" w:cs="微软雅黑"/>
          <w:color w:val="auto"/>
          <w:sz w:val="24"/>
          <w:szCs w:val="24"/>
          <w:u w:val="single"/>
        </w:rPr>
        <w:t xml:space="preserve">   （采购人名称）   </w:t>
      </w:r>
      <w:r>
        <w:rPr>
          <w:rFonts w:hint="eastAsia" w:ascii="微软雅黑" w:hAnsi="微软雅黑" w:eastAsia="微软雅黑" w:cs="微软雅黑"/>
          <w:color w:val="auto"/>
          <w:sz w:val="24"/>
          <w:szCs w:val="24"/>
          <w:lang w:val="zh-CN"/>
        </w:rPr>
        <w:t>(以下简称：甲方)和</w:t>
      </w:r>
      <w:r>
        <w:rPr>
          <w:rFonts w:hint="eastAsia" w:ascii="微软雅黑" w:hAnsi="微软雅黑" w:eastAsia="微软雅黑" w:cs="微软雅黑"/>
          <w:color w:val="auto"/>
          <w:sz w:val="24"/>
          <w:szCs w:val="24"/>
          <w:u w:val="single"/>
        </w:rPr>
        <w:t xml:space="preserve">   （中标供应商名称）   </w:t>
      </w:r>
      <w:r>
        <w:rPr>
          <w:rFonts w:hint="eastAsia" w:ascii="微软雅黑" w:hAnsi="微软雅黑" w:eastAsia="微软雅黑" w:cs="微软雅黑"/>
          <w:color w:val="auto"/>
          <w:sz w:val="24"/>
          <w:szCs w:val="24"/>
          <w:lang w:val="zh-CN"/>
        </w:rPr>
        <w:t>(以下简称：乙方)协商一致，约定以下合同</w:t>
      </w:r>
      <w:r>
        <w:rPr>
          <w:rFonts w:hint="eastAsia" w:ascii="微软雅黑" w:hAnsi="微软雅黑" w:eastAsia="微软雅黑" w:cs="微软雅黑"/>
          <w:color w:val="auto"/>
          <w:sz w:val="24"/>
          <w:szCs w:val="24"/>
        </w:rPr>
        <w:t>条款，以兹共同遵守、全面履行。</w:t>
      </w:r>
    </w:p>
    <w:p w14:paraId="4D7F90FF">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color w:val="auto"/>
          <w:sz w:val="24"/>
          <w:szCs w:val="24"/>
        </w:rPr>
      </w:pPr>
      <w:bookmarkStart w:id="794" w:name="_Toc26794"/>
      <w:bookmarkStart w:id="795" w:name="_Toc28855"/>
      <w:bookmarkStart w:id="796" w:name="_Toc19273"/>
      <w:bookmarkStart w:id="797" w:name="_Toc29977"/>
      <w:bookmarkStart w:id="798" w:name="_Toc8517"/>
      <w:bookmarkStart w:id="799" w:name="_Toc20223"/>
      <w:bookmarkStart w:id="800" w:name="_Toc15547"/>
      <w:bookmarkStart w:id="801" w:name="_Toc15367"/>
      <w:bookmarkStart w:id="802" w:name="_Toc14816"/>
      <w:bookmarkStart w:id="803" w:name="_Toc20421"/>
      <w:bookmarkStart w:id="804" w:name="_Toc13178"/>
      <w:bookmarkStart w:id="805" w:name="_Toc26665"/>
      <w:bookmarkStart w:id="806" w:name="_Toc31468"/>
      <w:bookmarkStart w:id="807" w:name="_Toc18134"/>
      <w:r>
        <w:rPr>
          <w:rFonts w:hint="eastAsia" w:ascii="微软雅黑" w:hAnsi="微软雅黑" w:eastAsia="微软雅黑" w:cs="微软雅黑"/>
          <w:b/>
          <w:color w:val="auto"/>
          <w:sz w:val="24"/>
          <w:szCs w:val="24"/>
        </w:rPr>
        <w:t>1.1 合同组成部分</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4FBA5DDE">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2CCF61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 本合同及其补充合同、变更协议；</w:t>
      </w:r>
    </w:p>
    <w:p w14:paraId="4E37F31B">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1.1.2 中标通知书；</w:t>
      </w:r>
    </w:p>
    <w:p w14:paraId="18325AD6">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1.1.3 </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（含澄清或者说明文件）；</w:t>
      </w:r>
    </w:p>
    <w:p w14:paraId="30DADA64">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1.1.4 </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（含澄清或者修改文件）；</w:t>
      </w:r>
    </w:p>
    <w:p w14:paraId="5A058727">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1.1.5 其他相关采购文件。</w:t>
      </w:r>
    </w:p>
    <w:p w14:paraId="1A4F1B25">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808" w:name="_Toc29680"/>
      <w:bookmarkStart w:id="809" w:name="_Toc4859"/>
      <w:bookmarkStart w:id="810" w:name="_Toc20726"/>
      <w:bookmarkStart w:id="811" w:name="_Toc29477"/>
      <w:bookmarkStart w:id="812" w:name="_Toc21939"/>
      <w:bookmarkStart w:id="813" w:name="_Toc25247"/>
      <w:bookmarkStart w:id="814" w:name="_Toc6773"/>
      <w:bookmarkStart w:id="815" w:name="_Toc2918"/>
      <w:bookmarkStart w:id="816" w:name="_Toc26449"/>
      <w:bookmarkStart w:id="817" w:name="_Toc15038"/>
      <w:bookmarkStart w:id="818" w:name="_Toc26113"/>
      <w:bookmarkStart w:id="819" w:name="_Toc22185"/>
      <w:bookmarkStart w:id="820" w:name="_Toc23417"/>
      <w:bookmarkStart w:id="821" w:name="_Toc18585"/>
      <w:r>
        <w:rPr>
          <w:rFonts w:hint="eastAsia" w:ascii="微软雅黑" w:hAnsi="微软雅黑" w:eastAsia="微软雅黑" w:cs="微软雅黑"/>
          <w:b/>
          <w:color w:val="auto"/>
          <w:sz w:val="24"/>
          <w:szCs w:val="24"/>
        </w:rPr>
        <w:t>1.2 标的</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40E071A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1.2.1 标的名称：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281733EE">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1.2.2 标的数量：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5FA7998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1.2.3 标的质量：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111868FE">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822" w:name="_Toc27022"/>
      <w:bookmarkStart w:id="823" w:name="_Toc32144"/>
      <w:bookmarkStart w:id="824" w:name="_Toc32752"/>
      <w:bookmarkStart w:id="825" w:name="_Toc28809"/>
      <w:bookmarkStart w:id="826" w:name="_Toc7383"/>
      <w:bookmarkStart w:id="827" w:name="_Toc4929"/>
      <w:bookmarkStart w:id="828" w:name="_Toc13918"/>
      <w:bookmarkStart w:id="829" w:name="_Toc21124"/>
      <w:bookmarkStart w:id="830" w:name="_Toc5635"/>
      <w:bookmarkStart w:id="831" w:name="_Toc1386"/>
      <w:bookmarkStart w:id="832" w:name="_Toc16454"/>
      <w:bookmarkStart w:id="833" w:name="_Toc19956"/>
      <w:bookmarkStart w:id="834" w:name="_Toc30232"/>
      <w:bookmarkStart w:id="835" w:name="_Toc20429"/>
      <w:bookmarkStart w:id="836" w:name="_Toc17837"/>
      <w:r>
        <w:rPr>
          <w:rFonts w:hint="eastAsia" w:ascii="微软雅黑" w:hAnsi="微软雅黑" w:eastAsia="微软雅黑" w:cs="微软雅黑"/>
          <w:b/>
          <w:color w:val="auto"/>
          <w:sz w:val="24"/>
          <w:szCs w:val="24"/>
        </w:rPr>
        <w:t>1.3 价款</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23FB8332">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本合同总价为：￥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元人民币）。</w:t>
      </w:r>
    </w:p>
    <w:p w14:paraId="4E37D14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分项价格：</w:t>
      </w:r>
    </w:p>
    <w:tbl>
      <w:tblPr>
        <w:tblStyle w:val="3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BFB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D3B0F8">
            <w:pPr>
              <w:pStyle w:val="56"/>
              <w:pageBreakBefore w:val="0"/>
              <w:kinsoku/>
              <w:wordWrap/>
              <w:overflowPunct/>
              <w:topLinePunct w:val="0"/>
              <w:bidi w:val="0"/>
              <w:spacing w:line="480" w:lineRule="exact"/>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序号</w:t>
            </w:r>
          </w:p>
        </w:tc>
        <w:tc>
          <w:tcPr>
            <w:tcW w:w="3402" w:type="dxa"/>
            <w:noWrap w:val="0"/>
            <w:vAlign w:val="center"/>
          </w:tcPr>
          <w:p w14:paraId="0A37A5A3">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分项名称</w:t>
            </w:r>
          </w:p>
        </w:tc>
        <w:tc>
          <w:tcPr>
            <w:tcW w:w="2552" w:type="dxa"/>
            <w:noWrap w:val="0"/>
            <w:vAlign w:val="center"/>
          </w:tcPr>
          <w:p w14:paraId="4C8BAB0B">
            <w:pPr>
              <w:pStyle w:val="56"/>
              <w:pageBreakBefore w:val="0"/>
              <w:kinsoku/>
              <w:wordWrap/>
              <w:overflowPunct/>
              <w:topLinePunct w:val="0"/>
              <w:bidi w:val="0"/>
              <w:spacing w:line="480" w:lineRule="exact"/>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分项价格</w:t>
            </w:r>
          </w:p>
        </w:tc>
      </w:tr>
      <w:tr w14:paraId="69C3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0D8C7CD">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3402" w:type="dxa"/>
            <w:noWrap w:val="0"/>
            <w:vAlign w:val="center"/>
          </w:tcPr>
          <w:p w14:paraId="0C6D3BC3">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2552" w:type="dxa"/>
            <w:noWrap w:val="0"/>
            <w:vAlign w:val="center"/>
          </w:tcPr>
          <w:p w14:paraId="73B51E82">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r>
      <w:tr w14:paraId="453B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E628D22">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3402" w:type="dxa"/>
            <w:noWrap w:val="0"/>
            <w:vAlign w:val="center"/>
          </w:tcPr>
          <w:p w14:paraId="580B1C9B">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2552" w:type="dxa"/>
            <w:noWrap w:val="0"/>
            <w:vAlign w:val="center"/>
          </w:tcPr>
          <w:p w14:paraId="4D5A92DC">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r>
      <w:tr w14:paraId="5715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9ECF3A7">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3402" w:type="dxa"/>
            <w:noWrap w:val="0"/>
            <w:vAlign w:val="center"/>
          </w:tcPr>
          <w:p w14:paraId="7C9CB28F">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2552" w:type="dxa"/>
            <w:noWrap w:val="0"/>
            <w:vAlign w:val="center"/>
          </w:tcPr>
          <w:p w14:paraId="589EEA50">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r>
      <w:tr w14:paraId="076A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9797314">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3402" w:type="dxa"/>
            <w:noWrap w:val="0"/>
            <w:vAlign w:val="center"/>
          </w:tcPr>
          <w:p w14:paraId="52B03772">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c>
          <w:tcPr>
            <w:tcW w:w="2552" w:type="dxa"/>
            <w:noWrap w:val="0"/>
            <w:vAlign w:val="center"/>
          </w:tcPr>
          <w:p w14:paraId="4368BBDB">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r>
      <w:tr w14:paraId="1F9C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46B92E5">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总价</w:t>
            </w:r>
          </w:p>
        </w:tc>
        <w:tc>
          <w:tcPr>
            <w:tcW w:w="2552" w:type="dxa"/>
            <w:noWrap w:val="0"/>
            <w:vAlign w:val="center"/>
          </w:tcPr>
          <w:p w14:paraId="7445E02F">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color w:val="auto"/>
                <w:kern w:val="2"/>
                <w:sz w:val="24"/>
                <w:szCs w:val="24"/>
              </w:rPr>
            </w:pPr>
          </w:p>
        </w:tc>
      </w:tr>
    </w:tbl>
    <w:p w14:paraId="71983F0B">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837" w:name="_Toc30506"/>
      <w:bookmarkStart w:id="838" w:name="_Toc14993"/>
      <w:bookmarkStart w:id="839" w:name="_Toc12464"/>
      <w:bookmarkStart w:id="840" w:name="_Toc7546"/>
      <w:bookmarkStart w:id="841" w:name="_Toc30158"/>
      <w:bookmarkStart w:id="842" w:name="_Toc7333"/>
      <w:bookmarkStart w:id="843" w:name="_Toc11731"/>
      <w:bookmarkStart w:id="844" w:name="_Toc8284"/>
      <w:bookmarkStart w:id="845" w:name="_Toc28553"/>
      <w:bookmarkStart w:id="846" w:name="_Toc15332"/>
      <w:bookmarkStart w:id="847" w:name="_Toc14542"/>
      <w:bookmarkStart w:id="848" w:name="_Toc3654"/>
      <w:bookmarkStart w:id="849" w:name="_Toc25391"/>
      <w:bookmarkStart w:id="850" w:name="_Toc26916"/>
      <w:r>
        <w:rPr>
          <w:rFonts w:hint="eastAsia" w:ascii="微软雅黑" w:hAnsi="微软雅黑" w:eastAsia="微软雅黑" w:cs="微软雅黑"/>
          <w:b/>
          <w:color w:val="auto"/>
          <w:sz w:val="24"/>
          <w:szCs w:val="24"/>
        </w:rPr>
        <w:t>1.4 付款方式和发票开具方式</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0B3E68C5">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1.4.1付款方式：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1F49D92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1.4.2 发票开具方式：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11DB5540">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851" w:name="_Toc11108"/>
      <w:bookmarkStart w:id="852" w:name="_Toc3723"/>
      <w:bookmarkStart w:id="853" w:name="_Toc8772"/>
      <w:bookmarkStart w:id="854" w:name="_Toc3625"/>
      <w:bookmarkStart w:id="855" w:name="_Toc31421"/>
      <w:bookmarkStart w:id="856" w:name="_Toc27040"/>
      <w:bookmarkStart w:id="857" w:name="_Toc24281"/>
      <w:bookmarkStart w:id="858" w:name="_Toc19227"/>
      <w:bookmarkStart w:id="859" w:name="_Toc14859"/>
      <w:bookmarkStart w:id="860" w:name="_Toc16670"/>
      <w:bookmarkStart w:id="861" w:name="_Toc28214"/>
      <w:bookmarkStart w:id="862" w:name="_Toc4760"/>
      <w:bookmarkStart w:id="863" w:name="_Toc26208"/>
      <w:bookmarkStart w:id="864" w:name="_Toc18380"/>
      <w:bookmarkStart w:id="865" w:name="_Toc26682"/>
      <w:r>
        <w:rPr>
          <w:rFonts w:hint="eastAsia" w:ascii="微软雅黑" w:hAnsi="微软雅黑" w:eastAsia="微软雅黑" w:cs="微软雅黑"/>
          <w:b/>
          <w:color w:val="auto"/>
          <w:sz w:val="24"/>
          <w:szCs w:val="24"/>
        </w:rPr>
        <w:t>1.5 履行期限、地点和方式</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45FE1531">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1.5.1 履行期限：</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1156FEE2">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1.5.2 履行地点：</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5BB580A8">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1.5.3 履行方式：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14:paraId="526B4427">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color w:val="auto"/>
          <w:sz w:val="24"/>
          <w:szCs w:val="24"/>
          <w:u w:val="single"/>
        </w:rPr>
      </w:pPr>
      <w:bookmarkStart w:id="866" w:name="_Toc11998"/>
      <w:bookmarkStart w:id="867" w:name="_Toc3868"/>
      <w:bookmarkStart w:id="868" w:name="_Toc12663"/>
      <w:bookmarkStart w:id="869" w:name="_Toc3079"/>
      <w:bookmarkStart w:id="870" w:name="_Toc15796"/>
      <w:bookmarkStart w:id="871" w:name="_Toc28582"/>
      <w:bookmarkStart w:id="872" w:name="_Toc24662"/>
      <w:bookmarkStart w:id="873" w:name="_Toc5698"/>
      <w:bookmarkStart w:id="874" w:name="_Toc6977"/>
      <w:bookmarkStart w:id="875" w:name="_Toc30215"/>
      <w:bookmarkStart w:id="876" w:name="_Toc7984"/>
      <w:bookmarkStart w:id="877" w:name="_Toc4466"/>
      <w:bookmarkStart w:id="878" w:name="_Toc25917"/>
      <w:bookmarkStart w:id="879" w:name="_Toc8586"/>
      <w:bookmarkStart w:id="880" w:name="_Toc2375"/>
      <w:r>
        <w:rPr>
          <w:rFonts w:hint="eastAsia" w:ascii="微软雅黑" w:hAnsi="微软雅黑" w:eastAsia="微软雅黑" w:cs="微软雅黑"/>
          <w:b/>
          <w:color w:val="auto"/>
          <w:sz w:val="24"/>
          <w:szCs w:val="24"/>
        </w:rPr>
        <w:t>1.6 违约责任</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3DAC6B89">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%计算，最高限额为本合同总价的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%；迟延履行的违约金计算数额达到前述最高限额之日起，甲方有权在要求乙方支付违约金的同时，书面通知乙方解除本合同；</w:t>
      </w:r>
    </w:p>
    <w:p w14:paraId="2C46BF14">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%计算，最高限额为本合同总价的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%；迟延付款的违约金计算数额达到前述最高限额之日起，乙方有权在要求甲方支付违约金的同时，书面通知甲方解除本合同；</w:t>
      </w:r>
    </w:p>
    <w:p w14:paraId="7264887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E848EBB">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F223CC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41644A6">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7048A067">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881" w:name="_Toc17528"/>
      <w:bookmarkStart w:id="882" w:name="_Toc30329"/>
      <w:bookmarkStart w:id="883" w:name="_Toc23536"/>
      <w:bookmarkStart w:id="884" w:name="_Toc14738"/>
      <w:bookmarkStart w:id="885" w:name="_Toc26807"/>
      <w:bookmarkStart w:id="886" w:name="_Toc32717"/>
      <w:bookmarkStart w:id="887" w:name="_Toc6990"/>
      <w:bookmarkStart w:id="888" w:name="_Toc9497"/>
      <w:bookmarkStart w:id="889" w:name="_Toc6280"/>
      <w:bookmarkStart w:id="890" w:name="_Toc32454"/>
      <w:bookmarkStart w:id="891" w:name="_Toc32626"/>
      <w:bookmarkStart w:id="892" w:name="_Toc24016"/>
      <w:bookmarkStart w:id="893" w:name="_Toc26542"/>
      <w:bookmarkStart w:id="894" w:name="_Toc18683"/>
      <w:bookmarkStart w:id="895" w:name="_Toc11259"/>
      <w:r>
        <w:rPr>
          <w:rFonts w:hint="eastAsia" w:ascii="微软雅黑" w:hAnsi="微软雅黑" w:eastAsia="微软雅黑" w:cs="微软雅黑"/>
          <w:b/>
          <w:color w:val="auto"/>
          <w:sz w:val="24"/>
          <w:szCs w:val="24"/>
        </w:rPr>
        <w:t>1.7 合同争议的解决</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51CEF5E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种方式解决：</w:t>
      </w:r>
    </w:p>
    <w:p w14:paraId="534618AB">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1.7.1 将争议提交</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仲裁委员会依申请仲裁时其现行有效的仲裁规则裁决；</w:t>
      </w:r>
    </w:p>
    <w:p w14:paraId="6EF34FF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1.7.2 向</w:t>
      </w:r>
      <w:r>
        <w:rPr>
          <w:rFonts w:hint="eastAsia" w:ascii="微软雅黑" w:hAnsi="微软雅黑" w:eastAsia="微软雅黑" w:cs="微软雅黑"/>
          <w:color w:val="auto"/>
          <w:sz w:val="24"/>
          <w:szCs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szCs w:val="24"/>
        </w:rPr>
        <w:t>人民法院起诉。</w:t>
      </w:r>
    </w:p>
    <w:p w14:paraId="1E9AF76E">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896" w:name="_Toc12273"/>
      <w:bookmarkStart w:id="897" w:name="_Toc19425"/>
      <w:bookmarkStart w:id="898" w:name="_Toc19624"/>
      <w:bookmarkStart w:id="899" w:name="_Toc19983"/>
      <w:bookmarkStart w:id="900" w:name="_Toc27562"/>
      <w:bookmarkStart w:id="901" w:name="_Toc16417"/>
      <w:bookmarkStart w:id="902" w:name="_Toc27610"/>
      <w:bookmarkStart w:id="903" w:name="_Toc14807"/>
      <w:bookmarkStart w:id="904" w:name="_Toc23784"/>
      <w:bookmarkStart w:id="905" w:name="_Toc26227"/>
      <w:bookmarkStart w:id="906" w:name="_Toc3075"/>
      <w:bookmarkStart w:id="907" w:name="_Toc22722"/>
      <w:bookmarkStart w:id="908" w:name="_Toc15827"/>
      <w:bookmarkStart w:id="909" w:name="_Toc27879"/>
      <w:bookmarkStart w:id="910" w:name="_Toc17660"/>
      <w:r>
        <w:rPr>
          <w:rFonts w:hint="eastAsia" w:ascii="微软雅黑" w:hAnsi="微软雅黑" w:eastAsia="微软雅黑" w:cs="微软雅黑"/>
          <w:b/>
          <w:color w:val="auto"/>
          <w:sz w:val="24"/>
          <w:szCs w:val="24"/>
        </w:rPr>
        <w:t>1.8 合同生效</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2FA196CA">
      <w:pPr>
        <w:pageBreakBefore w:val="0"/>
        <w:kinsoku/>
        <w:wordWrap/>
        <w:overflowPunct/>
        <w:topLinePunct w:val="0"/>
        <w:bidi w:val="0"/>
        <w:spacing w:line="48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color w:val="auto"/>
          <w:sz w:val="24"/>
          <w:szCs w:val="24"/>
        </w:rPr>
        <w:t>本合同自双方当事人盖章或者签字时生效。</w:t>
      </w:r>
    </w:p>
    <w:p w14:paraId="17C61D8A">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p>
    <w:p w14:paraId="4D87D073">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b/>
          <w:color w:val="auto"/>
          <w:sz w:val="24"/>
          <w:szCs w:val="24"/>
          <w:lang w:val="zh-CN"/>
        </w:rPr>
        <w:t>甲方</w:t>
      </w:r>
      <w:r>
        <w:rPr>
          <w:rFonts w:hint="eastAsia" w:ascii="微软雅黑" w:hAnsi="微软雅黑" w:eastAsia="微软雅黑" w:cs="微软雅黑"/>
          <w:color w:val="auto"/>
          <w:sz w:val="24"/>
          <w:szCs w:val="24"/>
          <w:lang w:val="zh-CN"/>
        </w:rPr>
        <w:t xml:space="preserve">：                             </w:t>
      </w:r>
      <w:r>
        <w:rPr>
          <w:rFonts w:hint="eastAsia" w:ascii="微软雅黑" w:hAnsi="微软雅黑" w:eastAsia="微软雅黑" w:cs="微软雅黑"/>
          <w:b/>
          <w:color w:val="auto"/>
          <w:sz w:val="24"/>
          <w:szCs w:val="24"/>
          <w:lang w:val="zh-CN"/>
        </w:rPr>
        <w:t xml:space="preserve">      乙方</w:t>
      </w:r>
      <w:r>
        <w:rPr>
          <w:rFonts w:hint="eastAsia" w:ascii="微软雅黑" w:hAnsi="微软雅黑" w:eastAsia="微软雅黑" w:cs="微软雅黑"/>
          <w:color w:val="auto"/>
          <w:sz w:val="24"/>
          <w:szCs w:val="24"/>
          <w:lang w:val="zh-CN"/>
        </w:rPr>
        <w:t>：</w:t>
      </w:r>
    </w:p>
    <w:p w14:paraId="38824A38">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统一社会信用代码：                        统一社会信用代码或身份证号码：</w:t>
      </w:r>
    </w:p>
    <w:p w14:paraId="776FF5D9">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p>
    <w:p w14:paraId="0A56D9A8">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住所：                                   住所：</w:t>
      </w:r>
    </w:p>
    <w:p w14:paraId="3E974431">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法定代表人或                             法定代表人</w:t>
      </w:r>
    </w:p>
    <w:p w14:paraId="0E45F5B2">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 xml:space="preserve">授权代表（签字）：                        或授权代表（签字）: </w:t>
      </w:r>
    </w:p>
    <w:p w14:paraId="51EB9B98">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联系人：                                 联系人：</w:t>
      </w:r>
    </w:p>
    <w:p w14:paraId="0D201C9D">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约定送达地址：                           约定送达地址：</w:t>
      </w:r>
    </w:p>
    <w:p w14:paraId="47378004">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邮政编码：                               邮政编码：</w:t>
      </w:r>
    </w:p>
    <w:p w14:paraId="1193CDA5">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 xml:space="preserve">电话:                                    电话: </w:t>
      </w:r>
    </w:p>
    <w:p w14:paraId="068123FD">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传真:                                    传真:</w:t>
      </w:r>
    </w:p>
    <w:p w14:paraId="2637D384">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zh-CN"/>
        </w:rPr>
        <w:t>电子邮箱：                               电子邮箱：</w:t>
      </w:r>
    </w:p>
    <w:p w14:paraId="15AE43DE">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开户银行：                               开户银行： </w:t>
      </w:r>
    </w:p>
    <w:p w14:paraId="73796434">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开户名称：                               开户名称： </w:t>
      </w:r>
    </w:p>
    <w:p w14:paraId="11A35C15">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开户账号：</w:t>
      </w:r>
      <w:r>
        <w:rPr>
          <w:rFonts w:hint="eastAsia" w:ascii="微软雅黑" w:hAnsi="微软雅黑" w:eastAsia="微软雅黑" w:cs="微软雅黑"/>
          <w:color w:val="auto"/>
          <w:sz w:val="24"/>
          <w:szCs w:val="24"/>
          <w:lang w:val="zh-CN"/>
        </w:rPr>
        <w:t xml:space="preserve">                               </w:t>
      </w:r>
      <w:r>
        <w:rPr>
          <w:rFonts w:hint="eastAsia" w:ascii="微软雅黑" w:hAnsi="微软雅黑" w:eastAsia="微软雅黑" w:cs="微软雅黑"/>
          <w:color w:val="auto"/>
          <w:sz w:val="24"/>
          <w:szCs w:val="24"/>
        </w:rPr>
        <w:t>开户账号：</w:t>
      </w:r>
    </w:p>
    <w:p w14:paraId="18E8D9F7">
      <w:pPr>
        <w:pageBreakBefore w:val="0"/>
        <w:widowControl/>
        <w:kinsoku/>
        <w:wordWrap/>
        <w:overflowPunct/>
        <w:topLinePunct w:val="0"/>
        <w:bidi w:val="0"/>
        <w:spacing w:line="480" w:lineRule="exact"/>
        <w:jc w:val="left"/>
        <w:rPr>
          <w:rFonts w:hint="eastAsia" w:ascii="微软雅黑" w:hAnsi="微软雅黑" w:eastAsia="微软雅黑" w:cs="微软雅黑"/>
          <w:b/>
          <w:color w:val="auto"/>
          <w:sz w:val="24"/>
          <w:szCs w:val="24"/>
        </w:rPr>
      </w:pPr>
      <w:bookmarkStart w:id="911" w:name="_Toc331685783"/>
    </w:p>
    <w:p w14:paraId="4FA459C7">
      <w:pPr>
        <w:pageBreakBefore w:val="0"/>
        <w:widowControl/>
        <w:kinsoku/>
        <w:wordWrap/>
        <w:overflowPunct/>
        <w:topLinePunct w:val="0"/>
        <w:bidi w:val="0"/>
        <w:spacing w:line="480" w:lineRule="exact"/>
        <w:jc w:val="left"/>
        <w:rPr>
          <w:rFonts w:hint="eastAsia" w:ascii="微软雅黑" w:hAnsi="微软雅黑" w:eastAsia="微软雅黑" w:cs="微软雅黑"/>
          <w:b/>
          <w:color w:val="auto"/>
          <w:sz w:val="24"/>
          <w:szCs w:val="24"/>
        </w:rPr>
      </w:pPr>
    </w:p>
    <w:p w14:paraId="5C4FE2CF">
      <w:pPr>
        <w:pageBreakBefore w:val="0"/>
        <w:widowControl/>
        <w:kinsoku/>
        <w:wordWrap/>
        <w:overflowPunct/>
        <w:topLinePunct w:val="0"/>
        <w:bidi w:val="0"/>
        <w:spacing w:line="480" w:lineRule="exact"/>
        <w:jc w:val="left"/>
        <w:rPr>
          <w:rFonts w:hint="eastAsia" w:ascii="微软雅黑" w:hAnsi="微软雅黑" w:eastAsia="微软雅黑" w:cs="微软雅黑"/>
          <w:b/>
          <w:color w:val="auto"/>
          <w:kern w:val="0"/>
          <w:sz w:val="24"/>
          <w:szCs w:val="24"/>
        </w:rPr>
      </w:pPr>
    </w:p>
    <w:p w14:paraId="0799B1CA">
      <w:pPr>
        <w:pageBreakBefore w:val="0"/>
        <w:widowControl/>
        <w:kinsoku/>
        <w:wordWrap/>
        <w:overflowPunct/>
        <w:topLinePunct w:val="0"/>
        <w:bidi w:val="0"/>
        <w:spacing w:line="480" w:lineRule="exact"/>
        <w:jc w:val="left"/>
        <w:rPr>
          <w:rFonts w:hint="eastAsia" w:ascii="微软雅黑" w:hAnsi="微软雅黑" w:eastAsia="微软雅黑" w:cs="微软雅黑"/>
          <w:b/>
          <w:color w:val="auto"/>
          <w:kern w:val="0"/>
          <w:sz w:val="24"/>
          <w:szCs w:val="24"/>
        </w:rPr>
      </w:pPr>
    </w:p>
    <w:p w14:paraId="2F136ED1">
      <w:pPr>
        <w:pageBreakBefore w:val="0"/>
        <w:widowControl/>
        <w:kinsoku/>
        <w:wordWrap/>
        <w:overflowPunct/>
        <w:topLinePunct w:val="0"/>
        <w:bidi w:val="0"/>
        <w:spacing w:line="480" w:lineRule="exact"/>
        <w:jc w:val="left"/>
        <w:rPr>
          <w:rFonts w:hint="eastAsia" w:ascii="微软雅黑" w:hAnsi="微软雅黑" w:eastAsia="微软雅黑" w:cs="微软雅黑"/>
          <w:b/>
          <w:color w:val="auto"/>
          <w:kern w:val="0"/>
          <w:sz w:val="24"/>
          <w:szCs w:val="24"/>
        </w:rPr>
      </w:pPr>
    </w:p>
    <w:p w14:paraId="5A311895">
      <w:pPr>
        <w:pageBreakBefore w:val="0"/>
        <w:widowControl/>
        <w:kinsoku/>
        <w:wordWrap/>
        <w:overflowPunct/>
        <w:topLinePunct w:val="0"/>
        <w:bidi w:val="0"/>
        <w:spacing w:line="480" w:lineRule="exact"/>
        <w:jc w:val="left"/>
        <w:rPr>
          <w:rFonts w:hint="eastAsia" w:ascii="微软雅黑" w:hAnsi="微软雅黑" w:eastAsia="微软雅黑" w:cs="微软雅黑"/>
          <w:b/>
          <w:color w:val="auto"/>
          <w:kern w:val="0"/>
          <w:sz w:val="24"/>
          <w:szCs w:val="24"/>
        </w:rPr>
      </w:pPr>
    </w:p>
    <w:p w14:paraId="23097F99">
      <w:pP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br w:type="page"/>
      </w:r>
    </w:p>
    <w:p w14:paraId="1940977D">
      <w:pPr>
        <w:pStyle w:val="58"/>
        <w:pageBreakBefore w:val="0"/>
        <w:kinsoku/>
        <w:wordWrap/>
        <w:overflowPunct/>
        <w:topLinePunct w:val="0"/>
        <w:bidi w:val="0"/>
        <w:spacing w:line="480" w:lineRule="exact"/>
        <w:ind w:firstLine="200"/>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第二部分 合同一般条款</w:t>
      </w:r>
      <w:bookmarkEnd w:id="911"/>
    </w:p>
    <w:p w14:paraId="3341E050">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912" w:name="_Ref467379094"/>
      <w:bookmarkStart w:id="913" w:name="_Ref467379101"/>
      <w:bookmarkStart w:id="914" w:name="_Ref467378499"/>
      <w:bookmarkStart w:id="915" w:name="_Toc279701240"/>
      <w:bookmarkStart w:id="916" w:name="_Toc25161"/>
      <w:bookmarkStart w:id="917" w:name="_Toc259093669"/>
      <w:bookmarkStart w:id="918" w:name="_Toc14021"/>
      <w:bookmarkStart w:id="919" w:name="_Ref467378404"/>
      <w:bookmarkStart w:id="920" w:name="_Toc487900349"/>
      <w:bookmarkStart w:id="921" w:name="_Toc5226"/>
      <w:bookmarkStart w:id="922" w:name="_Ref467379225"/>
      <w:bookmarkStart w:id="923" w:name="_Toc25079"/>
      <w:bookmarkStart w:id="924" w:name="_Ref467378463"/>
      <w:bookmarkStart w:id="925" w:name="_Toc12741"/>
      <w:bookmarkStart w:id="926" w:name="_Ref467379195"/>
      <w:bookmarkStart w:id="927" w:name="_Toc2452"/>
      <w:bookmarkStart w:id="928" w:name="_Ref467379205"/>
      <w:bookmarkStart w:id="929" w:name="_Toc31297"/>
      <w:bookmarkStart w:id="930" w:name="_Toc5228"/>
      <w:bookmarkStart w:id="931" w:name="_Ref467379214"/>
      <w:bookmarkStart w:id="932" w:name="_Toc12785"/>
      <w:bookmarkStart w:id="933" w:name="_Toc560"/>
      <w:bookmarkStart w:id="934" w:name="_Toc28292"/>
      <w:bookmarkStart w:id="935" w:name="_Toc29656"/>
      <w:bookmarkStart w:id="936" w:name="_Toc19680"/>
      <w:bookmarkStart w:id="937" w:name="_Ref467379109"/>
      <w:bookmarkStart w:id="938" w:name="_Toc2408"/>
      <w:bookmarkStart w:id="939" w:name="_Toc10949"/>
      <w:r>
        <w:rPr>
          <w:rFonts w:hint="eastAsia" w:ascii="微软雅黑" w:hAnsi="微软雅黑" w:eastAsia="微软雅黑" w:cs="微软雅黑"/>
          <w:b/>
          <w:color w:val="auto"/>
          <w:sz w:val="24"/>
          <w:szCs w:val="24"/>
        </w:rPr>
        <w:t>2.1 定义</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08578C43">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本合同中的下列词语应按以下内容进行解释：</w:t>
      </w:r>
    </w:p>
    <w:p w14:paraId="1E538A95">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 “合同”系指采购人和中标供应商签订的载明双方当事人所达成的协议，并包括所有的附件、附录和构成合同的其他文件。</w:t>
      </w:r>
    </w:p>
    <w:p w14:paraId="0DF9F174">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2.1.2 “合同价”系指根据合同约定，中标供应商在完全履行合同义务后，采购人应支付给中标供应商的价格。</w:t>
      </w:r>
    </w:p>
    <w:p w14:paraId="6A05BE7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2.1.3 “服务”系指中标供应商根据合同约定应向采购人履行的除货物和工程以外的其他政府采购对象，包括采购人自身需要的服务和向社会公众提供的公共服务。</w:t>
      </w:r>
    </w:p>
    <w:p w14:paraId="0FC12944">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bookmarkStart w:id="940" w:name="_Ref467378840"/>
      <w:r>
        <w:rPr>
          <w:rFonts w:hint="eastAsia" w:ascii="微软雅黑" w:hAnsi="微软雅黑" w:eastAsia="微软雅黑" w:cs="微软雅黑"/>
          <w:color w:val="auto"/>
          <w:sz w:val="24"/>
          <w:szCs w:val="24"/>
        </w:rPr>
        <w:t>2.1.4 “甲方”系指与中标供应商签署合同的采购人</w:t>
      </w:r>
      <w:bookmarkEnd w:id="940"/>
      <w:r>
        <w:rPr>
          <w:rFonts w:hint="eastAsia" w:ascii="微软雅黑" w:hAnsi="微软雅黑" w:eastAsia="微软雅黑" w:cs="微软雅黑"/>
          <w:color w:val="auto"/>
          <w:sz w:val="24"/>
          <w:szCs w:val="24"/>
        </w:rPr>
        <w:t>；采购人委托采购代理机构代表其与乙方签订合同的，采购人的授权委托书作为合同附件。</w:t>
      </w:r>
    </w:p>
    <w:p w14:paraId="041633D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bookmarkStart w:id="941" w:name="_Ref467379400"/>
      <w:r>
        <w:rPr>
          <w:rFonts w:hint="eastAsia" w:ascii="微软雅黑" w:hAnsi="微软雅黑" w:eastAsia="微软雅黑" w:cs="微软雅黑"/>
          <w:color w:val="auto"/>
          <w:sz w:val="24"/>
          <w:szCs w:val="24"/>
        </w:rPr>
        <w:t>2.1.5 “乙方”系指根据合同约定提供服务的中标供应商</w:t>
      </w:r>
      <w:bookmarkEnd w:id="941"/>
      <w:r>
        <w:rPr>
          <w:rFonts w:hint="eastAsia" w:ascii="微软雅黑" w:hAnsi="微软雅黑" w:eastAsia="微软雅黑" w:cs="微软雅黑"/>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81CF446">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bookmarkStart w:id="942" w:name="_Ref467379436"/>
      <w:r>
        <w:rPr>
          <w:rFonts w:hint="eastAsia" w:ascii="微软雅黑" w:hAnsi="微软雅黑" w:eastAsia="微软雅黑" w:cs="微软雅黑"/>
          <w:color w:val="auto"/>
          <w:sz w:val="24"/>
          <w:szCs w:val="24"/>
        </w:rPr>
        <w:t>2.1.6 “现场”系指合同约定提供服务的地点。</w:t>
      </w:r>
      <w:bookmarkEnd w:id="942"/>
    </w:p>
    <w:p w14:paraId="25D10506">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943" w:name="_Toc15774"/>
      <w:bookmarkStart w:id="944" w:name="_Toc3769"/>
      <w:bookmarkStart w:id="945" w:name="_Toc8208"/>
      <w:bookmarkStart w:id="946" w:name="_Toc279701241"/>
      <w:bookmarkStart w:id="947" w:name="_Toc1101"/>
      <w:bookmarkStart w:id="948" w:name="_Toc18637"/>
      <w:bookmarkStart w:id="949" w:name="_Toc259093670"/>
      <w:bookmarkStart w:id="950" w:name="_Toc487900350"/>
      <w:bookmarkStart w:id="951" w:name="_Toc16752"/>
      <w:bookmarkStart w:id="952" w:name="_Toc23289"/>
      <w:bookmarkStart w:id="953" w:name="_Toc575"/>
      <w:bookmarkStart w:id="954" w:name="_Toc13460"/>
      <w:bookmarkStart w:id="955" w:name="_Toc21420"/>
      <w:bookmarkStart w:id="956" w:name="_Toc16206"/>
      <w:bookmarkStart w:id="957" w:name="_Toc31402"/>
      <w:bookmarkStart w:id="958" w:name="_Toc19539"/>
      <w:bookmarkStart w:id="959" w:name="_Toc4403"/>
      <w:bookmarkStart w:id="960" w:name="_Toc21691"/>
      <w:r>
        <w:rPr>
          <w:rFonts w:hint="eastAsia" w:ascii="微软雅黑" w:hAnsi="微软雅黑" w:eastAsia="微软雅黑" w:cs="微软雅黑"/>
          <w:b/>
          <w:color w:val="auto"/>
          <w:sz w:val="24"/>
          <w:szCs w:val="24"/>
        </w:rPr>
        <w:t>2.2 技术规范</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14:paraId="55FDBD3E">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DBA84E3">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961" w:name="_Toc259093671"/>
      <w:bookmarkStart w:id="962" w:name="_Toc12899"/>
      <w:bookmarkStart w:id="963" w:name="_Toc4133"/>
      <w:bookmarkStart w:id="964" w:name="_Toc13673"/>
      <w:bookmarkStart w:id="965" w:name="_Toc26453"/>
      <w:bookmarkStart w:id="966" w:name="_Toc28448"/>
      <w:bookmarkStart w:id="967" w:name="_Toc12412"/>
      <w:bookmarkStart w:id="968" w:name="_Toc279701242"/>
      <w:bookmarkStart w:id="969" w:name="_Toc9161"/>
      <w:bookmarkStart w:id="970" w:name="_Toc11461"/>
      <w:bookmarkStart w:id="971" w:name="_Toc1171"/>
      <w:bookmarkStart w:id="972" w:name="_Toc27945"/>
      <w:bookmarkStart w:id="973" w:name="_Toc14632"/>
      <w:bookmarkStart w:id="974" w:name="_Toc2479"/>
      <w:bookmarkStart w:id="975" w:name="_Toc20124"/>
      <w:bookmarkStart w:id="976" w:name="_Toc21948"/>
      <w:bookmarkStart w:id="977" w:name="_Toc335"/>
      <w:bookmarkStart w:id="978" w:name="_Toc487900351"/>
      <w:r>
        <w:rPr>
          <w:rFonts w:hint="eastAsia" w:ascii="微软雅黑" w:hAnsi="微软雅黑" w:eastAsia="微软雅黑" w:cs="微软雅黑"/>
          <w:b/>
          <w:color w:val="auto"/>
          <w:sz w:val="24"/>
          <w:szCs w:val="24"/>
        </w:rPr>
        <w:t>2.3 知识产权</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14:paraId="2DF50FD5">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624AB23">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 合同涉及技术成果的归属和收益的分成办法的，详见</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w:t>
      </w:r>
    </w:p>
    <w:p w14:paraId="182C73EC">
      <w:pPr>
        <w:pageBreakBefore w:val="0"/>
        <w:kinsoku/>
        <w:wordWrap/>
        <w:overflowPunct/>
        <w:topLinePunct w:val="0"/>
        <w:bidi w:val="0"/>
        <w:spacing w:line="48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2.4 履约检查和问题反馈</w:t>
      </w:r>
    </w:p>
    <w:p w14:paraId="03C1EE2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bookmarkStart w:id="979" w:name="_Ref467379657"/>
      <w:r>
        <w:rPr>
          <w:rFonts w:hint="eastAsia" w:ascii="微软雅黑" w:hAnsi="微软雅黑" w:eastAsia="微软雅黑" w:cs="微软雅黑"/>
          <w:color w:val="auto"/>
          <w:sz w:val="24"/>
          <w:szCs w:val="24"/>
        </w:rPr>
        <w:t>2.4.1</w:t>
      </w:r>
      <w:bookmarkEnd w:id="979"/>
      <w:bookmarkStart w:id="980" w:name="_Toc186431854"/>
      <w:bookmarkStart w:id="981" w:name="_Ref467379793"/>
      <w:bookmarkStart w:id="982" w:name="_Ref467379807"/>
      <w:bookmarkStart w:id="983" w:name="_Toc279701247"/>
      <w:bookmarkStart w:id="984" w:name="_Toc487900357"/>
      <w:bookmarkStart w:id="985" w:name="_Toc259093676"/>
      <w:r>
        <w:rPr>
          <w:rFonts w:hint="eastAsia" w:ascii="微软雅黑" w:hAnsi="微软雅黑" w:eastAsia="微软雅黑" w:cs="微软雅黑"/>
          <w:color w:val="auto"/>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2EA63F7F">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2.4.2 合同履行期间，甲方有权将履行过程中出现的问题反馈给乙方，双方当事人应以书面形式约定需要完善和改进的内容</w:t>
      </w:r>
      <w:bookmarkEnd w:id="980"/>
      <w:bookmarkStart w:id="986" w:name="_Toc186431855"/>
      <w:r>
        <w:rPr>
          <w:rFonts w:hint="eastAsia" w:ascii="微软雅黑" w:hAnsi="微软雅黑" w:eastAsia="微软雅黑" w:cs="微软雅黑"/>
          <w:color w:val="auto"/>
          <w:sz w:val="24"/>
          <w:szCs w:val="24"/>
        </w:rPr>
        <w:t>。</w:t>
      </w:r>
    </w:p>
    <w:bookmarkEnd w:id="986"/>
    <w:p w14:paraId="3A734091">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987" w:name="_Toc31063"/>
      <w:bookmarkStart w:id="988" w:name="_Toc31233"/>
      <w:bookmarkStart w:id="989" w:name="_Toc7767"/>
      <w:bookmarkStart w:id="990" w:name="_Toc15447"/>
      <w:bookmarkStart w:id="991" w:name="_Toc32670"/>
      <w:bookmarkStart w:id="992" w:name="_Toc10600"/>
      <w:bookmarkStart w:id="993" w:name="_Toc27836"/>
      <w:bookmarkStart w:id="994" w:name="_Toc17932"/>
      <w:bookmarkStart w:id="995" w:name="_Toc26555"/>
      <w:bookmarkStart w:id="996" w:name="_Toc30119"/>
      <w:bookmarkStart w:id="997" w:name="_Toc14236"/>
      <w:bookmarkStart w:id="998" w:name="_Toc22011"/>
      <w:bookmarkStart w:id="999" w:name="_Toc23715"/>
      <w:bookmarkStart w:id="1000" w:name="_Toc8920"/>
      <w:bookmarkStart w:id="1001" w:name="_Toc4367"/>
      <w:r>
        <w:rPr>
          <w:rFonts w:hint="eastAsia" w:ascii="微软雅黑" w:hAnsi="微软雅黑" w:eastAsia="微软雅黑" w:cs="微软雅黑"/>
          <w:b/>
          <w:color w:val="auto"/>
          <w:sz w:val="24"/>
          <w:szCs w:val="24"/>
        </w:rPr>
        <w:t>2.5 结算方式和付款条件</w:t>
      </w:r>
      <w:bookmarkEnd w:id="981"/>
      <w:bookmarkEnd w:id="982"/>
      <w:bookmarkEnd w:id="983"/>
      <w:bookmarkEnd w:id="984"/>
      <w:bookmarkEnd w:id="985"/>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38AC2CE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详见</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w:t>
      </w:r>
    </w:p>
    <w:p w14:paraId="6D9C1DB4">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02" w:name="_Toc487900358"/>
      <w:bookmarkStart w:id="1003" w:name="_Ref467379863"/>
      <w:bookmarkStart w:id="1004" w:name="_Ref467379852"/>
      <w:bookmarkStart w:id="1005" w:name="_Ref467379923"/>
      <w:bookmarkStart w:id="1006" w:name="_Toc279701248"/>
      <w:bookmarkStart w:id="1007" w:name="_Toc259093677"/>
      <w:bookmarkStart w:id="1008" w:name="_Toc3494"/>
      <w:bookmarkStart w:id="1009" w:name="_Toc17696"/>
      <w:bookmarkStart w:id="1010" w:name="_Toc19386"/>
      <w:bookmarkStart w:id="1011" w:name="_Toc14246"/>
      <w:bookmarkStart w:id="1012" w:name="_Toc13467"/>
      <w:bookmarkStart w:id="1013" w:name="_Toc30507"/>
      <w:bookmarkStart w:id="1014" w:name="_Toc18990"/>
      <w:bookmarkStart w:id="1015" w:name="_Toc15897"/>
      <w:bookmarkStart w:id="1016" w:name="_Toc31244"/>
      <w:bookmarkStart w:id="1017" w:name="_Toc19645"/>
      <w:bookmarkStart w:id="1018" w:name="_Toc19392"/>
      <w:bookmarkStart w:id="1019" w:name="_Toc16163"/>
      <w:bookmarkStart w:id="1020" w:name="_Toc13154"/>
      <w:bookmarkStart w:id="1021" w:name="_Toc29305"/>
      <w:bookmarkStart w:id="1022" w:name="_Toc7218"/>
      <w:r>
        <w:rPr>
          <w:rFonts w:hint="eastAsia" w:ascii="微软雅黑" w:hAnsi="微软雅黑" w:eastAsia="微软雅黑" w:cs="微软雅黑"/>
          <w:b/>
          <w:color w:val="auto"/>
          <w:sz w:val="24"/>
          <w:szCs w:val="24"/>
        </w:rPr>
        <w:t>2.6 技术资料</w:t>
      </w:r>
      <w:bookmarkEnd w:id="1002"/>
      <w:bookmarkEnd w:id="1003"/>
      <w:bookmarkEnd w:id="1004"/>
      <w:bookmarkEnd w:id="1005"/>
      <w:bookmarkEnd w:id="1006"/>
      <w:bookmarkEnd w:id="1007"/>
      <w:r>
        <w:rPr>
          <w:rFonts w:hint="eastAsia" w:ascii="微软雅黑" w:hAnsi="微软雅黑" w:eastAsia="微软雅黑" w:cs="微软雅黑"/>
          <w:b/>
          <w:color w:val="auto"/>
          <w:sz w:val="24"/>
          <w:szCs w:val="24"/>
        </w:rPr>
        <w:t>和保密义务</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144F9A98">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2.6.1 乙方有权依据合同约定和项目需要，向甲方了解有关情况，调阅有关资料等，甲方应予积极配合；</w:t>
      </w:r>
    </w:p>
    <w:p w14:paraId="34E805B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2.6.2 乙方有义务妥善保管和保护由甲方提供的前款信息和资料等；</w:t>
      </w:r>
    </w:p>
    <w:p w14:paraId="394B8D55">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428F797">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23" w:name="_Toc13278"/>
      <w:bookmarkStart w:id="1024" w:name="_Toc25991"/>
      <w:bookmarkStart w:id="1025" w:name="_Toc19532"/>
      <w:bookmarkStart w:id="1026" w:name="_Toc19640"/>
      <w:bookmarkStart w:id="1027" w:name="_Toc9088"/>
      <w:bookmarkStart w:id="1028" w:name="_Toc9840"/>
      <w:bookmarkStart w:id="1029" w:name="_Toc29831"/>
      <w:bookmarkStart w:id="1030" w:name="_Toc29561"/>
      <w:bookmarkStart w:id="1031" w:name="_Toc19069"/>
      <w:bookmarkStart w:id="1032" w:name="_Toc31339"/>
      <w:bookmarkStart w:id="1033" w:name="_Toc6587"/>
      <w:bookmarkStart w:id="1034" w:name="_Toc487900362"/>
      <w:bookmarkStart w:id="1035" w:name="_Toc279701252"/>
      <w:bookmarkStart w:id="1036" w:name="_Toc259093681"/>
      <w:r>
        <w:rPr>
          <w:rFonts w:hint="eastAsia" w:ascii="微软雅黑" w:hAnsi="微软雅黑" w:eastAsia="微软雅黑" w:cs="微软雅黑"/>
          <w:b/>
          <w:color w:val="auto"/>
          <w:sz w:val="24"/>
          <w:szCs w:val="24"/>
        </w:rPr>
        <w:t>2.7 质量保证</w:t>
      </w:r>
      <w:bookmarkEnd w:id="1023"/>
      <w:bookmarkEnd w:id="1024"/>
      <w:bookmarkEnd w:id="1025"/>
      <w:bookmarkEnd w:id="1026"/>
      <w:bookmarkEnd w:id="1027"/>
      <w:bookmarkEnd w:id="1028"/>
      <w:bookmarkEnd w:id="1029"/>
      <w:bookmarkEnd w:id="1030"/>
      <w:bookmarkEnd w:id="1031"/>
      <w:bookmarkEnd w:id="1032"/>
      <w:bookmarkEnd w:id="1033"/>
    </w:p>
    <w:p w14:paraId="780126B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2.7.1 乙方应建立和完善履行合同的内部质量保证体系，并提供相关内部规章制度给甲方，以便甲方进行监督检查；</w:t>
      </w:r>
    </w:p>
    <w:p w14:paraId="5C9C3487">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2.7.2 乙方应保证履行合同的人员数量和素质、软件和硬件设备的配置、场地、环境和设施等满足全面履行合同的要求，并应接受甲方的监督检查。</w:t>
      </w:r>
    </w:p>
    <w:p w14:paraId="3B7EC3B9">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37" w:name="_Toc29528"/>
      <w:bookmarkStart w:id="1038" w:name="_Toc22608"/>
      <w:bookmarkStart w:id="1039" w:name="_Toc31321"/>
      <w:bookmarkStart w:id="1040" w:name="_Toc29110"/>
      <w:bookmarkStart w:id="1041" w:name="_Toc30375"/>
      <w:bookmarkStart w:id="1042" w:name="_Toc22196"/>
      <w:bookmarkStart w:id="1043" w:name="_Toc4097"/>
      <w:bookmarkStart w:id="1044" w:name="_Toc19231"/>
      <w:bookmarkStart w:id="1045" w:name="_Toc25104"/>
      <w:bookmarkStart w:id="1046" w:name="_Toc24596"/>
      <w:bookmarkStart w:id="1047" w:name="_Toc22267"/>
      <w:r>
        <w:rPr>
          <w:rFonts w:hint="eastAsia" w:ascii="微软雅黑" w:hAnsi="微软雅黑" w:eastAsia="微软雅黑" w:cs="微软雅黑"/>
          <w:b/>
          <w:color w:val="auto"/>
          <w:sz w:val="24"/>
          <w:szCs w:val="24"/>
        </w:rPr>
        <w:t>2.8 延迟</w:t>
      </w:r>
      <w:bookmarkEnd w:id="1034"/>
      <w:bookmarkEnd w:id="1035"/>
      <w:bookmarkEnd w:id="1036"/>
      <w:r>
        <w:rPr>
          <w:rFonts w:hint="eastAsia" w:ascii="微软雅黑" w:hAnsi="微软雅黑" w:eastAsia="微软雅黑" w:cs="微软雅黑"/>
          <w:b/>
          <w:color w:val="auto"/>
          <w:sz w:val="24"/>
          <w:szCs w:val="24"/>
        </w:rPr>
        <w:t>履行</w:t>
      </w:r>
      <w:bookmarkEnd w:id="1037"/>
      <w:bookmarkEnd w:id="1038"/>
      <w:bookmarkEnd w:id="1039"/>
      <w:bookmarkEnd w:id="1040"/>
      <w:bookmarkEnd w:id="1041"/>
      <w:bookmarkEnd w:id="1042"/>
      <w:bookmarkEnd w:id="1043"/>
      <w:bookmarkEnd w:id="1044"/>
      <w:bookmarkEnd w:id="1045"/>
      <w:bookmarkEnd w:id="1046"/>
      <w:bookmarkEnd w:id="1047"/>
    </w:p>
    <w:p w14:paraId="01052DBE">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F030A3E">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48" w:name="_Toc15797"/>
      <w:bookmarkStart w:id="1049" w:name="_Toc4031"/>
      <w:bookmarkStart w:id="1050" w:name="_Toc23645"/>
      <w:bookmarkStart w:id="1051" w:name="_Toc16958"/>
      <w:bookmarkStart w:id="1052" w:name="_Toc19429"/>
      <w:bookmarkStart w:id="1053" w:name="_Toc27839"/>
      <w:bookmarkStart w:id="1054" w:name="_Toc23879"/>
      <w:bookmarkStart w:id="1055" w:name="_Toc10611"/>
      <w:bookmarkStart w:id="1056" w:name="_Toc16822"/>
      <w:bookmarkStart w:id="1057" w:name="_Toc22509"/>
      <w:bookmarkStart w:id="1058" w:name="_Toc487900364"/>
      <w:bookmarkStart w:id="1059" w:name="_Ref467378121"/>
      <w:bookmarkStart w:id="1060" w:name="_Toc279701254"/>
      <w:bookmarkStart w:id="1061" w:name="_Toc259093683"/>
      <w:r>
        <w:rPr>
          <w:rFonts w:hint="eastAsia" w:ascii="微软雅黑" w:hAnsi="微软雅黑" w:eastAsia="微软雅黑" w:cs="微软雅黑"/>
          <w:b/>
          <w:color w:val="auto"/>
          <w:sz w:val="24"/>
          <w:szCs w:val="24"/>
        </w:rPr>
        <w:t>2.9 合同变更</w:t>
      </w:r>
      <w:bookmarkEnd w:id="1048"/>
      <w:bookmarkEnd w:id="1049"/>
      <w:bookmarkEnd w:id="1050"/>
      <w:bookmarkEnd w:id="1051"/>
      <w:bookmarkEnd w:id="1052"/>
      <w:bookmarkEnd w:id="1053"/>
      <w:bookmarkEnd w:id="1054"/>
      <w:bookmarkEnd w:id="1055"/>
      <w:bookmarkEnd w:id="1056"/>
      <w:bookmarkEnd w:id="1057"/>
    </w:p>
    <w:p w14:paraId="12F289FF">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62D8D8B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2.9.2 合同继续履行将损害国家利益和社会公共利益的，双方当事人应当以书面形式变更合同。有过错的一方应当承担赔偿责任，双方当事人都有过错的，各自承担相应的责任。</w:t>
      </w:r>
      <w:bookmarkStart w:id="1062" w:name="_Toc487900369"/>
      <w:bookmarkStart w:id="1063" w:name="_Toc259093688"/>
      <w:bookmarkStart w:id="1064" w:name="_Toc279701259"/>
    </w:p>
    <w:p w14:paraId="5CE6EBBB">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65" w:name="_Toc862"/>
      <w:bookmarkStart w:id="1066" w:name="_Toc23707"/>
      <w:bookmarkStart w:id="1067" w:name="_Toc8729"/>
      <w:bookmarkStart w:id="1068" w:name="_Toc42"/>
      <w:bookmarkStart w:id="1069" w:name="_Toc29872"/>
      <w:bookmarkStart w:id="1070" w:name="_Toc23368"/>
      <w:bookmarkStart w:id="1071" w:name="_Toc26689"/>
      <w:bookmarkStart w:id="1072" w:name="_Toc2212"/>
      <w:bookmarkStart w:id="1073" w:name="_Toc30491"/>
      <w:bookmarkStart w:id="1074" w:name="_Toc9003"/>
      <w:bookmarkStart w:id="1075" w:name="_Toc356"/>
      <w:bookmarkStart w:id="1076" w:name="_Toc23281"/>
      <w:bookmarkStart w:id="1077" w:name="_Toc14130"/>
      <w:bookmarkStart w:id="1078" w:name="_Toc10663"/>
      <w:bookmarkStart w:id="1079" w:name="_Toc21830"/>
      <w:r>
        <w:rPr>
          <w:rFonts w:hint="eastAsia" w:ascii="微软雅黑" w:hAnsi="微软雅黑" w:eastAsia="微软雅黑" w:cs="微软雅黑"/>
          <w:b/>
          <w:color w:val="auto"/>
          <w:sz w:val="24"/>
          <w:szCs w:val="24"/>
        </w:rPr>
        <w:t>2.10 合同转让</w:t>
      </w:r>
      <w:bookmarkEnd w:id="1062"/>
      <w:bookmarkEnd w:id="1063"/>
      <w:bookmarkEnd w:id="1064"/>
      <w:r>
        <w:rPr>
          <w:rFonts w:hint="eastAsia" w:ascii="微软雅黑" w:hAnsi="微软雅黑" w:eastAsia="微软雅黑" w:cs="微软雅黑"/>
          <w:b/>
          <w:color w:val="auto"/>
          <w:sz w:val="24"/>
          <w:szCs w:val="24"/>
        </w:rPr>
        <w:t>和分包</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3D01E6E9">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BE1B7DF">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80" w:name="_Toc26633"/>
      <w:bookmarkStart w:id="1081" w:name="_Toc1682"/>
      <w:bookmarkStart w:id="1082" w:name="_Toc32322"/>
      <w:bookmarkStart w:id="1083" w:name="_Toc25571"/>
      <w:bookmarkStart w:id="1084" w:name="_Toc4720"/>
      <w:bookmarkStart w:id="1085" w:name="_Toc30671"/>
      <w:bookmarkStart w:id="1086" w:name="_Toc30102"/>
      <w:bookmarkStart w:id="1087" w:name="_Toc27081"/>
      <w:bookmarkStart w:id="1088" w:name="_Toc32494"/>
      <w:bookmarkStart w:id="1089" w:name="_Toc21026"/>
      <w:bookmarkStart w:id="1090" w:name="_Toc14371"/>
      <w:bookmarkStart w:id="1091" w:name="_Toc8449"/>
      <w:bookmarkStart w:id="1092" w:name="_Toc27288"/>
      <w:bookmarkStart w:id="1093" w:name="_Toc27910"/>
      <w:bookmarkStart w:id="1094" w:name="_Toc10871"/>
      <w:r>
        <w:rPr>
          <w:rFonts w:hint="eastAsia" w:ascii="微软雅黑" w:hAnsi="微软雅黑" w:eastAsia="微软雅黑" w:cs="微软雅黑"/>
          <w:b/>
          <w:color w:val="auto"/>
          <w:sz w:val="24"/>
          <w:szCs w:val="24"/>
        </w:rPr>
        <w:t>2.11 不可抗力</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00FD140B">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2.11.1如果任何一方遭遇法律规定的不可抗力，致使合同履行受阻时，履行合同的期限应予延长，延长的期限应相当于不可抗力所影响的时间；</w:t>
      </w:r>
    </w:p>
    <w:p w14:paraId="33BEB33F">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2.11.2 因不可抗力致使不能实现合同目的的，当事人可以解除合同；</w:t>
      </w:r>
    </w:p>
    <w:p w14:paraId="334CBCC9">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2.11.3 因不可抗力致使合同有变更必要的，双方当事人应在</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约定时间内以书面形式变更合同；</w:t>
      </w:r>
    </w:p>
    <w:p w14:paraId="5B4B7DD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2.11.4受不可抗力影响的一方在不可抗力发生后，应在</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约定时间内以书面形式通知对方当事人，并在</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约定时间内，将有关部门出具的证明文件送达对方当事人。</w:t>
      </w:r>
    </w:p>
    <w:p w14:paraId="696044FD">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095" w:name="_Toc14115"/>
      <w:bookmarkStart w:id="1096" w:name="_Toc3979"/>
      <w:bookmarkStart w:id="1097" w:name="_Toc24465"/>
      <w:bookmarkStart w:id="1098" w:name="_Toc23854"/>
      <w:bookmarkStart w:id="1099" w:name="_Toc3638"/>
      <w:bookmarkStart w:id="1100" w:name="_Toc7284"/>
      <w:bookmarkStart w:id="1101" w:name="_Toc10351"/>
      <w:bookmarkStart w:id="1102" w:name="_Toc6869"/>
      <w:bookmarkStart w:id="1103" w:name="_Toc14505"/>
      <w:bookmarkStart w:id="1104" w:name="_Toc259093684"/>
      <w:bookmarkStart w:id="1105" w:name="_Toc18094"/>
      <w:bookmarkStart w:id="1106" w:name="_Toc279701255"/>
      <w:bookmarkStart w:id="1107" w:name="_Toc17484"/>
      <w:bookmarkStart w:id="1108" w:name="_Toc25783"/>
      <w:bookmarkStart w:id="1109" w:name="_Toc487900365"/>
      <w:bookmarkStart w:id="1110" w:name="_Toc32564"/>
      <w:bookmarkStart w:id="1111" w:name="_Toc23509"/>
      <w:bookmarkStart w:id="1112" w:name="_Toc22975"/>
      <w:r>
        <w:rPr>
          <w:rFonts w:hint="eastAsia" w:ascii="微软雅黑" w:hAnsi="微软雅黑" w:eastAsia="微软雅黑" w:cs="微软雅黑"/>
          <w:b/>
          <w:color w:val="auto"/>
          <w:sz w:val="24"/>
          <w:szCs w:val="24"/>
        </w:rPr>
        <w:t>2.12 税费</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14:paraId="5E306A5C">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与合同有关的一切税费，均按照中华人民共和国法律的相关规定缴纳。</w:t>
      </w:r>
    </w:p>
    <w:p w14:paraId="5C51B741">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113" w:name="_Toc31263"/>
      <w:bookmarkStart w:id="1114" w:name="_Toc6532"/>
      <w:bookmarkStart w:id="1115" w:name="_Toc25525"/>
      <w:bookmarkStart w:id="1116" w:name="_Toc29858"/>
      <w:bookmarkStart w:id="1117" w:name="_Toc279701258"/>
      <w:bookmarkStart w:id="1118" w:name="_Toc259093687"/>
      <w:bookmarkStart w:id="1119" w:name="_Toc6637"/>
      <w:bookmarkStart w:id="1120" w:name="_Toc29348"/>
      <w:bookmarkStart w:id="1121" w:name="_Toc22176"/>
      <w:bookmarkStart w:id="1122" w:name="_Toc26349"/>
      <w:bookmarkStart w:id="1123" w:name="_Toc14992"/>
      <w:bookmarkStart w:id="1124" w:name="_Toc487900368"/>
      <w:bookmarkStart w:id="1125" w:name="_Toc26883"/>
      <w:bookmarkStart w:id="1126" w:name="_Toc24371"/>
      <w:bookmarkStart w:id="1127" w:name="_Toc22587"/>
      <w:bookmarkStart w:id="1128" w:name="_Toc7315"/>
      <w:bookmarkStart w:id="1129" w:name="_Toc30105"/>
      <w:bookmarkStart w:id="1130" w:name="_Toc14814"/>
      <w:r>
        <w:rPr>
          <w:rFonts w:hint="eastAsia" w:ascii="微软雅黑" w:hAnsi="微软雅黑" w:eastAsia="微软雅黑" w:cs="微软雅黑"/>
          <w:b/>
          <w:color w:val="auto"/>
          <w:sz w:val="24"/>
          <w:szCs w:val="24"/>
        </w:rPr>
        <w:t>2.13 乙方破产</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5602E390">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F27BC2A">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131" w:name="_Toc5623"/>
      <w:bookmarkStart w:id="1132" w:name="_Toc8198"/>
      <w:bookmarkStart w:id="1133" w:name="_Toc23323"/>
      <w:bookmarkStart w:id="1134" w:name="_Toc22578"/>
      <w:bookmarkStart w:id="1135" w:name="_Toc8174"/>
      <w:bookmarkStart w:id="1136" w:name="_Toc23914"/>
      <w:bookmarkStart w:id="1137" w:name="_Toc29901"/>
      <w:bookmarkStart w:id="1138" w:name="_Toc2016"/>
      <w:bookmarkStart w:id="1139" w:name="_Toc29537"/>
      <w:bookmarkStart w:id="1140" w:name="_Toc7278"/>
      <w:bookmarkStart w:id="1141" w:name="_Toc1123"/>
      <w:bookmarkStart w:id="1142" w:name="_Toc31368"/>
      <w:bookmarkStart w:id="1143" w:name="_Toc19596"/>
      <w:r>
        <w:rPr>
          <w:rFonts w:hint="eastAsia" w:ascii="微软雅黑" w:hAnsi="微软雅黑" w:eastAsia="微软雅黑" w:cs="微软雅黑"/>
          <w:b/>
          <w:color w:val="auto"/>
          <w:sz w:val="24"/>
          <w:szCs w:val="24"/>
        </w:rPr>
        <w:t>2.14 合同中止、终止</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14:paraId="518894CB">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2.14.1 双方当事人不得擅自中止或者终止合同；</w:t>
      </w:r>
    </w:p>
    <w:p w14:paraId="6D79D2DE">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2.14.2合同继续履行将损害国家利益和社会公共利益的，双方当事人应当中止或者终止合同。有过错的一方应当承担赔偿责任，双方当事人都有过错的，各自承担相应的责任。</w:t>
      </w:r>
    </w:p>
    <w:p w14:paraId="2EAC5FD5">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144" w:name="_Toc17363"/>
      <w:bookmarkStart w:id="1145" w:name="_Toc7270"/>
      <w:bookmarkStart w:id="1146" w:name="_Toc14525"/>
      <w:bookmarkStart w:id="1147" w:name="_Toc16337"/>
      <w:bookmarkStart w:id="1148" w:name="_Toc17750"/>
      <w:bookmarkStart w:id="1149" w:name="_Toc18919"/>
      <w:bookmarkStart w:id="1150" w:name="_Toc19511"/>
      <w:bookmarkStart w:id="1151" w:name="_Toc18131"/>
      <w:bookmarkStart w:id="1152" w:name="_Toc9316"/>
      <w:bookmarkStart w:id="1153" w:name="_Toc32549"/>
      <w:bookmarkStart w:id="1154" w:name="_Toc1969"/>
      <w:bookmarkStart w:id="1155" w:name="_Toc28668"/>
      <w:bookmarkStart w:id="1156" w:name="_Toc30337"/>
      <w:r>
        <w:rPr>
          <w:rFonts w:hint="eastAsia" w:ascii="微软雅黑" w:hAnsi="微软雅黑" w:eastAsia="微软雅黑" w:cs="微软雅黑"/>
          <w:b/>
          <w:color w:val="auto"/>
          <w:sz w:val="24"/>
          <w:szCs w:val="24"/>
        </w:rPr>
        <w:t>2.15 检验和验收</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05FB79CE">
      <w:pPr>
        <w:pageBreakBefore w:val="0"/>
        <w:tabs>
          <w:tab w:val="left" w:pos="360"/>
          <w:tab w:val="left" w:pos="540"/>
          <w:tab w:val="left" w:pos="1080"/>
        </w:tabs>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2.15.1 乙方按照</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的约定，定期提交服务报告，甲方按照</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的约定进行定期验收；</w:t>
      </w:r>
    </w:p>
    <w:p w14:paraId="40872827">
      <w:pPr>
        <w:pageBreakBefore w:val="0"/>
        <w:tabs>
          <w:tab w:val="left" w:pos="360"/>
          <w:tab w:val="left" w:pos="540"/>
          <w:tab w:val="left" w:pos="1080"/>
        </w:tabs>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9140349">
      <w:pPr>
        <w:pageBreakBefore w:val="0"/>
        <w:tabs>
          <w:tab w:val="left" w:pos="360"/>
          <w:tab w:val="left" w:pos="540"/>
          <w:tab w:val="left" w:pos="1080"/>
        </w:tabs>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2.15.3 检验和验收标准、程序等具体内容以及前述验收书的效力详见</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i/>
          <w:color w:val="auto"/>
          <w:sz w:val="24"/>
          <w:szCs w:val="24"/>
        </w:rPr>
        <w:t>。</w:t>
      </w:r>
    </w:p>
    <w:bookmarkEnd w:id="1058"/>
    <w:bookmarkEnd w:id="1059"/>
    <w:bookmarkEnd w:id="1060"/>
    <w:bookmarkEnd w:id="1061"/>
    <w:p w14:paraId="4B7A4885">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157" w:name="_Toc259093690"/>
      <w:bookmarkStart w:id="1158" w:name="_Toc279701261"/>
      <w:bookmarkStart w:id="1159" w:name="_Toc487900371"/>
      <w:bookmarkStart w:id="1160" w:name="_Toc26221"/>
      <w:bookmarkStart w:id="1161" w:name="_Toc25198"/>
      <w:bookmarkStart w:id="1162" w:name="_Toc31018"/>
      <w:bookmarkStart w:id="1163" w:name="_Toc9808"/>
      <w:bookmarkStart w:id="1164" w:name="_Toc19800"/>
      <w:bookmarkStart w:id="1165" w:name="_Toc32619"/>
      <w:bookmarkStart w:id="1166" w:name="_Toc2308"/>
      <w:bookmarkStart w:id="1167" w:name="_Toc12666"/>
      <w:bookmarkStart w:id="1168" w:name="_Toc12716"/>
      <w:bookmarkStart w:id="1169" w:name="_Toc31892"/>
      <w:bookmarkStart w:id="1170" w:name="_Toc8307"/>
      <w:bookmarkStart w:id="1171" w:name="_Toc18608"/>
      <w:bookmarkStart w:id="1172" w:name="_Toc11014"/>
      <w:bookmarkStart w:id="1173" w:name="_Toc1392"/>
      <w:r>
        <w:rPr>
          <w:rFonts w:hint="eastAsia" w:ascii="微软雅黑" w:hAnsi="微软雅黑" w:eastAsia="微软雅黑" w:cs="微软雅黑"/>
          <w:b/>
          <w:color w:val="auto"/>
          <w:sz w:val="24"/>
          <w:szCs w:val="24"/>
        </w:rPr>
        <w:t>2.16 通知</w:t>
      </w:r>
      <w:bookmarkEnd w:id="1157"/>
      <w:bookmarkEnd w:id="1158"/>
      <w:bookmarkEnd w:id="1159"/>
      <w:r>
        <w:rPr>
          <w:rFonts w:hint="eastAsia" w:ascii="微软雅黑" w:hAnsi="微软雅黑" w:eastAsia="微软雅黑" w:cs="微软雅黑"/>
          <w:b/>
          <w:color w:val="auto"/>
          <w:sz w:val="24"/>
          <w:szCs w:val="24"/>
        </w:rPr>
        <w:t>和送达</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0EDCB92A">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bookmarkStart w:id="1174" w:name="_Toc7073"/>
      <w:bookmarkStart w:id="1175" w:name="_Toc29220"/>
      <w:bookmarkStart w:id="1176" w:name="_Toc487900372"/>
      <w:bookmarkStart w:id="1177" w:name="_Toc259093691"/>
      <w:bookmarkStart w:id="1178" w:name="_Toc279701262"/>
      <w:r>
        <w:rPr>
          <w:rFonts w:hint="eastAsia" w:ascii="微软雅黑" w:hAnsi="微软雅黑" w:eastAsia="微软雅黑" w:cs="微软雅黑"/>
          <w:color w:val="auto"/>
          <w:sz w:val="24"/>
          <w:szCs w:val="24"/>
        </w:rPr>
        <w:t>2.16.1 任何一方因履行合同而以合同第一部分尾部所列明的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发出的所有通知、文件、材料，均视为已向对方当事人送达；任何一方变更上述送达方式或者地址的，应于</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个工作日内书面通知对方当事人，在对方当事人收到有关变更通知之前，变更前的约定送达方式或者地址仍视为有效。</w:t>
      </w:r>
      <w:bookmarkEnd w:id="1174"/>
      <w:bookmarkEnd w:id="1175"/>
    </w:p>
    <w:p w14:paraId="046A7176">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bookmarkStart w:id="1179" w:name="_Toc27674"/>
      <w:bookmarkStart w:id="1180" w:name="_Toc18401"/>
      <w:r>
        <w:rPr>
          <w:rFonts w:hint="eastAsia" w:ascii="微软雅黑" w:hAnsi="微软雅黑" w:eastAsia="微软雅黑" w:cs="微软雅黑"/>
          <w:color w:val="auto"/>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179"/>
      <w:bookmarkEnd w:id="1180"/>
    </w:p>
    <w:bookmarkEnd w:id="1176"/>
    <w:bookmarkEnd w:id="1177"/>
    <w:bookmarkEnd w:id="1178"/>
    <w:p w14:paraId="5D949036">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181" w:name="_Toc27644"/>
      <w:bookmarkStart w:id="1182" w:name="_Toc15024"/>
      <w:bookmarkStart w:id="1183" w:name="_Toc28906"/>
      <w:bookmarkStart w:id="1184" w:name="_Toc11526"/>
      <w:bookmarkStart w:id="1185" w:name="_Toc279701263"/>
      <w:bookmarkStart w:id="1186" w:name="_Toc259093692"/>
      <w:bookmarkStart w:id="1187" w:name="_Toc12254"/>
      <w:bookmarkStart w:id="1188" w:name="_Toc487900373"/>
      <w:bookmarkStart w:id="1189" w:name="_Toc30141"/>
      <w:bookmarkStart w:id="1190" w:name="_Toc20808"/>
      <w:bookmarkStart w:id="1191" w:name="_Toc5063"/>
      <w:bookmarkStart w:id="1192" w:name="_Toc4769"/>
      <w:bookmarkStart w:id="1193" w:name="_Toc13550"/>
      <w:bookmarkStart w:id="1194" w:name="_Toc24463"/>
      <w:bookmarkStart w:id="1195" w:name="_Toc20123"/>
      <w:bookmarkStart w:id="1196" w:name="_Toc963"/>
      <w:bookmarkStart w:id="1197" w:name="_Toc10490"/>
      <w:bookmarkStart w:id="1198" w:name="_Toc21132"/>
      <w:r>
        <w:rPr>
          <w:rFonts w:hint="eastAsia" w:ascii="微软雅黑" w:hAnsi="微软雅黑" w:eastAsia="微软雅黑" w:cs="微软雅黑"/>
          <w:b/>
          <w:color w:val="auto"/>
          <w:sz w:val="24"/>
          <w:szCs w:val="24"/>
        </w:rPr>
        <w:t>2.17 合同使用的文字和适用的法律</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14:paraId="08571C53">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2.17.1 合同使用汉语书就、变更和解释；</w:t>
      </w:r>
    </w:p>
    <w:p w14:paraId="6A4EC7D7">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2.17.2 合同适用中华人民共和国法律。</w:t>
      </w:r>
    </w:p>
    <w:p w14:paraId="567AEA99">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color w:val="auto"/>
          <w:sz w:val="24"/>
          <w:szCs w:val="24"/>
        </w:rPr>
      </w:pPr>
      <w:bookmarkStart w:id="1199" w:name="_Toc6724"/>
      <w:bookmarkStart w:id="1200" w:name="_Toc22266"/>
      <w:bookmarkStart w:id="1201" w:name="_Toc28596"/>
      <w:bookmarkStart w:id="1202" w:name="_Toc30784"/>
      <w:bookmarkStart w:id="1203" w:name="_Toc2187"/>
      <w:bookmarkStart w:id="1204" w:name="_Toc27127"/>
      <w:bookmarkStart w:id="1205" w:name="_Toc27403"/>
      <w:bookmarkStart w:id="1206" w:name="_Toc29283"/>
      <w:bookmarkStart w:id="1207" w:name="_Toc2123"/>
      <w:bookmarkStart w:id="1208" w:name="_Toc28729"/>
      <w:bookmarkStart w:id="1209" w:name="_Toc279701264"/>
      <w:bookmarkStart w:id="1210" w:name="_Toc259093693"/>
      <w:bookmarkStart w:id="1211" w:name="_Toc31753"/>
      <w:bookmarkStart w:id="1212" w:name="_Toc1492"/>
      <w:bookmarkStart w:id="1213" w:name="_Toc22116"/>
      <w:bookmarkStart w:id="1214" w:name="_Toc30096"/>
      <w:bookmarkStart w:id="1215" w:name="_Toc4681"/>
      <w:bookmarkStart w:id="1216" w:name="_Toc487900374"/>
      <w:r>
        <w:rPr>
          <w:rFonts w:hint="eastAsia" w:ascii="微软雅黑" w:hAnsi="微软雅黑" w:eastAsia="微软雅黑" w:cs="微软雅黑"/>
          <w:b/>
          <w:color w:val="auto"/>
          <w:sz w:val="24"/>
          <w:szCs w:val="24"/>
        </w:rPr>
        <w:t>2.18 履约保证金</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6A5E1202">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2.18.1 采购文件要求乙方提交履约保证金的，乙方应按</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约定的方式，以支票、汇票、本票或者金融机构、担保机构出具的保函等非现金形式，提交不超过合同价10%的履约保证金；</w:t>
      </w:r>
    </w:p>
    <w:p w14:paraId="25076E25">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2.18.2 履约保证金在</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约定期间内不予退还或者应完全有效，前述约定期间届满之日起</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个工作日内，甲方应将履约保证金退还乙方；</w:t>
      </w:r>
    </w:p>
    <w:p w14:paraId="75571AB5">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216"/>
    <w:p w14:paraId="244A79F5">
      <w:pPr>
        <w:pageBreakBefore w:val="0"/>
        <w:kinsoku/>
        <w:wordWrap/>
        <w:overflowPunct/>
        <w:topLinePunct w:val="0"/>
        <w:bidi w:val="0"/>
        <w:spacing w:line="48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2.19 合同份数</w:t>
      </w:r>
    </w:p>
    <w:p w14:paraId="75028AE2">
      <w:pPr>
        <w:pStyle w:val="58"/>
        <w:pageBreakBefore w:val="0"/>
        <w:kinsoku/>
        <w:wordWrap/>
        <w:overflowPunct/>
        <w:topLinePunct w:val="0"/>
        <w:bidi w:val="0"/>
        <w:spacing w:line="480" w:lineRule="exact"/>
        <w:ind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合同份数按</w:t>
      </w:r>
      <w:r>
        <w:rPr>
          <w:rFonts w:hint="eastAsia" w:ascii="微软雅黑" w:hAnsi="微软雅黑" w:eastAsia="微软雅黑" w:cs="微软雅黑"/>
          <w:b/>
          <w:i/>
          <w:color w:val="auto"/>
          <w:sz w:val="24"/>
          <w:szCs w:val="24"/>
          <w:u w:val="single"/>
        </w:rPr>
        <w:t>合同专用条款</w:t>
      </w:r>
      <w:r>
        <w:rPr>
          <w:rFonts w:hint="eastAsia" w:ascii="微软雅黑" w:hAnsi="微软雅黑" w:eastAsia="微软雅黑" w:cs="微软雅黑"/>
          <w:color w:val="auto"/>
          <w:sz w:val="24"/>
          <w:szCs w:val="24"/>
        </w:rPr>
        <w:t>规定，每份均具有同等法律效力。</w:t>
      </w:r>
      <w:bookmarkStart w:id="1217" w:name="_Toc331685784"/>
    </w:p>
    <w:p w14:paraId="55177E2B">
      <w:pPr>
        <w:pStyle w:val="58"/>
        <w:pageBreakBefore w:val="0"/>
        <w:kinsoku/>
        <w:wordWrap/>
        <w:overflowPunct/>
        <w:topLinePunct w:val="0"/>
        <w:bidi w:val="0"/>
        <w:spacing w:line="480" w:lineRule="exact"/>
        <w:ind w:firstLine="0"/>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第三部分  合同专用条款</w:t>
      </w:r>
      <w:bookmarkEnd w:id="1217"/>
    </w:p>
    <w:p w14:paraId="09FA2442">
      <w:pPr>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828D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00A04CA">
            <w:pPr>
              <w:pageBreakBefore w:val="0"/>
              <w:kinsoku/>
              <w:wordWrap/>
              <w:overflowPunct/>
              <w:topLinePunct w:val="0"/>
              <w:bidi w:val="0"/>
              <w:spacing w:line="480" w:lineRule="exact"/>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条款号</w:t>
            </w:r>
          </w:p>
        </w:tc>
        <w:tc>
          <w:tcPr>
            <w:tcW w:w="7633" w:type="dxa"/>
            <w:noWrap w:val="0"/>
            <w:vAlign w:val="center"/>
          </w:tcPr>
          <w:p w14:paraId="460BD046">
            <w:pPr>
              <w:pageBreakBefore w:val="0"/>
              <w:kinsoku/>
              <w:wordWrap/>
              <w:overflowPunct/>
              <w:topLinePunct w:val="0"/>
              <w:bidi w:val="0"/>
              <w:spacing w:line="480" w:lineRule="exact"/>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约定内容</w:t>
            </w:r>
          </w:p>
        </w:tc>
      </w:tr>
      <w:tr w14:paraId="56CA4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19F4F4DE">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170C00C7">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r>
      <w:tr w14:paraId="39520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A8C94F6">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1C54ACE6">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r>
      <w:tr w14:paraId="74058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1A557D8">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0E33FADB">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r>
      <w:tr w14:paraId="296A0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7221D44">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146F0DF2">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r>
      <w:tr w14:paraId="3E978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5F16F8B">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2453F175">
            <w:pPr>
              <w:pageBreakBefore w:val="0"/>
              <w:kinsoku/>
              <w:wordWrap/>
              <w:overflowPunct/>
              <w:topLinePunct w:val="0"/>
              <w:bidi w:val="0"/>
              <w:spacing w:line="480" w:lineRule="exact"/>
              <w:rPr>
                <w:rFonts w:hint="eastAsia" w:ascii="微软雅黑" w:hAnsi="微软雅黑" w:eastAsia="微软雅黑" w:cs="微软雅黑"/>
                <w:color w:val="auto"/>
                <w:sz w:val="24"/>
                <w:szCs w:val="24"/>
                <w:u w:val="single"/>
              </w:rPr>
            </w:pPr>
          </w:p>
        </w:tc>
      </w:tr>
      <w:tr w14:paraId="712F2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93FBC31">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0F1B1218">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r>
      <w:tr w14:paraId="5A40C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E0BBFBE">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03177830">
            <w:pPr>
              <w:pageBreakBefore w:val="0"/>
              <w:kinsoku/>
              <w:wordWrap/>
              <w:overflowPunct/>
              <w:topLinePunct w:val="0"/>
              <w:bidi w:val="0"/>
              <w:spacing w:line="480" w:lineRule="exact"/>
              <w:rPr>
                <w:rFonts w:hint="eastAsia" w:ascii="微软雅黑" w:hAnsi="微软雅黑" w:eastAsia="微软雅黑" w:cs="微软雅黑"/>
                <w:color w:val="auto"/>
                <w:sz w:val="24"/>
                <w:szCs w:val="24"/>
                <w:u w:val="single"/>
              </w:rPr>
            </w:pPr>
          </w:p>
        </w:tc>
      </w:tr>
      <w:tr w14:paraId="12BB1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70215BF">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c>
          <w:tcPr>
            <w:tcW w:w="7633" w:type="dxa"/>
            <w:noWrap w:val="0"/>
            <w:vAlign w:val="center"/>
          </w:tcPr>
          <w:p w14:paraId="2DB5AEFB">
            <w:pPr>
              <w:pageBreakBefore w:val="0"/>
              <w:kinsoku/>
              <w:wordWrap/>
              <w:overflowPunct/>
              <w:topLinePunct w:val="0"/>
              <w:bidi w:val="0"/>
              <w:spacing w:line="480" w:lineRule="exact"/>
              <w:rPr>
                <w:rFonts w:hint="eastAsia" w:ascii="微软雅黑" w:hAnsi="微软雅黑" w:eastAsia="微软雅黑" w:cs="微软雅黑"/>
                <w:color w:val="auto"/>
                <w:sz w:val="24"/>
                <w:szCs w:val="24"/>
              </w:rPr>
            </w:pPr>
          </w:p>
        </w:tc>
      </w:tr>
    </w:tbl>
    <w:p w14:paraId="32171F93">
      <w:pPr>
        <w:pageBreakBefore w:val="0"/>
        <w:kinsoku/>
        <w:wordWrap/>
        <w:overflowPunct/>
        <w:topLinePunct w:val="0"/>
        <w:bidi w:val="0"/>
        <w:spacing w:after="156" w:line="480" w:lineRule="exact"/>
        <w:ind w:firstLine="480"/>
        <w:rPr>
          <w:rFonts w:hint="eastAsia" w:ascii="微软雅黑" w:hAnsi="微软雅黑" w:eastAsia="微软雅黑" w:cs="微软雅黑"/>
          <w:color w:val="auto"/>
          <w:sz w:val="24"/>
          <w:szCs w:val="24"/>
        </w:rPr>
      </w:pPr>
    </w:p>
    <w:p w14:paraId="55B78C31">
      <w:pPr>
        <w:pageBreakBefore w:val="0"/>
        <w:kinsoku/>
        <w:wordWrap/>
        <w:overflowPunct/>
        <w:topLinePunct w:val="0"/>
        <w:bidi w:val="0"/>
        <w:spacing w:before="0" w:line="480" w:lineRule="exact"/>
        <w:ind w:left="1080" w:leftChars="257" w:hanging="540"/>
        <w:outlineLvl w:val="9"/>
        <w:rPr>
          <w:rFonts w:hint="eastAsia" w:ascii="微软雅黑" w:hAnsi="微软雅黑" w:eastAsia="微软雅黑" w:cs="微软雅黑"/>
          <w:color w:val="auto"/>
          <w:sz w:val="24"/>
          <w:szCs w:val="24"/>
        </w:rPr>
      </w:pPr>
    </w:p>
    <w:p w14:paraId="19FD4389">
      <w:pPr>
        <w:pStyle w:val="10"/>
        <w:snapToGrid w:val="0"/>
        <w:ind w:firstLine="0"/>
        <w:textAlignment w:val="baseline"/>
        <w:rPr>
          <w:rFonts w:hint="eastAsia" w:ascii="微软雅黑" w:hAnsi="微软雅黑" w:eastAsia="微软雅黑" w:cs="微软雅黑"/>
          <w:color w:val="auto"/>
          <w:szCs w:val="24"/>
        </w:rPr>
      </w:pPr>
    </w:p>
    <w:sectPr>
      <w:headerReference r:id="rId11" w:type="default"/>
      <w:footerReference r:id="rId12" w:type="default"/>
      <w:pgSz w:w="11905" w:h="16838"/>
      <w:pgMar w:top="1440" w:right="1797" w:bottom="1440" w:left="1797" w:header="851" w:footer="992" w:gutter="0"/>
      <w:pgNumType w:fmt="decimal"/>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92579">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0532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50532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6A140">
    <w:pPr>
      <w:pStyle w:val="2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04654">
                          <w:pPr>
                            <w:pStyle w:val="2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004654">
                    <w:pPr>
                      <w:pStyle w:val="23"/>
                    </w:pPr>
                    <w:r>
                      <w:fldChar w:fldCharType="begin"/>
                    </w:r>
                    <w:r>
                      <w:instrText xml:space="preserve"> PAGE  \* MERGEFORMAT </w:instrText>
                    </w:r>
                    <w:r>
                      <w:fldChar w:fldCharType="separate"/>
                    </w:r>
                    <w:r>
                      <w:t>44</w:t>
                    </w:r>
                    <w:r>
                      <w:fldChar w:fldCharType="end"/>
                    </w:r>
                  </w:p>
                </w:txbxContent>
              </v:textbox>
            </v:shape>
          </w:pict>
        </mc:Fallback>
      </mc:AlternateContent>
    </w:r>
  </w:p>
  <w:p w14:paraId="20464D63">
    <w:pPr>
      <w:pStyle w:val="2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E37C">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1D0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DB3E">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B3E19">
                          <w:pPr>
                            <w:pStyle w:val="2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6B3E19">
                    <w:pPr>
                      <w:pStyle w:val="2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568BE">
    <w:pPr>
      <w:pStyle w:val="24"/>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9CA14">
    <w:pPr>
      <w:pStyle w:val="24"/>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7DBD">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E355">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9317">
    <w:pPr>
      <w:pStyle w:val="24"/>
      <w:pBdr>
        <w:bottom w:val="none" w:color="auto" w:sz="0"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C1285"/>
    <w:multiLevelType w:val="singleLevel"/>
    <w:tmpl w:val="E9EC1285"/>
    <w:lvl w:ilvl="0" w:tentative="0">
      <w:start w:val="17"/>
      <w:numFmt w:val="decimal"/>
      <w:suff w:val="nothing"/>
      <w:lvlText w:val="%1、"/>
      <w:lvlJc w:val="left"/>
    </w:lvl>
  </w:abstractNum>
  <w:abstractNum w:abstractNumId="1">
    <w:nsid w:val="F62D7A73"/>
    <w:multiLevelType w:val="singleLevel"/>
    <w:tmpl w:val="F62D7A73"/>
    <w:lvl w:ilvl="0" w:tentative="0">
      <w:start w:val="2"/>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8"/>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3">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17"/>
    <w:multiLevelType w:val="multilevel"/>
    <w:tmpl w:val="00000017"/>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6">
    <w:nsid w:val="367E95DB"/>
    <w:multiLevelType w:val="singleLevel"/>
    <w:tmpl w:val="367E95DB"/>
    <w:lvl w:ilvl="0" w:tentative="0">
      <w:start w:val="2"/>
      <w:numFmt w:val="decimal"/>
      <w:suff w:val="space"/>
      <w:lvlText w:val="第%1章"/>
      <w:lvlJc w:val="left"/>
    </w:lvl>
  </w:abstractNum>
  <w:num w:numId="1">
    <w:abstractNumId w:val="2"/>
  </w:num>
  <w:num w:numId="2">
    <w:abstractNumId w:val="4"/>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MjNmMjQwYmViOTQzOTczYTYxYTYwNmY0MGMxNjAifQ=="/>
  </w:docVars>
  <w:rsids>
    <w:rsidRoot w:val="00A2385F"/>
    <w:rsid w:val="000F38AC"/>
    <w:rsid w:val="0095072D"/>
    <w:rsid w:val="00A2385F"/>
    <w:rsid w:val="01AD2720"/>
    <w:rsid w:val="022162AD"/>
    <w:rsid w:val="031B5CF9"/>
    <w:rsid w:val="038F46AF"/>
    <w:rsid w:val="039E06CF"/>
    <w:rsid w:val="03A154BC"/>
    <w:rsid w:val="04025BED"/>
    <w:rsid w:val="054A15F9"/>
    <w:rsid w:val="061B59BF"/>
    <w:rsid w:val="06A967F3"/>
    <w:rsid w:val="06BA630B"/>
    <w:rsid w:val="079A065D"/>
    <w:rsid w:val="08397C29"/>
    <w:rsid w:val="09E0252C"/>
    <w:rsid w:val="0A156E70"/>
    <w:rsid w:val="0AB45767"/>
    <w:rsid w:val="0B451313"/>
    <w:rsid w:val="0C13125D"/>
    <w:rsid w:val="0C4C7C7F"/>
    <w:rsid w:val="0CB36C08"/>
    <w:rsid w:val="0CDA1CD4"/>
    <w:rsid w:val="0D3D5EE8"/>
    <w:rsid w:val="0D53200A"/>
    <w:rsid w:val="0D772F11"/>
    <w:rsid w:val="0DD00B0A"/>
    <w:rsid w:val="0E5A362B"/>
    <w:rsid w:val="0EB60A4B"/>
    <w:rsid w:val="10797237"/>
    <w:rsid w:val="10DE709A"/>
    <w:rsid w:val="131175D6"/>
    <w:rsid w:val="13140891"/>
    <w:rsid w:val="13723439"/>
    <w:rsid w:val="13F15336"/>
    <w:rsid w:val="14C02168"/>
    <w:rsid w:val="14E46C49"/>
    <w:rsid w:val="15131A1A"/>
    <w:rsid w:val="15A75802"/>
    <w:rsid w:val="16001F93"/>
    <w:rsid w:val="16585A26"/>
    <w:rsid w:val="167A7778"/>
    <w:rsid w:val="16DD385C"/>
    <w:rsid w:val="170A775C"/>
    <w:rsid w:val="173D1E16"/>
    <w:rsid w:val="17714DA8"/>
    <w:rsid w:val="179067B7"/>
    <w:rsid w:val="1802116A"/>
    <w:rsid w:val="1835197D"/>
    <w:rsid w:val="18D75E0A"/>
    <w:rsid w:val="18DA1F55"/>
    <w:rsid w:val="193518AA"/>
    <w:rsid w:val="19C71E11"/>
    <w:rsid w:val="1A6659FF"/>
    <w:rsid w:val="1AC63078"/>
    <w:rsid w:val="1AF95FA4"/>
    <w:rsid w:val="1C23072A"/>
    <w:rsid w:val="1C6E1C1A"/>
    <w:rsid w:val="1C8605F2"/>
    <w:rsid w:val="1D3D339A"/>
    <w:rsid w:val="1D5E3A3C"/>
    <w:rsid w:val="1DDB438D"/>
    <w:rsid w:val="1E51706F"/>
    <w:rsid w:val="1EDE624F"/>
    <w:rsid w:val="1F1752BD"/>
    <w:rsid w:val="1F9C59B8"/>
    <w:rsid w:val="203171E6"/>
    <w:rsid w:val="2133386C"/>
    <w:rsid w:val="21CD7F24"/>
    <w:rsid w:val="21FB04CE"/>
    <w:rsid w:val="223242FE"/>
    <w:rsid w:val="23131CB3"/>
    <w:rsid w:val="23462EB3"/>
    <w:rsid w:val="23560C36"/>
    <w:rsid w:val="23752E26"/>
    <w:rsid w:val="23805053"/>
    <w:rsid w:val="23B00D6A"/>
    <w:rsid w:val="23C02704"/>
    <w:rsid w:val="242225F0"/>
    <w:rsid w:val="25593601"/>
    <w:rsid w:val="25ED3D74"/>
    <w:rsid w:val="26187FCB"/>
    <w:rsid w:val="262D58A1"/>
    <w:rsid w:val="26967A4B"/>
    <w:rsid w:val="2714504D"/>
    <w:rsid w:val="2717580F"/>
    <w:rsid w:val="27FC0F71"/>
    <w:rsid w:val="28451DD0"/>
    <w:rsid w:val="287F10C9"/>
    <w:rsid w:val="28815DAD"/>
    <w:rsid w:val="288F571C"/>
    <w:rsid w:val="289E5635"/>
    <w:rsid w:val="296A1D57"/>
    <w:rsid w:val="29736271"/>
    <w:rsid w:val="299D7B51"/>
    <w:rsid w:val="29B72037"/>
    <w:rsid w:val="2A6D5241"/>
    <w:rsid w:val="2AD1133E"/>
    <w:rsid w:val="2B6210C2"/>
    <w:rsid w:val="2E0332AF"/>
    <w:rsid w:val="2F4541AD"/>
    <w:rsid w:val="2F670425"/>
    <w:rsid w:val="30142680"/>
    <w:rsid w:val="30F71D86"/>
    <w:rsid w:val="3134621C"/>
    <w:rsid w:val="31B101D5"/>
    <w:rsid w:val="320E122B"/>
    <w:rsid w:val="32285F6F"/>
    <w:rsid w:val="326E7E26"/>
    <w:rsid w:val="32B11AC9"/>
    <w:rsid w:val="338674EC"/>
    <w:rsid w:val="350E435C"/>
    <w:rsid w:val="351B26EF"/>
    <w:rsid w:val="35727C2D"/>
    <w:rsid w:val="37635A33"/>
    <w:rsid w:val="37B54672"/>
    <w:rsid w:val="37F7266B"/>
    <w:rsid w:val="382516F8"/>
    <w:rsid w:val="386D2C88"/>
    <w:rsid w:val="3A0D43C8"/>
    <w:rsid w:val="3AF24ACF"/>
    <w:rsid w:val="3B0A3988"/>
    <w:rsid w:val="3B1456DF"/>
    <w:rsid w:val="3CC22028"/>
    <w:rsid w:val="3CE31F38"/>
    <w:rsid w:val="3CF338D7"/>
    <w:rsid w:val="3D141F11"/>
    <w:rsid w:val="3D4D0C0D"/>
    <w:rsid w:val="3DB27889"/>
    <w:rsid w:val="3E232DD9"/>
    <w:rsid w:val="3F287679"/>
    <w:rsid w:val="3F7942AE"/>
    <w:rsid w:val="3FA23805"/>
    <w:rsid w:val="41E16726"/>
    <w:rsid w:val="424E557E"/>
    <w:rsid w:val="4291742C"/>
    <w:rsid w:val="445F1CC4"/>
    <w:rsid w:val="467F4CAA"/>
    <w:rsid w:val="48587156"/>
    <w:rsid w:val="48957C67"/>
    <w:rsid w:val="48A95F6E"/>
    <w:rsid w:val="49171426"/>
    <w:rsid w:val="492F11A8"/>
    <w:rsid w:val="499F47A1"/>
    <w:rsid w:val="4AFA7BB6"/>
    <w:rsid w:val="4BC61D8E"/>
    <w:rsid w:val="4BD32E6D"/>
    <w:rsid w:val="4CE832CA"/>
    <w:rsid w:val="4D212F41"/>
    <w:rsid w:val="4DA27F09"/>
    <w:rsid w:val="4E320449"/>
    <w:rsid w:val="504A1A30"/>
    <w:rsid w:val="50760AC1"/>
    <w:rsid w:val="5095081C"/>
    <w:rsid w:val="52DB0E29"/>
    <w:rsid w:val="536E4AEE"/>
    <w:rsid w:val="53AB5F41"/>
    <w:rsid w:val="542D76E9"/>
    <w:rsid w:val="547C5298"/>
    <w:rsid w:val="54EC3D45"/>
    <w:rsid w:val="557B68E1"/>
    <w:rsid w:val="558071F9"/>
    <w:rsid w:val="55826B30"/>
    <w:rsid w:val="56141B81"/>
    <w:rsid w:val="57A829DB"/>
    <w:rsid w:val="57D537C0"/>
    <w:rsid w:val="58AD35E7"/>
    <w:rsid w:val="590E6D76"/>
    <w:rsid w:val="59653481"/>
    <w:rsid w:val="59854FFB"/>
    <w:rsid w:val="59CD65F5"/>
    <w:rsid w:val="5BE36F15"/>
    <w:rsid w:val="5BFE7106"/>
    <w:rsid w:val="5E730A14"/>
    <w:rsid w:val="5E96232F"/>
    <w:rsid w:val="5ED61B0C"/>
    <w:rsid w:val="5F0C788B"/>
    <w:rsid w:val="607E606A"/>
    <w:rsid w:val="613A73B9"/>
    <w:rsid w:val="623202AC"/>
    <w:rsid w:val="62AA56C6"/>
    <w:rsid w:val="62F3173B"/>
    <w:rsid w:val="63141A74"/>
    <w:rsid w:val="642C2029"/>
    <w:rsid w:val="6489776B"/>
    <w:rsid w:val="648E7C00"/>
    <w:rsid w:val="66DE295C"/>
    <w:rsid w:val="671B5AC7"/>
    <w:rsid w:val="67B1393B"/>
    <w:rsid w:val="67CA2A4F"/>
    <w:rsid w:val="693D63AD"/>
    <w:rsid w:val="6A2C4278"/>
    <w:rsid w:val="6AB97AD1"/>
    <w:rsid w:val="6CB95B66"/>
    <w:rsid w:val="6CEC380A"/>
    <w:rsid w:val="6E3F6FA3"/>
    <w:rsid w:val="6F667D89"/>
    <w:rsid w:val="71206802"/>
    <w:rsid w:val="712C780C"/>
    <w:rsid w:val="725102BC"/>
    <w:rsid w:val="72B15162"/>
    <w:rsid w:val="72DC18C2"/>
    <w:rsid w:val="73460FAE"/>
    <w:rsid w:val="746B4828"/>
    <w:rsid w:val="74C44F75"/>
    <w:rsid w:val="757B3D5F"/>
    <w:rsid w:val="76E409DB"/>
    <w:rsid w:val="77234646"/>
    <w:rsid w:val="773D55E5"/>
    <w:rsid w:val="77764653"/>
    <w:rsid w:val="77927AB5"/>
    <w:rsid w:val="77EE31EE"/>
    <w:rsid w:val="796717F9"/>
    <w:rsid w:val="7969789B"/>
    <w:rsid w:val="7AA31A52"/>
    <w:rsid w:val="7AB530B6"/>
    <w:rsid w:val="7BCC157D"/>
    <w:rsid w:val="7D4E1BB5"/>
    <w:rsid w:val="7D6E7A2C"/>
    <w:rsid w:val="7EA60409"/>
    <w:rsid w:val="7FBB6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3"/>
    <w:autoRedefine/>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70"/>
    <w:autoRedefine/>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82"/>
    <w:autoRedefine/>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autoRedefine/>
    <w:semiHidden/>
    <w:unhideWhenUsed/>
    <w:qFormat/>
    <w:uiPriority w:val="9"/>
    <w:pPr>
      <w:keepNext/>
      <w:keepLines/>
      <w:numPr>
        <w:ilvl w:val="3"/>
        <w:numId w:val="1"/>
      </w:numPr>
      <w:spacing w:before="260" w:after="260"/>
      <w:ind w:firstLine="482" w:firstLineChars="200"/>
      <w:jc w:val="left"/>
      <w:outlineLvl w:val="3"/>
    </w:pPr>
    <w:rPr>
      <w:rFonts w:ascii="Arial" w:hAnsi="Arial"/>
      <w:b/>
      <w:sz w:val="1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tabs>
        <w:tab w:val="left" w:pos="567"/>
      </w:tabs>
      <w:ind w:firstLine="420" w:firstLineChars="100"/>
    </w:pPr>
  </w:style>
  <w:style w:type="paragraph" w:styleId="3">
    <w:name w:val="Body Text"/>
    <w:basedOn w:val="1"/>
    <w:next w:val="4"/>
    <w:link w:val="79"/>
    <w:autoRedefine/>
    <w:qFormat/>
    <w:uiPriority w:val="0"/>
    <w:pPr>
      <w:tabs>
        <w:tab w:val="left" w:pos="567"/>
      </w:tabs>
      <w:spacing w:before="120" w:line="22" w:lineRule="atLeast"/>
    </w:pPr>
    <w:rPr>
      <w:rFonts w:ascii="宋体" w:hAnsi="宋体"/>
      <w:sz w:val="24"/>
    </w:rPr>
  </w:style>
  <w:style w:type="paragraph" w:styleId="4">
    <w:name w:val="toc 2"/>
    <w:basedOn w:val="1"/>
    <w:next w:val="1"/>
    <w:autoRedefine/>
    <w:qFormat/>
    <w:uiPriority w:val="39"/>
    <w:pPr>
      <w:ind w:left="420" w:leftChars="200"/>
    </w:pPr>
  </w:style>
  <w:style w:type="paragraph" w:styleId="9">
    <w:name w:val="toc 7"/>
    <w:basedOn w:val="1"/>
    <w:next w:val="1"/>
    <w:autoRedefine/>
    <w:qFormat/>
    <w:uiPriority w:val="39"/>
    <w:pPr>
      <w:ind w:left="2520" w:leftChars="1200"/>
    </w:pPr>
  </w:style>
  <w:style w:type="paragraph" w:styleId="10">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11">
    <w:name w:val="Document Map"/>
    <w:basedOn w:val="1"/>
    <w:link w:val="74"/>
    <w:autoRedefine/>
    <w:qFormat/>
    <w:uiPriority w:val="0"/>
    <w:rPr>
      <w:rFonts w:ascii="宋体"/>
      <w:sz w:val="18"/>
      <w:szCs w:val="18"/>
    </w:rPr>
  </w:style>
  <w:style w:type="paragraph" w:styleId="12">
    <w:name w:val="toa heading"/>
    <w:basedOn w:val="1"/>
    <w:next w:val="1"/>
    <w:autoRedefine/>
    <w:qFormat/>
    <w:uiPriority w:val="0"/>
    <w:pPr>
      <w:spacing w:before="120"/>
    </w:pPr>
    <w:rPr>
      <w:rFonts w:ascii="Cambria" w:hAnsi="Cambria"/>
      <w:sz w:val="24"/>
    </w:rPr>
  </w:style>
  <w:style w:type="paragraph" w:styleId="13">
    <w:name w:val="annotation text"/>
    <w:basedOn w:val="1"/>
    <w:link w:val="80"/>
    <w:autoRedefine/>
    <w:qFormat/>
    <w:uiPriority w:val="99"/>
    <w:pPr>
      <w:jc w:val="left"/>
    </w:pPr>
  </w:style>
  <w:style w:type="paragraph" w:styleId="14">
    <w:name w:val="Body Text Indent"/>
    <w:basedOn w:val="1"/>
    <w:autoRedefine/>
    <w:qFormat/>
    <w:uiPriority w:val="0"/>
    <w:pPr>
      <w:spacing w:line="360" w:lineRule="auto"/>
      <w:ind w:firstLine="570"/>
    </w:pPr>
    <w:rPr>
      <w:sz w:val="24"/>
    </w:rPr>
  </w:style>
  <w:style w:type="paragraph" w:styleId="15">
    <w:name w:val="Block Text"/>
    <w:basedOn w:val="1"/>
    <w:autoRedefine/>
    <w:qFormat/>
    <w:uiPriority w:val="99"/>
    <w:pPr>
      <w:spacing w:after="120"/>
      <w:ind w:left="1440" w:leftChars="700" w:right="1440" w:rightChars="700"/>
    </w:pPr>
  </w:style>
  <w:style w:type="paragraph" w:styleId="16">
    <w:name w:val="toc 5"/>
    <w:basedOn w:val="1"/>
    <w:next w:val="1"/>
    <w:autoRedefine/>
    <w:qFormat/>
    <w:uiPriority w:val="39"/>
    <w:pPr>
      <w:ind w:left="1680" w:leftChars="800"/>
    </w:pPr>
  </w:style>
  <w:style w:type="paragraph" w:styleId="17">
    <w:name w:val="toc 3"/>
    <w:basedOn w:val="1"/>
    <w:next w:val="1"/>
    <w:autoRedefine/>
    <w:qFormat/>
    <w:uiPriority w:val="39"/>
    <w:pPr>
      <w:tabs>
        <w:tab w:val="left" w:pos="1260"/>
        <w:tab w:val="right" w:leader="dot" w:pos="8630"/>
      </w:tabs>
      <w:ind w:left="840" w:leftChars="400"/>
    </w:pPr>
  </w:style>
  <w:style w:type="paragraph" w:styleId="18">
    <w:name w:val="Plain Text"/>
    <w:basedOn w:val="1"/>
    <w:next w:val="1"/>
    <w:link w:val="78"/>
    <w:autoRedefine/>
    <w:qFormat/>
    <w:uiPriority w:val="0"/>
    <w:rPr>
      <w:rFonts w:ascii="宋体" w:hAnsi="Courier New"/>
      <w:szCs w:val="20"/>
    </w:rPr>
  </w:style>
  <w:style w:type="paragraph" w:styleId="19">
    <w:name w:val="toc 8"/>
    <w:basedOn w:val="1"/>
    <w:next w:val="1"/>
    <w:autoRedefine/>
    <w:qFormat/>
    <w:uiPriority w:val="39"/>
    <w:pPr>
      <w:ind w:left="2940" w:leftChars="1400"/>
    </w:pPr>
  </w:style>
  <w:style w:type="paragraph" w:styleId="20">
    <w:name w:val="Date"/>
    <w:basedOn w:val="1"/>
    <w:next w:val="1"/>
    <w:link w:val="75"/>
    <w:autoRedefine/>
    <w:qFormat/>
    <w:uiPriority w:val="0"/>
    <w:pPr>
      <w:ind w:left="100" w:leftChars="2500"/>
    </w:pPr>
    <w:rPr>
      <w:rFonts w:ascii="仿宋_GB2312" w:hAnsi="宋体" w:eastAsia="仿宋_GB2312"/>
      <w:color w:val="000000"/>
      <w:sz w:val="24"/>
    </w:rPr>
  </w:style>
  <w:style w:type="paragraph" w:styleId="21">
    <w:name w:val="Body Text Indent 2"/>
    <w:basedOn w:val="1"/>
    <w:autoRedefine/>
    <w:qFormat/>
    <w:uiPriority w:val="0"/>
    <w:pPr>
      <w:ind w:firstLine="480" w:firstLineChars="200"/>
    </w:pPr>
    <w:rPr>
      <w:rFonts w:ascii="仿宋_GB2312" w:eastAsia="仿宋_GB2312"/>
      <w:sz w:val="24"/>
    </w:rPr>
  </w:style>
  <w:style w:type="paragraph" w:styleId="22">
    <w:name w:val="Balloon Text"/>
    <w:basedOn w:val="1"/>
    <w:link w:val="71"/>
    <w:autoRedefine/>
    <w:qFormat/>
    <w:uiPriority w:val="0"/>
    <w:rPr>
      <w:sz w:val="18"/>
      <w:szCs w:val="18"/>
    </w:rPr>
  </w:style>
  <w:style w:type="paragraph" w:styleId="23">
    <w:name w:val="footer"/>
    <w:basedOn w:val="1"/>
    <w:link w:val="68"/>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link w:val="65"/>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style>
  <w:style w:type="paragraph" w:styleId="26">
    <w:name w:val="toc 4"/>
    <w:basedOn w:val="1"/>
    <w:next w:val="1"/>
    <w:autoRedefine/>
    <w:qFormat/>
    <w:uiPriority w:val="39"/>
    <w:pPr>
      <w:ind w:left="1260" w:leftChars="600"/>
    </w:pPr>
  </w:style>
  <w:style w:type="paragraph" w:styleId="27">
    <w:name w:val="footnote text"/>
    <w:basedOn w:val="1"/>
    <w:next w:val="3"/>
    <w:autoRedefine/>
    <w:qFormat/>
    <w:uiPriority w:val="0"/>
    <w:pPr>
      <w:snapToGrid w:val="0"/>
      <w:jc w:val="left"/>
    </w:pPr>
    <w:rPr>
      <w:sz w:val="18"/>
    </w:rPr>
  </w:style>
  <w:style w:type="paragraph" w:styleId="28">
    <w:name w:val="toc 6"/>
    <w:basedOn w:val="1"/>
    <w:next w:val="1"/>
    <w:autoRedefine/>
    <w:qFormat/>
    <w:uiPriority w:val="39"/>
    <w:pPr>
      <w:ind w:left="2100" w:leftChars="1000"/>
    </w:pPr>
  </w:style>
  <w:style w:type="paragraph" w:styleId="29">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7"/>
    <w:basedOn w:val="1"/>
    <w:next w:val="1"/>
    <w:autoRedefine/>
    <w:qFormat/>
    <w:uiPriority w:val="0"/>
    <w:pPr>
      <w:autoSpaceDE/>
      <w:autoSpaceDN/>
      <w:adjustRightInd/>
      <w:ind w:left="1200" w:leftChars="1200"/>
    </w:pPr>
    <w:rPr>
      <w:color w:val="auto"/>
      <w:kern w:val="2"/>
      <w:szCs w:val="24"/>
    </w:rPr>
  </w:style>
  <w:style w:type="paragraph" w:styleId="31">
    <w:name w:val="toc 9"/>
    <w:basedOn w:val="1"/>
    <w:next w:val="1"/>
    <w:autoRedefine/>
    <w:qFormat/>
    <w:uiPriority w:val="39"/>
    <w:pPr>
      <w:ind w:left="3360" w:leftChars="1600"/>
    </w:pPr>
  </w:style>
  <w:style w:type="paragraph" w:styleId="32">
    <w:name w:val="Normal (Web)"/>
    <w:basedOn w:val="1"/>
    <w:autoRedefine/>
    <w:qFormat/>
    <w:uiPriority w:val="99"/>
    <w:pPr>
      <w:spacing w:before="75" w:after="75"/>
      <w:jc w:val="left"/>
    </w:pPr>
    <w:rPr>
      <w:kern w:val="0"/>
      <w:sz w:val="24"/>
    </w:rPr>
  </w:style>
  <w:style w:type="paragraph" w:styleId="33">
    <w:name w:val="index 1"/>
    <w:basedOn w:val="1"/>
    <w:next w:val="1"/>
    <w:autoRedefine/>
    <w:qFormat/>
    <w:uiPriority w:val="0"/>
    <w:rPr>
      <w:szCs w:val="20"/>
    </w:rPr>
  </w:style>
  <w:style w:type="paragraph" w:styleId="34">
    <w:name w:val="annotation subject"/>
    <w:basedOn w:val="13"/>
    <w:next w:val="13"/>
    <w:link w:val="81"/>
    <w:autoRedefine/>
    <w:qFormat/>
    <w:uiPriority w:val="0"/>
    <w:rPr>
      <w:b/>
      <w:bCs/>
    </w:rPr>
  </w:style>
  <w:style w:type="paragraph" w:styleId="35">
    <w:name w:val="Body Text First Indent 2"/>
    <w:basedOn w:val="14"/>
    <w:autoRedefine/>
    <w:qFormat/>
    <w:uiPriority w:val="0"/>
    <w:pPr>
      <w:ind w:firstLine="420" w:firstLineChars="200"/>
    </w:p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bCs/>
    </w:rPr>
  </w:style>
  <w:style w:type="character" w:styleId="40">
    <w:name w:val="page number"/>
    <w:basedOn w:val="38"/>
    <w:autoRedefine/>
    <w:qFormat/>
    <w:uiPriority w:val="0"/>
  </w:style>
  <w:style w:type="character" w:styleId="41">
    <w:name w:val="Emphasis"/>
    <w:basedOn w:val="38"/>
    <w:autoRedefine/>
    <w:qFormat/>
    <w:uiPriority w:val="20"/>
    <w:rPr>
      <w:i/>
    </w:rPr>
  </w:style>
  <w:style w:type="character" w:styleId="42">
    <w:name w:val="Hyperlink"/>
    <w:autoRedefine/>
    <w:qFormat/>
    <w:uiPriority w:val="99"/>
    <w:rPr>
      <w:color w:val="0000FF"/>
      <w:u w:val="single"/>
    </w:rPr>
  </w:style>
  <w:style w:type="character" w:styleId="43">
    <w:name w:val="annotation reference"/>
    <w:autoRedefine/>
    <w:qFormat/>
    <w:uiPriority w:val="99"/>
    <w:rPr>
      <w:sz w:val="21"/>
      <w:szCs w:val="21"/>
    </w:rPr>
  </w:style>
  <w:style w:type="character" w:styleId="44">
    <w:name w:val="HTML Sample"/>
    <w:basedOn w:val="38"/>
    <w:autoRedefine/>
    <w:semiHidden/>
    <w:unhideWhenUsed/>
    <w:qFormat/>
    <w:uiPriority w:val="99"/>
    <w:rPr>
      <w:rFonts w:ascii="Courier New" w:hAnsi="Courier New"/>
    </w:rPr>
  </w:style>
  <w:style w:type="paragraph" w:customStyle="1" w:styleId="45">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6">
    <w:name w:val="索引 11"/>
    <w:basedOn w:val="1"/>
    <w:next w:val="1"/>
    <w:autoRedefine/>
    <w:qFormat/>
    <w:uiPriority w:val="0"/>
    <w:pPr>
      <w:spacing w:line="360" w:lineRule="auto"/>
    </w:pPr>
    <w:rPr>
      <w:rFonts w:ascii="仿宋_GB2312" w:eastAsia="仿宋_GB2312"/>
      <w:sz w:val="24"/>
      <w:szCs w:val="20"/>
    </w:rPr>
  </w:style>
  <w:style w:type="paragraph" w:customStyle="1" w:styleId="47">
    <w:name w:val="列出段落1"/>
    <w:basedOn w:val="1"/>
    <w:autoRedefine/>
    <w:qFormat/>
    <w:uiPriority w:val="34"/>
    <w:pPr>
      <w:widowControl/>
      <w:ind w:firstLine="420" w:firstLineChars="200"/>
      <w:jc w:val="left"/>
    </w:pPr>
    <w:rPr>
      <w:kern w:val="0"/>
      <w:sz w:val="24"/>
    </w:rPr>
  </w:style>
  <w:style w:type="paragraph" w:customStyle="1" w:styleId="48">
    <w:name w:val="列出段落11"/>
    <w:basedOn w:val="1"/>
    <w:next w:val="47"/>
    <w:autoRedefine/>
    <w:qFormat/>
    <w:uiPriority w:val="34"/>
    <w:pPr>
      <w:widowControl/>
      <w:ind w:firstLine="420" w:firstLineChars="200"/>
      <w:jc w:val="left"/>
    </w:pPr>
    <w:rPr>
      <w:rFonts w:ascii="宋体" w:hAnsi="宋体" w:cs="宋体"/>
      <w:kern w:val="0"/>
      <w:sz w:val="24"/>
    </w:rPr>
  </w:style>
  <w:style w:type="paragraph" w:customStyle="1" w:styleId="49">
    <w:name w:val="List Paragraph1"/>
    <w:basedOn w:val="1"/>
    <w:autoRedefine/>
    <w:qFormat/>
    <w:uiPriority w:val="34"/>
    <w:pPr>
      <w:ind w:firstLine="420" w:firstLineChars="200"/>
    </w:pPr>
  </w:style>
  <w:style w:type="paragraph" w:customStyle="1" w:styleId="50">
    <w:name w:val="Table Paragraph"/>
    <w:basedOn w:val="1"/>
    <w:autoRedefine/>
    <w:qFormat/>
    <w:uiPriority w:val="1"/>
    <w:pPr>
      <w:widowControl/>
      <w:jc w:val="left"/>
    </w:pPr>
    <w:rPr>
      <w:rFonts w:ascii="宋体" w:hAnsi="宋体" w:cs="宋体"/>
      <w:kern w:val="0"/>
      <w:szCs w:val="20"/>
      <w:lang w:val="zh-CN" w:bidi="zh-CN"/>
    </w:rPr>
  </w:style>
  <w:style w:type="paragraph" w:customStyle="1" w:styleId="51">
    <w:name w:val="p0"/>
    <w:basedOn w:val="1"/>
    <w:autoRedefine/>
    <w:qFormat/>
    <w:uiPriority w:val="0"/>
    <w:pPr>
      <w:widowControl/>
    </w:pPr>
    <w:rPr>
      <w:kern w:val="0"/>
      <w:szCs w:val="21"/>
    </w:rPr>
  </w:style>
  <w:style w:type="paragraph" w:customStyle="1" w:styleId="52">
    <w:name w:val="图例"/>
    <w:basedOn w:val="1"/>
    <w:autoRedefine/>
    <w:qFormat/>
    <w:uiPriority w:val="0"/>
    <w:pPr>
      <w:spacing w:before="120" w:after="120" w:line="360" w:lineRule="auto"/>
      <w:jc w:val="center"/>
    </w:pPr>
    <w:rPr>
      <w:rFonts w:eastAsia="仿宋_GB2312"/>
      <w:b/>
      <w:sz w:val="24"/>
    </w:rPr>
  </w:style>
  <w:style w:type="paragraph" w:customStyle="1" w:styleId="53">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4">
    <w:name w:val="正文段"/>
    <w:basedOn w:val="1"/>
    <w:autoRedefine/>
    <w:qFormat/>
    <w:uiPriority w:val="0"/>
    <w:pPr>
      <w:widowControl/>
      <w:snapToGrid w:val="0"/>
      <w:spacing w:afterLines="50"/>
      <w:ind w:firstLine="200" w:firstLineChars="200"/>
    </w:pPr>
    <w:rPr>
      <w:kern w:val="0"/>
      <w:sz w:val="24"/>
    </w:rPr>
  </w:style>
  <w:style w:type="paragraph" w:customStyle="1" w:styleId="55">
    <w:name w:val="首行缩进"/>
    <w:basedOn w:val="1"/>
    <w:autoRedefine/>
    <w:qFormat/>
    <w:uiPriority w:val="0"/>
    <w:pPr>
      <w:ind w:firstLine="480" w:firstLineChars="200"/>
    </w:pPr>
    <w:rPr>
      <w:lang w:val="zh-CN"/>
    </w:rPr>
  </w:style>
  <w:style w:type="paragraph" w:customStyle="1" w:styleId="56">
    <w:name w:val="纯文本1"/>
    <w:basedOn w:val="1"/>
    <w:link w:val="72"/>
    <w:autoRedefine/>
    <w:qFormat/>
    <w:uiPriority w:val="0"/>
    <w:rPr>
      <w:rFonts w:ascii="宋体" w:hAnsi="Courier New"/>
      <w:kern w:val="0"/>
      <w:sz w:val="20"/>
      <w:szCs w:val="20"/>
    </w:rPr>
  </w:style>
  <w:style w:type="paragraph" w:customStyle="1" w:styleId="57">
    <w:name w:val="Char"/>
    <w:basedOn w:val="1"/>
    <w:autoRedefine/>
    <w:qFormat/>
    <w:uiPriority w:val="0"/>
    <w:pPr>
      <w:tabs>
        <w:tab w:val="left" w:pos="360"/>
      </w:tabs>
    </w:pPr>
    <w:rPr>
      <w:sz w:val="24"/>
    </w:rPr>
  </w:style>
  <w:style w:type="paragraph" w:customStyle="1" w:styleId="58">
    <w:name w:val="正文缩进1"/>
    <w:basedOn w:val="1"/>
    <w:link w:val="61"/>
    <w:autoRedefine/>
    <w:qFormat/>
    <w:uiPriority w:val="0"/>
    <w:pPr>
      <w:autoSpaceDE w:val="0"/>
      <w:autoSpaceDN w:val="0"/>
      <w:adjustRightInd w:val="0"/>
      <w:ind w:firstLine="420"/>
      <w:jc w:val="left"/>
    </w:pPr>
    <w:rPr>
      <w:rFonts w:ascii="宋体"/>
      <w:kern w:val="0"/>
      <w:sz w:val="24"/>
      <w:szCs w:val="20"/>
    </w:rPr>
  </w:style>
  <w:style w:type="paragraph" w:customStyle="1" w:styleId="59">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60">
    <w:name w:val="font91"/>
    <w:basedOn w:val="38"/>
    <w:autoRedefine/>
    <w:qFormat/>
    <w:uiPriority w:val="0"/>
    <w:rPr>
      <w:rFonts w:hint="eastAsia" w:ascii="宋体" w:hAnsi="宋体" w:eastAsia="宋体" w:cs="宋体"/>
      <w:color w:val="000000"/>
      <w:sz w:val="20"/>
      <w:szCs w:val="20"/>
      <w:u w:val="none"/>
      <w:vertAlign w:val="subscript"/>
    </w:rPr>
  </w:style>
  <w:style w:type="character" w:customStyle="1" w:styleId="61">
    <w:name w:val="正文缩进 Char1"/>
    <w:link w:val="58"/>
    <w:autoRedefine/>
    <w:qFormat/>
    <w:uiPriority w:val="0"/>
    <w:rPr>
      <w:rFonts w:ascii="宋体"/>
      <w:sz w:val="24"/>
    </w:rPr>
  </w:style>
  <w:style w:type="character" w:customStyle="1" w:styleId="62">
    <w:name w:val="批注主题 Char1"/>
    <w:autoRedefine/>
    <w:qFormat/>
    <w:uiPriority w:val="99"/>
    <w:rPr>
      <w:b/>
      <w:bCs/>
      <w:kern w:val="2"/>
      <w:sz w:val="21"/>
      <w:szCs w:val="24"/>
    </w:rPr>
  </w:style>
  <w:style w:type="character" w:customStyle="1" w:styleId="63">
    <w:name w:val="font31"/>
    <w:basedOn w:val="38"/>
    <w:autoRedefine/>
    <w:qFormat/>
    <w:uiPriority w:val="0"/>
    <w:rPr>
      <w:rFonts w:hint="eastAsia" w:ascii="宋体" w:hAnsi="宋体" w:eastAsia="宋体" w:cs="宋体"/>
      <w:color w:val="404040"/>
      <w:sz w:val="20"/>
      <w:szCs w:val="20"/>
      <w:u w:val="none"/>
    </w:rPr>
  </w:style>
  <w:style w:type="character" w:customStyle="1" w:styleId="64">
    <w:name w:val="font61"/>
    <w:basedOn w:val="38"/>
    <w:autoRedefine/>
    <w:qFormat/>
    <w:uiPriority w:val="0"/>
    <w:rPr>
      <w:rFonts w:hint="eastAsia" w:ascii="宋体" w:hAnsi="宋体" w:eastAsia="宋体" w:cs="宋体"/>
      <w:color w:val="333333"/>
      <w:sz w:val="20"/>
      <w:szCs w:val="20"/>
      <w:u w:val="none"/>
    </w:rPr>
  </w:style>
  <w:style w:type="character" w:customStyle="1" w:styleId="65">
    <w:name w:val="页眉 字符"/>
    <w:link w:val="24"/>
    <w:autoRedefine/>
    <w:qFormat/>
    <w:uiPriority w:val="99"/>
    <w:rPr>
      <w:kern w:val="2"/>
      <w:sz w:val="18"/>
      <w:szCs w:val="18"/>
    </w:rPr>
  </w:style>
  <w:style w:type="character" w:customStyle="1" w:styleId="66">
    <w:name w:val="批注文字 Char1"/>
    <w:autoRedefine/>
    <w:qFormat/>
    <w:uiPriority w:val="99"/>
    <w:rPr>
      <w:kern w:val="2"/>
      <w:sz w:val="21"/>
      <w:szCs w:val="24"/>
    </w:rPr>
  </w:style>
  <w:style w:type="character" w:customStyle="1" w:styleId="67">
    <w:name w:val="font41"/>
    <w:basedOn w:val="38"/>
    <w:autoRedefine/>
    <w:qFormat/>
    <w:uiPriority w:val="0"/>
    <w:rPr>
      <w:rFonts w:hint="eastAsia" w:ascii="宋体" w:hAnsi="宋体" w:eastAsia="宋体" w:cs="宋体"/>
      <w:color w:val="000000"/>
      <w:sz w:val="20"/>
      <w:szCs w:val="20"/>
      <w:u w:val="none"/>
    </w:rPr>
  </w:style>
  <w:style w:type="character" w:customStyle="1" w:styleId="68">
    <w:name w:val="页脚 字符"/>
    <w:link w:val="23"/>
    <w:autoRedefine/>
    <w:qFormat/>
    <w:uiPriority w:val="99"/>
    <w:rPr>
      <w:rFonts w:ascii="宋体"/>
      <w:sz w:val="18"/>
    </w:rPr>
  </w:style>
  <w:style w:type="character" w:customStyle="1" w:styleId="69">
    <w:name w:val="font101"/>
    <w:basedOn w:val="38"/>
    <w:autoRedefine/>
    <w:qFormat/>
    <w:uiPriority w:val="0"/>
    <w:rPr>
      <w:rFonts w:hint="eastAsia" w:ascii="宋体" w:hAnsi="宋体" w:eastAsia="宋体" w:cs="宋体"/>
      <w:color w:val="000000"/>
      <w:sz w:val="20"/>
      <w:szCs w:val="20"/>
      <w:u w:val="none"/>
    </w:rPr>
  </w:style>
  <w:style w:type="character" w:customStyle="1" w:styleId="70">
    <w:name w:val="标题 2 字符"/>
    <w:link w:val="6"/>
    <w:autoRedefine/>
    <w:qFormat/>
    <w:uiPriority w:val="0"/>
    <w:rPr>
      <w:rFonts w:ascii="Arial" w:hAnsi="Arial" w:eastAsia="黑体"/>
      <w:b/>
      <w:sz w:val="30"/>
    </w:rPr>
  </w:style>
  <w:style w:type="character" w:customStyle="1" w:styleId="71">
    <w:name w:val="批注框文本 字符"/>
    <w:link w:val="22"/>
    <w:autoRedefine/>
    <w:qFormat/>
    <w:uiPriority w:val="0"/>
    <w:rPr>
      <w:kern w:val="2"/>
      <w:sz w:val="18"/>
      <w:szCs w:val="18"/>
    </w:rPr>
  </w:style>
  <w:style w:type="character" w:customStyle="1" w:styleId="72">
    <w:name w:val="纯文本 Char1"/>
    <w:link w:val="56"/>
    <w:autoRedefine/>
    <w:qFormat/>
    <w:uiPriority w:val="0"/>
    <w:rPr>
      <w:rFonts w:ascii="宋体" w:hAnsi="Courier New"/>
    </w:rPr>
  </w:style>
  <w:style w:type="character" w:customStyle="1" w:styleId="73">
    <w:name w:val="font81"/>
    <w:basedOn w:val="38"/>
    <w:autoRedefine/>
    <w:qFormat/>
    <w:uiPriority w:val="0"/>
    <w:rPr>
      <w:rFonts w:hint="eastAsia" w:ascii="宋体" w:hAnsi="宋体" w:eastAsia="宋体" w:cs="宋体"/>
      <w:color w:val="404040"/>
      <w:sz w:val="20"/>
      <w:szCs w:val="20"/>
      <w:u w:val="none"/>
    </w:rPr>
  </w:style>
  <w:style w:type="character" w:customStyle="1" w:styleId="74">
    <w:name w:val="文档结构图 字符"/>
    <w:basedOn w:val="38"/>
    <w:link w:val="11"/>
    <w:autoRedefine/>
    <w:qFormat/>
    <w:uiPriority w:val="0"/>
    <w:rPr>
      <w:rFonts w:ascii="宋体"/>
      <w:kern w:val="2"/>
      <w:sz w:val="18"/>
      <w:szCs w:val="18"/>
    </w:rPr>
  </w:style>
  <w:style w:type="character" w:customStyle="1" w:styleId="75">
    <w:name w:val="日期 字符"/>
    <w:link w:val="20"/>
    <w:autoRedefine/>
    <w:qFormat/>
    <w:uiPriority w:val="0"/>
    <w:rPr>
      <w:rFonts w:ascii="仿宋_GB2312" w:hAnsi="宋体" w:eastAsia="仿宋_GB2312"/>
      <w:color w:val="000000"/>
      <w:kern w:val="2"/>
      <w:sz w:val="24"/>
      <w:szCs w:val="24"/>
    </w:rPr>
  </w:style>
  <w:style w:type="character" w:customStyle="1" w:styleId="76">
    <w:name w:val="页眉 Char1"/>
    <w:autoRedefine/>
    <w:qFormat/>
    <w:uiPriority w:val="99"/>
    <w:rPr>
      <w:kern w:val="2"/>
      <w:sz w:val="18"/>
      <w:szCs w:val="18"/>
    </w:rPr>
  </w:style>
  <w:style w:type="character" w:customStyle="1" w:styleId="77">
    <w:name w:val="批注框文本 Char1"/>
    <w:autoRedefine/>
    <w:qFormat/>
    <w:uiPriority w:val="99"/>
    <w:rPr>
      <w:kern w:val="2"/>
      <w:sz w:val="18"/>
      <w:szCs w:val="18"/>
    </w:rPr>
  </w:style>
  <w:style w:type="character" w:customStyle="1" w:styleId="78">
    <w:name w:val="纯文本 字符"/>
    <w:link w:val="18"/>
    <w:autoRedefine/>
    <w:qFormat/>
    <w:uiPriority w:val="0"/>
    <w:rPr>
      <w:rFonts w:ascii="宋体" w:hAnsi="Courier New"/>
      <w:kern w:val="2"/>
      <w:sz w:val="21"/>
    </w:rPr>
  </w:style>
  <w:style w:type="character" w:customStyle="1" w:styleId="79">
    <w:name w:val="正文文本 字符"/>
    <w:link w:val="3"/>
    <w:autoRedefine/>
    <w:qFormat/>
    <w:uiPriority w:val="0"/>
    <w:rPr>
      <w:rFonts w:ascii="宋体" w:hAnsi="宋体"/>
      <w:kern w:val="2"/>
      <w:sz w:val="24"/>
      <w:szCs w:val="24"/>
    </w:rPr>
  </w:style>
  <w:style w:type="character" w:customStyle="1" w:styleId="80">
    <w:name w:val="批注文字 字符"/>
    <w:link w:val="13"/>
    <w:autoRedefine/>
    <w:qFormat/>
    <w:uiPriority w:val="99"/>
    <w:rPr>
      <w:kern w:val="2"/>
      <w:sz w:val="21"/>
      <w:szCs w:val="24"/>
    </w:rPr>
  </w:style>
  <w:style w:type="character" w:customStyle="1" w:styleId="81">
    <w:name w:val="批注主题 字符"/>
    <w:link w:val="34"/>
    <w:autoRedefine/>
    <w:qFormat/>
    <w:uiPriority w:val="0"/>
    <w:rPr>
      <w:b/>
      <w:bCs/>
      <w:kern w:val="2"/>
      <w:sz w:val="21"/>
      <w:szCs w:val="24"/>
    </w:rPr>
  </w:style>
  <w:style w:type="character" w:customStyle="1" w:styleId="82">
    <w:name w:val="标题 3 字符"/>
    <w:link w:val="7"/>
    <w:autoRedefine/>
    <w:qFormat/>
    <w:uiPriority w:val="0"/>
    <w:rPr>
      <w:rFonts w:ascii="宋体"/>
      <w:b/>
      <w:sz w:val="24"/>
      <w:u w:val="single"/>
    </w:rPr>
  </w:style>
  <w:style w:type="character" w:customStyle="1" w:styleId="83">
    <w:name w:val="标题 1 字符"/>
    <w:link w:val="5"/>
    <w:autoRedefine/>
    <w:qFormat/>
    <w:uiPriority w:val="0"/>
    <w:rPr>
      <w:rFonts w:ascii="宋体"/>
      <w:b/>
      <w:kern w:val="44"/>
      <w:sz w:val="32"/>
    </w:rPr>
  </w:style>
  <w:style w:type="paragraph" w:styleId="84">
    <w:name w:val="List Paragraph"/>
    <w:basedOn w:val="1"/>
    <w:autoRedefine/>
    <w:qFormat/>
    <w:uiPriority w:val="34"/>
    <w:pPr>
      <w:ind w:firstLine="420" w:firstLineChars="200"/>
    </w:pPr>
    <w:rPr>
      <w:rFonts w:ascii="Calibri" w:hAnsi="Calibri"/>
      <w:szCs w:val="22"/>
    </w:rPr>
  </w:style>
  <w:style w:type="paragraph" w:customStyle="1" w:styleId="85">
    <w:name w:val="样式 正文（首行缩进两字） + 首行缩进:  2 字符2"/>
    <w:basedOn w:val="10"/>
    <w:autoRedefine/>
    <w:qFormat/>
    <w:uiPriority w:val="0"/>
    <w:pPr>
      <w:spacing w:line="360" w:lineRule="auto"/>
      <w:ind w:firstLine="0"/>
      <w:textAlignment w:val="baseline"/>
    </w:pPr>
    <w:rPr>
      <w:rFonts w:hAnsi="宋体" w:eastAsia="楷体_GB2312" w:cs="宋体"/>
      <w:bCs/>
      <w:kern w:val="2"/>
      <w:sz w:val="21"/>
      <w:szCs w:val="21"/>
    </w:rPr>
  </w:style>
  <w:style w:type="paragraph" w:customStyle="1" w:styleId="86">
    <w:name w:val="PlainText"/>
    <w:basedOn w:val="1"/>
    <w:autoRedefine/>
    <w:qFormat/>
    <w:uiPriority w:val="0"/>
    <w:pPr>
      <w:textAlignment w:val="baseline"/>
    </w:pPr>
    <w:rPr>
      <w:rFonts w:ascii="宋体" w:hAnsi="Courier New"/>
      <w:szCs w:val="20"/>
    </w:rPr>
  </w:style>
  <w:style w:type="character" w:customStyle="1" w:styleId="87">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88">
    <w:name w:val="fontstyle01"/>
    <w:autoRedefine/>
    <w:qFormat/>
    <w:uiPriority w:val="0"/>
    <w:rPr>
      <w:rFonts w:hint="eastAsia" w:ascii="宋体" w:hAnsi="宋体" w:eastAsia="宋体"/>
      <w:color w:val="000000"/>
      <w:sz w:val="22"/>
      <w:szCs w:val="22"/>
    </w:rPr>
  </w:style>
  <w:style w:type="paragraph" w:customStyle="1" w:styleId="89">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90">
    <w:name w:val="font11"/>
    <w:basedOn w:val="38"/>
    <w:autoRedefine/>
    <w:qFormat/>
    <w:uiPriority w:val="0"/>
    <w:rPr>
      <w:rFonts w:hint="eastAsia" w:ascii="宋体" w:hAnsi="宋体" w:eastAsia="宋体" w:cs="宋体"/>
      <w:color w:val="000000"/>
      <w:sz w:val="18"/>
      <w:szCs w:val="18"/>
      <w:u w:val="none"/>
    </w:rPr>
  </w:style>
  <w:style w:type="character" w:customStyle="1" w:styleId="91">
    <w:name w:val="font71"/>
    <w:basedOn w:val="38"/>
    <w:autoRedefine/>
    <w:qFormat/>
    <w:uiPriority w:val="0"/>
    <w:rPr>
      <w:rFonts w:hint="eastAsia" w:ascii="宋体" w:hAnsi="宋体" w:eastAsia="宋体" w:cs="宋体"/>
      <w:color w:val="000000"/>
      <w:sz w:val="18"/>
      <w:szCs w:val="18"/>
      <w:u w:val="none"/>
    </w:rPr>
  </w:style>
  <w:style w:type="character" w:customStyle="1" w:styleId="92">
    <w:name w:val="font112"/>
    <w:basedOn w:val="38"/>
    <w:autoRedefine/>
    <w:qFormat/>
    <w:uiPriority w:val="0"/>
    <w:rPr>
      <w:rFonts w:hint="default" w:ascii="Calibri" w:hAnsi="Calibri" w:cs="Calibri"/>
      <w:color w:val="000000"/>
      <w:sz w:val="18"/>
      <w:szCs w:val="18"/>
      <w:u w:val="none"/>
    </w:rPr>
  </w:style>
  <w:style w:type="character" w:customStyle="1" w:styleId="93">
    <w:name w:val="font21"/>
    <w:basedOn w:val="38"/>
    <w:autoRedefine/>
    <w:qFormat/>
    <w:uiPriority w:val="0"/>
    <w:rPr>
      <w:rFonts w:hint="eastAsia" w:ascii="宋体" w:hAnsi="宋体" w:eastAsia="宋体" w:cs="宋体"/>
      <w:color w:val="000000"/>
      <w:sz w:val="12"/>
      <w:szCs w:val="12"/>
      <w:u w:val="none"/>
    </w:rPr>
  </w:style>
  <w:style w:type="paragraph" w:customStyle="1" w:styleId="94">
    <w:name w:val="正文首行缩进1"/>
    <w:basedOn w:val="3"/>
    <w:autoRedefine/>
    <w:qFormat/>
    <w:uiPriority w:val="0"/>
    <w:pPr>
      <w:spacing w:after="0"/>
      <w:ind w:right="-349" w:rightChars="-166" w:firstLine="420" w:firstLineChars="100"/>
    </w:pPr>
    <w:rPr>
      <w:rFonts w:eastAsia="仿宋_GB2312"/>
      <w:sz w:val="32"/>
    </w:rPr>
  </w:style>
  <w:style w:type="paragraph" w:customStyle="1" w:styleId="95">
    <w:name w:val="正文-公1"/>
    <w:basedOn w:val="96"/>
    <w:next w:val="24"/>
    <w:autoRedefine/>
    <w:qFormat/>
    <w:uiPriority w:val="0"/>
    <w:pPr>
      <w:ind w:firstLine="200" w:firstLineChars="200"/>
    </w:pPr>
    <w:rPr>
      <w:color w:val="000000"/>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5"/>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97">
    <w:name w:val="Table Normal"/>
    <w:autoRedefine/>
    <w:semiHidden/>
    <w:unhideWhenUsed/>
    <w:qFormat/>
    <w:uiPriority w:val="0"/>
    <w:tblPr>
      <w:tblCellMar>
        <w:top w:w="0" w:type="dxa"/>
        <w:left w:w="0" w:type="dxa"/>
        <w:bottom w:w="0" w:type="dxa"/>
        <w:right w:w="0" w:type="dxa"/>
      </w:tblCellMar>
    </w:tblPr>
  </w:style>
  <w:style w:type="paragraph" w:customStyle="1" w:styleId="98">
    <w:name w:val="采购一级"/>
    <w:autoRedefine/>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99">
    <w:name w:val="无间隔1"/>
    <w:autoRedefine/>
    <w:qFormat/>
    <w:uiPriority w:val="1"/>
    <w:pPr>
      <w:adjustRightInd w:val="0"/>
      <w:snapToGrid w:val="0"/>
    </w:pPr>
    <w:rPr>
      <w:rFonts w:ascii="Tahoma" w:hAnsi="Tahoma" w:eastAsia="微软雅黑" w:cs="Arial"/>
      <w:sz w:val="22"/>
      <w:szCs w:val="22"/>
      <w:lang w:val="en-US" w:eastAsia="zh-CN" w:bidi="ar-SA"/>
    </w:rPr>
  </w:style>
  <w:style w:type="paragraph" w:customStyle="1" w:styleId="100">
    <w:name w:val="标题 #1"/>
    <w:basedOn w:val="1"/>
    <w:autoRedefine/>
    <w:qFormat/>
    <w:uiPriority w:val="0"/>
    <w:pPr>
      <w:widowControl w:val="0"/>
      <w:shd w:val="clear" w:color="auto" w:fill="FFFFFF"/>
      <w:spacing w:after="1180"/>
      <w:ind w:left="1940"/>
      <w:outlineLvl w:val="0"/>
    </w:pPr>
    <w:rPr>
      <w:rFonts w:ascii="新宋体" w:hAnsi="新宋体" w:eastAsia="新宋体" w:cs="新宋体"/>
      <w:sz w:val="62"/>
      <w:szCs w:val="62"/>
      <w:u w:val="none"/>
      <w:lang w:val="zh-CN" w:eastAsia="zh-CN" w:bidi="zh-CN"/>
    </w:rPr>
  </w:style>
  <w:style w:type="paragraph" w:customStyle="1" w:styleId="101">
    <w:name w:val="Table Text"/>
    <w:basedOn w:val="1"/>
    <w:semiHidden/>
    <w:qFormat/>
    <w:uiPriority w:val="0"/>
    <w:rPr>
      <w:rFonts w:ascii="微软雅黑" w:hAnsi="微软雅黑" w:eastAsia="微软雅黑" w:cs="微软雅黑"/>
      <w:sz w:val="24"/>
      <w:szCs w:val="24"/>
      <w:lang w:val="en-US" w:eastAsia="en-US" w:bidi="ar-SA"/>
    </w:rPr>
  </w:style>
  <w:style w:type="character" w:customStyle="1" w:styleId="102">
    <w:name w:val="font51"/>
    <w:basedOn w:val="38"/>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16208</Words>
  <Characters>17215</Characters>
  <Lines>434</Lines>
  <Paragraphs>122</Paragraphs>
  <TotalTime>70</TotalTime>
  <ScaleCrop>false</ScaleCrop>
  <LinksUpToDate>false</LinksUpToDate>
  <CharactersWithSpaces>19137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Liiiing</cp:lastModifiedBy>
  <cp:lastPrinted>2026-05-14T13:23:00Z</cp:lastPrinted>
  <dcterms:modified xsi:type="dcterms:W3CDTF">2026-05-18T03:28:19Z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85A963DED5B247AEAF85D2EB1580A27A_13</vt:lpwstr>
  </property>
  <property fmtid="{D5CDD505-2E9C-101B-9397-08002B2CF9AE}" pid="4" name="KSOTemplateDocerSaveRecord">
    <vt:lpwstr>eyJoZGlkIjoiZWQ1Y2ZjYTVlYmQ2ZmEwYThhYmM5ZmM1YzZjMGE1NGYiLCJ1c2VySWQiOiIyNjk4NzY3MDkifQ==</vt:lpwstr>
  </property>
</Properties>
</file>