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0B001271">
      <w:pPr>
        <w:jc w:val="center"/>
        <w:rPr>
          <w:rFonts w:hint="eastAsia" w:ascii="宋体" w:hAnsi="宋体" w:eastAsia="宋体" w:cs="宋体"/>
          <w:b/>
          <w:bCs/>
          <w:color w:val="auto"/>
          <w:kern w:val="0"/>
          <w:sz w:val="60"/>
          <w:szCs w:val="60"/>
          <w:highlight w:val="none"/>
          <w:lang w:val="en-US" w:eastAsia="zh-CN"/>
        </w:rPr>
      </w:pPr>
      <w:r>
        <w:rPr>
          <w:rFonts w:hint="eastAsia" w:cs="宋体"/>
          <w:b/>
          <w:bCs/>
          <w:color w:val="auto"/>
          <w:kern w:val="0"/>
          <w:sz w:val="60"/>
          <w:szCs w:val="60"/>
          <w:highlight w:val="none"/>
          <w:lang w:val="en-US" w:eastAsia="zh-CN"/>
        </w:rPr>
        <w:t>乌鲁木齐市警务训练保障中心食堂餐饮服务项目</w:t>
      </w:r>
    </w:p>
    <w:p w14:paraId="294B26B0">
      <w:pPr>
        <w:pStyle w:val="38"/>
        <w:rPr>
          <w:rFonts w:hint="eastAsia" w:ascii="宋体" w:hAnsi="宋体" w:eastAsia="宋体" w:cs="宋体"/>
          <w:b/>
          <w:bCs/>
          <w:color w:val="auto"/>
          <w:kern w:val="0"/>
          <w:sz w:val="60"/>
          <w:szCs w:val="60"/>
          <w:highlight w:val="none"/>
          <w:lang w:val="en-US" w:eastAsia="zh-CN"/>
        </w:rPr>
      </w:pPr>
    </w:p>
    <w:p w14:paraId="44BC5AAE">
      <w:pPr>
        <w:pStyle w:val="38"/>
        <w:rPr>
          <w:rFonts w:hint="eastAsia" w:ascii="宋体" w:hAnsi="宋体" w:eastAsia="宋体" w:cs="宋体"/>
          <w:b/>
          <w:bCs/>
          <w:color w:val="auto"/>
          <w:kern w:val="0"/>
          <w:sz w:val="60"/>
          <w:szCs w:val="60"/>
          <w:highlight w:val="none"/>
          <w:lang w:val="en-US" w:eastAsia="zh-CN"/>
        </w:rPr>
      </w:pPr>
    </w:p>
    <w:p w14:paraId="01CD27AD">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招标文件</w:t>
      </w:r>
    </w:p>
    <w:p w14:paraId="7757DFAA">
      <w:pPr>
        <w:spacing w:line="240" w:lineRule="auto"/>
        <w:jc w:val="center"/>
        <w:rPr>
          <w:rFonts w:ascii="黑体" w:hAnsi="黑体" w:eastAsia="黑体"/>
          <w:color w:val="auto"/>
          <w:sz w:val="52"/>
          <w:szCs w:val="52"/>
          <w:highlight w:val="none"/>
        </w:rPr>
      </w:pPr>
    </w:p>
    <w:p w14:paraId="6E97F6A4">
      <w:pPr>
        <w:spacing w:line="240" w:lineRule="auto"/>
        <w:jc w:val="center"/>
        <w:rPr>
          <w:rFonts w:ascii="黑体" w:hAnsi="黑体" w:eastAsia="黑体"/>
          <w:color w:val="auto"/>
          <w:sz w:val="52"/>
          <w:szCs w:val="52"/>
          <w:highlight w:val="none"/>
        </w:rPr>
      </w:pPr>
    </w:p>
    <w:p w14:paraId="6CF17021">
      <w:pPr>
        <w:spacing w:line="240" w:lineRule="auto"/>
        <w:jc w:val="center"/>
        <w:rPr>
          <w:rFonts w:ascii="黑体" w:hAnsi="黑体" w:eastAsia="黑体"/>
          <w:color w:val="auto"/>
          <w:sz w:val="52"/>
          <w:szCs w:val="52"/>
          <w:highlight w:val="none"/>
        </w:rPr>
      </w:pPr>
    </w:p>
    <w:p w14:paraId="4C0A4F3A">
      <w:pPr>
        <w:spacing w:line="240" w:lineRule="auto"/>
        <w:jc w:val="center"/>
        <w:rPr>
          <w:rFonts w:ascii="黑体" w:hAnsi="黑体" w:eastAsia="黑体"/>
          <w:color w:val="auto"/>
          <w:sz w:val="52"/>
          <w:szCs w:val="52"/>
          <w:highlight w:val="none"/>
        </w:rPr>
      </w:pPr>
    </w:p>
    <w:p w14:paraId="5B5CFFCE">
      <w:pPr>
        <w:ind w:left="420" w:leftChars="175"/>
        <w:jc w:val="left"/>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项目编号：</w:t>
      </w:r>
      <w:r>
        <w:rPr>
          <w:rFonts w:hint="eastAsia" w:cs="宋体"/>
          <w:color w:val="auto"/>
          <w:sz w:val="36"/>
          <w:szCs w:val="36"/>
          <w:highlight w:val="none"/>
          <w:u w:val="none"/>
          <w:lang w:val="en-US" w:eastAsia="zh-CN"/>
        </w:rPr>
        <w:t>XSY-2026-Z-087</w:t>
      </w:r>
      <w:r>
        <w:rPr>
          <w:rFonts w:hint="eastAsia" w:ascii="宋体" w:hAnsi="宋体" w:eastAsia="宋体" w:cs="宋体"/>
          <w:color w:val="auto"/>
          <w:sz w:val="36"/>
          <w:szCs w:val="36"/>
          <w:highlight w:val="none"/>
          <w:u w:val="none"/>
        </w:rPr>
        <w:t xml:space="preserve"> </w:t>
      </w:r>
      <w:r>
        <w:rPr>
          <w:rFonts w:hint="eastAsia" w:ascii="宋体" w:hAnsi="宋体" w:eastAsia="宋体" w:cs="宋体"/>
          <w:color w:val="auto"/>
          <w:sz w:val="36"/>
          <w:szCs w:val="36"/>
          <w:highlight w:val="none"/>
          <w:u w:val="none"/>
          <w:lang w:val="en-US" w:eastAsia="zh-CN"/>
        </w:rPr>
        <w:t xml:space="preserve"> </w:t>
      </w:r>
      <w:r>
        <w:rPr>
          <w:rFonts w:hint="eastAsia" w:ascii="宋体" w:hAnsi="宋体" w:eastAsia="宋体" w:cs="宋体"/>
          <w:color w:val="auto"/>
          <w:sz w:val="36"/>
          <w:szCs w:val="36"/>
          <w:highlight w:val="none"/>
          <w:u w:val="none"/>
        </w:rPr>
        <w:t xml:space="preserve">      </w:t>
      </w:r>
      <w:r>
        <w:rPr>
          <w:rFonts w:hint="eastAsia" w:cs="宋体"/>
          <w:color w:val="auto"/>
          <w:sz w:val="36"/>
          <w:szCs w:val="36"/>
          <w:highlight w:val="none"/>
          <w:u w:val="none"/>
          <w:lang w:val="en-US" w:eastAsia="zh-CN"/>
        </w:rPr>
        <w:t xml:space="preserve">     </w:t>
      </w:r>
      <w:r>
        <w:rPr>
          <w:rFonts w:hint="eastAsia" w:ascii="宋体" w:hAnsi="宋体" w:eastAsia="宋体" w:cs="宋体"/>
          <w:color w:val="auto"/>
          <w:sz w:val="36"/>
          <w:szCs w:val="36"/>
          <w:highlight w:val="none"/>
          <w:u w:val="none"/>
        </w:rPr>
        <w:t xml:space="preserve">            </w:t>
      </w:r>
    </w:p>
    <w:p w14:paraId="099C4CDE">
      <w:pPr>
        <w:ind w:left="2220" w:leftChars="175" w:hanging="1800" w:hangingChars="500"/>
        <w:jc w:val="left"/>
        <w:rPr>
          <w:rFonts w:hint="eastAsia" w:ascii="宋体" w:hAnsi="宋体" w:eastAsia="宋体" w:cs="宋体"/>
          <w:color w:val="auto"/>
          <w:sz w:val="36"/>
          <w:szCs w:val="36"/>
          <w:highlight w:val="none"/>
          <w:u w:val="none"/>
          <w:lang w:eastAsia="zh-CN"/>
        </w:rPr>
      </w:pPr>
      <w:r>
        <w:rPr>
          <w:rFonts w:hint="eastAsia" w:ascii="宋体" w:hAnsi="宋体" w:eastAsia="宋体" w:cs="宋体"/>
          <w:color w:val="auto"/>
          <w:sz w:val="36"/>
          <w:szCs w:val="36"/>
          <w:highlight w:val="none"/>
          <w:u w:val="none"/>
        </w:rPr>
        <w:t>项目名称：</w:t>
      </w:r>
      <w:r>
        <w:rPr>
          <w:rFonts w:hint="eastAsia" w:cs="宋体"/>
          <w:color w:val="auto"/>
          <w:sz w:val="36"/>
          <w:szCs w:val="36"/>
          <w:highlight w:val="none"/>
          <w:u w:val="none"/>
          <w:lang w:eastAsia="zh-CN"/>
        </w:rPr>
        <w:t>乌鲁木齐市警务训练保障中心食堂餐饮服务项目</w:t>
      </w:r>
    </w:p>
    <w:p w14:paraId="316ED0D4">
      <w:pPr>
        <w:ind w:left="2220" w:leftChars="175" w:hanging="1800" w:hangingChars="500"/>
        <w:jc w:val="left"/>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w:t>
      </w:r>
      <w:r>
        <w:rPr>
          <w:rFonts w:hint="eastAsia" w:cs="宋体"/>
          <w:color w:val="auto"/>
          <w:sz w:val="36"/>
          <w:szCs w:val="36"/>
          <w:highlight w:val="none"/>
          <w:u w:val="none"/>
          <w:lang w:val="en-US" w:eastAsia="zh-CN"/>
        </w:rPr>
        <w:t xml:space="preserve"> </w:t>
      </w:r>
      <w:r>
        <w:rPr>
          <w:rFonts w:hint="eastAsia" w:ascii="宋体" w:hAnsi="宋体" w:eastAsia="宋体" w:cs="宋体"/>
          <w:color w:val="auto"/>
          <w:sz w:val="36"/>
          <w:szCs w:val="36"/>
          <w:highlight w:val="none"/>
          <w:u w:val="none"/>
        </w:rPr>
        <w:t>购</w:t>
      </w:r>
      <w:r>
        <w:rPr>
          <w:rFonts w:hint="eastAsia" w:cs="宋体"/>
          <w:color w:val="auto"/>
          <w:sz w:val="36"/>
          <w:szCs w:val="36"/>
          <w:highlight w:val="none"/>
          <w:u w:val="none"/>
          <w:lang w:val="en-US" w:eastAsia="zh-CN"/>
        </w:rPr>
        <w:t xml:space="preserve"> </w:t>
      </w:r>
      <w:r>
        <w:rPr>
          <w:rFonts w:hint="eastAsia" w:ascii="宋体" w:hAnsi="宋体" w:eastAsia="宋体" w:cs="宋体"/>
          <w:color w:val="auto"/>
          <w:sz w:val="36"/>
          <w:szCs w:val="36"/>
          <w:highlight w:val="none"/>
          <w:u w:val="none"/>
        </w:rPr>
        <w:t>人：</w:t>
      </w:r>
      <w:r>
        <w:rPr>
          <w:rFonts w:hint="eastAsia" w:cs="宋体"/>
          <w:color w:val="auto"/>
          <w:sz w:val="36"/>
          <w:szCs w:val="36"/>
          <w:highlight w:val="none"/>
          <w:u w:val="none"/>
          <w:lang w:eastAsia="zh-CN"/>
        </w:rPr>
        <w:t>乌鲁木齐市警务训练保障中心</w:t>
      </w:r>
      <w:r>
        <w:rPr>
          <w:rFonts w:hint="eastAsia" w:ascii="宋体" w:hAnsi="宋体" w:eastAsia="宋体" w:cs="宋体"/>
          <w:color w:val="auto"/>
          <w:sz w:val="36"/>
          <w:szCs w:val="36"/>
          <w:highlight w:val="none"/>
          <w:u w:val="none"/>
        </w:rPr>
        <w:t xml:space="preserve">                           </w:t>
      </w:r>
    </w:p>
    <w:p w14:paraId="3B2CDAF9">
      <w:pPr>
        <w:ind w:left="420" w:leftChars="175"/>
        <w:jc w:val="left"/>
        <w:rPr>
          <w:rFonts w:hint="eastAsia" w:ascii="黑体" w:hAnsi="黑体" w:eastAsia="黑体"/>
          <w:color w:val="auto"/>
          <w:sz w:val="48"/>
          <w:szCs w:val="48"/>
          <w:highlight w:val="none"/>
        </w:rPr>
      </w:pPr>
      <w:r>
        <w:rPr>
          <w:rFonts w:hint="eastAsia" w:ascii="宋体" w:hAnsi="宋体" w:eastAsia="宋体" w:cs="宋体"/>
          <w:color w:val="auto"/>
          <w:sz w:val="36"/>
          <w:szCs w:val="36"/>
          <w:highlight w:val="none"/>
          <w:u w:val="none"/>
        </w:rPr>
        <w:t>采购代理机构：</w:t>
      </w:r>
      <w:r>
        <w:rPr>
          <w:rFonts w:hint="eastAsia" w:ascii="宋体" w:hAnsi="宋体" w:eastAsia="宋体" w:cs="宋体"/>
          <w:color w:val="auto"/>
          <w:sz w:val="36"/>
          <w:szCs w:val="36"/>
          <w:highlight w:val="none"/>
          <w:u w:val="none"/>
          <w:lang w:val="en-US" w:eastAsia="zh-CN"/>
        </w:rPr>
        <w:t>新疆星圣源工程项目管理有限公司</w:t>
      </w:r>
      <w:r>
        <w:rPr>
          <w:rFonts w:hint="eastAsia" w:ascii="宋体" w:hAnsi="宋体" w:eastAsia="宋体" w:cs="宋体"/>
          <w:color w:val="auto"/>
          <w:sz w:val="36"/>
          <w:szCs w:val="36"/>
          <w:highlight w:val="none"/>
          <w:u w:val="none"/>
        </w:rPr>
        <w:t xml:space="preserve"> </w:t>
      </w:r>
      <w:r>
        <w:rPr>
          <w:rFonts w:hint="eastAsia" w:ascii="宋体" w:hAnsi="宋体" w:eastAsia="宋体" w:cs="宋体"/>
          <w:color w:val="auto"/>
          <w:sz w:val="36"/>
          <w:szCs w:val="36"/>
          <w:highlight w:val="none"/>
          <w:u w:val="single"/>
        </w:rPr>
        <w:t xml:space="preserve">                    </w:t>
      </w:r>
    </w:p>
    <w:p w14:paraId="37F5A74A">
      <w:pPr>
        <w:jc w:val="center"/>
        <w:rPr>
          <w:rFonts w:hint="eastAsia" w:ascii="宋体" w:hAnsi="宋体" w:eastAsia="宋体" w:cs="宋体"/>
          <w:b/>
          <w:bCs/>
          <w:color w:val="auto"/>
          <w:sz w:val="36"/>
          <w:szCs w:val="36"/>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21EDF478">
      <w:pPr>
        <w:pStyle w:val="22"/>
        <w:tabs>
          <w:tab w:val="right" w:leader="dot" w:pos="8306"/>
        </w:tabs>
        <w:rPr>
          <w:rFonts w:hint="eastAsia" w:ascii="宋体" w:hAnsi="宋体" w:eastAsia="宋体" w:cs="宋体"/>
          <w:sz w:val="24"/>
          <w:szCs w:val="24"/>
        </w:rPr>
      </w:pPr>
      <w:bookmarkStart w:id="0" w:name="_Toc155185859"/>
      <w:bookmarkStart w:id="1" w:name="_Toc10815"/>
      <w:bookmarkStart w:id="2" w:name="_Hlk13045831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_Toc12662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_Toc12662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4CAB328">
      <w:pPr>
        <w:pStyle w:val="22"/>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_Toc25004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_Toc25004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F129883">
      <w:pPr>
        <w:pStyle w:val="22"/>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_Toc10997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_Toc10997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4898EBC">
      <w:pPr>
        <w:pStyle w:val="22"/>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_Toc24328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_Toc24328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06A533B">
      <w:pPr>
        <w:pStyle w:val="22"/>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_Toc31225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_Toc31225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71FDEB1">
      <w:pPr>
        <w:pStyle w:val="22"/>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_Toc3803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_Toc3803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5C621FF">
      <w:pPr>
        <w:pStyle w:val="22"/>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_Toc15749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_Toc15749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374DAF0">
      <w:pPr>
        <w:keepNext w:val="0"/>
        <w:keepLines w:val="0"/>
        <w:pageBreakBefore w:val="0"/>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3" w:name="_Toc14348"/>
      <w:bookmarkStart w:id="681" w:name="_GoBack"/>
      <w:bookmarkEnd w:id="681"/>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4" w:name="_Toc12662"/>
      <w:r>
        <w:rPr>
          <w:rFonts w:hint="eastAsia" w:ascii="宋体" w:hAnsi="宋体" w:eastAsia="宋体" w:cs="宋体"/>
          <w:b/>
          <w:bCs/>
          <w:color w:val="auto"/>
          <w:kern w:val="44"/>
          <w:sz w:val="36"/>
          <w:szCs w:val="36"/>
          <w:highlight w:val="none"/>
          <w:lang w:val="en-US" w:eastAsia="zh-CN" w:bidi="ar-SA"/>
        </w:rPr>
        <w:t xml:space="preserve">第一章 </w:t>
      </w:r>
      <w:bookmarkEnd w:id="0"/>
      <w:r>
        <w:rPr>
          <w:rFonts w:hint="eastAsia" w:ascii="宋体" w:hAnsi="宋体" w:eastAsia="宋体" w:cs="宋体"/>
          <w:color w:val="auto"/>
          <w:sz w:val="36"/>
          <w:szCs w:val="36"/>
          <w:highlight w:val="none"/>
          <w:lang w:val="en-US" w:eastAsia="zh-CN"/>
        </w:rPr>
        <w:t>招标公告</w:t>
      </w:r>
      <w:bookmarkEnd w:id="1"/>
      <w:bookmarkEnd w:id="3"/>
      <w:bookmarkEnd w:id="4"/>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552"/>
            <w:bookmarkStart w:id="6" w:name="_Toc10915"/>
            <w:bookmarkStart w:id="7" w:name="_Toc28359089"/>
            <w:bookmarkStart w:id="8" w:name="_Toc35393629"/>
            <w:bookmarkStart w:id="9" w:name="_Toc44583628"/>
            <w:bookmarkStart w:id="10" w:name="_Toc109900248"/>
            <w:bookmarkStart w:id="11" w:name="_Toc140132745"/>
            <w:bookmarkStart w:id="12" w:name="_Toc109899829"/>
            <w:bookmarkStart w:id="13" w:name="_Toc109899410"/>
            <w:bookmarkStart w:id="14" w:name="_Toc155185860"/>
            <w:bookmarkStart w:id="15" w:name="_Toc35393798"/>
            <w:bookmarkStart w:id="16" w:name="_Toc28359012"/>
            <w:r>
              <w:rPr>
                <w:rFonts w:hint="eastAsia"/>
                <w:color w:val="auto"/>
                <w:sz w:val="24"/>
                <w:szCs w:val="24"/>
                <w:highlight w:val="none"/>
                <w:lang w:val="en-US" w:eastAsia="zh-CN"/>
              </w:rPr>
              <w:t>项目概况：</w:t>
            </w:r>
            <w:bookmarkEnd w:id="5"/>
            <w:bookmarkEnd w:id="6"/>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乌鲁木齐市警务训练保障中心食堂餐饮服务项目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05月06日16时00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7" w:name="_Toc1290"/>
      <w:bookmarkStart w:id="18" w:name="_Toc25986"/>
      <w:r>
        <w:rPr>
          <w:rFonts w:hint="eastAsia" w:ascii="宋体" w:hAnsi="宋体" w:eastAsia="宋体" w:cs="宋体"/>
          <w:b/>
          <w:bCs/>
          <w:color w:val="auto"/>
          <w:kern w:val="2"/>
          <w:sz w:val="24"/>
          <w:szCs w:val="24"/>
          <w:highlight w:val="none"/>
          <w:lang w:val="hr-HR" w:eastAsia="zh-CN" w:bidi="ar-SA"/>
        </w:rPr>
        <w:t>一、项目基本情况</w:t>
      </w:r>
      <w:bookmarkEnd w:id="7"/>
      <w:bookmarkEnd w:id="8"/>
      <w:bookmarkEnd w:id="9"/>
      <w:bookmarkEnd w:id="10"/>
      <w:bookmarkEnd w:id="11"/>
      <w:bookmarkEnd w:id="12"/>
      <w:bookmarkEnd w:id="13"/>
      <w:bookmarkEnd w:id="14"/>
      <w:bookmarkEnd w:id="15"/>
      <w:bookmarkEnd w:id="16"/>
      <w:bookmarkEnd w:id="17"/>
      <w:bookmarkEnd w:id="18"/>
    </w:p>
    <w:p w14:paraId="590E39A6">
      <w:pPr>
        <w:pStyle w:val="41"/>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hr-HR"/>
        </w:rPr>
        <w:t>1.项目编号：</w:t>
      </w:r>
      <w:r>
        <w:rPr>
          <w:rFonts w:hint="eastAsia" w:cs="宋体"/>
          <w:color w:val="auto"/>
          <w:sz w:val="24"/>
          <w:szCs w:val="24"/>
          <w:highlight w:val="none"/>
          <w:u w:val="none"/>
          <w:lang w:val="en-US" w:eastAsia="zh-CN"/>
        </w:rPr>
        <w:t>XSY-2026-Z-087</w:t>
      </w:r>
      <w:r>
        <w:rPr>
          <w:rFonts w:hint="eastAsia" w:ascii="宋体" w:hAnsi="宋体" w:eastAsia="宋体" w:cs="宋体"/>
          <w:color w:val="auto"/>
          <w:sz w:val="24"/>
          <w:szCs w:val="24"/>
          <w:highlight w:val="none"/>
          <w:u w:val="none"/>
          <w:lang w:val="hr-HR"/>
        </w:rPr>
        <w:t xml:space="preserve"> </w:t>
      </w:r>
    </w:p>
    <w:p w14:paraId="544AA4B7">
      <w:pPr>
        <w:pStyle w:val="41"/>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hr-HR"/>
        </w:rPr>
        <w:t>.项目名称：</w:t>
      </w:r>
      <w:r>
        <w:rPr>
          <w:rFonts w:hint="eastAsia" w:cs="宋体"/>
          <w:color w:val="auto"/>
          <w:sz w:val="24"/>
          <w:szCs w:val="24"/>
          <w:highlight w:val="none"/>
          <w:u w:val="none"/>
          <w:lang w:eastAsia="zh-CN"/>
        </w:rPr>
        <w:t>乌鲁木齐市警务训练保障中心食堂餐饮服务项目</w:t>
      </w:r>
      <w:r>
        <w:rPr>
          <w:rFonts w:hint="eastAsia" w:ascii="宋体" w:hAnsi="宋体" w:eastAsia="宋体" w:cs="宋体"/>
          <w:color w:val="auto"/>
          <w:sz w:val="24"/>
          <w:szCs w:val="24"/>
          <w:highlight w:val="none"/>
          <w:u w:val="none"/>
          <w:lang w:val="hr-HR"/>
        </w:rPr>
        <w:t xml:space="preserve"> </w:t>
      </w:r>
    </w:p>
    <w:p w14:paraId="3CE35A7E">
      <w:pPr>
        <w:pStyle w:val="41"/>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.采购方式：公开招标</w:t>
      </w:r>
    </w:p>
    <w:p w14:paraId="78A90596">
      <w:pPr>
        <w:pStyle w:val="41"/>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hr-HR"/>
        </w:rPr>
        <w:t>.</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lang w:val="hr-HR"/>
        </w:rPr>
        <w:t>预算金额：</w:t>
      </w:r>
      <w:r>
        <w:rPr>
          <w:rFonts w:hint="eastAsia" w:cs="宋体"/>
          <w:color w:val="auto"/>
          <w:sz w:val="24"/>
          <w:szCs w:val="24"/>
          <w:highlight w:val="none"/>
          <w:u w:val="none"/>
          <w:lang w:val="en-US" w:eastAsia="zh-CN"/>
        </w:rPr>
        <w:t>206</w:t>
      </w:r>
      <w:r>
        <w:rPr>
          <w:rFonts w:hint="eastAsia" w:ascii="宋体" w:hAnsi="宋体" w:eastAsia="宋体" w:cs="宋体"/>
          <w:color w:val="auto"/>
          <w:sz w:val="24"/>
          <w:szCs w:val="24"/>
          <w:highlight w:val="none"/>
          <w:u w:val="none"/>
          <w:lang w:val="hr-HR"/>
        </w:rPr>
        <w:t>万元</w:t>
      </w:r>
    </w:p>
    <w:p w14:paraId="7851BE2C">
      <w:pPr>
        <w:pStyle w:val="41"/>
        <w:spacing w:line="360" w:lineRule="auto"/>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hr-HR"/>
        </w:rPr>
        <w:t>.</w:t>
      </w:r>
      <w:r>
        <w:rPr>
          <w:rFonts w:hint="eastAsia" w:ascii="宋体" w:hAnsi="宋体" w:eastAsia="宋体" w:cs="宋体"/>
          <w:color w:val="auto"/>
          <w:sz w:val="24"/>
          <w:szCs w:val="24"/>
          <w:highlight w:val="none"/>
          <w:u w:val="none"/>
        </w:rPr>
        <w:t>最高限价</w:t>
      </w:r>
      <w:r>
        <w:rPr>
          <w:rFonts w:hint="eastAsia" w:ascii="宋体" w:hAnsi="宋体" w:eastAsia="宋体" w:cs="宋体"/>
          <w:color w:val="auto"/>
          <w:sz w:val="24"/>
          <w:szCs w:val="24"/>
          <w:highlight w:val="none"/>
          <w:u w:val="none"/>
          <w:lang w:val="hr-HR"/>
        </w:rPr>
        <w:t>：</w:t>
      </w:r>
      <w:r>
        <w:rPr>
          <w:rFonts w:hint="eastAsia" w:cs="宋体"/>
          <w:color w:val="auto"/>
          <w:sz w:val="24"/>
          <w:szCs w:val="24"/>
          <w:highlight w:val="none"/>
          <w:u w:val="none"/>
          <w:lang w:val="en-US" w:eastAsia="zh-CN"/>
        </w:rPr>
        <w:t>206</w:t>
      </w:r>
      <w:r>
        <w:rPr>
          <w:rFonts w:hint="eastAsia" w:ascii="宋体" w:hAnsi="宋体" w:eastAsia="宋体" w:cs="宋体"/>
          <w:color w:val="auto"/>
          <w:sz w:val="24"/>
          <w:szCs w:val="24"/>
          <w:highlight w:val="none"/>
          <w:u w:val="none"/>
        </w:rPr>
        <w:t>万元</w:t>
      </w:r>
    </w:p>
    <w:p w14:paraId="242750DC">
      <w:pPr>
        <w:pStyle w:val="41"/>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color w:val="auto"/>
          <w:sz w:val="24"/>
          <w:szCs w:val="24"/>
          <w:highlight w:val="none"/>
          <w:lang w:val="hr-HR" w:eastAsia="zh-CN"/>
        </w:rPr>
        <w:t>食堂餐饮服务</w:t>
      </w:r>
      <w:r>
        <w:rPr>
          <w:rFonts w:hint="eastAsia" w:cs="宋体"/>
          <w:color w:val="auto"/>
          <w:sz w:val="24"/>
          <w:szCs w:val="24"/>
          <w:highlight w:val="none"/>
          <w:u w:val="none"/>
          <w:lang w:eastAsia="zh-CN"/>
        </w:rPr>
        <w:t>，具体详见招标文件第三章</w:t>
      </w:r>
      <w:r>
        <w:rPr>
          <w:rFonts w:hint="eastAsia" w:cs="宋体"/>
          <w:color w:val="auto"/>
          <w:sz w:val="24"/>
          <w:szCs w:val="24"/>
          <w:highlight w:val="none"/>
          <w:u w:val="none"/>
          <w:lang w:val="en-US" w:eastAsia="zh-CN"/>
        </w:rPr>
        <w:t xml:space="preserve"> 采购需求</w:t>
      </w:r>
      <w:r>
        <w:rPr>
          <w:rFonts w:hint="eastAsia" w:ascii="宋体" w:hAnsi="宋体" w:eastAsia="宋体" w:cs="宋体"/>
          <w:color w:val="auto"/>
          <w:sz w:val="24"/>
          <w:szCs w:val="24"/>
          <w:highlight w:val="none"/>
          <w:lang w:val="en-US" w:eastAsia="zh-CN"/>
        </w:rPr>
        <w:t>。</w:t>
      </w:r>
    </w:p>
    <w:p w14:paraId="435940B4">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cs="宋体"/>
          <w:color w:val="auto"/>
          <w:sz w:val="24"/>
          <w:szCs w:val="24"/>
          <w:highlight w:val="none"/>
          <w:lang w:val="en-US" w:eastAsia="zh-CN"/>
        </w:rPr>
        <w:t>履约</w:t>
      </w:r>
      <w:r>
        <w:rPr>
          <w:rFonts w:hint="eastAsia" w:ascii="宋体" w:hAnsi="宋体" w:eastAsia="宋体" w:cs="宋体"/>
          <w:color w:val="auto"/>
          <w:sz w:val="24"/>
          <w:szCs w:val="24"/>
          <w:highlight w:val="none"/>
        </w:rPr>
        <w:t>期限：本项目服务期为1年，合同一年一签。合同期满后，采购人将依据中标人年度服务考核结果、项目实际需求及预算情况，决定是否续签后续年度合同，单次续签期限不超过1年。考核不合格的，采购人有权不予续签。</w:t>
      </w:r>
      <w:bookmarkStart w:id="19" w:name="_Toc35393630"/>
      <w:bookmarkStart w:id="20" w:name="_Toc28359090"/>
      <w:bookmarkStart w:id="21" w:name="_Toc28359013"/>
      <w:bookmarkStart w:id="22" w:name="_Toc44583629"/>
      <w:bookmarkStart w:id="23" w:name="_Toc35393799"/>
    </w:p>
    <w:p w14:paraId="4B098642">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bookmarkStart w:id="24" w:name="_Hlk162011358"/>
      <w:r>
        <w:rPr>
          <w:rFonts w:hint="eastAsia" w:ascii="宋体" w:hAnsi="宋体" w:eastAsia="宋体" w:cs="宋体"/>
          <w:color w:val="auto"/>
          <w:sz w:val="24"/>
          <w:szCs w:val="24"/>
          <w:highlight w:val="none"/>
          <w:lang w:val="en-US" w:eastAsia="zh-CN"/>
        </w:rPr>
        <w:t>本项目是否接受联合体投标：</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是</w:t>
      </w:r>
      <w:bookmarkEnd w:id="24"/>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5" w:name="_Toc140132746"/>
      <w:bookmarkStart w:id="26" w:name="_Toc155185861"/>
      <w:bookmarkStart w:id="27" w:name="_Toc109899411"/>
      <w:bookmarkStart w:id="28" w:name="_Toc17974"/>
      <w:bookmarkStart w:id="29" w:name="_Toc109899830"/>
      <w:bookmarkStart w:id="30" w:name="_Toc109900249"/>
      <w:bookmarkStart w:id="31" w:name="_Toc20613"/>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9"/>
      <w:bookmarkEnd w:id="20"/>
      <w:bookmarkEnd w:id="21"/>
      <w:bookmarkEnd w:id="22"/>
      <w:bookmarkEnd w:id="23"/>
      <w:bookmarkEnd w:id="25"/>
      <w:bookmarkEnd w:id="26"/>
      <w:bookmarkEnd w:id="27"/>
      <w:bookmarkEnd w:id="28"/>
      <w:bookmarkEnd w:id="29"/>
      <w:bookmarkEnd w:id="30"/>
      <w:bookmarkEnd w:id="3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2" w:name="_Hlk89807755"/>
      <w:bookmarkStart w:id="33" w:name="_Toc28359091"/>
      <w:bookmarkStart w:id="34" w:name="_Toc35393631"/>
      <w:bookmarkStart w:id="35" w:name="_Toc44583630"/>
      <w:bookmarkStart w:id="36" w:name="_Toc28359014"/>
      <w:bookmarkStart w:id="37" w:name="_Toc35393800"/>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本项目</w:t>
      </w:r>
      <w:r>
        <w:rPr>
          <w:rFonts w:hint="eastAsia" w:ascii="宋体" w:hAnsi="宋体" w:eastAsia="宋体" w:cs="宋体"/>
          <w:color w:val="auto"/>
          <w:sz w:val="24"/>
          <w:highlight w:val="none"/>
          <w:u w:val="none"/>
          <w:lang w:val="en-US" w:eastAsia="zh-CN"/>
        </w:rPr>
        <w:t>专门面向</w:t>
      </w:r>
      <w:r>
        <w:rPr>
          <w:rFonts w:hint="eastAsia" w:cs="宋体"/>
          <w:color w:val="auto"/>
          <w:sz w:val="24"/>
          <w:highlight w:val="none"/>
          <w:u w:val="none"/>
          <w:lang w:val="en-US" w:eastAsia="zh-CN"/>
        </w:rPr>
        <w:t>小微</w:t>
      </w:r>
      <w:r>
        <w:rPr>
          <w:rFonts w:hint="eastAsia" w:ascii="宋体" w:hAnsi="宋体" w:eastAsia="宋体" w:cs="宋体"/>
          <w:color w:val="auto"/>
          <w:sz w:val="24"/>
          <w:highlight w:val="none"/>
          <w:u w:val="none"/>
          <w:lang w:val="en-US" w:eastAsia="zh-CN"/>
        </w:rPr>
        <w:t>企业。</w:t>
      </w:r>
    </w:p>
    <w:p w14:paraId="0BB853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521A2358">
      <w:pPr>
        <w:spacing w:line="360" w:lineRule="auto"/>
        <w:ind w:firstLine="720" w:firstLineChars="300"/>
        <w:rPr>
          <w:rFonts w:hint="eastAsia"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）具有有效的《食品经营许可证》（主体业态须包含：餐饮服务经营者）</w:t>
      </w:r>
      <w:r>
        <w:rPr>
          <w:rFonts w:hint="eastAsia" w:cs="宋体"/>
          <w:color w:val="auto"/>
          <w:sz w:val="24"/>
          <w:szCs w:val="24"/>
          <w:highlight w:val="none"/>
          <w:u w:val="none"/>
          <w:lang w:val="en-US" w:eastAsia="zh-CN"/>
        </w:rPr>
        <w:t>；</w:t>
      </w:r>
    </w:p>
    <w:p w14:paraId="28E81252">
      <w:pPr>
        <w:spacing w:line="360" w:lineRule="auto"/>
        <w:ind w:firstLine="720" w:firstLineChars="300"/>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与招标人存在利害关系可能影响招标公正性的法定代表人、其他组织或者个人，不得参加投标</w:t>
      </w:r>
      <w:r>
        <w:rPr>
          <w:rFonts w:hint="eastAsia" w:cs="宋体"/>
          <w:color w:val="auto"/>
          <w:sz w:val="24"/>
          <w:szCs w:val="24"/>
          <w:highlight w:val="none"/>
          <w:u w:val="none"/>
          <w:lang w:val="en-US" w:eastAsia="zh-CN"/>
        </w:rPr>
        <w:t>；</w:t>
      </w:r>
    </w:p>
    <w:p w14:paraId="12BDC41C">
      <w:pPr>
        <w:spacing w:line="360" w:lineRule="auto"/>
        <w:ind w:firstLine="720" w:firstLineChars="3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单位负责人为同一人或者存在控股、管理关系的不同单位，不得参加同一合同项下的同一招标项目投标。违反上述两款规定的，相关投标均无效；</w:t>
      </w:r>
    </w:p>
    <w:bookmarkEnd w:id="32"/>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8" w:name="_Toc155185862"/>
      <w:bookmarkStart w:id="39" w:name="_Toc140132747"/>
      <w:bookmarkStart w:id="40" w:name="_Toc24509"/>
      <w:bookmarkStart w:id="41" w:name="_Toc109899412"/>
      <w:bookmarkStart w:id="42" w:name="_Toc109899831"/>
      <w:bookmarkStart w:id="43" w:name="_Toc109900250"/>
      <w:bookmarkStart w:id="44" w:name="_Toc1905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eastAsia="宋体" w:cs="宋体"/>
          <w:b/>
          <w:bCs/>
          <w:color w:val="auto"/>
          <w:kern w:val="2"/>
          <w:sz w:val="24"/>
          <w:szCs w:val="24"/>
          <w:highlight w:val="none"/>
          <w:lang w:val="hr-HR" w:eastAsia="zh-CN" w:bidi="ar-SA"/>
        </w:rPr>
        <w:t xml:space="preserve"> </w:t>
      </w:r>
    </w:p>
    <w:p w14:paraId="7F0135DE">
      <w:pPr>
        <w:pStyle w:val="41"/>
        <w:spacing w:line="360" w:lineRule="auto"/>
        <w:rPr>
          <w:rFonts w:hint="eastAsia" w:ascii="宋体" w:hAnsi="宋体" w:eastAsia="宋体" w:cs="宋体"/>
          <w:color w:val="auto"/>
          <w:sz w:val="24"/>
          <w:szCs w:val="24"/>
          <w:highlight w:val="none"/>
          <w:lang w:val="hr-HR"/>
        </w:rPr>
      </w:pPr>
      <w:bookmarkStart w:id="45" w:name="_Hlk130457234"/>
      <w:bookmarkStart w:id="46" w:name="_Hlk130457327"/>
      <w:bookmarkStart w:id="47" w:name="_Toc28359015"/>
      <w:bookmarkStart w:id="48" w:name="_Toc28359092"/>
      <w:bookmarkStart w:id="49" w:name="_Toc35393632"/>
      <w:bookmarkStart w:id="50" w:name="_Toc35393801"/>
      <w:bookmarkStart w:id="51" w:name="_Hlk130457261"/>
      <w:r>
        <w:rPr>
          <w:rFonts w:hint="eastAsia" w:ascii="宋体" w:hAnsi="宋体" w:eastAsia="宋体" w:cs="宋体"/>
          <w:color w:val="auto"/>
          <w:sz w:val="24"/>
          <w:szCs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04</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15</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04</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22</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color w:val="auto"/>
          <w:sz w:val="24"/>
          <w:szCs w:val="24"/>
          <w:highlight w:val="none"/>
          <w:lang w:val="hr-HR"/>
        </w:rPr>
        <w:t>（北京时间）。</w:t>
      </w:r>
    </w:p>
    <w:bookmarkEnd w:id="45"/>
    <w:p w14:paraId="34FD69CE">
      <w:pPr>
        <w:pStyle w:val="41"/>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2" w:name="_Hlk89807779"/>
      <w:r>
        <w:rPr>
          <w:rFonts w:hint="eastAsia" w:ascii="宋体" w:hAnsi="宋体" w:eastAsia="宋体" w:cs="宋体"/>
          <w:color w:val="auto"/>
          <w:sz w:val="24"/>
          <w:szCs w:val="24"/>
          <w:highlight w:val="none"/>
          <w:lang w:val="hr-HR" w:eastAsia="zh-CN"/>
        </w:rPr>
        <w:t>新疆</w:t>
      </w:r>
      <w:r>
        <w:rPr>
          <w:rFonts w:hint="eastAsia" w:ascii="宋体" w:hAnsi="宋体" w:eastAsia="宋体" w:cs="宋体"/>
          <w:color w:val="auto"/>
          <w:sz w:val="24"/>
          <w:szCs w:val="24"/>
          <w:highlight w:val="none"/>
          <w:lang w:val="hr-HR"/>
        </w:rPr>
        <w:t>政府采购电子交易云平台（网址：</w:t>
      </w:r>
      <w:r>
        <w:rPr>
          <w:rFonts w:hint="eastAsia" w:ascii="宋体" w:hAnsi="宋体" w:eastAsia="宋体" w:cs="宋体"/>
          <w:color w:val="auto"/>
          <w:sz w:val="24"/>
          <w:szCs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w:t>
      </w:r>
      <w:bookmarkEnd w:id="52"/>
    </w:p>
    <w:p w14:paraId="5DDD414F">
      <w:pPr>
        <w:pStyle w:val="41"/>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41"/>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46"/>
    <w:bookmarkEnd w:id="47"/>
    <w:bookmarkEnd w:id="48"/>
    <w:bookmarkEnd w:id="49"/>
    <w:bookmarkEnd w:id="50"/>
    <w:bookmarkEnd w:id="51"/>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3" w:name="_Toc109899832"/>
      <w:bookmarkStart w:id="54" w:name="_Toc155185863"/>
      <w:bookmarkStart w:id="55" w:name="_Toc109899413"/>
      <w:bookmarkStart w:id="56" w:name="_Toc140132748"/>
      <w:bookmarkStart w:id="57" w:name="_Toc109900251"/>
      <w:bookmarkStart w:id="58" w:name="_Toc16962"/>
      <w:bookmarkStart w:id="59" w:name="_Toc11313"/>
      <w:bookmarkStart w:id="60" w:name="_Hlk130457395"/>
      <w:bookmarkStart w:id="61" w:name="_Toc28359094"/>
      <w:bookmarkStart w:id="62" w:name="_Toc35393634"/>
      <w:bookmarkStart w:id="63" w:name="_Toc28359017"/>
      <w:bookmarkStart w:id="64" w:name="_Toc44583633"/>
      <w:bookmarkStart w:id="65" w:name="_Toc35393803"/>
      <w:r>
        <w:rPr>
          <w:rFonts w:hint="eastAsia" w:ascii="宋体" w:hAnsi="宋体" w:eastAsia="宋体" w:cs="宋体"/>
          <w:b/>
          <w:bCs/>
          <w:color w:val="auto"/>
          <w:kern w:val="2"/>
          <w:sz w:val="24"/>
          <w:szCs w:val="24"/>
          <w:highlight w:val="none"/>
          <w:lang w:val="en-US" w:eastAsia="zh-CN" w:bidi="ar-SA"/>
        </w:rPr>
        <w:t>四、</w:t>
      </w:r>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8"/>
      <w:bookmarkEnd w:id="59"/>
    </w:p>
    <w:p w14:paraId="2D110B47">
      <w:pPr>
        <w:pStyle w:val="4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cs="宋体"/>
          <w:b w:val="0"/>
          <w:bCs w:val="0"/>
          <w:color w:val="auto"/>
          <w:sz w:val="24"/>
          <w:highlight w:val="cyan"/>
          <w:u w:val="single"/>
          <w:lang w:val="en-US" w:eastAsia="zh-CN"/>
        </w:rPr>
        <w:t>05月06日</w:t>
      </w:r>
      <w:r>
        <w:rPr>
          <w:rFonts w:hint="eastAsia" w:ascii="宋体" w:hAnsi="宋体" w:eastAsia="宋体" w:cs="宋体"/>
          <w:b w:val="0"/>
          <w:bCs w:val="0"/>
          <w:color w:val="auto"/>
          <w:sz w:val="24"/>
          <w:highlight w:val="cyan"/>
          <w:u w:val="single"/>
          <w:lang w:val="en-US" w:eastAsia="zh-CN"/>
        </w:rPr>
        <w:t>1</w:t>
      </w:r>
      <w:r>
        <w:rPr>
          <w:rFonts w:hint="eastAsia"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color w:val="auto"/>
          <w:sz w:val="24"/>
          <w:szCs w:val="24"/>
          <w:highlight w:val="none"/>
        </w:rPr>
        <w:t>（北京时间）。</w:t>
      </w:r>
    </w:p>
    <w:p w14:paraId="51B173F3">
      <w:pPr>
        <w:pStyle w:val="4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66"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政府采购电子交易云平台（网址：</w:t>
      </w:r>
      <w:r>
        <w:rPr>
          <w:rFonts w:hint="eastAsia" w:ascii="宋体" w:hAnsi="宋体" w:eastAsia="宋体" w:cs="宋体"/>
          <w:color w:val="auto"/>
          <w:sz w:val="24"/>
          <w:szCs w:val="24"/>
          <w:highlight w:val="none"/>
          <w:lang w:val="en-US" w:eastAsia="zh-CN"/>
        </w:rPr>
        <w:t>http://www.ccgp-xinjiang.gov.cn/</w:t>
      </w:r>
      <w:r>
        <w:rPr>
          <w:rFonts w:hint="eastAsia" w:ascii="宋体" w:hAnsi="宋体" w:eastAsia="宋体" w:cs="宋体"/>
          <w:color w:val="auto"/>
          <w:sz w:val="24"/>
          <w:szCs w:val="24"/>
          <w:highlight w:val="none"/>
        </w:rPr>
        <w:t>）进入“项目采购”应用，在投标文件上传菜单中选择项目进行上传。</w:t>
      </w:r>
      <w:bookmarkEnd w:id="66"/>
    </w:p>
    <w:p w14:paraId="276D3E17">
      <w:pPr>
        <w:pStyle w:val="4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60"/>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7" w:name="_Toc109899414"/>
      <w:bookmarkStart w:id="68" w:name="_Toc140132749"/>
      <w:bookmarkStart w:id="69" w:name="_Toc109899833"/>
      <w:bookmarkStart w:id="70" w:name="_Toc155185864"/>
      <w:bookmarkStart w:id="71" w:name="_Toc31237"/>
      <w:bookmarkStart w:id="72" w:name="_Toc109900252"/>
      <w:bookmarkStart w:id="73" w:name="_Toc22506"/>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61"/>
      <w:bookmarkEnd w:id="62"/>
      <w:bookmarkEnd w:id="63"/>
      <w:bookmarkEnd w:id="64"/>
      <w:bookmarkEnd w:id="65"/>
      <w:bookmarkEnd w:id="67"/>
      <w:bookmarkEnd w:id="68"/>
      <w:bookmarkEnd w:id="69"/>
      <w:bookmarkEnd w:id="70"/>
      <w:bookmarkEnd w:id="71"/>
      <w:bookmarkEnd w:id="72"/>
      <w:bookmarkEnd w:id="73"/>
    </w:p>
    <w:p w14:paraId="32028F42">
      <w:pPr>
        <w:pStyle w:val="4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4" w:name="_Toc109900253"/>
      <w:bookmarkStart w:id="75" w:name="_Toc35393804"/>
      <w:bookmarkStart w:id="76" w:name="_Toc44583634"/>
      <w:bookmarkStart w:id="77" w:name="_Toc19698"/>
      <w:bookmarkStart w:id="78" w:name="_Toc140132750"/>
      <w:bookmarkStart w:id="79" w:name="_Toc109899834"/>
      <w:bookmarkStart w:id="80" w:name="_Toc109899415"/>
      <w:bookmarkStart w:id="81" w:name="_Toc35393635"/>
      <w:bookmarkStart w:id="82" w:name="_Toc155185865"/>
      <w:bookmarkStart w:id="83" w:name="_Toc17736"/>
      <w:bookmarkStart w:id="84" w:name="_Toc35393806"/>
      <w:bookmarkStart w:id="85" w:name="_Toc28359019"/>
      <w:bookmarkStart w:id="86" w:name="_Toc28359096"/>
      <w:bookmarkStart w:id="87" w:name="_Toc35393637"/>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4"/>
      <w:bookmarkEnd w:id="75"/>
      <w:bookmarkEnd w:id="76"/>
      <w:bookmarkEnd w:id="77"/>
      <w:bookmarkEnd w:id="78"/>
      <w:bookmarkEnd w:id="79"/>
      <w:bookmarkEnd w:id="80"/>
      <w:bookmarkEnd w:id="81"/>
      <w:bookmarkEnd w:id="82"/>
      <w:bookmarkEnd w:id="83"/>
    </w:p>
    <w:p w14:paraId="3D6789E5">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796F301D">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DFE941C">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2337D23">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4、其他事项： </w:t>
      </w:r>
    </w:p>
    <w:p w14:paraId="7D2EF037">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27F24553">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4339A0FE">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w:t>
      </w:r>
    </w:p>
    <w:p w14:paraId="4DB41DDE">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（4）供应商在开标时须携带制作加密电子投标文件所使用的CA锁，电脑须提前配置好浏览器，以便开标时在线解密。</w:t>
      </w:r>
    </w:p>
    <w:p w14:paraId="548B7FB7">
      <w:pPr>
        <w:pStyle w:val="4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（5）投标供应商应当在投标截止时间前，将生成的“电子加密投标文件”上传递交至“政府采购云平台”，投标截止时间以后上传递交的投标文件将被“政府采购云平台”拒收。</w:t>
      </w:r>
    </w:p>
    <w:bookmarkEnd w:id="2"/>
    <w:bookmarkEnd w:id="84"/>
    <w:bookmarkEnd w:id="85"/>
    <w:bookmarkEnd w:id="86"/>
    <w:bookmarkEnd w:id="87"/>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8" w:name="_Toc155185866"/>
      <w:bookmarkStart w:id="89" w:name="_Toc28359095"/>
      <w:bookmarkStart w:id="90" w:name="_Toc28359018"/>
      <w:bookmarkStart w:id="91" w:name="_Toc44583635"/>
      <w:bookmarkStart w:id="92" w:name="_Toc35393805"/>
      <w:bookmarkStart w:id="93" w:name="_Toc109900254"/>
      <w:bookmarkStart w:id="94" w:name="_Toc140132751"/>
      <w:bookmarkStart w:id="95" w:name="_Toc35393636"/>
      <w:bookmarkStart w:id="96" w:name="_Toc109899835"/>
      <w:bookmarkStart w:id="97" w:name="_Toc109899416"/>
      <w:bookmarkStart w:id="98" w:name="_Toc17135"/>
      <w:bookmarkStart w:id="99" w:name="_Toc23370"/>
      <w:r>
        <w:rPr>
          <w:rFonts w:hint="eastAsia" w:ascii="宋体" w:hAnsi="宋体" w:eastAsia="宋体" w:cs="宋体"/>
          <w:b/>
          <w:bCs/>
          <w:color w:val="auto"/>
          <w:kern w:val="2"/>
          <w:sz w:val="24"/>
          <w:szCs w:val="24"/>
          <w:highlight w:val="none"/>
          <w:lang w:val="en-US" w:eastAsia="zh-CN" w:bidi="ar-SA"/>
        </w:rPr>
        <w:t>七、</w:t>
      </w:r>
      <w:bookmarkEnd w:id="88"/>
      <w:bookmarkEnd w:id="89"/>
      <w:bookmarkEnd w:id="90"/>
      <w:bookmarkEnd w:id="91"/>
      <w:bookmarkEnd w:id="92"/>
      <w:bookmarkEnd w:id="93"/>
      <w:bookmarkEnd w:id="94"/>
      <w:bookmarkEnd w:id="95"/>
      <w:bookmarkEnd w:id="96"/>
      <w:bookmarkEnd w:id="97"/>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8"/>
      <w:bookmarkEnd w:id="99"/>
    </w:p>
    <w:p w14:paraId="7B213880">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20D86049">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cs="宋体"/>
          <w:color w:val="auto"/>
          <w:sz w:val="24"/>
          <w:highlight w:val="none"/>
          <w:u w:val="none"/>
          <w:lang w:eastAsia="zh-CN"/>
        </w:rPr>
        <w:t>乌鲁木齐市警务训练保障中心</w:t>
      </w:r>
    </w:p>
    <w:p w14:paraId="7666CBE9">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乌鲁木齐市乌鲁木齐县水西沟镇南康大道东一巷水西沟训练基地</w:t>
      </w:r>
      <w:r>
        <w:rPr>
          <w:rFonts w:hint="eastAsia" w:cs="宋体"/>
          <w:color w:val="auto"/>
          <w:sz w:val="24"/>
          <w:highlight w:val="none"/>
          <w:u w:val="none"/>
          <w:lang w:val="en-US" w:eastAsia="zh-CN"/>
        </w:rPr>
        <w:t xml:space="preserve"> </w:t>
      </w:r>
    </w:p>
    <w:p w14:paraId="465793B6">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bookmarkStart w:id="100" w:name="_Hlk46775675"/>
      <w:r>
        <w:rPr>
          <w:rFonts w:hint="eastAsia" w:ascii="宋体" w:hAnsi="宋体" w:eastAsia="宋体" w:cs="宋体"/>
          <w:color w:val="auto"/>
          <w:sz w:val="24"/>
          <w:highlight w:val="none"/>
          <w:lang w:eastAsia="zh-CN"/>
        </w:rPr>
        <w:t>宋警官、</w:t>
      </w:r>
      <w:r>
        <w:rPr>
          <w:rFonts w:hint="eastAsia" w:ascii="宋体" w:hAnsi="宋体" w:eastAsia="宋体" w:cs="宋体"/>
          <w:color w:val="auto"/>
          <w:sz w:val="24"/>
          <w:highlight w:val="none"/>
        </w:rPr>
        <w:t>13999569297</w:t>
      </w:r>
    </w:p>
    <w:bookmarkEnd w:id="100"/>
    <w:p w14:paraId="5DDC5322">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1" w:name="_Toc35393807"/>
      <w:bookmarkStart w:id="102" w:name="_Toc35393638"/>
      <w:bookmarkStart w:id="103" w:name="_Toc28359097"/>
      <w:bookmarkStart w:id="104" w:name="_Toc28359020"/>
      <w:r>
        <w:rPr>
          <w:rFonts w:hint="eastAsia" w:ascii="宋体" w:hAnsi="宋体" w:eastAsia="宋体" w:cs="宋体"/>
          <w:color w:val="auto"/>
          <w:sz w:val="24"/>
          <w:highlight w:val="none"/>
        </w:rPr>
        <w:t>2.采购代理机构信息</w:t>
      </w:r>
      <w:bookmarkEnd w:id="101"/>
      <w:bookmarkEnd w:id="102"/>
      <w:bookmarkEnd w:id="103"/>
      <w:bookmarkEnd w:id="104"/>
    </w:p>
    <w:p w14:paraId="28C8D1A1">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rPr>
      </w:pPr>
      <w:bookmarkStart w:id="105" w:name="_Toc28359098"/>
      <w:bookmarkStart w:id="106" w:name="_Toc35393639"/>
      <w:bookmarkStart w:id="107" w:name="_Toc28359021"/>
      <w:bookmarkStart w:id="108" w:name="_Toc35393808"/>
      <w:r>
        <w:rPr>
          <w:rFonts w:hint="eastAsia" w:ascii="宋体" w:hAnsi="宋体" w:eastAsia="宋体" w:cs="宋体"/>
          <w:color w:val="auto"/>
          <w:sz w:val="24"/>
          <w:highlight w:val="none"/>
          <w:u w:val="none"/>
        </w:rPr>
        <w:t>名称：</w:t>
      </w:r>
      <w:r>
        <w:rPr>
          <w:rFonts w:hint="eastAsia" w:ascii="宋体" w:hAnsi="宋体" w:eastAsia="宋体" w:cs="宋体"/>
          <w:color w:val="auto"/>
          <w:sz w:val="24"/>
          <w:highlight w:val="none"/>
          <w:u w:val="none"/>
          <w:lang w:val="en-US" w:eastAsia="zh-CN"/>
        </w:rPr>
        <w:t xml:space="preserve">新疆星圣源工程项目管理有限公司 </w:t>
      </w:r>
    </w:p>
    <w:p w14:paraId="67676999">
      <w:pPr>
        <w:pStyle w:val="41"/>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0CBF21FF">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3D50EAA6">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项目联系方式</w:t>
      </w:r>
    </w:p>
    <w:bookmarkEnd w:id="105"/>
    <w:bookmarkEnd w:id="106"/>
    <w:bookmarkEnd w:id="107"/>
    <w:bookmarkEnd w:id="108"/>
    <w:p w14:paraId="1F10C4B5">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eastAsia="zh-CN"/>
        </w:rPr>
        <w:t>陈晓微、</w:t>
      </w:r>
      <w:r>
        <w:rPr>
          <w:rFonts w:hint="eastAsia" w:cs="宋体"/>
          <w:color w:val="auto"/>
          <w:sz w:val="24"/>
          <w:highlight w:val="none"/>
          <w:u w:val="none"/>
          <w:lang w:val="en-US" w:eastAsia="zh-CN"/>
        </w:rPr>
        <w:t>杨霞</w:t>
      </w:r>
      <w:r>
        <w:rPr>
          <w:rFonts w:hint="eastAsia" w:ascii="宋体" w:hAnsi="宋体" w:eastAsia="宋体" w:cs="宋体"/>
          <w:color w:val="auto"/>
          <w:sz w:val="24"/>
          <w:highlight w:val="none"/>
          <w:u w:val="none"/>
          <w:lang w:val="en-US" w:eastAsia="zh-CN"/>
        </w:rPr>
        <w:t xml:space="preserve"> </w:t>
      </w:r>
      <w:r>
        <w:rPr>
          <w:rFonts w:hint="eastAsia" w:cs="宋体"/>
          <w:color w:val="auto"/>
          <w:sz w:val="24"/>
          <w:highlight w:val="none"/>
          <w:u w:val="none"/>
          <w:lang w:val="en-US" w:eastAsia="zh-CN"/>
        </w:rPr>
        <w:t xml:space="preserve">  </w:t>
      </w:r>
    </w:p>
    <w:p w14:paraId="446FA8D5">
      <w:pPr>
        <w:pStyle w:val="41"/>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电话：</w:t>
      </w:r>
      <w:r>
        <w:rPr>
          <w:rFonts w:hint="eastAsia" w:ascii="宋体" w:hAnsi="宋体" w:eastAsia="宋体" w:cs="宋体"/>
          <w:color w:val="auto"/>
          <w:sz w:val="24"/>
          <w:highlight w:val="none"/>
          <w:u w:val="none"/>
          <w:lang w:val="en-US" w:eastAsia="zh-CN"/>
        </w:rPr>
        <w:t>0991-5803779</w:t>
      </w:r>
      <w:r>
        <w:rPr>
          <w:rFonts w:hint="eastAsia" w:ascii="宋体" w:hAnsi="宋体" w:eastAsia="宋体" w:cs="宋体"/>
          <w:color w:val="auto"/>
          <w:sz w:val="24"/>
          <w:szCs w:val="24"/>
          <w:highlight w:val="none"/>
          <w:u w:val="none"/>
          <w:lang w:val="en-US" w:eastAsia="zh-CN"/>
        </w:rPr>
        <w:t xml:space="preserve"> </w:t>
      </w:r>
    </w:p>
    <w:p w14:paraId="3EF17B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9" w:name="_Toc921"/>
      <w:bookmarkStart w:id="110" w:name="_Toc25004"/>
      <w:bookmarkStart w:id="111" w:name="_Toc26793"/>
      <w:bookmarkStart w:id="112" w:name="_Toc155185867"/>
      <w:r>
        <w:rPr>
          <w:rFonts w:hint="eastAsia" w:ascii="宋体" w:hAnsi="宋体" w:eastAsia="宋体" w:cs="宋体"/>
          <w:b/>
          <w:bCs/>
          <w:color w:val="auto"/>
          <w:kern w:val="44"/>
          <w:sz w:val="36"/>
          <w:szCs w:val="36"/>
          <w:highlight w:val="none"/>
          <w:lang w:val="en-US" w:eastAsia="zh-CN" w:bidi="ar-SA"/>
        </w:rPr>
        <w:t>第二章 投标人须知</w:t>
      </w:r>
      <w:bookmarkEnd w:id="109"/>
      <w:bookmarkEnd w:id="110"/>
      <w:bookmarkEnd w:id="111"/>
      <w:bookmarkEnd w:id="112"/>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3" w:name="_Toc5785"/>
      <w:bookmarkStart w:id="114" w:name="_Toc2970"/>
      <w:bookmarkStart w:id="115"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3"/>
      <w:bookmarkEnd w:id="114"/>
      <w:bookmarkEnd w:id="115"/>
    </w:p>
    <w:p w14:paraId="7F3ACB7A">
      <w:pPr>
        <w:pStyle w:val="41"/>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6A9B68BA">
            <w:pPr>
              <w:pStyle w:val="53"/>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ascii="宋体" w:hAnsi="宋体" w:eastAsia="宋体" w:cs="宋体"/>
                <w:color w:val="auto"/>
                <w:sz w:val="24"/>
                <w:szCs w:val="24"/>
                <w:highlight w:val="none"/>
                <w:u w:val="single"/>
                <w:lang w:val="en-US" w:eastAsia="zh-CN"/>
              </w:rPr>
              <w:t xml:space="preserve"> 食堂餐饮服务，具体详见招标文件第三章 采购需求</w:t>
            </w:r>
            <w:r>
              <w:rPr>
                <w:rFonts w:hint="eastAsia" w:cs="宋体"/>
                <w:color w:val="auto"/>
                <w:sz w:val="24"/>
                <w:szCs w:val="24"/>
                <w:highlight w:val="none"/>
                <w:u w:val="single"/>
                <w:lang w:val="hr-HR" w:eastAsia="zh-CN"/>
              </w:rPr>
              <w:t>。</w:t>
            </w:r>
            <w:r>
              <w:rPr>
                <w:rFonts w:hint="eastAsia" w:ascii="宋体" w:hAnsi="宋体" w:eastAsia="宋体" w:cs="宋体"/>
                <w:color w:val="auto"/>
                <w:sz w:val="24"/>
                <w:szCs w:val="24"/>
                <w:highlight w:val="none"/>
                <w:lang w:val="en-US" w:eastAsia="zh-CN"/>
              </w:rPr>
              <w:t xml:space="preserve"> </w:t>
            </w:r>
          </w:p>
          <w:p w14:paraId="24EBCA10">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5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9.1</w:t>
            </w:r>
          </w:p>
        </w:tc>
        <w:tc>
          <w:tcPr>
            <w:tcW w:w="1738" w:type="dxa"/>
            <w:vAlign w:val="center"/>
          </w:tcPr>
          <w:p w14:paraId="117C18AE">
            <w:pPr>
              <w:pStyle w:val="53"/>
              <w:rPr>
                <w:rFonts w:hint="eastAsia" w:ascii="宋体" w:hAnsi="宋体" w:eastAsia="宋体" w:cs="宋体"/>
                <w:b/>
                <w:bCs/>
                <w:color w:val="auto"/>
                <w:sz w:val="24"/>
                <w:szCs w:val="24"/>
                <w:highlight w:val="none"/>
              </w:rPr>
            </w:pPr>
            <w:bookmarkStart w:id="116" w:name="_Hlk143529175"/>
            <w:r>
              <w:rPr>
                <w:rFonts w:hint="eastAsia" w:ascii="宋体" w:hAnsi="宋体" w:eastAsia="宋体" w:cs="宋体"/>
                <w:b/>
                <w:bCs/>
                <w:color w:val="auto"/>
                <w:sz w:val="24"/>
                <w:szCs w:val="24"/>
                <w:highlight w:val="none"/>
              </w:rPr>
              <w:t>现场考察</w:t>
            </w:r>
            <w:bookmarkEnd w:id="116"/>
          </w:p>
        </w:tc>
        <w:tc>
          <w:tcPr>
            <w:tcW w:w="6700" w:type="dxa"/>
            <w:vAlign w:val="center"/>
          </w:tcPr>
          <w:p w14:paraId="36549596">
            <w:pPr>
              <w:pStyle w:val="5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sym w:font="Wingdings" w:char="00A8"/>
            </w:r>
            <w:r>
              <w:rPr>
                <w:rFonts w:hint="eastAsia" w:ascii="宋体" w:hAnsi="宋体" w:eastAsia="宋体" w:cs="宋体"/>
                <w:b/>
                <w:bCs/>
                <w:color w:val="auto"/>
                <w:sz w:val="24"/>
                <w:szCs w:val="24"/>
                <w:highlight w:val="none"/>
              </w:rPr>
              <w:t>不组织，投标人自行前往</w:t>
            </w:r>
            <w:r>
              <w:rPr>
                <w:rFonts w:hint="eastAsia" w:ascii="宋体" w:hAnsi="宋体" w:eastAsia="宋体" w:cs="宋体"/>
                <w:b/>
                <w:bCs/>
                <w:color w:val="auto"/>
                <w:sz w:val="24"/>
                <w:szCs w:val="24"/>
                <w:highlight w:val="none"/>
                <w:lang w:eastAsia="zh-CN"/>
              </w:rPr>
              <w:t>。</w:t>
            </w:r>
          </w:p>
          <w:p w14:paraId="70F71951">
            <w:pPr>
              <w:pStyle w:val="5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sym w:font="Wingdings" w:char="00FE"/>
            </w:r>
            <w:r>
              <w:rPr>
                <w:rFonts w:hint="eastAsia" w:ascii="宋体" w:hAnsi="宋体" w:eastAsia="宋体" w:cs="宋体"/>
                <w:b/>
                <w:bCs/>
                <w:color w:val="auto"/>
                <w:sz w:val="24"/>
                <w:szCs w:val="24"/>
                <w:highlight w:val="none"/>
              </w:rPr>
              <w:t>组织</w:t>
            </w:r>
          </w:p>
          <w:p w14:paraId="0F9BF957">
            <w:pPr>
              <w:pStyle w:val="53"/>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cyan"/>
                <w:u w:val="single"/>
                <w:lang w:val="en-US" w:eastAsia="zh-CN"/>
              </w:rPr>
              <w:t>202</w:t>
            </w:r>
            <w:r>
              <w:rPr>
                <w:rFonts w:hint="eastAsia" w:cs="宋体"/>
                <w:b/>
                <w:bCs/>
                <w:color w:val="auto"/>
                <w:sz w:val="24"/>
                <w:szCs w:val="24"/>
                <w:highlight w:val="cyan"/>
                <w:u w:val="single"/>
                <w:lang w:val="en-US" w:eastAsia="zh-CN"/>
              </w:rPr>
              <w:t>6</w:t>
            </w:r>
            <w:r>
              <w:rPr>
                <w:rFonts w:hint="eastAsia" w:ascii="宋体" w:hAnsi="宋体" w:eastAsia="宋体" w:cs="宋体"/>
                <w:b/>
                <w:bCs/>
                <w:color w:val="auto"/>
                <w:sz w:val="24"/>
                <w:szCs w:val="24"/>
                <w:highlight w:val="cyan"/>
                <w:u w:val="single"/>
                <w:lang w:val="en-US" w:eastAsia="zh-CN"/>
              </w:rPr>
              <w:t>年</w:t>
            </w:r>
            <w:r>
              <w:rPr>
                <w:rFonts w:hint="eastAsia" w:cs="宋体"/>
                <w:b/>
                <w:bCs/>
                <w:color w:val="auto"/>
                <w:sz w:val="24"/>
                <w:szCs w:val="24"/>
                <w:highlight w:val="cyan"/>
                <w:u w:val="single"/>
                <w:lang w:val="en-US" w:eastAsia="zh-CN"/>
              </w:rPr>
              <w:t>04</w:t>
            </w:r>
            <w:r>
              <w:rPr>
                <w:rFonts w:hint="eastAsia" w:ascii="宋体" w:hAnsi="宋体" w:eastAsia="宋体" w:cs="宋体"/>
                <w:b/>
                <w:bCs/>
                <w:color w:val="auto"/>
                <w:sz w:val="24"/>
                <w:szCs w:val="24"/>
                <w:highlight w:val="cyan"/>
                <w:u w:val="single"/>
                <w:lang w:val="en-US" w:eastAsia="zh-CN"/>
              </w:rPr>
              <w:t>月</w:t>
            </w:r>
            <w:r>
              <w:rPr>
                <w:rFonts w:hint="eastAsia" w:cs="宋体"/>
                <w:b/>
                <w:bCs/>
                <w:color w:val="auto"/>
                <w:sz w:val="24"/>
                <w:szCs w:val="24"/>
                <w:highlight w:val="cyan"/>
                <w:u w:val="single"/>
                <w:lang w:val="en-US" w:eastAsia="zh-CN"/>
              </w:rPr>
              <w:t>28</w:t>
            </w:r>
            <w:r>
              <w:rPr>
                <w:rFonts w:hint="eastAsia" w:ascii="宋体" w:hAnsi="宋体" w:eastAsia="宋体" w:cs="宋体"/>
                <w:b/>
                <w:bCs/>
                <w:color w:val="auto"/>
                <w:sz w:val="24"/>
                <w:szCs w:val="24"/>
                <w:highlight w:val="cyan"/>
                <w:u w:val="single"/>
                <w:lang w:val="en-US" w:eastAsia="zh-CN"/>
              </w:rPr>
              <w:t>日11:00-13:00</w:t>
            </w:r>
            <w:r>
              <w:rPr>
                <w:rFonts w:hint="eastAsia" w:cs="宋体"/>
                <w:b/>
                <w:bCs/>
                <w:color w:val="auto"/>
                <w:sz w:val="24"/>
                <w:szCs w:val="24"/>
                <w:highlight w:val="cyan"/>
                <w:u w:val="single"/>
                <w:lang w:val="en-US" w:eastAsia="zh-CN"/>
              </w:rPr>
              <w:t>（北京时间）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326BD47">
            <w:pPr>
              <w:pStyle w:val="53"/>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地点：</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乌鲁木齐市乌鲁木齐县水西沟镇南康大道东一巷水西沟训练基地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66AF6F6">
            <w:pPr>
              <w:pStyle w:val="53"/>
              <w:ind w:firstLine="241" w:firstLineChars="100"/>
              <w:rPr>
                <w:rFonts w:hint="eastAsia" w:ascii="宋体" w:hAnsi="宋体" w:eastAsia="宋体" w:cs="宋体"/>
                <w:b/>
                <w:bCs/>
                <w:i w:val="0"/>
                <w:iCs w:val="0"/>
                <w:color w:val="auto"/>
                <w:sz w:val="24"/>
                <w:szCs w:val="24"/>
                <w:highlight w:val="none"/>
              </w:rPr>
            </w:pPr>
            <w:r>
              <w:rPr>
                <w:rFonts w:hint="eastAsia" w:cs="宋体"/>
                <w:b/>
                <w:bCs/>
                <w:i w:val="0"/>
                <w:iCs w:val="0"/>
                <w:color w:val="auto"/>
                <w:sz w:val="24"/>
                <w:szCs w:val="24"/>
                <w:highlight w:val="none"/>
                <w:lang w:val="en-US" w:eastAsia="zh-CN"/>
              </w:rPr>
              <w:t>联系方式</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u w:val="single"/>
              </w:rPr>
              <w:t xml:space="preserve"> 13999569297 </w:t>
            </w:r>
            <w:r>
              <w:rPr>
                <w:rFonts w:hint="eastAsia" w:ascii="宋体" w:hAnsi="宋体" w:eastAsia="宋体" w:cs="宋体"/>
                <w:b/>
                <w:bCs/>
                <w:i w:val="0"/>
                <w:iCs w:val="0"/>
                <w:color w:val="auto"/>
                <w:sz w:val="24"/>
                <w:szCs w:val="24"/>
                <w:highlight w:val="none"/>
              </w:rPr>
              <w:t>。</w:t>
            </w:r>
          </w:p>
          <w:p w14:paraId="7D409C54">
            <w:pPr>
              <w:pStyle w:val="53"/>
              <w:ind w:firstLine="241" w:firstLineChars="100"/>
              <w:rPr>
                <w:rFonts w:hint="eastAsia" w:ascii="宋体" w:hAnsi="宋体" w:eastAsia="宋体" w:cs="宋体"/>
                <w:b/>
                <w:bCs/>
                <w:color w:val="auto"/>
                <w:sz w:val="24"/>
                <w:szCs w:val="24"/>
                <w:highlight w:val="none"/>
              </w:rPr>
            </w:pPr>
            <w:r>
              <w:rPr>
                <w:rFonts w:hint="eastAsia" w:cs="宋体"/>
                <w:b/>
                <w:bCs/>
                <w:i w:val="0"/>
                <w:iCs w:val="0"/>
                <w:color w:val="auto"/>
                <w:sz w:val="24"/>
                <w:szCs w:val="24"/>
                <w:highlight w:val="none"/>
                <w:lang w:eastAsia="zh-CN"/>
              </w:rPr>
              <w:t>注意事项：（</w:t>
            </w:r>
            <w:r>
              <w:rPr>
                <w:rFonts w:hint="eastAsia" w:cs="宋体"/>
                <w:b/>
                <w:bCs/>
                <w:i w:val="0"/>
                <w:iCs w:val="0"/>
                <w:color w:val="auto"/>
                <w:sz w:val="24"/>
                <w:szCs w:val="24"/>
                <w:highlight w:val="none"/>
                <w:lang w:val="en-US" w:eastAsia="zh-CN"/>
              </w:rPr>
              <w:t>1）</w:t>
            </w:r>
            <w:r>
              <w:rPr>
                <w:rFonts w:hint="eastAsia" w:cs="宋体"/>
                <w:b/>
                <w:bCs/>
                <w:i w:val="0"/>
                <w:iCs w:val="0"/>
                <w:color w:val="auto"/>
                <w:sz w:val="24"/>
                <w:szCs w:val="24"/>
                <w:highlight w:val="none"/>
                <w:lang w:eastAsia="zh-CN"/>
              </w:rPr>
              <w:t>供应商应自行承担参加现场考察所产生的一切费用及安全责任。（</w:t>
            </w:r>
            <w:r>
              <w:rPr>
                <w:rFonts w:hint="eastAsia" w:cs="宋体"/>
                <w:b/>
                <w:bCs/>
                <w:i w:val="0"/>
                <w:iCs w:val="0"/>
                <w:color w:val="auto"/>
                <w:sz w:val="24"/>
                <w:szCs w:val="24"/>
                <w:highlight w:val="none"/>
                <w:lang w:val="en-US" w:eastAsia="zh-CN"/>
              </w:rPr>
              <w:t>2）</w:t>
            </w:r>
            <w:r>
              <w:rPr>
                <w:rFonts w:hint="eastAsia" w:cs="宋体"/>
                <w:b/>
                <w:bCs/>
                <w:i w:val="0"/>
                <w:iCs w:val="0"/>
                <w:color w:val="auto"/>
                <w:sz w:val="24"/>
                <w:szCs w:val="24"/>
                <w:highlight w:val="none"/>
                <w:lang w:eastAsia="zh-CN"/>
              </w:rPr>
              <w:t>供应商未参加现场考察的，视为已充分了解项目现场实际情况、实施条件及相关要求，自愿承担因对现场情况了解不足导致的一切风险、责任及损失，采购人及采购代理机构对此不承担任何责任。</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5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5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AB5C1B">
            <w:pPr>
              <w:pStyle w:val="53"/>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2DCFD4D2">
            <w:pPr>
              <w:pStyle w:val="5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8E1DF6C">
            <w:pPr>
              <w:pStyle w:val="53"/>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p w14:paraId="492B3E42">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34253DF6">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D9379BA">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小写：20600元；大写：贰万零陆佰元整</w:t>
            </w:r>
            <w:r>
              <w:rPr>
                <w:rFonts w:hint="eastAsia" w:ascii="宋体" w:hAnsi="宋体" w:cs="宋体"/>
                <w:i w:val="0"/>
                <w:iCs w:val="0"/>
                <w:color w:val="auto"/>
                <w:sz w:val="24"/>
                <w:szCs w:val="24"/>
                <w:highlight w:val="none"/>
                <w:lang w:eastAsia="zh-CN"/>
              </w:rPr>
              <w:t>）</w:t>
            </w:r>
          </w:p>
          <w:p w14:paraId="34F4AD60">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8F5A6C">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013890D1">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1F174ACF">
            <w:pPr>
              <w:pStyle w:val="5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r>
              <w:rPr>
                <w:rFonts w:hint="eastAsia" w:ascii="宋体" w:hAnsi="宋体" w:eastAsia="宋体" w:cs="宋体"/>
                <w:color w:val="auto"/>
                <w:sz w:val="24"/>
                <w:szCs w:val="24"/>
                <w:highlight w:val="none"/>
              </w:rPr>
              <w:t xml:space="preserve">              </w:t>
            </w:r>
          </w:p>
          <w:p w14:paraId="0C79EF6C">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57"/>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0A6AA7E8">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57"/>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投标</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保证金于截止日之前确认到账，若投标人未按照上述规定缴纳保证金,投标文件将被拒绝评审。 </w:t>
            </w:r>
          </w:p>
          <w:p w14:paraId="4C7272CD">
            <w:pPr>
              <w:pStyle w:val="57"/>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XSY-2026-Z-087</w:t>
            </w:r>
            <w:r>
              <w:rPr>
                <w:rFonts w:hint="eastAsia" w:ascii="宋体" w:hAnsi="宋体" w:eastAsia="宋体" w:cs="宋体"/>
                <w:b/>
                <w:bCs/>
                <w:i w:val="0"/>
                <w:iCs w:val="0"/>
                <w:color w:val="auto"/>
                <w:sz w:val="24"/>
                <w:szCs w:val="24"/>
                <w:highlight w:val="none"/>
                <w:u w:val="none"/>
                <w:lang w:val="en-US" w:eastAsia="zh-CN"/>
              </w:rPr>
              <w:t>保证金+联系方式</w:t>
            </w:r>
          </w:p>
          <w:p w14:paraId="1A6A3681">
            <w:pPr>
              <w:pStyle w:val="57"/>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04063AA6">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3"/>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3"/>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36410A9">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3"/>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3"/>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2FA55552">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5F60BBB0">
            <w:pPr>
              <w:pStyle w:val="5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D5B188D">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3"/>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3"/>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3"/>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3"/>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53"/>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5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53"/>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52B73BFF">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3"/>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CA35D2">
            <w:pPr>
              <w:pStyle w:val="5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4D83FA75">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CF8CC08">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BA146AB">
            <w:pPr>
              <w:pStyle w:val="5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5F7A042">
            <w:pPr>
              <w:pStyle w:val="5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0814BC">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3"/>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3"/>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171B32E7">
            <w:pPr>
              <w:pStyle w:val="61"/>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161823D">
            <w:pPr>
              <w:pStyle w:val="61"/>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4793498">
            <w:pPr>
              <w:pStyle w:val="61"/>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1"/>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6153E75C">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6FC0B2D">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1C290E1">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007C07C5">
            <w:pPr>
              <w:pStyle w:val="53"/>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53"/>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53"/>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53"/>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15070779">
            <w:pPr>
              <w:pStyle w:val="53"/>
              <w:rPr>
                <w:rFonts w:hint="eastAsia" w:ascii="宋体" w:hAnsi="宋体" w:eastAsia="宋体" w:cs="宋体"/>
                <w:color w:val="auto"/>
                <w:sz w:val="24"/>
                <w:szCs w:val="24"/>
                <w:highlight w:val="none"/>
                <w:u w:val="single"/>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9" w:hRule="atLeast"/>
        </w:trPr>
        <w:tc>
          <w:tcPr>
            <w:tcW w:w="970" w:type="dxa"/>
            <w:vAlign w:val="center"/>
          </w:tcPr>
          <w:p w14:paraId="6F1BF374">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1" w:hRule="atLeast"/>
        </w:trPr>
        <w:tc>
          <w:tcPr>
            <w:tcW w:w="970" w:type="dxa"/>
            <w:vAlign w:val="center"/>
          </w:tcPr>
          <w:p w14:paraId="06648806">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4"/>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3D0DC0F6">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none"/>
                <w:lang w:val="en-US" w:eastAsia="zh-CN"/>
              </w:rPr>
              <w:t>。</w:t>
            </w:r>
          </w:p>
          <w:p w14:paraId="7EE1E46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44102EA">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9768BA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052B283">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66" w:hRule="atLeast"/>
        </w:trPr>
        <w:tc>
          <w:tcPr>
            <w:tcW w:w="970" w:type="dxa"/>
            <w:vAlign w:val="center"/>
          </w:tcPr>
          <w:p w14:paraId="3AAFC5B3">
            <w:pPr>
              <w:pStyle w:val="5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3"/>
              <w:rPr>
                <w:rFonts w:hint="eastAsia" w:ascii="宋体" w:hAnsi="宋体" w:eastAsia="宋体" w:cs="宋体"/>
                <w:color w:val="auto"/>
                <w:sz w:val="24"/>
                <w:szCs w:val="24"/>
                <w:highlight w:val="none"/>
                <w:lang w:val="en-US" w:eastAsia="zh-CN"/>
              </w:rPr>
            </w:pPr>
            <w:r>
              <w:rPr>
                <w:rStyle w:val="34"/>
                <w:rFonts w:hint="eastAsia" w:ascii="宋体" w:hAnsi="宋体" w:eastAsia="宋体" w:cs="宋体"/>
                <w:b w:val="0"/>
                <w:color w:val="auto"/>
                <w:sz w:val="24"/>
                <w:szCs w:val="24"/>
                <w:highlight w:val="none"/>
                <w:lang w:val="en-US" w:eastAsia="zh-CN"/>
              </w:rPr>
              <w:t>参照后附</w:t>
            </w:r>
            <w:r>
              <w:rPr>
                <w:rStyle w:val="34"/>
                <w:rFonts w:hint="eastAsia" w:ascii="宋体" w:hAnsi="宋体" w:eastAsia="宋体" w:cs="宋体"/>
                <w:b w:val="0"/>
                <w:color w:val="auto"/>
                <w:sz w:val="24"/>
                <w:szCs w:val="24"/>
                <w:highlight w:val="none"/>
                <w:lang w:eastAsia="zh-CN"/>
              </w:rPr>
              <w:t>《</w:t>
            </w:r>
            <w:r>
              <w:rPr>
                <w:rStyle w:val="34"/>
                <w:rFonts w:hint="eastAsia" w:ascii="宋体" w:hAnsi="宋体" w:eastAsia="宋体" w:cs="宋体"/>
                <w:b w:val="0"/>
                <w:color w:val="auto"/>
                <w:sz w:val="24"/>
                <w:szCs w:val="24"/>
                <w:highlight w:val="none"/>
              </w:rPr>
              <w:t>工信部联企业〔2011〕300号</w:t>
            </w:r>
            <w:r>
              <w:rPr>
                <w:rStyle w:val="34"/>
                <w:rFonts w:hint="eastAsia" w:ascii="宋体" w:hAnsi="宋体" w:eastAsia="宋体" w:cs="宋体"/>
                <w:b w:val="0"/>
                <w:color w:val="auto"/>
                <w:sz w:val="24"/>
                <w:szCs w:val="24"/>
                <w:highlight w:val="none"/>
                <w:lang w:eastAsia="zh-CN"/>
              </w:rPr>
              <w:t>》</w:t>
            </w:r>
          </w:p>
        </w:tc>
        <w:tc>
          <w:tcPr>
            <w:tcW w:w="6700" w:type="dxa"/>
            <w:vAlign w:val="center"/>
          </w:tcPr>
          <w:p w14:paraId="56AC7DD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2"/>
              <w:tblW w:w="6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3240"/>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0" w:type="dxa"/>
                  <w:vAlign w:val="center"/>
                </w:tcPr>
                <w:p w14:paraId="0AD36816">
                  <w:pPr>
                    <w:keepNext w:val="0"/>
                    <w:keepLines w:val="0"/>
                    <w:widowControl/>
                    <w:suppressLineNumbers w:val="0"/>
                    <w:spacing w:line="300" w:lineRule="exact"/>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240" w:type="dxa"/>
                  <w:vAlign w:val="center"/>
                </w:tcPr>
                <w:p w14:paraId="2C78D772">
                  <w:pPr>
                    <w:keepNext w:val="0"/>
                    <w:keepLines w:val="0"/>
                    <w:widowControl/>
                    <w:suppressLineNumbers w:val="0"/>
                    <w:spacing w:line="300" w:lineRule="exact"/>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990" w:type="dxa"/>
                  <w:vAlign w:val="center"/>
                </w:tcPr>
                <w:p w14:paraId="7B94C3FE">
                  <w:pPr>
                    <w:keepNext w:val="0"/>
                    <w:keepLines w:val="0"/>
                    <w:widowControl/>
                    <w:suppressLineNumbers w:val="0"/>
                    <w:spacing w:line="300" w:lineRule="exact"/>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乌鲁木齐市警务训练保障中心食堂餐饮服务项目</w:t>
                  </w:r>
                </w:p>
              </w:tc>
              <w:tc>
                <w:tcPr>
                  <w:tcW w:w="3240" w:type="dxa"/>
                  <w:vAlign w:val="center"/>
                </w:tcPr>
                <w:p w14:paraId="33535D95">
                  <w:pPr>
                    <w:keepNext w:val="0"/>
                    <w:keepLines w:val="0"/>
                    <w:widowControl/>
                    <w:suppressLineNumbers w:val="0"/>
                    <w:spacing w:line="300" w:lineRule="exact"/>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sz w:val="24"/>
                      <w:szCs w:val="24"/>
                      <w:highlight w:val="none"/>
                      <w:lang w:eastAsia="zh-CN"/>
                    </w:rPr>
                    <w:t>餐饮业</w:t>
                  </w:r>
                </w:p>
              </w:tc>
            </w:tr>
          </w:tbl>
          <w:p w14:paraId="0A9B4564">
            <w:pPr>
              <w:pStyle w:val="38"/>
              <w:rPr>
                <w:rFonts w:hint="eastAsia"/>
                <w:color w:val="auto"/>
                <w:highlight w:val="none"/>
              </w:rPr>
            </w:pP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33" w:hRule="atLeast"/>
        </w:trPr>
        <w:tc>
          <w:tcPr>
            <w:tcW w:w="970" w:type="dxa"/>
            <w:shd w:val="clear" w:color="auto" w:fill="auto"/>
            <w:vAlign w:val="center"/>
          </w:tcPr>
          <w:p w14:paraId="213F4586">
            <w:pPr>
              <w:pStyle w:val="5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1D89079E">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091" w:hRule="atLeast"/>
        </w:trPr>
        <w:tc>
          <w:tcPr>
            <w:tcW w:w="970" w:type="dxa"/>
            <w:tcBorders>
              <w:right w:val="single" w:color="auto" w:sz="4" w:space="0"/>
            </w:tcBorders>
            <w:vAlign w:val="center"/>
          </w:tcPr>
          <w:p w14:paraId="08D3F63A">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269E92D">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0662F476">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70CA57B7">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1ECD6A03">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7DE2D8BD">
      <w:pPr>
        <w:rPr>
          <w:color w:val="auto"/>
          <w:highlight w:val="none"/>
        </w:rPr>
      </w:pPr>
    </w:p>
    <w:p w14:paraId="0E1C722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bookmarkStart w:id="117" w:name="_Toc6398"/>
      <w:bookmarkStart w:id="118" w:name="_Toc155185869"/>
      <w:bookmarkStart w:id="119" w:name="_Toc9440"/>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二、投标人须知</w:t>
      </w:r>
      <w:bookmarkEnd w:id="117"/>
      <w:bookmarkEnd w:id="118"/>
      <w:bookmarkEnd w:id="119"/>
    </w:p>
    <w:p w14:paraId="604D77A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0" w:name="_Toc22384"/>
      <w:bookmarkStart w:id="121" w:name="_Toc155185870"/>
      <w:bookmarkStart w:id="122" w:name="_Toc163492822"/>
      <w:r>
        <w:rPr>
          <w:rFonts w:hint="eastAsia" w:ascii="宋体" w:hAnsi="宋体" w:eastAsia="宋体" w:cs="宋体"/>
          <w:b/>
          <w:bCs/>
          <w:color w:val="auto"/>
          <w:kern w:val="2"/>
          <w:sz w:val="24"/>
          <w:szCs w:val="24"/>
          <w:highlight w:val="none"/>
          <w:lang w:val="en-US" w:eastAsia="zh-CN" w:bidi="ar-SA"/>
        </w:rPr>
        <w:t>（一）总则</w:t>
      </w:r>
      <w:bookmarkEnd w:id="120"/>
      <w:bookmarkEnd w:id="121"/>
      <w:bookmarkEnd w:id="122"/>
    </w:p>
    <w:p w14:paraId="788765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3" w:name="_Toc109899631"/>
      <w:bookmarkStart w:id="124" w:name="_Toc155095689"/>
      <w:bookmarkStart w:id="125" w:name="_Toc109900469"/>
      <w:bookmarkStart w:id="126" w:name="_Toc109897532"/>
      <w:bookmarkStart w:id="127" w:name="_Toc163492823"/>
      <w:bookmarkStart w:id="128" w:name="_Toc109900050"/>
      <w:bookmarkStart w:id="129" w:name="_Toc30340"/>
      <w:bookmarkStart w:id="130" w:name="_Toc31233"/>
      <w:r>
        <w:rPr>
          <w:rFonts w:hint="eastAsia" w:ascii="宋体" w:hAnsi="宋体" w:eastAsia="宋体" w:cs="宋体"/>
          <w:b/>
          <w:bCs/>
          <w:color w:val="auto"/>
          <w:kern w:val="2"/>
          <w:sz w:val="24"/>
          <w:szCs w:val="24"/>
          <w:highlight w:val="none"/>
          <w:lang w:val="en-US" w:eastAsia="zh-CN" w:bidi="ar-SA"/>
        </w:rPr>
        <w:t>1.适用范围</w:t>
      </w:r>
      <w:bookmarkEnd w:id="123"/>
      <w:bookmarkEnd w:id="124"/>
      <w:bookmarkEnd w:id="125"/>
      <w:bookmarkEnd w:id="126"/>
      <w:bookmarkEnd w:id="127"/>
      <w:bookmarkEnd w:id="128"/>
      <w:bookmarkEnd w:id="129"/>
      <w:bookmarkEnd w:id="130"/>
    </w:p>
    <w:p w14:paraId="3896363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1" w:name="_Toc7979"/>
      <w:bookmarkStart w:id="132" w:name="_Toc163492824"/>
      <w:r>
        <w:rPr>
          <w:rFonts w:hint="eastAsia" w:ascii="宋体" w:hAnsi="宋体" w:eastAsia="宋体" w:cs="宋体"/>
          <w:b/>
          <w:bCs/>
          <w:color w:val="auto"/>
          <w:kern w:val="2"/>
          <w:sz w:val="24"/>
          <w:szCs w:val="24"/>
          <w:highlight w:val="none"/>
          <w:lang w:val="en-US" w:eastAsia="zh-CN" w:bidi="ar-SA"/>
        </w:rPr>
        <w:t>2.基本定义</w:t>
      </w:r>
      <w:bookmarkEnd w:id="131"/>
      <w:bookmarkEnd w:id="132"/>
    </w:p>
    <w:p w14:paraId="768D70C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41"/>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3" w:name="_Toc21761"/>
      <w:bookmarkStart w:id="134" w:name="_Toc140132758"/>
      <w:bookmarkStart w:id="135" w:name="_Toc163492825"/>
      <w:r>
        <w:rPr>
          <w:rFonts w:hint="eastAsia" w:ascii="宋体" w:hAnsi="宋体" w:eastAsia="宋体" w:cs="宋体"/>
          <w:b/>
          <w:bCs/>
          <w:color w:val="auto"/>
          <w:kern w:val="2"/>
          <w:sz w:val="24"/>
          <w:szCs w:val="24"/>
          <w:highlight w:val="none"/>
          <w:lang w:val="en-US" w:eastAsia="zh-CN" w:bidi="ar-SA"/>
        </w:rPr>
        <w:t>3.资金来源</w:t>
      </w:r>
      <w:bookmarkEnd w:id="133"/>
      <w:bookmarkEnd w:id="134"/>
      <w:bookmarkEnd w:id="135"/>
    </w:p>
    <w:p w14:paraId="76E8C14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6" w:name="_Toc140132760"/>
      <w:bookmarkStart w:id="137" w:name="_Toc163492826"/>
      <w:bookmarkStart w:id="138" w:name="_Toc8143"/>
      <w:r>
        <w:rPr>
          <w:rFonts w:hint="eastAsia" w:ascii="宋体" w:hAnsi="宋体" w:eastAsia="宋体" w:cs="宋体"/>
          <w:b/>
          <w:bCs/>
          <w:color w:val="auto"/>
          <w:kern w:val="2"/>
          <w:sz w:val="24"/>
          <w:szCs w:val="24"/>
          <w:highlight w:val="none"/>
          <w:lang w:val="en-US" w:eastAsia="zh-CN" w:bidi="ar-SA"/>
        </w:rPr>
        <w:t>4.投标人资格要求</w:t>
      </w:r>
      <w:bookmarkEnd w:id="136"/>
      <w:bookmarkEnd w:id="137"/>
      <w:bookmarkEnd w:id="138"/>
    </w:p>
    <w:p w14:paraId="522AD9C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163492827"/>
      <w:bookmarkStart w:id="140" w:name="_Toc18281"/>
      <w:r>
        <w:rPr>
          <w:rFonts w:hint="eastAsia" w:ascii="宋体" w:hAnsi="宋体" w:eastAsia="宋体" w:cs="宋体"/>
          <w:b/>
          <w:bCs/>
          <w:color w:val="auto"/>
          <w:kern w:val="2"/>
          <w:sz w:val="24"/>
          <w:szCs w:val="24"/>
          <w:highlight w:val="none"/>
          <w:lang w:val="en-US" w:eastAsia="zh-CN" w:bidi="ar-SA"/>
        </w:rPr>
        <w:t>5.费用承担</w:t>
      </w:r>
      <w:bookmarkEnd w:id="139"/>
      <w:bookmarkEnd w:id="140"/>
    </w:p>
    <w:p w14:paraId="3C6741ED">
      <w:pPr>
        <w:pStyle w:val="41"/>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1" w:name="_Toc140132761"/>
      <w:bookmarkStart w:id="142" w:name="_Toc163492828"/>
      <w:bookmarkStart w:id="143" w:name="_Toc4542"/>
      <w:r>
        <w:rPr>
          <w:rFonts w:hint="eastAsia" w:ascii="宋体" w:hAnsi="宋体" w:eastAsia="宋体" w:cs="宋体"/>
          <w:b/>
          <w:bCs/>
          <w:color w:val="auto"/>
          <w:kern w:val="2"/>
          <w:sz w:val="24"/>
          <w:szCs w:val="24"/>
          <w:highlight w:val="none"/>
          <w:lang w:val="en-US" w:eastAsia="zh-CN" w:bidi="ar-SA"/>
        </w:rPr>
        <w:t>6.保密</w:t>
      </w:r>
      <w:bookmarkEnd w:id="141"/>
      <w:bookmarkEnd w:id="142"/>
      <w:bookmarkEnd w:id="143"/>
    </w:p>
    <w:p w14:paraId="7CBA93F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4" w:name="_Toc9160"/>
      <w:bookmarkStart w:id="145" w:name="_Toc163492829"/>
      <w:bookmarkStart w:id="146" w:name="_Toc140132762"/>
      <w:r>
        <w:rPr>
          <w:rFonts w:hint="eastAsia" w:ascii="宋体" w:hAnsi="宋体" w:eastAsia="宋体" w:cs="宋体"/>
          <w:b/>
          <w:bCs/>
          <w:color w:val="auto"/>
          <w:kern w:val="2"/>
          <w:sz w:val="24"/>
          <w:szCs w:val="24"/>
          <w:highlight w:val="none"/>
          <w:lang w:val="en-US" w:eastAsia="zh-CN" w:bidi="ar-SA"/>
        </w:rPr>
        <w:t>7.语言文字</w:t>
      </w:r>
      <w:bookmarkEnd w:id="144"/>
      <w:bookmarkEnd w:id="145"/>
      <w:bookmarkEnd w:id="146"/>
    </w:p>
    <w:p w14:paraId="2514093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7" w:name="_Toc163492830"/>
      <w:bookmarkStart w:id="148" w:name="_Toc140132763"/>
      <w:bookmarkStart w:id="149" w:name="_Toc15679"/>
      <w:r>
        <w:rPr>
          <w:rFonts w:hint="eastAsia" w:ascii="宋体" w:hAnsi="宋体" w:eastAsia="宋体" w:cs="宋体"/>
          <w:b/>
          <w:bCs/>
          <w:color w:val="auto"/>
          <w:kern w:val="2"/>
          <w:sz w:val="24"/>
          <w:szCs w:val="24"/>
          <w:highlight w:val="none"/>
          <w:lang w:val="en-US" w:eastAsia="zh-CN" w:bidi="ar-SA"/>
        </w:rPr>
        <w:t>8.计量单位</w:t>
      </w:r>
      <w:bookmarkEnd w:id="147"/>
      <w:bookmarkEnd w:id="148"/>
      <w:bookmarkEnd w:id="149"/>
    </w:p>
    <w:p w14:paraId="45A7AE5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0" w:name="_Toc23050"/>
      <w:bookmarkStart w:id="151" w:name="_Toc140132764"/>
      <w:bookmarkStart w:id="152" w:name="_Toc163492831"/>
      <w:r>
        <w:rPr>
          <w:rFonts w:hint="eastAsia" w:ascii="宋体" w:hAnsi="宋体" w:eastAsia="宋体" w:cs="宋体"/>
          <w:b/>
          <w:bCs/>
          <w:color w:val="auto"/>
          <w:kern w:val="2"/>
          <w:sz w:val="24"/>
          <w:szCs w:val="24"/>
          <w:highlight w:val="none"/>
          <w:lang w:val="en-US" w:eastAsia="zh-CN" w:bidi="ar-SA"/>
        </w:rPr>
        <w:t>9.现场考察和答疑会</w:t>
      </w:r>
      <w:bookmarkEnd w:id="150"/>
      <w:bookmarkEnd w:id="151"/>
      <w:bookmarkEnd w:id="152"/>
    </w:p>
    <w:p w14:paraId="5A8B8C4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53"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53"/>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4" w:name="_Toc72"/>
      <w:bookmarkStart w:id="155" w:name="_Toc155185858"/>
      <w:bookmarkStart w:id="156" w:name="_Toc163492833"/>
      <w:bookmarkStart w:id="157" w:name="_Toc155185871"/>
      <w:r>
        <w:rPr>
          <w:rFonts w:hint="eastAsia" w:ascii="宋体" w:hAnsi="宋体" w:eastAsia="宋体" w:cs="宋体"/>
          <w:b/>
          <w:bCs/>
          <w:color w:val="auto"/>
          <w:kern w:val="2"/>
          <w:sz w:val="24"/>
          <w:szCs w:val="24"/>
          <w:highlight w:val="none"/>
          <w:lang w:val="en-US" w:eastAsia="zh-CN" w:bidi="ar-SA"/>
        </w:rPr>
        <w:t>10.电子投标说明</w:t>
      </w:r>
      <w:bookmarkEnd w:id="154"/>
      <w:bookmarkEnd w:id="155"/>
      <w:bookmarkEnd w:id="156"/>
      <w:r>
        <w:rPr>
          <w:rFonts w:hint="eastAsia" w:ascii="宋体" w:hAnsi="宋体" w:eastAsia="宋体" w:cs="宋体"/>
          <w:b/>
          <w:bCs/>
          <w:color w:val="auto"/>
          <w:kern w:val="2"/>
          <w:sz w:val="24"/>
          <w:szCs w:val="24"/>
          <w:highlight w:val="none"/>
          <w:lang w:val="en-US" w:eastAsia="zh-CN" w:bidi="ar-SA"/>
        </w:rPr>
        <w:t xml:space="preserve">   </w:t>
      </w:r>
    </w:p>
    <w:p w14:paraId="1885013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lang w:val="zh-CN" w:eastAsia="zh-CN"/>
        </w:rPr>
        <w:t>政府采购网“供应商注册”—“政府采购供应商入驻登记”—“立即登记”进行自助注册绑定。</w:t>
      </w:r>
    </w:p>
    <w:p w14:paraId="091665A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政府采购网“下载专区”—“电子招投标客户端下载”下载相关客户端，如有问题可拨打政采云客户服务热线95763进行咨询。</w:t>
      </w:r>
    </w:p>
    <w:p w14:paraId="1A54E8F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”电子交易规则调整，以最新要求为准。</w:t>
      </w:r>
    </w:p>
    <w:p w14:paraId="733157B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8" w:name="_Toc163492834"/>
      <w:bookmarkStart w:id="159" w:name="_Toc12064"/>
      <w:r>
        <w:rPr>
          <w:rFonts w:hint="eastAsia" w:ascii="宋体" w:hAnsi="宋体" w:eastAsia="宋体" w:cs="宋体"/>
          <w:b/>
          <w:bCs/>
          <w:color w:val="auto"/>
          <w:kern w:val="2"/>
          <w:sz w:val="24"/>
          <w:szCs w:val="24"/>
          <w:highlight w:val="none"/>
          <w:lang w:val="en-US" w:eastAsia="zh-CN" w:bidi="ar-SA"/>
        </w:rPr>
        <w:t>（二）招标文件</w:t>
      </w:r>
      <w:bookmarkEnd w:id="157"/>
      <w:bookmarkEnd w:id="158"/>
      <w:bookmarkEnd w:id="159"/>
    </w:p>
    <w:p w14:paraId="08A2C6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0" w:name="_Toc140132768"/>
      <w:bookmarkStart w:id="161" w:name="_Toc14223"/>
      <w:bookmarkStart w:id="162" w:name="_Toc163492835"/>
      <w:r>
        <w:rPr>
          <w:rFonts w:hint="eastAsia" w:ascii="宋体" w:hAnsi="宋体" w:eastAsia="宋体" w:cs="宋体"/>
          <w:b/>
          <w:bCs/>
          <w:color w:val="auto"/>
          <w:kern w:val="2"/>
          <w:sz w:val="24"/>
          <w:szCs w:val="24"/>
          <w:highlight w:val="none"/>
          <w:lang w:val="en-US" w:eastAsia="zh-CN" w:bidi="ar-SA"/>
        </w:rPr>
        <w:t>11.招标文件的组成</w:t>
      </w:r>
      <w:bookmarkEnd w:id="160"/>
      <w:bookmarkEnd w:id="161"/>
      <w:bookmarkEnd w:id="162"/>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3" w:name="_Toc140132769"/>
      <w:bookmarkStart w:id="164" w:name="_Toc12876"/>
      <w:bookmarkStart w:id="165" w:name="_Toc163492836"/>
      <w:r>
        <w:rPr>
          <w:rFonts w:hint="eastAsia" w:ascii="宋体" w:hAnsi="宋体" w:eastAsia="宋体" w:cs="宋体"/>
          <w:b/>
          <w:bCs/>
          <w:color w:val="auto"/>
          <w:kern w:val="2"/>
          <w:sz w:val="24"/>
          <w:szCs w:val="24"/>
          <w:highlight w:val="none"/>
          <w:lang w:val="en-US" w:eastAsia="zh-CN" w:bidi="ar-SA"/>
        </w:rPr>
        <w:t>12.招标文件的询问、澄清或者修改</w:t>
      </w:r>
      <w:bookmarkEnd w:id="163"/>
      <w:bookmarkEnd w:id="164"/>
      <w:bookmarkEnd w:id="165"/>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41"/>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6" w:name="_Toc163492837"/>
      <w:bookmarkStart w:id="167" w:name="_Toc155185872"/>
      <w:bookmarkStart w:id="168" w:name="_Toc19757"/>
      <w:r>
        <w:rPr>
          <w:rFonts w:hint="eastAsia" w:ascii="宋体" w:hAnsi="宋体" w:eastAsia="宋体" w:cs="宋体"/>
          <w:b/>
          <w:bCs/>
          <w:color w:val="auto"/>
          <w:kern w:val="2"/>
          <w:sz w:val="24"/>
          <w:szCs w:val="24"/>
          <w:highlight w:val="none"/>
          <w:lang w:val="en-US" w:eastAsia="zh-CN" w:bidi="ar-SA"/>
        </w:rPr>
        <w:t>（三）投标文件</w:t>
      </w:r>
      <w:bookmarkEnd w:id="166"/>
      <w:bookmarkEnd w:id="167"/>
      <w:bookmarkEnd w:id="168"/>
    </w:p>
    <w:p w14:paraId="67D7EC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9" w:name="_Toc163492838"/>
      <w:bookmarkStart w:id="170" w:name="_Toc17841"/>
      <w:r>
        <w:rPr>
          <w:rFonts w:hint="eastAsia" w:ascii="宋体" w:hAnsi="宋体" w:eastAsia="宋体" w:cs="宋体"/>
          <w:b/>
          <w:bCs/>
          <w:color w:val="auto"/>
          <w:kern w:val="2"/>
          <w:sz w:val="24"/>
          <w:szCs w:val="24"/>
          <w:highlight w:val="none"/>
          <w:lang w:val="en-US" w:eastAsia="zh-CN" w:bidi="ar-SA"/>
        </w:rPr>
        <w:t>13.投标文件的组成</w:t>
      </w:r>
      <w:bookmarkEnd w:id="169"/>
      <w:bookmarkEnd w:id="170"/>
    </w:p>
    <w:p w14:paraId="174A0A3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171" w:name="_Toc140132772"/>
      <w:bookmarkStart w:id="172"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73" w:name="_Hlk11703583"/>
      <w:r>
        <w:rPr>
          <w:rFonts w:hint="eastAsia" w:ascii="宋体" w:hAnsi="宋体" w:eastAsia="宋体" w:cs="宋体"/>
          <w:color w:val="auto"/>
          <w:kern w:val="2"/>
          <w:sz w:val="24"/>
          <w:szCs w:val="24"/>
          <w:highlight w:val="none"/>
          <w:lang w:val="en-US" w:eastAsia="zh-CN"/>
        </w:rPr>
        <w:t>等。</w:t>
      </w:r>
    </w:p>
    <w:bookmarkEnd w:id="173"/>
    <w:p w14:paraId="781BBAE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4" w:name="_Toc348"/>
      <w:r>
        <w:rPr>
          <w:rFonts w:hint="eastAsia" w:ascii="宋体" w:hAnsi="宋体" w:eastAsia="宋体" w:cs="宋体"/>
          <w:b/>
          <w:bCs/>
          <w:color w:val="auto"/>
          <w:kern w:val="2"/>
          <w:sz w:val="24"/>
          <w:szCs w:val="24"/>
          <w:highlight w:val="none"/>
          <w:lang w:val="en-US" w:eastAsia="zh-CN" w:bidi="ar-SA"/>
        </w:rPr>
        <w:t>14.投标报价</w:t>
      </w:r>
      <w:bookmarkEnd w:id="171"/>
      <w:bookmarkEnd w:id="172"/>
      <w:bookmarkEnd w:id="174"/>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4"/>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8"/>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8"/>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8"/>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5" w:name="_Toc140132773"/>
      <w:bookmarkStart w:id="176" w:name="_Toc7336"/>
      <w:bookmarkStart w:id="177" w:name="_Toc163492840"/>
      <w:r>
        <w:rPr>
          <w:rFonts w:hint="eastAsia" w:ascii="宋体" w:hAnsi="宋体" w:eastAsia="宋体" w:cs="宋体"/>
          <w:b/>
          <w:bCs/>
          <w:color w:val="auto"/>
          <w:kern w:val="2"/>
          <w:sz w:val="24"/>
          <w:szCs w:val="24"/>
          <w:highlight w:val="none"/>
          <w:lang w:val="en-US" w:eastAsia="zh-CN" w:bidi="ar-SA"/>
        </w:rPr>
        <w:t>15.投标有效期</w:t>
      </w:r>
      <w:bookmarkEnd w:id="175"/>
      <w:bookmarkEnd w:id="176"/>
      <w:bookmarkEnd w:id="177"/>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8" w:name="_Toc26129"/>
      <w:bookmarkStart w:id="179" w:name="_Toc140132774"/>
      <w:bookmarkStart w:id="180" w:name="_Toc163492841"/>
      <w:r>
        <w:rPr>
          <w:rFonts w:hint="eastAsia" w:ascii="宋体" w:hAnsi="宋体" w:eastAsia="宋体" w:cs="宋体"/>
          <w:b/>
          <w:bCs/>
          <w:color w:val="auto"/>
          <w:kern w:val="2"/>
          <w:sz w:val="24"/>
          <w:szCs w:val="24"/>
          <w:highlight w:val="none"/>
          <w:lang w:val="en-US" w:eastAsia="zh-CN" w:bidi="ar-SA"/>
        </w:rPr>
        <w:t>16.投标文件的编制</w:t>
      </w:r>
      <w:bookmarkEnd w:id="178"/>
      <w:bookmarkEnd w:id="179"/>
      <w:bookmarkEnd w:id="180"/>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81"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81"/>
    </w:p>
    <w:p w14:paraId="1A7BD12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2" w:name="_Toc163492842"/>
      <w:bookmarkStart w:id="183" w:name="_Toc155185873"/>
      <w:bookmarkStart w:id="184" w:name="_Toc25951"/>
      <w:r>
        <w:rPr>
          <w:rFonts w:hint="eastAsia" w:ascii="宋体" w:hAnsi="宋体" w:eastAsia="宋体" w:cs="宋体"/>
          <w:b/>
          <w:bCs/>
          <w:color w:val="auto"/>
          <w:kern w:val="2"/>
          <w:sz w:val="24"/>
          <w:szCs w:val="24"/>
          <w:highlight w:val="none"/>
          <w:lang w:val="en-US" w:eastAsia="zh-CN" w:bidi="ar-SA"/>
        </w:rPr>
        <w:t>（四）投标</w:t>
      </w:r>
      <w:bookmarkEnd w:id="182"/>
      <w:bookmarkEnd w:id="183"/>
      <w:bookmarkEnd w:id="184"/>
    </w:p>
    <w:p w14:paraId="386CC8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5" w:name="_Toc3205"/>
      <w:bookmarkStart w:id="186" w:name="_Toc163492843"/>
      <w:r>
        <w:rPr>
          <w:rFonts w:hint="eastAsia" w:ascii="宋体" w:hAnsi="宋体" w:eastAsia="宋体" w:cs="宋体"/>
          <w:b/>
          <w:bCs/>
          <w:color w:val="auto"/>
          <w:kern w:val="2"/>
          <w:sz w:val="24"/>
          <w:szCs w:val="24"/>
          <w:highlight w:val="none"/>
          <w:lang w:val="en-US" w:eastAsia="zh-CN" w:bidi="ar-SA"/>
        </w:rPr>
        <w:t>17.投标保证金</w:t>
      </w:r>
      <w:bookmarkEnd w:id="185"/>
    </w:p>
    <w:p w14:paraId="1182B9B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政府采购网”首页“政采贷｜电子保函”快捷模块查看：</w:t>
      </w:r>
    </w:p>
    <w:p w14:paraId="1F3A8C5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16592"/>
      <w:r>
        <w:rPr>
          <w:rFonts w:hint="eastAsia" w:ascii="宋体" w:hAnsi="宋体" w:eastAsia="宋体" w:cs="宋体"/>
          <w:b/>
          <w:bCs/>
          <w:color w:val="auto"/>
          <w:kern w:val="2"/>
          <w:sz w:val="24"/>
          <w:szCs w:val="24"/>
          <w:highlight w:val="none"/>
          <w:lang w:val="en-US" w:eastAsia="zh-CN" w:bidi="ar-SA"/>
        </w:rPr>
        <w:t>18.投标文件的加密</w:t>
      </w:r>
      <w:bookmarkEnd w:id="186"/>
      <w:bookmarkEnd w:id="187"/>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188"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88"/>
    <w:p w14:paraId="31ED663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9" w:name="_Toc140132777"/>
      <w:bookmarkStart w:id="190" w:name="_Toc7146"/>
      <w:bookmarkStart w:id="191" w:name="_Toc163492844"/>
      <w:r>
        <w:rPr>
          <w:rFonts w:hint="eastAsia" w:ascii="宋体" w:hAnsi="宋体" w:eastAsia="宋体" w:cs="宋体"/>
          <w:b/>
          <w:bCs/>
          <w:color w:val="auto"/>
          <w:kern w:val="2"/>
          <w:sz w:val="24"/>
          <w:szCs w:val="24"/>
          <w:highlight w:val="none"/>
          <w:lang w:val="en-US" w:eastAsia="zh-CN" w:bidi="ar-SA"/>
        </w:rPr>
        <w:t>19.投标文件的递交</w:t>
      </w:r>
      <w:bookmarkEnd w:id="189"/>
      <w:r>
        <w:rPr>
          <w:rFonts w:hint="eastAsia" w:ascii="宋体" w:hAnsi="宋体" w:eastAsia="宋体" w:cs="宋体"/>
          <w:b/>
          <w:bCs/>
          <w:color w:val="auto"/>
          <w:kern w:val="2"/>
          <w:sz w:val="24"/>
          <w:szCs w:val="24"/>
          <w:highlight w:val="none"/>
          <w:lang w:val="en-US" w:eastAsia="zh-CN" w:bidi="ar-SA"/>
        </w:rPr>
        <w:t>（上传）</w:t>
      </w:r>
      <w:bookmarkEnd w:id="190"/>
      <w:bookmarkEnd w:id="191"/>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192"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2"/>
    <w:p w14:paraId="6AD7096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3" w:name="_Toc163492845"/>
      <w:bookmarkStart w:id="194" w:name="_Toc788"/>
      <w:r>
        <w:rPr>
          <w:rFonts w:hint="eastAsia" w:ascii="宋体" w:hAnsi="宋体" w:eastAsia="宋体" w:cs="宋体"/>
          <w:b/>
          <w:bCs/>
          <w:color w:val="auto"/>
          <w:kern w:val="2"/>
          <w:sz w:val="24"/>
          <w:szCs w:val="24"/>
          <w:highlight w:val="none"/>
          <w:lang w:val="en-US" w:eastAsia="zh-CN" w:bidi="ar-SA"/>
        </w:rPr>
        <w:t>20.拒收</w:t>
      </w:r>
      <w:bookmarkEnd w:id="193"/>
      <w:bookmarkEnd w:id="194"/>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195" w:name="_Hlk143532404"/>
      <w:r>
        <w:rPr>
          <w:rFonts w:hint="eastAsia" w:ascii="宋体" w:hAnsi="宋体" w:eastAsia="宋体" w:cs="宋体"/>
          <w:color w:val="auto"/>
          <w:sz w:val="24"/>
          <w:szCs w:val="24"/>
          <w:highlight w:val="none"/>
        </w:rPr>
        <w:t>或者不按照本章要求加密的投标文件，交易系统应当拒收</w:t>
      </w:r>
      <w:bookmarkEnd w:id="195"/>
      <w:r>
        <w:rPr>
          <w:rFonts w:hint="eastAsia" w:ascii="宋体" w:hAnsi="宋体" w:eastAsia="宋体" w:cs="宋体"/>
          <w:color w:val="auto"/>
          <w:sz w:val="24"/>
          <w:szCs w:val="24"/>
          <w:highlight w:val="none"/>
        </w:rPr>
        <w:t>。</w:t>
      </w:r>
    </w:p>
    <w:p w14:paraId="0356121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6" w:name="_Toc735"/>
      <w:bookmarkStart w:id="197" w:name="_Toc140132778"/>
      <w:bookmarkStart w:id="198" w:name="_Toc163492846"/>
      <w:r>
        <w:rPr>
          <w:rFonts w:hint="eastAsia" w:ascii="宋体" w:hAnsi="宋体" w:eastAsia="宋体" w:cs="宋体"/>
          <w:b/>
          <w:bCs/>
          <w:color w:val="auto"/>
          <w:kern w:val="2"/>
          <w:sz w:val="24"/>
          <w:szCs w:val="24"/>
          <w:highlight w:val="none"/>
          <w:lang w:val="en-US" w:eastAsia="zh-CN" w:bidi="ar-SA"/>
        </w:rPr>
        <w:t>21.投标文件的修改与撤回</w:t>
      </w:r>
      <w:bookmarkEnd w:id="196"/>
      <w:bookmarkEnd w:id="197"/>
      <w:bookmarkEnd w:id="198"/>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199"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199"/>
    <w:p w14:paraId="20434D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0" w:name="_Toc18326"/>
      <w:bookmarkStart w:id="201" w:name="_Toc163492847"/>
      <w:bookmarkStart w:id="202" w:name="_Toc155185874"/>
      <w:r>
        <w:rPr>
          <w:rFonts w:hint="eastAsia" w:ascii="宋体" w:hAnsi="宋体" w:eastAsia="宋体" w:cs="宋体"/>
          <w:b/>
          <w:bCs/>
          <w:color w:val="auto"/>
          <w:kern w:val="2"/>
          <w:sz w:val="24"/>
          <w:szCs w:val="24"/>
          <w:highlight w:val="none"/>
          <w:lang w:val="en-US" w:eastAsia="zh-CN" w:bidi="ar-SA"/>
        </w:rPr>
        <w:t>22.实物样品</w:t>
      </w:r>
      <w:bookmarkEnd w:id="200"/>
      <w:bookmarkEnd w:id="201"/>
      <w:bookmarkEnd w:id="202"/>
    </w:p>
    <w:p w14:paraId="52D4EAF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3" w:name="_Toc163492848"/>
      <w:bookmarkStart w:id="204" w:name="_Toc16730"/>
      <w:bookmarkStart w:id="205" w:name="_Toc155185875"/>
      <w:r>
        <w:rPr>
          <w:rFonts w:hint="eastAsia" w:ascii="宋体" w:hAnsi="宋体" w:eastAsia="宋体" w:cs="宋体"/>
          <w:b/>
          <w:bCs/>
          <w:color w:val="auto"/>
          <w:kern w:val="2"/>
          <w:sz w:val="24"/>
          <w:szCs w:val="24"/>
          <w:highlight w:val="none"/>
          <w:lang w:val="en-US" w:eastAsia="zh-CN" w:bidi="ar-SA"/>
        </w:rPr>
        <w:t>23.演示</w:t>
      </w:r>
      <w:bookmarkEnd w:id="203"/>
      <w:bookmarkEnd w:id="204"/>
      <w:bookmarkEnd w:id="205"/>
    </w:p>
    <w:p w14:paraId="1A234B3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6" w:name="_Toc140132779"/>
      <w:bookmarkStart w:id="207" w:name="_Toc32704"/>
      <w:bookmarkStart w:id="208" w:name="_Toc155185876"/>
      <w:bookmarkStart w:id="209" w:name="_Toc163492849"/>
      <w:r>
        <w:rPr>
          <w:rFonts w:hint="eastAsia" w:ascii="宋体" w:hAnsi="宋体" w:eastAsia="宋体" w:cs="宋体"/>
          <w:b/>
          <w:bCs/>
          <w:color w:val="auto"/>
          <w:kern w:val="2"/>
          <w:sz w:val="24"/>
          <w:szCs w:val="24"/>
          <w:highlight w:val="none"/>
          <w:lang w:val="en-US" w:eastAsia="zh-CN" w:bidi="ar-SA"/>
        </w:rPr>
        <w:t>（五）开标</w:t>
      </w:r>
      <w:bookmarkEnd w:id="206"/>
      <w:bookmarkEnd w:id="207"/>
      <w:bookmarkEnd w:id="208"/>
      <w:bookmarkEnd w:id="209"/>
    </w:p>
    <w:p w14:paraId="1705A8F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0" w:name="_Toc140132780"/>
      <w:bookmarkStart w:id="211" w:name="_Toc30506"/>
      <w:bookmarkStart w:id="212" w:name="_Toc163492850"/>
      <w:r>
        <w:rPr>
          <w:rFonts w:hint="eastAsia" w:ascii="宋体" w:hAnsi="宋体" w:eastAsia="宋体" w:cs="宋体"/>
          <w:b/>
          <w:bCs/>
          <w:color w:val="auto"/>
          <w:kern w:val="2"/>
          <w:sz w:val="24"/>
          <w:szCs w:val="24"/>
          <w:highlight w:val="none"/>
          <w:lang w:val="en-US" w:eastAsia="zh-CN" w:bidi="ar-SA"/>
        </w:rPr>
        <w:t>24.开标会议</w:t>
      </w:r>
      <w:bookmarkEnd w:id="210"/>
      <w:bookmarkEnd w:id="211"/>
      <w:bookmarkEnd w:id="212"/>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213"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13"/>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仿宋_GB2312"/>
          <w:color w:val="auto"/>
          <w:sz w:val="24"/>
          <w:szCs w:val="24"/>
          <w:highlight w:val="none"/>
          <w:lang w:eastAsia="zh-CN"/>
        </w:rPr>
        <w:t>新疆</w:t>
      </w:r>
      <w:r>
        <w:rPr>
          <w:rFonts w:hint="eastAsia" w:ascii="宋体" w:hAnsi="宋体" w:eastAsia="宋体" w:cs="宋体"/>
          <w:color w:val="auto"/>
          <w:kern w:val="2"/>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4" w:name="_Toc140132783"/>
      <w:bookmarkStart w:id="215" w:name="_Toc163492852"/>
      <w:bookmarkStart w:id="216" w:name="_Toc6154"/>
      <w:r>
        <w:rPr>
          <w:rFonts w:hint="eastAsia" w:ascii="宋体" w:hAnsi="宋体" w:eastAsia="宋体" w:cs="宋体"/>
          <w:b/>
          <w:bCs/>
          <w:color w:val="auto"/>
          <w:kern w:val="2"/>
          <w:sz w:val="24"/>
          <w:szCs w:val="24"/>
          <w:highlight w:val="none"/>
          <w:lang w:val="en-US" w:eastAsia="zh-CN" w:bidi="ar-SA"/>
        </w:rPr>
        <w:t>25.开标程序</w:t>
      </w:r>
      <w:bookmarkEnd w:id="214"/>
      <w:bookmarkEnd w:id="215"/>
      <w:bookmarkEnd w:id="216"/>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17" w:name="_Toc163492853"/>
      <w:bookmarkStart w:id="218" w:name="_Toc140132784"/>
    </w:p>
    <w:p w14:paraId="459D358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9" w:name="_Toc829"/>
      <w:r>
        <w:rPr>
          <w:rFonts w:hint="eastAsia" w:ascii="宋体" w:hAnsi="宋体" w:eastAsia="宋体" w:cs="宋体"/>
          <w:b/>
          <w:bCs/>
          <w:color w:val="auto"/>
          <w:kern w:val="2"/>
          <w:sz w:val="24"/>
          <w:szCs w:val="24"/>
          <w:highlight w:val="none"/>
          <w:lang w:val="en-US" w:eastAsia="zh-CN" w:bidi="ar-SA"/>
        </w:rPr>
        <w:t>26.开标疑义及回避情形</w:t>
      </w:r>
      <w:bookmarkEnd w:id="217"/>
      <w:bookmarkEnd w:id="218"/>
      <w:bookmarkEnd w:id="219"/>
    </w:p>
    <w:p w14:paraId="04573EB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0" w:name="_Toc163492854"/>
      <w:bookmarkStart w:id="221" w:name="_Toc28318"/>
      <w:bookmarkStart w:id="222" w:name="_Toc155185877"/>
      <w:bookmarkStart w:id="223" w:name="_Toc140132785"/>
      <w:r>
        <w:rPr>
          <w:rFonts w:hint="eastAsia" w:ascii="宋体" w:hAnsi="宋体" w:eastAsia="宋体" w:cs="宋体"/>
          <w:b/>
          <w:bCs/>
          <w:color w:val="auto"/>
          <w:kern w:val="2"/>
          <w:sz w:val="24"/>
          <w:szCs w:val="24"/>
          <w:highlight w:val="none"/>
          <w:lang w:val="en-US" w:eastAsia="zh-CN" w:bidi="ar-SA"/>
        </w:rPr>
        <w:t>（六）资格审查</w:t>
      </w:r>
      <w:bookmarkEnd w:id="220"/>
      <w:bookmarkEnd w:id="221"/>
      <w:bookmarkEnd w:id="222"/>
      <w:bookmarkEnd w:id="223"/>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4" w:name="_Toc163492855"/>
      <w:bookmarkStart w:id="225" w:name="_Toc8772"/>
      <w:r>
        <w:rPr>
          <w:rFonts w:hint="eastAsia" w:ascii="宋体" w:hAnsi="宋体" w:eastAsia="宋体" w:cs="宋体"/>
          <w:b/>
          <w:bCs/>
          <w:color w:val="auto"/>
          <w:kern w:val="2"/>
          <w:sz w:val="24"/>
          <w:szCs w:val="24"/>
          <w:highlight w:val="none"/>
          <w:lang w:val="en-US" w:eastAsia="zh-CN" w:bidi="ar-SA"/>
        </w:rPr>
        <w:t>27.资格审查及审查主体</w:t>
      </w:r>
      <w:bookmarkEnd w:id="224"/>
      <w:bookmarkEnd w:id="225"/>
    </w:p>
    <w:p w14:paraId="3F6E8AD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6"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26"/>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7"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27"/>
    </w:p>
    <w:p w14:paraId="44D43B8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8"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28"/>
    </w:p>
    <w:p w14:paraId="272F167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9" w:name="_Toc28643"/>
      <w:bookmarkStart w:id="230" w:name="_Toc163492856"/>
      <w:bookmarkStart w:id="231" w:name="_Toc155185878"/>
      <w:bookmarkStart w:id="232" w:name="_Toc140132789"/>
      <w:r>
        <w:rPr>
          <w:rFonts w:hint="eastAsia" w:ascii="宋体" w:hAnsi="宋体" w:eastAsia="宋体" w:cs="宋体"/>
          <w:b/>
          <w:bCs/>
          <w:color w:val="auto"/>
          <w:kern w:val="2"/>
          <w:sz w:val="24"/>
          <w:szCs w:val="24"/>
          <w:highlight w:val="none"/>
          <w:lang w:val="en-US" w:eastAsia="zh-CN" w:bidi="ar-SA"/>
        </w:rPr>
        <w:t>（七）评标</w:t>
      </w:r>
      <w:bookmarkEnd w:id="229"/>
      <w:bookmarkEnd w:id="230"/>
      <w:bookmarkEnd w:id="231"/>
      <w:bookmarkEnd w:id="232"/>
    </w:p>
    <w:p w14:paraId="7EBE7AB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3" w:name="_Toc140132790"/>
      <w:bookmarkStart w:id="234" w:name="_Toc163492857"/>
      <w:bookmarkStart w:id="235" w:name="_Toc12158"/>
      <w:r>
        <w:rPr>
          <w:rFonts w:hint="eastAsia" w:ascii="宋体" w:hAnsi="宋体" w:eastAsia="宋体" w:cs="宋体"/>
          <w:b/>
          <w:bCs/>
          <w:color w:val="auto"/>
          <w:kern w:val="2"/>
          <w:sz w:val="24"/>
          <w:szCs w:val="24"/>
          <w:highlight w:val="none"/>
          <w:lang w:val="en-US" w:eastAsia="zh-CN" w:bidi="ar-SA"/>
        </w:rPr>
        <w:t>28.评标委员会</w:t>
      </w:r>
      <w:bookmarkEnd w:id="233"/>
      <w:bookmarkEnd w:id="234"/>
      <w:bookmarkEnd w:id="235"/>
    </w:p>
    <w:p w14:paraId="1EA2B13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6" w:name="_Toc163492858"/>
      <w:bookmarkStart w:id="237" w:name="_Toc140132791"/>
      <w:bookmarkStart w:id="238" w:name="_Toc4280"/>
      <w:r>
        <w:rPr>
          <w:rFonts w:hint="eastAsia" w:ascii="宋体" w:hAnsi="宋体" w:eastAsia="宋体" w:cs="宋体"/>
          <w:b/>
          <w:bCs/>
          <w:color w:val="auto"/>
          <w:kern w:val="2"/>
          <w:sz w:val="24"/>
          <w:szCs w:val="24"/>
          <w:highlight w:val="none"/>
          <w:lang w:val="en-US" w:eastAsia="zh-CN" w:bidi="ar-SA"/>
        </w:rPr>
        <w:t>29.评标</w:t>
      </w:r>
      <w:bookmarkEnd w:id="236"/>
      <w:bookmarkEnd w:id="237"/>
      <w:bookmarkEnd w:id="238"/>
    </w:p>
    <w:p w14:paraId="6D0B095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9" w:name="_Toc140132792"/>
      <w:bookmarkStart w:id="240" w:name="_Toc163492859"/>
      <w:bookmarkStart w:id="241" w:name="_Toc155185879"/>
      <w:bookmarkStart w:id="242" w:name="_Toc157"/>
      <w:r>
        <w:rPr>
          <w:rFonts w:hint="eastAsia" w:ascii="宋体" w:hAnsi="宋体" w:eastAsia="宋体" w:cs="宋体"/>
          <w:b/>
          <w:bCs/>
          <w:color w:val="auto"/>
          <w:kern w:val="2"/>
          <w:sz w:val="24"/>
          <w:szCs w:val="24"/>
          <w:highlight w:val="none"/>
          <w:lang w:val="en-US" w:eastAsia="zh-CN" w:bidi="ar-SA"/>
        </w:rPr>
        <w:t>（八）中标</w:t>
      </w:r>
      <w:bookmarkEnd w:id="239"/>
      <w:bookmarkEnd w:id="240"/>
      <w:bookmarkEnd w:id="241"/>
      <w:bookmarkEnd w:id="242"/>
    </w:p>
    <w:p w14:paraId="37B6B95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3" w:name="_Toc140132793"/>
      <w:bookmarkStart w:id="244" w:name="_Toc163492860"/>
      <w:bookmarkStart w:id="245" w:name="_Toc23329"/>
      <w:r>
        <w:rPr>
          <w:rFonts w:hint="eastAsia" w:ascii="宋体" w:hAnsi="宋体" w:eastAsia="宋体" w:cs="宋体"/>
          <w:b/>
          <w:bCs/>
          <w:color w:val="auto"/>
          <w:kern w:val="2"/>
          <w:sz w:val="24"/>
          <w:szCs w:val="24"/>
          <w:highlight w:val="none"/>
          <w:lang w:val="en-US" w:eastAsia="zh-CN" w:bidi="ar-SA"/>
        </w:rPr>
        <w:t>30.确定中标人</w:t>
      </w:r>
      <w:bookmarkEnd w:id="243"/>
      <w:bookmarkEnd w:id="244"/>
      <w:bookmarkEnd w:id="245"/>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6" w:name="_Toc24110"/>
      <w:bookmarkStart w:id="247" w:name="_Toc140132794"/>
      <w:bookmarkStart w:id="248" w:name="_Toc163492861"/>
      <w:r>
        <w:rPr>
          <w:rFonts w:hint="eastAsia" w:ascii="宋体" w:hAnsi="宋体" w:eastAsia="宋体" w:cs="宋体"/>
          <w:b/>
          <w:bCs/>
          <w:color w:val="auto"/>
          <w:kern w:val="2"/>
          <w:sz w:val="24"/>
          <w:szCs w:val="24"/>
          <w:highlight w:val="none"/>
          <w:lang w:val="en-US" w:eastAsia="zh-CN" w:bidi="ar-SA"/>
        </w:rPr>
        <w:t>31.中标结果公告</w:t>
      </w:r>
      <w:bookmarkEnd w:id="246"/>
      <w:bookmarkEnd w:id="247"/>
      <w:bookmarkEnd w:id="248"/>
    </w:p>
    <w:p w14:paraId="5975ECA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9" w:name="_Toc10669"/>
      <w:bookmarkStart w:id="250" w:name="_Toc140132795"/>
      <w:bookmarkStart w:id="251" w:name="_Toc163492862"/>
      <w:r>
        <w:rPr>
          <w:rFonts w:hint="eastAsia" w:ascii="宋体" w:hAnsi="宋体" w:eastAsia="宋体" w:cs="宋体"/>
          <w:b/>
          <w:bCs/>
          <w:color w:val="auto"/>
          <w:kern w:val="2"/>
          <w:sz w:val="24"/>
          <w:szCs w:val="24"/>
          <w:highlight w:val="none"/>
          <w:lang w:val="en-US" w:eastAsia="zh-CN" w:bidi="ar-SA"/>
        </w:rPr>
        <w:t>32.中标通知</w:t>
      </w:r>
      <w:bookmarkEnd w:id="249"/>
      <w:bookmarkEnd w:id="250"/>
      <w:bookmarkEnd w:id="251"/>
    </w:p>
    <w:p w14:paraId="41D33E1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2" w:name="_Toc25579"/>
      <w:bookmarkStart w:id="253" w:name="_Toc163492863"/>
      <w:r>
        <w:rPr>
          <w:rFonts w:hint="eastAsia" w:ascii="宋体" w:hAnsi="宋体" w:eastAsia="宋体" w:cs="宋体"/>
          <w:b/>
          <w:bCs/>
          <w:color w:val="auto"/>
          <w:kern w:val="2"/>
          <w:sz w:val="24"/>
          <w:szCs w:val="24"/>
          <w:highlight w:val="none"/>
          <w:lang w:val="en-US" w:eastAsia="zh-CN" w:bidi="ar-SA"/>
        </w:rPr>
        <w:t>（九）签订</w:t>
      </w:r>
      <w:bookmarkStart w:id="254" w:name="_Toc140132796"/>
      <w:bookmarkStart w:id="255" w:name="_Toc155185880"/>
      <w:r>
        <w:rPr>
          <w:rFonts w:hint="eastAsia" w:ascii="宋体" w:hAnsi="宋体" w:eastAsia="宋体" w:cs="宋体"/>
          <w:b/>
          <w:bCs/>
          <w:color w:val="auto"/>
          <w:kern w:val="2"/>
          <w:sz w:val="24"/>
          <w:szCs w:val="24"/>
          <w:highlight w:val="none"/>
          <w:lang w:val="en-US" w:eastAsia="zh-CN" w:bidi="ar-SA"/>
        </w:rPr>
        <w:t>合同</w:t>
      </w:r>
      <w:bookmarkEnd w:id="252"/>
      <w:bookmarkEnd w:id="253"/>
      <w:bookmarkEnd w:id="254"/>
      <w:bookmarkEnd w:id="255"/>
    </w:p>
    <w:p w14:paraId="547E6B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6" w:name="_Toc20208"/>
      <w:bookmarkStart w:id="257" w:name="_Toc163492864"/>
      <w:bookmarkStart w:id="258" w:name="_Toc140132797"/>
      <w:r>
        <w:rPr>
          <w:rFonts w:hint="eastAsia" w:ascii="宋体" w:hAnsi="宋体" w:eastAsia="宋体" w:cs="宋体"/>
          <w:b/>
          <w:bCs/>
          <w:color w:val="auto"/>
          <w:kern w:val="2"/>
          <w:sz w:val="24"/>
          <w:szCs w:val="24"/>
          <w:highlight w:val="none"/>
          <w:lang w:val="en-US" w:eastAsia="zh-CN" w:bidi="ar-SA"/>
        </w:rPr>
        <w:t>33.履约保证金</w:t>
      </w:r>
      <w:bookmarkEnd w:id="256"/>
      <w:bookmarkEnd w:id="257"/>
      <w:bookmarkEnd w:id="258"/>
    </w:p>
    <w:p w14:paraId="77717F0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9" w:name="_Toc140132798"/>
      <w:bookmarkStart w:id="260" w:name="_Toc12503"/>
      <w:bookmarkStart w:id="261" w:name="_Toc163492865"/>
      <w:r>
        <w:rPr>
          <w:rFonts w:hint="eastAsia" w:ascii="宋体" w:hAnsi="宋体" w:eastAsia="宋体" w:cs="宋体"/>
          <w:b/>
          <w:bCs/>
          <w:color w:val="auto"/>
          <w:kern w:val="2"/>
          <w:sz w:val="24"/>
          <w:szCs w:val="24"/>
          <w:highlight w:val="none"/>
          <w:lang w:val="en-US" w:eastAsia="zh-CN" w:bidi="ar-SA"/>
        </w:rPr>
        <w:t>34.签订合同</w:t>
      </w:r>
      <w:bookmarkEnd w:id="259"/>
      <w:bookmarkEnd w:id="260"/>
      <w:bookmarkEnd w:id="261"/>
    </w:p>
    <w:p w14:paraId="77507EB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2" w:name="_Toc155185881"/>
      <w:bookmarkStart w:id="263" w:name="_Toc163492866"/>
      <w:bookmarkStart w:id="264" w:name="_Toc4530"/>
      <w:bookmarkStart w:id="265" w:name="_Toc140132799"/>
      <w:r>
        <w:rPr>
          <w:rFonts w:hint="eastAsia" w:ascii="宋体" w:hAnsi="宋体" w:eastAsia="宋体" w:cs="宋体"/>
          <w:b/>
          <w:bCs/>
          <w:color w:val="auto"/>
          <w:kern w:val="2"/>
          <w:sz w:val="24"/>
          <w:szCs w:val="24"/>
          <w:highlight w:val="none"/>
          <w:lang w:val="en-US" w:eastAsia="zh-CN" w:bidi="ar-SA"/>
        </w:rPr>
        <w:t>（十）质疑和投诉</w:t>
      </w:r>
      <w:bookmarkEnd w:id="262"/>
      <w:bookmarkEnd w:id="263"/>
      <w:bookmarkEnd w:id="264"/>
      <w:bookmarkEnd w:id="265"/>
    </w:p>
    <w:p w14:paraId="23BE6A9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6" w:name="_Toc163492867"/>
      <w:bookmarkStart w:id="267" w:name="_Toc140132800"/>
      <w:bookmarkStart w:id="268" w:name="_Toc19743"/>
      <w:r>
        <w:rPr>
          <w:rFonts w:hint="eastAsia" w:ascii="宋体" w:hAnsi="宋体" w:eastAsia="宋体" w:cs="宋体"/>
          <w:b/>
          <w:bCs/>
          <w:color w:val="auto"/>
          <w:kern w:val="2"/>
          <w:sz w:val="24"/>
          <w:szCs w:val="24"/>
          <w:highlight w:val="none"/>
          <w:lang w:val="en-US" w:eastAsia="zh-CN" w:bidi="ar-SA"/>
        </w:rPr>
        <w:t>35.质疑</w:t>
      </w:r>
      <w:bookmarkEnd w:id="266"/>
      <w:bookmarkEnd w:id="267"/>
      <w:bookmarkEnd w:id="268"/>
    </w:p>
    <w:p w14:paraId="097AA16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9" w:name="_Toc163492868"/>
      <w:bookmarkStart w:id="270" w:name="_Toc140132801"/>
      <w:bookmarkStart w:id="271" w:name="_Toc27598"/>
      <w:r>
        <w:rPr>
          <w:rFonts w:hint="eastAsia" w:ascii="宋体" w:hAnsi="宋体" w:eastAsia="宋体" w:cs="宋体"/>
          <w:b/>
          <w:bCs/>
          <w:color w:val="auto"/>
          <w:kern w:val="2"/>
          <w:sz w:val="24"/>
          <w:szCs w:val="24"/>
          <w:highlight w:val="none"/>
          <w:lang w:val="en-US" w:eastAsia="zh-CN" w:bidi="ar-SA"/>
        </w:rPr>
        <w:t>36.质疑答复</w:t>
      </w:r>
      <w:bookmarkEnd w:id="269"/>
      <w:bookmarkEnd w:id="270"/>
      <w:bookmarkEnd w:id="271"/>
    </w:p>
    <w:p w14:paraId="43D7F91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72" w:name="_Toc140132802"/>
      <w:bookmarkStart w:id="273"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4" w:name="_Toc7181"/>
      <w:r>
        <w:rPr>
          <w:rFonts w:hint="eastAsia" w:ascii="宋体" w:hAnsi="宋体" w:eastAsia="宋体" w:cs="宋体"/>
          <w:b/>
          <w:bCs/>
          <w:color w:val="auto"/>
          <w:kern w:val="2"/>
          <w:sz w:val="24"/>
          <w:szCs w:val="24"/>
          <w:highlight w:val="none"/>
          <w:lang w:val="en-US" w:eastAsia="zh-CN" w:bidi="ar-SA"/>
        </w:rPr>
        <w:t>37.投诉</w:t>
      </w:r>
      <w:bookmarkEnd w:id="272"/>
      <w:bookmarkEnd w:id="273"/>
      <w:bookmarkEnd w:id="274"/>
    </w:p>
    <w:p w14:paraId="34C5EAA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5" w:name="_Toc155185882"/>
      <w:bookmarkStart w:id="276" w:name="_Toc163492870"/>
      <w:bookmarkStart w:id="277" w:name="_Toc10455"/>
      <w:bookmarkStart w:id="278" w:name="_Toc140132803"/>
      <w:r>
        <w:rPr>
          <w:rFonts w:hint="eastAsia" w:ascii="宋体" w:hAnsi="宋体" w:eastAsia="宋体" w:cs="宋体"/>
          <w:b/>
          <w:bCs/>
          <w:color w:val="auto"/>
          <w:kern w:val="2"/>
          <w:sz w:val="24"/>
          <w:szCs w:val="24"/>
          <w:highlight w:val="none"/>
          <w:lang w:val="en-US" w:eastAsia="zh-CN" w:bidi="ar-SA"/>
        </w:rPr>
        <w:t>（十一）采购代理服务费</w:t>
      </w:r>
      <w:bookmarkEnd w:id="275"/>
      <w:bookmarkEnd w:id="276"/>
      <w:bookmarkEnd w:id="277"/>
      <w:bookmarkEnd w:id="278"/>
    </w:p>
    <w:p w14:paraId="3EF5B76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9" w:name="_Toc140132804"/>
      <w:bookmarkStart w:id="280" w:name="_Toc8855"/>
      <w:bookmarkStart w:id="281" w:name="_Toc163492871"/>
      <w:r>
        <w:rPr>
          <w:rFonts w:hint="eastAsia" w:ascii="宋体" w:hAnsi="宋体" w:eastAsia="宋体" w:cs="宋体"/>
          <w:b/>
          <w:bCs/>
          <w:color w:val="auto"/>
          <w:kern w:val="2"/>
          <w:sz w:val="24"/>
          <w:szCs w:val="24"/>
          <w:highlight w:val="none"/>
          <w:lang w:val="en-US" w:eastAsia="zh-CN" w:bidi="ar-SA"/>
        </w:rPr>
        <w:t>38.收取方式和标准</w:t>
      </w:r>
      <w:bookmarkEnd w:id="279"/>
      <w:bookmarkEnd w:id="280"/>
      <w:bookmarkEnd w:id="281"/>
    </w:p>
    <w:p w14:paraId="0FDD9E2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2" w:name="_Toc10992"/>
      <w:bookmarkStart w:id="283" w:name="_Toc155185883"/>
      <w:bookmarkStart w:id="284" w:name="_Toc163492872"/>
      <w:bookmarkStart w:id="285" w:name="_Toc140132805"/>
      <w:r>
        <w:rPr>
          <w:rFonts w:hint="eastAsia" w:ascii="宋体" w:hAnsi="宋体" w:eastAsia="宋体" w:cs="宋体"/>
          <w:b/>
          <w:bCs/>
          <w:color w:val="auto"/>
          <w:kern w:val="2"/>
          <w:sz w:val="24"/>
          <w:szCs w:val="24"/>
          <w:highlight w:val="none"/>
          <w:lang w:val="en-US" w:eastAsia="zh-CN" w:bidi="ar-SA"/>
        </w:rPr>
        <w:t>（十二）无效投标和废标</w:t>
      </w:r>
      <w:bookmarkEnd w:id="282"/>
      <w:bookmarkEnd w:id="283"/>
      <w:bookmarkEnd w:id="284"/>
      <w:bookmarkEnd w:id="285"/>
    </w:p>
    <w:p w14:paraId="2586923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6" w:name="_Toc28487"/>
      <w:bookmarkStart w:id="287" w:name="_Toc163492873"/>
      <w:bookmarkStart w:id="288" w:name="_Toc140132806"/>
      <w:r>
        <w:rPr>
          <w:rFonts w:hint="eastAsia" w:ascii="宋体" w:hAnsi="宋体" w:eastAsia="宋体" w:cs="宋体"/>
          <w:b/>
          <w:bCs/>
          <w:color w:val="auto"/>
          <w:kern w:val="2"/>
          <w:sz w:val="24"/>
          <w:szCs w:val="24"/>
          <w:highlight w:val="none"/>
          <w:lang w:val="en-US" w:eastAsia="zh-CN" w:bidi="ar-SA"/>
        </w:rPr>
        <w:t>39.无效投标</w:t>
      </w:r>
      <w:bookmarkEnd w:id="286"/>
      <w:bookmarkEnd w:id="287"/>
      <w:bookmarkEnd w:id="288"/>
    </w:p>
    <w:p w14:paraId="0EBD130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9" w:name="_Toc3980"/>
      <w:bookmarkStart w:id="290" w:name="_Toc140132807"/>
      <w:bookmarkStart w:id="291" w:name="_Toc163492874"/>
      <w:r>
        <w:rPr>
          <w:rFonts w:hint="eastAsia" w:ascii="宋体" w:hAnsi="宋体" w:eastAsia="宋体" w:cs="宋体"/>
          <w:b/>
          <w:bCs/>
          <w:color w:val="auto"/>
          <w:kern w:val="2"/>
          <w:sz w:val="24"/>
          <w:szCs w:val="24"/>
          <w:highlight w:val="none"/>
          <w:lang w:val="en-US" w:eastAsia="zh-CN" w:bidi="ar-SA"/>
        </w:rPr>
        <w:t>40.废标</w:t>
      </w:r>
      <w:bookmarkEnd w:id="289"/>
      <w:bookmarkEnd w:id="290"/>
      <w:bookmarkEnd w:id="291"/>
    </w:p>
    <w:p w14:paraId="7B56974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2" w:name="_Toc140132766"/>
      <w:bookmarkStart w:id="293" w:name="_Toc163492875"/>
      <w:bookmarkStart w:id="294" w:name="_Toc5781"/>
      <w:bookmarkStart w:id="295" w:name="_Toc140132808"/>
      <w:bookmarkStart w:id="296"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292"/>
      <w:bookmarkEnd w:id="293"/>
      <w:r>
        <w:rPr>
          <w:rFonts w:hint="eastAsia" w:ascii="宋体" w:hAnsi="宋体" w:eastAsia="宋体" w:cs="宋体"/>
          <w:b/>
          <w:bCs/>
          <w:color w:val="auto"/>
          <w:kern w:val="2"/>
          <w:sz w:val="24"/>
          <w:szCs w:val="24"/>
          <w:highlight w:val="none"/>
          <w:lang w:val="en-US" w:eastAsia="zh-CN" w:bidi="ar-SA"/>
        </w:rPr>
        <w:t>（包括但不限于下列具体政策要求）</w:t>
      </w:r>
      <w:bookmarkEnd w:id="294"/>
    </w:p>
    <w:p w14:paraId="5800BCE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7" w:name="_Toc163492876"/>
      <w:bookmarkStart w:id="298" w:name="_Toc31458"/>
      <w:r>
        <w:rPr>
          <w:rFonts w:hint="eastAsia" w:ascii="宋体" w:hAnsi="宋体" w:eastAsia="宋体" w:cs="宋体"/>
          <w:b/>
          <w:bCs/>
          <w:color w:val="auto"/>
          <w:kern w:val="2"/>
          <w:sz w:val="24"/>
          <w:szCs w:val="24"/>
          <w:highlight w:val="none"/>
          <w:lang w:val="en-US" w:eastAsia="zh-CN" w:bidi="ar-SA"/>
        </w:rPr>
        <w:t>41.支持国产和进口产品审批</w:t>
      </w:r>
      <w:bookmarkEnd w:id="297"/>
      <w:bookmarkEnd w:id="298"/>
    </w:p>
    <w:p w14:paraId="26D924D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.1除“投标人须知前附表”另有规定外，政府采购应当采购本国</w:t>
      </w:r>
      <w:r>
        <w:rPr>
          <w:rFonts w:hint="eastAsia" w:ascii="宋体" w:hAnsi="宋体" w:eastAsia="宋体" w:cs="宋体"/>
          <w:snapToGrid w:val="0"/>
          <w:color w:val="auto"/>
          <w:sz w:val="24"/>
          <w:szCs w:val="24"/>
          <w:highlight w:val="none"/>
          <w:lang w:val="en-US" w:eastAsia="zh-CN"/>
        </w:rPr>
        <w:t>货物、工程和服务</w:t>
      </w:r>
      <w:r>
        <w:rPr>
          <w:rFonts w:hint="eastAsia" w:ascii="宋体" w:hAnsi="宋体" w:eastAsia="宋体" w:cs="宋体"/>
          <w:snapToGrid w:val="0"/>
          <w:color w:val="auto"/>
          <w:sz w:val="24"/>
          <w:szCs w:val="24"/>
          <w:highlight w:val="none"/>
        </w:rPr>
        <w:t>，确需采购进口产品的，采购人应当按照</w:t>
      </w:r>
      <w:r>
        <w:rPr>
          <w:rFonts w:hint="eastAsia" w:ascii="宋体" w:hAnsi="宋体" w:eastAsia="宋体" w:cs="宋体"/>
          <w:snapToGrid w:val="0"/>
          <w:color w:val="auto"/>
          <w:sz w:val="24"/>
          <w:szCs w:val="24"/>
          <w:highlight w:val="none"/>
          <w:lang w:val="en-US" w:eastAsia="zh-CN"/>
        </w:rPr>
        <w:t>《政府采购进口产品管理办法》（财库〔2007〕119 号文）、</w:t>
      </w:r>
      <w:r>
        <w:rPr>
          <w:rFonts w:hint="eastAsia" w:ascii="宋体" w:hAnsi="宋体" w:eastAsia="宋体" w:cs="宋体"/>
          <w:snapToGrid w:val="0"/>
          <w:color w:val="auto"/>
          <w:sz w:val="24"/>
          <w:szCs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201F13F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41.2进口产品指通过中国海关报关验放进入中国境内且产自关境外的产品，包括已经进入中国境内的进口产品。 </w:t>
      </w:r>
    </w:p>
    <w:p w14:paraId="0C404CE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41.3若采购需求中写明允许采购进口产品，投标人应保证所投产品可履行合法报通关手续进入中国关境内。</w:t>
      </w:r>
    </w:p>
    <w:p w14:paraId="50A8DE9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163492877"/>
      <w:bookmarkStart w:id="300" w:name="_Toc3821"/>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299"/>
      <w:bookmarkEnd w:id="300"/>
    </w:p>
    <w:p w14:paraId="6CF3C24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Toc18531"/>
      <w:bookmarkStart w:id="302" w:name="_Toc163492878"/>
      <w:r>
        <w:rPr>
          <w:rFonts w:hint="eastAsia" w:ascii="宋体" w:hAnsi="宋体" w:eastAsia="宋体" w:cs="宋体"/>
          <w:b/>
          <w:bCs/>
          <w:color w:val="auto"/>
          <w:kern w:val="2"/>
          <w:sz w:val="24"/>
          <w:szCs w:val="24"/>
          <w:highlight w:val="none"/>
          <w:lang w:val="en-US" w:eastAsia="zh-CN" w:bidi="ar-SA"/>
        </w:rPr>
        <w:t>43.政府采购节能产品、环境标志产品</w:t>
      </w:r>
      <w:bookmarkEnd w:id="301"/>
      <w:bookmarkEnd w:id="302"/>
    </w:p>
    <w:p w14:paraId="741E7E7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Toc20976"/>
      <w:bookmarkStart w:id="304" w:name="_Toc163492879"/>
      <w:r>
        <w:rPr>
          <w:rFonts w:hint="eastAsia" w:ascii="宋体" w:hAnsi="宋体" w:eastAsia="宋体" w:cs="宋体"/>
          <w:b/>
          <w:bCs/>
          <w:color w:val="auto"/>
          <w:kern w:val="2"/>
          <w:sz w:val="24"/>
          <w:szCs w:val="24"/>
          <w:highlight w:val="none"/>
          <w:lang w:val="en-US" w:eastAsia="zh-CN" w:bidi="ar-SA"/>
        </w:rPr>
        <w:t>44.正版软件</w:t>
      </w:r>
      <w:bookmarkEnd w:id="303"/>
      <w:r>
        <w:rPr>
          <w:rFonts w:hint="eastAsia" w:ascii="宋体" w:hAnsi="宋体" w:eastAsia="宋体" w:cs="宋体"/>
          <w:b/>
          <w:bCs/>
          <w:color w:val="auto"/>
          <w:kern w:val="2"/>
          <w:sz w:val="24"/>
          <w:szCs w:val="24"/>
          <w:highlight w:val="none"/>
          <w:lang w:val="en-US" w:eastAsia="zh-CN" w:bidi="ar-SA"/>
        </w:rPr>
        <w:t xml:space="preserve">  </w:t>
      </w:r>
    </w:p>
    <w:p w14:paraId="7504E407">
      <w:pPr>
        <w:pStyle w:val="41"/>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3951"/>
      <w:r>
        <w:rPr>
          <w:rFonts w:hint="eastAsia" w:ascii="宋体" w:hAnsi="宋体" w:eastAsia="宋体" w:cs="宋体"/>
          <w:b/>
          <w:bCs/>
          <w:color w:val="auto"/>
          <w:kern w:val="2"/>
          <w:sz w:val="24"/>
          <w:szCs w:val="24"/>
          <w:highlight w:val="none"/>
          <w:lang w:val="en-US" w:eastAsia="zh-CN" w:bidi="ar-SA"/>
        </w:rPr>
        <w:t>45.网络安全专用产品</w:t>
      </w:r>
      <w:bookmarkEnd w:id="305"/>
      <w:r>
        <w:rPr>
          <w:rFonts w:hint="eastAsia" w:ascii="宋体" w:hAnsi="宋体" w:eastAsia="宋体" w:cs="宋体"/>
          <w:b/>
          <w:bCs/>
          <w:color w:val="auto"/>
          <w:kern w:val="2"/>
          <w:sz w:val="24"/>
          <w:szCs w:val="24"/>
          <w:highlight w:val="none"/>
          <w:lang w:val="en-US" w:eastAsia="zh-CN" w:bidi="ar-SA"/>
        </w:rPr>
        <w:t xml:space="preserve">   </w:t>
      </w:r>
    </w:p>
    <w:p w14:paraId="13C0877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6" w:name="_Toc5298"/>
      <w:r>
        <w:rPr>
          <w:rFonts w:hint="eastAsia" w:ascii="宋体" w:hAnsi="宋体" w:eastAsia="宋体" w:cs="宋体"/>
          <w:b/>
          <w:bCs/>
          <w:color w:val="auto"/>
          <w:kern w:val="2"/>
          <w:sz w:val="24"/>
          <w:szCs w:val="24"/>
          <w:highlight w:val="none"/>
          <w:lang w:val="en-US" w:eastAsia="zh-CN" w:bidi="ar-SA"/>
        </w:rPr>
        <w:t>46.采购需求标准</w:t>
      </w:r>
      <w:bookmarkEnd w:id="306"/>
      <w:r>
        <w:rPr>
          <w:rFonts w:hint="eastAsia" w:ascii="宋体" w:hAnsi="宋体" w:eastAsia="宋体" w:cs="宋体"/>
          <w:b/>
          <w:bCs/>
          <w:color w:val="auto"/>
          <w:kern w:val="2"/>
          <w:sz w:val="24"/>
          <w:szCs w:val="24"/>
          <w:highlight w:val="none"/>
          <w:lang w:val="en-US" w:eastAsia="zh-CN" w:bidi="ar-SA"/>
        </w:rPr>
        <w:t xml:space="preserve">   </w:t>
      </w:r>
    </w:p>
    <w:p w14:paraId="77C6365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7"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295"/>
      <w:bookmarkEnd w:id="296"/>
      <w:bookmarkEnd w:id="304"/>
      <w:bookmarkEnd w:id="307"/>
    </w:p>
    <w:p w14:paraId="7CF3274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8" w:name="_Toc14089"/>
      <w:bookmarkStart w:id="309" w:name="_Toc163492880"/>
      <w:r>
        <w:rPr>
          <w:rFonts w:hint="eastAsia" w:ascii="宋体" w:hAnsi="宋体" w:eastAsia="宋体" w:cs="宋体"/>
          <w:b/>
          <w:bCs/>
          <w:color w:val="auto"/>
          <w:kern w:val="2"/>
          <w:sz w:val="24"/>
          <w:szCs w:val="24"/>
          <w:highlight w:val="none"/>
          <w:lang w:val="en-US" w:eastAsia="zh-CN" w:bidi="ar-SA"/>
        </w:rPr>
        <w:t>47.政府采购合同融资政策</w:t>
      </w:r>
      <w:bookmarkEnd w:id="308"/>
      <w:bookmarkEnd w:id="309"/>
    </w:p>
    <w:p w14:paraId="2F90869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0" w:name="_Toc26816"/>
      <w:bookmarkStart w:id="311" w:name="_Toc163492881"/>
      <w:r>
        <w:rPr>
          <w:rFonts w:hint="eastAsia" w:ascii="宋体" w:hAnsi="宋体" w:eastAsia="宋体" w:cs="宋体"/>
          <w:b/>
          <w:bCs/>
          <w:color w:val="auto"/>
          <w:kern w:val="2"/>
          <w:sz w:val="24"/>
          <w:szCs w:val="24"/>
          <w:highlight w:val="none"/>
          <w:lang w:val="en-US" w:eastAsia="zh-CN" w:bidi="ar-SA"/>
        </w:rPr>
        <w:t>（十五）其他</w:t>
      </w:r>
      <w:bookmarkEnd w:id="310"/>
      <w:bookmarkEnd w:id="311"/>
    </w:p>
    <w:p w14:paraId="370F8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2" w:name="_Toc18980"/>
      <w:bookmarkStart w:id="313"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12"/>
      <w:bookmarkEnd w:id="313"/>
    </w:p>
    <w:p w14:paraId="3251640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4" w:name="_Toc155185886"/>
      <w:bookmarkStart w:id="315" w:name="_Toc12494"/>
      <w:bookmarkStart w:id="316" w:name="_Toc140132810"/>
      <w:bookmarkStart w:id="317" w:name="_Toc163492883"/>
      <w:r>
        <w:rPr>
          <w:rFonts w:hint="eastAsia" w:ascii="宋体" w:hAnsi="宋体" w:eastAsia="宋体" w:cs="宋体"/>
          <w:b/>
          <w:bCs/>
          <w:color w:val="auto"/>
          <w:kern w:val="2"/>
          <w:sz w:val="24"/>
          <w:szCs w:val="24"/>
          <w:highlight w:val="none"/>
          <w:lang w:val="en-US" w:eastAsia="zh-CN" w:bidi="ar-SA"/>
        </w:rPr>
        <w:t>49.适用法律</w:t>
      </w:r>
      <w:bookmarkEnd w:id="314"/>
      <w:bookmarkEnd w:id="315"/>
      <w:bookmarkEnd w:id="316"/>
      <w:bookmarkEnd w:id="317"/>
    </w:p>
    <w:p w14:paraId="0953B8A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8" w:name="_Toc163492884"/>
      <w:bookmarkStart w:id="319" w:name="_Toc20737"/>
      <w:bookmarkStart w:id="320" w:name="_Toc155185887"/>
      <w:r>
        <w:rPr>
          <w:rFonts w:hint="eastAsia" w:ascii="宋体" w:hAnsi="宋体" w:eastAsia="宋体" w:cs="宋体"/>
          <w:b/>
          <w:bCs/>
          <w:color w:val="auto"/>
          <w:kern w:val="2"/>
          <w:sz w:val="24"/>
          <w:szCs w:val="24"/>
          <w:highlight w:val="none"/>
          <w:lang w:val="en-US" w:eastAsia="zh-CN" w:bidi="ar-SA"/>
        </w:rPr>
        <w:t>50.解释权</w:t>
      </w:r>
      <w:bookmarkEnd w:id="318"/>
      <w:bookmarkEnd w:id="319"/>
      <w:bookmarkEnd w:id="320"/>
    </w:p>
    <w:p w14:paraId="5C6D27F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1" w:name="_Toc527"/>
      <w:bookmarkStart w:id="322" w:name="_Toc155185888"/>
      <w:bookmarkStart w:id="323" w:name="_Toc21960"/>
      <w:bookmarkStart w:id="324" w:name="_Toc10997"/>
      <w:r>
        <w:rPr>
          <w:rFonts w:hint="eastAsia" w:ascii="宋体" w:hAnsi="宋体" w:eastAsia="宋体" w:cs="宋体"/>
          <w:b/>
          <w:bCs/>
          <w:color w:val="auto"/>
          <w:kern w:val="44"/>
          <w:sz w:val="36"/>
          <w:szCs w:val="36"/>
          <w:highlight w:val="none"/>
          <w:lang w:val="en-US" w:eastAsia="zh-CN" w:bidi="ar-SA"/>
        </w:rPr>
        <w:t>第三章 采购需求</w:t>
      </w:r>
      <w:bookmarkEnd w:id="321"/>
      <w:bookmarkEnd w:id="322"/>
      <w:bookmarkEnd w:id="323"/>
      <w:bookmarkEnd w:id="324"/>
    </w:p>
    <w:p w14:paraId="392556FC">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b/>
          <w:bCs/>
          <w:color w:val="auto"/>
          <w:sz w:val="28"/>
          <w:szCs w:val="28"/>
          <w:highlight w:val="none"/>
          <w:lang w:val="en-US" w:eastAsia="zh-CN"/>
        </w:rPr>
      </w:pPr>
      <w:bookmarkStart w:id="325" w:name="_Toc155185889"/>
      <w:bookmarkStart w:id="326" w:name="_Toc140132812"/>
      <w:r>
        <w:rPr>
          <w:rFonts w:hint="eastAsia" w:ascii="宋体" w:hAnsi="宋体" w:eastAsia="宋体" w:cs="宋体"/>
          <w:b/>
          <w:bCs/>
          <w:color w:val="auto"/>
          <w:sz w:val="28"/>
          <w:szCs w:val="28"/>
          <w:highlight w:val="none"/>
          <w:lang w:val="en-US" w:eastAsia="zh-CN"/>
        </w:rPr>
        <w:t>一、服务地点和区域</w:t>
      </w:r>
    </w:p>
    <w:p w14:paraId="0234E43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1、服务地点：乌鲁木齐市乌鲁木齐县水西沟镇南康大道东一巷水西沟训练基地</w:t>
      </w:r>
    </w:p>
    <w:p w14:paraId="51821733">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2、服务概况：市警务训练保障中心食堂服务外包项目。</w:t>
      </w:r>
    </w:p>
    <w:p w14:paraId="5A7612C3">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3、服务区域：食堂后厨及3处就餐区域</w:t>
      </w:r>
    </w:p>
    <w:p w14:paraId="3C23599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8"/>
          <w:szCs w:val="28"/>
          <w:highlight w:val="none"/>
          <w:lang w:val="en-US" w:eastAsia="zh-CN"/>
        </w:rPr>
        <w:t>二、服务内容和范围</w:t>
      </w:r>
    </w:p>
    <w:p w14:paraId="63638C99">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根据《中华人民共和国政府采购法》及机关食堂外包服务规范，本项目采取整体委托服务模式，中标人负责食堂全面运营管理：</w:t>
      </w:r>
    </w:p>
    <w:p w14:paraId="5BC5A858">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（一）餐饮服务保障。</w:t>
      </w:r>
    </w:p>
    <w:p w14:paraId="19C2903F">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1、学员培训期间三餐供应（早餐、午餐、晚餐），每餐</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00-</w:t>
      </w:r>
      <w:r>
        <w:rPr>
          <w:rFonts w:hint="eastAsia" w:ascii="宋体" w:hAnsi="宋体" w:cs="宋体"/>
          <w:color w:val="auto"/>
          <w:sz w:val="24"/>
          <w:highlight w:val="none"/>
          <w:lang w:val="en-US" w:eastAsia="zh-CN"/>
        </w:rPr>
        <w:t>800</w:t>
      </w:r>
      <w:r>
        <w:rPr>
          <w:rFonts w:hint="eastAsia" w:ascii="宋体" w:hAnsi="宋体" w:eastAsia="宋体" w:cs="宋体"/>
          <w:color w:val="auto"/>
          <w:sz w:val="24"/>
          <w:highlight w:val="none"/>
          <w:lang w:val="en-US" w:eastAsia="zh-CN"/>
        </w:rPr>
        <w:t>人，每天</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00-</w:t>
      </w:r>
      <w:r>
        <w:rPr>
          <w:rFonts w:hint="eastAsia" w:ascii="宋体" w:hAnsi="宋体" w:cs="宋体"/>
          <w:color w:val="auto"/>
          <w:sz w:val="24"/>
          <w:highlight w:val="none"/>
          <w:lang w:val="en-US" w:eastAsia="zh-CN"/>
        </w:rPr>
        <w:t>2400</w:t>
      </w:r>
      <w:r>
        <w:rPr>
          <w:rFonts w:hint="eastAsia" w:ascii="宋体" w:hAnsi="宋体" w:eastAsia="宋体" w:cs="宋体"/>
          <w:color w:val="auto"/>
          <w:sz w:val="24"/>
          <w:highlight w:val="none"/>
          <w:lang w:val="en-US" w:eastAsia="zh-CN"/>
        </w:rPr>
        <w:t>人；</w:t>
      </w:r>
    </w:p>
    <w:p w14:paraId="2B6FBAA7">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2、临时性接待用餐保障，一般为干部餐饮用餐，此类餐标要略高常规培训班，此类培训班数量有限；</w:t>
      </w:r>
    </w:p>
    <w:p w14:paraId="22B52374">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4、应急情况下的餐饮保障。</w:t>
      </w:r>
    </w:p>
    <w:p w14:paraId="45FBC91C">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（二）人员管理服务。</w:t>
      </w:r>
    </w:p>
    <w:p w14:paraId="058B14AC">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1、配备并管理24名服务人员；</w:t>
      </w:r>
    </w:p>
    <w:p w14:paraId="611F5ED4">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2、负责人员招聘、培训、考核、薪酬发放及社保缴纳；</w:t>
      </w:r>
    </w:p>
    <w:p w14:paraId="1B2EB165">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3、建立人员档案，接受采购人监督。</w:t>
      </w:r>
    </w:p>
    <w:p w14:paraId="0302A2D9">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（三）食品安全管理。</w:t>
      </w:r>
    </w:p>
    <w:p w14:paraId="7611C5AB">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1、食材采购、验收、储存、加工全流程管控；</w:t>
      </w:r>
    </w:p>
    <w:p w14:paraId="51CE1A6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2、食品留样、台账记录、溯源管理；</w:t>
      </w:r>
    </w:p>
    <w:p w14:paraId="7A63F6A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3、厨房卫生清洁、餐具消毒、垃圾处理；</w:t>
      </w:r>
    </w:p>
    <w:p w14:paraId="10C59F97">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4、配合市场监管部门检查，承担食品安全主体责任。</w:t>
      </w:r>
    </w:p>
    <w:p w14:paraId="05B1A075">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（四）设施设备维护。</w:t>
      </w:r>
    </w:p>
    <w:p w14:paraId="5E1D5C5B">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1、厨房设备日常维护保养；</w:t>
      </w:r>
    </w:p>
    <w:p w14:paraId="34D55131">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2、油烟管道清洗、隔油池清理；</w:t>
      </w:r>
    </w:p>
    <w:p w14:paraId="3EA96B84">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3、低值易耗品采购（工衣、清洁用品等）。</w:t>
      </w:r>
    </w:p>
    <w:p w14:paraId="14BB23FB">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（五）其他服务。</w:t>
      </w:r>
    </w:p>
    <w:p w14:paraId="572892D6">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1、食堂区域安保巡查配合；</w:t>
      </w:r>
    </w:p>
    <w:p w14:paraId="6FBA220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2、节能降耗管理；</w:t>
      </w:r>
    </w:p>
    <w:p w14:paraId="1A2D88D6">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3、反食品浪费宣传实施；</w:t>
      </w:r>
    </w:p>
    <w:p w14:paraId="35F7081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4、按照招标人提供和指定的方式处理餐余垃圾。</w:t>
      </w:r>
    </w:p>
    <w:p w14:paraId="7C7E5EEB">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5、协助招标人把控成本，严格核算不得超过餐标。</w:t>
      </w:r>
    </w:p>
    <w:p w14:paraId="53002E3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三、服务费用和支付方式</w:t>
      </w:r>
    </w:p>
    <w:p w14:paraId="01E7E1A3">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1、服务费用按年计算，</w:t>
      </w:r>
      <w:r>
        <w:rPr>
          <w:rFonts w:hint="eastAsia" w:ascii="宋体" w:hAnsi="宋体" w:cs="宋体"/>
          <w:color w:val="auto"/>
          <w:sz w:val="24"/>
          <w:highlight w:val="none"/>
          <w:lang w:val="en-US" w:eastAsia="zh-CN"/>
        </w:rPr>
        <w:t>项目预算为</w:t>
      </w:r>
      <w:r>
        <w:rPr>
          <w:rFonts w:hint="eastAsia" w:ascii="宋体" w:hAnsi="宋体" w:eastAsia="宋体" w:cs="宋体"/>
          <w:color w:val="auto"/>
          <w:sz w:val="24"/>
          <w:highlight w:val="none"/>
          <w:lang w:val="en-US" w:eastAsia="zh-CN"/>
        </w:rPr>
        <w:t>206.0万元/年，中标人必须向采购人提供开户行及账号和收据，服务期内中标人不得在服务费用以外向招标人以任何形式主张任何权利。</w:t>
      </w:r>
    </w:p>
    <w:p w14:paraId="31A61AF6">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2、支付方式：按月支付服务费，每月支付食堂服务费用为中标价格÷12个月=</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万元/月</w:t>
      </w:r>
      <w:r>
        <w:rPr>
          <w:rFonts w:hint="eastAsia" w:ascii="宋体" w:hAnsi="宋体" w:eastAsia="宋体" w:cs="宋体"/>
          <w:color w:val="auto"/>
          <w:sz w:val="24"/>
          <w:highlight w:val="none"/>
          <w:lang w:val="en-US" w:eastAsia="zh-CN"/>
        </w:rPr>
        <w:t>，服务费用按月结算、中标人方每月5日前向招标人提交上月服务费支付申请、</w:t>
      </w:r>
      <w:r>
        <w:rPr>
          <w:rFonts w:hint="eastAsia" w:ascii="宋体" w:hAnsi="宋体" w:eastAsia="宋体" w:cs="宋体"/>
          <w:color w:val="auto"/>
          <w:sz w:val="24"/>
          <w:highlight w:val="none"/>
          <w:lang w:val="en-US" w:eastAsia="zh-CN"/>
        </w:rP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ragraph">
                  <wp:posOffset>8890000</wp:posOffset>
                </wp:positionV>
                <wp:extent cx="635000" cy="139700"/>
                <wp:effectExtent l="0" t="0" r="0" b="0"/>
                <wp:wrapNone/>
                <wp:docPr id="6" name="文本框 6"/>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298E2">
                            <w:pPr>
                              <w:spacing w:line="340" w:lineRule="exact"/>
                              <w:jc w:val="center"/>
                              <w:rPr>
                                <w:rFonts w:hint="eastAsia" w:ascii="Arial" w:hAnsi="Arial" w:eastAsia="Arial"/>
                                <w:color w:val="000000"/>
                                <w:sz w:val="16"/>
                              </w:rPr>
                            </w:pPr>
                          </w:p>
                          <w:p w14:paraId="733738AF">
                            <w:pPr>
                              <w:spacing w:line="340" w:lineRule="exact"/>
                              <w:jc w:val="center"/>
                              <w:rPr>
                                <w:rFonts w:hint="eastAsia" w:ascii="Arial" w:hAnsi="Arial" w:eastAsia="Arial"/>
                                <w:color w:val="000000"/>
                                <w:sz w:val="16"/>
                              </w:rPr>
                            </w:pPr>
                          </w:p>
                          <w:p w14:paraId="6CFE0BA8">
                            <w:pPr>
                              <w:spacing w:line="340" w:lineRule="exact"/>
                              <w:jc w:val="center"/>
                            </w:pPr>
                            <w:r>
                              <w:rPr>
                                <w:rFonts w:hint="eastAsia" w:ascii="Arial" w:hAnsi="Arial" w:eastAsia="Arial"/>
                                <w:color w:val="000000"/>
                                <w:sz w:val="16"/>
                              </w:rPr>
                              <w:t>7</w:t>
                            </w:r>
                          </w:p>
                        </w:txbxContent>
                      </wps:txbx>
                      <wps:bodyPr lIns="25400" tIns="0" rIns="25400" bIns="0">
                        <a:noAutofit/>
                      </wps:bodyPr>
                    </wps:wsp>
                  </a:graphicData>
                </a:graphic>
              </wp:anchor>
            </w:drawing>
          </mc:Choice>
          <mc:Fallback>
            <w:pict>
              <v:shape id="_x0000_s1026" o:spid="_x0000_s1026" o:spt="202" type="#_x0000_t202" style="position:absolute;left:0pt;margin-left:288pt;margin-top:700pt;height:11pt;width:50pt;mso-position-horizontal-relative:page;z-index:251660288;mso-width-relative:page;mso-height-relative:page;" filled="f" stroked="f" coordsize="21600,21600" o:gfxdata="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jZEmCgZ+&#10;/vXz/Pvv+c8PVEd5BusbyLqzkBfG92aEpXnwe3BG1iN3Kn6BD4rxOi+urkHiU4vLolpVxXISmo0B&#10;UUgAZ7mqlxhRyKiq67pcpYzsEco6Hz4wo1A0WuxgkklgcvzkA7QFqQ8psbI2t0LKNE2p0QB0qmWe&#10;Hlwi8EJqeBgJTY1HK4y7cWa5M90JSMqPGgQul1d5XJh0AcM99e5m71T53SEYLlJTEXGCmQvB2FKv&#10;84rFvXh6T1mPv9Xm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z107HYAAAADQEAAA8AAAAAAAAA&#10;AQAgAAAAIgAAAGRycy9kb3ducmV2LnhtbFBLAQIUABQAAAAIAIdO4kDYgETh2AEAAJ4DAAAOAAAA&#10;AAAAAAEAIAAAACcBAABkcnMvZTJvRG9jLnhtbFBLBQYAAAAABgAGAFkBAABxBQAAAAA=&#10;">
                <v:fill on="f" focussize="0,0"/>
                <v:stroke on="f" weight="0.5pt"/>
                <v:imagedata o:title=""/>
                <o:lock v:ext="edit" aspectratio="f"/>
                <v:textbox inset="2pt,0mm,2pt,0mm">
                  <w:txbxContent>
                    <w:p w14:paraId="1BA298E2">
                      <w:pPr>
                        <w:spacing w:line="340" w:lineRule="exact"/>
                        <w:jc w:val="center"/>
                        <w:rPr>
                          <w:rFonts w:hint="eastAsia" w:ascii="Arial" w:hAnsi="Arial" w:eastAsia="Arial"/>
                          <w:color w:val="000000"/>
                          <w:sz w:val="16"/>
                        </w:rPr>
                      </w:pPr>
                    </w:p>
                    <w:p w14:paraId="733738AF">
                      <w:pPr>
                        <w:spacing w:line="340" w:lineRule="exact"/>
                        <w:jc w:val="center"/>
                        <w:rPr>
                          <w:rFonts w:hint="eastAsia" w:ascii="Arial" w:hAnsi="Arial" w:eastAsia="Arial"/>
                          <w:color w:val="000000"/>
                          <w:sz w:val="16"/>
                        </w:rPr>
                      </w:pPr>
                    </w:p>
                    <w:p w14:paraId="6CFE0BA8">
                      <w:pPr>
                        <w:spacing w:line="340" w:lineRule="exact"/>
                        <w:jc w:val="center"/>
                      </w:pPr>
                      <w:r>
                        <w:rPr>
                          <w:rFonts w:hint="eastAsia" w:ascii="Arial" w:hAnsi="Arial" w:eastAsia="Arial"/>
                          <w:color w:val="000000"/>
                          <w:sz w:val="16"/>
                        </w:rPr>
                        <w:t>7</w:t>
                      </w:r>
                    </w:p>
                  </w:txbxContent>
                </v:textbox>
              </v:shape>
            </w:pict>
          </mc:Fallback>
        </mc:AlternateContent>
      </w:r>
      <w:r>
        <w:rPr>
          <w:rFonts w:hint="eastAsia" w:ascii="宋体" w:hAnsi="宋体" w:eastAsia="宋体" w:cs="宋体"/>
          <w:color w:val="auto"/>
          <w:sz w:val="24"/>
          <w:highlight w:val="none"/>
          <w:lang w:val="en-US" w:eastAsia="zh-CN"/>
        </w:rPr>
        <w:t>发票等，双方确认无误后，中标人提供全额发票，招标人待财政将款项拨付到位后7个工作日内一次性付清。支付日期遇特殊情况（如银行结算、封账期间、系统维护等）可相应延后支付。</w:t>
      </w:r>
    </w:p>
    <w:p w14:paraId="6A4FD4C3">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服务期为1年，合同一年一签。合同期满后，采购人将依据中标人年度服务考核结果、项目实际需求及预算情况，决定是否续签后续年度合同，单次续签期限不超过1年。考核不合格的，采购人有权不予续签。自服务期限始，中标人指派的员工应当按照招标人的规定进行服务，如中标人对服务期限存在异议，应当以书面的形式向招标人提出异议，双方可就服务期限问题进行协商解决。</w:t>
      </w:r>
    </w:p>
    <w:p w14:paraId="783189D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4、所有拟派人员由中标人统一管理，中标人应当根据中标人公司与中标人员工签订的书面合同约定以及相关法律法规之规定，向中标人员工及时足额支付工资和相关待遇，并依法缴纳各项社会保险费用。</w:t>
      </w:r>
    </w:p>
    <w:p w14:paraId="20607880">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招标的投标报价为完成1年期全部服务的投标报价，包括中标人为履行合同所包含的全部人工费（人工工资、按规定缴纳的各类社会保险及工伤商业保险、劳保福利、加班工资）、体检费、培训费、税金、各类耗材等完成本招标文件服务范围及标准的全部费用。</w:t>
      </w:r>
    </w:p>
    <w:p w14:paraId="19AD3675">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四、人员配置要求</w:t>
      </w:r>
    </w:p>
    <w:p w14:paraId="6FE4C600">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（一）岗位设置和人数。</w:t>
      </w:r>
    </w:p>
    <w:tbl>
      <w:tblPr>
        <w:tblStyle w:val="32"/>
        <w:tblW w:w="56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787"/>
        <w:gridCol w:w="861"/>
        <w:gridCol w:w="2569"/>
        <w:gridCol w:w="3686"/>
      </w:tblGrid>
      <w:tr w14:paraId="4027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374" w:type="pct"/>
            <w:vAlign w:val="center"/>
          </w:tcPr>
          <w:p w14:paraId="028A48B5">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序号</w:t>
            </w:r>
          </w:p>
        </w:tc>
        <w:tc>
          <w:tcPr>
            <w:tcW w:w="928" w:type="pct"/>
            <w:vAlign w:val="center"/>
          </w:tcPr>
          <w:p w14:paraId="3F4A40D5">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岗位名称</w:t>
            </w:r>
          </w:p>
        </w:tc>
        <w:tc>
          <w:tcPr>
            <w:tcW w:w="447" w:type="pct"/>
            <w:vAlign w:val="center"/>
          </w:tcPr>
          <w:p w14:paraId="20B2D81D">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人数</w:t>
            </w:r>
          </w:p>
        </w:tc>
        <w:tc>
          <w:tcPr>
            <w:tcW w:w="1334" w:type="pct"/>
            <w:vAlign w:val="center"/>
          </w:tcPr>
          <w:p w14:paraId="08D417D4">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岗位职责</w:t>
            </w:r>
          </w:p>
        </w:tc>
        <w:tc>
          <w:tcPr>
            <w:tcW w:w="1914" w:type="pct"/>
            <w:vAlign w:val="center"/>
          </w:tcPr>
          <w:p w14:paraId="665BEBAC">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资质要求</w:t>
            </w:r>
          </w:p>
        </w:tc>
      </w:tr>
      <w:tr w14:paraId="0AEF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 w:type="pct"/>
            <w:vAlign w:val="center"/>
          </w:tcPr>
          <w:p w14:paraId="57498EFA">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928" w:type="pct"/>
            <w:vAlign w:val="center"/>
          </w:tcPr>
          <w:p w14:paraId="4D361BBE">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项目主管</w:t>
            </w:r>
          </w:p>
        </w:tc>
        <w:tc>
          <w:tcPr>
            <w:tcW w:w="447" w:type="pct"/>
            <w:vAlign w:val="center"/>
          </w:tcPr>
          <w:p w14:paraId="3F99DEED">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334" w:type="pct"/>
            <w:vAlign w:val="center"/>
          </w:tcPr>
          <w:p w14:paraId="453BD4FE">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全面负责食堂运营管理、协调对接采购人、成本控制、应急处置</w:t>
            </w:r>
          </w:p>
        </w:tc>
        <w:tc>
          <w:tcPr>
            <w:tcW w:w="1914" w:type="pct"/>
            <w:vAlign w:val="center"/>
          </w:tcPr>
          <w:p w14:paraId="4FA23136">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5年以上餐饮管理经验，持有食品安全管理员证</w:t>
            </w:r>
          </w:p>
        </w:tc>
      </w:tr>
      <w:tr w14:paraId="20E3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 w:type="pct"/>
            <w:vAlign w:val="center"/>
          </w:tcPr>
          <w:p w14:paraId="269DB6D4">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28" w:type="pct"/>
            <w:vAlign w:val="center"/>
          </w:tcPr>
          <w:p w14:paraId="26C9905D">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主厨/厨师长</w:t>
            </w:r>
          </w:p>
        </w:tc>
        <w:tc>
          <w:tcPr>
            <w:tcW w:w="447" w:type="pct"/>
            <w:vAlign w:val="center"/>
          </w:tcPr>
          <w:p w14:paraId="1CBB015D">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334" w:type="pct"/>
            <w:vAlign w:val="center"/>
          </w:tcPr>
          <w:p w14:paraId="340F76C5">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负责菜单设计、菜品研发、出品质量把控、厨房团队管理</w:t>
            </w:r>
          </w:p>
        </w:tc>
        <w:tc>
          <w:tcPr>
            <w:tcW w:w="1914" w:type="pct"/>
            <w:vAlign w:val="center"/>
          </w:tcPr>
          <w:p w14:paraId="1F0BEC7E">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中式烹调师高级（三级）及以上证书，8年以上厨师经验，具备成本核算与营养配餐能力</w:t>
            </w:r>
          </w:p>
        </w:tc>
      </w:tr>
      <w:tr w14:paraId="1DFB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 w:type="pct"/>
            <w:vAlign w:val="center"/>
          </w:tcPr>
          <w:p w14:paraId="4030F6A5">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28" w:type="pct"/>
            <w:vAlign w:val="center"/>
          </w:tcPr>
          <w:p w14:paraId="50E2BE96">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炒锅师傅</w:t>
            </w:r>
          </w:p>
        </w:tc>
        <w:tc>
          <w:tcPr>
            <w:tcW w:w="447" w:type="pct"/>
            <w:vAlign w:val="center"/>
          </w:tcPr>
          <w:p w14:paraId="7828A61D">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334" w:type="pct"/>
            <w:vAlign w:val="center"/>
          </w:tcPr>
          <w:p w14:paraId="30B6FBE8">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负责热菜烹制、菜品口味把控</w:t>
            </w:r>
          </w:p>
        </w:tc>
        <w:tc>
          <w:tcPr>
            <w:tcW w:w="1914" w:type="pct"/>
            <w:vAlign w:val="center"/>
          </w:tcPr>
          <w:p w14:paraId="281AAB06">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中式烹调师中级（四级）及以上证书，3年以上炒锅经验，至少涵盖新疆菜、川、湘菜系各1人</w:t>
            </w:r>
          </w:p>
        </w:tc>
      </w:tr>
      <w:tr w14:paraId="27DD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 w:type="pct"/>
            <w:vAlign w:val="center"/>
          </w:tcPr>
          <w:p w14:paraId="0492A20E">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928" w:type="pct"/>
            <w:vAlign w:val="center"/>
          </w:tcPr>
          <w:p w14:paraId="62B34EBC">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食品安全员</w:t>
            </w:r>
          </w:p>
        </w:tc>
        <w:tc>
          <w:tcPr>
            <w:tcW w:w="447" w:type="pct"/>
            <w:vAlign w:val="center"/>
          </w:tcPr>
          <w:p w14:paraId="6D4A4B71">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334" w:type="pct"/>
            <w:vAlign w:val="center"/>
          </w:tcPr>
          <w:p w14:paraId="4EF240E0">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负责食品安全检查、台账管理、留样管理、卫生巡查</w:t>
            </w:r>
          </w:p>
        </w:tc>
        <w:tc>
          <w:tcPr>
            <w:tcW w:w="1914" w:type="pct"/>
            <w:vAlign w:val="center"/>
          </w:tcPr>
          <w:p w14:paraId="0EF5CAAF">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持有食品安全管理员培训合格证，熟悉《食品安全法》及操作规范，具备应急处置能力</w:t>
            </w:r>
          </w:p>
        </w:tc>
      </w:tr>
      <w:tr w14:paraId="484F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 w:type="pct"/>
            <w:vAlign w:val="center"/>
          </w:tcPr>
          <w:p w14:paraId="64C05DD6">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928" w:type="pct"/>
            <w:vAlign w:val="center"/>
          </w:tcPr>
          <w:p w14:paraId="7B36516C">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切配工</w:t>
            </w:r>
          </w:p>
        </w:tc>
        <w:tc>
          <w:tcPr>
            <w:tcW w:w="447" w:type="pct"/>
            <w:vAlign w:val="center"/>
          </w:tcPr>
          <w:p w14:paraId="53944187">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334" w:type="pct"/>
            <w:vAlign w:val="center"/>
          </w:tcPr>
          <w:p w14:paraId="5BC31C60">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负责食材初加工、切配、配菜、备料管理</w:t>
            </w:r>
          </w:p>
        </w:tc>
        <w:tc>
          <w:tcPr>
            <w:tcW w:w="1914" w:type="pct"/>
            <w:vAlign w:val="center"/>
          </w:tcPr>
          <w:p w14:paraId="2F000299">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身体健康，刀工熟练，有1年以上切配经验，持有效健康证</w:t>
            </w:r>
          </w:p>
        </w:tc>
      </w:tr>
      <w:tr w14:paraId="2E3B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 w:type="pct"/>
            <w:vAlign w:val="center"/>
          </w:tcPr>
          <w:p w14:paraId="2BB996F0">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928" w:type="pct"/>
            <w:vAlign w:val="center"/>
          </w:tcPr>
          <w:p w14:paraId="17C1A0F5">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面点师</w:t>
            </w:r>
          </w:p>
        </w:tc>
        <w:tc>
          <w:tcPr>
            <w:tcW w:w="447" w:type="pct"/>
            <w:vAlign w:val="center"/>
          </w:tcPr>
          <w:p w14:paraId="3A5D9DEF">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334" w:type="pct"/>
            <w:vAlign w:val="center"/>
          </w:tcPr>
          <w:p w14:paraId="73502F3A">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负责中西式面点制作（包子、馒头、糕点、烘焙、拉面等）</w:t>
            </w:r>
          </w:p>
        </w:tc>
        <w:tc>
          <w:tcPr>
            <w:tcW w:w="1914" w:type="pct"/>
            <w:vAlign w:val="center"/>
          </w:tcPr>
          <w:p w14:paraId="76F14B25">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中式或西式面点师中级（四级）及以上证书，至少1人擅长北方面点制作</w:t>
            </w:r>
          </w:p>
        </w:tc>
      </w:tr>
      <w:tr w14:paraId="053A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 w:type="pct"/>
            <w:vAlign w:val="center"/>
          </w:tcPr>
          <w:p w14:paraId="2DE251E6">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928" w:type="pct"/>
            <w:vAlign w:val="center"/>
          </w:tcPr>
          <w:p w14:paraId="001AECFF">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洗碗工</w:t>
            </w:r>
          </w:p>
        </w:tc>
        <w:tc>
          <w:tcPr>
            <w:tcW w:w="447" w:type="pct"/>
            <w:vAlign w:val="center"/>
          </w:tcPr>
          <w:p w14:paraId="783F3B3A">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334" w:type="pct"/>
            <w:vAlign w:val="center"/>
          </w:tcPr>
          <w:p w14:paraId="370522E6">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负责餐具清洗消毒、厨房清洁、垃圾处理</w:t>
            </w:r>
          </w:p>
        </w:tc>
        <w:tc>
          <w:tcPr>
            <w:tcW w:w="1914" w:type="pct"/>
            <w:vAlign w:val="center"/>
          </w:tcPr>
          <w:p w14:paraId="563C52BD">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身体健康，能适应高温高湿环境，掌握消毒设备操作</w:t>
            </w:r>
          </w:p>
        </w:tc>
      </w:tr>
      <w:tr w14:paraId="4E1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4" w:type="pct"/>
            <w:vAlign w:val="center"/>
          </w:tcPr>
          <w:p w14:paraId="14F538B9">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928" w:type="pct"/>
            <w:vAlign w:val="center"/>
          </w:tcPr>
          <w:p w14:paraId="42ADF133">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服务员/帮厨/杂工</w:t>
            </w:r>
          </w:p>
        </w:tc>
        <w:tc>
          <w:tcPr>
            <w:tcW w:w="447" w:type="pct"/>
            <w:vAlign w:val="center"/>
          </w:tcPr>
          <w:p w14:paraId="0BFC9F30">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334" w:type="pct"/>
            <w:vAlign w:val="center"/>
          </w:tcPr>
          <w:p w14:paraId="2E468AB9">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负责分餐、传菜、就餐区清洁、物资搬运、临时支援</w:t>
            </w:r>
          </w:p>
        </w:tc>
        <w:tc>
          <w:tcPr>
            <w:tcW w:w="1914" w:type="pct"/>
            <w:vAlign w:val="center"/>
          </w:tcPr>
          <w:p w14:paraId="48ACAD7B">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身体健康，有服务意识</w:t>
            </w:r>
          </w:p>
        </w:tc>
      </w:tr>
    </w:tbl>
    <w:p w14:paraId="0693DA52">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（二）人员通用要求。</w:t>
      </w:r>
    </w:p>
    <w:p w14:paraId="6881E35B">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1.年龄限制：男工不超过</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lang w:val="en-US" w:eastAsia="zh-CN"/>
        </w:rPr>
        <w:t>周岁，女工不超过</w:t>
      </w:r>
      <w:r>
        <w:rPr>
          <w:rFonts w:hint="eastAsia" w:ascii="宋体" w:hAnsi="宋体" w:cs="宋体"/>
          <w:color w:val="auto"/>
          <w:sz w:val="24"/>
          <w:highlight w:val="none"/>
          <w:lang w:val="en-US" w:eastAsia="zh-CN"/>
        </w:rPr>
        <w:t>48</w:t>
      </w:r>
      <w:r>
        <w:rPr>
          <w:rFonts w:hint="eastAsia" w:ascii="宋体" w:hAnsi="宋体" w:eastAsia="宋体" w:cs="宋体"/>
          <w:color w:val="auto"/>
          <w:sz w:val="24"/>
          <w:highlight w:val="none"/>
          <w:lang w:val="en-US" w:eastAsia="zh-CN"/>
        </w:rPr>
        <w:t>周岁（特殊技术岗位可适当放宽，但不得超过法定退休年龄）。</w:t>
      </w:r>
    </w:p>
    <w:p w14:paraId="3B3DCF5B">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bCs/>
          <w:color w:val="FF0000"/>
          <w:sz w:val="24"/>
          <w:highlight w:val="none"/>
          <w:lang w:val="en-US" w:eastAsia="zh-CN"/>
        </w:rPr>
      </w:pPr>
      <w:r>
        <w:rPr>
          <w:rFonts w:hint="eastAsia" w:ascii="宋体" w:hAnsi="宋体" w:eastAsia="宋体" w:cs="宋体"/>
          <w:color w:val="auto"/>
          <w:sz w:val="24"/>
          <w:highlight w:val="none"/>
          <w:lang w:val="en-US" w:eastAsia="zh-CN"/>
        </w:rPr>
        <w:t>2.健康要求：所有人员须持有效健康证明（健康证），每年体检一次，费用由中标人承担。</w:t>
      </w:r>
    </w:p>
    <w:p w14:paraId="21FC0C48">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.培训要求：上岗前须接受食品安全、服务礼仪、保密纪律培训（警务训练中心特殊性）。</w:t>
      </w:r>
    </w:p>
    <w:p w14:paraId="1D218540">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.人员稳定：合同期内主要岗位（主管、主厨、安全员）人员变动须提前15日报采购人批准。</w:t>
      </w:r>
    </w:p>
    <w:p w14:paraId="168085D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.员工休息：正常上七休一，如遇培训班开班期间，无法保证正常休息的，择期调整补休。</w:t>
      </w:r>
    </w:p>
    <w:p w14:paraId="6DEC1A9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五、服务标准与质量要求</w:t>
      </w:r>
    </w:p>
    <w:p w14:paraId="0C365D25">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（一）供餐标准。</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536"/>
        <w:gridCol w:w="3609"/>
        <w:gridCol w:w="1921"/>
      </w:tblGrid>
      <w:tr w14:paraId="0761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56" w:type="dxa"/>
            <w:vAlign w:val="center"/>
          </w:tcPr>
          <w:p w14:paraId="4879FF2A">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餐次</w:t>
            </w:r>
          </w:p>
        </w:tc>
        <w:tc>
          <w:tcPr>
            <w:tcW w:w="0" w:type="auto"/>
            <w:vAlign w:val="center"/>
          </w:tcPr>
          <w:p w14:paraId="0C98D28A">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供餐时间</w:t>
            </w:r>
          </w:p>
        </w:tc>
        <w:tc>
          <w:tcPr>
            <w:tcW w:w="3609" w:type="dxa"/>
            <w:vAlign w:val="center"/>
          </w:tcPr>
          <w:p w14:paraId="17776024">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菜品标准</w:t>
            </w:r>
          </w:p>
        </w:tc>
        <w:tc>
          <w:tcPr>
            <w:tcW w:w="1921" w:type="dxa"/>
            <w:vAlign w:val="center"/>
          </w:tcPr>
          <w:p w14:paraId="2389488B">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特殊要求</w:t>
            </w:r>
          </w:p>
        </w:tc>
      </w:tr>
      <w:tr w14:paraId="66E7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75CFFEC6">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早餐</w:t>
            </w:r>
          </w:p>
        </w:tc>
        <w:tc>
          <w:tcPr>
            <w:tcW w:w="0" w:type="auto"/>
            <w:vAlign w:val="center"/>
          </w:tcPr>
          <w:p w14:paraId="3EF1FFF6">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09:00-10:10</w:t>
            </w:r>
          </w:p>
        </w:tc>
        <w:tc>
          <w:tcPr>
            <w:tcW w:w="3609" w:type="dxa"/>
            <w:vAlign w:val="center"/>
          </w:tcPr>
          <w:p w14:paraId="11063DA9">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菜品≥3种（热菜≥2种、凉菜≥1种且荤菜≥1种、素菜≥2种）、主食≥2种（含面食）、流食≥2种、小菜≥2种、鸡蛋/杂粮≥2种</w:t>
            </w:r>
          </w:p>
        </w:tc>
        <w:tc>
          <w:tcPr>
            <w:tcW w:w="1921" w:type="dxa"/>
            <w:vAlign w:val="center"/>
          </w:tcPr>
          <w:p w14:paraId="66391DD7">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节假日照常供应</w:t>
            </w:r>
          </w:p>
        </w:tc>
      </w:tr>
      <w:tr w14:paraId="6844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4C317CDE">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午餐</w:t>
            </w:r>
          </w:p>
        </w:tc>
        <w:tc>
          <w:tcPr>
            <w:tcW w:w="0" w:type="auto"/>
            <w:vAlign w:val="center"/>
          </w:tcPr>
          <w:p w14:paraId="2D2B0C40">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13:00-14:00</w:t>
            </w:r>
          </w:p>
        </w:tc>
        <w:tc>
          <w:tcPr>
            <w:tcW w:w="3609" w:type="dxa"/>
            <w:vAlign w:val="center"/>
          </w:tcPr>
          <w:p w14:paraId="1A5D0CE2">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荤菜≥2种、半荤≥1种、素菜≥1种、汤≥2种、主食≥2种、水果/酸奶</w:t>
            </w:r>
          </w:p>
        </w:tc>
        <w:tc>
          <w:tcPr>
            <w:tcW w:w="1921" w:type="dxa"/>
            <w:vAlign w:val="center"/>
          </w:tcPr>
          <w:p w14:paraId="5B4810EB">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每周菜谱重复率≤30%，每月推出3-5道新菜品</w:t>
            </w:r>
          </w:p>
        </w:tc>
      </w:tr>
      <w:tr w14:paraId="3005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491D5EB5">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晚餐</w:t>
            </w:r>
          </w:p>
        </w:tc>
        <w:tc>
          <w:tcPr>
            <w:tcW w:w="0" w:type="auto"/>
            <w:vAlign w:val="center"/>
          </w:tcPr>
          <w:p w14:paraId="75AD884E">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19:00-20:00</w:t>
            </w:r>
          </w:p>
        </w:tc>
        <w:tc>
          <w:tcPr>
            <w:tcW w:w="3609" w:type="dxa"/>
            <w:vAlign w:val="center"/>
          </w:tcPr>
          <w:p w14:paraId="2158058D">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荤菜≥2种、半荤≥1种、素菜≥1种、汤≥2种、主食≥2种</w:t>
            </w:r>
          </w:p>
        </w:tc>
        <w:tc>
          <w:tcPr>
            <w:tcW w:w="1921" w:type="dxa"/>
            <w:vAlign w:val="center"/>
          </w:tcPr>
          <w:p w14:paraId="03BF5674">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根据培训情况可调整为简餐</w:t>
            </w:r>
          </w:p>
        </w:tc>
      </w:tr>
      <w:tr w14:paraId="45A6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1E383FDB">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加餐/夜宵</w:t>
            </w:r>
          </w:p>
        </w:tc>
        <w:tc>
          <w:tcPr>
            <w:tcW w:w="1536" w:type="dxa"/>
            <w:vAlign w:val="center"/>
          </w:tcPr>
          <w:p w14:paraId="3B43A163">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按需供应</w:t>
            </w:r>
          </w:p>
        </w:tc>
        <w:tc>
          <w:tcPr>
            <w:tcW w:w="3609" w:type="dxa"/>
            <w:vAlign w:val="center"/>
          </w:tcPr>
          <w:p w14:paraId="2C9D9ABC">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点心、简餐、热饮</w:t>
            </w:r>
          </w:p>
        </w:tc>
        <w:tc>
          <w:tcPr>
            <w:tcW w:w="1921" w:type="dxa"/>
            <w:vAlign w:val="center"/>
          </w:tcPr>
          <w:p w14:paraId="5BBA6D77">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根据培训计划提前确认</w:t>
            </w:r>
          </w:p>
        </w:tc>
      </w:tr>
    </w:tbl>
    <w:p w14:paraId="536A58F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（二）食品安全标准。</w:t>
      </w:r>
    </w:p>
    <w:p w14:paraId="25A42A43">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1、严格执行《中华人民共和国食品安全法》《餐饮服务食品安全操作规范》；</w:t>
      </w:r>
    </w:p>
    <w:p w14:paraId="52778C5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2、食材采购索证索票率100%，建立电子台账系统；</w:t>
      </w:r>
    </w:p>
    <w:p w14:paraId="46B05149">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3、食品留样48小时，每份≥125克，专用留样柜保存，留样记录完整可追溯；</w:t>
      </w:r>
    </w:p>
    <w:p w14:paraId="611BA693">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4、明厨亮灶，接受就餐人员监督；</w:t>
      </w:r>
    </w:p>
    <w:p w14:paraId="76F14650">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5、库存管理：遵循 “四隔离” 原则，冷藏库 0-4℃、冷冻库 - 18℃以下，食材库存周期≤3 天，叶菜类当日清空，执行先进先出制度；</w:t>
      </w:r>
    </w:p>
    <w:p w14:paraId="02571A68">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6、年度食品安全事故为零（发生食物中毒一票否决）。</w:t>
      </w:r>
    </w:p>
    <w:p w14:paraId="5EADF67C">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（三）服务质量指标。</w:t>
      </w:r>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4"/>
        <w:gridCol w:w="2198"/>
        <w:gridCol w:w="2947"/>
      </w:tblGrid>
      <w:tr w14:paraId="4E2B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36A8F39B">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考核指标</w:t>
            </w:r>
          </w:p>
        </w:tc>
        <w:tc>
          <w:tcPr>
            <w:tcW w:w="0" w:type="auto"/>
            <w:vAlign w:val="center"/>
          </w:tcPr>
          <w:p w14:paraId="315AF4C5">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目标值</w:t>
            </w:r>
          </w:p>
        </w:tc>
        <w:tc>
          <w:tcPr>
            <w:tcW w:w="2947" w:type="dxa"/>
            <w:vAlign w:val="center"/>
          </w:tcPr>
          <w:p w14:paraId="5DAFF39D">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考核方式</w:t>
            </w:r>
          </w:p>
        </w:tc>
      </w:tr>
      <w:tr w14:paraId="3222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3E44D8A">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就餐满意度</w:t>
            </w:r>
          </w:p>
        </w:tc>
        <w:tc>
          <w:tcPr>
            <w:tcW w:w="0" w:type="auto"/>
            <w:vAlign w:val="center"/>
          </w:tcPr>
          <w:p w14:paraId="0066DFC8">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≥85%</w:t>
            </w:r>
          </w:p>
        </w:tc>
        <w:tc>
          <w:tcPr>
            <w:tcW w:w="2947" w:type="dxa"/>
            <w:vAlign w:val="center"/>
          </w:tcPr>
          <w:p w14:paraId="1E0E4E0C">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月度问卷调查</w:t>
            </w:r>
          </w:p>
        </w:tc>
      </w:tr>
      <w:tr w14:paraId="7B35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7C31104">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供餐准时率</w:t>
            </w:r>
          </w:p>
        </w:tc>
        <w:tc>
          <w:tcPr>
            <w:tcW w:w="0" w:type="auto"/>
            <w:vAlign w:val="center"/>
          </w:tcPr>
          <w:p w14:paraId="5C9B1531">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≥98%</w:t>
            </w:r>
          </w:p>
        </w:tc>
        <w:tc>
          <w:tcPr>
            <w:tcW w:w="2947" w:type="dxa"/>
            <w:vAlign w:val="center"/>
          </w:tcPr>
          <w:p w14:paraId="1B0F31C9">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现场检查</w:t>
            </w:r>
          </w:p>
        </w:tc>
      </w:tr>
      <w:tr w14:paraId="162F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A7B787B">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菜品留样合规率</w:t>
            </w:r>
          </w:p>
        </w:tc>
        <w:tc>
          <w:tcPr>
            <w:tcW w:w="0" w:type="auto"/>
            <w:vAlign w:val="center"/>
          </w:tcPr>
          <w:p w14:paraId="039CCDF9">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w:t>
            </w:r>
          </w:p>
        </w:tc>
        <w:tc>
          <w:tcPr>
            <w:tcW w:w="2947" w:type="dxa"/>
            <w:vAlign w:val="center"/>
          </w:tcPr>
          <w:p w14:paraId="52F49B09">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日常巡查</w:t>
            </w:r>
          </w:p>
        </w:tc>
      </w:tr>
      <w:tr w14:paraId="0FD4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566B6D4">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人员持证上岗率</w:t>
            </w:r>
          </w:p>
        </w:tc>
        <w:tc>
          <w:tcPr>
            <w:tcW w:w="0" w:type="auto"/>
            <w:vAlign w:val="center"/>
          </w:tcPr>
          <w:p w14:paraId="04EB7179">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w:t>
            </w:r>
          </w:p>
        </w:tc>
        <w:tc>
          <w:tcPr>
            <w:tcW w:w="2947" w:type="dxa"/>
            <w:vAlign w:val="center"/>
          </w:tcPr>
          <w:p w14:paraId="68C50CAC">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季度核查</w:t>
            </w:r>
          </w:p>
        </w:tc>
      </w:tr>
      <w:tr w14:paraId="5779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F1873D7">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投诉响应时间</w:t>
            </w:r>
          </w:p>
        </w:tc>
        <w:tc>
          <w:tcPr>
            <w:tcW w:w="0" w:type="auto"/>
            <w:vAlign w:val="center"/>
          </w:tcPr>
          <w:p w14:paraId="673D7878">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≤30分钟</w:t>
            </w:r>
          </w:p>
        </w:tc>
        <w:tc>
          <w:tcPr>
            <w:tcW w:w="2947" w:type="dxa"/>
            <w:vAlign w:val="center"/>
          </w:tcPr>
          <w:p w14:paraId="0A98FAF2">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应急演练</w:t>
            </w:r>
          </w:p>
        </w:tc>
      </w:tr>
      <w:tr w14:paraId="493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4" w:type="dxa"/>
            <w:vAlign w:val="center"/>
          </w:tcPr>
          <w:p w14:paraId="77286A04">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食品浪费率</w:t>
            </w:r>
          </w:p>
        </w:tc>
        <w:tc>
          <w:tcPr>
            <w:tcW w:w="2198" w:type="dxa"/>
            <w:vAlign w:val="center"/>
          </w:tcPr>
          <w:p w14:paraId="5BF9B2DD">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2947" w:type="dxa"/>
            <w:vAlign w:val="center"/>
          </w:tcPr>
          <w:p w14:paraId="7BBE40EE">
            <w:pPr>
              <w:pStyle w:val="59"/>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泔水称重统计</w:t>
            </w:r>
          </w:p>
        </w:tc>
      </w:tr>
    </w:tbl>
    <w:p w14:paraId="35BBD905">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（四）卫生清洁与环境维护。</w:t>
      </w:r>
    </w:p>
    <w:p w14:paraId="51980784">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1、日常清洁：操作间、就餐区早中晚三次全面清扫，厨具餐具 “一刮二洗三冲四消毒五保洁”；</w:t>
      </w:r>
    </w:p>
    <w:p w14:paraId="119CADC0">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2、定期消毒：每周开展深度消毒，垃圾桶、排水沟等重点区域每日消毒2 次；</w:t>
      </w:r>
    </w:p>
    <w:p w14:paraId="1A9DC546">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3、垃圾分类：设置分类垃圾桶，与正规回收企业签约处置泔水，留存转移联单。</w:t>
      </w:r>
    </w:p>
    <w:p w14:paraId="0362560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（五）设备设施管理。</w:t>
      </w:r>
    </w:p>
    <w:p w14:paraId="5903F47F">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1、招标人为中标人提供满足正常和运作需要的餐厨设备一批，中标人负责管理和使用，如因使用不当损坏、丢失等情况，由中标人负责维修和照价赔偿，自然损耗除外。</w:t>
      </w:r>
    </w:p>
    <w:p w14:paraId="5749256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2、建立设备台账，明确管理责任人，定期检查保养（厨房设备每月1次，制冷设备每季度1次；</w:t>
      </w:r>
    </w:p>
    <w:p w14:paraId="787FF94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3、操作人员需经安全培训上岗，杜绝违规操作，设备维修及时报备委托方并记录；</w:t>
      </w:r>
    </w:p>
    <w:p w14:paraId="7828F3B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4、按“明厨亮灶”要求安装监控设备，实现操作过程实时可查。</w:t>
      </w:r>
    </w:p>
    <w:p w14:paraId="4EEF82A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en-US" w:eastAsia="zh-CN"/>
        </w:rPr>
        <w:t>、合同主要条款</w:t>
      </w:r>
    </w:p>
    <w:p w14:paraId="54323F6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（一）考核与退出机制</w:t>
      </w:r>
    </w:p>
    <w:tbl>
      <w:tblPr>
        <w:tblStyle w:val="3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2317"/>
        <w:gridCol w:w="5157"/>
      </w:tblGrid>
      <w:tr w14:paraId="0CE8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00" w:type="dxa"/>
            <w:vAlign w:val="center"/>
          </w:tcPr>
          <w:p w14:paraId="29DBACC5">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考核等级</w:t>
            </w:r>
          </w:p>
        </w:tc>
        <w:tc>
          <w:tcPr>
            <w:tcW w:w="0" w:type="auto"/>
            <w:vAlign w:val="center"/>
          </w:tcPr>
          <w:p w14:paraId="1703D0F4">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评分标准</w:t>
            </w:r>
          </w:p>
        </w:tc>
        <w:tc>
          <w:tcPr>
            <w:tcW w:w="5157" w:type="dxa"/>
            <w:vAlign w:val="center"/>
          </w:tcPr>
          <w:p w14:paraId="1EBE6246">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处理方式</w:t>
            </w:r>
          </w:p>
        </w:tc>
      </w:tr>
      <w:tr w14:paraId="5089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0" w:type="dxa"/>
            <w:shd w:val="clear" w:color="auto" w:fill="auto"/>
            <w:vAlign w:val="center"/>
          </w:tcPr>
          <w:p w14:paraId="19E68EB5">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优秀</w:t>
            </w:r>
          </w:p>
        </w:tc>
        <w:tc>
          <w:tcPr>
            <w:tcW w:w="0" w:type="auto"/>
            <w:shd w:val="clear" w:color="auto" w:fill="auto"/>
            <w:vAlign w:val="center"/>
          </w:tcPr>
          <w:p w14:paraId="6E52831D">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月考核≥90分</w:t>
            </w:r>
          </w:p>
        </w:tc>
        <w:tc>
          <w:tcPr>
            <w:tcW w:w="5157" w:type="dxa"/>
            <w:shd w:val="clear" w:color="auto" w:fill="auto"/>
            <w:vAlign w:val="center"/>
          </w:tcPr>
          <w:p w14:paraId="27F53A36">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全额支付，优先考虑续签</w:t>
            </w:r>
          </w:p>
        </w:tc>
      </w:tr>
      <w:tr w14:paraId="1AB1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0" w:type="dxa"/>
            <w:shd w:val="clear" w:color="auto" w:fill="auto"/>
            <w:vAlign w:val="center"/>
          </w:tcPr>
          <w:p w14:paraId="33912E42">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良好</w:t>
            </w:r>
          </w:p>
        </w:tc>
        <w:tc>
          <w:tcPr>
            <w:tcW w:w="0" w:type="auto"/>
            <w:shd w:val="clear" w:color="auto" w:fill="auto"/>
            <w:vAlign w:val="center"/>
          </w:tcPr>
          <w:p w14:paraId="0D7F2331">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80分≤月考核&lt;90分</w:t>
            </w:r>
          </w:p>
        </w:tc>
        <w:tc>
          <w:tcPr>
            <w:tcW w:w="5157" w:type="dxa"/>
            <w:shd w:val="clear" w:color="auto" w:fill="auto"/>
            <w:vAlign w:val="center"/>
          </w:tcPr>
          <w:p w14:paraId="555F53A6">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全额支付，限期整改不足项</w:t>
            </w:r>
          </w:p>
        </w:tc>
      </w:tr>
      <w:tr w14:paraId="707A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0" w:type="dxa"/>
            <w:shd w:val="clear" w:color="auto" w:fill="auto"/>
            <w:vAlign w:val="center"/>
          </w:tcPr>
          <w:p w14:paraId="7306B0BD">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合格</w:t>
            </w:r>
          </w:p>
        </w:tc>
        <w:tc>
          <w:tcPr>
            <w:tcW w:w="0" w:type="auto"/>
            <w:shd w:val="clear" w:color="auto" w:fill="auto"/>
            <w:vAlign w:val="center"/>
          </w:tcPr>
          <w:p w14:paraId="1DF894F8">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70分≤月考核&lt;80分</w:t>
            </w:r>
          </w:p>
        </w:tc>
        <w:tc>
          <w:tcPr>
            <w:tcW w:w="5157" w:type="dxa"/>
            <w:shd w:val="clear" w:color="auto" w:fill="auto"/>
            <w:vAlign w:val="center"/>
          </w:tcPr>
          <w:p w14:paraId="4E2F35A3">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扣除当月管理费5%，整改</w:t>
            </w:r>
          </w:p>
        </w:tc>
      </w:tr>
      <w:tr w14:paraId="6FA7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0" w:type="dxa"/>
            <w:shd w:val="clear" w:color="auto" w:fill="auto"/>
            <w:vAlign w:val="center"/>
          </w:tcPr>
          <w:p w14:paraId="32CA05EE">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不合格</w:t>
            </w:r>
          </w:p>
        </w:tc>
        <w:tc>
          <w:tcPr>
            <w:tcW w:w="2317" w:type="dxa"/>
            <w:shd w:val="clear" w:color="auto" w:fill="auto"/>
            <w:vAlign w:val="center"/>
          </w:tcPr>
          <w:p w14:paraId="0ACAB625">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月考核&lt;70分</w:t>
            </w:r>
          </w:p>
        </w:tc>
        <w:tc>
          <w:tcPr>
            <w:tcW w:w="5157" w:type="dxa"/>
            <w:shd w:val="clear" w:color="auto" w:fill="auto"/>
            <w:vAlign w:val="center"/>
          </w:tcPr>
          <w:p w14:paraId="3EBB9758">
            <w:pPr>
              <w:pStyle w:val="59"/>
              <w:keepNext/>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扣除当月管理费10%，连续2次不合格解除合同</w:t>
            </w:r>
          </w:p>
        </w:tc>
      </w:tr>
    </w:tbl>
    <w:p w14:paraId="505942C7">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（二）即时解约情形。</w:t>
      </w:r>
    </w:p>
    <w:p w14:paraId="7F2A325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1、发生食品安全事故；</w:t>
      </w:r>
    </w:p>
    <w:p w14:paraId="601405DB">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2、擅自转包、分包；</w:t>
      </w:r>
    </w:p>
    <w:p w14:paraId="2E8351E0">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3、主要岗位人员未经同意擅自更换3人次以上；</w:t>
      </w:r>
    </w:p>
    <w:p w14:paraId="10B1E36A">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4、泄露警务训练信息（保密违约）。</w:t>
      </w:r>
    </w:p>
    <w:p w14:paraId="425902DD">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（三）保密条款。</w:t>
      </w:r>
    </w:p>
    <w:p w14:paraId="57163136">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1、中标人须与所有员工签订保密协议；</w:t>
      </w:r>
    </w:p>
    <w:p w14:paraId="2675FB85">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2、不得泄露培训人员信息、训练内容、内部管理情况；</w:t>
      </w:r>
    </w:p>
    <w:p w14:paraId="0535C99F">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3、违反保密义务追究法律责任。</w:t>
      </w:r>
    </w:p>
    <w:p w14:paraId="6473A87B">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（四）应急保障。</w:t>
      </w:r>
    </w:p>
    <w:p w14:paraId="5D4A86A7">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1、制定食品安全、停水停电、疫情等应急预案；</w:t>
      </w:r>
    </w:p>
    <w:p w14:paraId="17793EA6">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2、最多储备2天应急食材；</w:t>
      </w:r>
    </w:p>
    <w:p w14:paraId="2EFC5BC0">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3、确保极端情况下供餐不中断。</w:t>
      </w:r>
    </w:p>
    <w:p w14:paraId="7693B49E">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cs="宋体"/>
          <w:b/>
          <w:bCs/>
          <w:color w:val="auto"/>
          <w:sz w:val="28"/>
          <w:szCs w:val="28"/>
          <w:highlight w:val="none"/>
          <w:lang w:val="en-US" w:eastAsia="zh-CN"/>
        </w:rPr>
        <w:t>七、其他要求。</w:t>
      </w:r>
    </w:p>
    <w:p w14:paraId="508E3231">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1、所有委派人员由中标方统一管理，中标方必须对所属员工进行相关的法律法规、劳动技能、行为规范、劳动纪律、保密要求等方面进行培训，培训合格后方可上岗。</w:t>
      </w:r>
    </w:p>
    <w:p w14:paraId="6B41589C">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2、在入场前中标方应将所有员工名单、职务、身份证复印件、技术等级证书、体检证明、健康证明等资料交招标人备案。</w:t>
      </w:r>
    </w:p>
    <w:p w14:paraId="7A32D5B8">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3、如遇培训量大幅增加等紧急突发情况，中标方应按照甲方需求无条件增派相应工种的人员。</w:t>
      </w:r>
    </w:p>
    <w:p w14:paraId="63CB6B53">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应在充分理解招标文件意图的基础上，通过详细考核现场实际情况，对项目履行过程中可能出现的各种人工成本涨价、节假日加班、延时工作等风险，投标人编制报价时，应充分考虑服务履行期内的各种风险和变化，投标人须对投标报价的准确性负责，任何漏报、错报等均有投标人承担。</w:t>
      </w:r>
    </w:p>
    <w:p w14:paraId="3BE6B89B">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5、中标人拟派到招标人上班的人员需持有无犯罪记录证明材料，且中标人自行负责员工上下班乘车问题。</w:t>
      </w:r>
    </w:p>
    <w:p w14:paraId="1CB9796C">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6、中标人必须对员工在工作期间发生的人生安全事故、工作失误带来的招标人是被、财产和财务损失进行赔偿并做出承诺，招标人不承担任何损失赔偿和工伤赔偿。</w:t>
      </w:r>
    </w:p>
    <w:p w14:paraId="1517E689">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7、餐饮服务人员必须要统一着装，做到衣帽整洁，不得穿着奇装异服，着装须满足餐饮服务的着装规定要求。</w:t>
      </w:r>
    </w:p>
    <w:p w14:paraId="26E6A357">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8、中标人要根据招标人特殊工作情况，安排适合的工作人员，制定合理的上班时间，中标人必须服从招标人的安排，做到随叫随到，24小时做好需求响应。</w:t>
      </w:r>
    </w:p>
    <w:p w14:paraId="1CD69226">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9、中标人应遵守招标人规定的作息时间和工作流程、制度，在招标人的服务区域内，中标人未经同意不得擅自承揽与餐饮服务无关的其他业务，不得从事与餐饮无关的工作。</w:t>
      </w:r>
    </w:p>
    <w:p w14:paraId="51B2F858">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10、在合同期内，中标人不得将项目分包或整体转包给任何单位和个人，否则招标人有权即刻终止合同，并要求中标人赔偿所有相应损失。</w:t>
      </w:r>
    </w:p>
    <w:p w14:paraId="7B3F45FF">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中标人接到进场通知后，按照招标人要求的时限，安排经相关部门审核通过后的餐饮服务人员进驻服务点，否则，因工作安排不当，人员不能及时到位影响招标人工作的，招标人有权给予中标人违约处罚，直至取消期中标资格。</w:t>
      </w:r>
    </w:p>
    <w:p w14:paraId="001CEBB3">
      <w:pPr>
        <w:pStyle w:val="59"/>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highlight w:val="none"/>
          <w:lang w:val="en-US" w:eastAsia="zh-CN"/>
        </w:rPr>
        <w:sectPr>
          <w:pgSz w:w="11906" w:h="16838"/>
          <w:pgMar w:top="1440" w:right="1800" w:bottom="1440" w:left="1800" w:header="851" w:footer="992" w:gutter="0"/>
          <w:cols w:space="720" w:num="1"/>
          <w:docGrid w:linePitch="312" w:charSpace="0"/>
        </w:sectPr>
      </w:pPr>
      <w:r>
        <w:rPr>
          <w:rFonts w:hint="eastAsia" w:ascii="宋体" w:hAnsi="宋体" w:eastAsia="宋体" w:cs="宋体"/>
          <w:color w:val="auto"/>
          <w:sz w:val="24"/>
          <w:highlight w:val="none"/>
          <w:lang w:val="en-US" w:eastAsia="zh-CN"/>
        </w:rPr>
        <w:t>12、招标人可不定期对中标人提供的餐饮服务工作进行质量检查、考核，有权对工作表现差的员工提出更换要求，中标人需在7天内将人员调整到位。</w:t>
      </w:r>
    </w:p>
    <w:bookmarkEnd w:id="325"/>
    <w:bookmarkEnd w:id="326"/>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7" w:name="_Toc155185895"/>
      <w:bookmarkStart w:id="328" w:name="_Toc24328"/>
      <w:bookmarkStart w:id="329" w:name="_Toc12673"/>
      <w:bookmarkStart w:id="330" w:name="_Toc20175"/>
      <w:r>
        <w:rPr>
          <w:rFonts w:hint="eastAsia" w:ascii="宋体" w:hAnsi="宋体" w:eastAsia="宋体" w:cs="宋体"/>
          <w:b/>
          <w:bCs/>
          <w:color w:val="auto"/>
          <w:kern w:val="44"/>
          <w:sz w:val="36"/>
          <w:szCs w:val="36"/>
          <w:highlight w:val="none"/>
          <w:lang w:val="en-US" w:eastAsia="zh-CN" w:bidi="ar-SA"/>
        </w:rPr>
        <w:t>第四章 资格审查</w:t>
      </w:r>
      <w:bookmarkEnd w:id="327"/>
      <w:bookmarkEnd w:id="328"/>
      <w:bookmarkEnd w:id="329"/>
      <w:bookmarkEnd w:id="330"/>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31" w:name="_Toc1697"/>
      <w:bookmarkStart w:id="332" w:name="_Toc20891"/>
      <w:r>
        <w:rPr>
          <w:rFonts w:hint="eastAsia"/>
          <w:color w:val="auto"/>
          <w:sz w:val="28"/>
          <w:szCs w:val="28"/>
          <w:highlight w:val="none"/>
          <w:lang w:val="en-US" w:eastAsia="zh-CN"/>
        </w:rPr>
        <w:t>一、资格审查程序</w:t>
      </w:r>
      <w:bookmarkEnd w:id="331"/>
      <w:bookmarkEnd w:id="332"/>
      <w:r>
        <w:rPr>
          <w:rFonts w:hint="eastAsia"/>
          <w:color w:val="auto"/>
          <w:sz w:val="28"/>
          <w:szCs w:val="28"/>
          <w:highlight w:val="none"/>
          <w:lang w:val="en-US" w:eastAsia="zh-CN"/>
        </w:rPr>
        <w:t xml:space="preserve"> </w:t>
      </w:r>
    </w:p>
    <w:p w14:paraId="4E4090D3">
      <w:pPr>
        <w:pStyle w:val="4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4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4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资格审查合格的投标人不足</w:t>
      </w:r>
      <w:r>
        <w:rPr>
          <w:rFonts w:hint="default"/>
          <w:color w:val="auto"/>
          <w:highlight w:val="none"/>
          <w:lang w:val="en-US" w:eastAsia="zh-CN"/>
        </w:rPr>
        <w:t>3</w:t>
      </w:r>
      <w:r>
        <w:rPr>
          <w:rFonts w:hint="eastAsia"/>
          <w:color w:val="auto"/>
          <w:highlight w:val="none"/>
          <w:lang w:val="en-US" w:eastAsia="zh-CN"/>
        </w:rPr>
        <w:t xml:space="preserve">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33" w:name="_Toc17193"/>
      <w:bookmarkStart w:id="334" w:name="_Toc8998"/>
      <w:r>
        <w:rPr>
          <w:rFonts w:hint="eastAsia"/>
          <w:color w:val="auto"/>
          <w:sz w:val="28"/>
          <w:szCs w:val="28"/>
          <w:highlight w:val="none"/>
          <w:lang w:val="en-US" w:eastAsia="zh-CN"/>
        </w:rPr>
        <w:t>二、资格审查要求</w:t>
      </w:r>
      <w:bookmarkEnd w:id="333"/>
      <w:bookmarkEnd w:id="334"/>
      <w:r>
        <w:rPr>
          <w:rFonts w:hint="eastAsia"/>
          <w:color w:val="auto"/>
          <w:sz w:val="28"/>
          <w:szCs w:val="28"/>
          <w:highlight w:val="none"/>
          <w:lang w:val="en-US" w:eastAsia="zh-CN"/>
        </w:rPr>
        <w:t xml:space="preserve"> </w:t>
      </w:r>
    </w:p>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1"/>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24"/>
        <w:gridCol w:w="6387"/>
        <w:gridCol w:w="432"/>
        <w:gridCol w:w="480"/>
        <w:gridCol w:w="564"/>
      </w:tblGrid>
      <w:tr w14:paraId="2BB7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5FA1E65B">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序号</w:t>
            </w:r>
          </w:p>
        </w:tc>
        <w:tc>
          <w:tcPr>
            <w:tcW w:w="2024" w:type="dxa"/>
            <w:vMerge w:val="restart"/>
            <w:noWrap w:val="0"/>
            <w:vAlign w:val="center"/>
          </w:tcPr>
          <w:p w14:paraId="5F33038D">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评审内容</w:t>
            </w:r>
          </w:p>
        </w:tc>
        <w:tc>
          <w:tcPr>
            <w:tcW w:w="6387" w:type="dxa"/>
            <w:vMerge w:val="restart"/>
            <w:noWrap w:val="0"/>
            <w:vAlign w:val="center"/>
          </w:tcPr>
          <w:p w14:paraId="4BABB018">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评审合格标准</w:t>
            </w:r>
          </w:p>
        </w:tc>
        <w:tc>
          <w:tcPr>
            <w:tcW w:w="1476" w:type="dxa"/>
            <w:gridSpan w:val="3"/>
            <w:noWrap w:val="0"/>
            <w:vAlign w:val="bottom"/>
          </w:tcPr>
          <w:p w14:paraId="48D22601">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投标人名称</w:t>
            </w:r>
          </w:p>
        </w:tc>
      </w:tr>
      <w:tr w14:paraId="7B2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70C1C3E1">
            <w:pPr>
              <w:spacing w:line="360" w:lineRule="auto"/>
              <w:jc w:val="center"/>
              <w:rPr>
                <w:rFonts w:hint="eastAsia" w:ascii="宋体" w:hAnsi="宋体" w:cs="仿宋"/>
                <w:b/>
                <w:color w:val="auto"/>
                <w:spacing w:val="-2"/>
                <w:sz w:val="24"/>
              </w:rPr>
            </w:pPr>
          </w:p>
        </w:tc>
        <w:tc>
          <w:tcPr>
            <w:tcW w:w="2024" w:type="dxa"/>
            <w:vMerge w:val="continue"/>
            <w:noWrap w:val="0"/>
            <w:vAlign w:val="bottom"/>
          </w:tcPr>
          <w:p w14:paraId="22BC3196">
            <w:pPr>
              <w:spacing w:line="360" w:lineRule="auto"/>
              <w:jc w:val="center"/>
              <w:rPr>
                <w:rFonts w:hint="eastAsia" w:ascii="宋体" w:hAnsi="宋体" w:cs="仿宋"/>
                <w:b/>
                <w:color w:val="auto"/>
                <w:spacing w:val="-2"/>
                <w:sz w:val="24"/>
              </w:rPr>
            </w:pPr>
          </w:p>
        </w:tc>
        <w:tc>
          <w:tcPr>
            <w:tcW w:w="6387" w:type="dxa"/>
            <w:vMerge w:val="continue"/>
            <w:noWrap w:val="0"/>
            <w:vAlign w:val="bottom"/>
          </w:tcPr>
          <w:p w14:paraId="161B452A">
            <w:pPr>
              <w:spacing w:line="360" w:lineRule="auto"/>
              <w:jc w:val="center"/>
              <w:rPr>
                <w:rFonts w:hint="eastAsia" w:ascii="宋体" w:hAnsi="宋体" w:cs="仿宋"/>
                <w:b/>
                <w:color w:val="auto"/>
                <w:spacing w:val="-2"/>
                <w:sz w:val="24"/>
              </w:rPr>
            </w:pPr>
          </w:p>
        </w:tc>
        <w:tc>
          <w:tcPr>
            <w:tcW w:w="432" w:type="dxa"/>
            <w:noWrap w:val="0"/>
            <w:vAlign w:val="bottom"/>
          </w:tcPr>
          <w:p w14:paraId="152A75AA">
            <w:pPr>
              <w:spacing w:line="360" w:lineRule="auto"/>
              <w:jc w:val="center"/>
              <w:rPr>
                <w:rFonts w:hint="eastAsia" w:ascii="宋体" w:hAnsi="宋体" w:cs="仿宋"/>
                <w:b/>
                <w:color w:val="auto"/>
                <w:spacing w:val="-2"/>
                <w:sz w:val="24"/>
              </w:rPr>
            </w:pPr>
          </w:p>
        </w:tc>
        <w:tc>
          <w:tcPr>
            <w:tcW w:w="480" w:type="dxa"/>
            <w:noWrap w:val="0"/>
            <w:vAlign w:val="top"/>
          </w:tcPr>
          <w:p w14:paraId="6B88DFC1">
            <w:pPr>
              <w:spacing w:line="360" w:lineRule="auto"/>
              <w:jc w:val="center"/>
              <w:rPr>
                <w:rFonts w:hint="eastAsia" w:ascii="宋体" w:hAnsi="宋体" w:cs="仿宋"/>
                <w:b/>
                <w:color w:val="auto"/>
                <w:spacing w:val="-2"/>
                <w:sz w:val="24"/>
              </w:rPr>
            </w:pPr>
          </w:p>
        </w:tc>
        <w:tc>
          <w:tcPr>
            <w:tcW w:w="564" w:type="dxa"/>
            <w:noWrap w:val="0"/>
            <w:vAlign w:val="top"/>
          </w:tcPr>
          <w:p w14:paraId="7AE868D0">
            <w:pPr>
              <w:spacing w:line="360" w:lineRule="auto"/>
              <w:jc w:val="center"/>
              <w:rPr>
                <w:rFonts w:hint="eastAsia" w:ascii="宋体" w:hAnsi="宋体" w:cs="仿宋"/>
                <w:b/>
                <w:color w:val="auto"/>
                <w:spacing w:val="-2"/>
                <w:sz w:val="24"/>
              </w:rPr>
            </w:pPr>
          </w:p>
        </w:tc>
      </w:tr>
      <w:tr w14:paraId="1016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6CD2460D">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1</w:t>
            </w:r>
          </w:p>
        </w:tc>
        <w:tc>
          <w:tcPr>
            <w:tcW w:w="2024" w:type="dxa"/>
            <w:noWrap w:val="0"/>
            <w:vAlign w:val="center"/>
          </w:tcPr>
          <w:p w14:paraId="1A61F45F">
            <w:pPr>
              <w:spacing w:line="360" w:lineRule="auto"/>
              <w:jc w:val="center"/>
              <w:rPr>
                <w:rFonts w:hint="eastAsia" w:ascii="宋体" w:hAnsi="宋体" w:cs="仿宋"/>
                <w:color w:val="auto"/>
                <w:spacing w:val="-2"/>
                <w:sz w:val="24"/>
              </w:rPr>
            </w:pPr>
            <w:r>
              <w:rPr>
                <w:rFonts w:ascii="宋体" w:hAnsi="宋体" w:cs="仿宋"/>
                <w:color w:val="auto"/>
                <w:sz w:val="24"/>
              </w:rPr>
              <w:t>营业执照等证明</w:t>
            </w:r>
          </w:p>
        </w:tc>
        <w:tc>
          <w:tcPr>
            <w:tcW w:w="6387" w:type="dxa"/>
            <w:noWrap w:val="0"/>
            <w:vAlign w:val="top"/>
          </w:tcPr>
          <w:p w14:paraId="0FB26ED1">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投标人为企业（包括合伙企业）的，应提供“营业执照”；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投标人为事业单位的，应供有效的“事业单位法人证书”；</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投标人是非企业机构的，应供“执业许可证”、“登记证书”等证明文件；</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投标人是个体工商户的，应</w:t>
            </w:r>
            <w:r>
              <w:rPr>
                <w:rFonts w:hint="eastAsia" w:cs="仿宋"/>
                <w:color w:val="auto"/>
                <w:spacing w:val="-2"/>
                <w:sz w:val="24"/>
                <w:lang w:val="en-US" w:eastAsia="zh-CN"/>
              </w:rPr>
              <w:t>提供</w:t>
            </w:r>
            <w:r>
              <w:rPr>
                <w:rFonts w:hint="eastAsia" w:ascii="宋体" w:hAnsi="宋体" w:cs="仿宋"/>
                <w:color w:val="auto"/>
                <w:spacing w:val="-2"/>
                <w:sz w:val="24"/>
                <w:lang w:val="en-US" w:eastAsia="zh-CN"/>
              </w:rPr>
              <w:t>“个体工商户营业执照”；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投标人是自然人的，应</w:t>
            </w:r>
            <w:r>
              <w:rPr>
                <w:rFonts w:hint="eastAsia" w:cs="仿宋"/>
                <w:color w:val="auto"/>
                <w:spacing w:val="-2"/>
                <w:sz w:val="24"/>
                <w:lang w:val="en-US" w:eastAsia="zh-CN"/>
              </w:rPr>
              <w:t>提</w:t>
            </w:r>
            <w:r>
              <w:rPr>
                <w:rFonts w:hint="eastAsia" w:ascii="宋体" w:hAnsi="宋体" w:cs="仿宋"/>
                <w:color w:val="auto"/>
                <w:spacing w:val="-2"/>
                <w:sz w:val="24"/>
                <w:lang w:val="en-US" w:eastAsia="zh-CN"/>
              </w:rPr>
              <w:t>供自然人身份证明。</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0402DA70">
            <w:pPr>
              <w:spacing w:line="360" w:lineRule="auto"/>
              <w:jc w:val="left"/>
              <w:rPr>
                <w:rFonts w:hint="eastAsia" w:ascii="宋体" w:hAnsi="宋体" w:cs="仿宋"/>
                <w:color w:val="auto"/>
                <w:spacing w:val="-2"/>
                <w:sz w:val="24"/>
              </w:rPr>
            </w:pPr>
          </w:p>
        </w:tc>
        <w:tc>
          <w:tcPr>
            <w:tcW w:w="480" w:type="dxa"/>
            <w:noWrap w:val="0"/>
            <w:vAlign w:val="top"/>
          </w:tcPr>
          <w:p w14:paraId="7222911A">
            <w:pPr>
              <w:spacing w:line="360" w:lineRule="auto"/>
              <w:jc w:val="left"/>
              <w:rPr>
                <w:rFonts w:hint="eastAsia" w:ascii="宋体" w:hAnsi="宋体" w:cs="仿宋"/>
                <w:color w:val="auto"/>
                <w:spacing w:val="-2"/>
                <w:sz w:val="24"/>
              </w:rPr>
            </w:pPr>
          </w:p>
        </w:tc>
        <w:tc>
          <w:tcPr>
            <w:tcW w:w="564" w:type="dxa"/>
            <w:noWrap w:val="0"/>
            <w:vAlign w:val="top"/>
          </w:tcPr>
          <w:p w14:paraId="498F4573">
            <w:pPr>
              <w:spacing w:line="360" w:lineRule="auto"/>
              <w:jc w:val="left"/>
              <w:rPr>
                <w:rFonts w:hint="eastAsia" w:ascii="宋体" w:hAnsi="宋体" w:cs="仿宋"/>
                <w:color w:val="auto"/>
                <w:spacing w:val="-2"/>
                <w:sz w:val="24"/>
              </w:rPr>
            </w:pPr>
          </w:p>
        </w:tc>
      </w:tr>
      <w:tr w14:paraId="309F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5" w:type="dxa"/>
            <w:noWrap w:val="0"/>
            <w:vAlign w:val="center"/>
          </w:tcPr>
          <w:p w14:paraId="789F7962">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2</w:t>
            </w:r>
          </w:p>
        </w:tc>
        <w:tc>
          <w:tcPr>
            <w:tcW w:w="2024" w:type="dxa"/>
            <w:noWrap w:val="0"/>
            <w:vAlign w:val="center"/>
          </w:tcPr>
          <w:p w14:paraId="714B3663">
            <w:pPr>
              <w:spacing w:line="360" w:lineRule="auto"/>
              <w:jc w:val="center"/>
              <w:rPr>
                <w:rFonts w:hint="eastAsia" w:ascii="宋体" w:hAnsi="宋体" w:cs="仿宋"/>
                <w:color w:val="auto"/>
                <w:sz w:val="24"/>
              </w:rPr>
            </w:pPr>
            <w:r>
              <w:rPr>
                <w:rFonts w:hint="eastAsia" w:ascii="宋体" w:hAnsi="宋体" w:cs="仿宋"/>
                <w:color w:val="auto"/>
                <w:sz w:val="24"/>
              </w:rPr>
              <w:t>法定代表人身份证明书及</w:t>
            </w:r>
            <w:r>
              <w:rPr>
                <w:rFonts w:ascii="宋体" w:hAnsi="宋体" w:cs="仿宋"/>
                <w:color w:val="auto"/>
                <w:sz w:val="24"/>
              </w:rPr>
              <w:t>法定代表人授权书</w:t>
            </w:r>
          </w:p>
        </w:tc>
        <w:tc>
          <w:tcPr>
            <w:tcW w:w="6387" w:type="dxa"/>
            <w:noWrap w:val="0"/>
            <w:vAlign w:val="top"/>
          </w:tcPr>
          <w:p w14:paraId="73B03C40">
            <w:pPr>
              <w:spacing w:line="360" w:lineRule="auto"/>
              <w:jc w:val="left"/>
              <w:rPr>
                <w:rFonts w:ascii="宋体" w:hAnsi="宋体" w:cs="仿宋"/>
                <w:color w:val="auto"/>
                <w:spacing w:val="-2"/>
                <w:sz w:val="24"/>
              </w:rPr>
            </w:pPr>
            <w:r>
              <w:rPr>
                <w:rFonts w:hint="eastAsia" w:ascii="宋体" w:hAnsi="宋体" w:cs="仿宋"/>
                <w:color w:val="auto"/>
                <w:spacing w:val="-2"/>
                <w:sz w:val="24"/>
              </w:rPr>
              <w:t>（1）</w:t>
            </w:r>
            <w:r>
              <w:rPr>
                <w:rFonts w:ascii="宋体" w:hAnsi="宋体" w:cs="仿宋"/>
                <w:color w:val="auto"/>
                <w:spacing w:val="-2"/>
                <w:sz w:val="24"/>
              </w:rPr>
              <w:t>按</w:t>
            </w:r>
            <w:r>
              <w:rPr>
                <w:rFonts w:hint="eastAsia" w:ascii="宋体" w:hAnsi="宋体" w:cs="仿宋"/>
                <w:color w:val="auto"/>
                <w:spacing w:val="-2"/>
                <w:sz w:val="24"/>
                <w:lang w:val="en-US" w:eastAsia="zh-CN"/>
              </w:rPr>
              <w:t>招标</w:t>
            </w:r>
            <w:r>
              <w:rPr>
                <w:rFonts w:ascii="宋体" w:hAnsi="宋体" w:cs="仿宋"/>
                <w:color w:val="auto"/>
                <w:spacing w:val="-2"/>
                <w:sz w:val="24"/>
              </w:rPr>
              <w:t>文件规定的格式填写、签署和盖章；</w:t>
            </w:r>
          </w:p>
          <w:p w14:paraId="7A8EEFF9">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（2）法定代表人身份证明书附完整的</w:t>
            </w:r>
            <w:r>
              <w:rPr>
                <w:rFonts w:ascii="宋体" w:hAnsi="宋体" w:cs="仿宋"/>
                <w:color w:val="auto"/>
                <w:spacing w:val="-2"/>
                <w:sz w:val="24"/>
              </w:rPr>
              <w:t>法定代表人身份证复印件</w:t>
            </w:r>
            <w:r>
              <w:rPr>
                <w:rFonts w:hint="eastAsia" w:ascii="宋体" w:hAnsi="宋体" w:cs="仿宋"/>
                <w:color w:val="auto"/>
                <w:spacing w:val="-2"/>
                <w:sz w:val="24"/>
              </w:rPr>
              <w:t>，并</w:t>
            </w:r>
            <w:r>
              <w:rPr>
                <w:rFonts w:ascii="宋体" w:hAnsi="宋体" w:cs="仿宋"/>
                <w:color w:val="auto"/>
                <w:spacing w:val="-2"/>
                <w:sz w:val="24"/>
              </w:rPr>
              <w:t>加盖公章</w:t>
            </w:r>
            <w:r>
              <w:rPr>
                <w:rFonts w:hint="eastAsia" w:ascii="宋体" w:hAnsi="宋体" w:cs="仿宋"/>
                <w:color w:val="auto"/>
                <w:spacing w:val="-2"/>
                <w:sz w:val="24"/>
              </w:rPr>
              <w:t>；</w:t>
            </w:r>
          </w:p>
          <w:p w14:paraId="3E77AEE0">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（3）法定代表人授权委托书</w:t>
            </w:r>
            <w:r>
              <w:rPr>
                <w:rFonts w:ascii="宋体" w:hAnsi="宋体" w:cs="仿宋"/>
                <w:color w:val="auto"/>
                <w:spacing w:val="-2"/>
                <w:sz w:val="24"/>
              </w:rPr>
              <w:t>附完整的法定代表人身份证复印件、被授权人身份证复印件，</w:t>
            </w:r>
            <w:r>
              <w:rPr>
                <w:rFonts w:hint="eastAsia" w:ascii="宋体" w:hAnsi="宋体" w:cs="仿宋"/>
                <w:color w:val="auto"/>
                <w:spacing w:val="-2"/>
                <w:sz w:val="24"/>
              </w:rPr>
              <w:t>并</w:t>
            </w:r>
            <w:r>
              <w:rPr>
                <w:rFonts w:ascii="宋体" w:hAnsi="宋体" w:cs="仿宋"/>
                <w:color w:val="auto"/>
                <w:spacing w:val="-2"/>
                <w:sz w:val="24"/>
              </w:rPr>
              <w:t>加盖公章；</w:t>
            </w:r>
          </w:p>
        </w:tc>
        <w:tc>
          <w:tcPr>
            <w:tcW w:w="432" w:type="dxa"/>
            <w:noWrap w:val="0"/>
            <w:vAlign w:val="top"/>
          </w:tcPr>
          <w:p w14:paraId="3258AE7A">
            <w:pPr>
              <w:spacing w:line="360" w:lineRule="auto"/>
              <w:jc w:val="left"/>
              <w:rPr>
                <w:rFonts w:hint="eastAsia" w:ascii="宋体" w:hAnsi="宋体" w:cs="仿宋"/>
                <w:color w:val="auto"/>
                <w:spacing w:val="-2"/>
                <w:sz w:val="24"/>
              </w:rPr>
            </w:pPr>
          </w:p>
        </w:tc>
        <w:tc>
          <w:tcPr>
            <w:tcW w:w="480" w:type="dxa"/>
            <w:noWrap w:val="0"/>
            <w:vAlign w:val="top"/>
          </w:tcPr>
          <w:p w14:paraId="747A2424">
            <w:pPr>
              <w:spacing w:line="360" w:lineRule="auto"/>
              <w:jc w:val="left"/>
              <w:rPr>
                <w:rFonts w:hint="eastAsia" w:ascii="宋体" w:hAnsi="宋体" w:cs="仿宋"/>
                <w:color w:val="auto"/>
                <w:spacing w:val="-2"/>
                <w:sz w:val="24"/>
              </w:rPr>
            </w:pPr>
          </w:p>
        </w:tc>
        <w:tc>
          <w:tcPr>
            <w:tcW w:w="564" w:type="dxa"/>
            <w:noWrap w:val="0"/>
            <w:vAlign w:val="top"/>
          </w:tcPr>
          <w:p w14:paraId="405D11B6">
            <w:pPr>
              <w:spacing w:line="360" w:lineRule="auto"/>
              <w:jc w:val="left"/>
              <w:rPr>
                <w:rFonts w:hint="eastAsia" w:ascii="宋体" w:hAnsi="宋体" w:cs="仿宋"/>
                <w:color w:val="auto"/>
                <w:spacing w:val="-2"/>
                <w:sz w:val="24"/>
              </w:rPr>
            </w:pPr>
          </w:p>
        </w:tc>
      </w:tr>
      <w:tr w14:paraId="166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05" w:type="dxa"/>
            <w:noWrap w:val="0"/>
            <w:vAlign w:val="center"/>
          </w:tcPr>
          <w:p w14:paraId="3B585801">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3</w:t>
            </w:r>
          </w:p>
        </w:tc>
        <w:tc>
          <w:tcPr>
            <w:tcW w:w="2024" w:type="dxa"/>
            <w:noWrap w:val="0"/>
            <w:vAlign w:val="center"/>
          </w:tcPr>
          <w:p w14:paraId="22E4A23F">
            <w:pPr>
              <w:spacing w:line="360" w:lineRule="auto"/>
              <w:jc w:val="center"/>
              <w:rPr>
                <w:rFonts w:hint="eastAsia" w:ascii="宋体" w:hAnsi="宋体" w:cs="仿宋"/>
                <w:color w:val="auto"/>
                <w:spacing w:val="-2"/>
                <w:sz w:val="24"/>
              </w:rPr>
            </w:pPr>
            <w:r>
              <w:rPr>
                <w:rFonts w:hint="eastAsia" w:ascii="宋体" w:hAnsi="宋体" w:cs="仿宋"/>
                <w:color w:val="auto"/>
                <w:sz w:val="24"/>
              </w:rPr>
              <w:t>具有良好的商业信誉和健全的财务会计制度</w:t>
            </w:r>
          </w:p>
        </w:tc>
        <w:tc>
          <w:tcPr>
            <w:tcW w:w="6387" w:type="dxa"/>
            <w:noWrap w:val="0"/>
            <w:vAlign w:val="top"/>
          </w:tcPr>
          <w:p w14:paraId="4C9C37A4">
            <w:pPr>
              <w:spacing w:line="360" w:lineRule="auto"/>
              <w:jc w:val="left"/>
              <w:rPr>
                <w:rFonts w:ascii="宋体" w:hAnsi="宋体" w:cs="仿宋"/>
                <w:color w:val="auto"/>
                <w:spacing w:val="-2"/>
                <w:sz w:val="24"/>
              </w:rPr>
            </w:pPr>
            <w:r>
              <w:rPr>
                <w:rFonts w:ascii="宋体" w:hAnsi="宋体" w:cs="仿宋"/>
                <w:color w:val="auto"/>
                <w:spacing w:val="-2"/>
                <w:sz w:val="24"/>
              </w:rPr>
              <w:t>（1）提供</w:t>
            </w:r>
            <w:r>
              <w:rPr>
                <w:rFonts w:hint="eastAsia" w:ascii="宋体" w:hAnsi="宋体" w:cs="宋体"/>
                <w:color w:val="auto"/>
                <w:sz w:val="24"/>
                <w:lang w:eastAsia="zh-CN"/>
              </w:rPr>
              <w:t>202</w:t>
            </w:r>
            <w:r>
              <w:rPr>
                <w:rFonts w:hint="eastAsia" w:cs="宋体"/>
                <w:color w:val="auto"/>
                <w:sz w:val="24"/>
                <w:lang w:val="en-US" w:eastAsia="zh-CN"/>
              </w:rPr>
              <w:t>4</w:t>
            </w:r>
            <w:r>
              <w:rPr>
                <w:rFonts w:hint="eastAsia" w:ascii="宋体" w:hAnsi="宋体" w:cs="宋体"/>
                <w:color w:val="auto"/>
                <w:sz w:val="24"/>
                <w:lang w:eastAsia="zh-CN"/>
              </w:rPr>
              <w:t>年度至今任意一年的财务</w:t>
            </w:r>
            <w:r>
              <w:rPr>
                <w:rFonts w:hint="eastAsia" w:cs="宋体"/>
                <w:color w:val="auto"/>
                <w:sz w:val="24"/>
                <w:lang w:val="en-US" w:eastAsia="zh-CN"/>
              </w:rPr>
              <w:t>审计</w:t>
            </w:r>
            <w:r>
              <w:rPr>
                <w:rFonts w:hint="eastAsia" w:ascii="宋体" w:hAnsi="宋体" w:cs="宋体"/>
                <w:color w:val="auto"/>
                <w:sz w:val="24"/>
                <w:lang w:eastAsia="zh-CN"/>
              </w:rPr>
              <w:t>报告（至少包括资产负债表、利润表、现金流量表）或银行出具的资信证明</w:t>
            </w:r>
            <w:r>
              <w:rPr>
                <w:rFonts w:hint="eastAsia" w:ascii="宋体" w:hAnsi="宋体" w:cs="仿宋"/>
                <w:color w:val="auto"/>
                <w:spacing w:val="-2"/>
                <w:sz w:val="24"/>
              </w:rPr>
              <w:t>；</w:t>
            </w:r>
          </w:p>
          <w:p w14:paraId="11F00335">
            <w:pPr>
              <w:spacing w:line="360" w:lineRule="auto"/>
              <w:jc w:val="left"/>
              <w:rPr>
                <w:rFonts w:hint="default" w:ascii="宋体" w:hAnsi="宋体" w:eastAsia="宋体" w:cs="仿宋"/>
                <w:color w:val="auto"/>
                <w:spacing w:val="-2"/>
                <w:sz w:val="24"/>
                <w:lang w:val="en-US" w:eastAsia="zh-CN"/>
              </w:rPr>
            </w:pPr>
            <w:r>
              <w:rPr>
                <w:rFonts w:ascii="宋体" w:hAnsi="宋体" w:cs="仿宋"/>
                <w:color w:val="auto"/>
                <w:spacing w:val="-2"/>
                <w:sz w:val="24"/>
              </w:rPr>
              <w:t>（2）复印件加盖</w:t>
            </w:r>
            <w:r>
              <w:rPr>
                <w:rFonts w:hint="eastAsia" w:ascii="宋体" w:hAnsi="宋体" w:cs="仿宋"/>
                <w:color w:val="auto"/>
                <w:spacing w:val="-2"/>
                <w:sz w:val="24"/>
              </w:rPr>
              <w:t>投标人</w:t>
            </w:r>
            <w:r>
              <w:rPr>
                <w:rFonts w:ascii="宋体" w:hAnsi="宋体" w:cs="仿宋"/>
                <w:color w:val="auto"/>
                <w:spacing w:val="-2"/>
                <w:sz w:val="24"/>
              </w:rPr>
              <w:t xml:space="preserve">公章； </w:t>
            </w:r>
          </w:p>
        </w:tc>
        <w:tc>
          <w:tcPr>
            <w:tcW w:w="432" w:type="dxa"/>
            <w:noWrap w:val="0"/>
            <w:vAlign w:val="top"/>
          </w:tcPr>
          <w:p w14:paraId="6B5F0C47">
            <w:pPr>
              <w:spacing w:line="360" w:lineRule="auto"/>
              <w:jc w:val="left"/>
              <w:rPr>
                <w:rFonts w:hint="eastAsia" w:ascii="宋体" w:hAnsi="宋体" w:cs="仿宋"/>
                <w:color w:val="auto"/>
                <w:spacing w:val="-2"/>
                <w:sz w:val="24"/>
              </w:rPr>
            </w:pPr>
          </w:p>
        </w:tc>
        <w:tc>
          <w:tcPr>
            <w:tcW w:w="480" w:type="dxa"/>
            <w:noWrap w:val="0"/>
            <w:vAlign w:val="top"/>
          </w:tcPr>
          <w:p w14:paraId="6ADD9909">
            <w:pPr>
              <w:spacing w:line="360" w:lineRule="auto"/>
              <w:jc w:val="left"/>
              <w:rPr>
                <w:rFonts w:hint="eastAsia" w:ascii="宋体" w:hAnsi="宋体" w:cs="仿宋"/>
                <w:color w:val="auto"/>
                <w:spacing w:val="-2"/>
                <w:sz w:val="24"/>
              </w:rPr>
            </w:pPr>
          </w:p>
        </w:tc>
        <w:tc>
          <w:tcPr>
            <w:tcW w:w="564" w:type="dxa"/>
            <w:noWrap w:val="0"/>
            <w:vAlign w:val="top"/>
          </w:tcPr>
          <w:p w14:paraId="7E4C4986">
            <w:pPr>
              <w:spacing w:line="360" w:lineRule="auto"/>
              <w:jc w:val="left"/>
              <w:rPr>
                <w:rFonts w:hint="eastAsia" w:ascii="宋体" w:hAnsi="宋体" w:cs="仿宋"/>
                <w:color w:val="auto"/>
                <w:spacing w:val="-2"/>
                <w:sz w:val="24"/>
              </w:rPr>
            </w:pPr>
          </w:p>
        </w:tc>
      </w:tr>
      <w:tr w14:paraId="079D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6B815538">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4</w:t>
            </w:r>
          </w:p>
        </w:tc>
        <w:tc>
          <w:tcPr>
            <w:tcW w:w="2024" w:type="dxa"/>
            <w:noWrap w:val="0"/>
            <w:vAlign w:val="center"/>
          </w:tcPr>
          <w:p w14:paraId="0D05D16D">
            <w:pPr>
              <w:spacing w:line="360" w:lineRule="auto"/>
              <w:jc w:val="center"/>
              <w:rPr>
                <w:rFonts w:hint="eastAsia" w:ascii="宋体" w:hAnsi="宋体" w:cs="仿宋"/>
                <w:color w:val="auto"/>
                <w:sz w:val="24"/>
              </w:rPr>
            </w:pPr>
            <w:r>
              <w:rPr>
                <w:rFonts w:hint="eastAsia" w:ascii="宋体" w:hAnsi="宋体" w:cs="仿宋"/>
                <w:color w:val="auto"/>
                <w:sz w:val="24"/>
              </w:rPr>
              <w:t>具有履行合同所必需的设备和专业技术能力</w:t>
            </w:r>
          </w:p>
        </w:tc>
        <w:tc>
          <w:tcPr>
            <w:tcW w:w="6387" w:type="dxa"/>
            <w:noWrap w:val="0"/>
            <w:vAlign w:val="center"/>
          </w:tcPr>
          <w:p w14:paraId="4E53C940">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提供了可充分满足履行合同所需设备和专业技术能力的承诺（格式自拟）</w:t>
            </w:r>
          </w:p>
        </w:tc>
        <w:tc>
          <w:tcPr>
            <w:tcW w:w="432" w:type="dxa"/>
            <w:noWrap w:val="0"/>
            <w:vAlign w:val="top"/>
          </w:tcPr>
          <w:p w14:paraId="0620F7AF">
            <w:pPr>
              <w:spacing w:line="360" w:lineRule="auto"/>
              <w:jc w:val="left"/>
              <w:rPr>
                <w:rFonts w:hint="eastAsia" w:ascii="宋体" w:hAnsi="宋体" w:cs="仿宋"/>
                <w:color w:val="auto"/>
                <w:spacing w:val="-2"/>
                <w:sz w:val="24"/>
              </w:rPr>
            </w:pPr>
          </w:p>
        </w:tc>
        <w:tc>
          <w:tcPr>
            <w:tcW w:w="480" w:type="dxa"/>
            <w:noWrap w:val="0"/>
            <w:vAlign w:val="top"/>
          </w:tcPr>
          <w:p w14:paraId="3C817F57">
            <w:pPr>
              <w:spacing w:line="360" w:lineRule="auto"/>
              <w:jc w:val="left"/>
              <w:rPr>
                <w:rFonts w:hint="eastAsia" w:ascii="宋体" w:hAnsi="宋体" w:cs="仿宋"/>
                <w:color w:val="auto"/>
                <w:spacing w:val="-2"/>
                <w:sz w:val="24"/>
              </w:rPr>
            </w:pPr>
          </w:p>
        </w:tc>
        <w:tc>
          <w:tcPr>
            <w:tcW w:w="564" w:type="dxa"/>
            <w:noWrap w:val="0"/>
            <w:vAlign w:val="top"/>
          </w:tcPr>
          <w:p w14:paraId="69B6374E">
            <w:pPr>
              <w:spacing w:line="360" w:lineRule="auto"/>
              <w:jc w:val="left"/>
              <w:rPr>
                <w:rFonts w:hint="eastAsia" w:ascii="宋体" w:hAnsi="宋体" w:cs="仿宋"/>
                <w:color w:val="auto"/>
                <w:spacing w:val="-2"/>
                <w:sz w:val="24"/>
              </w:rPr>
            </w:pPr>
          </w:p>
        </w:tc>
      </w:tr>
      <w:tr w14:paraId="22C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043EFB47">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5</w:t>
            </w:r>
          </w:p>
        </w:tc>
        <w:tc>
          <w:tcPr>
            <w:tcW w:w="2024" w:type="dxa"/>
            <w:noWrap w:val="0"/>
            <w:vAlign w:val="center"/>
          </w:tcPr>
          <w:p w14:paraId="10AA2212">
            <w:pPr>
              <w:spacing w:line="360" w:lineRule="auto"/>
              <w:jc w:val="center"/>
              <w:rPr>
                <w:rFonts w:hint="eastAsia" w:ascii="宋体" w:hAnsi="宋体" w:cs="仿宋"/>
                <w:color w:val="auto"/>
                <w:sz w:val="24"/>
              </w:rPr>
            </w:pPr>
            <w:r>
              <w:rPr>
                <w:rFonts w:hint="eastAsia" w:ascii="宋体" w:hAnsi="宋体" w:cs="仿宋"/>
                <w:color w:val="auto"/>
                <w:sz w:val="24"/>
              </w:rPr>
              <w:t>有依法缴纳税收和社会保障资金的良好记录</w:t>
            </w:r>
          </w:p>
        </w:tc>
        <w:tc>
          <w:tcPr>
            <w:tcW w:w="6387" w:type="dxa"/>
            <w:noWrap w:val="0"/>
            <w:vAlign w:val="top"/>
          </w:tcPr>
          <w:p w14:paraId="6CDEF2AD">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（1）提供开标前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依法缴纳税收证明，证明材料可以是缴费的银行单据等复印件并加盖公章或免缴纳证明；</w:t>
            </w:r>
          </w:p>
          <w:p w14:paraId="403BD814">
            <w:pPr>
              <w:spacing w:line="360" w:lineRule="auto"/>
              <w:jc w:val="left"/>
              <w:rPr>
                <w:rFonts w:hint="eastAsia" w:eastAsia="仿宋"/>
                <w:color w:val="auto"/>
              </w:rPr>
            </w:pPr>
            <w:r>
              <w:rPr>
                <w:rFonts w:hint="eastAsia" w:ascii="宋体" w:hAnsi="宋体" w:cs="仿宋"/>
                <w:color w:val="auto"/>
                <w:spacing w:val="-2"/>
                <w:sz w:val="24"/>
              </w:rPr>
              <w:t>（2）提供开标前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依法缴纳社保证明，证明材料可以是缴费的银行单据或社保机构开具的证明等复印件并加盖公章或免缴纳证明。</w:t>
            </w:r>
          </w:p>
        </w:tc>
        <w:tc>
          <w:tcPr>
            <w:tcW w:w="432" w:type="dxa"/>
            <w:noWrap w:val="0"/>
            <w:vAlign w:val="top"/>
          </w:tcPr>
          <w:p w14:paraId="6454B7CD">
            <w:pPr>
              <w:spacing w:line="360" w:lineRule="auto"/>
              <w:jc w:val="left"/>
              <w:rPr>
                <w:rFonts w:hint="eastAsia" w:ascii="宋体" w:hAnsi="宋体" w:cs="仿宋"/>
                <w:color w:val="auto"/>
                <w:spacing w:val="-2"/>
                <w:sz w:val="24"/>
              </w:rPr>
            </w:pPr>
          </w:p>
        </w:tc>
        <w:tc>
          <w:tcPr>
            <w:tcW w:w="480" w:type="dxa"/>
            <w:noWrap w:val="0"/>
            <w:vAlign w:val="top"/>
          </w:tcPr>
          <w:p w14:paraId="3C232172">
            <w:pPr>
              <w:spacing w:line="360" w:lineRule="auto"/>
              <w:jc w:val="left"/>
              <w:rPr>
                <w:rFonts w:hint="eastAsia" w:ascii="宋体" w:hAnsi="宋体" w:cs="仿宋"/>
                <w:color w:val="auto"/>
                <w:spacing w:val="-2"/>
                <w:sz w:val="24"/>
              </w:rPr>
            </w:pPr>
          </w:p>
        </w:tc>
        <w:tc>
          <w:tcPr>
            <w:tcW w:w="564" w:type="dxa"/>
            <w:noWrap w:val="0"/>
            <w:vAlign w:val="top"/>
          </w:tcPr>
          <w:p w14:paraId="5AF7D9B7">
            <w:pPr>
              <w:spacing w:line="360" w:lineRule="auto"/>
              <w:jc w:val="left"/>
              <w:rPr>
                <w:rFonts w:hint="eastAsia" w:ascii="宋体" w:hAnsi="宋体" w:cs="仿宋"/>
                <w:color w:val="auto"/>
                <w:spacing w:val="-2"/>
                <w:sz w:val="24"/>
              </w:rPr>
            </w:pPr>
          </w:p>
        </w:tc>
      </w:tr>
      <w:tr w14:paraId="4C8C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2795AA8B">
            <w:pPr>
              <w:spacing w:line="360" w:lineRule="auto"/>
              <w:jc w:val="center"/>
              <w:rPr>
                <w:rFonts w:hint="eastAsia" w:ascii="宋体" w:hAnsi="宋体" w:cs="仿宋" w:eastAsiaTheme="minorEastAsia"/>
                <w:color w:val="auto"/>
                <w:spacing w:val="-2"/>
                <w:sz w:val="24"/>
                <w:lang w:val="en-US" w:eastAsia="zh-CN"/>
              </w:rPr>
            </w:pPr>
            <w:r>
              <w:rPr>
                <w:rFonts w:hint="eastAsia" w:ascii="宋体" w:hAnsi="宋体" w:cs="仿宋"/>
                <w:color w:val="auto"/>
                <w:spacing w:val="-2"/>
                <w:sz w:val="24"/>
                <w:lang w:val="en-US" w:eastAsia="zh-CN"/>
              </w:rPr>
              <w:t>6</w:t>
            </w:r>
          </w:p>
        </w:tc>
        <w:tc>
          <w:tcPr>
            <w:tcW w:w="2024" w:type="dxa"/>
            <w:noWrap w:val="0"/>
            <w:vAlign w:val="center"/>
          </w:tcPr>
          <w:p w14:paraId="3EC4257C">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387" w:type="dxa"/>
            <w:noWrap w:val="0"/>
            <w:vAlign w:val="top"/>
          </w:tcPr>
          <w:p w14:paraId="3EF6A936">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1348D085">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64ACA69">
            <w:pPr>
              <w:spacing w:line="360" w:lineRule="auto"/>
              <w:jc w:val="left"/>
              <w:rPr>
                <w:rFonts w:hint="eastAsia" w:ascii="宋体" w:hAnsi="宋体" w:cs="仿宋"/>
                <w:color w:val="auto"/>
                <w:spacing w:val="-2"/>
                <w:sz w:val="24"/>
              </w:rPr>
            </w:pPr>
          </w:p>
        </w:tc>
        <w:tc>
          <w:tcPr>
            <w:tcW w:w="480" w:type="dxa"/>
            <w:noWrap w:val="0"/>
            <w:vAlign w:val="top"/>
          </w:tcPr>
          <w:p w14:paraId="05EAD09D">
            <w:pPr>
              <w:spacing w:line="360" w:lineRule="auto"/>
              <w:jc w:val="left"/>
              <w:rPr>
                <w:rFonts w:hint="eastAsia" w:ascii="宋体" w:hAnsi="宋体" w:cs="仿宋"/>
                <w:color w:val="auto"/>
                <w:spacing w:val="-2"/>
                <w:sz w:val="24"/>
              </w:rPr>
            </w:pPr>
          </w:p>
        </w:tc>
        <w:tc>
          <w:tcPr>
            <w:tcW w:w="564" w:type="dxa"/>
            <w:noWrap w:val="0"/>
            <w:vAlign w:val="top"/>
          </w:tcPr>
          <w:p w14:paraId="1D51C1DF">
            <w:pPr>
              <w:spacing w:line="360" w:lineRule="auto"/>
              <w:jc w:val="left"/>
              <w:rPr>
                <w:rFonts w:hint="eastAsia" w:ascii="宋体" w:hAnsi="宋体" w:cs="仿宋"/>
                <w:color w:val="auto"/>
                <w:spacing w:val="-2"/>
                <w:sz w:val="24"/>
              </w:rPr>
            </w:pPr>
          </w:p>
        </w:tc>
      </w:tr>
      <w:tr w14:paraId="120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5D919ECC">
            <w:pPr>
              <w:spacing w:line="360" w:lineRule="auto"/>
              <w:jc w:val="center"/>
              <w:rPr>
                <w:rFonts w:hint="eastAsia" w:ascii="宋体" w:hAnsi="宋体" w:cs="仿宋" w:eastAsiaTheme="minorEastAsia"/>
                <w:color w:val="auto"/>
                <w:spacing w:val="-2"/>
                <w:sz w:val="24"/>
                <w:lang w:eastAsia="zh-CN"/>
              </w:rPr>
            </w:pPr>
            <w:r>
              <w:rPr>
                <w:rFonts w:hint="eastAsia" w:ascii="宋体" w:hAnsi="宋体" w:cs="仿宋"/>
                <w:color w:val="auto"/>
                <w:spacing w:val="-2"/>
                <w:sz w:val="24"/>
                <w:lang w:val="en-US" w:eastAsia="zh-CN"/>
              </w:rPr>
              <w:t>7</w:t>
            </w:r>
          </w:p>
        </w:tc>
        <w:tc>
          <w:tcPr>
            <w:tcW w:w="2024" w:type="dxa"/>
            <w:noWrap w:val="0"/>
            <w:vAlign w:val="center"/>
          </w:tcPr>
          <w:p w14:paraId="683C0630">
            <w:pPr>
              <w:spacing w:line="360" w:lineRule="auto"/>
              <w:jc w:val="center"/>
              <w:rPr>
                <w:rFonts w:hint="eastAsia" w:ascii="宋体" w:hAnsi="宋体" w:cs="仿宋"/>
                <w:color w:val="auto"/>
                <w:sz w:val="24"/>
              </w:rPr>
            </w:pPr>
            <w:r>
              <w:rPr>
                <w:rFonts w:hint="eastAsia" w:ascii="宋体" w:hAnsi="宋体" w:cs="仿宋"/>
                <w:color w:val="auto"/>
                <w:sz w:val="24"/>
              </w:rPr>
              <w:t>投标人声明函</w:t>
            </w:r>
          </w:p>
        </w:tc>
        <w:tc>
          <w:tcPr>
            <w:tcW w:w="6387" w:type="dxa"/>
            <w:noWrap w:val="0"/>
            <w:vAlign w:val="top"/>
          </w:tcPr>
          <w:p w14:paraId="30BDC672">
            <w:pPr>
              <w:spacing w:line="360" w:lineRule="auto"/>
              <w:rPr>
                <w:rFonts w:hint="eastAsia" w:ascii="宋体" w:hAnsi="宋体" w:cs="仿宋"/>
                <w:color w:val="auto"/>
                <w:sz w:val="24"/>
              </w:rPr>
            </w:pPr>
            <w:r>
              <w:rPr>
                <w:rFonts w:hint="eastAsia" w:ascii="宋体" w:hAnsi="宋体" w:cs="仿宋"/>
                <w:color w:val="auto"/>
                <w:sz w:val="24"/>
              </w:rPr>
              <w:t>提供了参加政府采购活动前三年内，在经营活动中没有重大违法记录的书面声明；</w:t>
            </w:r>
          </w:p>
          <w:p w14:paraId="38283763">
            <w:pPr>
              <w:spacing w:line="360" w:lineRule="auto"/>
              <w:rPr>
                <w:rFonts w:hint="eastAsia" w:ascii="宋体" w:hAnsi="宋体" w:cs="仿宋"/>
                <w:color w:val="auto"/>
                <w:sz w:val="24"/>
              </w:rPr>
            </w:pPr>
            <w:r>
              <w:rPr>
                <w:rFonts w:hint="eastAsia" w:ascii="宋体" w:hAnsi="宋体" w:cs="宋体"/>
                <w:color w:val="auto"/>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p>
        </w:tc>
        <w:tc>
          <w:tcPr>
            <w:tcW w:w="432" w:type="dxa"/>
            <w:noWrap w:val="0"/>
            <w:vAlign w:val="top"/>
          </w:tcPr>
          <w:p w14:paraId="1782FBDF">
            <w:pPr>
              <w:spacing w:line="360" w:lineRule="auto"/>
              <w:jc w:val="left"/>
              <w:rPr>
                <w:rFonts w:hint="eastAsia" w:ascii="宋体" w:hAnsi="宋体" w:cs="仿宋"/>
                <w:color w:val="auto"/>
                <w:spacing w:val="-2"/>
                <w:sz w:val="24"/>
              </w:rPr>
            </w:pPr>
          </w:p>
        </w:tc>
        <w:tc>
          <w:tcPr>
            <w:tcW w:w="480" w:type="dxa"/>
            <w:noWrap w:val="0"/>
            <w:vAlign w:val="top"/>
          </w:tcPr>
          <w:p w14:paraId="40635925">
            <w:pPr>
              <w:spacing w:line="360" w:lineRule="auto"/>
              <w:jc w:val="left"/>
              <w:rPr>
                <w:rFonts w:hint="eastAsia" w:ascii="宋体" w:hAnsi="宋体" w:cs="仿宋"/>
                <w:color w:val="auto"/>
                <w:spacing w:val="-2"/>
                <w:sz w:val="24"/>
              </w:rPr>
            </w:pPr>
          </w:p>
        </w:tc>
        <w:tc>
          <w:tcPr>
            <w:tcW w:w="564" w:type="dxa"/>
            <w:noWrap w:val="0"/>
            <w:vAlign w:val="top"/>
          </w:tcPr>
          <w:p w14:paraId="2575F50B">
            <w:pPr>
              <w:spacing w:line="360" w:lineRule="auto"/>
              <w:jc w:val="left"/>
              <w:rPr>
                <w:rFonts w:hint="eastAsia" w:ascii="宋体" w:hAnsi="宋体" w:cs="仿宋"/>
                <w:color w:val="auto"/>
                <w:spacing w:val="-2"/>
                <w:sz w:val="24"/>
              </w:rPr>
            </w:pPr>
          </w:p>
        </w:tc>
      </w:tr>
      <w:tr w14:paraId="7B32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705" w:type="dxa"/>
            <w:noWrap w:val="0"/>
            <w:vAlign w:val="center"/>
          </w:tcPr>
          <w:p w14:paraId="6E0214F5">
            <w:pPr>
              <w:spacing w:line="360" w:lineRule="auto"/>
              <w:jc w:val="center"/>
              <w:rPr>
                <w:rFonts w:hint="eastAsia" w:ascii="宋体" w:hAnsi="宋体" w:cs="仿宋" w:eastAsiaTheme="minorEastAsia"/>
                <w:color w:val="auto"/>
                <w:spacing w:val="-2"/>
                <w:sz w:val="24"/>
                <w:lang w:eastAsia="zh-CN"/>
              </w:rPr>
            </w:pPr>
            <w:r>
              <w:rPr>
                <w:rFonts w:hint="eastAsia" w:ascii="宋体" w:hAnsi="宋体" w:cs="仿宋"/>
                <w:color w:val="auto"/>
                <w:spacing w:val="-2"/>
                <w:sz w:val="24"/>
                <w:lang w:val="en-US" w:eastAsia="zh-CN"/>
              </w:rPr>
              <w:t>8</w:t>
            </w:r>
          </w:p>
        </w:tc>
        <w:tc>
          <w:tcPr>
            <w:tcW w:w="2024" w:type="dxa"/>
            <w:noWrap w:val="0"/>
            <w:vAlign w:val="center"/>
          </w:tcPr>
          <w:p w14:paraId="04E39DA0">
            <w:pPr>
              <w:spacing w:line="360" w:lineRule="auto"/>
              <w:jc w:val="center"/>
              <w:rPr>
                <w:rFonts w:hint="eastAsia" w:ascii="宋体" w:hAnsi="宋体" w:cs="仿宋"/>
                <w:color w:val="auto"/>
                <w:sz w:val="24"/>
              </w:rPr>
            </w:pPr>
            <w:r>
              <w:rPr>
                <w:rFonts w:hint="eastAsia" w:ascii="宋体" w:hAnsi="宋体" w:cs="仿宋"/>
                <w:color w:val="auto"/>
                <w:sz w:val="24"/>
              </w:rPr>
              <w:t>信用信息查询</w:t>
            </w:r>
          </w:p>
        </w:tc>
        <w:tc>
          <w:tcPr>
            <w:tcW w:w="6387" w:type="dxa"/>
            <w:noWrap w:val="0"/>
            <w:vAlign w:val="top"/>
          </w:tcPr>
          <w:p w14:paraId="3C79F3EF">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查询渠道：信用中国网站和中国政府采购网（www.creditchina.gov.cn 、www.ccgp.gov.cn）；</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截止时点：投标截止时间以后、资格审查阶段采购人或采购代理机构的实际查询时间；</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信用信息查询记录和证据留存具体方式：查询结果网页打印页作为查询记录和证据，与其他采购文件一并保存；</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046CA978">
            <w:pPr>
              <w:spacing w:line="360" w:lineRule="auto"/>
              <w:jc w:val="left"/>
              <w:rPr>
                <w:rFonts w:hint="eastAsia" w:ascii="宋体" w:hAnsi="宋体" w:cs="仿宋"/>
                <w:color w:val="auto"/>
                <w:spacing w:val="-2"/>
                <w:sz w:val="24"/>
              </w:rPr>
            </w:pPr>
          </w:p>
        </w:tc>
        <w:tc>
          <w:tcPr>
            <w:tcW w:w="480" w:type="dxa"/>
            <w:noWrap w:val="0"/>
            <w:vAlign w:val="top"/>
          </w:tcPr>
          <w:p w14:paraId="3B7A1A1E">
            <w:pPr>
              <w:spacing w:line="360" w:lineRule="auto"/>
              <w:jc w:val="left"/>
              <w:rPr>
                <w:rFonts w:hint="eastAsia" w:ascii="宋体" w:hAnsi="宋体" w:cs="仿宋"/>
                <w:color w:val="auto"/>
                <w:spacing w:val="-2"/>
                <w:sz w:val="24"/>
              </w:rPr>
            </w:pPr>
          </w:p>
        </w:tc>
        <w:tc>
          <w:tcPr>
            <w:tcW w:w="564" w:type="dxa"/>
            <w:noWrap w:val="0"/>
            <w:vAlign w:val="top"/>
          </w:tcPr>
          <w:p w14:paraId="30B4AB56">
            <w:pPr>
              <w:spacing w:line="360" w:lineRule="auto"/>
              <w:jc w:val="left"/>
              <w:rPr>
                <w:rFonts w:hint="eastAsia" w:ascii="宋体" w:hAnsi="宋体" w:cs="仿宋"/>
                <w:color w:val="auto"/>
                <w:spacing w:val="-2"/>
                <w:sz w:val="24"/>
              </w:rPr>
            </w:pPr>
          </w:p>
        </w:tc>
      </w:tr>
      <w:tr w14:paraId="21FB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5" w:type="dxa"/>
            <w:noWrap w:val="0"/>
            <w:vAlign w:val="center"/>
          </w:tcPr>
          <w:p w14:paraId="332AFA0D">
            <w:pPr>
              <w:spacing w:line="360" w:lineRule="auto"/>
              <w:jc w:val="center"/>
              <w:rPr>
                <w:rFonts w:hint="default" w:cs="仿宋"/>
                <w:color w:val="auto"/>
                <w:spacing w:val="-2"/>
                <w:sz w:val="24"/>
                <w:lang w:val="en-US" w:eastAsia="zh-CN"/>
              </w:rPr>
            </w:pPr>
            <w:r>
              <w:rPr>
                <w:rFonts w:hint="eastAsia" w:cs="仿宋"/>
                <w:color w:val="auto"/>
                <w:spacing w:val="-2"/>
                <w:sz w:val="24"/>
                <w:lang w:val="en-US" w:eastAsia="zh-CN"/>
              </w:rPr>
              <w:t>9</w:t>
            </w:r>
          </w:p>
        </w:tc>
        <w:tc>
          <w:tcPr>
            <w:tcW w:w="2024" w:type="dxa"/>
            <w:noWrap w:val="0"/>
            <w:vAlign w:val="center"/>
          </w:tcPr>
          <w:p w14:paraId="0CBF0107">
            <w:pPr>
              <w:spacing w:line="360" w:lineRule="auto"/>
              <w:jc w:val="center"/>
              <w:rPr>
                <w:rFonts w:hint="eastAsia" w:cs="仿宋"/>
                <w:color w:val="auto"/>
                <w:sz w:val="24"/>
                <w:highlight w:val="none"/>
                <w:lang w:val="en-US" w:eastAsia="zh-CN"/>
              </w:rPr>
            </w:pPr>
            <w:r>
              <w:rPr>
                <w:rFonts w:hint="eastAsia" w:cs="仿宋"/>
                <w:color w:val="auto"/>
                <w:sz w:val="24"/>
                <w:highlight w:val="none"/>
                <w:lang w:val="en-US" w:eastAsia="zh-CN"/>
              </w:rPr>
              <w:t>采购政策</w:t>
            </w:r>
          </w:p>
        </w:tc>
        <w:tc>
          <w:tcPr>
            <w:tcW w:w="6387" w:type="dxa"/>
            <w:noWrap w:val="0"/>
            <w:vAlign w:val="top"/>
          </w:tcPr>
          <w:p w14:paraId="18F79F31">
            <w:pPr>
              <w:spacing w:line="360" w:lineRule="auto"/>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本项目专门面向小微企业</w:t>
            </w:r>
            <w:r>
              <w:rPr>
                <w:rFonts w:hint="eastAsia" w:cs="宋体"/>
                <w:color w:val="auto"/>
                <w:sz w:val="24"/>
                <w:szCs w:val="24"/>
                <w:highlight w:val="none"/>
                <w:u w:val="none"/>
                <w:lang w:val="en-US" w:eastAsia="zh-CN"/>
              </w:rPr>
              <w:t>，提供中小企业声明函。</w:t>
            </w:r>
          </w:p>
        </w:tc>
        <w:tc>
          <w:tcPr>
            <w:tcW w:w="432" w:type="dxa"/>
            <w:noWrap w:val="0"/>
            <w:vAlign w:val="top"/>
          </w:tcPr>
          <w:p w14:paraId="092F3A18">
            <w:pPr>
              <w:spacing w:line="360" w:lineRule="auto"/>
              <w:jc w:val="left"/>
              <w:rPr>
                <w:rFonts w:hint="eastAsia" w:ascii="宋体" w:hAnsi="宋体" w:cs="仿宋"/>
                <w:color w:val="auto"/>
                <w:spacing w:val="-2"/>
                <w:sz w:val="24"/>
              </w:rPr>
            </w:pPr>
          </w:p>
        </w:tc>
        <w:tc>
          <w:tcPr>
            <w:tcW w:w="480" w:type="dxa"/>
            <w:noWrap w:val="0"/>
            <w:vAlign w:val="top"/>
          </w:tcPr>
          <w:p w14:paraId="225F4917">
            <w:pPr>
              <w:spacing w:line="360" w:lineRule="auto"/>
              <w:jc w:val="left"/>
              <w:rPr>
                <w:rFonts w:hint="eastAsia" w:ascii="宋体" w:hAnsi="宋体" w:cs="仿宋"/>
                <w:color w:val="auto"/>
                <w:spacing w:val="-2"/>
                <w:sz w:val="24"/>
              </w:rPr>
            </w:pPr>
          </w:p>
        </w:tc>
        <w:tc>
          <w:tcPr>
            <w:tcW w:w="564" w:type="dxa"/>
            <w:noWrap w:val="0"/>
            <w:vAlign w:val="top"/>
          </w:tcPr>
          <w:p w14:paraId="292F90DB">
            <w:pPr>
              <w:spacing w:line="360" w:lineRule="auto"/>
              <w:jc w:val="left"/>
              <w:rPr>
                <w:rFonts w:hint="eastAsia" w:ascii="宋体" w:hAnsi="宋体" w:cs="仿宋"/>
                <w:color w:val="auto"/>
                <w:spacing w:val="-2"/>
                <w:sz w:val="24"/>
              </w:rPr>
            </w:pPr>
          </w:p>
        </w:tc>
      </w:tr>
      <w:tr w14:paraId="39C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5" w:type="dxa"/>
            <w:noWrap w:val="0"/>
            <w:vAlign w:val="center"/>
          </w:tcPr>
          <w:p w14:paraId="3F3FDDE9">
            <w:pPr>
              <w:spacing w:line="360" w:lineRule="auto"/>
              <w:jc w:val="center"/>
              <w:rPr>
                <w:rFonts w:hint="default" w:ascii="宋体" w:hAnsi="宋体" w:cs="仿宋"/>
                <w:color w:val="auto"/>
                <w:spacing w:val="-2"/>
                <w:sz w:val="24"/>
                <w:lang w:val="en-US" w:eastAsia="zh-CN"/>
              </w:rPr>
            </w:pPr>
            <w:r>
              <w:rPr>
                <w:rFonts w:hint="eastAsia" w:cs="仿宋"/>
                <w:color w:val="auto"/>
                <w:spacing w:val="-2"/>
                <w:sz w:val="24"/>
                <w:lang w:val="en-US" w:eastAsia="zh-CN"/>
              </w:rPr>
              <w:t>10</w:t>
            </w:r>
          </w:p>
        </w:tc>
        <w:tc>
          <w:tcPr>
            <w:tcW w:w="2024" w:type="dxa"/>
            <w:noWrap w:val="0"/>
            <w:vAlign w:val="center"/>
          </w:tcPr>
          <w:p w14:paraId="5BBFA2DD">
            <w:pPr>
              <w:spacing w:line="360" w:lineRule="auto"/>
              <w:jc w:val="center"/>
              <w:rPr>
                <w:rFonts w:hint="default" w:ascii="宋体" w:hAnsi="宋体" w:eastAsia="宋体" w:cs="仿宋"/>
                <w:color w:val="auto"/>
                <w:sz w:val="24"/>
                <w:highlight w:val="none"/>
                <w:lang w:val="en-US" w:eastAsia="zh-CN"/>
              </w:rPr>
            </w:pPr>
            <w:r>
              <w:rPr>
                <w:rFonts w:hint="eastAsia" w:cs="仿宋"/>
                <w:color w:val="auto"/>
                <w:sz w:val="24"/>
                <w:highlight w:val="none"/>
                <w:lang w:val="en-US" w:eastAsia="zh-CN"/>
              </w:rPr>
              <w:t>特定资格要求</w:t>
            </w:r>
          </w:p>
        </w:tc>
        <w:tc>
          <w:tcPr>
            <w:tcW w:w="6387" w:type="dxa"/>
            <w:noWrap w:val="0"/>
            <w:vAlign w:val="top"/>
          </w:tcPr>
          <w:p w14:paraId="2099FD21">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u w:val="none"/>
                <w:lang w:val="en-US" w:eastAsia="zh-CN"/>
              </w:rPr>
              <w:t xml:space="preserve"> 1）具有有效的《食品经营许可证》（主体业态</w:t>
            </w:r>
            <w:r>
              <w:rPr>
                <w:rFonts w:hint="eastAsia" w:cs="宋体"/>
                <w:color w:val="auto"/>
                <w:sz w:val="24"/>
                <w:szCs w:val="24"/>
                <w:highlight w:val="none"/>
                <w:u w:val="none"/>
                <w:lang w:val="en-US" w:eastAsia="zh-CN"/>
              </w:rPr>
              <w:t>须包含</w:t>
            </w:r>
            <w:r>
              <w:rPr>
                <w:rFonts w:hint="eastAsia" w:ascii="宋体" w:hAnsi="宋体" w:eastAsia="宋体" w:cs="宋体"/>
                <w:color w:val="auto"/>
                <w:sz w:val="24"/>
                <w:szCs w:val="24"/>
                <w:highlight w:val="none"/>
                <w:u w:val="none"/>
                <w:lang w:val="en-US" w:eastAsia="zh-CN"/>
              </w:rPr>
              <w:t>：餐饮服务经营者）</w:t>
            </w:r>
            <w:r>
              <w:rPr>
                <w:rFonts w:hint="eastAsia" w:ascii="宋体" w:hAnsi="宋体" w:eastAsia="宋体" w:cs="宋体"/>
                <w:color w:val="auto"/>
                <w:sz w:val="24"/>
                <w:szCs w:val="24"/>
                <w:highlight w:val="none"/>
                <w:u w:val="none"/>
                <w:lang w:val="en-US" w:eastAsia="zh-CN"/>
              </w:rPr>
              <w:t>；2）与招标人存在利害关系可能影响招标公正性的法定代表人、其他组织或者个人，不得参加投标；3）单位负责人为同一人或者存在控股、管理关系的不同单位，不得参加同一合同项下的同一招标项目投标。违反上述两款规定的，相关投标均无效；</w:t>
            </w:r>
          </w:p>
        </w:tc>
        <w:tc>
          <w:tcPr>
            <w:tcW w:w="432" w:type="dxa"/>
            <w:noWrap w:val="0"/>
            <w:vAlign w:val="top"/>
          </w:tcPr>
          <w:p w14:paraId="17275CB2">
            <w:pPr>
              <w:spacing w:line="360" w:lineRule="auto"/>
              <w:jc w:val="left"/>
              <w:rPr>
                <w:rFonts w:hint="eastAsia" w:ascii="宋体" w:hAnsi="宋体" w:cs="仿宋"/>
                <w:color w:val="auto"/>
                <w:spacing w:val="-2"/>
                <w:sz w:val="24"/>
              </w:rPr>
            </w:pPr>
          </w:p>
        </w:tc>
        <w:tc>
          <w:tcPr>
            <w:tcW w:w="480" w:type="dxa"/>
            <w:noWrap w:val="0"/>
            <w:vAlign w:val="top"/>
          </w:tcPr>
          <w:p w14:paraId="238360BC">
            <w:pPr>
              <w:spacing w:line="360" w:lineRule="auto"/>
              <w:jc w:val="left"/>
              <w:rPr>
                <w:rFonts w:hint="eastAsia" w:ascii="宋体" w:hAnsi="宋体" w:cs="仿宋"/>
                <w:color w:val="auto"/>
                <w:spacing w:val="-2"/>
                <w:sz w:val="24"/>
              </w:rPr>
            </w:pPr>
          </w:p>
        </w:tc>
        <w:tc>
          <w:tcPr>
            <w:tcW w:w="564" w:type="dxa"/>
            <w:noWrap w:val="0"/>
            <w:vAlign w:val="top"/>
          </w:tcPr>
          <w:p w14:paraId="623662BE">
            <w:pPr>
              <w:spacing w:line="360" w:lineRule="auto"/>
              <w:jc w:val="left"/>
              <w:rPr>
                <w:rFonts w:hint="eastAsia" w:ascii="宋体" w:hAnsi="宋体" w:cs="仿宋"/>
                <w:color w:val="auto"/>
                <w:spacing w:val="-2"/>
                <w:sz w:val="24"/>
              </w:rPr>
            </w:pPr>
          </w:p>
        </w:tc>
      </w:tr>
      <w:tr w14:paraId="5BAB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729" w:type="dxa"/>
            <w:gridSpan w:val="2"/>
            <w:noWrap w:val="0"/>
            <w:vAlign w:val="center"/>
          </w:tcPr>
          <w:p w14:paraId="10A043C9">
            <w:pPr>
              <w:spacing w:line="360" w:lineRule="auto"/>
              <w:jc w:val="both"/>
              <w:rPr>
                <w:rFonts w:hint="eastAsia" w:ascii="宋体" w:hAnsi="宋体" w:cs="仿宋"/>
                <w:color w:val="auto"/>
                <w:sz w:val="24"/>
              </w:rPr>
            </w:pPr>
            <w:r>
              <w:rPr>
                <w:rFonts w:hint="eastAsia" w:ascii="宋体" w:hAnsi="宋体" w:cs="仿宋"/>
                <w:color w:val="auto"/>
                <w:spacing w:val="-2"/>
                <w:sz w:val="24"/>
              </w:rPr>
              <w:t>结论</w:t>
            </w:r>
          </w:p>
        </w:tc>
        <w:tc>
          <w:tcPr>
            <w:tcW w:w="6387" w:type="dxa"/>
            <w:noWrap w:val="0"/>
            <w:vAlign w:val="top"/>
          </w:tcPr>
          <w:p w14:paraId="101AA6B4">
            <w:pPr>
              <w:spacing w:line="360" w:lineRule="auto"/>
              <w:jc w:val="left"/>
              <w:rPr>
                <w:rFonts w:hint="eastAsia" w:ascii="宋体" w:hAnsi="宋体" w:cs="仿宋"/>
                <w:color w:val="auto"/>
                <w:spacing w:val="-2"/>
                <w:sz w:val="24"/>
              </w:rPr>
            </w:pPr>
          </w:p>
        </w:tc>
        <w:tc>
          <w:tcPr>
            <w:tcW w:w="432" w:type="dxa"/>
            <w:noWrap w:val="0"/>
            <w:vAlign w:val="top"/>
          </w:tcPr>
          <w:p w14:paraId="33698E1D">
            <w:pPr>
              <w:spacing w:line="360" w:lineRule="auto"/>
              <w:jc w:val="left"/>
              <w:rPr>
                <w:rFonts w:hint="eastAsia" w:ascii="宋体" w:hAnsi="宋体" w:cs="仿宋"/>
                <w:color w:val="auto"/>
                <w:spacing w:val="-2"/>
                <w:sz w:val="24"/>
              </w:rPr>
            </w:pPr>
          </w:p>
        </w:tc>
        <w:tc>
          <w:tcPr>
            <w:tcW w:w="480" w:type="dxa"/>
            <w:noWrap w:val="0"/>
            <w:vAlign w:val="top"/>
          </w:tcPr>
          <w:p w14:paraId="01AD79B7">
            <w:pPr>
              <w:spacing w:line="360" w:lineRule="auto"/>
              <w:jc w:val="left"/>
              <w:rPr>
                <w:rFonts w:hint="eastAsia" w:ascii="宋体" w:hAnsi="宋体" w:cs="仿宋"/>
                <w:color w:val="auto"/>
                <w:spacing w:val="-2"/>
                <w:sz w:val="24"/>
              </w:rPr>
            </w:pPr>
          </w:p>
        </w:tc>
        <w:tc>
          <w:tcPr>
            <w:tcW w:w="564" w:type="dxa"/>
            <w:noWrap w:val="0"/>
            <w:vAlign w:val="top"/>
          </w:tcPr>
          <w:p w14:paraId="418C77CE">
            <w:pPr>
              <w:spacing w:line="360" w:lineRule="auto"/>
              <w:jc w:val="left"/>
              <w:rPr>
                <w:rFonts w:hint="eastAsia" w:ascii="宋体" w:hAnsi="宋体" w:cs="仿宋"/>
                <w:color w:val="auto"/>
                <w:spacing w:val="-2"/>
                <w:sz w:val="24"/>
              </w:rPr>
            </w:pPr>
          </w:p>
        </w:tc>
      </w:tr>
    </w:tbl>
    <w:p w14:paraId="342C236E">
      <w:pPr>
        <w:keepNext w:val="0"/>
        <w:keepLines w:val="0"/>
        <w:widowControl/>
        <w:suppressLineNumbers w:val="0"/>
        <w:jc w:val="left"/>
        <w:rPr>
          <w:color w:val="auto"/>
          <w:highlight w:val="none"/>
        </w:rPr>
      </w:pP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E275CC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35" w:name="_Toc155185903"/>
      <w:bookmarkStart w:id="336" w:name="_Toc31225"/>
      <w:bookmarkStart w:id="337" w:name="_Toc30175"/>
      <w:bookmarkStart w:id="338" w:name="_Toc26393"/>
      <w:r>
        <w:rPr>
          <w:rFonts w:hint="eastAsia" w:ascii="宋体" w:hAnsi="宋体" w:eastAsia="宋体" w:cs="宋体"/>
          <w:b/>
          <w:bCs/>
          <w:color w:val="auto"/>
          <w:kern w:val="44"/>
          <w:sz w:val="36"/>
          <w:szCs w:val="36"/>
          <w:highlight w:val="none"/>
          <w:lang w:val="en-US" w:eastAsia="zh-CN" w:bidi="ar-SA"/>
        </w:rPr>
        <w:t>第五章 评标方法</w:t>
      </w:r>
      <w:bookmarkEnd w:id="335"/>
      <w:r>
        <w:rPr>
          <w:rFonts w:hint="eastAsia" w:ascii="宋体" w:hAnsi="宋体" w:eastAsia="宋体" w:cs="宋体"/>
          <w:b/>
          <w:bCs/>
          <w:color w:val="auto"/>
          <w:kern w:val="44"/>
          <w:sz w:val="36"/>
          <w:szCs w:val="36"/>
          <w:highlight w:val="none"/>
          <w:lang w:val="en-US" w:eastAsia="zh-CN" w:bidi="ar-SA"/>
        </w:rPr>
        <w:t>及标准(综合评分法)</w:t>
      </w:r>
      <w:bookmarkEnd w:id="336"/>
      <w:bookmarkEnd w:id="337"/>
      <w:bookmarkEnd w:id="338"/>
    </w:p>
    <w:p w14:paraId="2BB6F8A4">
      <w:pPr>
        <w:pStyle w:val="41"/>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eastAsia="zh-CN"/>
        </w:rPr>
        <w:t>及</w:t>
      </w:r>
      <w:r>
        <w:rPr>
          <w:rFonts w:hint="eastAsia"/>
          <w:color w:val="auto"/>
          <w:highlight w:val="none"/>
        </w:rPr>
        <w:t>相关法律法规确定以下评标</w:t>
      </w:r>
      <w:r>
        <w:rPr>
          <w:rFonts w:hint="eastAsia"/>
          <w:color w:val="auto"/>
          <w:highlight w:val="none"/>
          <w:lang w:val="en-US" w:eastAsia="zh-CN"/>
        </w:rPr>
        <w:t>方</w:t>
      </w:r>
      <w:r>
        <w:rPr>
          <w:rFonts w:hint="eastAsia"/>
          <w:color w:val="auto"/>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39" w:name="_Toc24174"/>
      <w:bookmarkStart w:id="340" w:name="_Toc4301"/>
      <w:bookmarkStart w:id="341" w:name="_Toc511894518"/>
      <w:bookmarkStart w:id="342" w:name="_Toc494561962"/>
      <w:bookmarkStart w:id="343" w:name="_Toc278891606"/>
      <w:bookmarkStart w:id="344" w:name="_Toc109899484"/>
      <w:bookmarkStart w:id="345" w:name="_Toc109900322"/>
      <w:bookmarkStart w:id="346" w:name="_Toc140132826"/>
      <w:bookmarkStart w:id="347" w:name="_Toc155185905"/>
      <w:bookmarkStart w:id="348" w:name="_Toc109899903"/>
      <w:bookmarkStart w:id="349" w:name="_Toc272247709"/>
      <w:bookmarkStart w:id="350" w:name="_Toc6128040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39"/>
      <w:bookmarkEnd w:id="340"/>
    </w:p>
    <w:p w14:paraId="40F9AE81">
      <w:pPr>
        <w:pStyle w:val="41"/>
        <w:keepNext w:val="0"/>
        <w:keepLines w:val="0"/>
        <w:pageBreakBefore w:val="0"/>
        <w:widowControl w:val="0"/>
        <w:kinsoku/>
        <w:wordWrap w:val="0"/>
        <w:overflowPunct/>
        <w:topLinePunct w:val="0"/>
        <w:autoSpaceDE/>
        <w:autoSpaceDN/>
        <w:bidi w:val="0"/>
        <w:adjustRightInd/>
        <w:snapToGrid/>
        <w:ind w:firstLine="482"/>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51" w:name="_Toc16338"/>
      <w:bookmarkStart w:id="352" w:name="_Toc2887"/>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51"/>
      <w:bookmarkEnd w:id="352"/>
    </w:p>
    <w:p w14:paraId="2CEA851A">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3" w:name="_Toc19642"/>
      <w:r>
        <w:rPr>
          <w:rFonts w:hint="eastAsia" w:ascii="宋体" w:hAnsi="宋体" w:eastAsia="宋体" w:cs="宋体"/>
          <w:b/>
          <w:bCs/>
          <w:color w:val="auto"/>
          <w:kern w:val="2"/>
          <w:sz w:val="24"/>
          <w:szCs w:val="24"/>
          <w:highlight w:val="none"/>
          <w:lang w:val="zh-CN" w:eastAsia="zh-CN" w:bidi="ar-SA"/>
        </w:rPr>
        <w:t>（一）符合性审查</w:t>
      </w:r>
      <w:bookmarkEnd w:id="353"/>
    </w:p>
    <w:p w14:paraId="4E726315">
      <w:pPr>
        <w:pStyle w:val="41"/>
        <w:rPr>
          <w:rFonts w:hint="eastAsia"/>
          <w:color w:val="auto"/>
          <w:highlight w:val="none"/>
          <w:lang w:val="zh-CN"/>
        </w:rPr>
      </w:pPr>
      <w:r>
        <w:rPr>
          <w:rFonts w:hint="eastAsia"/>
          <w:color w:val="auto"/>
          <w:highlight w:val="none"/>
          <w:lang w:val="en-US" w:eastAsia="zh-CN"/>
        </w:rPr>
        <w:t>2.</w:t>
      </w:r>
      <w:r>
        <w:rPr>
          <w:rFonts w:hint="eastAsia"/>
          <w:color w:val="auto"/>
          <w:highlight w:val="none"/>
        </w:rPr>
        <w:t>评标委员会应当对</w:t>
      </w:r>
      <w:r>
        <w:rPr>
          <w:rFonts w:hint="eastAsia"/>
          <w:color w:val="auto"/>
          <w:highlight w:val="none"/>
          <w:lang w:val="en-US" w:eastAsia="zh-CN"/>
        </w:rPr>
        <w:t>通过</w:t>
      </w:r>
      <w:r>
        <w:rPr>
          <w:rFonts w:hint="eastAsia"/>
          <w:color w:val="auto"/>
          <w:highlight w:val="none"/>
        </w:rPr>
        <w:t>资格</w:t>
      </w:r>
      <w:r>
        <w:rPr>
          <w:rFonts w:hint="eastAsia"/>
          <w:color w:val="auto"/>
          <w:highlight w:val="none"/>
          <w:lang w:val="en-US" w:eastAsia="zh-CN"/>
        </w:rPr>
        <w:t>审查</w:t>
      </w:r>
      <w:r>
        <w:rPr>
          <w:rFonts w:hint="eastAsia"/>
          <w:color w:val="auto"/>
          <w:highlight w:val="none"/>
        </w:rPr>
        <w:t>的投标人的投标文件进行符合性审查，以确定其是否满足招标文件的实质性要求。投标人必须通过符合性审查的全部评审指标</w:t>
      </w:r>
      <w:r>
        <w:rPr>
          <w:rFonts w:hint="eastAsia"/>
          <w:color w:val="auto"/>
          <w:highlight w:val="none"/>
          <w:lang w:eastAsia="zh-CN"/>
        </w:rPr>
        <w:t>，</w:t>
      </w:r>
      <w:r>
        <w:rPr>
          <w:rFonts w:hint="eastAsia"/>
          <w:color w:val="auto"/>
          <w:highlight w:val="none"/>
        </w:rPr>
        <w:t>不满足招标文件的实质性要求的，</w:t>
      </w:r>
      <w:r>
        <w:rPr>
          <w:rFonts w:hint="eastAsia"/>
          <w:color w:val="auto"/>
          <w:highlight w:val="none"/>
          <w:lang w:val="en-US" w:eastAsia="zh-CN"/>
        </w:rPr>
        <w:t>其</w:t>
      </w:r>
      <w:r>
        <w:rPr>
          <w:rFonts w:hint="eastAsia"/>
          <w:b/>
          <w:bCs/>
          <w:color w:val="auto"/>
          <w:highlight w:val="none"/>
        </w:rPr>
        <w:t>投标无效</w:t>
      </w:r>
      <w:r>
        <w:rPr>
          <w:rFonts w:hint="eastAsia"/>
          <w:color w:val="auto"/>
          <w:highlight w:val="none"/>
        </w:rPr>
        <w:t>。</w:t>
      </w:r>
      <w:r>
        <w:rPr>
          <w:rFonts w:hint="eastAsia"/>
          <w:color w:val="auto"/>
          <w:highlight w:val="none"/>
          <w:lang w:val="en-US" w:eastAsia="zh-CN"/>
        </w:rPr>
        <w:t>具体内容详</w:t>
      </w:r>
      <w:r>
        <w:rPr>
          <w:rFonts w:hint="eastAsia"/>
          <w:color w:val="auto"/>
          <w:highlight w:val="none"/>
          <w:lang w:val="zh-CN"/>
        </w:rPr>
        <w:t>本章“</w:t>
      </w:r>
      <w:r>
        <w:rPr>
          <w:rFonts w:hint="eastAsia"/>
          <w:color w:val="auto"/>
          <w:highlight w:val="none"/>
          <w:lang w:val="en-US" w:eastAsia="zh-CN"/>
        </w:rPr>
        <w:t>四</w:t>
      </w:r>
      <w:r>
        <w:rPr>
          <w:rFonts w:hint="eastAsia"/>
          <w:color w:val="auto"/>
          <w:highlight w:val="none"/>
          <w:lang w:val="zh-CN"/>
        </w:rPr>
        <w:t>、评标标准”中</w:t>
      </w:r>
      <w:r>
        <w:rPr>
          <w:rFonts w:hint="eastAsia"/>
          <w:color w:val="auto"/>
          <w:highlight w:val="none"/>
          <w:lang w:val="en-US" w:eastAsia="zh-CN"/>
        </w:rPr>
        <w:t>的</w:t>
      </w:r>
      <w:r>
        <w:rPr>
          <w:rFonts w:hint="eastAsia"/>
          <w:color w:val="auto"/>
          <w:highlight w:val="none"/>
          <w:lang w:val="zh-CN"/>
        </w:rPr>
        <w:t>“（一）符合性审查”。</w:t>
      </w:r>
    </w:p>
    <w:p w14:paraId="6117DC47">
      <w:pPr>
        <w:pStyle w:val="41"/>
        <w:rPr>
          <w:rFonts w:hint="eastAsia"/>
          <w:color w:val="auto"/>
          <w:highlight w:val="none"/>
          <w:lang w:val="zh-CN"/>
        </w:rPr>
      </w:pPr>
      <w:r>
        <w:rPr>
          <w:rFonts w:hint="eastAsia"/>
          <w:color w:val="auto"/>
          <w:highlight w:val="none"/>
          <w:lang w:val="en-US" w:eastAsia="zh-CN"/>
        </w:rPr>
        <w:t>通过</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有效</w:t>
      </w:r>
      <w:r>
        <w:rPr>
          <w:rFonts w:hint="eastAsia"/>
          <w:color w:val="auto"/>
          <w:highlight w:val="none"/>
          <w:lang w:eastAsia="zh-CN"/>
        </w:rPr>
        <w:t>供应商</w:t>
      </w:r>
      <w:r>
        <w:rPr>
          <w:rFonts w:hint="eastAsia"/>
          <w:color w:val="auto"/>
          <w:highlight w:val="none"/>
        </w:rPr>
        <w:t>不足3家的应当终止采购活动，发布项目终止公告并说明原因，重新开展采购活动。</w:t>
      </w:r>
    </w:p>
    <w:p w14:paraId="34580356">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4" w:name="_Toc102116178"/>
      <w:bookmarkStart w:id="355" w:name="_Toc102057744"/>
      <w:bookmarkStart w:id="356" w:name="_Toc102114946"/>
      <w:bookmarkStart w:id="357" w:name="_Toc102119879"/>
      <w:bookmarkStart w:id="358" w:name="_Toc155185907"/>
      <w:bookmarkStart w:id="359" w:name="_Toc102056244"/>
      <w:bookmarkStart w:id="360" w:name="_Toc102116048"/>
      <w:bookmarkStart w:id="361" w:name="_Toc163492903"/>
      <w:bookmarkStart w:id="362"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54"/>
      <w:bookmarkEnd w:id="355"/>
      <w:bookmarkEnd w:id="356"/>
      <w:bookmarkEnd w:id="357"/>
      <w:bookmarkEnd w:id="358"/>
      <w:bookmarkEnd w:id="359"/>
      <w:bookmarkEnd w:id="360"/>
      <w:r>
        <w:rPr>
          <w:rFonts w:hint="eastAsia" w:ascii="宋体" w:hAnsi="宋体" w:eastAsia="宋体" w:cs="宋体"/>
          <w:b/>
          <w:bCs/>
          <w:color w:val="auto"/>
          <w:kern w:val="2"/>
          <w:sz w:val="24"/>
          <w:szCs w:val="24"/>
          <w:highlight w:val="none"/>
          <w:lang w:val="zh-CN" w:eastAsia="zh-CN" w:bidi="ar-SA"/>
        </w:rPr>
        <w:t>及修正</w:t>
      </w:r>
      <w:bookmarkEnd w:id="361"/>
      <w:bookmarkEnd w:id="362"/>
    </w:p>
    <w:p w14:paraId="0EC9197C">
      <w:pPr>
        <w:pStyle w:val="41"/>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3</w:t>
      </w:r>
      <w:r>
        <w:rPr>
          <w:color w:val="auto"/>
          <w:highlight w:val="none"/>
        </w:rPr>
        <w:t>.</w:t>
      </w:r>
      <w:r>
        <w:rPr>
          <w:rFonts w:hint="eastAsia"/>
          <w:iCs/>
          <w:color w:val="auto"/>
          <w:spacing w:val="-6"/>
          <w:sz w:val="24"/>
          <w:highlight w:val="none"/>
        </w:rPr>
        <w:t>评标期间，对于投标文件中含义不明确、同类问题表述不一致或者有明显文字和计算错误的内容需要投标人作出必要的澄清、说明或者补正的，评标委员会应当在</w:t>
      </w:r>
      <w:r>
        <w:rPr>
          <w:rFonts w:hint="eastAsia"/>
          <w:iCs/>
          <w:color w:val="auto"/>
          <w:spacing w:val="-6"/>
          <w:sz w:val="24"/>
          <w:highlight w:val="none"/>
          <w:lang w:val="en-US" w:eastAsia="zh-CN"/>
        </w:rPr>
        <w:t>政采云平台评标</w:t>
      </w:r>
      <w:r>
        <w:rPr>
          <w:rFonts w:hint="eastAsia"/>
          <w:iCs/>
          <w:color w:val="auto"/>
          <w:spacing w:val="-6"/>
          <w:sz w:val="24"/>
          <w:highlight w:val="none"/>
        </w:rPr>
        <w:t>系统中以书面形式要求投标人作出必要的澄清、说明或者补正。</w:t>
      </w:r>
    </w:p>
    <w:p w14:paraId="079329DA">
      <w:pPr>
        <w:pStyle w:val="41"/>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投标人应按照评标委员会要求在规定时间内作出澄清、说明或者补正，</w:t>
      </w:r>
      <w:r>
        <w:rPr>
          <w:color w:val="auto"/>
          <w:highlight w:val="none"/>
        </w:rPr>
        <w:t>澄清、说明或者补正不得超出投标文件的范围或者改变投标文件的实质性内容。</w:t>
      </w:r>
    </w:p>
    <w:p w14:paraId="591A6455">
      <w:pPr>
        <w:pStyle w:val="41"/>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投标人的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w:t>
      </w:r>
      <w:r>
        <w:rPr>
          <w:rFonts w:hint="eastAsia"/>
          <w:color w:val="auto"/>
          <w:highlight w:val="none"/>
          <w:lang w:val="en-US" w:eastAsia="zh-CN"/>
        </w:rPr>
        <w:t>政采云平台评标</w:t>
      </w:r>
      <w:r>
        <w:rPr>
          <w:rFonts w:hint="eastAsia"/>
          <w:color w:val="auto"/>
          <w:highlight w:val="none"/>
        </w:rPr>
        <w:t>系统中加盖电子印章后提交</w:t>
      </w:r>
      <w:r>
        <w:rPr>
          <w:color w:val="auto"/>
          <w:highlight w:val="none"/>
        </w:rPr>
        <w:t>。</w:t>
      </w:r>
    </w:p>
    <w:p w14:paraId="7DFBE7F2">
      <w:pPr>
        <w:pStyle w:val="41"/>
        <w:keepNext w:val="0"/>
        <w:keepLines w:val="0"/>
        <w:pageBreakBefore w:val="0"/>
        <w:widowControl w:val="0"/>
        <w:kinsoku/>
        <w:wordWrap w:val="0"/>
        <w:overflowPunct/>
        <w:topLinePunct w:val="0"/>
        <w:autoSpaceDE/>
        <w:autoSpaceDN/>
        <w:bidi w:val="0"/>
        <w:adjustRightInd/>
        <w:snapToGrid/>
        <w:textAlignment w:val="auto"/>
        <w:rPr>
          <w:rFonts w:hint="eastAsia"/>
          <w:b/>
          <w:bCs/>
          <w:color w:val="auto"/>
          <w:highlight w:val="none"/>
        </w:rPr>
      </w:pPr>
      <w:r>
        <w:rPr>
          <w:rFonts w:hint="eastAsia"/>
          <w:b/>
          <w:bCs/>
          <w:color w:val="auto"/>
          <w:highlight w:val="none"/>
          <w:lang w:val="en-US" w:eastAsia="zh-CN"/>
        </w:rPr>
        <w:t>6</w:t>
      </w:r>
      <w:r>
        <w:rPr>
          <w:b/>
          <w:bCs/>
          <w:color w:val="auto"/>
          <w:highlight w:val="none"/>
        </w:rPr>
        <w:t>.</w:t>
      </w:r>
      <w:r>
        <w:rPr>
          <w:rFonts w:hint="eastAsia"/>
          <w:b/>
          <w:bCs/>
          <w:color w:val="auto"/>
          <w:highlight w:val="none"/>
        </w:rPr>
        <w:t>报价合理性说明</w:t>
      </w:r>
    </w:p>
    <w:p w14:paraId="5DCD0B05">
      <w:pPr>
        <w:pStyle w:val="41"/>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6.1</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1C19AC50">
      <w:pPr>
        <w:pStyle w:val="4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41DBDF7A">
      <w:pPr>
        <w:pStyle w:val="4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176969BF">
      <w:pPr>
        <w:pStyle w:val="4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14225909">
      <w:pPr>
        <w:pStyle w:val="4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79EB67A6">
      <w:pPr>
        <w:pStyle w:val="4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3E59ED19">
      <w:pPr>
        <w:pStyle w:val="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3B466024">
      <w:pPr>
        <w:pStyle w:val="41"/>
        <w:rPr>
          <w:color w:val="auto"/>
          <w:highlight w:val="none"/>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14:paraId="4FD6345C">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3"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63"/>
    </w:p>
    <w:p w14:paraId="2BE6ECB2">
      <w:pPr>
        <w:pStyle w:val="41"/>
        <w:rPr>
          <w:rFonts w:hint="eastAsia"/>
          <w:color w:val="auto"/>
          <w:highlight w:val="none"/>
        </w:rPr>
      </w:pPr>
      <w:r>
        <w:rPr>
          <w:rFonts w:hint="eastAsia"/>
          <w:color w:val="auto"/>
          <w:highlight w:val="none"/>
          <w:lang w:val="en-US" w:eastAsia="zh-CN"/>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eastAsia="zh-CN"/>
        </w:rPr>
        <w:t>估</w:t>
      </w:r>
      <w:r>
        <w:rPr>
          <w:rFonts w:hint="eastAsia"/>
          <w:color w:val="auto"/>
          <w:highlight w:val="none"/>
        </w:rPr>
        <w:t>，综合比较与评价</w:t>
      </w:r>
      <w:r>
        <w:rPr>
          <w:rFonts w:hint="eastAsia"/>
          <w:color w:val="auto"/>
          <w:highlight w:val="none"/>
          <w:lang w:val="en-US" w:eastAsia="zh-CN"/>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rFonts w:hint="eastAsia"/>
          <w:color w:val="auto"/>
          <w:highlight w:val="none"/>
        </w:rPr>
        <w:t>。</w:t>
      </w:r>
    </w:p>
    <w:p w14:paraId="384D833B">
      <w:pPr>
        <w:pStyle w:val="41"/>
        <w:keepNext w:val="0"/>
        <w:keepLines w:val="0"/>
        <w:pageBreakBefore w:val="0"/>
        <w:widowControl w:val="0"/>
        <w:kinsoku/>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rPr>
        <w:t>有效投标</w:t>
      </w:r>
      <w:r>
        <w:rPr>
          <w:rFonts w:hint="eastAsia"/>
          <w:color w:val="auto"/>
          <w:highlight w:val="none"/>
          <w:lang w:val="en-US" w:eastAsia="zh-CN"/>
        </w:rPr>
        <w:t>人</w:t>
      </w:r>
      <w:r>
        <w:rPr>
          <w:rFonts w:hint="eastAsia"/>
          <w:color w:val="auto"/>
          <w:highlight w:val="none"/>
        </w:rPr>
        <w:t>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p w14:paraId="7C54BD9F">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4"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64"/>
    </w:p>
    <w:p w14:paraId="21874171">
      <w:pPr>
        <w:pStyle w:val="41"/>
        <w:rPr>
          <w:color w:val="auto"/>
          <w:highlight w:val="none"/>
        </w:rPr>
      </w:pPr>
      <w:r>
        <w:rPr>
          <w:rFonts w:hint="eastAsia"/>
          <w:color w:val="auto"/>
          <w:highlight w:val="none"/>
          <w:lang w:val="en-US" w:eastAsia="zh-CN"/>
        </w:rPr>
        <w:t>11.</w:t>
      </w:r>
      <w:r>
        <w:rPr>
          <w:color w:val="auto"/>
          <w:highlight w:val="none"/>
        </w:rPr>
        <w:t>投标报价评审</w:t>
      </w:r>
    </w:p>
    <w:p w14:paraId="266BD854">
      <w:pPr>
        <w:pStyle w:val="41"/>
        <w:rPr>
          <w:color w:val="auto"/>
          <w:highlight w:val="none"/>
        </w:rPr>
      </w:pPr>
      <w:r>
        <w:rPr>
          <w:rFonts w:hint="eastAsia" w:ascii="宋体" w:hAnsi="宋体" w:eastAsia="宋体"/>
          <w:color w:val="auto"/>
          <w:highlight w:val="none"/>
          <w:lang w:val="en-US" w:eastAsia="zh-CN"/>
        </w:rPr>
        <w:t>11.1服务项目的价格分值占总分值的比重不得低于</w:t>
      </w:r>
      <w:r>
        <w:rPr>
          <w:rFonts w:hint="default" w:ascii="宋体" w:hAnsi="宋体" w:eastAsia="宋体"/>
          <w:color w:val="auto"/>
          <w:highlight w:val="none"/>
          <w:lang w:val="en-US" w:eastAsia="zh-CN"/>
        </w:rPr>
        <w:t>10%。</w:t>
      </w:r>
      <w:r>
        <w:rPr>
          <w:rFonts w:hint="eastAsia"/>
          <w:color w:val="auto"/>
          <w:highlight w:val="none"/>
          <w:lang w:val="en-US" w:eastAsia="zh-CN"/>
        </w:rPr>
        <w:t>执行国家统一定价标准和采用固定价格采购的项目，其价格不列为评审因素。</w:t>
      </w:r>
      <w:r>
        <w:rPr>
          <w:color w:val="auto"/>
          <w:highlight w:val="none"/>
        </w:rPr>
        <w:t>价格分应当采用低价优先法计算，即满足招标文件要求且投标价格最低的投标报价为评标基准价，其价格分为满分。其他投标人的价格分统一按照下列公式计算：</w:t>
      </w:r>
    </w:p>
    <w:p w14:paraId="2D86B7AD">
      <w:pPr>
        <w:pStyle w:val="41"/>
        <w:rPr>
          <w:color w:val="auto"/>
          <w:highlight w:val="none"/>
        </w:rPr>
      </w:pPr>
      <w:r>
        <w:rPr>
          <w:rFonts w:hint="eastAsia"/>
          <w:color w:val="auto"/>
          <w:highlight w:val="none"/>
        </w:rPr>
        <w:t>投标报价得分</w:t>
      </w:r>
      <w:r>
        <w:rPr>
          <w:color w:val="auto"/>
          <w:highlight w:val="none"/>
        </w:rPr>
        <w:t>=(评标基准价／投标报价)×</w:t>
      </w:r>
      <w:r>
        <w:rPr>
          <w:rFonts w:hint="eastAsia"/>
          <w:color w:val="auto"/>
          <w:highlight w:val="none"/>
        </w:rPr>
        <w:t>价格</w:t>
      </w:r>
      <w:r>
        <w:rPr>
          <w:rFonts w:hint="eastAsia"/>
          <w:color w:val="auto"/>
          <w:highlight w:val="none"/>
          <w:lang w:eastAsia="zh-CN"/>
        </w:rPr>
        <w:t>分值</w:t>
      </w:r>
    </w:p>
    <w:p w14:paraId="0CCB2E48">
      <w:pPr>
        <w:pStyle w:val="41"/>
        <w:rPr>
          <w:color w:val="auto"/>
          <w:highlight w:val="none"/>
        </w:rPr>
      </w:pPr>
      <w:r>
        <w:rPr>
          <w:rFonts w:hint="eastAsia"/>
          <w:color w:val="auto"/>
          <w:highlight w:val="none"/>
        </w:rPr>
        <w:t>评标过程中，不得去掉报价中的最高报价和最低报价。</w:t>
      </w:r>
    </w:p>
    <w:p w14:paraId="14E623B0">
      <w:pPr>
        <w:pStyle w:val="41"/>
        <w:rPr>
          <w:color w:val="auto"/>
          <w:highlight w:val="none"/>
        </w:rPr>
      </w:pPr>
      <w:r>
        <w:rPr>
          <w:rFonts w:hint="eastAsia"/>
          <w:color w:val="auto"/>
          <w:highlight w:val="none"/>
          <w:lang w:val="en-US" w:eastAsia="zh-CN"/>
        </w:rPr>
        <w:t>11.</w:t>
      </w:r>
      <w:r>
        <w:rPr>
          <w:color w:val="auto"/>
          <w:highlight w:val="none"/>
        </w:rPr>
        <w:t>2</w:t>
      </w:r>
      <w:r>
        <w:rPr>
          <w:rFonts w:hint="eastAsia"/>
          <w:iCs/>
          <w:color w:val="auto"/>
          <w:spacing w:val="-6"/>
          <w:sz w:val="24"/>
          <w:highlight w:val="none"/>
        </w:rPr>
        <w:t>除算术修正和落实政府采购政策的价格扣除外，不对投标报价进行调整；</w:t>
      </w:r>
    </w:p>
    <w:p w14:paraId="6DDDADCE">
      <w:pPr>
        <w:pStyle w:val="41"/>
        <w:rPr>
          <w:color w:val="auto"/>
          <w:highlight w:val="none"/>
        </w:rPr>
      </w:pPr>
      <w:r>
        <w:rPr>
          <w:rFonts w:hint="eastAsia"/>
          <w:color w:val="auto"/>
          <w:highlight w:val="none"/>
          <w:lang w:val="en-US" w:eastAsia="zh-CN"/>
        </w:rPr>
        <w:t>11.</w:t>
      </w:r>
      <w:r>
        <w:rPr>
          <w:color w:val="auto"/>
          <w:highlight w:val="none"/>
        </w:rPr>
        <w:t>3价</w:t>
      </w:r>
      <w:r>
        <w:rPr>
          <w:rFonts w:hint="eastAsia"/>
          <w:color w:val="auto"/>
          <w:highlight w:val="none"/>
        </w:rPr>
        <w:t>格</w:t>
      </w:r>
      <w:r>
        <w:rPr>
          <w:rFonts w:hint="eastAsia"/>
          <w:color w:val="auto"/>
          <w:highlight w:val="none"/>
          <w:lang w:eastAsia="zh-CN"/>
        </w:rPr>
        <w:t>分值</w:t>
      </w:r>
      <w:r>
        <w:rPr>
          <w:rFonts w:hint="eastAsia"/>
          <w:color w:val="auto"/>
          <w:highlight w:val="none"/>
        </w:rPr>
        <w:t>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color w:val="auto"/>
          <w:highlight w:val="none"/>
        </w:rPr>
        <w:t>。</w:t>
      </w:r>
    </w:p>
    <w:p w14:paraId="30866637">
      <w:pPr>
        <w:pStyle w:val="41"/>
        <w:rPr>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2</w:t>
      </w:r>
      <w:r>
        <w:rPr>
          <w:b w:val="0"/>
          <w:bCs w:val="0"/>
          <w:color w:val="auto"/>
          <w:highlight w:val="none"/>
        </w:rPr>
        <w:t>.</w:t>
      </w:r>
      <w:r>
        <w:rPr>
          <w:rFonts w:hint="eastAsia"/>
          <w:b w:val="0"/>
          <w:bCs w:val="0"/>
          <w:color w:val="auto"/>
          <w:highlight w:val="none"/>
        </w:rPr>
        <w:t>政府采购政策评审</w:t>
      </w:r>
    </w:p>
    <w:p w14:paraId="1627C557">
      <w:pPr>
        <w:pStyle w:val="41"/>
        <w:numPr>
          <w:ilvl w:val="0"/>
          <w:numId w:val="0"/>
        </w:numPr>
        <w:ind w:firstLine="480" w:firstLineChars="200"/>
        <w:rPr>
          <w:color w:val="auto"/>
          <w:highlight w:val="none"/>
        </w:rPr>
      </w:pPr>
      <w:r>
        <w:rPr>
          <w:color w:val="auto"/>
          <w:highlight w:val="none"/>
        </w:rPr>
        <w:t>1</w:t>
      </w:r>
      <w:r>
        <w:rPr>
          <w:rFonts w:hint="eastAsia"/>
          <w:color w:val="auto"/>
          <w:highlight w:val="none"/>
          <w:lang w:val="en-US" w:eastAsia="zh-CN"/>
        </w:rPr>
        <w:t>2</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1"/>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w:t>
      </w:r>
      <w:r>
        <w:rPr>
          <w:rFonts w:hint="eastAsia" w:ascii="宋体" w:hAnsi="宋体" w:eastAsia="宋体"/>
          <w:color w:val="auto"/>
          <w:highlight w:val="none"/>
          <w:lang w:val="en-US" w:eastAsia="zh-CN"/>
        </w:rPr>
        <w:t>格扣减的优惠政策。</w:t>
      </w:r>
    </w:p>
    <w:p w14:paraId="1A495953">
      <w:pPr>
        <w:pStyle w:val="41"/>
        <w:numPr>
          <w:ilvl w:val="0"/>
          <w:numId w:val="0"/>
        </w:numPr>
        <w:ind w:firstLine="480" w:firstLineChars="200"/>
        <w:rPr>
          <w:rFonts w:ascii="宋体" w:hAnsi="宋体" w:eastAsia="宋体"/>
          <w:color w:val="auto"/>
          <w:highlight w:val="none"/>
          <w:lang w:val="en-US" w:eastAsia="zh-CN"/>
        </w:rPr>
      </w:pPr>
      <w:r>
        <w:rPr>
          <w:rFonts w:ascii="宋体" w:hAnsi="宋体" w:eastAsia="宋体"/>
          <w:color w:val="auto"/>
          <w:highlight w:val="none"/>
          <w:lang w:val="en-US" w:eastAsia="zh-CN"/>
        </w:rPr>
        <w:t>组成联合体或者接受分包的小微企业与联合体内其他企业、分包企业</w:t>
      </w:r>
      <w:r>
        <w:rPr>
          <w:rFonts w:hint="default" w:ascii="宋体" w:hAnsi="宋体" w:eastAsia="宋体"/>
          <w:color w:val="auto"/>
          <w:highlight w:val="none"/>
          <w:lang w:val="en-US" w:eastAsia="zh-CN"/>
        </w:rPr>
        <w:t>之间存在直接控股、管理关系的，不享受价格扣除优惠政策。</w:t>
      </w:r>
    </w:p>
    <w:p w14:paraId="4FDAF77C">
      <w:pPr>
        <w:pStyle w:val="41"/>
        <w:numPr>
          <w:ilvl w:val="0"/>
          <w:numId w:val="0"/>
        </w:numPr>
        <w:ind w:firstLine="480" w:firstLineChars="200"/>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41"/>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874ED83">
      <w:pPr>
        <w:pStyle w:val="41"/>
        <w:numPr>
          <w:ilvl w:val="0"/>
          <w:numId w:val="0"/>
        </w:numPr>
        <w:ind w:firstLine="48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12.4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548FFFDB">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5"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65"/>
    </w:p>
    <w:p w14:paraId="073A56A5">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13.评标过程中，各项分值一般精确到小数点后两位，评标得分应为商务评分、技术评分、报价评分之和。评标委员会各成员应汇总每个投标人的得分。</w:t>
      </w:r>
    </w:p>
    <w:p w14:paraId="0BE80DC7">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14.1分值汇总计算错误的；</w:t>
      </w:r>
    </w:p>
    <w:p w14:paraId="4404F7B4">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14.2分项评分超出评分标准范围的；</w:t>
      </w:r>
    </w:p>
    <w:p w14:paraId="18150CA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14.3评标委员会成员对客观评审因素评分不一致的；</w:t>
      </w:r>
    </w:p>
    <w:p w14:paraId="6BFAB3DA">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14.4经评标委员会认定评分畸高、畸低的。</w:t>
      </w:r>
    </w:p>
    <w:p w14:paraId="0FD26D1C">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6"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66"/>
    </w:p>
    <w:p w14:paraId="514ADBD8">
      <w:pPr>
        <w:pStyle w:val="41"/>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41"/>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7"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67"/>
    </w:p>
    <w:p w14:paraId="3576CABA">
      <w:pPr>
        <w:pStyle w:val="41"/>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8" w:name="_Toc102116021"/>
      <w:bookmarkStart w:id="369" w:name="_Toc163492906"/>
      <w:bookmarkStart w:id="370" w:name="_Toc102057717"/>
      <w:bookmarkStart w:id="371" w:name="_Toc155185913"/>
      <w:bookmarkStart w:id="372" w:name="_Toc102116151"/>
      <w:bookmarkStart w:id="373" w:name="_Toc102114919"/>
      <w:bookmarkStart w:id="374" w:name="_Toc102119852"/>
      <w:bookmarkStart w:id="375" w:name="_Toc1587"/>
      <w:bookmarkStart w:id="376" w:name="_Toc10205621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68"/>
      <w:bookmarkEnd w:id="369"/>
      <w:bookmarkEnd w:id="370"/>
      <w:bookmarkEnd w:id="371"/>
      <w:bookmarkEnd w:id="372"/>
      <w:bookmarkEnd w:id="373"/>
      <w:bookmarkEnd w:id="374"/>
      <w:bookmarkEnd w:id="375"/>
      <w:bookmarkEnd w:id="376"/>
    </w:p>
    <w:p w14:paraId="2D93D6F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7" w:name="_Toc102116022"/>
      <w:bookmarkStart w:id="378" w:name="_Toc12911"/>
      <w:bookmarkStart w:id="379" w:name="_Toc155185914"/>
      <w:bookmarkStart w:id="380" w:name="_Toc102057718"/>
      <w:bookmarkStart w:id="381" w:name="_Toc102056218"/>
      <w:bookmarkStart w:id="382" w:name="_Toc102116152"/>
      <w:bookmarkStart w:id="383" w:name="_Toc102119853"/>
      <w:bookmarkStart w:id="384" w:name="_Toc163492907"/>
      <w:bookmarkStart w:id="385" w:name="_Toc102114920"/>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77"/>
      <w:bookmarkEnd w:id="378"/>
      <w:bookmarkEnd w:id="379"/>
      <w:bookmarkEnd w:id="380"/>
      <w:bookmarkEnd w:id="381"/>
      <w:bookmarkEnd w:id="382"/>
      <w:bookmarkEnd w:id="383"/>
      <w:bookmarkEnd w:id="384"/>
      <w:bookmarkEnd w:id="385"/>
    </w:p>
    <w:p w14:paraId="190044DE">
      <w:pPr>
        <w:pStyle w:val="41"/>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6"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86"/>
    </w:p>
    <w:p w14:paraId="461B653A">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41"/>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41"/>
    <w:bookmarkEnd w:id="342"/>
    <w:bookmarkEnd w:id="343"/>
    <w:bookmarkEnd w:id="344"/>
    <w:bookmarkEnd w:id="345"/>
    <w:bookmarkEnd w:id="346"/>
    <w:bookmarkEnd w:id="347"/>
    <w:bookmarkEnd w:id="348"/>
    <w:bookmarkEnd w:id="349"/>
    <w:bookmarkEnd w:id="35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87" w:name="_Toc3426"/>
      <w:bookmarkStart w:id="388" w:name="_Toc2726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87"/>
      <w:bookmarkEnd w:id="388"/>
    </w:p>
    <w:p w14:paraId="555D6B49">
      <w:pPr>
        <w:pStyle w:val="41"/>
        <w:keepNext w:val="0"/>
        <w:keepLines w:val="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89" w:name="_Toc3559"/>
      <w:bookmarkStart w:id="390" w:name="_Toc31252"/>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89"/>
      <w:bookmarkEnd w:id="390"/>
    </w:p>
    <w:p w14:paraId="6FC1DEB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91" w:name="_Toc163492909"/>
      <w:bookmarkStart w:id="392" w:name="_Toc9559"/>
      <w:r>
        <w:rPr>
          <w:rFonts w:hint="eastAsia" w:ascii="宋体" w:hAnsi="宋体" w:eastAsia="宋体" w:cs="宋体"/>
          <w:b/>
          <w:bCs/>
          <w:color w:val="auto"/>
          <w:kern w:val="2"/>
          <w:sz w:val="24"/>
          <w:szCs w:val="24"/>
          <w:highlight w:val="none"/>
          <w:lang w:val="zh-CN" w:eastAsia="zh-CN" w:bidi="ar-SA"/>
        </w:rPr>
        <w:t>（一）符合性审查表</w:t>
      </w:r>
      <w:bookmarkEnd w:id="391"/>
      <w:bookmarkEnd w:id="392"/>
    </w:p>
    <w:tbl>
      <w:tblPr>
        <w:tblStyle w:val="31"/>
        <w:tblW w:w="91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2"/>
        <w:gridCol w:w="2064"/>
        <w:gridCol w:w="4582"/>
        <w:gridCol w:w="851"/>
        <w:gridCol w:w="96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82" w:type="dxa"/>
            <w:vMerge w:val="restart"/>
            <w:shd w:val="clear" w:color="auto" w:fill="D8D8D8" w:themeFill="background1" w:themeFillShade="D9"/>
            <w:vAlign w:val="center"/>
          </w:tcPr>
          <w:p w14:paraId="3B188FC3">
            <w:pPr>
              <w:pStyle w:val="53"/>
              <w:keepNext/>
              <w:snapToGrid w:val="0"/>
              <w:ind w:left="0" w:leftChars="0" w:right="0" w:rightChars="0" w:firstLine="0" w:firstLineChars="0"/>
              <w:jc w:val="center"/>
              <w:rPr>
                <w:rFonts w:hint="eastAsia" w:ascii="宋体" w:hAnsi="宋体" w:eastAsia="宋体" w:cs="宋体"/>
                <w:b/>
                <w:bCs/>
                <w:color w:val="auto"/>
                <w:sz w:val="21"/>
                <w:szCs w:val="21"/>
                <w:highlight w:val="none"/>
                <w:lang w:val="zh-CN"/>
              </w:rPr>
            </w:pPr>
            <w:bookmarkStart w:id="393" w:name="_Toc155185917"/>
            <w:bookmarkStart w:id="394" w:name="_Toc163492910"/>
            <w:r>
              <w:rPr>
                <w:rFonts w:hint="eastAsia" w:ascii="宋体" w:hAnsi="宋体" w:eastAsia="宋体" w:cs="宋体"/>
                <w:b/>
                <w:bCs/>
                <w:color w:val="auto"/>
                <w:sz w:val="21"/>
                <w:szCs w:val="21"/>
                <w:highlight w:val="none"/>
                <w:lang w:val="zh-CN"/>
              </w:rPr>
              <w:t>序号</w:t>
            </w:r>
          </w:p>
        </w:tc>
        <w:tc>
          <w:tcPr>
            <w:tcW w:w="2064" w:type="dxa"/>
            <w:vMerge w:val="restart"/>
            <w:shd w:val="clear" w:color="auto" w:fill="D8D8D8" w:themeFill="background1" w:themeFillShade="D9"/>
            <w:vAlign w:val="center"/>
          </w:tcPr>
          <w:p w14:paraId="316B5F87">
            <w:pPr>
              <w:pStyle w:val="53"/>
              <w:keepNext/>
              <w:snapToGrid w:val="0"/>
              <w:ind w:left="0" w:leftChars="0" w:right="0" w:rightChars="0" w:firstLine="0" w:firstLineChars="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4582" w:type="dxa"/>
            <w:vMerge w:val="restart"/>
            <w:shd w:val="clear" w:color="auto" w:fill="D8D8D8" w:themeFill="background1" w:themeFillShade="D9"/>
            <w:vAlign w:val="center"/>
          </w:tcPr>
          <w:p w14:paraId="44B32FDC">
            <w:pPr>
              <w:pStyle w:val="53"/>
              <w:keepNext/>
              <w:snapToGrid w:val="0"/>
              <w:ind w:left="0" w:leftChars="0" w:right="0" w:rightChars="0" w:firstLine="0" w:firstLineChars="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819" w:type="dxa"/>
            <w:gridSpan w:val="2"/>
            <w:shd w:val="clear" w:color="auto" w:fill="D8D8D8" w:themeFill="background1" w:themeFillShade="D9"/>
            <w:vAlign w:val="center"/>
          </w:tcPr>
          <w:p w14:paraId="2724C461">
            <w:pPr>
              <w:pStyle w:val="53"/>
              <w:keepNext/>
              <w:snapToGrid w:val="0"/>
              <w:ind w:left="0" w:leftChars="0" w:right="0" w:righ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82" w:type="dxa"/>
            <w:vMerge w:val="continue"/>
            <w:shd w:val="clear" w:color="auto" w:fill="D8D8D8" w:themeFill="background1" w:themeFillShade="D9"/>
            <w:vAlign w:val="center"/>
          </w:tcPr>
          <w:p w14:paraId="1859AA86">
            <w:pPr>
              <w:pStyle w:val="53"/>
              <w:keepNext/>
              <w:snapToGrid w:val="0"/>
              <w:ind w:left="0" w:leftChars="0" w:right="0" w:rightChars="0" w:firstLine="0" w:firstLineChars="0"/>
              <w:jc w:val="center"/>
              <w:rPr>
                <w:rFonts w:hint="eastAsia" w:ascii="宋体" w:hAnsi="宋体" w:eastAsia="宋体" w:cs="宋体"/>
                <w:b/>
                <w:bCs/>
                <w:color w:val="auto"/>
                <w:sz w:val="21"/>
                <w:szCs w:val="21"/>
                <w:highlight w:val="none"/>
                <w:lang w:val="zh-CN"/>
              </w:rPr>
            </w:pPr>
          </w:p>
        </w:tc>
        <w:tc>
          <w:tcPr>
            <w:tcW w:w="2064" w:type="dxa"/>
            <w:vMerge w:val="continue"/>
            <w:shd w:val="clear" w:color="auto" w:fill="D8D8D8" w:themeFill="background1" w:themeFillShade="D9"/>
            <w:vAlign w:val="center"/>
          </w:tcPr>
          <w:p w14:paraId="51EF0565">
            <w:pPr>
              <w:pStyle w:val="53"/>
              <w:keepNext/>
              <w:snapToGrid w:val="0"/>
              <w:ind w:left="0" w:leftChars="0" w:right="0" w:rightChars="0" w:firstLine="0" w:firstLineChars="0"/>
              <w:jc w:val="center"/>
              <w:rPr>
                <w:rFonts w:hint="eastAsia" w:ascii="宋体" w:hAnsi="宋体" w:eastAsia="宋体" w:cs="宋体"/>
                <w:b/>
                <w:bCs/>
                <w:color w:val="auto"/>
                <w:sz w:val="21"/>
                <w:szCs w:val="21"/>
                <w:highlight w:val="none"/>
                <w:lang w:val="zh-CN"/>
              </w:rPr>
            </w:pPr>
          </w:p>
        </w:tc>
        <w:tc>
          <w:tcPr>
            <w:tcW w:w="4582" w:type="dxa"/>
            <w:vMerge w:val="continue"/>
            <w:shd w:val="clear" w:color="auto" w:fill="D8D8D8" w:themeFill="background1" w:themeFillShade="D9"/>
            <w:vAlign w:val="center"/>
          </w:tcPr>
          <w:p w14:paraId="2128C077">
            <w:pPr>
              <w:pStyle w:val="53"/>
              <w:keepNext/>
              <w:snapToGrid w:val="0"/>
              <w:ind w:left="0" w:leftChars="0" w:right="0" w:rightChars="0" w:firstLine="0" w:firstLineChars="0"/>
              <w:jc w:val="center"/>
              <w:rPr>
                <w:rFonts w:hint="eastAsia" w:ascii="宋体" w:hAnsi="宋体" w:eastAsia="宋体" w:cs="宋体"/>
                <w:b/>
                <w:bCs/>
                <w:color w:val="auto"/>
                <w:sz w:val="21"/>
                <w:szCs w:val="21"/>
                <w:highlight w:val="none"/>
                <w:lang w:val="zh-CN"/>
              </w:rPr>
            </w:pPr>
          </w:p>
        </w:tc>
        <w:tc>
          <w:tcPr>
            <w:tcW w:w="851" w:type="dxa"/>
            <w:shd w:val="clear" w:color="auto" w:fill="D8D8D8" w:themeFill="background1" w:themeFillShade="D9"/>
            <w:vAlign w:val="center"/>
          </w:tcPr>
          <w:p w14:paraId="0CAA21D7">
            <w:pPr>
              <w:pStyle w:val="53"/>
              <w:keepNext/>
              <w:snapToGrid w:val="0"/>
              <w:ind w:left="0" w:leftChars="0" w:right="0" w:righ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968" w:type="dxa"/>
            <w:shd w:val="clear" w:color="auto" w:fill="D8D8D8" w:themeFill="background1" w:themeFillShade="D9"/>
            <w:vAlign w:val="center"/>
          </w:tcPr>
          <w:p w14:paraId="15D1F439">
            <w:pPr>
              <w:pStyle w:val="53"/>
              <w:keepNext/>
              <w:snapToGrid w:val="0"/>
              <w:ind w:left="0" w:leftChars="0" w:right="0" w:righ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4A515C07">
            <w:pPr>
              <w:pStyle w:val="53"/>
              <w:keepNext/>
              <w:numPr>
                <w:ilvl w:val="0"/>
                <w:numId w:val="0"/>
              </w:numPr>
              <w:snapToGrid w:val="0"/>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2064" w:type="dxa"/>
            <w:vAlign w:val="center"/>
          </w:tcPr>
          <w:p w14:paraId="5E0E3062">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4582" w:type="dxa"/>
            <w:shd w:val="clear" w:color="auto" w:fill="auto"/>
            <w:vAlign w:val="center"/>
          </w:tcPr>
          <w:p w14:paraId="0FA4ED80">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851" w:type="dxa"/>
            <w:shd w:val="clear" w:color="auto" w:fill="auto"/>
            <w:vAlign w:val="center"/>
          </w:tcPr>
          <w:p w14:paraId="1E1F1EB1">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35325BAA">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48860C47">
            <w:pPr>
              <w:pStyle w:val="53"/>
              <w:keepNext/>
              <w:numPr>
                <w:ilvl w:val="0"/>
                <w:numId w:val="0"/>
              </w:numPr>
              <w:snapToGrid w:val="0"/>
              <w:ind w:left="0" w:leftChars="0" w:right="0" w:righ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p>
        </w:tc>
        <w:tc>
          <w:tcPr>
            <w:tcW w:w="2064" w:type="dxa"/>
            <w:vAlign w:val="center"/>
          </w:tcPr>
          <w:p w14:paraId="31EA832C">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4582" w:type="dxa"/>
            <w:shd w:val="clear" w:color="auto" w:fill="auto"/>
            <w:vAlign w:val="center"/>
          </w:tcPr>
          <w:p w14:paraId="02D97709">
            <w:pPr>
              <w:pStyle w:val="53"/>
              <w:keepNext/>
              <w:snapToGrid w:val="0"/>
              <w:ind w:left="0" w:leftChars="0" w:right="0"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851" w:type="dxa"/>
            <w:shd w:val="clear" w:color="auto" w:fill="auto"/>
            <w:vAlign w:val="center"/>
          </w:tcPr>
          <w:p w14:paraId="18835E98">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32826E79">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0D25BA5B">
            <w:pPr>
              <w:pStyle w:val="53"/>
              <w:keepNext/>
              <w:numPr>
                <w:ilvl w:val="0"/>
                <w:numId w:val="0"/>
              </w:numPr>
              <w:snapToGrid w:val="0"/>
              <w:ind w:left="0" w:leftChars="0" w:right="0" w:righ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3</w:t>
            </w:r>
          </w:p>
        </w:tc>
        <w:tc>
          <w:tcPr>
            <w:tcW w:w="2064" w:type="dxa"/>
            <w:vAlign w:val="center"/>
          </w:tcPr>
          <w:p w14:paraId="6B53D7DD">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4582" w:type="dxa"/>
            <w:shd w:val="clear" w:color="auto" w:fill="auto"/>
            <w:vAlign w:val="center"/>
          </w:tcPr>
          <w:p w14:paraId="3C241A91">
            <w:pPr>
              <w:pStyle w:val="53"/>
              <w:keepNext/>
              <w:snapToGrid w:val="0"/>
              <w:ind w:left="0" w:leftChars="0" w:right="0" w:rightChars="0" w:firstLine="0" w:firstLineChars="0"/>
              <w:jc w:val="lef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851" w:type="dxa"/>
            <w:shd w:val="clear" w:color="auto" w:fill="auto"/>
            <w:vAlign w:val="center"/>
          </w:tcPr>
          <w:p w14:paraId="4B513014">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48AFA180">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31C12A1B">
            <w:pPr>
              <w:pStyle w:val="53"/>
              <w:keepNext/>
              <w:numPr>
                <w:ilvl w:val="0"/>
                <w:numId w:val="0"/>
              </w:numPr>
              <w:snapToGrid w:val="0"/>
              <w:ind w:left="0" w:leftChars="0" w:right="0" w:righ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2064" w:type="dxa"/>
            <w:vAlign w:val="center"/>
          </w:tcPr>
          <w:p w14:paraId="55194F4F">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4582" w:type="dxa"/>
            <w:shd w:val="clear" w:color="auto" w:fill="auto"/>
            <w:vAlign w:val="center"/>
          </w:tcPr>
          <w:p w14:paraId="4803457A">
            <w:pPr>
              <w:pStyle w:val="53"/>
              <w:keepNext/>
              <w:snapToGrid w:val="0"/>
              <w:ind w:left="0" w:leftChars="0" w:right="0" w:rightChars="0" w:firstLine="0" w:firstLineChars="0"/>
              <w:jc w:val="lef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851" w:type="dxa"/>
            <w:shd w:val="clear" w:color="auto" w:fill="auto"/>
            <w:vAlign w:val="center"/>
          </w:tcPr>
          <w:p w14:paraId="194FF3C2">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2372B823">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6C002E13">
            <w:pPr>
              <w:pStyle w:val="53"/>
              <w:keepNext/>
              <w:numPr>
                <w:ilvl w:val="0"/>
                <w:numId w:val="0"/>
              </w:numPr>
              <w:snapToGrid w:val="0"/>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064" w:type="dxa"/>
            <w:vAlign w:val="center"/>
          </w:tcPr>
          <w:p w14:paraId="5C91A4A7">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4582" w:type="dxa"/>
            <w:shd w:val="clear" w:color="auto" w:fill="auto"/>
            <w:vAlign w:val="center"/>
          </w:tcPr>
          <w:p w14:paraId="3E6052BB">
            <w:pPr>
              <w:pStyle w:val="53"/>
              <w:keepNext/>
              <w:snapToGrid w:val="0"/>
              <w:ind w:left="0" w:leftChars="0" w:right="0" w:rightChars="0" w:firstLine="0" w:firstLineChars="0"/>
              <w:jc w:val="lef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851" w:type="dxa"/>
            <w:shd w:val="clear" w:color="auto" w:fill="auto"/>
            <w:vAlign w:val="center"/>
          </w:tcPr>
          <w:p w14:paraId="1EA81190">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2394B23D">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09617D9C">
            <w:pPr>
              <w:pStyle w:val="53"/>
              <w:keepNext/>
              <w:numPr>
                <w:ilvl w:val="0"/>
                <w:numId w:val="0"/>
              </w:numPr>
              <w:snapToGrid w:val="0"/>
              <w:ind w:left="0" w:leftChars="0" w:right="0" w:righ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w:t>
            </w:r>
          </w:p>
        </w:tc>
        <w:tc>
          <w:tcPr>
            <w:tcW w:w="2064" w:type="dxa"/>
            <w:vAlign w:val="center"/>
          </w:tcPr>
          <w:p w14:paraId="2016E93A">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4582" w:type="dxa"/>
            <w:shd w:val="clear" w:color="auto" w:fill="auto"/>
            <w:vAlign w:val="center"/>
          </w:tcPr>
          <w:p w14:paraId="50B76BB4">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851" w:type="dxa"/>
            <w:shd w:val="clear" w:color="auto" w:fill="auto"/>
            <w:vAlign w:val="center"/>
          </w:tcPr>
          <w:p w14:paraId="75DB24A7">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7D6DA84C">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06D38870">
            <w:pPr>
              <w:pStyle w:val="53"/>
              <w:keepNext/>
              <w:numPr>
                <w:ilvl w:val="0"/>
                <w:numId w:val="0"/>
              </w:numPr>
              <w:snapToGrid w:val="0"/>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2064" w:type="dxa"/>
            <w:vAlign w:val="center"/>
          </w:tcPr>
          <w:p w14:paraId="32AEC3D4">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4582" w:type="dxa"/>
            <w:shd w:val="clear" w:color="auto" w:fill="auto"/>
            <w:vAlign w:val="center"/>
          </w:tcPr>
          <w:p w14:paraId="68DBD364">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851" w:type="dxa"/>
            <w:shd w:val="clear" w:color="auto" w:fill="auto"/>
            <w:vAlign w:val="center"/>
          </w:tcPr>
          <w:p w14:paraId="5A26F512">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06C24958">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332BD4A6">
            <w:pPr>
              <w:pStyle w:val="53"/>
              <w:keepNext/>
              <w:numPr>
                <w:ilvl w:val="0"/>
                <w:numId w:val="0"/>
              </w:numPr>
              <w:snapToGrid w:val="0"/>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2064" w:type="dxa"/>
            <w:vAlign w:val="center"/>
          </w:tcPr>
          <w:p w14:paraId="56EEFE7E">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4582" w:type="dxa"/>
            <w:shd w:val="clear" w:color="auto" w:fill="auto"/>
            <w:vAlign w:val="center"/>
          </w:tcPr>
          <w:p w14:paraId="618DB2FB">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851" w:type="dxa"/>
            <w:shd w:val="clear" w:color="auto" w:fill="auto"/>
            <w:vAlign w:val="center"/>
          </w:tcPr>
          <w:p w14:paraId="36C2A679">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73E4201A">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3CD6AABE">
            <w:pPr>
              <w:pStyle w:val="53"/>
              <w:keepNext/>
              <w:numPr>
                <w:ilvl w:val="0"/>
                <w:numId w:val="0"/>
              </w:numPr>
              <w:snapToGrid w:val="0"/>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2064" w:type="dxa"/>
            <w:vAlign w:val="center"/>
          </w:tcPr>
          <w:p w14:paraId="40726A5F">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4582" w:type="dxa"/>
            <w:shd w:val="clear" w:color="auto" w:fill="auto"/>
            <w:vAlign w:val="center"/>
          </w:tcPr>
          <w:p w14:paraId="05CC0303">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851" w:type="dxa"/>
            <w:shd w:val="clear" w:color="auto" w:fill="auto"/>
            <w:vAlign w:val="center"/>
          </w:tcPr>
          <w:p w14:paraId="3A44DE13">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5D1C94D8">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82" w:type="dxa"/>
            <w:shd w:val="clear" w:color="auto" w:fill="auto"/>
            <w:vAlign w:val="center"/>
          </w:tcPr>
          <w:p w14:paraId="65992B2F">
            <w:pPr>
              <w:pStyle w:val="53"/>
              <w:keepNext/>
              <w:numPr>
                <w:ilvl w:val="0"/>
                <w:numId w:val="0"/>
              </w:numPr>
              <w:snapToGrid w:val="0"/>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2064" w:type="dxa"/>
            <w:vAlign w:val="center"/>
          </w:tcPr>
          <w:p w14:paraId="52767F5E">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w:t>
            </w:r>
            <w:r>
              <w:rPr>
                <w:rFonts w:hint="eastAsia" w:cs="宋体"/>
                <w:color w:val="auto"/>
                <w:sz w:val="21"/>
                <w:szCs w:val="21"/>
                <w:highlight w:val="none"/>
                <w:lang w:val="en-US" w:eastAsia="zh-CN"/>
              </w:rPr>
              <w:t>履约</w:t>
            </w:r>
            <w:r>
              <w:rPr>
                <w:rFonts w:hint="eastAsia" w:ascii="宋体" w:hAnsi="宋体" w:eastAsia="宋体" w:cs="宋体"/>
                <w:color w:val="auto"/>
                <w:sz w:val="21"/>
                <w:szCs w:val="21"/>
                <w:highlight w:val="none"/>
              </w:rPr>
              <w:t>期限</w:t>
            </w:r>
          </w:p>
        </w:tc>
        <w:tc>
          <w:tcPr>
            <w:tcW w:w="4582" w:type="dxa"/>
            <w:shd w:val="clear" w:color="auto" w:fill="auto"/>
            <w:vAlign w:val="center"/>
          </w:tcPr>
          <w:p w14:paraId="018BE69C">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w:t>
            </w:r>
          </w:p>
        </w:tc>
        <w:tc>
          <w:tcPr>
            <w:tcW w:w="851" w:type="dxa"/>
            <w:shd w:val="clear" w:color="auto" w:fill="auto"/>
            <w:vAlign w:val="center"/>
          </w:tcPr>
          <w:p w14:paraId="4BD7EBEE">
            <w:pPr>
              <w:pStyle w:val="53"/>
              <w:keepNext/>
              <w:snapToGrid w:val="0"/>
              <w:ind w:left="0" w:leftChars="0" w:right="0" w:rightChars="0" w:firstLine="0" w:firstLineChars="0"/>
              <w:jc w:val="left"/>
              <w:rPr>
                <w:rFonts w:hint="eastAsia" w:ascii="宋体" w:hAnsi="宋体" w:eastAsia="宋体" w:cs="宋体"/>
                <w:color w:val="auto"/>
                <w:sz w:val="21"/>
                <w:szCs w:val="21"/>
                <w:highlight w:val="none"/>
                <w:lang w:val="zh-CN"/>
              </w:rPr>
            </w:pPr>
          </w:p>
        </w:tc>
        <w:tc>
          <w:tcPr>
            <w:tcW w:w="968" w:type="dxa"/>
            <w:shd w:val="clear" w:color="auto" w:fill="auto"/>
            <w:vAlign w:val="center"/>
          </w:tcPr>
          <w:p w14:paraId="3F4076D0">
            <w:pPr>
              <w:pStyle w:val="53"/>
              <w:keepNext/>
              <w:snapToGrid w:val="0"/>
              <w:ind w:left="0" w:leftChars="0" w:right="0" w:rightChars="0" w:firstLine="0" w:firstLineChars="0"/>
              <w:jc w:val="center"/>
              <w:rPr>
                <w:rFonts w:hint="eastAsia" w:ascii="宋体" w:hAnsi="宋体" w:eastAsia="宋体" w:cs="宋体"/>
                <w:color w:val="auto"/>
                <w:sz w:val="21"/>
                <w:szCs w:val="21"/>
                <w:highlight w:val="none"/>
                <w:lang w:val="zh-CN"/>
              </w:rPr>
            </w:pPr>
          </w:p>
        </w:tc>
      </w:tr>
    </w:tbl>
    <w:p w14:paraId="5A5B664F">
      <w:pPr>
        <w:rPr>
          <w:rFonts w:hint="eastAsia" w:ascii="宋体" w:hAnsi="宋体" w:eastAsia="宋体" w:cstheme="minorBidi"/>
          <w:b/>
          <w:bCs/>
          <w:color w:val="auto"/>
          <w:kern w:val="2"/>
          <w:sz w:val="30"/>
          <w:szCs w:val="32"/>
          <w:highlight w:val="none"/>
          <w:lang w:val="zh-CN"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3FE0903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95" w:name="_Toc17074"/>
      <w:r>
        <w:rPr>
          <w:rFonts w:hint="eastAsia" w:ascii="宋体" w:hAnsi="宋体" w:eastAsia="宋体" w:cs="宋体"/>
          <w:b/>
          <w:bCs/>
          <w:color w:val="auto"/>
          <w:kern w:val="2"/>
          <w:sz w:val="24"/>
          <w:szCs w:val="24"/>
          <w:highlight w:val="none"/>
          <w:lang w:val="zh-CN" w:eastAsia="zh-CN" w:bidi="ar-SA"/>
        </w:rPr>
        <w:t>（二）评分标准</w:t>
      </w:r>
      <w:bookmarkEnd w:id="393"/>
      <w:bookmarkEnd w:id="394"/>
      <w:bookmarkEnd w:id="395"/>
    </w:p>
    <w:tbl>
      <w:tblPr>
        <w:tblStyle w:val="31"/>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308"/>
        <w:gridCol w:w="774"/>
        <w:gridCol w:w="6723"/>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29" w:type="dxa"/>
            <w:shd w:val="clear" w:color="auto" w:fill="D8D8D8" w:themeFill="background1" w:themeFillShade="D9"/>
            <w:vAlign w:val="center"/>
          </w:tcPr>
          <w:p w14:paraId="4924CA4E">
            <w:pPr>
              <w:pStyle w:val="53"/>
              <w:snapToGrid w:val="0"/>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1308" w:type="dxa"/>
            <w:shd w:val="clear" w:color="auto" w:fill="D8D8D8" w:themeFill="background1" w:themeFillShade="D9"/>
            <w:vAlign w:val="center"/>
          </w:tcPr>
          <w:p w14:paraId="7A3DCB70">
            <w:pPr>
              <w:pStyle w:val="53"/>
              <w:snapToGrid w:val="0"/>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774" w:type="dxa"/>
            <w:shd w:val="clear" w:color="auto" w:fill="D8D8D8" w:themeFill="background1" w:themeFillShade="D9"/>
            <w:vAlign w:val="center"/>
          </w:tcPr>
          <w:p w14:paraId="65B86E0D">
            <w:pPr>
              <w:pStyle w:val="53"/>
              <w:snapToGrid w:val="0"/>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723" w:type="dxa"/>
            <w:shd w:val="clear" w:color="auto" w:fill="D8D8D8" w:themeFill="background1" w:themeFillShade="D9"/>
            <w:vAlign w:val="center"/>
          </w:tcPr>
          <w:p w14:paraId="467A385D">
            <w:pPr>
              <w:pStyle w:val="53"/>
              <w:snapToGrid w:val="0"/>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9" w:type="dxa"/>
            <w:vAlign w:val="center"/>
          </w:tcPr>
          <w:p w14:paraId="3C480381">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p w14:paraId="375F38AD">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308" w:type="dxa"/>
            <w:tcBorders>
              <w:bottom w:val="single" w:color="auto" w:sz="4" w:space="0"/>
            </w:tcBorders>
            <w:vAlign w:val="center"/>
          </w:tcPr>
          <w:p w14:paraId="4D31CF31">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74" w:type="dxa"/>
            <w:vAlign w:val="center"/>
          </w:tcPr>
          <w:p w14:paraId="318A84CC">
            <w:pPr>
              <w:pStyle w:val="53"/>
              <w:snapToGrid w:val="0"/>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723" w:type="dxa"/>
            <w:vAlign w:val="center"/>
          </w:tcPr>
          <w:p w14:paraId="4F468258">
            <w:pPr>
              <w:pStyle w:val="53"/>
              <w:snapToGrid w:val="0"/>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公开招标文件</w:t>
            </w:r>
            <w:r>
              <w:rPr>
                <w:rFonts w:hint="eastAsia" w:ascii="宋体" w:hAnsi="宋体" w:eastAsia="宋体" w:cs="宋体"/>
                <w:color w:val="auto"/>
                <w:sz w:val="24"/>
                <w:szCs w:val="24"/>
                <w:highlight w:val="none"/>
              </w:rPr>
              <w:t>要求且投标价格最低的投标报价为评标基准价，其价格得分为满分，其他</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的价格得分统一按照下列公式计算：价格得分=（评标基准价/投标报价）×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%×100。</w:t>
            </w:r>
          </w:p>
          <w:p w14:paraId="201E7F07">
            <w:pPr>
              <w:pStyle w:val="53"/>
              <w:snapToGrid w:val="0"/>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备注：符合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lang w:val="en-US" w:eastAsia="zh-CN"/>
              </w:rPr>
              <w:t>前附表”</w:t>
            </w:r>
            <w:r>
              <w:rPr>
                <w:rFonts w:hint="eastAsia" w:ascii="宋体" w:hAnsi="宋体" w:eastAsia="宋体" w:cs="宋体"/>
                <w:color w:val="auto"/>
                <w:sz w:val="24"/>
                <w:szCs w:val="24"/>
                <w:highlight w:val="none"/>
              </w:rPr>
              <w:t>中价格扣除规定的，在评审时予以价格扣除，用扣除后的价格参与评审。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9" w:type="dxa"/>
            <w:vMerge w:val="restart"/>
            <w:vAlign w:val="center"/>
          </w:tcPr>
          <w:p w14:paraId="0EA62830">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6C0619A6">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308" w:type="dxa"/>
            <w:tcBorders>
              <w:top w:val="single" w:color="auto" w:sz="4" w:space="0"/>
            </w:tcBorders>
            <w:vAlign w:val="center"/>
          </w:tcPr>
          <w:p w14:paraId="7B47B92D">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类似项目</w:t>
            </w:r>
            <w:r>
              <w:rPr>
                <w:rFonts w:hint="eastAsia" w:ascii="宋体" w:hAnsi="宋体" w:eastAsia="宋体" w:cs="宋体"/>
                <w:color w:val="auto"/>
                <w:sz w:val="24"/>
                <w:szCs w:val="24"/>
                <w:highlight w:val="none"/>
                <w:lang w:eastAsia="zh-CN"/>
              </w:rPr>
              <w:t>业绩</w:t>
            </w:r>
          </w:p>
        </w:tc>
        <w:tc>
          <w:tcPr>
            <w:tcW w:w="774" w:type="dxa"/>
            <w:vAlign w:val="center"/>
          </w:tcPr>
          <w:p w14:paraId="4E7EA155">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c>
          <w:tcPr>
            <w:tcW w:w="6723" w:type="dxa"/>
            <w:vAlign w:val="center"/>
          </w:tcPr>
          <w:p w14:paraId="01BA527B">
            <w:pPr>
              <w:pStyle w:val="53"/>
              <w:snapToGrid w:val="0"/>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投标人近三年（202</w:t>
            </w:r>
            <w:r>
              <w:rPr>
                <w:rFonts w:hint="eastAsia" w:asci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月1日-至今）类似项目业绩每提供1份得</w:t>
            </w:r>
            <w:r>
              <w:rPr>
                <w:rFonts w:hint="eastAsia" w:asci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分，满分</w:t>
            </w:r>
            <w:r>
              <w:rPr>
                <w:rFonts w:hint="eastAsia" w:asci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14:paraId="12734F65">
            <w:pPr>
              <w:pStyle w:val="53"/>
              <w:snapToGrid w:val="0"/>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1"/>
                <w:highlight w:val="none"/>
                <w:lang w:val="en-US" w:eastAsia="zh-CN"/>
              </w:rPr>
              <w:t>注：提供合同</w:t>
            </w:r>
            <w:r>
              <w:rPr>
                <w:rFonts w:hint="eastAsia" w:ascii="宋体" w:eastAsia="宋体" w:cs="宋体"/>
                <w:b/>
                <w:bCs/>
                <w:color w:val="auto"/>
                <w:sz w:val="24"/>
                <w:szCs w:val="21"/>
                <w:highlight w:val="none"/>
                <w:lang w:val="en-US" w:eastAsia="zh-CN"/>
              </w:rPr>
              <w:t>扫描件</w:t>
            </w:r>
            <w:r>
              <w:rPr>
                <w:rFonts w:hint="eastAsia" w:ascii="宋体" w:hAnsi="宋体" w:eastAsia="宋体" w:cs="宋体"/>
                <w:b/>
                <w:bCs/>
                <w:color w:val="auto"/>
                <w:sz w:val="24"/>
                <w:szCs w:val="21"/>
                <w:highlight w:val="none"/>
                <w:lang w:val="en-US" w:eastAsia="zh-CN"/>
              </w:rPr>
              <w:t>（包含合同首页、关键页、签字盖章页）或中标（成交）通知书扫描件，需清晰可辨认，证明资料残缺不全、模糊难辨或未提供的不得分。</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9" w:type="dxa"/>
            <w:vMerge w:val="continue"/>
            <w:vAlign w:val="center"/>
          </w:tcPr>
          <w:p w14:paraId="052C663E">
            <w:pPr>
              <w:pStyle w:val="53"/>
              <w:snapToGrid w:val="0"/>
              <w:ind w:left="0" w:leftChars="0" w:right="0" w:rightChars="0" w:firstLine="0" w:firstLineChars="0"/>
              <w:jc w:val="center"/>
              <w:rPr>
                <w:rFonts w:hint="eastAsia" w:ascii="宋体" w:hAnsi="宋体" w:eastAsia="宋体" w:cs="宋体"/>
                <w:color w:val="auto"/>
                <w:sz w:val="24"/>
                <w:szCs w:val="24"/>
                <w:highlight w:val="none"/>
              </w:rPr>
            </w:pPr>
          </w:p>
        </w:tc>
        <w:tc>
          <w:tcPr>
            <w:tcW w:w="1308" w:type="dxa"/>
            <w:tcBorders>
              <w:top w:val="single" w:color="auto" w:sz="4" w:space="0"/>
            </w:tcBorders>
            <w:vAlign w:val="center"/>
          </w:tcPr>
          <w:p w14:paraId="460AF2C5">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团队</w:t>
            </w:r>
            <w:r>
              <w:rPr>
                <w:rFonts w:hint="eastAsia" w:ascii="宋体" w:eastAsia="宋体" w:cs="宋体"/>
                <w:color w:val="auto"/>
                <w:sz w:val="24"/>
                <w:szCs w:val="24"/>
                <w:highlight w:val="none"/>
                <w:lang w:val="en-US" w:eastAsia="zh-CN"/>
              </w:rPr>
              <w:t>人员</w:t>
            </w:r>
          </w:p>
        </w:tc>
        <w:tc>
          <w:tcPr>
            <w:tcW w:w="774" w:type="dxa"/>
            <w:vAlign w:val="center"/>
          </w:tcPr>
          <w:p w14:paraId="628FC415">
            <w:pPr>
              <w:pStyle w:val="53"/>
              <w:snapToGrid w:val="0"/>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c>
          <w:tcPr>
            <w:tcW w:w="6723" w:type="dxa"/>
            <w:vAlign w:val="center"/>
          </w:tcPr>
          <w:p w14:paraId="405BE3B6">
            <w:pPr>
              <w:pStyle w:val="53"/>
              <w:numPr>
                <w:ilvl w:val="0"/>
                <w:numId w:val="0"/>
              </w:numPr>
              <w:snapToGrid w:val="0"/>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1.项目主管：具有5年及以上食堂/餐饮管理经验（提供承诺函）；提供食品安全管理员证。满足得3分，不满足不得分。</w:t>
            </w:r>
            <w:r>
              <w:rPr>
                <w:rFonts w:hint="eastAsia" w:ascii="宋体" w:hAnsi="宋体" w:eastAsia="宋体" w:cs="宋体"/>
                <w:color w:val="auto"/>
                <w:sz w:val="24"/>
                <w:szCs w:val="24"/>
                <w:highlight w:val="none"/>
                <w:lang w:val="en-US" w:eastAsia="zh-CN"/>
              </w:rPr>
              <w:t xml:space="preserve"> </w:t>
            </w:r>
          </w:p>
          <w:p w14:paraId="75C6919D">
            <w:pPr>
              <w:pStyle w:val="53"/>
              <w:numPr>
                <w:ilvl w:val="0"/>
                <w:numId w:val="0"/>
              </w:numPr>
              <w:snapToGrid w:val="0"/>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eastAsia="宋体" w:cs="宋体"/>
                <w:color w:val="auto"/>
                <w:sz w:val="24"/>
                <w:szCs w:val="24"/>
                <w:highlight w:val="none"/>
                <w:lang w:val="en-US" w:eastAsia="zh-CN"/>
              </w:rPr>
              <w:t>2.主厨：持中式烹调师高级（三级）及以上职业资格证书/职业技能等级证书；提供证书扫描件加盖公章。满足得2分，不满足不得分。</w:t>
            </w:r>
          </w:p>
          <w:p w14:paraId="2E35B0F3">
            <w:pPr>
              <w:pStyle w:val="53"/>
              <w:numPr>
                <w:ilvl w:val="0"/>
                <w:numId w:val="0"/>
              </w:numPr>
              <w:snapToGrid w:val="0"/>
              <w:ind w:left="0" w:leftChars="0" w:right="0" w:rightChars="0" w:firstLine="0" w:firstLineChars="0"/>
              <w:jc w:val="left"/>
              <w:rPr>
                <w:rFonts w:hint="eastAsia"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3.食堂操作岗人员：食堂后厨及操作岗 22人（炒菜师傅3人、食品安全员1人、切配菜3人、面点师傅3人、洗碗工3人及杂工9人）。人员配置满足上述要求得3分，不满足不得分。其中，炒菜师傅持中式烹调师中级及以上证书，每提供1人得1分，最多得3分；面点师持中式/西式面点师中级及以上证书，每提供1人得1分，最多得3分；食品安全员持有效的《食品安全管理员证》得1分；此项食堂操作岗人员合计10分。</w:t>
            </w:r>
          </w:p>
          <w:p w14:paraId="6FE75CE8">
            <w:pPr>
              <w:pStyle w:val="53"/>
              <w:snapToGrid w:val="0"/>
              <w:ind w:left="0" w:leftChars="0" w:right="0" w:rightChars="0" w:firstLine="0" w:firstLineChars="0"/>
              <w:jc w:val="left"/>
              <w:rPr>
                <w:rFonts w:hint="default" w:ascii="宋体" w:eastAsia="宋体" w:cs="宋体"/>
                <w:b w:val="0"/>
                <w:bCs w:val="0"/>
                <w:color w:val="auto"/>
                <w:sz w:val="24"/>
                <w:szCs w:val="21"/>
                <w:highlight w:val="none"/>
                <w:lang w:val="en-US" w:eastAsia="zh-CN"/>
              </w:rPr>
            </w:pPr>
            <w:r>
              <w:rPr>
                <w:rFonts w:hint="eastAsia" w:ascii="宋体" w:hAnsi="宋体" w:eastAsia="宋体" w:cs="宋体"/>
                <w:b/>
                <w:bCs/>
                <w:color w:val="auto"/>
                <w:sz w:val="24"/>
                <w:szCs w:val="21"/>
                <w:highlight w:val="none"/>
                <w:lang w:val="en-US" w:eastAsia="zh-CN"/>
              </w:rPr>
              <w:t>注：需提供身份证、</w:t>
            </w:r>
            <w:r>
              <w:rPr>
                <w:rFonts w:hint="eastAsia" w:ascii="宋体" w:eastAsia="宋体" w:cs="宋体"/>
                <w:b/>
                <w:bCs/>
                <w:color w:val="auto"/>
                <w:sz w:val="24"/>
                <w:szCs w:val="21"/>
                <w:highlight w:val="none"/>
                <w:lang w:val="en-US" w:eastAsia="zh-CN"/>
              </w:rPr>
              <w:t>健康证、</w:t>
            </w:r>
            <w:r>
              <w:rPr>
                <w:rFonts w:hint="eastAsia" w:ascii="宋体" w:hAnsi="宋体" w:eastAsia="宋体" w:cs="宋体"/>
                <w:b/>
                <w:bCs/>
                <w:color w:val="auto"/>
                <w:sz w:val="24"/>
                <w:szCs w:val="21"/>
                <w:highlight w:val="none"/>
                <w:lang w:val="en-US" w:eastAsia="zh-CN"/>
              </w:rPr>
              <w:t>对应岗位证书、劳动合同或</w:t>
            </w:r>
            <w:r>
              <w:rPr>
                <w:rFonts w:hint="eastAsia" w:ascii="宋体" w:eastAsia="宋体" w:cs="宋体"/>
                <w:b/>
                <w:bCs/>
                <w:color w:val="auto"/>
                <w:sz w:val="24"/>
                <w:szCs w:val="21"/>
                <w:highlight w:val="none"/>
                <w:lang w:val="en-US" w:eastAsia="zh-CN"/>
              </w:rPr>
              <w:t>劳务合同（以上内容提供扫描件加盖公章）</w:t>
            </w:r>
            <w:r>
              <w:rPr>
                <w:rFonts w:hint="eastAsia" w:ascii="宋体" w:hAnsi="宋体" w:eastAsia="宋体" w:cs="宋体"/>
                <w:b/>
                <w:bCs/>
                <w:color w:val="auto"/>
                <w:sz w:val="24"/>
                <w:szCs w:val="21"/>
                <w:highlight w:val="none"/>
                <w:lang w:val="en-US" w:eastAsia="zh-CN"/>
              </w:rPr>
              <w:t>。</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9" w:type="dxa"/>
            <w:vMerge w:val="restart"/>
            <w:vAlign w:val="center"/>
          </w:tcPr>
          <w:p w14:paraId="009533AC">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3C5A6CF4">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1308" w:type="dxa"/>
            <w:tcBorders>
              <w:top w:val="single" w:color="auto" w:sz="4" w:space="0"/>
            </w:tcBorders>
            <w:vAlign w:val="center"/>
          </w:tcPr>
          <w:p w14:paraId="23C34424">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服务方案</w:t>
            </w:r>
          </w:p>
        </w:tc>
        <w:tc>
          <w:tcPr>
            <w:tcW w:w="774" w:type="dxa"/>
            <w:vAlign w:val="center"/>
          </w:tcPr>
          <w:p w14:paraId="35C961A9">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6723" w:type="dxa"/>
            <w:vAlign w:val="center"/>
          </w:tcPr>
          <w:p w14:paraId="3F8737CC">
            <w:pPr>
              <w:pStyle w:val="53"/>
              <w:snapToGrid w:val="0"/>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结合食堂实际岗位与工作内容编制服务方案，需包含以下核心内容</w:t>
            </w:r>
            <w:r>
              <w:rPr>
                <w:rFonts w:hint="eastAsia" w:asci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食堂后厨或服务岗标准</w:t>
            </w:r>
            <w:r>
              <w:rPr>
                <w:rFonts w:hint="eastAsia" w:asci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人员稳定措施（含缺员补位机制）；</w:t>
            </w:r>
            <w:r>
              <w:rPr>
                <w:rFonts w:hint="default" w:ascii="宋体" w:hAnsi="宋体" w:eastAsia="宋体" w:cs="宋体"/>
                <w:color w:val="auto"/>
                <w:kern w:val="2"/>
                <w:sz w:val="24"/>
                <w:szCs w:val="24"/>
                <w:highlight w:val="none"/>
                <w:lang w:val="en-US" w:eastAsia="zh-CN" w:bidi="ar-SA"/>
              </w:rPr>
              <w:t>③</w:t>
            </w:r>
            <w:r>
              <w:rPr>
                <w:rFonts w:hint="eastAsia" w:ascii="宋体" w:hAnsi="宋体" w:eastAsia="宋体" w:cs="宋体"/>
                <w:color w:val="auto"/>
                <w:sz w:val="24"/>
                <w:szCs w:val="24"/>
                <w:highlight w:val="none"/>
                <w:lang w:val="en-US" w:eastAsia="zh-CN"/>
              </w:rPr>
              <w:t>人员流动及岗位增减程序；</w:t>
            </w:r>
            <w:r>
              <w:rPr>
                <w:rFonts w:hint="default" w:ascii="宋体" w:hAnsi="宋体" w:eastAsia="宋体" w:cs="宋体"/>
                <w:color w:val="auto"/>
                <w:kern w:val="2"/>
                <w:sz w:val="24"/>
                <w:szCs w:val="24"/>
                <w:highlight w:val="none"/>
                <w:lang w:val="en-US" w:eastAsia="zh-CN" w:bidi="ar-SA"/>
              </w:rPr>
              <w:t>④</w:t>
            </w:r>
            <w:r>
              <w:rPr>
                <w:rFonts w:hint="eastAsia" w:ascii="宋体" w:hAnsi="宋体" w:eastAsia="宋体" w:cs="宋体"/>
                <w:color w:val="auto"/>
                <w:sz w:val="24"/>
                <w:szCs w:val="24"/>
                <w:highlight w:val="none"/>
                <w:lang w:val="en-US" w:eastAsia="zh-CN"/>
              </w:rPr>
              <w:t>服务重点（食堂食品安全）及难点分析；</w:t>
            </w:r>
            <w:r>
              <w:rPr>
                <w:rFonts w:hint="default" w:ascii="宋体" w:hAnsi="宋体" w:eastAsia="宋体" w:cs="宋体"/>
                <w:color w:val="auto"/>
                <w:kern w:val="2"/>
                <w:sz w:val="24"/>
                <w:szCs w:val="24"/>
                <w:highlight w:val="none"/>
                <w:lang w:val="en-US" w:eastAsia="zh-CN" w:bidi="ar-SA"/>
              </w:rPr>
              <w:t>⑤</w:t>
            </w:r>
            <w:r>
              <w:rPr>
                <w:rFonts w:hint="eastAsia" w:ascii="宋体" w:hAnsi="宋体" w:eastAsia="宋体" w:cs="宋体"/>
                <w:color w:val="auto"/>
                <w:sz w:val="24"/>
                <w:szCs w:val="24"/>
                <w:highlight w:val="none"/>
                <w:lang w:val="en-US" w:eastAsia="zh-CN"/>
              </w:rPr>
              <w:t>成本优化或服务提升合理化建议；</w:t>
            </w:r>
            <w:r>
              <w:rPr>
                <w:rFonts w:hint="eastAsia" w:ascii="宋体" w:hAnsi="宋体" w:eastAsia="宋体" w:cs="宋体"/>
                <w:color w:val="auto"/>
                <w:kern w:val="2"/>
                <w:sz w:val="24"/>
                <w:szCs w:val="24"/>
                <w:highlight w:val="none"/>
                <w:lang w:val="en-US" w:eastAsia="zh-CN" w:bidi="ar-SA"/>
              </w:rPr>
              <w:t>所有</w:t>
            </w:r>
            <w:r>
              <w:rPr>
                <w:rFonts w:hint="eastAsia" w:ascii="宋体" w:eastAsia="宋体" w:cs="宋体"/>
                <w:color w:val="auto"/>
                <w:kern w:val="2"/>
                <w:sz w:val="24"/>
                <w:szCs w:val="24"/>
                <w:highlight w:val="none"/>
                <w:lang w:val="en-US" w:eastAsia="zh-CN" w:bidi="ar-SA"/>
              </w:rPr>
              <w:t>内容</w:t>
            </w:r>
            <w:r>
              <w:rPr>
                <w:rFonts w:hint="eastAsia" w:ascii="宋体" w:hAnsi="宋体" w:eastAsia="宋体" w:cs="宋体"/>
                <w:color w:val="auto"/>
                <w:kern w:val="2"/>
                <w:sz w:val="24"/>
                <w:szCs w:val="24"/>
                <w:highlight w:val="none"/>
                <w:lang w:val="en-US" w:eastAsia="zh-CN" w:bidi="ar-SA"/>
              </w:rPr>
              <w:t>齐全且完全满足项目要求得20分，每有一</w:t>
            </w:r>
            <w:r>
              <w:rPr>
                <w:rFonts w:hint="eastAsia" w:ascii="宋体" w:eastAsia="宋体" w:cs="宋体"/>
                <w:color w:val="auto"/>
                <w:kern w:val="2"/>
                <w:sz w:val="24"/>
                <w:szCs w:val="24"/>
                <w:highlight w:val="none"/>
                <w:lang w:val="en-US" w:eastAsia="zh-CN" w:bidi="ar-SA"/>
              </w:rPr>
              <w:t>项</w:t>
            </w:r>
            <w:r>
              <w:rPr>
                <w:rFonts w:hint="eastAsia" w:ascii="宋体" w:hAnsi="宋体" w:eastAsia="宋体" w:cs="宋体"/>
                <w:color w:val="auto"/>
                <w:kern w:val="2"/>
                <w:sz w:val="24"/>
                <w:szCs w:val="24"/>
                <w:highlight w:val="none"/>
                <w:lang w:val="en-US" w:eastAsia="zh-CN" w:bidi="ar-SA"/>
              </w:rPr>
              <w:t>内容存在缺陷扣2分；每缺一</w:t>
            </w:r>
            <w:r>
              <w:rPr>
                <w:rFonts w:hint="eastAsia" w:ascii="宋体" w:eastAsia="宋体" w:cs="宋体"/>
                <w:color w:val="auto"/>
                <w:kern w:val="2"/>
                <w:sz w:val="24"/>
                <w:szCs w:val="24"/>
                <w:highlight w:val="none"/>
                <w:lang w:val="en-US" w:eastAsia="zh-CN" w:bidi="ar-SA"/>
              </w:rPr>
              <w:t>项方案内容的</w:t>
            </w:r>
            <w:r>
              <w:rPr>
                <w:rFonts w:hint="eastAsia" w:ascii="宋体" w:hAnsi="宋体" w:eastAsia="宋体" w:cs="宋体"/>
                <w:color w:val="auto"/>
                <w:kern w:val="2"/>
                <w:sz w:val="24"/>
                <w:szCs w:val="24"/>
                <w:highlight w:val="none"/>
                <w:lang w:val="en-US" w:eastAsia="zh-CN" w:bidi="ar-SA"/>
              </w:rPr>
              <w:t>扣</w:t>
            </w:r>
            <w:r>
              <w:rPr>
                <w:rFonts w:hint="eastAsia" w:asci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r>
              <w:rPr>
                <w:rFonts w:hint="eastAsia" w:asci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扣完为止，未提供</w:t>
            </w:r>
            <w:r>
              <w:rPr>
                <w:rFonts w:hint="eastAsia" w:ascii="宋体" w:eastAsia="宋体" w:cs="宋体"/>
                <w:color w:val="auto"/>
                <w:kern w:val="2"/>
                <w:sz w:val="24"/>
                <w:szCs w:val="24"/>
                <w:highlight w:val="none"/>
                <w:lang w:val="en-US" w:eastAsia="zh-CN" w:bidi="ar-SA"/>
              </w:rPr>
              <w:t>服务方案的</w:t>
            </w:r>
            <w:r>
              <w:rPr>
                <w:rFonts w:hint="eastAsia" w:ascii="宋体" w:hAnsi="宋体" w:eastAsia="宋体" w:cs="宋体"/>
                <w:color w:val="auto"/>
                <w:kern w:val="2"/>
                <w:sz w:val="24"/>
                <w:szCs w:val="24"/>
                <w:highlight w:val="none"/>
                <w:lang w:val="en-US" w:eastAsia="zh-CN" w:bidi="ar-SA"/>
              </w:rPr>
              <w:t>不得分</w:t>
            </w:r>
            <w:r>
              <w:rPr>
                <w:rFonts w:hint="eastAsia" w:ascii="宋体" w:hAnsi="宋体" w:eastAsia="宋体" w:cs="宋体"/>
                <w:color w:val="auto"/>
                <w:sz w:val="24"/>
                <w:szCs w:val="24"/>
                <w:highlight w:val="none"/>
              </w:rPr>
              <w:t>。</w:t>
            </w:r>
          </w:p>
          <w:p w14:paraId="5050357A">
            <w:pPr>
              <w:pStyle w:val="53"/>
              <w:snapToGrid w:val="0"/>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1"/>
                <w:highlight w:val="none"/>
                <w:lang w:val="en-US" w:eastAsia="zh-CN"/>
              </w:rPr>
              <w:t>(内容存在缺陷是指</w:t>
            </w:r>
            <w:r>
              <w:rPr>
                <w:rFonts w:hint="eastAsia" w:ascii="宋体" w:eastAsia="宋体" w:cs="宋体"/>
                <w:b/>
                <w:bCs/>
                <w:color w:val="auto"/>
                <w:sz w:val="24"/>
                <w:szCs w:val="21"/>
                <w:highlight w:val="none"/>
                <w:lang w:val="en-US" w:eastAsia="zh-CN"/>
              </w:rPr>
              <w:t>：</w:t>
            </w:r>
            <w:r>
              <w:rPr>
                <w:rFonts w:hint="eastAsia" w:ascii="宋体" w:hAnsi="宋体" w:eastAsia="宋体" w:cs="宋体"/>
                <w:b/>
                <w:bCs/>
                <w:color w:val="auto"/>
                <w:sz w:val="24"/>
                <w:szCs w:val="21"/>
                <w:highlight w:val="none"/>
                <w:lang w:val="en-US" w:eastAsia="zh-CN"/>
              </w:rPr>
              <w:t>存在不适用该项目实际情况的情形、凭空编造、内容前后不一致、前后逻辑错误、涉及的规范及标准错误、地点区域错误、内容缺失、不符合采购需求的任意一项)</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9" w:type="dxa"/>
            <w:vMerge w:val="continue"/>
            <w:vAlign w:val="center"/>
          </w:tcPr>
          <w:p w14:paraId="24E10105">
            <w:pPr>
              <w:pStyle w:val="53"/>
              <w:snapToGrid w:val="0"/>
              <w:ind w:left="0" w:leftChars="0" w:right="0" w:rightChars="0" w:firstLine="0" w:firstLineChars="0"/>
              <w:jc w:val="center"/>
              <w:rPr>
                <w:rFonts w:hint="eastAsia" w:ascii="宋体" w:hAnsi="宋体" w:eastAsia="宋体" w:cs="宋体"/>
                <w:color w:val="auto"/>
                <w:sz w:val="24"/>
                <w:szCs w:val="24"/>
                <w:highlight w:val="none"/>
              </w:rPr>
            </w:pPr>
          </w:p>
        </w:tc>
        <w:tc>
          <w:tcPr>
            <w:tcW w:w="1308" w:type="dxa"/>
            <w:vAlign w:val="center"/>
          </w:tcPr>
          <w:p w14:paraId="69144E03">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规章制度</w:t>
            </w:r>
          </w:p>
        </w:tc>
        <w:tc>
          <w:tcPr>
            <w:tcW w:w="774" w:type="dxa"/>
            <w:vAlign w:val="center"/>
          </w:tcPr>
          <w:p w14:paraId="7922AA03">
            <w:pPr>
              <w:pStyle w:val="53"/>
              <w:snapToGrid w:val="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6723" w:type="dxa"/>
            <w:vAlign w:val="center"/>
          </w:tcPr>
          <w:p w14:paraId="257340E5">
            <w:pPr>
              <w:pStyle w:val="53"/>
              <w:snapToGrid w:val="0"/>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结合食堂服务编制全套规章制度，涵盖</w:t>
            </w:r>
            <w:r>
              <w:rPr>
                <w:rFonts w:hint="default" w:ascii="宋体" w:hAnsi="宋体" w:eastAsia="宋体" w:cs="宋体"/>
                <w:color w:val="auto"/>
                <w:kern w:val="2"/>
                <w:sz w:val="24"/>
                <w:szCs w:val="24"/>
                <w:highlight w:val="none"/>
                <w:lang w:val="en-US" w:eastAsia="zh-CN" w:bidi="ar-SA"/>
              </w:rPr>
              <w:t>①</w:t>
            </w:r>
            <w:r>
              <w:rPr>
                <w:rFonts w:hint="eastAsia" w:ascii="宋体" w:hAnsi="宋体" w:eastAsia="宋体" w:cs="宋体"/>
                <w:color w:val="auto"/>
                <w:sz w:val="24"/>
                <w:szCs w:val="24"/>
                <w:highlight w:val="none"/>
                <w:lang w:val="en-US" w:eastAsia="zh-CN"/>
              </w:rPr>
              <w:t>服务理念</w:t>
            </w:r>
            <w:r>
              <w:rPr>
                <w:rFonts w:hint="default" w:ascii="宋体" w:hAnsi="宋体" w:eastAsia="宋体" w:cs="宋体"/>
                <w:color w:val="auto"/>
                <w:kern w:val="2"/>
                <w:sz w:val="24"/>
                <w:szCs w:val="24"/>
                <w:highlight w:val="none"/>
                <w:lang w:val="en-US" w:eastAsia="zh-CN" w:bidi="ar-SA"/>
              </w:rPr>
              <w:t>②</w:t>
            </w:r>
            <w:r>
              <w:rPr>
                <w:rFonts w:hint="eastAsia" w:ascii="宋体" w:hAnsi="宋体" w:eastAsia="宋体" w:cs="宋体"/>
                <w:color w:val="auto"/>
                <w:sz w:val="24"/>
                <w:szCs w:val="24"/>
                <w:highlight w:val="none"/>
                <w:lang w:val="en-US" w:eastAsia="zh-CN"/>
              </w:rPr>
              <w:t>制度目标</w:t>
            </w:r>
            <w:r>
              <w:rPr>
                <w:rFonts w:hint="default" w:ascii="宋体" w:hAnsi="宋体" w:eastAsia="宋体" w:cs="宋体"/>
                <w:color w:val="auto"/>
                <w:kern w:val="2"/>
                <w:sz w:val="24"/>
                <w:szCs w:val="24"/>
                <w:highlight w:val="none"/>
                <w:lang w:val="en-US" w:eastAsia="zh-CN" w:bidi="ar-SA"/>
              </w:rPr>
              <w:t>③</w:t>
            </w:r>
            <w:r>
              <w:rPr>
                <w:rFonts w:hint="eastAsia" w:ascii="宋体" w:hAnsi="宋体" w:eastAsia="宋体" w:cs="宋体"/>
                <w:color w:val="auto"/>
                <w:sz w:val="24"/>
                <w:szCs w:val="24"/>
                <w:highlight w:val="none"/>
                <w:lang w:val="en-US" w:eastAsia="zh-CN"/>
              </w:rPr>
              <w:t>制度细则</w:t>
            </w:r>
            <w:r>
              <w:rPr>
                <w:rFonts w:hint="eastAsia" w:ascii="宋体" w:eastAsia="宋体" w:cs="宋体"/>
                <w:color w:val="auto"/>
                <w:sz w:val="24"/>
                <w:szCs w:val="24"/>
                <w:highlight w:val="none"/>
                <w:lang w:val="en-US" w:eastAsia="zh-CN"/>
              </w:rPr>
              <w:t>等三方面内容</w:t>
            </w:r>
            <w:r>
              <w:rPr>
                <w:rFonts w:hint="eastAsia" w:ascii="宋体" w:hAnsi="宋体" w:eastAsia="宋体" w:cs="宋体"/>
                <w:color w:val="auto"/>
                <w:sz w:val="24"/>
                <w:szCs w:val="24"/>
                <w:highlight w:val="none"/>
                <w:lang w:val="en-US" w:eastAsia="zh-CN"/>
              </w:rPr>
              <w:t>，整体详尽、细致、全面满足采购人需求得6分；每有一</w:t>
            </w:r>
            <w:r>
              <w:rPr>
                <w:rFonts w:hint="eastAsia" w:ascii="宋体" w:eastAsia="宋体" w:cs="宋体"/>
                <w:color w:val="auto"/>
                <w:sz w:val="24"/>
                <w:szCs w:val="24"/>
                <w:highlight w:val="none"/>
                <w:lang w:val="en-US" w:eastAsia="zh-CN"/>
              </w:rPr>
              <w:t>项</w:t>
            </w:r>
            <w:r>
              <w:rPr>
                <w:rFonts w:hint="eastAsia" w:ascii="宋体" w:hAnsi="宋体" w:eastAsia="宋体" w:cs="宋体"/>
                <w:color w:val="auto"/>
                <w:sz w:val="24"/>
                <w:szCs w:val="24"/>
                <w:highlight w:val="none"/>
                <w:lang w:val="en-US" w:eastAsia="zh-CN"/>
              </w:rPr>
              <w:t>内容存在缺陷扣</w:t>
            </w:r>
            <w:r>
              <w:rPr>
                <w:rFonts w:hint="eastAsia" w:asci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分；每缺一项方案内容的扣</w:t>
            </w:r>
            <w:r>
              <w:rPr>
                <w:rFonts w:hint="eastAsia" w:asci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分；扣完为止，未提供</w:t>
            </w:r>
            <w:r>
              <w:rPr>
                <w:rFonts w:hint="eastAsia" w:ascii="宋体" w:eastAsia="宋体" w:cs="宋体"/>
                <w:color w:val="auto"/>
                <w:sz w:val="24"/>
                <w:szCs w:val="24"/>
                <w:highlight w:val="none"/>
                <w:lang w:val="en-US" w:eastAsia="zh-CN"/>
              </w:rPr>
              <w:t>规章制度</w:t>
            </w:r>
            <w:r>
              <w:rPr>
                <w:rFonts w:hint="eastAsia" w:ascii="宋体" w:hAnsi="宋体" w:eastAsia="宋体" w:cs="宋体"/>
                <w:color w:val="auto"/>
                <w:sz w:val="24"/>
                <w:szCs w:val="24"/>
                <w:highlight w:val="none"/>
                <w:lang w:val="en-US" w:eastAsia="zh-CN"/>
              </w:rPr>
              <w:t>的不得分。</w:t>
            </w:r>
          </w:p>
          <w:p w14:paraId="1FB49B40">
            <w:pPr>
              <w:pStyle w:val="53"/>
              <w:snapToGrid w:val="0"/>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1"/>
                <w:highlight w:val="none"/>
                <w:lang w:val="en-US" w:eastAsia="zh-CN"/>
              </w:rPr>
              <w:t>(内容存在缺陷是指</w:t>
            </w:r>
            <w:r>
              <w:rPr>
                <w:rFonts w:hint="eastAsia" w:ascii="宋体" w:eastAsia="宋体" w:cs="宋体"/>
                <w:b/>
                <w:bCs/>
                <w:color w:val="auto"/>
                <w:sz w:val="24"/>
                <w:szCs w:val="21"/>
                <w:highlight w:val="none"/>
                <w:lang w:val="en-US" w:eastAsia="zh-CN"/>
              </w:rPr>
              <w:t>：</w:t>
            </w:r>
            <w:r>
              <w:rPr>
                <w:rFonts w:hint="eastAsia" w:ascii="宋体" w:hAnsi="宋体" w:eastAsia="宋体" w:cs="宋体"/>
                <w:b/>
                <w:bCs/>
                <w:color w:val="auto"/>
                <w:sz w:val="24"/>
                <w:szCs w:val="21"/>
                <w:highlight w:val="none"/>
                <w:lang w:val="en-US" w:eastAsia="zh-CN"/>
              </w:rPr>
              <w:t>存在不适用该项目实际情况的情形、凭空编造、内容前后不一致、前后逻辑错误、涉及的规范及标准错误、地点区域错误、内容缺失、不符合采购需求的任意一项)</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9" w:type="dxa"/>
            <w:vMerge w:val="continue"/>
            <w:vAlign w:val="center"/>
          </w:tcPr>
          <w:p w14:paraId="6BC81CA5">
            <w:pPr>
              <w:pStyle w:val="53"/>
              <w:snapToGrid w:val="0"/>
              <w:ind w:left="0" w:leftChars="0" w:right="0" w:rightChars="0" w:firstLine="0" w:firstLineChars="0"/>
              <w:jc w:val="center"/>
              <w:rPr>
                <w:rFonts w:hint="eastAsia" w:ascii="宋体" w:hAnsi="宋体" w:eastAsia="宋体" w:cs="宋体"/>
                <w:color w:val="auto"/>
                <w:sz w:val="24"/>
                <w:szCs w:val="24"/>
                <w:highlight w:val="none"/>
              </w:rPr>
            </w:pPr>
          </w:p>
        </w:tc>
        <w:tc>
          <w:tcPr>
            <w:tcW w:w="1308" w:type="dxa"/>
            <w:shd w:val="clear" w:color="auto" w:fill="auto"/>
            <w:vAlign w:val="center"/>
          </w:tcPr>
          <w:p w14:paraId="4FF5A0D7">
            <w:pPr>
              <w:pStyle w:val="53"/>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eastAsia="宋体" w:cs="宋体"/>
                <w:color w:val="auto"/>
                <w:sz w:val="24"/>
                <w:szCs w:val="24"/>
                <w:highlight w:val="none"/>
                <w:lang w:val="en-US" w:eastAsia="zh-CN"/>
              </w:rPr>
              <w:t>考核制度</w:t>
            </w:r>
          </w:p>
        </w:tc>
        <w:tc>
          <w:tcPr>
            <w:tcW w:w="774" w:type="dxa"/>
            <w:shd w:val="clear" w:color="auto" w:fill="auto"/>
            <w:vAlign w:val="center"/>
          </w:tcPr>
          <w:p w14:paraId="124035BA">
            <w:pPr>
              <w:pStyle w:val="53"/>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6723" w:type="dxa"/>
            <w:shd w:val="clear" w:color="auto" w:fill="auto"/>
            <w:vAlign w:val="center"/>
          </w:tcPr>
          <w:p w14:paraId="37A06DE1">
            <w:pPr>
              <w:pStyle w:val="53"/>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针对食堂24人分岗位制定考核制度，涵盖</w:t>
            </w:r>
            <w:r>
              <w:rPr>
                <w:rFonts w:hint="default" w:ascii="宋体" w:hAnsi="宋体" w:eastAsia="宋体" w:cs="宋体"/>
                <w:color w:val="auto"/>
                <w:kern w:val="2"/>
                <w:sz w:val="24"/>
                <w:szCs w:val="24"/>
                <w:highlight w:val="none"/>
                <w:lang w:val="en-US" w:eastAsia="zh-CN" w:bidi="ar-SA"/>
              </w:rPr>
              <w:t>①</w:t>
            </w:r>
            <w:r>
              <w:rPr>
                <w:rFonts w:hint="eastAsia" w:ascii="宋体" w:hAnsi="宋体" w:eastAsia="宋体" w:cs="宋体"/>
                <w:color w:val="auto"/>
                <w:kern w:val="2"/>
                <w:sz w:val="24"/>
                <w:szCs w:val="24"/>
                <w:highlight w:val="none"/>
                <w:lang w:val="en-US" w:eastAsia="zh-CN" w:bidi="ar-SA"/>
              </w:rPr>
              <w:t>考核范围</w:t>
            </w:r>
            <w:r>
              <w:rPr>
                <w:rFonts w:hint="default" w:ascii="宋体" w:hAnsi="宋体" w:eastAsia="宋体"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lang w:val="en-US" w:eastAsia="zh-CN" w:bidi="ar-SA"/>
              </w:rPr>
              <w:t>考核细节</w:t>
            </w:r>
            <w:r>
              <w:rPr>
                <w:rFonts w:hint="default" w:ascii="宋体" w:hAnsi="宋体" w:eastAsia="宋体" w:cs="宋体"/>
                <w:color w:val="auto"/>
                <w:kern w:val="2"/>
                <w:sz w:val="24"/>
                <w:szCs w:val="24"/>
                <w:highlight w:val="none"/>
                <w:lang w:val="en-US" w:eastAsia="zh-CN" w:bidi="ar-SA"/>
              </w:rPr>
              <w:t>③</w:t>
            </w:r>
            <w:r>
              <w:rPr>
                <w:rFonts w:hint="eastAsia" w:ascii="宋体" w:hAnsi="宋体" w:eastAsia="宋体" w:cs="宋体"/>
                <w:color w:val="auto"/>
                <w:kern w:val="2"/>
                <w:sz w:val="24"/>
                <w:szCs w:val="24"/>
                <w:highlight w:val="none"/>
                <w:lang w:val="en-US" w:eastAsia="zh-CN" w:bidi="ar-SA"/>
              </w:rPr>
              <w:t>考核评定</w:t>
            </w:r>
            <w:r>
              <w:rPr>
                <w:rFonts w:hint="default" w:ascii="宋体" w:hAnsi="宋体" w:eastAsia="宋体" w:cs="宋体"/>
                <w:color w:val="auto"/>
                <w:kern w:val="2"/>
                <w:sz w:val="24"/>
                <w:szCs w:val="24"/>
                <w:highlight w:val="none"/>
                <w:lang w:val="en-US" w:eastAsia="zh-CN" w:bidi="ar-SA"/>
              </w:rPr>
              <w:t>④</w:t>
            </w:r>
            <w:r>
              <w:rPr>
                <w:rFonts w:hint="eastAsia" w:ascii="宋体" w:hAnsi="宋体" w:eastAsia="宋体" w:cs="宋体"/>
                <w:color w:val="auto"/>
                <w:kern w:val="2"/>
                <w:sz w:val="24"/>
                <w:szCs w:val="24"/>
                <w:highlight w:val="none"/>
                <w:lang w:val="en-US" w:eastAsia="zh-CN" w:bidi="ar-SA"/>
              </w:rPr>
              <w:t>绩效挂钩规则</w:t>
            </w:r>
            <w:r>
              <w:rPr>
                <w:rFonts w:hint="eastAsia" w:ascii="宋体" w:eastAsia="宋体" w:cs="宋体"/>
                <w:color w:val="auto"/>
                <w:sz w:val="24"/>
                <w:szCs w:val="24"/>
                <w:highlight w:val="none"/>
                <w:lang w:val="en-US" w:eastAsia="zh-CN"/>
              </w:rPr>
              <w:t>等四方面内容</w:t>
            </w:r>
            <w:r>
              <w:rPr>
                <w:rFonts w:hint="eastAsia" w:ascii="宋体" w:hAnsi="宋体" w:eastAsia="宋体" w:cs="宋体"/>
                <w:color w:val="auto"/>
                <w:kern w:val="2"/>
                <w:sz w:val="24"/>
                <w:szCs w:val="24"/>
                <w:highlight w:val="none"/>
                <w:lang w:val="en-US" w:eastAsia="zh-CN" w:bidi="ar-SA"/>
              </w:rPr>
              <w:t>，</w:t>
            </w:r>
            <w:r>
              <w:rPr>
                <w:rFonts w:hint="eastAsia" w:ascii="宋体" w:eastAsia="宋体" w:cs="宋体"/>
                <w:color w:val="auto"/>
                <w:kern w:val="2"/>
                <w:sz w:val="24"/>
                <w:szCs w:val="24"/>
                <w:highlight w:val="none"/>
                <w:lang w:val="en-US" w:eastAsia="zh-CN" w:bidi="ar-SA"/>
              </w:rPr>
              <w:t>整体</w:t>
            </w:r>
            <w:r>
              <w:rPr>
                <w:rFonts w:hint="eastAsia" w:ascii="宋体" w:hAnsi="宋体" w:eastAsia="宋体" w:cs="宋体"/>
                <w:color w:val="auto"/>
                <w:kern w:val="2"/>
                <w:sz w:val="24"/>
                <w:szCs w:val="24"/>
                <w:highlight w:val="none"/>
                <w:lang w:val="en-US" w:eastAsia="zh-CN" w:bidi="ar-SA"/>
              </w:rPr>
              <w:t>详尽、细致、全面得</w:t>
            </w:r>
            <w:r>
              <w:rPr>
                <w:rFonts w:hint="eastAsia" w:asci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分；每有一项内容存在缺陷扣1分；每缺一项方案内容的扣2分；扣完为止，未提供</w:t>
            </w:r>
            <w:r>
              <w:rPr>
                <w:rFonts w:hint="eastAsia" w:ascii="宋体" w:eastAsia="宋体" w:cs="宋体"/>
                <w:color w:val="auto"/>
                <w:kern w:val="2"/>
                <w:sz w:val="24"/>
                <w:szCs w:val="24"/>
                <w:highlight w:val="none"/>
                <w:lang w:val="en-US" w:eastAsia="zh-CN" w:bidi="ar-SA"/>
              </w:rPr>
              <w:t>考核</w:t>
            </w:r>
            <w:r>
              <w:rPr>
                <w:rFonts w:hint="eastAsia" w:ascii="宋体" w:hAnsi="宋体" w:eastAsia="宋体" w:cs="宋体"/>
                <w:color w:val="auto"/>
                <w:kern w:val="2"/>
                <w:sz w:val="24"/>
                <w:szCs w:val="24"/>
                <w:highlight w:val="none"/>
                <w:lang w:val="en-US" w:eastAsia="zh-CN" w:bidi="ar-SA"/>
              </w:rPr>
              <w:t>制度的不得分。</w:t>
            </w:r>
          </w:p>
          <w:p w14:paraId="24910008">
            <w:pPr>
              <w:pStyle w:val="53"/>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1"/>
                <w:highlight w:val="none"/>
                <w:lang w:val="en-US" w:eastAsia="zh-CN"/>
              </w:rPr>
              <w:t>(内容存在缺陷是指</w:t>
            </w:r>
            <w:r>
              <w:rPr>
                <w:rFonts w:hint="eastAsia" w:ascii="宋体" w:eastAsia="宋体" w:cs="宋体"/>
                <w:b/>
                <w:bCs/>
                <w:color w:val="auto"/>
                <w:sz w:val="24"/>
                <w:szCs w:val="21"/>
                <w:highlight w:val="none"/>
                <w:lang w:val="en-US" w:eastAsia="zh-CN"/>
              </w:rPr>
              <w:t>：</w:t>
            </w:r>
            <w:r>
              <w:rPr>
                <w:rFonts w:hint="eastAsia" w:ascii="宋体" w:hAnsi="宋体" w:eastAsia="宋体" w:cs="宋体"/>
                <w:b/>
                <w:bCs/>
                <w:color w:val="auto"/>
                <w:sz w:val="24"/>
                <w:szCs w:val="21"/>
                <w:highlight w:val="none"/>
                <w:lang w:val="en-US" w:eastAsia="zh-CN"/>
              </w:rPr>
              <w:t>存在不适用该项目实际情况的情形、凭空编造、内容前后不一致、前后逻辑错误、涉及的规范及标准错误、地点区域错误、内容缺失、不符合采购需求的任意一项)</w:t>
            </w:r>
          </w:p>
        </w:tc>
      </w:tr>
      <w:tr w14:paraId="734E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9" w:type="dxa"/>
            <w:vMerge w:val="continue"/>
            <w:vAlign w:val="center"/>
          </w:tcPr>
          <w:p w14:paraId="0520050F">
            <w:pPr>
              <w:pStyle w:val="53"/>
              <w:snapToGrid w:val="0"/>
              <w:ind w:left="0" w:leftChars="0" w:right="0" w:rightChars="0" w:firstLine="0" w:firstLineChars="0"/>
              <w:jc w:val="center"/>
              <w:rPr>
                <w:rFonts w:hint="eastAsia" w:ascii="宋体" w:hAnsi="宋体" w:eastAsia="宋体" w:cs="宋体"/>
                <w:color w:val="auto"/>
                <w:sz w:val="24"/>
                <w:szCs w:val="24"/>
                <w:highlight w:val="none"/>
              </w:rPr>
            </w:pPr>
          </w:p>
        </w:tc>
        <w:tc>
          <w:tcPr>
            <w:tcW w:w="1308" w:type="dxa"/>
            <w:shd w:val="clear" w:color="auto" w:fill="auto"/>
            <w:vAlign w:val="center"/>
          </w:tcPr>
          <w:p w14:paraId="5FCA9027">
            <w:pPr>
              <w:pStyle w:val="53"/>
              <w:snapToGrid w:val="0"/>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w:t>
            </w:r>
          </w:p>
        </w:tc>
        <w:tc>
          <w:tcPr>
            <w:tcW w:w="774" w:type="dxa"/>
            <w:shd w:val="clear" w:color="auto" w:fill="auto"/>
            <w:vAlign w:val="center"/>
          </w:tcPr>
          <w:p w14:paraId="1FF0288D">
            <w:pPr>
              <w:pStyle w:val="53"/>
              <w:snapToGrid w:val="0"/>
              <w:ind w:left="0" w:leftChars="0" w:right="0" w:rightChars="0" w:firstLine="0" w:firstLineChars="0"/>
              <w:jc w:val="center"/>
              <w:rPr>
                <w:rFonts w:hint="default" w:ascii="宋体" w:hAns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10分</w:t>
            </w:r>
          </w:p>
        </w:tc>
        <w:tc>
          <w:tcPr>
            <w:tcW w:w="6723" w:type="dxa"/>
            <w:shd w:val="clear" w:color="auto" w:fill="auto"/>
            <w:vAlign w:val="center"/>
          </w:tcPr>
          <w:p w14:paraId="4D325E56">
            <w:pPr>
              <w:pStyle w:val="53"/>
              <w:snapToGrid w:val="0"/>
              <w:ind w:left="0" w:leftChars="0" w:right="0" w:righ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编制食堂岗前、在岗一体化培训方案，涵盖①培训内容（含食堂食品安全）②培训方式③培训流程④培训时长⑤考核标准等</w:t>
            </w:r>
            <w:r>
              <w:rPr>
                <w:rFonts w:hint="eastAsia" w:ascii="宋体" w:eastAsia="宋体" w:cs="宋体"/>
                <w:color w:val="auto"/>
                <w:kern w:val="2"/>
                <w:sz w:val="24"/>
                <w:szCs w:val="24"/>
                <w:highlight w:val="none"/>
                <w:lang w:val="en-US" w:eastAsia="zh-CN" w:bidi="ar-SA"/>
              </w:rPr>
              <w:t>五</w:t>
            </w:r>
            <w:r>
              <w:rPr>
                <w:rFonts w:hint="default" w:ascii="宋体" w:hAnsi="宋体" w:eastAsia="宋体" w:cs="宋体"/>
                <w:color w:val="auto"/>
                <w:kern w:val="2"/>
                <w:sz w:val="24"/>
                <w:szCs w:val="24"/>
                <w:highlight w:val="none"/>
                <w:lang w:val="en-US" w:eastAsia="zh-CN" w:bidi="ar-SA"/>
              </w:rPr>
              <w:t>方面内容，</w:t>
            </w:r>
            <w:r>
              <w:rPr>
                <w:rFonts w:hint="eastAsia" w:ascii="宋体" w:eastAsia="宋体" w:cs="宋体"/>
                <w:color w:val="auto"/>
                <w:kern w:val="2"/>
                <w:sz w:val="24"/>
                <w:szCs w:val="24"/>
                <w:highlight w:val="none"/>
                <w:lang w:val="en-US" w:eastAsia="zh-CN" w:bidi="ar-SA"/>
              </w:rPr>
              <w:t>整体</w:t>
            </w:r>
            <w:r>
              <w:rPr>
                <w:rFonts w:hint="default" w:ascii="宋体" w:hAnsi="宋体" w:eastAsia="宋体" w:cs="宋体"/>
                <w:color w:val="auto"/>
                <w:kern w:val="2"/>
                <w:sz w:val="24"/>
                <w:szCs w:val="24"/>
                <w:highlight w:val="none"/>
                <w:lang w:val="en-US" w:eastAsia="zh-CN" w:bidi="ar-SA"/>
              </w:rPr>
              <w:t>专业、详尽、全面满足需求得</w:t>
            </w:r>
            <w:r>
              <w:rPr>
                <w:rFonts w:hint="eastAsia" w:ascii="宋体" w:eastAsia="宋体" w:cs="宋体"/>
                <w:color w:val="auto"/>
                <w:kern w:val="2"/>
                <w:sz w:val="24"/>
                <w:szCs w:val="24"/>
                <w:highlight w:val="none"/>
                <w:lang w:val="en-US" w:eastAsia="zh-CN" w:bidi="ar-SA"/>
              </w:rPr>
              <w:t>10</w:t>
            </w:r>
            <w:r>
              <w:rPr>
                <w:rFonts w:hint="default" w:ascii="宋体" w:hAnsi="宋体" w:eastAsia="宋体" w:cs="宋体"/>
                <w:color w:val="auto"/>
                <w:kern w:val="2"/>
                <w:sz w:val="24"/>
                <w:szCs w:val="24"/>
                <w:highlight w:val="none"/>
                <w:lang w:val="en-US" w:eastAsia="zh-CN" w:bidi="ar-SA"/>
              </w:rPr>
              <w:t>分；每有一项内容存在缺陷扣1分；每缺一项方案内容的扣2分；扣完为止，未提供</w:t>
            </w:r>
            <w:r>
              <w:rPr>
                <w:rFonts w:hint="eastAsia" w:ascii="宋体" w:eastAsia="宋体" w:cs="宋体"/>
                <w:color w:val="auto"/>
                <w:kern w:val="2"/>
                <w:sz w:val="24"/>
                <w:szCs w:val="24"/>
                <w:highlight w:val="none"/>
                <w:lang w:val="en-US" w:eastAsia="zh-CN" w:bidi="ar-SA"/>
              </w:rPr>
              <w:t>培训方案</w:t>
            </w:r>
            <w:r>
              <w:rPr>
                <w:rFonts w:hint="default" w:ascii="宋体" w:hAnsi="宋体" w:eastAsia="宋体" w:cs="宋体"/>
                <w:color w:val="auto"/>
                <w:kern w:val="2"/>
                <w:sz w:val="24"/>
                <w:szCs w:val="24"/>
                <w:highlight w:val="none"/>
                <w:lang w:val="en-US" w:eastAsia="zh-CN" w:bidi="ar-SA"/>
              </w:rPr>
              <w:t>的不得分。</w:t>
            </w:r>
          </w:p>
          <w:p w14:paraId="7B6BAD6F">
            <w:pPr>
              <w:pStyle w:val="53"/>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1"/>
                <w:highlight w:val="none"/>
                <w:lang w:val="en-US" w:eastAsia="zh-CN"/>
              </w:rPr>
              <w:t>(内容存在缺陷是指</w:t>
            </w:r>
            <w:r>
              <w:rPr>
                <w:rFonts w:hint="eastAsia" w:ascii="宋体" w:eastAsia="宋体" w:cs="宋体"/>
                <w:b/>
                <w:bCs/>
                <w:color w:val="auto"/>
                <w:sz w:val="24"/>
                <w:szCs w:val="21"/>
                <w:highlight w:val="none"/>
                <w:lang w:val="en-US" w:eastAsia="zh-CN"/>
              </w:rPr>
              <w:t>：</w:t>
            </w:r>
            <w:r>
              <w:rPr>
                <w:rFonts w:hint="eastAsia" w:ascii="宋体" w:hAnsi="宋体" w:eastAsia="宋体" w:cs="宋体"/>
                <w:b/>
                <w:bCs/>
                <w:color w:val="auto"/>
                <w:sz w:val="24"/>
                <w:szCs w:val="21"/>
                <w:highlight w:val="none"/>
                <w:lang w:val="en-US" w:eastAsia="zh-CN"/>
              </w:rPr>
              <w:t>存在不适用该项目实际情况的情形、凭空编造、内容前后不一致、前后逻辑错误、涉及的规范及标准错误、地点区域错误、内容缺失、不符合采购需求的任意一项)</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9" w:type="dxa"/>
            <w:vMerge w:val="continue"/>
            <w:vAlign w:val="center"/>
          </w:tcPr>
          <w:p w14:paraId="43F57702">
            <w:pPr>
              <w:pStyle w:val="53"/>
              <w:snapToGrid w:val="0"/>
              <w:ind w:left="0" w:leftChars="0" w:right="0" w:rightChars="0" w:firstLine="0" w:firstLineChars="0"/>
              <w:jc w:val="center"/>
              <w:rPr>
                <w:rFonts w:hint="eastAsia" w:ascii="宋体" w:hAnsi="宋体" w:eastAsia="宋体" w:cs="宋体"/>
                <w:color w:val="auto"/>
                <w:sz w:val="24"/>
                <w:szCs w:val="24"/>
                <w:highlight w:val="none"/>
              </w:rPr>
            </w:pPr>
          </w:p>
        </w:tc>
        <w:tc>
          <w:tcPr>
            <w:tcW w:w="1308" w:type="dxa"/>
            <w:shd w:val="clear" w:color="auto" w:fill="auto"/>
            <w:vAlign w:val="center"/>
          </w:tcPr>
          <w:p w14:paraId="4009041A">
            <w:pPr>
              <w:pStyle w:val="53"/>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应急预案</w:t>
            </w:r>
          </w:p>
        </w:tc>
        <w:tc>
          <w:tcPr>
            <w:tcW w:w="774" w:type="dxa"/>
            <w:shd w:val="clear" w:color="auto" w:fill="auto"/>
            <w:vAlign w:val="center"/>
          </w:tcPr>
          <w:p w14:paraId="56908100">
            <w:pPr>
              <w:pStyle w:val="53"/>
              <w:snapToGrid w:val="0"/>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6723" w:type="dxa"/>
            <w:shd w:val="clear" w:color="auto" w:fill="auto"/>
            <w:vAlign w:val="center"/>
          </w:tcPr>
          <w:p w14:paraId="02770513">
            <w:pPr>
              <w:pStyle w:val="53"/>
              <w:snapToGrid w:val="0"/>
              <w:ind w:left="0" w:leftChars="0" w:right="0" w:rightChars="0" w:firstLine="0" w:firstLine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编制食堂全覆盖应急预案，每类预案均含</w:t>
            </w:r>
            <w:r>
              <w:rPr>
                <w:rFonts w:hint="eastAsia" w:asci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应急准备、应急响应、应急处置、应急恢复</w:t>
            </w:r>
            <w:r>
              <w:rPr>
                <w:rFonts w:hint="eastAsia" w:asci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，核心预案包括：①食堂食品安全或燃气泄漏；②突发防疫或自然灾害或大型活动食堂保障；整体详尽全面得8分，</w:t>
            </w:r>
            <w:r>
              <w:rPr>
                <w:rFonts w:hint="default" w:ascii="宋体" w:hAnsi="宋体" w:eastAsia="宋体" w:cs="宋体"/>
                <w:color w:val="auto"/>
                <w:kern w:val="2"/>
                <w:sz w:val="24"/>
                <w:szCs w:val="24"/>
                <w:highlight w:val="none"/>
                <w:lang w:val="en-US" w:eastAsia="zh-CN" w:bidi="ar-SA"/>
              </w:rPr>
              <w:t>每有一项内容存在缺陷扣</w:t>
            </w:r>
            <w:r>
              <w:rPr>
                <w:rFonts w:hint="eastAsia" w:asci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分；每缺一项方案内容的扣</w:t>
            </w:r>
            <w:r>
              <w:rPr>
                <w:rFonts w:hint="eastAsia" w:ascii="宋体" w:eastAsia="宋体"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分；扣完为止，未提供</w:t>
            </w:r>
            <w:r>
              <w:rPr>
                <w:rFonts w:hint="eastAsia" w:ascii="宋体" w:eastAsia="宋体" w:cs="宋体"/>
                <w:color w:val="auto"/>
                <w:kern w:val="2"/>
                <w:sz w:val="24"/>
                <w:szCs w:val="24"/>
                <w:highlight w:val="none"/>
                <w:lang w:val="en-US" w:eastAsia="zh-CN" w:bidi="ar-SA"/>
              </w:rPr>
              <w:t>应急预案</w:t>
            </w:r>
            <w:r>
              <w:rPr>
                <w:rFonts w:hint="default" w:ascii="宋体" w:hAnsi="宋体" w:eastAsia="宋体" w:cs="宋体"/>
                <w:color w:val="auto"/>
                <w:kern w:val="2"/>
                <w:sz w:val="24"/>
                <w:szCs w:val="24"/>
                <w:highlight w:val="none"/>
                <w:lang w:val="en-US" w:eastAsia="zh-CN" w:bidi="ar-SA"/>
              </w:rPr>
              <w:t>的不得分。</w:t>
            </w:r>
          </w:p>
          <w:p w14:paraId="4ADA2F4F">
            <w:pPr>
              <w:pStyle w:val="53"/>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1"/>
                <w:highlight w:val="none"/>
                <w:lang w:val="en-US" w:eastAsia="zh-CN"/>
              </w:rPr>
              <w:t>(内容存在缺陷是指</w:t>
            </w:r>
            <w:r>
              <w:rPr>
                <w:rFonts w:hint="eastAsia" w:ascii="宋体" w:eastAsia="宋体" w:cs="宋体"/>
                <w:b/>
                <w:bCs/>
                <w:color w:val="auto"/>
                <w:sz w:val="24"/>
                <w:szCs w:val="21"/>
                <w:highlight w:val="none"/>
                <w:lang w:val="en-US" w:eastAsia="zh-CN"/>
              </w:rPr>
              <w:t>：</w:t>
            </w:r>
            <w:r>
              <w:rPr>
                <w:rFonts w:hint="eastAsia" w:ascii="宋体" w:hAnsi="宋体" w:eastAsia="宋体" w:cs="宋体"/>
                <w:b/>
                <w:bCs/>
                <w:color w:val="auto"/>
                <w:sz w:val="24"/>
                <w:szCs w:val="21"/>
                <w:highlight w:val="none"/>
                <w:lang w:val="en-US" w:eastAsia="zh-CN"/>
              </w:rPr>
              <w:t>存在不适用该项目实际情况的情形、凭空编造、内容前后不一致、前后逻辑错误、涉及的规范及标准错误、地点区域错误、内容缺失、不符合采购需求的任意一项)</w:t>
            </w:r>
          </w:p>
        </w:tc>
      </w:tr>
      <w:tr w14:paraId="31C9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29" w:type="dxa"/>
            <w:vMerge w:val="continue"/>
            <w:vAlign w:val="center"/>
          </w:tcPr>
          <w:p w14:paraId="0B240934">
            <w:pPr>
              <w:pStyle w:val="53"/>
              <w:snapToGrid w:val="0"/>
              <w:ind w:left="0" w:leftChars="0" w:right="0" w:rightChars="0" w:firstLine="0" w:firstLineChars="0"/>
              <w:jc w:val="center"/>
              <w:rPr>
                <w:rFonts w:hint="eastAsia" w:ascii="宋体" w:hAnsi="宋体" w:eastAsia="宋体" w:cs="宋体"/>
                <w:color w:val="auto"/>
                <w:sz w:val="24"/>
                <w:szCs w:val="24"/>
                <w:highlight w:val="none"/>
              </w:rPr>
            </w:pPr>
          </w:p>
        </w:tc>
        <w:tc>
          <w:tcPr>
            <w:tcW w:w="1308" w:type="dxa"/>
            <w:shd w:val="clear" w:color="auto" w:fill="auto"/>
            <w:vAlign w:val="center"/>
          </w:tcPr>
          <w:p w14:paraId="72E8F804">
            <w:pPr>
              <w:pStyle w:val="53"/>
              <w:snapToGrid w:val="0"/>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履约承诺</w:t>
            </w:r>
          </w:p>
        </w:tc>
        <w:tc>
          <w:tcPr>
            <w:tcW w:w="774" w:type="dxa"/>
            <w:shd w:val="clear" w:color="auto" w:fill="auto"/>
            <w:vAlign w:val="center"/>
          </w:tcPr>
          <w:p w14:paraId="3DD08933">
            <w:pPr>
              <w:pStyle w:val="53"/>
              <w:snapToGrid w:val="0"/>
              <w:ind w:left="0" w:leftChars="0" w:right="0" w:rightChars="0" w:firstLine="0" w:firstLineChars="0"/>
              <w:jc w:val="center"/>
              <w:rPr>
                <w:rFonts w:hint="default" w:ascii="宋体" w:hAns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8分</w:t>
            </w:r>
          </w:p>
        </w:tc>
        <w:tc>
          <w:tcPr>
            <w:tcW w:w="6723" w:type="dxa"/>
            <w:shd w:val="clear" w:color="auto" w:fill="auto"/>
            <w:vAlign w:val="center"/>
          </w:tcPr>
          <w:p w14:paraId="081EB57F">
            <w:pPr>
              <w:pStyle w:val="53"/>
              <w:snapToGrid w:val="0"/>
              <w:ind w:left="0" w:leftChars="0" w:right="0" w:righ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针对食堂服务项目编制履约承诺，需匹配人员配置、成本参数，包含</w:t>
            </w:r>
            <w:r>
              <w:rPr>
                <w:rFonts w:hint="eastAsia" w:ascii="宋体" w:hAnsi="宋体" w:eastAsia="宋体" w:cs="宋体"/>
                <w:color w:val="auto"/>
                <w:kern w:val="2"/>
                <w:sz w:val="24"/>
                <w:szCs w:val="24"/>
                <w:highlight w:val="none"/>
                <w:lang w:val="en-US" w:eastAsia="zh-CN" w:bidi="ar-SA"/>
              </w:rPr>
              <w:t>①</w:t>
            </w:r>
            <w:r>
              <w:rPr>
                <w:rFonts w:hint="default" w:ascii="宋体" w:hAnsi="宋体" w:eastAsia="宋体" w:cs="宋体"/>
                <w:color w:val="auto"/>
                <w:kern w:val="2"/>
                <w:sz w:val="24"/>
                <w:szCs w:val="24"/>
                <w:highlight w:val="none"/>
                <w:lang w:val="en-US" w:eastAsia="zh-CN" w:bidi="ar-SA"/>
              </w:rPr>
              <w:t>人员配置足额到岗承诺</w:t>
            </w:r>
            <w:r>
              <w:rPr>
                <w:rFonts w:hint="eastAsia" w:ascii="宋体" w:hAnsi="宋体" w:eastAsia="宋体" w:cs="宋体"/>
                <w:color w:val="auto"/>
                <w:kern w:val="2"/>
                <w:sz w:val="24"/>
                <w:szCs w:val="24"/>
                <w:highlight w:val="none"/>
                <w:lang w:val="en-US" w:eastAsia="zh-CN" w:bidi="ar-SA"/>
              </w:rPr>
              <w:t>②</w:t>
            </w:r>
            <w:r>
              <w:rPr>
                <w:rFonts w:hint="default" w:ascii="宋体" w:hAnsi="宋体" w:eastAsia="宋体" w:cs="宋体"/>
                <w:color w:val="auto"/>
                <w:kern w:val="2"/>
                <w:sz w:val="24"/>
                <w:szCs w:val="24"/>
                <w:highlight w:val="none"/>
                <w:lang w:val="en-US" w:eastAsia="zh-CN" w:bidi="ar-SA"/>
              </w:rPr>
              <w:t>考核或服务标准达标承诺③断档期（缺员或休假）服务保障承诺④食品安全责任承诺等</w:t>
            </w:r>
            <w:r>
              <w:rPr>
                <w:rFonts w:hint="eastAsia" w:ascii="宋体" w:eastAsia="宋体" w:cs="宋体"/>
                <w:color w:val="auto"/>
                <w:kern w:val="2"/>
                <w:sz w:val="24"/>
                <w:szCs w:val="24"/>
                <w:highlight w:val="none"/>
                <w:lang w:val="en-US" w:eastAsia="zh-CN" w:bidi="ar-SA"/>
              </w:rPr>
              <w:t>四</w:t>
            </w:r>
            <w:r>
              <w:rPr>
                <w:rFonts w:hint="default" w:ascii="宋体" w:hAnsi="宋体" w:eastAsia="宋体" w:cs="宋体"/>
                <w:color w:val="auto"/>
                <w:kern w:val="2"/>
                <w:sz w:val="24"/>
                <w:szCs w:val="24"/>
                <w:highlight w:val="none"/>
                <w:lang w:val="en-US" w:eastAsia="zh-CN" w:bidi="ar-SA"/>
              </w:rPr>
              <w:t>方面内容，</w:t>
            </w:r>
            <w:r>
              <w:rPr>
                <w:rFonts w:hint="eastAsia" w:ascii="宋体" w:eastAsia="宋体" w:cs="宋体"/>
                <w:color w:val="auto"/>
                <w:kern w:val="2"/>
                <w:sz w:val="24"/>
                <w:szCs w:val="24"/>
                <w:highlight w:val="none"/>
                <w:lang w:val="en-US" w:eastAsia="zh-CN" w:bidi="ar-SA"/>
              </w:rPr>
              <w:t>整体</w:t>
            </w:r>
            <w:r>
              <w:rPr>
                <w:rFonts w:hint="default" w:ascii="宋体" w:hAnsi="宋体" w:eastAsia="宋体" w:cs="宋体"/>
                <w:color w:val="auto"/>
                <w:kern w:val="2"/>
                <w:sz w:val="24"/>
                <w:szCs w:val="24"/>
                <w:highlight w:val="none"/>
                <w:lang w:val="en-US" w:eastAsia="zh-CN" w:bidi="ar-SA"/>
              </w:rPr>
              <w:t>详尽全面得</w:t>
            </w:r>
            <w:r>
              <w:rPr>
                <w:rFonts w:hint="eastAsia" w:ascii="宋体" w:eastAsia="宋体" w:cs="宋体"/>
                <w:color w:val="auto"/>
                <w:kern w:val="2"/>
                <w:sz w:val="24"/>
                <w:szCs w:val="24"/>
                <w:highlight w:val="none"/>
                <w:lang w:val="en-US" w:eastAsia="zh-CN" w:bidi="ar-SA"/>
              </w:rPr>
              <w:t>8</w:t>
            </w:r>
            <w:r>
              <w:rPr>
                <w:rFonts w:hint="default" w:ascii="宋体" w:hAnsi="宋体" w:eastAsia="宋体" w:cs="宋体"/>
                <w:color w:val="auto"/>
                <w:kern w:val="2"/>
                <w:sz w:val="24"/>
                <w:szCs w:val="24"/>
                <w:highlight w:val="none"/>
                <w:lang w:val="en-US" w:eastAsia="zh-CN" w:bidi="ar-SA"/>
              </w:rPr>
              <w:t>分；每有一项内容存在缺陷扣</w:t>
            </w:r>
            <w:r>
              <w:rPr>
                <w:rFonts w:hint="eastAsia" w:asci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分；每缺一项方案内容的扣</w:t>
            </w:r>
            <w:r>
              <w:rPr>
                <w:rFonts w:hint="eastAsia" w:asci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分；扣完为止，未提供</w:t>
            </w:r>
            <w:r>
              <w:rPr>
                <w:rFonts w:hint="eastAsia" w:ascii="宋体" w:eastAsia="宋体" w:cs="宋体"/>
                <w:color w:val="auto"/>
                <w:kern w:val="2"/>
                <w:sz w:val="24"/>
                <w:szCs w:val="24"/>
                <w:highlight w:val="none"/>
                <w:lang w:val="en-US" w:eastAsia="zh-CN" w:bidi="ar-SA"/>
              </w:rPr>
              <w:t>履约承诺</w:t>
            </w:r>
            <w:r>
              <w:rPr>
                <w:rFonts w:hint="default" w:ascii="宋体" w:hAnsi="宋体" w:eastAsia="宋体" w:cs="宋体"/>
                <w:color w:val="auto"/>
                <w:kern w:val="2"/>
                <w:sz w:val="24"/>
                <w:szCs w:val="24"/>
                <w:highlight w:val="none"/>
                <w:lang w:val="en-US" w:eastAsia="zh-CN" w:bidi="ar-SA"/>
              </w:rPr>
              <w:t>的不得分。</w:t>
            </w:r>
          </w:p>
          <w:p w14:paraId="0B0023BA">
            <w:pPr>
              <w:pStyle w:val="53"/>
              <w:snapToGrid w:val="0"/>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1"/>
                <w:highlight w:val="none"/>
                <w:lang w:val="en-US" w:eastAsia="zh-CN"/>
              </w:rPr>
              <w:t>(内容存在缺陷是指</w:t>
            </w:r>
            <w:r>
              <w:rPr>
                <w:rFonts w:hint="eastAsia" w:ascii="宋体" w:eastAsia="宋体" w:cs="宋体"/>
                <w:b/>
                <w:bCs/>
                <w:color w:val="auto"/>
                <w:sz w:val="24"/>
                <w:szCs w:val="21"/>
                <w:highlight w:val="none"/>
                <w:lang w:val="en-US" w:eastAsia="zh-CN"/>
              </w:rPr>
              <w:t>：</w:t>
            </w:r>
            <w:r>
              <w:rPr>
                <w:rFonts w:hint="eastAsia" w:ascii="宋体" w:hAnsi="宋体" w:eastAsia="宋体" w:cs="宋体"/>
                <w:b/>
                <w:bCs/>
                <w:color w:val="auto"/>
                <w:sz w:val="24"/>
                <w:szCs w:val="21"/>
                <w:highlight w:val="none"/>
                <w:lang w:val="en-US" w:eastAsia="zh-CN"/>
              </w:rPr>
              <w:t>存在不适用该项目实际情况的情形、凭空编造、内容前后不一致、前后逻辑错误、涉及的规范及标准错误、地点区域错误、内容缺失、不符合采购需求的任意一项)</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37" w:type="dxa"/>
            <w:gridSpan w:val="2"/>
            <w:vAlign w:val="center"/>
          </w:tcPr>
          <w:p w14:paraId="1F1436FF">
            <w:pPr>
              <w:pStyle w:val="53"/>
              <w:snapToGrid w:val="0"/>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c>
          <w:tcPr>
            <w:tcW w:w="774" w:type="dxa"/>
            <w:tcBorders>
              <w:bottom w:val="single" w:color="auto" w:sz="4" w:space="0"/>
            </w:tcBorders>
            <w:vAlign w:val="center"/>
          </w:tcPr>
          <w:p w14:paraId="2C7F1184">
            <w:pPr>
              <w:pStyle w:val="53"/>
              <w:snapToGrid w:val="0"/>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=SUM(ABOVE)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100</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lang w:val="en-US" w:eastAsia="zh-CN"/>
              </w:rPr>
              <w:t>分</w:t>
            </w:r>
          </w:p>
        </w:tc>
        <w:tc>
          <w:tcPr>
            <w:tcW w:w="6723" w:type="dxa"/>
            <w:tcBorders>
              <w:bottom w:val="single" w:color="auto" w:sz="4" w:space="0"/>
            </w:tcBorders>
            <w:vAlign w:val="center"/>
          </w:tcPr>
          <w:p w14:paraId="7EBD69F8">
            <w:pPr>
              <w:pStyle w:val="53"/>
              <w:snapToGrid w:val="0"/>
              <w:ind w:left="0" w:leftChars="0" w:right="0" w:rightChars="0" w:firstLine="0" w:firstLineChars="0"/>
              <w:jc w:val="right"/>
              <w:rPr>
                <w:rFonts w:hint="eastAsia" w:ascii="宋体" w:hAnsi="宋体" w:eastAsia="宋体" w:cs="宋体"/>
                <w:b/>
                <w:color w:val="auto"/>
                <w:sz w:val="24"/>
                <w:szCs w:val="21"/>
                <w:highlight w:val="none"/>
              </w:rPr>
            </w:pPr>
          </w:p>
        </w:tc>
      </w:tr>
    </w:tbl>
    <w:p w14:paraId="25352818">
      <w:pPr>
        <w:pStyle w:val="41"/>
        <w:rPr>
          <w:rFonts w:hint="eastAsia"/>
          <w:color w:val="auto"/>
          <w:highlight w:val="none"/>
        </w:rPr>
      </w:pPr>
    </w:p>
    <w:p w14:paraId="6A4A83FA">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411437B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396" w:name="_Toc3803"/>
      <w:r>
        <w:rPr>
          <w:rFonts w:hint="eastAsia" w:ascii="宋体" w:hAnsi="宋体" w:eastAsia="宋体" w:cs="宋体"/>
          <w:b/>
          <w:bCs/>
          <w:color w:val="auto"/>
          <w:kern w:val="44"/>
          <w:sz w:val="36"/>
          <w:szCs w:val="36"/>
          <w:highlight w:val="none"/>
          <w:lang w:val="zh-CN" w:eastAsia="zh-CN" w:bidi="ar-SA"/>
        </w:rPr>
        <w:t>第六章 合同草案</w:t>
      </w:r>
      <w:bookmarkEnd w:id="396"/>
    </w:p>
    <w:p w14:paraId="5CF7B029">
      <w:pPr>
        <w:wordWrap w:val="0"/>
        <w:jc w:val="both"/>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4"/>
        <w:spacing w:after="0"/>
        <w:jc w:val="center"/>
        <w:rPr>
          <w:rFonts w:ascii="宋体" w:hAnsi="宋体" w:cs="宋体"/>
          <w:b/>
          <w:bCs/>
          <w:color w:val="auto"/>
          <w:spacing w:val="-20"/>
          <w:kern w:val="44"/>
          <w:sz w:val="48"/>
          <w:szCs w:val="48"/>
          <w:highlight w:val="none"/>
        </w:rPr>
      </w:pPr>
      <w:bookmarkStart w:id="397" w:name="_Toc3995"/>
    </w:p>
    <w:p w14:paraId="3B059C39">
      <w:pPr>
        <w:pStyle w:val="14"/>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98" w:name="_Toc8451"/>
      <w:bookmarkStart w:id="399" w:name="_Toc27174"/>
      <w:bookmarkStart w:id="400" w:name="_Toc3714"/>
      <w:r>
        <w:rPr>
          <w:rFonts w:hint="eastAsia" w:ascii="宋体" w:hAnsi="宋体" w:eastAsia="宋体" w:cs="宋体"/>
          <w:b/>
          <w:bCs/>
          <w:color w:val="auto"/>
          <w:spacing w:val="-20"/>
          <w:kern w:val="44"/>
          <w:sz w:val="44"/>
          <w:szCs w:val="44"/>
          <w:highlight w:val="none"/>
          <w:lang w:val="en-US" w:eastAsia="zh-CN" w:bidi="ar-SA"/>
        </w:rPr>
        <w:t>政府采购合同参考范本</w:t>
      </w:r>
      <w:bookmarkEnd w:id="398"/>
      <w:bookmarkEnd w:id="399"/>
      <w:bookmarkEnd w:id="400"/>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401" w:name="_Toc9050"/>
      <w:bookmarkStart w:id="402" w:name="_Toc23807"/>
      <w:bookmarkStart w:id="403" w:name="_Toc8560"/>
      <w:r>
        <w:rPr>
          <w:rFonts w:hint="eastAsia" w:ascii="宋体" w:hAnsi="宋体" w:eastAsia="宋体" w:cs="宋体"/>
          <w:b/>
          <w:bCs/>
          <w:color w:val="auto"/>
          <w:spacing w:val="-20"/>
          <w:kern w:val="44"/>
          <w:sz w:val="44"/>
          <w:szCs w:val="44"/>
          <w:highlight w:val="none"/>
          <w:lang w:val="en-US" w:eastAsia="zh-CN" w:bidi="ar-SA"/>
        </w:rPr>
        <w:t>（服务类）</w:t>
      </w:r>
      <w:bookmarkEnd w:id="401"/>
      <w:bookmarkEnd w:id="402"/>
      <w:bookmarkEnd w:id="403"/>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404" w:name="_Toc18509"/>
      <w:bookmarkStart w:id="405" w:name="_Toc2449"/>
      <w:bookmarkStart w:id="406" w:name="_Toc27541"/>
      <w:r>
        <w:rPr>
          <w:rFonts w:hint="eastAsia" w:ascii="宋体" w:hAnsi="宋体" w:eastAsia="宋体" w:cs="宋体"/>
          <w:b/>
          <w:color w:val="auto"/>
          <w:sz w:val="36"/>
          <w:szCs w:val="36"/>
          <w:highlight w:val="none"/>
        </w:rPr>
        <w:t>第一部分 合同书</w:t>
      </w:r>
      <w:bookmarkEnd w:id="404"/>
      <w:bookmarkEnd w:id="405"/>
      <w:bookmarkEnd w:id="406"/>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4"/>
        <w:rPr>
          <w:color w:val="auto"/>
          <w:highlight w:val="none"/>
        </w:rPr>
      </w:pPr>
    </w:p>
    <w:p w14:paraId="69570DA0">
      <w:pPr>
        <w:pStyle w:val="14"/>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407" w:name="_Toc2232"/>
      <w:bookmarkStart w:id="408" w:name="_Toc24059"/>
      <w:bookmarkStart w:id="409" w:name="_Toc3029"/>
      <w:bookmarkStart w:id="410" w:name="_Toc4429"/>
      <w:r>
        <w:rPr>
          <w:rFonts w:hint="eastAsia" w:ascii="宋体" w:hAnsi="宋体" w:eastAsia="宋体" w:cs="宋体"/>
          <w:b/>
          <w:bCs/>
          <w:color w:val="auto"/>
          <w:sz w:val="24"/>
          <w:szCs w:val="24"/>
          <w:highlight w:val="none"/>
          <w:lang w:val="zh-CN"/>
        </w:rPr>
        <w:t>1.1 合同组成部分</w:t>
      </w:r>
      <w:bookmarkEnd w:id="407"/>
      <w:bookmarkEnd w:id="408"/>
      <w:bookmarkEnd w:id="409"/>
      <w:bookmarkEnd w:id="410"/>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411" w:name="_Toc2918"/>
      <w:bookmarkStart w:id="412" w:name="_Toc6773"/>
      <w:bookmarkStart w:id="413" w:name="_Toc6311"/>
      <w:bookmarkStart w:id="414" w:name="_Toc18585"/>
      <w:bookmarkStart w:id="415" w:name="_Toc22185"/>
      <w:bookmarkStart w:id="416" w:name="_Toc7044"/>
      <w:r>
        <w:rPr>
          <w:rFonts w:hint="eastAsia" w:ascii="宋体" w:hAnsi="宋体" w:eastAsia="宋体" w:cs="宋体"/>
          <w:b/>
          <w:bCs/>
          <w:color w:val="auto"/>
          <w:sz w:val="24"/>
          <w:szCs w:val="24"/>
          <w:highlight w:val="none"/>
          <w:lang w:val="zh-CN"/>
        </w:rPr>
        <w:t xml:space="preserve">1.2 </w:t>
      </w:r>
      <w:bookmarkEnd w:id="411"/>
      <w:bookmarkEnd w:id="412"/>
      <w:bookmarkEnd w:id="413"/>
      <w:bookmarkEnd w:id="414"/>
      <w:bookmarkEnd w:id="415"/>
      <w:r>
        <w:rPr>
          <w:rFonts w:hint="eastAsia" w:ascii="宋体" w:hAnsi="宋体" w:eastAsia="宋体" w:cs="宋体"/>
          <w:b/>
          <w:bCs/>
          <w:color w:val="auto"/>
          <w:sz w:val="24"/>
          <w:szCs w:val="24"/>
          <w:highlight w:val="none"/>
          <w:lang w:val="zh-CN"/>
        </w:rPr>
        <w:t>服务</w:t>
      </w:r>
      <w:bookmarkEnd w:id="416"/>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17" w:name="_Toc21631"/>
      <w:bookmarkStart w:id="418" w:name="_Toc23292"/>
      <w:bookmarkStart w:id="419" w:name="_Toc21551"/>
      <w:bookmarkStart w:id="420" w:name="_Toc31596"/>
      <w:r>
        <w:rPr>
          <w:rFonts w:hint="eastAsia" w:ascii="宋体" w:hAnsi="宋体" w:eastAsia="宋体" w:cs="宋体"/>
          <w:b/>
          <w:bCs/>
          <w:color w:val="auto"/>
          <w:sz w:val="24"/>
          <w:szCs w:val="24"/>
          <w:highlight w:val="none"/>
          <w:lang w:val="zh-CN"/>
        </w:rPr>
        <w:t>1.3 价款</w:t>
      </w:r>
      <w:bookmarkEnd w:id="417"/>
      <w:bookmarkEnd w:id="418"/>
      <w:bookmarkEnd w:id="419"/>
      <w:bookmarkEnd w:id="420"/>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21" w:name="_Toc10340"/>
      <w:bookmarkStart w:id="422" w:name="_Toc5498"/>
      <w:bookmarkStart w:id="423" w:name="_Toc22618"/>
      <w:bookmarkStart w:id="424" w:name="_Toc1814"/>
      <w:r>
        <w:rPr>
          <w:rFonts w:hint="eastAsia" w:ascii="宋体" w:hAnsi="宋体" w:eastAsia="宋体" w:cs="宋体"/>
          <w:b/>
          <w:bCs/>
          <w:color w:val="auto"/>
          <w:sz w:val="24"/>
          <w:szCs w:val="24"/>
          <w:highlight w:val="none"/>
          <w:lang w:val="zh-CN"/>
        </w:rPr>
        <w:t>1.4 付款方式和发票开具方式</w:t>
      </w:r>
      <w:bookmarkEnd w:id="421"/>
      <w:bookmarkEnd w:id="422"/>
      <w:bookmarkEnd w:id="423"/>
      <w:bookmarkEnd w:id="424"/>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25" w:name="_Toc14771"/>
      <w:bookmarkStart w:id="426" w:name="_Toc19304"/>
      <w:bookmarkStart w:id="427" w:name="_Toc32071"/>
      <w:bookmarkStart w:id="428" w:name="_Toc2846"/>
      <w:r>
        <w:rPr>
          <w:rFonts w:hint="eastAsia" w:ascii="宋体" w:hAnsi="宋体" w:eastAsia="宋体" w:cs="宋体"/>
          <w:b/>
          <w:bCs/>
          <w:color w:val="auto"/>
          <w:sz w:val="24"/>
          <w:szCs w:val="24"/>
          <w:highlight w:val="none"/>
          <w:lang w:val="zh-CN"/>
        </w:rPr>
        <w:t>1.5 服务期限、地点和方式</w:t>
      </w:r>
      <w:bookmarkEnd w:id="425"/>
      <w:bookmarkEnd w:id="426"/>
      <w:bookmarkEnd w:id="427"/>
      <w:bookmarkEnd w:id="428"/>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29" w:name="_Toc27250"/>
      <w:bookmarkStart w:id="430" w:name="_Toc19554"/>
      <w:bookmarkStart w:id="431" w:name="_Toc21423"/>
      <w:bookmarkStart w:id="432" w:name="_Toc22220"/>
      <w:r>
        <w:rPr>
          <w:rFonts w:hint="eastAsia" w:ascii="宋体" w:hAnsi="宋体" w:eastAsia="宋体" w:cs="宋体"/>
          <w:b/>
          <w:bCs/>
          <w:color w:val="auto"/>
          <w:sz w:val="24"/>
          <w:szCs w:val="24"/>
          <w:highlight w:val="none"/>
          <w:lang w:val="zh-CN"/>
        </w:rPr>
        <w:t>1.6 违约责任</w:t>
      </w:r>
      <w:bookmarkEnd w:id="429"/>
      <w:bookmarkEnd w:id="430"/>
      <w:bookmarkEnd w:id="431"/>
      <w:bookmarkEnd w:id="432"/>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33" w:name="_Toc28375"/>
      <w:bookmarkStart w:id="434" w:name="_Toc32610"/>
      <w:bookmarkStart w:id="435" w:name="_Toc16021"/>
      <w:bookmarkStart w:id="436" w:name="_Toc15583"/>
      <w:r>
        <w:rPr>
          <w:rFonts w:hint="eastAsia" w:ascii="宋体" w:hAnsi="宋体" w:eastAsia="宋体" w:cs="宋体"/>
          <w:b/>
          <w:bCs/>
          <w:color w:val="auto"/>
          <w:sz w:val="24"/>
          <w:szCs w:val="24"/>
          <w:highlight w:val="none"/>
          <w:lang w:val="zh-CN"/>
        </w:rPr>
        <w:t>1.7 合同争议的解决</w:t>
      </w:r>
      <w:bookmarkEnd w:id="433"/>
      <w:bookmarkEnd w:id="434"/>
      <w:bookmarkEnd w:id="435"/>
      <w:bookmarkEnd w:id="436"/>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37" w:name="_Toc11173"/>
      <w:bookmarkStart w:id="438" w:name="_Toc28273"/>
      <w:bookmarkStart w:id="439" w:name="_Toc15322"/>
      <w:bookmarkStart w:id="440" w:name="_Toc7245"/>
      <w:r>
        <w:rPr>
          <w:rFonts w:hint="eastAsia" w:ascii="宋体" w:hAnsi="宋体" w:eastAsia="宋体" w:cs="宋体"/>
          <w:b/>
          <w:bCs/>
          <w:color w:val="auto"/>
          <w:sz w:val="24"/>
          <w:szCs w:val="24"/>
          <w:highlight w:val="none"/>
          <w:lang w:val="zh-CN"/>
        </w:rPr>
        <w:t>1.8 合同生效</w:t>
      </w:r>
      <w:bookmarkEnd w:id="437"/>
      <w:bookmarkEnd w:id="438"/>
      <w:bookmarkEnd w:id="439"/>
      <w:bookmarkEnd w:id="440"/>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41"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42"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42"/>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43" w:name="_Toc12682"/>
      <w:bookmarkStart w:id="444" w:name="_Toc28030"/>
      <w:bookmarkStart w:id="445" w:name="_Toc415"/>
      <w:r>
        <w:rPr>
          <w:rFonts w:hint="eastAsia" w:ascii="宋体" w:hAnsi="宋体" w:eastAsia="宋体" w:cs="宋体"/>
          <w:b/>
          <w:color w:val="auto"/>
          <w:sz w:val="36"/>
          <w:szCs w:val="36"/>
          <w:highlight w:val="none"/>
        </w:rPr>
        <w:t>第二部分 合同一般条款</w:t>
      </w:r>
      <w:bookmarkEnd w:id="441"/>
      <w:bookmarkEnd w:id="443"/>
      <w:bookmarkEnd w:id="444"/>
      <w:bookmarkEnd w:id="445"/>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46" w:name="_Toc279701240"/>
      <w:bookmarkStart w:id="447" w:name="_Toc487900349"/>
      <w:bookmarkStart w:id="448" w:name="_Ref467378463"/>
      <w:bookmarkStart w:id="449" w:name="_Ref467379101"/>
      <w:bookmarkStart w:id="450" w:name="_Toc19614"/>
      <w:bookmarkStart w:id="451" w:name="_Ref467378499"/>
      <w:bookmarkStart w:id="452" w:name="_Toc28763"/>
      <w:bookmarkStart w:id="453" w:name="_Ref467378404"/>
      <w:bookmarkStart w:id="454" w:name="_Toc259093669"/>
      <w:bookmarkStart w:id="455" w:name="_Toc14232"/>
      <w:bookmarkStart w:id="456" w:name="_Ref467379225"/>
      <w:bookmarkStart w:id="457" w:name="_Ref467379109"/>
      <w:bookmarkStart w:id="458" w:name="_Ref467379205"/>
      <w:bookmarkStart w:id="459" w:name="_Ref467379214"/>
      <w:bookmarkStart w:id="460" w:name="_Toc16917"/>
      <w:bookmarkStart w:id="461" w:name="_Ref467379094"/>
      <w:bookmarkStart w:id="462" w:name="_Ref467379195"/>
      <w:r>
        <w:rPr>
          <w:rFonts w:hint="eastAsia" w:ascii="宋体" w:hAnsi="宋体" w:eastAsia="宋体" w:cs="宋体"/>
          <w:b/>
          <w:bCs/>
          <w:i w:val="0"/>
          <w:iCs w:val="0"/>
          <w:color w:val="auto"/>
          <w:sz w:val="24"/>
          <w:szCs w:val="24"/>
          <w:highlight w:val="none"/>
          <w:lang w:val="zh-CN"/>
        </w:rPr>
        <w:t>2.1 定义</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463" w:name="_Ref467378840"/>
      <w:r>
        <w:rPr>
          <w:rFonts w:hint="eastAsia" w:ascii="宋体" w:hAnsi="宋体" w:eastAsia="宋体" w:cs="宋体"/>
          <w:i w:val="0"/>
          <w:iCs w:val="0"/>
          <w:color w:val="auto"/>
          <w:sz w:val="24"/>
          <w:szCs w:val="24"/>
          <w:highlight w:val="none"/>
        </w:rPr>
        <w:t>2.1.4“甲方”系指与中标人签署合同的采购人</w:t>
      </w:r>
      <w:bookmarkEnd w:id="463"/>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464" w:name="_Ref467379400"/>
      <w:r>
        <w:rPr>
          <w:rFonts w:hint="eastAsia" w:ascii="宋体" w:hAnsi="宋体" w:eastAsia="宋体" w:cs="宋体"/>
          <w:i w:val="0"/>
          <w:iCs w:val="0"/>
          <w:color w:val="auto"/>
          <w:sz w:val="24"/>
          <w:szCs w:val="24"/>
          <w:highlight w:val="none"/>
        </w:rPr>
        <w:t>2.1.5“乙方”系指根据合同约定提供服务的中标人</w:t>
      </w:r>
      <w:bookmarkEnd w:id="464"/>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465" w:name="_Ref467379436"/>
      <w:r>
        <w:rPr>
          <w:rFonts w:hint="eastAsia" w:ascii="宋体" w:hAnsi="宋体" w:eastAsia="宋体" w:cs="宋体"/>
          <w:i w:val="0"/>
          <w:iCs w:val="0"/>
          <w:color w:val="auto"/>
          <w:sz w:val="24"/>
          <w:szCs w:val="24"/>
          <w:highlight w:val="none"/>
        </w:rPr>
        <w:t>2.1.6“现场”系指合同约定提供服务的地点。</w:t>
      </w:r>
      <w:bookmarkEnd w:id="465"/>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6" w:name="_Toc27635"/>
      <w:bookmarkStart w:id="467" w:name="_Toc13336"/>
      <w:bookmarkStart w:id="468" w:name="_Toc487900350"/>
      <w:bookmarkStart w:id="469" w:name="_Toc32504"/>
      <w:bookmarkStart w:id="470" w:name="_Toc259093670"/>
      <w:bookmarkStart w:id="471" w:name="_Toc279701241"/>
      <w:bookmarkStart w:id="472" w:name="_Toc16312"/>
      <w:r>
        <w:rPr>
          <w:rFonts w:hint="eastAsia" w:ascii="宋体" w:hAnsi="宋体" w:eastAsia="宋体" w:cs="宋体"/>
          <w:b/>
          <w:bCs/>
          <w:i w:val="0"/>
          <w:iCs w:val="0"/>
          <w:color w:val="auto"/>
          <w:sz w:val="24"/>
          <w:szCs w:val="24"/>
          <w:highlight w:val="none"/>
          <w:lang w:val="zh-CN"/>
        </w:rPr>
        <w:t>2.2 技术规范</w:t>
      </w:r>
      <w:bookmarkEnd w:id="466"/>
      <w:bookmarkEnd w:id="467"/>
      <w:bookmarkEnd w:id="468"/>
      <w:bookmarkEnd w:id="469"/>
      <w:bookmarkEnd w:id="470"/>
      <w:bookmarkEnd w:id="471"/>
      <w:bookmarkEnd w:id="472"/>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73" w:name="_Toc31634"/>
      <w:bookmarkStart w:id="474" w:name="_Toc9829"/>
      <w:bookmarkStart w:id="475" w:name="_Toc32641"/>
      <w:bookmarkStart w:id="476" w:name="_Toc487900351"/>
      <w:bookmarkStart w:id="477" w:name="_Toc27853"/>
      <w:bookmarkStart w:id="478" w:name="_Toc259093671"/>
      <w:bookmarkStart w:id="479" w:name="_Toc279701242"/>
      <w:r>
        <w:rPr>
          <w:rFonts w:hint="eastAsia" w:ascii="宋体" w:hAnsi="宋体" w:eastAsia="宋体" w:cs="宋体"/>
          <w:b/>
          <w:bCs/>
          <w:i w:val="0"/>
          <w:iCs w:val="0"/>
          <w:color w:val="auto"/>
          <w:sz w:val="24"/>
          <w:szCs w:val="24"/>
          <w:highlight w:val="none"/>
          <w:lang w:val="zh-CN"/>
        </w:rPr>
        <w:t>2.3 知识产权</w:t>
      </w:r>
      <w:bookmarkEnd w:id="473"/>
      <w:bookmarkEnd w:id="474"/>
      <w:bookmarkEnd w:id="475"/>
      <w:bookmarkEnd w:id="476"/>
      <w:bookmarkEnd w:id="477"/>
      <w:bookmarkEnd w:id="478"/>
      <w:bookmarkEnd w:id="479"/>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80" w:name="_Ref467379536"/>
      <w:bookmarkStart w:id="481" w:name="_Toc279701245"/>
      <w:bookmarkStart w:id="482" w:name="_Ref467379527"/>
      <w:bookmarkStart w:id="483" w:name="_Toc487900354"/>
      <w:bookmarkStart w:id="484" w:name="_Ref467379542"/>
      <w:bookmarkStart w:id="485" w:name="_Toc259093674"/>
      <w:bookmarkStart w:id="486" w:name="_Ref467378541"/>
      <w:bookmarkStart w:id="487" w:name="_Ref467378591"/>
      <w:bookmarkStart w:id="488" w:name="_Toc30272"/>
      <w:bookmarkStart w:id="489" w:name="_Toc21843"/>
      <w:bookmarkStart w:id="490" w:name="_Toc19074"/>
      <w:bookmarkStart w:id="491" w:name="_Toc26182"/>
      <w:r>
        <w:rPr>
          <w:rFonts w:hint="eastAsia" w:ascii="宋体" w:hAnsi="宋体" w:eastAsia="宋体" w:cs="宋体"/>
          <w:b/>
          <w:bCs/>
          <w:i w:val="0"/>
          <w:iCs w:val="0"/>
          <w:color w:val="auto"/>
          <w:sz w:val="24"/>
          <w:szCs w:val="24"/>
          <w:highlight w:val="none"/>
          <w:lang w:val="zh-CN"/>
        </w:rPr>
        <w:t>2.</w:t>
      </w:r>
      <w:bookmarkEnd w:id="480"/>
      <w:bookmarkEnd w:id="481"/>
      <w:bookmarkEnd w:id="482"/>
      <w:bookmarkEnd w:id="483"/>
      <w:bookmarkEnd w:id="484"/>
      <w:bookmarkEnd w:id="485"/>
      <w:bookmarkEnd w:id="486"/>
      <w:bookmarkEnd w:id="487"/>
      <w:r>
        <w:rPr>
          <w:rFonts w:hint="eastAsia" w:ascii="宋体" w:hAnsi="宋体" w:eastAsia="宋体" w:cs="宋体"/>
          <w:b/>
          <w:bCs/>
          <w:i w:val="0"/>
          <w:iCs w:val="0"/>
          <w:color w:val="auto"/>
          <w:sz w:val="24"/>
          <w:szCs w:val="24"/>
          <w:highlight w:val="none"/>
          <w:lang w:val="zh-CN"/>
        </w:rPr>
        <w:t>4 履约检查和问题反馈</w:t>
      </w:r>
      <w:bookmarkEnd w:id="488"/>
      <w:bookmarkEnd w:id="489"/>
      <w:bookmarkEnd w:id="490"/>
      <w:bookmarkEnd w:id="491"/>
    </w:p>
    <w:p w14:paraId="1F572855">
      <w:pPr>
        <w:spacing w:line="360" w:lineRule="auto"/>
        <w:ind w:firstLine="435"/>
        <w:rPr>
          <w:rFonts w:hint="eastAsia" w:ascii="宋体" w:hAnsi="宋体" w:eastAsia="宋体" w:cs="宋体"/>
          <w:i w:val="0"/>
          <w:iCs w:val="0"/>
          <w:color w:val="auto"/>
          <w:sz w:val="24"/>
          <w:szCs w:val="24"/>
          <w:highlight w:val="none"/>
        </w:rPr>
      </w:pPr>
      <w:bookmarkStart w:id="492" w:name="_Toc186431854"/>
      <w:bookmarkStart w:id="493" w:name="_Ref467379807"/>
      <w:bookmarkStart w:id="494" w:name="_Toc279701247"/>
      <w:bookmarkStart w:id="495" w:name="_Ref467379793"/>
      <w:bookmarkStart w:id="496" w:name="_Toc487900357"/>
      <w:bookmarkStart w:id="497"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492"/>
      <w:bookmarkStart w:id="498" w:name="_Toc186431855"/>
      <w:r>
        <w:rPr>
          <w:rFonts w:hint="eastAsia" w:ascii="宋体" w:hAnsi="宋体" w:eastAsia="宋体" w:cs="宋体"/>
          <w:i w:val="0"/>
          <w:iCs w:val="0"/>
          <w:color w:val="auto"/>
          <w:sz w:val="24"/>
          <w:szCs w:val="24"/>
          <w:highlight w:val="none"/>
        </w:rPr>
        <w:t>。</w:t>
      </w:r>
    </w:p>
    <w:bookmarkEnd w:id="498"/>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9" w:name="_Toc19219"/>
      <w:bookmarkStart w:id="500" w:name="_Toc31559"/>
      <w:bookmarkStart w:id="501" w:name="_Toc7836"/>
      <w:bookmarkStart w:id="502" w:name="_Toc28451"/>
      <w:r>
        <w:rPr>
          <w:rFonts w:hint="eastAsia" w:ascii="宋体" w:hAnsi="宋体" w:eastAsia="宋体" w:cs="宋体"/>
          <w:b/>
          <w:bCs/>
          <w:i w:val="0"/>
          <w:iCs w:val="0"/>
          <w:color w:val="auto"/>
          <w:sz w:val="24"/>
          <w:szCs w:val="24"/>
          <w:highlight w:val="none"/>
          <w:lang w:val="zh-CN"/>
        </w:rPr>
        <w:t>2.5 结算方式和付款条件</w:t>
      </w:r>
      <w:bookmarkEnd w:id="493"/>
      <w:bookmarkEnd w:id="494"/>
      <w:bookmarkEnd w:id="495"/>
      <w:bookmarkEnd w:id="496"/>
      <w:bookmarkEnd w:id="497"/>
      <w:bookmarkEnd w:id="499"/>
      <w:bookmarkEnd w:id="500"/>
      <w:bookmarkEnd w:id="501"/>
      <w:bookmarkEnd w:id="502"/>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3" w:name="_Toc259093677"/>
      <w:bookmarkStart w:id="504" w:name="_Toc279701248"/>
      <w:bookmarkStart w:id="505" w:name="_Ref467379852"/>
      <w:bookmarkStart w:id="506" w:name="_Ref467379863"/>
      <w:bookmarkStart w:id="507" w:name="_Ref467379923"/>
      <w:bookmarkStart w:id="508" w:name="_Toc487900358"/>
      <w:bookmarkStart w:id="509" w:name="_Toc16110"/>
      <w:bookmarkStart w:id="510" w:name="_Toc7777"/>
      <w:bookmarkStart w:id="511" w:name="_Toc774"/>
      <w:bookmarkStart w:id="512" w:name="_Toc3225"/>
      <w:r>
        <w:rPr>
          <w:rFonts w:hint="eastAsia" w:ascii="宋体" w:hAnsi="宋体" w:eastAsia="宋体" w:cs="宋体"/>
          <w:b/>
          <w:bCs/>
          <w:i w:val="0"/>
          <w:iCs w:val="0"/>
          <w:color w:val="auto"/>
          <w:sz w:val="24"/>
          <w:szCs w:val="24"/>
          <w:highlight w:val="none"/>
          <w:lang w:val="zh-CN"/>
        </w:rPr>
        <w:t>2.6 技术资料</w:t>
      </w:r>
      <w:bookmarkEnd w:id="503"/>
      <w:bookmarkEnd w:id="504"/>
      <w:bookmarkEnd w:id="505"/>
      <w:bookmarkEnd w:id="506"/>
      <w:bookmarkEnd w:id="507"/>
      <w:bookmarkEnd w:id="508"/>
      <w:r>
        <w:rPr>
          <w:rFonts w:hint="eastAsia" w:ascii="宋体" w:hAnsi="宋体" w:eastAsia="宋体" w:cs="宋体"/>
          <w:b/>
          <w:bCs/>
          <w:i w:val="0"/>
          <w:iCs w:val="0"/>
          <w:color w:val="auto"/>
          <w:sz w:val="24"/>
          <w:szCs w:val="24"/>
          <w:highlight w:val="none"/>
          <w:lang w:val="zh-CN"/>
        </w:rPr>
        <w:t>和保密义务</w:t>
      </w:r>
      <w:bookmarkEnd w:id="509"/>
      <w:bookmarkEnd w:id="510"/>
      <w:bookmarkEnd w:id="511"/>
      <w:bookmarkEnd w:id="512"/>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3" w:name="_Toc7860"/>
      <w:bookmarkStart w:id="514" w:name="_Toc5284"/>
      <w:r>
        <w:rPr>
          <w:rFonts w:hint="eastAsia" w:ascii="宋体" w:hAnsi="宋体" w:eastAsia="宋体" w:cs="宋体"/>
          <w:b/>
          <w:bCs/>
          <w:i w:val="0"/>
          <w:iCs w:val="0"/>
          <w:color w:val="auto"/>
          <w:sz w:val="24"/>
          <w:szCs w:val="24"/>
          <w:highlight w:val="none"/>
          <w:lang w:val="zh-CN"/>
        </w:rPr>
        <w:t>2.7 质量保证</w:t>
      </w:r>
      <w:bookmarkEnd w:id="513"/>
      <w:bookmarkEnd w:id="514"/>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15" w:name="_Toc22267"/>
      <w:bookmarkStart w:id="516" w:name="_Toc30678"/>
      <w:r>
        <w:rPr>
          <w:rFonts w:hint="eastAsia" w:ascii="宋体" w:hAnsi="宋体" w:eastAsia="宋体" w:cs="宋体"/>
          <w:b/>
          <w:i w:val="0"/>
          <w:iCs w:val="0"/>
          <w:color w:val="auto"/>
          <w:sz w:val="24"/>
          <w:szCs w:val="24"/>
          <w:highlight w:val="none"/>
        </w:rPr>
        <w:t>2.8 延迟履行</w:t>
      </w:r>
      <w:bookmarkEnd w:id="515"/>
      <w:bookmarkEnd w:id="516"/>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7" w:name="_Toc7502"/>
      <w:bookmarkStart w:id="518" w:name="_Toc3646"/>
      <w:bookmarkStart w:id="519" w:name="_Toc279701254"/>
      <w:bookmarkStart w:id="520" w:name="_Toc259093683"/>
      <w:bookmarkStart w:id="521" w:name="_Ref467378121"/>
      <w:bookmarkStart w:id="522" w:name="_Toc487900364"/>
      <w:r>
        <w:rPr>
          <w:rFonts w:hint="eastAsia" w:ascii="宋体" w:hAnsi="宋体" w:eastAsia="宋体" w:cs="宋体"/>
          <w:b/>
          <w:bCs/>
          <w:i w:val="0"/>
          <w:iCs w:val="0"/>
          <w:color w:val="auto"/>
          <w:sz w:val="24"/>
          <w:szCs w:val="24"/>
          <w:highlight w:val="none"/>
          <w:lang w:val="zh-CN"/>
        </w:rPr>
        <w:t>2.9 合同变更</w:t>
      </w:r>
      <w:bookmarkEnd w:id="517"/>
      <w:bookmarkEnd w:id="518"/>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23" w:name="_Toc487900369"/>
      <w:bookmarkStart w:id="524" w:name="_Toc259093688"/>
      <w:bookmarkStart w:id="525" w:name="_Toc27970125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6" w:name="_Toc15237"/>
      <w:bookmarkStart w:id="527" w:name="_Toc5438"/>
      <w:bookmarkStart w:id="528" w:name="_Toc10366"/>
      <w:bookmarkStart w:id="529" w:name="_Toc22955"/>
      <w:r>
        <w:rPr>
          <w:rFonts w:hint="eastAsia" w:ascii="宋体" w:hAnsi="宋体" w:eastAsia="宋体" w:cs="宋体"/>
          <w:b/>
          <w:bCs/>
          <w:i w:val="0"/>
          <w:iCs w:val="0"/>
          <w:color w:val="auto"/>
          <w:sz w:val="24"/>
          <w:szCs w:val="24"/>
          <w:highlight w:val="none"/>
          <w:lang w:val="zh-CN"/>
        </w:rPr>
        <w:t>2.10 合同转让</w:t>
      </w:r>
      <w:bookmarkEnd w:id="523"/>
      <w:bookmarkEnd w:id="524"/>
      <w:bookmarkEnd w:id="525"/>
      <w:r>
        <w:rPr>
          <w:rFonts w:hint="eastAsia" w:ascii="宋体" w:hAnsi="宋体" w:eastAsia="宋体" w:cs="宋体"/>
          <w:b/>
          <w:bCs/>
          <w:i w:val="0"/>
          <w:iCs w:val="0"/>
          <w:color w:val="auto"/>
          <w:sz w:val="24"/>
          <w:szCs w:val="24"/>
          <w:highlight w:val="none"/>
          <w:lang w:val="zh-CN"/>
        </w:rPr>
        <w:t>和分包</w:t>
      </w:r>
      <w:bookmarkEnd w:id="526"/>
      <w:bookmarkEnd w:id="527"/>
      <w:bookmarkEnd w:id="528"/>
      <w:bookmarkEnd w:id="529"/>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0" w:name="_Toc16508"/>
      <w:bookmarkStart w:id="531" w:name="_Toc17154"/>
      <w:bookmarkStart w:id="532" w:name="_Toc13566"/>
      <w:bookmarkStart w:id="533" w:name="_Toc14066"/>
      <w:r>
        <w:rPr>
          <w:rFonts w:hint="eastAsia" w:ascii="宋体" w:hAnsi="宋体" w:eastAsia="宋体" w:cs="宋体"/>
          <w:b/>
          <w:bCs/>
          <w:i w:val="0"/>
          <w:iCs w:val="0"/>
          <w:color w:val="auto"/>
          <w:sz w:val="24"/>
          <w:szCs w:val="24"/>
          <w:highlight w:val="none"/>
          <w:lang w:val="zh-CN"/>
        </w:rPr>
        <w:t>2.11 不可抗力</w:t>
      </w:r>
      <w:bookmarkEnd w:id="530"/>
      <w:bookmarkEnd w:id="531"/>
      <w:bookmarkEnd w:id="532"/>
      <w:bookmarkEnd w:id="533"/>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4" w:name="_Toc19740"/>
      <w:bookmarkStart w:id="535" w:name="_Toc689"/>
      <w:bookmarkStart w:id="536" w:name="_Toc487900365"/>
      <w:bookmarkStart w:id="537" w:name="_Toc259093684"/>
      <w:bookmarkStart w:id="538" w:name="_Toc30676"/>
      <w:bookmarkStart w:id="539" w:name="_Toc6969"/>
      <w:bookmarkStart w:id="540" w:name="_Toc279701255"/>
      <w:r>
        <w:rPr>
          <w:rFonts w:hint="eastAsia" w:ascii="宋体" w:hAnsi="宋体" w:eastAsia="宋体" w:cs="宋体"/>
          <w:b/>
          <w:bCs/>
          <w:i w:val="0"/>
          <w:iCs w:val="0"/>
          <w:color w:val="auto"/>
          <w:sz w:val="24"/>
          <w:szCs w:val="24"/>
          <w:highlight w:val="none"/>
          <w:lang w:val="zh-CN"/>
        </w:rPr>
        <w:t>2.12 税费</w:t>
      </w:r>
      <w:bookmarkEnd w:id="534"/>
      <w:bookmarkEnd w:id="535"/>
      <w:bookmarkEnd w:id="536"/>
      <w:bookmarkEnd w:id="537"/>
      <w:bookmarkEnd w:id="538"/>
      <w:bookmarkEnd w:id="539"/>
      <w:bookmarkEnd w:id="540"/>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1" w:name="_Toc8588"/>
      <w:bookmarkStart w:id="542" w:name="_Toc259093687"/>
      <w:bookmarkStart w:id="543" w:name="_Toc8298"/>
      <w:bookmarkStart w:id="544" w:name="_Toc279701258"/>
      <w:bookmarkStart w:id="545" w:name="_Toc7102"/>
      <w:bookmarkStart w:id="546" w:name="_Toc487900368"/>
      <w:bookmarkStart w:id="547" w:name="_Toc16959"/>
      <w:r>
        <w:rPr>
          <w:rFonts w:hint="eastAsia" w:ascii="宋体" w:hAnsi="宋体" w:eastAsia="宋体" w:cs="宋体"/>
          <w:b/>
          <w:bCs/>
          <w:i w:val="0"/>
          <w:iCs w:val="0"/>
          <w:color w:val="auto"/>
          <w:sz w:val="24"/>
          <w:szCs w:val="24"/>
          <w:highlight w:val="none"/>
          <w:lang w:val="zh-CN"/>
        </w:rPr>
        <w:t>2.13 乙方破产</w:t>
      </w:r>
      <w:bookmarkEnd w:id="541"/>
      <w:bookmarkEnd w:id="542"/>
      <w:bookmarkEnd w:id="543"/>
      <w:bookmarkEnd w:id="544"/>
      <w:bookmarkEnd w:id="545"/>
      <w:bookmarkEnd w:id="546"/>
      <w:bookmarkEnd w:id="547"/>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48" w:name="_Toc15387"/>
      <w:bookmarkStart w:id="549" w:name="_Toc29333"/>
      <w:bookmarkStart w:id="550" w:name="_Toc1334"/>
      <w:bookmarkStart w:id="551" w:name="_Toc6134"/>
      <w:r>
        <w:rPr>
          <w:rFonts w:hint="eastAsia" w:ascii="宋体" w:hAnsi="宋体" w:eastAsia="宋体" w:cs="宋体"/>
          <w:b/>
          <w:bCs/>
          <w:i w:val="0"/>
          <w:iCs w:val="0"/>
          <w:color w:val="auto"/>
          <w:sz w:val="24"/>
          <w:szCs w:val="24"/>
          <w:highlight w:val="none"/>
          <w:lang w:val="zh-CN"/>
        </w:rPr>
        <w:t>2.14 合同中止、终止</w:t>
      </w:r>
      <w:bookmarkEnd w:id="548"/>
      <w:bookmarkEnd w:id="549"/>
      <w:bookmarkEnd w:id="550"/>
      <w:bookmarkEnd w:id="551"/>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2" w:name="_Toc14563"/>
      <w:bookmarkStart w:id="553" w:name="_Toc6596"/>
      <w:bookmarkStart w:id="554" w:name="_Toc19383"/>
      <w:bookmarkStart w:id="555" w:name="_Toc1125"/>
      <w:r>
        <w:rPr>
          <w:rFonts w:hint="eastAsia" w:ascii="宋体" w:hAnsi="宋体" w:eastAsia="宋体" w:cs="宋体"/>
          <w:b/>
          <w:bCs/>
          <w:i w:val="0"/>
          <w:iCs w:val="0"/>
          <w:color w:val="auto"/>
          <w:sz w:val="24"/>
          <w:szCs w:val="24"/>
          <w:highlight w:val="none"/>
          <w:lang w:val="zh-CN"/>
        </w:rPr>
        <w:t>2.15 检验和验收</w:t>
      </w:r>
      <w:bookmarkEnd w:id="552"/>
      <w:bookmarkEnd w:id="553"/>
      <w:bookmarkEnd w:id="554"/>
      <w:bookmarkEnd w:id="555"/>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19"/>
    <w:bookmarkEnd w:id="520"/>
    <w:bookmarkEnd w:id="521"/>
    <w:bookmarkEnd w:id="522"/>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56" w:name="_Toc10330"/>
      <w:bookmarkStart w:id="557" w:name="_Toc279701263"/>
      <w:bookmarkStart w:id="558" w:name="_Toc259093692"/>
      <w:bookmarkStart w:id="559" w:name="_Toc12773"/>
      <w:bookmarkStart w:id="560" w:name="_Toc9826"/>
      <w:bookmarkStart w:id="561" w:name="_Toc18567"/>
      <w:bookmarkStart w:id="562" w:name="_Toc48790037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56"/>
      <w:bookmarkEnd w:id="557"/>
      <w:bookmarkEnd w:id="558"/>
      <w:bookmarkEnd w:id="559"/>
      <w:bookmarkEnd w:id="560"/>
      <w:bookmarkEnd w:id="561"/>
      <w:bookmarkEnd w:id="562"/>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563" w:name="_Toc17354"/>
      <w:bookmarkStart w:id="564" w:name="_Toc16673"/>
      <w:bookmarkStart w:id="565" w:name="_Toc12004"/>
      <w:bookmarkStart w:id="566" w:name="_Toc259093693"/>
      <w:bookmarkStart w:id="567" w:name="_Toc3148"/>
      <w:bookmarkStart w:id="568" w:name="_Toc279701264"/>
      <w:bookmarkStart w:id="569" w:name="_Toc487900374"/>
      <w:r>
        <w:rPr>
          <w:rFonts w:hint="eastAsia" w:ascii="宋体" w:hAnsi="宋体" w:eastAsia="宋体" w:cs="宋体"/>
          <w:b/>
          <w:bCs/>
          <w:i w:val="0"/>
          <w:iCs w:val="0"/>
          <w:color w:val="auto"/>
          <w:sz w:val="24"/>
          <w:szCs w:val="24"/>
          <w:highlight w:val="none"/>
          <w:lang w:val="zh-CN"/>
        </w:rPr>
        <w:t>2.17 履约保证金</w:t>
      </w:r>
      <w:bookmarkEnd w:id="563"/>
      <w:bookmarkEnd w:id="564"/>
      <w:bookmarkEnd w:id="565"/>
      <w:bookmarkEnd w:id="566"/>
      <w:bookmarkEnd w:id="567"/>
      <w:bookmarkEnd w:id="568"/>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9"/>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570" w:name="_Toc31625"/>
      <w:bookmarkStart w:id="571" w:name="_Toc19890"/>
      <w:bookmarkStart w:id="572" w:name="_Toc14001"/>
      <w:bookmarkStart w:id="573" w:name="_Toc6885"/>
      <w:r>
        <w:rPr>
          <w:rFonts w:hint="eastAsia" w:ascii="宋体" w:hAnsi="宋体" w:eastAsia="宋体" w:cs="宋体"/>
          <w:b/>
          <w:bCs/>
          <w:i w:val="0"/>
          <w:iCs w:val="0"/>
          <w:color w:val="auto"/>
          <w:sz w:val="24"/>
          <w:szCs w:val="24"/>
          <w:highlight w:val="none"/>
          <w:lang w:val="zh-CN"/>
        </w:rPr>
        <w:t>2.18 合同份数</w:t>
      </w:r>
      <w:bookmarkEnd w:id="570"/>
      <w:bookmarkEnd w:id="571"/>
      <w:bookmarkEnd w:id="572"/>
      <w:bookmarkEnd w:id="573"/>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74" w:name="_Toc3736"/>
      <w:bookmarkStart w:id="575" w:name="_Toc21802"/>
      <w:bookmarkStart w:id="576" w:name="_Toc7126"/>
      <w:r>
        <w:rPr>
          <w:rFonts w:hint="eastAsia" w:ascii="宋体" w:hAnsi="宋体" w:eastAsia="宋体" w:cs="宋体"/>
          <w:b/>
          <w:color w:val="auto"/>
          <w:sz w:val="36"/>
          <w:szCs w:val="36"/>
          <w:highlight w:val="none"/>
        </w:rPr>
        <w:t>第三部分 合同专用条款</w:t>
      </w:r>
      <w:bookmarkEnd w:id="574"/>
      <w:bookmarkEnd w:id="575"/>
      <w:bookmarkEnd w:id="576"/>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397"/>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77" w:name="_Toc155185919"/>
      <w:bookmarkStart w:id="578" w:name="_Toc15871"/>
      <w:bookmarkStart w:id="579" w:name="_Toc21885"/>
      <w:bookmarkStart w:id="580" w:name="_Toc15749"/>
      <w:r>
        <w:rPr>
          <w:rFonts w:hint="eastAsia" w:ascii="宋体" w:hAnsi="宋体" w:eastAsia="宋体" w:cs="宋体"/>
          <w:b/>
          <w:bCs/>
          <w:color w:val="auto"/>
          <w:kern w:val="44"/>
          <w:sz w:val="36"/>
          <w:szCs w:val="36"/>
          <w:highlight w:val="none"/>
          <w:lang w:val="en-US" w:eastAsia="zh-CN" w:bidi="ar-SA"/>
        </w:rPr>
        <w:t>第七章 投标文件格式</w:t>
      </w:r>
      <w:bookmarkEnd w:id="577"/>
      <w:bookmarkEnd w:id="578"/>
      <w:bookmarkEnd w:id="579"/>
      <w:bookmarkEnd w:id="580"/>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p>
    <w:p w14:paraId="026E8C70">
      <w:pPr>
        <w:autoSpaceDE w:val="0"/>
        <w:autoSpaceDN w:val="0"/>
        <w:adjustRightInd w:val="0"/>
        <w:rPr>
          <w:color w:val="auto"/>
          <w:sz w:val="21"/>
          <w:szCs w:val="21"/>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rFonts w:hint="eastAsia" w:eastAsia="宋体"/>
          <w:color w:val="auto"/>
          <w:sz w:val="21"/>
          <w:szCs w:val="21"/>
          <w:highlight w:val="none"/>
          <w:lang w:eastAsia="zh-CN"/>
        </w:rPr>
      </w:pPr>
    </w:p>
    <w:p w14:paraId="32D14D2E">
      <w:pPr>
        <w:pStyle w:val="14"/>
        <w:rPr>
          <w:rFonts w:hint="eastAsia"/>
          <w:lang w:eastAsia="zh-CN"/>
        </w:rPr>
      </w:pPr>
    </w:p>
    <w:p w14:paraId="44E29E8C">
      <w:pPr>
        <w:pStyle w:val="38"/>
        <w:rPr>
          <w:color w:val="auto"/>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81" w:name="_Toc325"/>
      <w:bookmarkStart w:id="582" w:name="_Toc28637"/>
      <w:bookmarkStart w:id="583"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81"/>
      <w:bookmarkEnd w:id="582"/>
    </w:p>
    <w:bookmarkEnd w:id="583"/>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584" w:name="_Toc24929"/>
      <w:bookmarkStart w:id="585" w:name="_Toc30693"/>
      <w:r>
        <w:rPr>
          <w:rFonts w:hint="eastAsia" w:eastAsia="宋体" w:cstheme="majorBidi"/>
          <w:b/>
          <w:bCs/>
          <w:color w:val="auto"/>
          <w:kern w:val="2"/>
          <w:sz w:val="24"/>
          <w:szCs w:val="24"/>
          <w:highlight w:val="none"/>
          <w:lang w:val="en-US" w:eastAsia="zh-CN" w:bidi="ar-SA"/>
        </w:rPr>
        <w:t>（二）政府采购供应商信用承诺函</w:t>
      </w:r>
      <w:bookmarkEnd w:id="584"/>
      <w:bookmarkEnd w:id="585"/>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86" w:name="_Toc109899917"/>
      <w:bookmarkStart w:id="587" w:name="_Toc155185930"/>
      <w:bookmarkStart w:id="588" w:name="_Toc163492923"/>
      <w:bookmarkStart w:id="589" w:name="_Toc109899498"/>
      <w:bookmarkStart w:id="590" w:name="_Toc109900336"/>
      <w:bookmarkStart w:id="591" w:name="_Toc140132840"/>
      <w:bookmarkStart w:id="592" w:name="_Toc7882"/>
      <w:bookmarkStart w:id="593" w:name="_Toc3502"/>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586"/>
      <w:bookmarkEnd w:id="587"/>
      <w:bookmarkEnd w:id="588"/>
      <w:bookmarkEnd w:id="589"/>
      <w:bookmarkEnd w:id="590"/>
      <w:bookmarkEnd w:id="591"/>
      <w:bookmarkStart w:id="594"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594"/>
      <w:r>
        <w:rPr>
          <w:rFonts w:hint="eastAsia" w:ascii="宋体" w:hAnsi="宋体" w:eastAsia="宋体" w:cstheme="minorBidi"/>
          <w:b w:val="0"/>
          <w:bCs w:val="0"/>
          <w:color w:val="auto"/>
          <w:kern w:val="2"/>
          <w:sz w:val="28"/>
          <w:szCs w:val="28"/>
          <w:highlight w:val="none"/>
          <w:lang w:val="zh-CN" w:eastAsia="zh-CN" w:bidi="ar-SA"/>
        </w:rPr>
        <w:t>【如适用】</w:t>
      </w:r>
      <w:bookmarkEnd w:id="592"/>
      <w:bookmarkEnd w:id="593"/>
    </w:p>
    <w:p w14:paraId="39563C7F">
      <w:pPr>
        <w:snapToGrid w:val="0"/>
        <w:spacing w:line="360" w:lineRule="auto"/>
        <w:jc w:val="center"/>
        <w:outlineLvl w:val="0"/>
        <w:rPr>
          <w:rFonts w:hint="eastAsia" w:ascii="宋体" w:hAnsi="宋体" w:cs="宋体"/>
          <w:b/>
          <w:color w:val="auto"/>
          <w:kern w:val="0"/>
          <w:sz w:val="32"/>
          <w:szCs w:val="32"/>
          <w:highlight w:val="none"/>
        </w:rPr>
      </w:pPr>
    </w:p>
    <w:p w14:paraId="23E3BC9F">
      <w:pPr>
        <w:snapToGrid w:val="0"/>
        <w:spacing w:line="360" w:lineRule="auto"/>
        <w:jc w:val="center"/>
        <w:outlineLvl w:val="0"/>
        <w:rPr>
          <w:rFonts w:hint="eastAsia" w:ascii="宋体" w:hAnsi="宋体" w:cs="宋体"/>
          <w:b/>
          <w:color w:val="auto"/>
          <w:kern w:val="0"/>
          <w:sz w:val="32"/>
          <w:szCs w:val="32"/>
          <w:highlight w:val="none"/>
        </w:rPr>
      </w:pPr>
      <w:bookmarkStart w:id="595" w:name="_Toc24531"/>
      <w:bookmarkStart w:id="596" w:name="_Toc919"/>
      <w:bookmarkStart w:id="597" w:name="_Toc20035"/>
      <w:r>
        <w:rPr>
          <w:rFonts w:hint="eastAsia" w:ascii="宋体" w:hAnsi="宋体" w:cs="宋体"/>
          <w:b/>
          <w:color w:val="auto"/>
          <w:kern w:val="0"/>
          <w:sz w:val="32"/>
          <w:szCs w:val="32"/>
          <w:highlight w:val="none"/>
        </w:rPr>
        <w:t>联合体协议书</w:t>
      </w:r>
      <w:bookmarkEnd w:id="595"/>
      <w:bookmarkEnd w:id="596"/>
      <w:bookmarkEnd w:id="597"/>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59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98"/>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99" w:name="_Toc162299566"/>
      <w:bookmarkStart w:id="600" w:name="_Toc20320"/>
      <w:bookmarkStart w:id="601" w:name="_Toc156490356"/>
      <w:bookmarkStart w:id="602" w:name="_Toc25467"/>
      <w:bookmarkStart w:id="603"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599"/>
      <w:bookmarkEnd w:id="600"/>
      <w:bookmarkEnd w:id="601"/>
      <w:bookmarkEnd w:id="602"/>
    </w:p>
    <w:p w14:paraId="72EF9FB2">
      <w:pPr>
        <w:snapToGrid w:val="0"/>
        <w:spacing w:line="360" w:lineRule="auto"/>
        <w:jc w:val="center"/>
        <w:outlineLvl w:val="0"/>
        <w:rPr>
          <w:rFonts w:hint="eastAsia" w:ascii="宋体" w:hAnsi="宋体" w:cs="宋体"/>
          <w:b/>
          <w:color w:val="auto"/>
          <w:kern w:val="0"/>
          <w:sz w:val="32"/>
          <w:szCs w:val="32"/>
          <w:highlight w:val="none"/>
        </w:rPr>
      </w:pPr>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604" w:name="_Toc3174"/>
      <w:bookmarkStart w:id="605" w:name="_Toc22471"/>
      <w:bookmarkStart w:id="606" w:name="_Toc18859"/>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604"/>
      <w:bookmarkEnd w:id="605"/>
      <w:bookmarkEnd w:id="606"/>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607" w:name="_Toc20300"/>
      <w:bookmarkStart w:id="608" w:name="_Toc7532"/>
      <w:r>
        <w:rPr>
          <w:rFonts w:hint="eastAsia" w:ascii="宋体" w:hAnsi="宋体" w:eastAsia="宋体" w:cs="宋体"/>
          <w:color w:val="auto"/>
          <w:kern w:val="0"/>
          <w:sz w:val="24"/>
          <w:szCs w:val="24"/>
          <w:highlight w:val="none"/>
        </w:rPr>
        <w:t>……</w:t>
      </w:r>
      <w:bookmarkEnd w:id="607"/>
      <w:bookmarkEnd w:id="608"/>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0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609"/>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603"/>
    <w:p w14:paraId="5775F461">
      <w:pPr>
        <w:ind w:left="2520" w:leftChars="1050"/>
        <w:rPr>
          <w:color w:val="auto"/>
          <w:highlight w:val="none"/>
        </w:rPr>
      </w:pPr>
      <w:r>
        <w:rPr>
          <w:rFonts w:cs="Courier New"/>
          <w:color w:val="auto"/>
          <w:szCs w:val="24"/>
          <w:highlight w:val="none"/>
        </w:rPr>
        <w:br w:type="page"/>
      </w:r>
    </w:p>
    <w:p w14:paraId="6C745F3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610" w:name="_Toc163492926"/>
      <w:bookmarkStart w:id="611" w:name="_Toc155185932"/>
      <w:bookmarkStart w:id="612" w:name="_Toc4279"/>
      <w:bookmarkStart w:id="613" w:name="_Toc30866"/>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610"/>
      <w:bookmarkEnd w:id="611"/>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612"/>
      <w:bookmarkEnd w:id="613"/>
    </w:p>
    <w:p w14:paraId="0076F407">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14" w:name="_Toc163492938"/>
      <w:bookmarkStart w:id="615" w:name="_Toc18227"/>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614"/>
      <w:bookmarkEnd w:id="615"/>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3"/>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3"/>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3"/>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3"/>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3"/>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3"/>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3"/>
              <w:jc w:val="center"/>
              <w:rPr>
                <w:color w:val="auto"/>
                <w:sz w:val="21"/>
                <w:szCs w:val="21"/>
                <w:highlight w:val="none"/>
              </w:rPr>
            </w:pPr>
            <w:r>
              <w:rPr>
                <w:rFonts w:hint="eastAsia"/>
                <w:color w:val="auto"/>
                <w:sz w:val="21"/>
                <w:szCs w:val="21"/>
                <w:highlight w:val="none"/>
              </w:rPr>
              <w:t>单价</w:t>
            </w:r>
          </w:p>
          <w:p w14:paraId="022A35EE">
            <w:pPr>
              <w:pStyle w:val="53"/>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3"/>
              <w:jc w:val="center"/>
              <w:rPr>
                <w:color w:val="auto"/>
                <w:sz w:val="21"/>
                <w:szCs w:val="21"/>
                <w:highlight w:val="none"/>
              </w:rPr>
            </w:pPr>
            <w:r>
              <w:rPr>
                <w:rFonts w:hint="eastAsia"/>
                <w:color w:val="auto"/>
                <w:sz w:val="21"/>
                <w:szCs w:val="21"/>
                <w:highlight w:val="none"/>
              </w:rPr>
              <w:t>总价</w:t>
            </w:r>
          </w:p>
          <w:p w14:paraId="13E39665">
            <w:pPr>
              <w:pStyle w:val="53"/>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3"/>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3"/>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3"/>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3"/>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3"/>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3"/>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3"/>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3"/>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3"/>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3"/>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3"/>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3"/>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3"/>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3"/>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3"/>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3"/>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3"/>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3"/>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3"/>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3"/>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3"/>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3"/>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3"/>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3"/>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3"/>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3"/>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3"/>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3"/>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3"/>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3"/>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3"/>
              <w:jc w:val="center"/>
              <w:rPr>
                <w:color w:val="auto"/>
                <w:sz w:val="21"/>
                <w:szCs w:val="21"/>
                <w:highlight w:val="none"/>
              </w:rPr>
            </w:pPr>
            <w:r>
              <w:rPr>
                <w:rFonts w:hint="eastAsia"/>
                <w:color w:val="auto"/>
                <w:sz w:val="21"/>
                <w:szCs w:val="21"/>
                <w:highlight w:val="none"/>
              </w:rPr>
              <w:t>制造商</w:t>
            </w:r>
          </w:p>
          <w:p w14:paraId="43D7ECA8">
            <w:pPr>
              <w:pStyle w:val="53"/>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3"/>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3"/>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3"/>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3"/>
              <w:jc w:val="center"/>
              <w:rPr>
                <w:color w:val="auto"/>
                <w:sz w:val="21"/>
                <w:szCs w:val="21"/>
                <w:highlight w:val="none"/>
              </w:rPr>
            </w:pPr>
            <w:r>
              <w:rPr>
                <w:rFonts w:hint="eastAsia"/>
                <w:color w:val="auto"/>
                <w:sz w:val="21"/>
                <w:szCs w:val="21"/>
                <w:highlight w:val="none"/>
              </w:rPr>
              <w:t>单价</w:t>
            </w:r>
          </w:p>
          <w:p w14:paraId="0270B2E8">
            <w:pPr>
              <w:pStyle w:val="53"/>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3"/>
              <w:jc w:val="center"/>
              <w:rPr>
                <w:color w:val="auto"/>
                <w:sz w:val="21"/>
                <w:szCs w:val="21"/>
                <w:highlight w:val="none"/>
              </w:rPr>
            </w:pPr>
            <w:r>
              <w:rPr>
                <w:rFonts w:hint="eastAsia"/>
                <w:color w:val="auto"/>
                <w:sz w:val="21"/>
                <w:szCs w:val="21"/>
                <w:highlight w:val="none"/>
              </w:rPr>
              <w:t>总价</w:t>
            </w:r>
          </w:p>
          <w:p w14:paraId="461D4258">
            <w:pPr>
              <w:pStyle w:val="53"/>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3"/>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3"/>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3"/>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3"/>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3"/>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3"/>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3"/>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3"/>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3"/>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3"/>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3"/>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3"/>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3"/>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3"/>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3"/>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3"/>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3"/>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3"/>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16" w:name="_Toc163492939"/>
      <w:bookmarkStart w:id="617" w:name="_Toc20772"/>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616"/>
      <w:bookmarkEnd w:id="617"/>
    </w:p>
    <w:p w14:paraId="16CFCD4A">
      <w:pPr>
        <w:pStyle w:val="43"/>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43"/>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5E2CB0B5">
      <w:pPr>
        <w:keepNext w:val="0"/>
        <w:keepLines w:val="0"/>
        <w:widowControl/>
        <w:suppressLineNumbers w:val="0"/>
        <w:ind w:firstLine="562" w:firstLineChars="200"/>
        <w:jc w:val="left"/>
        <w:rPr>
          <w:rStyle w:val="34"/>
          <w:rFonts w:hint="eastAsia" w:ascii="宋体" w:hAnsi="宋体" w:eastAsia="宋体" w:cs="宋体"/>
          <w:color w:val="auto"/>
          <w:kern w:val="0"/>
          <w:sz w:val="28"/>
          <w:szCs w:val="28"/>
          <w:highlight w:val="none"/>
          <w:lang w:val="en-US" w:eastAsia="zh-CN" w:bidi="ar"/>
        </w:rPr>
      </w:pPr>
    </w:p>
    <w:p w14:paraId="62EF0AA4">
      <w:pPr>
        <w:keepNext w:val="0"/>
        <w:keepLines w:val="0"/>
        <w:widowControl/>
        <w:suppressLineNumbers w:val="0"/>
        <w:ind w:firstLine="482" w:firstLineChars="200"/>
        <w:jc w:val="left"/>
        <w:rPr>
          <w:rStyle w:val="34"/>
          <w:rFonts w:hint="eastAsia" w:ascii="宋体" w:hAnsi="宋体" w:eastAsia="宋体" w:cs="宋体"/>
          <w:color w:val="auto"/>
          <w:kern w:val="0"/>
          <w:sz w:val="28"/>
          <w:szCs w:val="28"/>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（一）关于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6B42F924">
      <w:pPr>
        <w:rPr>
          <w:rFonts w:cs="宋体"/>
          <w:color w:val="auto"/>
          <w:spacing w:val="6"/>
          <w:sz w:val="21"/>
          <w:szCs w:val="21"/>
          <w:highlight w:val="none"/>
        </w:rPr>
      </w:pPr>
    </w:p>
    <w:p w14:paraId="389997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bookmarkStart w:id="618" w:name="_Toc163492940"/>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4"/>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4"/>
          <w:rFonts w:hint="eastAsia" w:cs="宋体"/>
          <w:b w:val="0"/>
          <w:bCs w:val="0"/>
          <w:color w:val="auto"/>
          <w:sz w:val="24"/>
          <w:szCs w:val="24"/>
          <w:highlight w:val="none"/>
          <w:lang w:eastAsia="zh-CN"/>
        </w:rPr>
        <w:t>，</w:t>
      </w:r>
      <w:r>
        <w:rPr>
          <w:rStyle w:val="34"/>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4"/>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4"/>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十一、本规定自发布之日起实施</w:t>
      </w:r>
      <w:r>
        <w:rPr>
          <w:rStyle w:val="34"/>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8"/>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2"/>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711552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19"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18"/>
      <w:bookmarkEnd w:id="619"/>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8"/>
        <w:spacing w:line="360" w:lineRule="auto"/>
        <w:jc w:val="center"/>
        <w:rPr>
          <w:rFonts w:hint="eastAsia" w:ascii="宋体" w:hAnsi="宋体" w:eastAsia="宋体" w:cs="宋体"/>
          <w:b/>
          <w:bCs w:val="0"/>
          <w:color w:val="auto"/>
          <w:sz w:val="32"/>
          <w:szCs w:val="32"/>
          <w:highlight w:val="none"/>
        </w:rPr>
      </w:pPr>
    </w:p>
    <w:p w14:paraId="3EAA5E2A">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05E6EFA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20" w:name="_Toc163492941"/>
      <w:bookmarkStart w:id="621"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20"/>
      <w:bookmarkEnd w:id="621"/>
    </w:p>
    <w:p w14:paraId="0EAC9468">
      <w:pPr>
        <w:pStyle w:val="43"/>
        <w:numPr>
          <w:ilvl w:val="0"/>
          <w:numId w:val="0"/>
        </w:numPr>
        <w:ind w:left="420" w:leftChars="0" w:hanging="420" w:firstLineChars="0"/>
        <w:jc w:val="center"/>
        <w:rPr>
          <w:rFonts w:hint="eastAsia"/>
          <w:b/>
          <w:bCs/>
          <w:color w:val="auto"/>
          <w:sz w:val="32"/>
          <w:szCs w:val="32"/>
          <w:highlight w:val="none"/>
        </w:rPr>
      </w:pPr>
    </w:p>
    <w:p w14:paraId="091B47EA">
      <w:pPr>
        <w:pStyle w:val="43"/>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22" w:name="_Toc29560"/>
      <w:bookmarkStart w:id="623" w:name="_Toc9905"/>
      <w:r>
        <w:rPr>
          <w:rFonts w:hint="eastAsia" w:cstheme="majorBidi"/>
          <w:b/>
          <w:bCs/>
          <w:color w:val="auto"/>
          <w:kern w:val="2"/>
          <w:sz w:val="28"/>
          <w:szCs w:val="28"/>
          <w:highlight w:val="none"/>
          <w:lang w:val="en-US" w:eastAsia="zh-CN" w:bidi="ar-SA"/>
        </w:rPr>
        <w:t>五、不参与围标串标承诺书</w:t>
      </w:r>
      <w:bookmarkEnd w:id="622"/>
      <w:bookmarkEnd w:id="623"/>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7CD2757F">
      <w:pPr>
        <w:pStyle w:val="14"/>
        <w:rPr>
          <w:rFonts w:hint="eastAsia"/>
          <w:color w:val="auto"/>
          <w:highlight w:val="none"/>
          <w:lang w:val="en-US" w:eastAsia="zh-CN"/>
        </w:rPr>
      </w:pPr>
    </w:p>
    <w:p w14:paraId="7EE0D7C2">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24" w:name="_Toc11359"/>
      <w:bookmarkStart w:id="625" w:name="_Toc175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24"/>
      <w:bookmarkEnd w:id="625"/>
    </w:p>
    <w:p w14:paraId="0C24F0AE">
      <w:pPr>
        <w:pStyle w:val="41"/>
        <w:rPr>
          <w:rFonts w:hint="eastAsia"/>
          <w:color w:val="auto"/>
          <w:highlight w:val="none"/>
        </w:rPr>
      </w:pPr>
      <w:r>
        <w:rPr>
          <w:rFonts w:hint="eastAsia" w:cs="Courier New"/>
          <w:color w:val="auto"/>
          <w:szCs w:val="24"/>
          <w:highlight w:val="none"/>
        </w:rPr>
        <w:t>投标人认为需提供的其它相关资格证明材料</w:t>
      </w:r>
    </w:p>
    <w:p w14:paraId="7C2C3E83">
      <w:pPr>
        <w:pStyle w:val="41"/>
        <w:rPr>
          <w:rFonts w:hint="eastAsia"/>
          <w:color w:val="auto"/>
          <w:highlight w:val="none"/>
        </w:rPr>
      </w:pPr>
    </w:p>
    <w:p w14:paraId="58A36194">
      <w:pPr>
        <w:pStyle w:val="41"/>
        <w:rPr>
          <w:rFonts w:hint="eastAsia"/>
          <w:color w:val="auto"/>
          <w:highlight w:val="none"/>
        </w:rPr>
      </w:pPr>
    </w:p>
    <w:p w14:paraId="3553B395">
      <w:pPr>
        <w:pStyle w:val="41"/>
        <w:rPr>
          <w:rFonts w:hint="eastAsia"/>
          <w:color w:val="auto"/>
          <w:highlight w:val="none"/>
        </w:rPr>
      </w:pPr>
    </w:p>
    <w:p w14:paraId="49D404FC">
      <w:pPr>
        <w:pStyle w:val="41"/>
        <w:rPr>
          <w:rFonts w:hint="eastAsia"/>
          <w:color w:val="auto"/>
          <w:highlight w:val="none"/>
        </w:rPr>
      </w:pPr>
    </w:p>
    <w:p w14:paraId="4B98E4B6">
      <w:pPr>
        <w:pStyle w:val="41"/>
        <w:rPr>
          <w:rFonts w:hint="eastAsia"/>
          <w:color w:val="auto"/>
          <w:highlight w:val="none"/>
        </w:rPr>
      </w:pPr>
    </w:p>
    <w:p w14:paraId="737FEDD3">
      <w:pPr>
        <w:pStyle w:val="41"/>
        <w:rPr>
          <w:rFonts w:hint="eastAsia"/>
          <w:color w:val="auto"/>
          <w:highlight w:val="none"/>
        </w:rPr>
      </w:pPr>
    </w:p>
    <w:p w14:paraId="1C876135">
      <w:pPr>
        <w:pStyle w:val="41"/>
        <w:rPr>
          <w:rFonts w:hint="eastAsia"/>
          <w:color w:val="auto"/>
          <w:highlight w:val="none"/>
        </w:rPr>
      </w:pPr>
    </w:p>
    <w:p w14:paraId="7E85C842">
      <w:pPr>
        <w:pStyle w:val="41"/>
        <w:rPr>
          <w:rFonts w:hint="eastAsia"/>
          <w:color w:val="auto"/>
          <w:highlight w:val="none"/>
        </w:rPr>
      </w:pPr>
    </w:p>
    <w:p w14:paraId="4CBE3B0D">
      <w:pPr>
        <w:pStyle w:val="41"/>
        <w:rPr>
          <w:rFonts w:hint="eastAsia"/>
          <w:color w:val="auto"/>
          <w:highlight w:val="none"/>
        </w:rPr>
      </w:pPr>
    </w:p>
    <w:p w14:paraId="2E6E451F">
      <w:pPr>
        <w:pStyle w:val="41"/>
        <w:rPr>
          <w:rFonts w:hint="eastAsia"/>
          <w:color w:val="auto"/>
          <w:highlight w:val="none"/>
        </w:rPr>
      </w:pPr>
    </w:p>
    <w:p w14:paraId="38DC2C55">
      <w:pPr>
        <w:pStyle w:val="41"/>
        <w:rPr>
          <w:rFonts w:hint="eastAsia"/>
          <w:color w:val="auto"/>
          <w:highlight w:val="none"/>
        </w:rPr>
      </w:pPr>
    </w:p>
    <w:p w14:paraId="04DAFD3C">
      <w:pPr>
        <w:pStyle w:val="41"/>
        <w:rPr>
          <w:rFonts w:hint="eastAsia"/>
          <w:color w:val="auto"/>
          <w:highlight w:val="none"/>
        </w:rPr>
      </w:pPr>
    </w:p>
    <w:p w14:paraId="51E24CDC">
      <w:pPr>
        <w:pStyle w:val="41"/>
        <w:rPr>
          <w:rFonts w:hint="eastAsia"/>
          <w:color w:val="auto"/>
          <w:highlight w:val="none"/>
        </w:rPr>
      </w:pPr>
    </w:p>
    <w:p w14:paraId="1AC1942E">
      <w:pPr>
        <w:pStyle w:val="41"/>
        <w:rPr>
          <w:rFonts w:hint="eastAsia"/>
          <w:color w:val="auto"/>
          <w:highlight w:val="none"/>
        </w:rPr>
      </w:pPr>
    </w:p>
    <w:p w14:paraId="4722E259">
      <w:pPr>
        <w:pStyle w:val="41"/>
        <w:rPr>
          <w:rFonts w:hint="eastAsia"/>
          <w:color w:val="auto"/>
          <w:highlight w:val="none"/>
        </w:rPr>
      </w:pPr>
    </w:p>
    <w:p w14:paraId="07033BD3">
      <w:pPr>
        <w:pStyle w:val="41"/>
        <w:rPr>
          <w:rFonts w:hint="eastAsia"/>
          <w:color w:val="auto"/>
          <w:highlight w:val="none"/>
        </w:rPr>
      </w:pPr>
    </w:p>
    <w:p w14:paraId="6E1D094D">
      <w:pPr>
        <w:pStyle w:val="41"/>
        <w:rPr>
          <w:rFonts w:hint="eastAsia"/>
          <w:color w:val="auto"/>
          <w:highlight w:val="none"/>
        </w:rPr>
      </w:pPr>
    </w:p>
    <w:p w14:paraId="23B0DB54">
      <w:pPr>
        <w:pStyle w:val="41"/>
        <w:rPr>
          <w:rFonts w:hint="eastAsia"/>
          <w:color w:val="auto"/>
          <w:highlight w:val="none"/>
        </w:rPr>
      </w:pPr>
    </w:p>
    <w:p w14:paraId="07159DF6">
      <w:pPr>
        <w:pStyle w:val="41"/>
        <w:rPr>
          <w:rFonts w:hint="eastAsia"/>
          <w:color w:val="auto"/>
          <w:highlight w:val="none"/>
        </w:rPr>
      </w:pPr>
    </w:p>
    <w:p w14:paraId="44B3A5AA">
      <w:pPr>
        <w:pStyle w:val="41"/>
        <w:rPr>
          <w:rFonts w:hint="eastAsia"/>
          <w:color w:val="auto"/>
          <w:highlight w:val="none"/>
        </w:rPr>
      </w:pPr>
    </w:p>
    <w:p w14:paraId="05BB178A">
      <w:pPr>
        <w:pStyle w:val="41"/>
        <w:rPr>
          <w:rFonts w:hint="eastAsia"/>
          <w:color w:val="auto"/>
          <w:highlight w:val="none"/>
        </w:rPr>
      </w:pPr>
    </w:p>
    <w:p w14:paraId="0E7980AB">
      <w:pPr>
        <w:pStyle w:val="41"/>
        <w:rPr>
          <w:rFonts w:hint="eastAsia"/>
          <w:color w:val="auto"/>
          <w:highlight w:val="none"/>
        </w:rPr>
      </w:pPr>
    </w:p>
    <w:p w14:paraId="5A09B930">
      <w:pPr>
        <w:pStyle w:val="41"/>
        <w:rPr>
          <w:rFonts w:hint="eastAsia"/>
          <w:color w:val="auto"/>
          <w:highlight w:val="none"/>
        </w:rPr>
      </w:pPr>
    </w:p>
    <w:p w14:paraId="3FB1F62E">
      <w:pPr>
        <w:pStyle w:val="41"/>
        <w:rPr>
          <w:rFonts w:hint="eastAsia"/>
          <w:color w:val="auto"/>
          <w:highlight w:val="none"/>
        </w:rPr>
      </w:pPr>
    </w:p>
    <w:p w14:paraId="69D25AC1">
      <w:pPr>
        <w:pStyle w:val="41"/>
        <w:rPr>
          <w:rFonts w:hint="eastAsia"/>
          <w:color w:val="auto"/>
          <w:highlight w:val="none"/>
        </w:rPr>
      </w:pPr>
    </w:p>
    <w:p w14:paraId="3E9AC4C9">
      <w:pPr>
        <w:pStyle w:val="41"/>
        <w:rPr>
          <w:rFonts w:hint="eastAsia"/>
          <w:color w:val="auto"/>
          <w:highlight w:val="none"/>
        </w:rPr>
      </w:pPr>
    </w:p>
    <w:p w14:paraId="7FB9AF51">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26" w:name="_Toc26789"/>
      <w:bookmarkStart w:id="627" w:name="_Toc16115"/>
      <w:r>
        <w:rPr>
          <w:rFonts w:hint="eastAsia" w:cstheme="majorBidi"/>
          <w:b/>
          <w:bCs/>
          <w:color w:val="auto"/>
          <w:kern w:val="2"/>
          <w:sz w:val="32"/>
          <w:szCs w:val="32"/>
          <w:highlight w:val="none"/>
          <w:lang w:val="en-US" w:eastAsia="zh-CN" w:bidi="ar-SA"/>
        </w:rPr>
        <w:t>七、开标一览表</w:t>
      </w:r>
      <w:bookmarkEnd w:id="626"/>
      <w:bookmarkEnd w:id="627"/>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ascii="宋体" w:hAnsi="宋体" w:eastAsia="宋体" w:cs="宋体"/>
                <w:color w:val="auto"/>
                <w:sz w:val="24"/>
                <w:szCs w:val="24"/>
                <w:highlight w:val="none"/>
              </w:rPr>
              <w:t>合同</w:t>
            </w:r>
            <w:r>
              <w:rPr>
                <w:rFonts w:hint="eastAsia" w:cs="宋体"/>
                <w:color w:val="auto"/>
                <w:sz w:val="24"/>
                <w:szCs w:val="24"/>
                <w:highlight w:val="none"/>
                <w:lang w:val="en-US" w:eastAsia="zh-CN"/>
              </w:rPr>
              <w:t>履约</w:t>
            </w:r>
            <w:r>
              <w:rPr>
                <w:rFonts w:hint="eastAsia" w:ascii="宋体" w:hAnsi="宋体" w:eastAsia="宋体" w:cs="宋体"/>
                <w:color w:val="auto"/>
                <w:sz w:val="24"/>
                <w:szCs w:val="24"/>
                <w:highlight w:val="none"/>
              </w:rPr>
              <w:t>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4C551945">
      <w:pPr>
        <w:pStyle w:val="14"/>
        <w:rPr>
          <w:rFonts w:cs="Arial"/>
          <w:color w:val="auto"/>
          <w:szCs w:val="24"/>
          <w:highlight w:val="none"/>
        </w:rPr>
      </w:pPr>
    </w:p>
    <w:p w14:paraId="09ACCEBB">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4"/>
        <w:ind w:firstLine="420" w:firstLineChars="200"/>
        <w:rPr>
          <w:rFonts w:hint="eastAsia" w:ascii="宋体" w:hAnsi="宋体" w:eastAsia="宋体" w:cs="宋体"/>
          <w:color w:val="auto"/>
          <w:sz w:val="24"/>
          <w:szCs w:val="24"/>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28" w:name="_Toc19342"/>
      <w:bookmarkStart w:id="629" w:name="_Toc27922"/>
      <w:r>
        <w:rPr>
          <w:rFonts w:hint="eastAsia" w:cstheme="majorBidi"/>
          <w:b/>
          <w:bCs/>
          <w:color w:val="auto"/>
          <w:kern w:val="2"/>
          <w:sz w:val="32"/>
          <w:szCs w:val="32"/>
          <w:highlight w:val="none"/>
          <w:lang w:val="en-US" w:eastAsia="zh-CN" w:bidi="ar-SA"/>
        </w:rPr>
        <w:t>八、分项报价表</w:t>
      </w:r>
      <w:bookmarkEnd w:id="628"/>
      <w:bookmarkEnd w:id="629"/>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0" w:name="_Toc109900327"/>
      <w:bookmarkStart w:id="631" w:name="_Toc109899489"/>
      <w:bookmarkStart w:id="632" w:name="_Toc140132831"/>
      <w:bookmarkStart w:id="633" w:name="_Toc25402"/>
      <w:bookmarkStart w:id="634" w:name="_Toc13736"/>
      <w:bookmarkStart w:id="635" w:name="_Toc155185921"/>
      <w:bookmarkStart w:id="636" w:name="_Toc109899908"/>
      <w:bookmarkStart w:id="637" w:name="_Toc3577"/>
      <w:bookmarkStart w:id="638" w:name="_Toc32532"/>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630"/>
      <w:bookmarkEnd w:id="631"/>
      <w:bookmarkEnd w:id="632"/>
      <w:bookmarkEnd w:id="633"/>
      <w:bookmarkEnd w:id="634"/>
      <w:bookmarkEnd w:id="635"/>
      <w:bookmarkEnd w:id="636"/>
      <w:bookmarkEnd w:id="637"/>
      <w:bookmarkEnd w:id="63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39" w:name="_Hlk161604053"/>
      <w:r>
        <w:rPr>
          <w:rFonts w:hint="eastAsia"/>
          <w:color w:val="auto"/>
          <w:szCs w:val="24"/>
          <w:highlight w:val="none"/>
        </w:rPr>
        <w:t>我方承诺本《投标函》的签章对本投标文件全部内容具有约束力并承担法律责任。</w:t>
      </w:r>
      <w:bookmarkEnd w:id="63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0" w:name="_Toc155185924"/>
      <w:bookmarkStart w:id="641" w:name="_Toc518"/>
      <w:bookmarkStart w:id="642" w:name="_Toc18974"/>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40"/>
      <w:bookmarkEnd w:id="641"/>
      <w:bookmarkEnd w:id="64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3" w:name="_Toc155185925"/>
      <w:bookmarkStart w:id="644" w:name="_Toc9024"/>
      <w:bookmarkStart w:id="645" w:name="_Toc29531"/>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643"/>
      <w:bookmarkEnd w:id="644"/>
      <w:bookmarkEnd w:id="64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6" w:name="_Toc163492928"/>
      <w:bookmarkStart w:id="647" w:name="_Toc155185934"/>
      <w:bookmarkStart w:id="648" w:name="_Toc28878"/>
      <w:bookmarkStart w:id="649" w:name="_Toc30910"/>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646"/>
      <w:bookmarkEnd w:id="647"/>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48"/>
      <w:bookmarkEnd w:id="649"/>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w:t>
      </w:r>
      <w:r>
        <w:rPr>
          <w:rFonts w:hint="eastAsia" w:cs="宋体"/>
          <w:color w:val="auto"/>
          <w:kern w:val="0"/>
          <w:sz w:val="24"/>
          <w:szCs w:val="24"/>
          <w:highlight w:val="none"/>
          <w:lang w:val="zh-CN"/>
        </w:rPr>
        <w:t>部门</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18FDCDE0">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650" w:name="_Toc9779"/>
      <w:bookmarkStart w:id="651" w:name="_Toc17991"/>
      <w:r>
        <w:rPr>
          <w:rFonts w:hint="eastAsia" w:ascii="宋体" w:hAnsi="宋体" w:cs="宋体"/>
          <w:b/>
          <w:bCs/>
          <w:color w:val="auto"/>
          <w:kern w:val="2"/>
          <w:sz w:val="32"/>
          <w:szCs w:val="32"/>
          <w:highlight w:val="none"/>
          <w:lang w:val="en-US" w:eastAsia="zh-CN" w:bidi="ar-SA"/>
        </w:rPr>
        <w:t>十三</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kern w:val="2"/>
          <w:sz w:val="32"/>
          <w:szCs w:val="32"/>
          <w:highlight w:val="none"/>
          <w:lang w:val="en-US" w:eastAsia="zh-CN" w:bidi="ar-SA"/>
        </w:rPr>
        <w:t>采购需求</w:t>
      </w:r>
      <w:r>
        <w:rPr>
          <w:rFonts w:hint="eastAsia" w:ascii="宋体" w:hAnsi="宋体" w:eastAsia="宋体" w:cs="宋体"/>
          <w:b/>
          <w:bCs/>
          <w:color w:val="auto"/>
          <w:kern w:val="2"/>
          <w:sz w:val="32"/>
          <w:szCs w:val="32"/>
          <w:highlight w:val="none"/>
          <w:lang w:val="en-US" w:eastAsia="zh-CN" w:bidi="ar-SA"/>
        </w:rPr>
        <w:t>响应偏离表</w:t>
      </w:r>
      <w:bookmarkEnd w:id="650"/>
      <w:bookmarkEnd w:id="651"/>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 xml:space="preserve">项目编号：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招标文件的条款</w:t>
            </w:r>
          </w:p>
        </w:tc>
        <w:tc>
          <w:tcPr>
            <w:tcW w:w="1002" w:type="pct"/>
            <w:vAlign w:val="center"/>
          </w:tcPr>
          <w:p w14:paraId="2B47A594">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53"/>
              <w:jc w:val="center"/>
              <w:rPr>
                <w:rFonts w:hint="eastAsia" w:ascii="宋体" w:hAnsi="宋体" w:eastAsia="宋体" w:cs="宋体"/>
                <w:color w:val="auto"/>
                <w:sz w:val="21"/>
                <w:szCs w:val="21"/>
                <w:highlight w:val="none"/>
              </w:rPr>
            </w:pPr>
          </w:p>
        </w:tc>
        <w:tc>
          <w:tcPr>
            <w:tcW w:w="1002" w:type="pct"/>
            <w:vAlign w:val="center"/>
          </w:tcPr>
          <w:p w14:paraId="5FBB3652">
            <w:pPr>
              <w:pStyle w:val="53"/>
              <w:jc w:val="center"/>
              <w:rPr>
                <w:rFonts w:hint="eastAsia" w:ascii="宋体" w:hAnsi="宋体" w:eastAsia="宋体" w:cs="宋体"/>
                <w:color w:val="auto"/>
                <w:sz w:val="21"/>
                <w:szCs w:val="21"/>
                <w:highlight w:val="none"/>
              </w:rPr>
            </w:pPr>
          </w:p>
        </w:tc>
        <w:tc>
          <w:tcPr>
            <w:tcW w:w="1871" w:type="dxa"/>
            <w:vAlign w:val="center"/>
          </w:tcPr>
          <w:p w14:paraId="0BE3ED7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38155B65">
            <w:pPr>
              <w:pStyle w:val="53"/>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53"/>
              <w:jc w:val="center"/>
              <w:rPr>
                <w:rFonts w:hint="eastAsia" w:ascii="宋体" w:hAnsi="宋体" w:eastAsia="宋体" w:cs="宋体"/>
                <w:color w:val="auto"/>
                <w:sz w:val="21"/>
                <w:szCs w:val="21"/>
                <w:highlight w:val="none"/>
              </w:rPr>
            </w:pPr>
          </w:p>
        </w:tc>
        <w:tc>
          <w:tcPr>
            <w:tcW w:w="1002" w:type="pct"/>
            <w:vAlign w:val="center"/>
          </w:tcPr>
          <w:p w14:paraId="78716E39">
            <w:pPr>
              <w:pStyle w:val="53"/>
              <w:jc w:val="center"/>
              <w:rPr>
                <w:rFonts w:hint="eastAsia" w:ascii="宋体" w:hAnsi="宋体" w:eastAsia="宋体" w:cs="宋体"/>
                <w:color w:val="auto"/>
                <w:sz w:val="21"/>
                <w:szCs w:val="21"/>
                <w:highlight w:val="none"/>
              </w:rPr>
            </w:pPr>
          </w:p>
        </w:tc>
        <w:tc>
          <w:tcPr>
            <w:tcW w:w="1871" w:type="dxa"/>
            <w:vAlign w:val="center"/>
          </w:tcPr>
          <w:p w14:paraId="7FF2D014">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4FD2DF22">
            <w:pPr>
              <w:pStyle w:val="53"/>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53"/>
              <w:jc w:val="center"/>
              <w:rPr>
                <w:rFonts w:hint="eastAsia" w:ascii="宋体" w:hAnsi="宋体" w:eastAsia="宋体" w:cs="宋体"/>
                <w:color w:val="auto"/>
                <w:sz w:val="21"/>
                <w:szCs w:val="21"/>
                <w:highlight w:val="none"/>
              </w:rPr>
            </w:pPr>
          </w:p>
        </w:tc>
        <w:tc>
          <w:tcPr>
            <w:tcW w:w="1002" w:type="pct"/>
            <w:vAlign w:val="center"/>
          </w:tcPr>
          <w:p w14:paraId="0A18A482">
            <w:pPr>
              <w:pStyle w:val="53"/>
              <w:jc w:val="center"/>
              <w:rPr>
                <w:rFonts w:hint="eastAsia" w:ascii="宋体" w:hAnsi="宋体" w:eastAsia="宋体" w:cs="宋体"/>
                <w:color w:val="auto"/>
                <w:sz w:val="21"/>
                <w:szCs w:val="21"/>
                <w:highlight w:val="none"/>
              </w:rPr>
            </w:pPr>
          </w:p>
        </w:tc>
        <w:tc>
          <w:tcPr>
            <w:tcW w:w="1871" w:type="dxa"/>
            <w:vAlign w:val="center"/>
          </w:tcPr>
          <w:p w14:paraId="4CBAA73E">
            <w:pPr>
              <w:pStyle w:val="53"/>
              <w:jc w:val="center"/>
              <w:rPr>
                <w:rFonts w:hint="eastAsia" w:ascii="宋体" w:hAnsi="宋体" w:eastAsia="宋体" w:cs="宋体"/>
                <w:color w:val="auto"/>
                <w:sz w:val="21"/>
                <w:szCs w:val="21"/>
                <w:highlight w:val="none"/>
              </w:rPr>
            </w:pPr>
          </w:p>
        </w:tc>
        <w:tc>
          <w:tcPr>
            <w:tcW w:w="1090" w:type="pct"/>
            <w:vAlign w:val="center"/>
          </w:tcPr>
          <w:p w14:paraId="7E83BCC4">
            <w:pPr>
              <w:pStyle w:val="53"/>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53"/>
              <w:jc w:val="center"/>
              <w:rPr>
                <w:rFonts w:hint="eastAsia" w:ascii="宋体" w:hAnsi="宋体" w:eastAsia="宋体" w:cs="宋体"/>
                <w:color w:val="auto"/>
                <w:sz w:val="21"/>
                <w:szCs w:val="21"/>
                <w:highlight w:val="none"/>
              </w:rPr>
            </w:pPr>
          </w:p>
        </w:tc>
        <w:tc>
          <w:tcPr>
            <w:tcW w:w="1395" w:type="pct"/>
            <w:vAlign w:val="center"/>
          </w:tcPr>
          <w:p w14:paraId="4AADEA29">
            <w:pPr>
              <w:pStyle w:val="53"/>
              <w:jc w:val="center"/>
              <w:rPr>
                <w:rFonts w:hint="eastAsia" w:ascii="宋体" w:hAnsi="宋体" w:eastAsia="宋体" w:cs="宋体"/>
                <w:color w:val="auto"/>
                <w:sz w:val="21"/>
                <w:szCs w:val="21"/>
                <w:highlight w:val="none"/>
              </w:rPr>
            </w:pPr>
          </w:p>
        </w:tc>
        <w:tc>
          <w:tcPr>
            <w:tcW w:w="1002" w:type="pct"/>
            <w:vAlign w:val="center"/>
          </w:tcPr>
          <w:p w14:paraId="38D5F739">
            <w:pPr>
              <w:pStyle w:val="53"/>
              <w:jc w:val="center"/>
              <w:rPr>
                <w:rFonts w:hint="eastAsia" w:ascii="宋体" w:hAnsi="宋体" w:eastAsia="宋体" w:cs="宋体"/>
                <w:color w:val="auto"/>
                <w:sz w:val="21"/>
                <w:szCs w:val="21"/>
                <w:highlight w:val="none"/>
              </w:rPr>
            </w:pPr>
          </w:p>
        </w:tc>
        <w:tc>
          <w:tcPr>
            <w:tcW w:w="1090" w:type="pct"/>
            <w:vAlign w:val="center"/>
          </w:tcPr>
          <w:p w14:paraId="225853EF">
            <w:pPr>
              <w:pStyle w:val="53"/>
              <w:jc w:val="center"/>
              <w:rPr>
                <w:rFonts w:hint="eastAsia" w:ascii="宋体" w:hAnsi="宋体" w:eastAsia="宋体" w:cs="宋体"/>
                <w:color w:val="auto"/>
                <w:sz w:val="21"/>
                <w:szCs w:val="21"/>
                <w:highlight w:val="none"/>
              </w:rPr>
            </w:pPr>
          </w:p>
        </w:tc>
        <w:tc>
          <w:tcPr>
            <w:tcW w:w="1090" w:type="pct"/>
            <w:vAlign w:val="center"/>
          </w:tcPr>
          <w:p w14:paraId="701964E1">
            <w:pPr>
              <w:pStyle w:val="53"/>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53"/>
              <w:jc w:val="center"/>
              <w:rPr>
                <w:rFonts w:hint="eastAsia" w:ascii="宋体" w:hAnsi="宋体" w:eastAsia="宋体" w:cs="宋体"/>
                <w:color w:val="auto"/>
                <w:sz w:val="21"/>
                <w:szCs w:val="21"/>
                <w:highlight w:val="none"/>
              </w:rPr>
            </w:pPr>
          </w:p>
        </w:tc>
        <w:tc>
          <w:tcPr>
            <w:tcW w:w="1395" w:type="pct"/>
            <w:vAlign w:val="center"/>
          </w:tcPr>
          <w:p w14:paraId="4393079D">
            <w:pPr>
              <w:pStyle w:val="53"/>
              <w:jc w:val="center"/>
              <w:rPr>
                <w:rFonts w:hint="eastAsia" w:ascii="宋体" w:hAnsi="宋体" w:eastAsia="宋体" w:cs="宋体"/>
                <w:color w:val="auto"/>
                <w:sz w:val="21"/>
                <w:szCs w:val="21"/>
                <w:highlight w:val="none"/>
              </w:rPr>
            </w:pPr>
          </w:p>
        </w:tc>
        <w:tc>
          <w:tcPr>
            <w:tcW w:w="1002" w:type="pct"/>
            <w:vAlign w:val="center"/>
          </w:tcPr>
          <w:p w14:paraId="25A3A5BC">
            <w:pPr>
              <w:pStyle w:val="53"/>
              <w:jc w:val="center"/>
              <w:rPr>
                <w:rFonts w:hint="eastAsia" w:ascii="宋体" w:hAnsi="宋体" w:eastAsia="宋体" w:cs="宋体"/>
                <w:color w:val="auto"/>
                <w:sz w:val="21"/>
                <w:szCs w:val="21"/>
                <w:highlight w:val="none"/>
              </w:rPr>
            </w:pPr>
          </w:p>
        </w:tc>
        <w:tc>
          <w:tcPr>
            <w:tcW w:w="1090" w:type="pct"/>
            <w:vAlign w:val="center"/>
          </w:tcPr>
          <w:p w14:paraId="1B49FF8B">
            <w:pPr>
              <w:pStyle w:val="53"/>
              <w:jc w:val="center"/>
              <w:rPr>
                <w:rFonts w:hint="eastAsia" w:ascii="宋体" w:hAnsi="宋体" w:eastAsia="宋体" w:cs="宋体"/>
                <w:color w:val="auto"/>
                <w:sz w:val="21"/>
                <w:szCs w:val="21"/>
                <w:highlight w:val="none"/>
              </w:rPr>
            </w:pPr>
          </w:p>
        </w:tc>
        <w:tc>
          <w:tcPr>
            <w:tcW w:w="1090" w:type="pct"/>
            <w:vAlign w:val="center"/>
          </w:tcPr>
          <w:p w14:paraId="7AD8A67B">
            <w:pPr>
              <w:pStyle w:val="53"/>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53"/>
              <w:jc w:val="center"/>
              <w:rPr>
                <w:rFonts w:hint="eastAsia" w:ascii="宋体" w:hAnsi="宋体" w:eastAsia="宋体" w:cs="宋体"/>
                <w:color w:val="auto"/>
                <w:sz w:val="21"/>
                <w:szCs w:val="21"/>
                <w:highlight w:val="none"/>
              </w:rPr>
            </w:pPr>
          </w:p>
        </w:tc>
        <w:tc>
          <w:tcPr>
            <w:tcW w:w="1395" w:type="pct"/>
            <w:vAlign w:val="center"/>
          </w:tcPr>
          <w:p w14:paraId="0B05BA21">
            <w:pPr>
              <w:pStyle w:val="53"/>
              <w:jc w:val="center"/>
              <w:rPr>
                <w:rFonts w:hint="eastAsia" w:ascii="宋体" w:hAnsi="宋体" w:eastAsia="宋体" w:cs="宋体"/>
                <w:color w:val="auto"/>
                <w:sz w:val="21"/>
                <w:szCs w:val="21"/>
                <w:highlight w:val="none"/>
              </w:rPr>
            </w:pPr>
          </w:p>
        </w:tc>
        <w:tc>
          <w:tcPr>
            <w:tcW w:w="1002" w:type="pct"/>
            <w:vAlign w:val="center"/>
          </w:tcPr>
          <w:p w14:paraId="6EE2FD7A">
            <w:pPr>
              <w:pStyle w:val="53"/>
              <w:jc w:val="center"/>
              <w:rPr>
                <w:rFonts w:hint="eastAsia" w:ascii="宋体" w:hAnsi="宋体" w:eastAsia="宋体" w:cs="宋体"/>
                <w:color w:val="auto"/>
                <w:sz w:val="21"/>
                <w:szCs w:val="21"/>
                <w:highlight w:val="none"/>
              </w:rPr>
            </w:pPr>
          </w:p>
        </w:tc>
        <w:tc>
          <w:tcPr>
            <w:tcW w:w="1090" w:type="pct"/>
            <w:vAlign w:val="center"/>
          </w:tcPr>
          <w:p w14:paraId="3C3EE3D6">
            <w:pPr>
              <w:pStyle w:val="53"/>
              <w:jc w:val="center"/>
              <w:rPr>
                <w:rFonts w:hint="eastAsia" w:ascii="宋体" w:hAnsi="宋体" w:eastAsia="宋体" w:cs="宋体"/>
                <w:color w:val="auto"/>
                <w:sz w:val="21"/>
                <w:szCs w:val="21"/>
                <w:highlight w:val="none"/>
              </w:rPr>
            </w:pPr>
          </w:p>
        </w:tc>
        <w:tc>
          <w:tcPr>
            <w:tcW w:w="1090" w:type="pct"/>
            <w:vAlign w:val="center"/>
          </w:tcPr>
          <w:p w14:paraId="0D0213B3">
            <w:pPr>
              <w:pStyle w:val="53"/>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53"/>
              <w:jc w:val="center"/>
              <w:rPr>
                <w:rFonts w:hint="eastAsia" w:ascii="宋体" w:hAnsi="宋体" w:eastAsia="宋体" w:cs="宋体"/>
                <w:color w:val="auto"/>
                <w:sz w:val="21"/>
                <w:szCs w:val="21"/>
                <w:highlight w:val="none"/>
              </w:rPr>
            </w:pPr>
          </w:p>
        </w:tc>
        <w:tc>
          <w:tcPr>
            <w:tcW w:w="1395" w:type="pct"/>
            <w:vAlign w:val="center"/>
          </w:tcPr>
          <w:p w14:paraId="2369E7CE">
            <w:pPr>
              <w:pStyle w:val="53"/>
              <w:jc w:val="center"/>
              <w:rPr>
                <w:rFonts w:hint="eastAsia" w:ascii="宋体" w:hAnsi="宋体" w:eastAsia="宋体" w:cs="宋体"/>
                <w:color w:val="auto"/>
                <w:sz w:val="21"/>
                <w:szCs w:val="21"/>
                <w:highlight w:val="none"/>
              </w:rPr>
            </w:pPr>
          </w:p>
        </w:tc>
        <w:tc>
          <w:tcPr>
            <w:tcW w:w="1002" w:type="pct"/>
            <w:vAlign w:val="center"/>
          </w:tcPr>
          <w:p w14:paraId="1C290511">
            <w:pPr>
              <w:pStyle w:val="53"/>
              <w:jc w:val="center"/>
              <w:rPr>
                <w:rFonts w:hint="eastAsia" w:ascii="宋体" w:hAnsi="宋体" w:eastAsia="宋体" w:cs="宋体"/>
                <w:color w:val="auto"/>
                <w:sz w:val="21"/>
                <w:szCs w:val="21"/>
                <w:highlight w:val="none"/>
              </w:rPr>
            </w:pPr>
          </w:p>
        </w:tc>
        <w:tc>
          <w:tcPr>
            <w:tcW w:w="1090" w:type="pct"/>
            <w:vAlign w:val="center"/>
          </w:tcPr>
          <w:p w14:paraId="2E4702A6">
            <w:pPr>
              <w:pStyle w:val="53"/>
              <w:jc w:val="center"/>
              <w:rPr>
                <w:rFonts w:hint="eastAsia" w:ascii="宋体" w:hAnsi="宋体" w:eastAsia="宋体" w:cs="宋体"/>
                <w:color w:val="auto"/>
                <w:sz w:val="21"/>
                <w:szCs w:val="21"/>
                <w:highlight w:val="none"/>
              </w:rPr>
            </w:pPr>
          </w:p>
        </w:tc>
        <w:tc>
          <w:tcPr>
            <w:tcW w:w="1090" w:type="pct"/>
            <w:vAlign w:val="center"/>
          </w:tcPr>
          <w:p w14:paraId="65DCC158">
            <w:pPr>
              <w:pStyle w:val="53"/>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53"/>
              <w:jc w:val="center"/>
              <w:rPr>
                <w:rFonts w:hint="eastAsia" w:ascii="宋体" w:hAnsi="宋体" w:eastAsia="宋体" w:cs="宋体"/>
                <w:color w:val="auto"/>
                <w:sz w:val="21"/>
                <w:szCs w:val="21"/>
                <w:highlight w:val="none"/>
              </w:rPr>
            </w:pPr>
          </w:p>
        </w:tc>
        <w:tc>
          <w:tcPr>
            <w:tcW w:w="1395" w:type="pct"/>
            <w:vAlign w:val="center"/>
          </w:tcPr>
          <w:p w14:paraId="15CE8362">
            <w:pPr>
              <w:pStyle w:val="53"/>
              <w:jc w:val="center"/>
              <w:rPr>
                <w:rFonts w:hint="eastAsia" w:ascii="宋体" w:hAnsi="宋体" w:eastAsia="宋体" w:cs="宋体"/>
                <w:color w:val="auto"/>
                <w:sz w:val="21"/>
                <w:szCs w:val="21"/>
                <w:highlight w:val="none"/>
              </w:rPr>
            </w:pPr>
          </w:p>
        </w:tc>
        <w:tc>
          <w:tcPr>
            <w:tcW w:w="1002" w:type="pct"/>
            <w:vAlign w:val="center"/>
          </w:tcPr>
          <w:p w14:paraId="78520959">
            <w:pPr>
              <w:pStyle w:val="53"/>
              <w:jc w:val="center"/>
              <w:rPr>
                <w:rFonts w:hint="eastAsia" w:ascii="宋体" w:hAnsi="宋体" w:eastAsia="宋体" w:cs="宋体"/>
                <w:color w:val="auto"/>
                <w:sz w:val="21"/>
                <w:szCs w:val="21"/>
                <w:highlight w:val="none"/>
              </w:rPr>
            </w:pPr>
          </w:p>
        </w:tc>
        <w:tc>
          <w:tcPr>
            <w:tcW w:w="1090" w:type="pct"/>
            <w:vAlign w:val="center"/>
          </w:tcPr>
          <w:p w14:paraId="6B647A83">
            <w:pPr>
              <w:pStyle w:val="53"/>
              <w:jc w:val="center"/>
              <w:rPr>
                <w:rFonts w:hint="eastAsia" w:ascii="宋体" w:hAnsi="宋体" w:eastAsia="宋体" w:cs="宋体"/>
                <w:color w:val="auto"/>
                <w:sz w:val="21"/>
                <w:szCs w:val="21"/>
                <w:highlight w:val="none"/>
              </w:rPr>
            </w:pPr>
          </w:p>
        </w:tc>
        <w:tc>
          <w:tcPr>
            <w:tcW w:w="1090" w:type="pct"/>
            <w:vAlign w:val="center"/>
          </w:tcPr>
          <w:p w14:paraId="53ABE546">
            <w:pPr>
              <w:pStyle w:val="53"/>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53"/>
              <w:jc w:val="center"/>
              <w:rPr>
                <w:rFonts w:hint="eastAsia" w:ascii="宋体" w:hAnsi="宋体" w:eastAsia="宋体" w:cs="宋体"/>
                <w:color w:val="auto"/>
                <w:sz w:val="21"/>
                <w:szCs w:val="21"/>
                <w:highlight w:val="none"/>
              </w:rPr>
            </w:pPr>
          </w:p>
        </w:tc>
        <w:tc>
          <w:tcPr>
            <w:tcW w:w="1395" w:type="pct"/>
            <w:vAlign w:val="center"/>
          </w:tcPr>
          <w:p w14:paraId="1376A9AF">
            <w:pPr>
              <w:pStyle w:val="53"/>
              <w:jc w:val="center"/>
              <w:rPr>
                <w:rFonts w:hint="eastAsia" w:ascii="宋体" w:hAnsi="宋体" w:eastAsia="宋体" w:cs="宋体"/>
                <w:color w:val="auto"/>
                <w:sz w:val="21"/>
                <w:szCs w:val="21"/>
                <w:highlight w:val="none"/>
              </w:rPr>
            </w:pPr>
          </w:p>
        </w:tc>
        <w:tc>
          <w:tcPr>
            <w:tcW w:w="1002" w:type="pct"/>
            <w:vAlign w:val="center"/>
          </w:tcPr>
          <w:p w14:paraId="021889CB">
            <w:pPr>
              <w:pStyle w:val="53"/>
              <w:jc w:val="center"/>
              <w:rPr>
                <w:rFonts w:hint="eastAsia" w:ascii="宋体" w:hAnsi="宋体" w:eastAsia="宋体" w:cs="宋体"/>
                <w:color w:val="auto"/>
                <w:sz w:val="21"/>
                <w:szCs w:val="21"/>
                <w:highlight w:val="none"/>
              </w:rPr>
            </w:pPr>
          </w:p>
        </w:tc>
        <w:tc>
          <w:tcPr>
            <w:tcW w:w="1090" w:type="pct"/>
            <w:vAlign w:val="center"/>
          </w:tcPr>
          <w:p w14:paraId="1AA6C389">
            <w:pPr>
              <w:pStyle w:val="53"/>
              <w:jc w:val="center"/>
              <w:rPr>
                <w:rFonts w:hint="eastAsia" w:ascii="宋体" w:hAnsi="宋体" w:eastAsia="宋体" w:cs="宋体"/>
                <w:color w:val="auto"/>
                <w:sz w:val="21"/>
                <w:szCs w:val="21"/>
                <w:highlight w:val="none"/>
              </w:rPr>
            </w:pPr>
          </w:p>
        </w:tc>
        <w:tc>
          <w:tcPr>
            <w:tcW w:w="1090" w:type="pct"/>
            <w:vAlign w:val="center"/>
          </w:tcPr>
          <w:p w14:paraId="326386ED">
            <w:pPr>
              <w:pStyle w:val="53"/>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53"/>
              <w:jc w:val="center"/>
              <w:rPr>
                <w:rFonts w:hint="eastAsia" w:ascii="宋体" w:hAnsi="宋体" w:eastAsia="宋体" w:cs="宋体"/>
                <w:color w:val="auto"/>
                <w:sz w:val="21"/>
                <w:szCs w:val="21"/>
                <w:highlight w:val="none"/>
              </w:rPr>
            </w:pPr>
          </w:p>
        </w:tc>
      </w:tr>
    </w:tbl>
    <w:p w14:paraId="7E7F4485">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1.“招标文件的条款”栏应详细列明招标文件中的要求。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52" w:name="_Toc28934"/>
      <w:bookmarkStart w:id="653" w:name="_Toc17815"/>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52"/>
      <w:bookmarkEnd w:id="653"/>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 xml:space="preserve">项目编号：      </w:t>
      </w:r>
      <w:r>
        <w:rPr>
          <w:rFonts w:cs="Arial"/>
          <w:bCs/>
          <w:color w:val="auto"/>
          <w:szCs w:val="21"/>
          <w:highlight w:val="none"/>
        </w:rPr>
        <w:fldChar w:fldCharType="end"/>
      </w:r>
    </w:p>
    <w:tbl>
      <w:tblPr>
        <w:tblStyle w:val="31"/>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654"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654"/>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8FF379C">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7EA68E10">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55" w:name="_Toc24146"/>
      <w:bookmarkStart w:id="656" w:name="_Toc16376"/>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55"/>
      <w:bookmarkEnd w:id="656"/>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3"/>
              <w:jc w:val="center"/>
              <w:rPr>
                <w:rFonts w:hint="eastAsia" w:ascii="宋体" w:hAnsi="宋体" w:eastAsia="宋体" w:cs="宋体"/>
                <w:color w:val="auto"/>
                <w:sz w:val="21"/>
                <w:szCs w:val="21"/>
                <w:highlight w:val="none"/>
              </w:rPr>
            </w:pPr>
            <w:bookmarkStart w:id="657" w:name="_Toc100090784"/>
            <w:bookmarkStart w:id="658" w:name="_Toc99533292"/>
            <w:r>
              <w:rPr>
                <w:rFonts w:hint="eastAsia" w:ascii="宋体" w:hAnsi="宋体" w:eastAsia="宋体" w:cs="宋体"/>
                <w:color w:val="auto"/>
                <w:sz w:val="21"/>
                <w:szCs w:val="21"/>
                <w:highlight w:val="none"/>
              </w:rPr>
              <w:t>1</w:t>
            </w:r>
            <w:bookmarkEnd w:id="657"/>
            <w:bookmarkEnd w:id="658"/>
          </w:p>
        </w:tc>
        <w:tc>
          <w:tcPr>
            <w:tcW w:w="1267" w:type="dxa"/>
            <w:vAlign w:val="center"/>
          </w:tcPr>
          <w:p w14:paraId="04D72608">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3"/>
              <w:jc w:val="center"/>
              <w:rPr>
                <w:rFonts w:hint="eastAsia" w:ascii="宋体" w:hAnsi="宋体" w:eastAsia="宋体" w:cs="宋体"/>
                <w:color w:val="auto"/>
                <w:sz w:val="21"/>
                <w:szCs w:val="21"/>
                <w:highlight w:val="none"/>
              </w:rPr>
            </w:pPr>
          </w:p>
        </w:tc>
        <w:tc>
          <w:tcPr>
            <w:tcW w:w="1860" w:type="dxa"/>
            <w:vAlign w:val="center"/>
          </w:tcPr>
          <w:p w14:paraId="7F355EC3">
            <w:pPr>
              <w:pStyle w:val="53"/>
              <w:jc w:val="center"/>
              <w:rPr>
                <w:rFonts w:hint="eastAsia" w:ascii="宋体" w:hAnsi="宋体" w:eastAsia="宋体" w:cs="宋体"/>
                <w:color w:val="auto"/>
                <w:sz w:val="21"/>
                <w:szCs w:val="21"/>
                <w:highlight w:val="none"/>
              </w:rPr>
            </w:pPr>
          </w:p>
        </w:tc>
        <w:tc>
          <w:tcPr>
            <w:tcW w:w="1356" w:type="dxa"/>
            <w:vAlign w:val="center"/>
          </w:tcPr>
          <w:p w14:paraId="11476DCE">
            <w:pPr>
              <w:pStyle w:val="53"/>
              <w:jc w:val="center"/>
              <w:rPr>
                <w:rFonts w:hint="eastAsia" w:ascii="宋体" w:hAnsi="宋体" w:eastAsia="宋体" w:cs="宋体"/>
                <w:color w:val="auto"/>
                <w:sz w:val="21"/>
                <w:szCs w:val="21"/>
                <w:highlight w:val="none"/>
              </w:rPr>
            </w:pPr>
          </w:p>
        </w:tc>
        <w:tc>
          <w:tcPr>
            <w:tcW w:w="816" w:type="dxa"/>
            <w:vAlign w:val="center"/>
          </w:tcPr>
          <w:p w14:paraId="30F5864D">
            <w:pPr>
              <w:pStyle w:val="53"/>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3"/>
              <w:jc w:val="center"/>
              <w:rPr>
                <w:rFonts w:hint="eastAsia" w:ascii="宋体" w:hAnsi="宋体" w:eastAsia="宋体" w:cs="宋体"/>
                <w:color w:val="auto"/>
                <w:sz w:val="21"/>
                <w:szCs w:val="21"/>
                <w:highlight w:val="none"/>
              </w:rPr>
            </w:pPr>
            <w:bookmarkStart w:id="659" w:name="_Toc100090785"/>
            <w:bookmarkStart w:id="660" w:name="_Toc99533293"/>
            <w:r>
              <w:rPr>
                <w:rFonts w:hint="eastAsia" w:ascii="宋体" w:hAnsi="宋体" w:eastAsia="宋体" w:cs="宋体"/>
                <w:color w:val="auto"/>
                <w:sz w:val="21"/>
                <w:szCs w:val="21"/>
                <w:highlight w:val="none"/>
              </w:rPr>
              <w:t>2</w:t>
            </w:r>
            <w:bookmarkEnd w:id="659"/>
            <w:bookmarkEnd w:id="660"/>
          </w:p>
        </w:tc>
        <w:tc>
          <w:tcPr>
            <w:tcW w:w="1267" w:type="dxa"/>
            <w:vAlign w:val="center"/>
          </w:tcPr>
          <w:p w14:paraId="3AE14FF6">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3"/>
              <w:jc w:val="center"/>
              <w:rPr>
                <w:rFonts w:hint="eastAsia" w:ascii="宋体" w:hAnsi="宋体" w:eastAsia="宋体" w:cs="宋体"/>
                <w:color w:val="auto"/>
                <w:sz w:val="21"/>
                <w:szCs w:val="21"/>
                <w:highlight w:val="none"/>
              </w:rPr>
            </w:pPr>
          </w:p>
        </w:tc>
        <w:tc>
          <w:tcPr>
            <w:tcW w:w="1860" w:type="dxa"/>
            <w:vAlign w:val="center"/>
          </w:tcPr>
          <w:p w14:paraId="390E678F">
            <w:pPr>
              <w:pStyle w:val="53"/>
              <w:jc w:val="center"/>
              <w:rPr>
                <w:rFonts w:hint="eastAsia" w:ascii="宋体" w:hAnsi="宋体" w:eastAsia="宋体" w:cs="宋体"/>
                <w:color w:val="auto"/>
                <w:sz w:val="21"/>
                <w:szCs w:val="21"/>
                <w:highlight w:val="none"/>
              </w:rPr>
            </w:pPr>
          </w:p>
        </w:tc>
        <w:tc>
          <w:tcPr>
            <w:tcW w:w="1356" w:type="dxa"/>
            <w:vAlign w:val="center"/>
          </w:tcPr>
          <w:p w14:paraId="44B4146B">
            <w:pPr>
              <w:pStyle w:val="53"/>
              <w:jc w:val="center"/>
              <w:rPr>
                <w:rFonts w:hint="eastAsia" w:ascii="宋体" w:hAnsi="宋体" w:eastAsia="宋体" w:cs="宋体"/>
                <w:color w:val="auto"/>
                <w:sz w:val="21"/>
                <w:szCs w:val="21"/>
                <w:highlight w:val="none"/>
              </w:rPr>
            </w:pPr>
          </w:p>
        </w:tc>
        <w:tc>
          <w:tcPr>
            <w:tcW w:w="816" w:type="dxa"/>
            <w:vAlign w:val="center"/>
          </w:tcPr>
          <w:p w14:paraId="3D8C0BFB">
            <w:pPr>
              <w:pStyle w:val="53"/>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3"/>
              <w:jc w:val="center"/>
              <w:rPr>
                <w:rFonts w:hint="eastAsia" w:ascii="宋体" w:hAnsi="宋体" w:eastAsia="宋体" w:cs="宋体"/>
                <w:color w:val="auto"/>
                <w:sz w:val="21"/>
                <w:szCs w:val="21"/>
                <w:highlight w:val="none"/>
              </w:rPr>
            </w:pPr>
            <w:bookmarkStart w:id="661" w:name="_Toc100090786"/>
            <w:bookmarkStart w:id="662" w:name="_Toc99533294"/>
            <w:r>
              <w:rPr>
                <w:rFonts w:hint="eastAsia" w:ascii="宋体" w:hAnsi="宋体" w:eastAsia="宋体" w:cs="宋体"/>
                <w:color w:val="auto"/>
                <w:sz w:val="21"/>
                <w:szCs w:val="21"/>
                <w:highlight w:val="none"/>
              </w:rPr>
              <w:t>3</w:t>
            </w:r>
            <w:bookmarkEnd w:id="661"/>
            <w:bookmarkEnd w:id="662"/>
          </w:p>
        </w:tc>
        <w:tc>
          <w:tcPr>
            <w:tcW w:w="1267" w:type="dxa"/>
            <w:vAlign w:val="center"/>
          </w:tcPr>
          <w:p w14:paraId="19C12411">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3"/>
              <w:jc w:val="center"/>
              <w:rPr>
                <w:rFonts w:hint="eastAsia" w:ascii="宋体" w:hAnsi="宋体" w:eastAsia="宋体" w:cs="宋体"/>
                <w:color w:val="auto"/>
                <w:sz w:val="21"/>
                <w:szCs w:val="21"/>
                <w:highlight w:val="none"/>
              </w:rPr>
            </w:pPr>
          </w:p>
        </w:tc>
        <w:tc>
          <w:tcPr>
            <w:tcW w:w="1860" w:type="dxa"/>
            <w:vAlign w:val="center"/>
          </w:tcPr>
          <w:p w14:paraId="3F31D2CD">
            <w:pPr>
              <w:pStyle w:val="53"/>
              <w:jc w:val="center"/>
              <w:rPr>
                <w:rFonts w:hint="eastAsia" w:ascii="宋体" w:hAnsi="宋体" w:eastAsia="宋体" w:cs="宋体"/>
                <w:color w:val="auto"/>
                <w:sz w:val="21"/>
                <w:szCs w:val="21"/>
                <w:highlight w:val="none"/>
              </w:rPr>
            </w:pPr>
          </w:p>
        </w:tc>
        <w:tc>
          <w:tcPr>
            <w:tcW w:w="1356" w:type="dxa"/>
            <w:vAlign w:val="center"/>
          </w:tcPr>
          <w:p w14:paraId="3A9D9DD7">
            <w:pPr>
              <w:pStyle w:val="53"/>
              <w:jc w:val="center"/>
              <w:rPr>
                <w:rFonts w:hint="eastAsia" w:ascii="宋体" w:hAnsi="宋体" w:eastAsia="宋体" w:cs="宋体"/>
                <w:color w:val="auto"/>
                <w:sz w:val="21"/>
                <w:szCs w:val="21"/>
                <w:highlight w:val="none"/>
              </w:rPr>
            </w:pPr>
          </w:p>
        </w:tc>
        <w:tc>
          <w:tcPr>
            <w:tcW w:w="816" w:type="dxa"/>
            <w:vAlign w:val="center"/>
          </w:tcPr>
          <w:p w14:paraId="0ED9D4FB">
            <w:pPr>
              <w:pStyle w:val="53"/>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3"/>
              <w:jc w:val="center"/>
              <w:rPr>
                <w:rFonts w:hint="eastAsia" w:ascii="宋体" w:hAnsi="宋体" w:eastAsia="宋体" w:cs="宋体"/>
                <w:color w:val="auto"/>
                <w:sz w:val="21"/>
                <w:szCs w:val="21"/>
                <w:highlight w:val="none"/>
              </w:rPr>
            </w:pPr>
            <w:bookmarkStart w:id="663" w:name="_Toc100090787"/>
            <w:bookmarkStart w:id="664" w:name="_Toc99533295"/>
            <w:r>
              <w:rPr>
                <w:rFonts w:hint="eastAsia" w:ascii="宋体" w:hAnsi="宋体" w:eastAsia="宋体" w:cs="宋体"/>
                <w:color w:val="auto"/>
                <w:sz w:val="21"/>
                <w:szCs w:val="21"/>
                <w:highlight w:val="none"/>
              </w:rPr>
              <w:t>4</w:t>
            </w:r>
            <w:bookmarkEnd w:id="663"/>
            <w:bookmarkEnd w:id="664"/>
          </w:p>
        </w:tc>
        <w:tc>
          <w:tcPr>
            <w:tcW w:w="1267" w:type="dxa"/>
            <w:vAlign w:val="center"/>
          </w:tcPr>
          <w:p w14:paraId="42DE0F63">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3"/>
              <w:jc w:val="center"/>
              <w:rPr>
                <w:rFonts w:hint="eastAsia" w:ascii="宋体" w:hAnsi="宋体" w:eastAsia="宋体" w:cs="宋体"/>
                <w:color w:val="auto"/>
                <w:sz w:val="21"/>
                <w:szCs w:val="21"/>
                <w:highlight w:val="none"/>
              </w:rPr>
            </w:pPr>
          </w:p>
        </w:tc>
        <w:tc>
          <w:tcPr>
            <w:tcW w:w="1860" w:type="dxa"/>
            <w:vAlign w:val="center"/>
          </w:tcPr>
          <w:p w14:paraId="068007BF">
            <w:pPr>
              <w:pStyle w:val="53"/>
              <w:jc w:val="center"/>
              <w:rPr>
                <w:rFonts w:hint="eastAsia" w:ascii="宋体" w:hAnsi="宋体" w:eastAsia="宋体" w:cs="宋体"/>
                <w:color w:val="auto"/>
                <w:sz w:val="21"/>
                <w:szCs w:val="21"/>
                <w:highlight w:val="none"/>
              </w:rPr>
            </w:pPr>
          </w:p>
        </w:tc>
        <w:tc>
          <w:tcPr>
            <w:tcW w:w="1356" w:type="dxa"/>
            <w:vAlign w:val="center"/>
          </w:tcPr>
          <w:p w14:paraId="5A94DC72">
            <w:pPr>
              <w:pStyle w:val="53"/>
              <w:jc w:val="center"/>
              <w:rPr>
                <w:rFonts w:hint="eastAsia" w:ascii="宋体" w:hAnsi="宋体" w:eastAsia="宋体" w:cs="宋体"/>
                <w:color w:val="auto"/>
                <w:sz w:val="21"/>
                <w:szCs w:val="21"/>
                <w:highlight w:val="none"/>
              </w:rPr>
            </w:pPr>
          </w:p>
        </w:tc>
        <w:tc>
          <w:tcPr>
            <w:tcW w:w="816" w:type="dxa"/>
            <w:vAlign w:val="center"/>
          </w:tcPr>
          <w:p w14:paraId="01F1E6DB">
            <w:pPr>
              <w:pStyle w:val="53"/>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3"/>
              <w:jc w:val="center"/>
              <w:rPr>
                <w:rFonts w:hint="eastAsia" w:ascii="宋体" w:hAnsi="宋体" w:eastAsia="宋体" w:cs="宋体"/>
                <w:color w:val="auto"/>
                <w:sz w:val="21"/>
                <w:szCs w:val="21"/>
                <w:highlight w:val="none"/>
              </w:rPr>
            </w:pPr>
            <w:bookmarkStart w:id="665" w:name="_Toc99533296"/>
            <w:bookmarkStart w:id="666" w:name="_Toc100090788"/>
            <w:r>
              <w:rPr>
                <w:rFonts w:hint="eastAsia" w:ascii="宋体" w:hAnsi="宋体" w:eastAsia="宋体" w:cs="宋体"/>
                <w:color w:val="auto"/>
                <w:sz w:val="21"/>
                <w:szCs w:val="21"/>
                <w:highlight w:val="none"/>
              </w:rPr>
              <w:t>5</w:t>
            </w:r>
            <w:bookmarkEnd w:id="665"/>
            <w:bookmarkEnd w:id="666"/>
          </w:p>
        </w:tc>
        <w:tc>
          <w:tcPr>
            <w:tcW w:w="1267" w:type="dxa"/>
            <w:vAlign w:val="center"/>
          </w:tcPr>
          <w:p w14:paraId="3241008C">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3"/>
              <w:jc w:val="center"/>
              <w:rPr>
                <w:rFonts w:hint="eastAsia" w:ascii="宋体" w:hAnsi="宋体" w:eastAsia="宋体" w:cs="宋体"/>
                <w:color w:val="auto"/>
                <w:sz w:val="21"/>
                <w:szCs w:val="21"/>
                <w:highlight w:val="none"/>
              </w:rPr>
            </w:pPr>
          </w:p>
        </w:tc>
        <w:tc>
          <w:tcPr>
            <w:tcW w:w="1860" w:type="dxa"/>
            <w:vAlign w:val="center"/>
          </w:tcPr>
          <w:p w14:paraId="12AB49C0">
            <w:pPr>
              <w:pStyle w:val="53"/>
              <w:jc w:val="center"/>
              <w:rPr>
                <w:rFonts w:hint="eastAsia" w:ascii="宋体" w:hAnsi="宋体" w:eastAsia="宋体" w:cs="宋体"/>
                <w:color w:val="auto"/>
                <w:sz w:val="21"/>
                <w:szCs w:val="21"/>
                <w:highlight w:val="none"/>
              </w:rPr>
            </w:pPr>
          </w:p>
        </w:tc>
        <w:tc>
          <w:tcPr>
            <w:tcW w:w="1356" w:type="dxa"/>
            <w:vAlign w:val="center"/>
          </w:tcPr>
          <w:p w14:paraId="1659A511">
            <w:pPr>
              <w:pStyle w:val="53"/>
              <w:jc w:val="center"/>
              <w:rPr>
                <w:rFonts w:hint="eastAsia" w:ascii="宋体" w:hAnsi="宋体" w:eastAsia="宋体" w:cs="宋体"/>
                <w:color w:val="auto"/>
                <w:sz w:val="21"/>
                <w:szCs w:val="21"/>
                <w:highlight w:val="none"/>
              </w:rPr>
            </w:pPr>
          </w:p>
        </w:tc>
        <w:tc>
          <w:tcPr>
            <w:tcW w:w="816" w:type="dxa"/>
            <w:vAlign w:val="center"/>
          </w:tcPr>
          <w:p w14:paraId="5FBE7410">
            <w:pPr>
              <w:pStyle w:val="53"/>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3"/>
              <w:jc w:val="center"/>
              <w:rPr>
                <w:rFonts w:hint="eastAsia" w:ascii="宋体" w:hAnsi="宋体" w:eastAsia="宋体" w:cs="宋体"/>
                <w:color w:val="auto"/>
                <w:sz w:val="21"/>
                <w:szCs w:val="21"/>
                <w:highlight w:val="none"/>
              </w:rPr>
            </w:pPr>
            <w:bookmarkStart w:id="667" w:name="_Toc100090789"/>
            <w:bookmarkStart w:id="668" w:name="_Toc99533297"/>
            <w:r>
              <w:rPr>
                <w:rFonts w:hint="eastAsia" w:ascii="宋体" w:hAnsi="宋体" w:eastAsia="宋体" w:cs="宋体"/>
                <w:color w:val="auto"/>
                <w:sz w:val="21"/>
                <w:szCs w:val="21"/>
                <w:highlight w:val="none"/>
              </w:rPr>
              <w:t>6</w:t>
            </w:r>
            <w:bookmarkEnd w:id="667"/>
            <w:bookmarkEnd w:id="668"/>
          </w:p>
        </w:tc>
        <w:tc>
          <w:tcPr>
            <w:tcW w:w="1267" w:type="dxa"/>
            <w:vAlign w:val="center"/>
          </w:tcPr>
          <w:p w14:paraId="40527E11">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3"/>
              <w:jc w:val="center"/>
              <w:rPr>
                <w:rFonts w:hint="eastAsia" w:ascii="宋体" w:hAnsi="宋体" w:eastAsia="宋体" w:cs="宋体"/>
                <w:color w:val="auto"/>
                <w:sz w:val="21"/>
                <w:szCs w:val="21"/>
                <w:highlight w:val="none"/>
              </w:rPr>
            </w:pPr>
          </w:p>
        </w:tc>
        <w:tc>
          <w:tcPr>
            <w:tcW w:w="1860" w:type="dxa"/>
            <w:vAlign w:val="center"/>
          </w:tcPr>
          <w:p w14:paraId="51ADEB68">
            <w:pPr>
              <w:pStyle w:val="53"/>
              <w:jc w:val="center"/>
              <w:rPr>
                <w:rFonts w:hint="eastAsia" w:ascii="宋体" w:hAnsi="宋体" w:eastAsia="宋体" w:cs="宋体"/>
                <w:color w:val="auto"/>
                <w:sz w:val="21"/>
                <w:szCs w:val="21"/>
                <w:highlight w:val="none"/>
              </w:rPr>
            </w:pPr>
          </w:p>
        </w:tc>
        <w:tc>
          <w:tcPr>
            <w:tcW w:w="1356" w:type="dxa"/>
            <w:vAlign w:val="center"/>
          </w:tcPr>
          <w:p w14:paraId="1CED2476">
            <w:pPr>
              <w:pStyle w:val="53"/>
              <w:jc w:val="center"/>
              <w:rPr>
                <w:rFonts w:hint="eastAsia" w:ascii="宋体" w:hAnsi="宋体" w:eastAsia="宋体" w:cs="宋体"/>
                <w:color w:val="auto"/>
                <w:sz w:val="21"/>
                <w:szCs w:val="21"/>
                <w:highlight w:val="none"/>
              </w:rPr>
            </w:pPr>
          </w:p>
        </w:tc>
        <w:tc>
          <w:tcPr>
            <w:tcW w:w="816" w:type="dxa"/>
            <w:vAlign w:val="center"/>
          </w:tcPr>
          <w:p w14:paraId="4EF8AB8A">
            <w:pPr>
              <w:pStyle w:val="53"/>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3"/>
              <w:jc w:val="center"/>
              <w:rPr>
                <w:rFonts w:hint="eastAsia" w:ascii="宋体" w:hAnsi="宋体" w:eastAsia="宋体" w:cs="宋体"/>
                <w:color w:val="auto"/>
                <w:sz w:val="21"/>
                <w:szCs w:val="21"/>
                <w:highlight w:val="none"/>
              </w:rPr>
            </w:pPr>
            <w:bookmarkStart w:id="669" w:name="_Toc100090790"/>
            <w:bookmarkStart w:id="670" w:name="_Toc99533298"/>
            <w:r>
              <w:rPr>
                <w:rFonts w:hint="eastAsia" w:ascii="宋体" w:hAnsi="宋体" w:eastAsia="宋体" w:cs="宋体"/>
                <w:color w:val="auto"/>
                <w:sz w:val="21"/>
                <w:szCs w:val="21"/>
                <w:highlight w:val="none"/>
              </w:rPr>
              <w:t>7</w:t>
            </w:r>
            <w:bookmarkEnd w:id="669"/>
            <w:bookmarkEnd w:id="670"/>
          </w:p>
        </w:tc>
        <w:tc>
          <w:tcPr>
            <w:tcW w:w="1267" w:type="dxa"/>
            <w:vAlign w:val="center"/>
          </w:tcPr>
          <w:p w14:paraId="3F3B684D">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3"/>
              <w:jc w:val="center"/>
              <w:rPr>
                <w:rFonts w:hint="eastAsia" w:ascii="宋体" w:hAnsi="宋体" w:eastAsia="宋体" w:cs="宋体"/>
                <w:color w:val="auto"/>
                <w:sz w:val="21"/>
                <w:szCs w:val="21"/>
                <w:highlight w:val="none"/>
              </w:rPr>
            </w:pPr>
          </w:p>
        </w:tc>
        <w:tc>
          <w:tcPr>
            <w:tcW w:w="1860" w:type="dxa"/>
            <w:vAlign w:val="center"/>
          </w:tcPr>
          <w:p w14:paraId="7E9B2A2D">
            <w:pPr>
              <w:pStyle w:val="53"/>
              <w:jc w:val="center"/>
              <w:rPr>
                <w:rFonts w:hint="eastAsia" w:ascii="宋体" w:hAnsi="宋体" w:eastAsia="宋体" w:cs="宋体"/>
                <w:color w:val="auto"/>
                <w:sz w:val="21"/>
                <w:szCs w:val="21"/>
                <w:highlight w:val="none"/>
              </w:rPr>
            </w:pPr>
          </w:p>
        </w:tc>
        <w:tc>
          <w:tcPr>
            <w:tcW w:w="1356" w:type="dxa"/>
            <w:vAlign w:val="center"/>
          </w:tcPr>
          <w:p w14:paraId="4A11C356">
            <w:pPr>
              <w:pStyle w:val="53"/>
              <w:jc w:val="center"/>
              <w:rPr>
                <w:rFonts w:hint="eastAsia" w:ascii="宋体" w:hAnsi="宋体" w:eastAsia="宋体" w:cs="宋体"/>
                <w:color w:val="auto"/>
                <w:sz w:val="21"/>
                <w:szCs w:val="21"/>
                <w:highlight w:val="none"/>
              </w:rPr>
            </w:pPr>
          </w:p>
        </w:tc>
        <w:tc>
          <w:tcPr>
            <w:tcW w:w="816" w:type="dxa"/>
            <w:vAlign w:val="center"/>
          </w:tcPr>
          <w:p w14:paraId="718DD530">
            <w:pPr>
              <w:pStyle w:val="53"/>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3"/>
              <w:jc w:val="center"/>
              <w:rPr>
                <w:rFonts w:hint="eastAsia" w:ascii="宋体" w:hAnsi="宋体" w:eastAsia="宋体" w:cs="宋体"/>
                <w:color w:val="auto"/>
                <w:sz w:val="21"/>
                <w:szCs w:val="21"/>
                <w:highlight w:val="none"/>
              </w:rPr>
            </w:pPr>
            <w:bookmarkStart w:id="671" w:name="_Toc100090791"/>
            <w:bookmarkStart w:id="672" w:name="_Toc99533299"/>
            <w:r>
              <w:rPr>
                <w:rFonts w:hint="eastAsia" w:ascii="宋体" w:hAnsi="宋体" w:eastAsia="宋体" w:cs="宋体"/>
                <w:color w:val="auto"/>
                <w:sz w:val="21"/>
                <w:szCs w:val="21"/>
                <w:highlight w:val="none"/>
              </w:rPr>
              <w:t>8</w:t>
            </w:r>
            <w:bookmarkEnd w:id="671"/>
            <w:bookmarkEnd w:id="672"/>
          </w:p>
        </w:tc>
        <w:tc>
          <w:tcPr>
            <w:tcW w:w="1267" w:type="dxa"/>
            <w:vAlign w:val="center"/>
          </w:tcPr>
          <w:p w14:paraId="20BD29D0">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3"/>
              <w:jc w:val="center"/>
              <w:rPr>
                <w:rFonts w:hint="eastAsia" w:ascii="宋体" w:hAnsi="宋体" w:eastAsia="宋体" w:cs="宋体"/>
                <w:color w:val="auto"/>
                <w:sz w:val="21"/>
                <w:szCs w:val="21"/>
                <w:highlight w:val="none"/>
              </w:rPr>
            </w:pPr>
          </w:p>
        </w:tc>
        <w:tc>
          <w:tcPr>
            <w:tcW w:w="1860" w:type="dxa"/>
            <w:vAlign w:val="center"/>
          </w:tcPr>
          <w:p w14:paraId="292DF220">
            <w:pPr>
              <w:pStyle w:val="53"/>
              <w:jc w:val="center"/>
              <w:rPr>
                <w:rFonts w:hint="eastAsia" w:ascii="宋体" w:hAnsi="宋体" w:eastAsia="宋体" w:cs="宋体"/>
                <w:color w:val="auto"/>
                <w:sz w:val="21"/>
                <w:szCs w:val="21"/>
                <w:highlight w:val="none"/>
              </w:rPr>
            </w:pPr>
          </w:p>
        </w:tc>
        <w:tc>
          <w:tcPr>
            <w:tcW w:w="1356" w:type="dxa"/>
            <w:vAlign w:val="center"/>
          </w:tcPr>
          <w:p w14:paraId="70F58594">
            <w:pPr>
              <w:pStyle w:val="53"/>
              <w:jc w:val="center"/>
              <w:rPr>
                <w:rFonts w:hint="eastAsia" w:ascii="宋体" w:hAnsi="宋体" w:eastAsia="宋体" w:cs="宋体"/>
                <w:color w:val="auto"/>
                <w:sz w:val="21"/>
                <w:szCs w:val="21"/>
                <w:highlight w:val="none"/>
              </w:rPr>
            </w:pPr>
          </w:p>
        </w:tc>
        <w:tc>
          <w:tcPr>
            <w:tcW w:w="816" w:type="dxa"/>
            <w:vAlign w:val="center"/>
          </w:tcPr>
          <w:p w14:paraId="247AF589">
            <w:pPr>
              <w:pStyle w:val="53"/>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3"/>
              <w:jc w:val="center"/>
              <w:rPr>
                <w:rFonts w:hint="eastAsia" w:ascii="宋体" w:hAnsi="宋体" w:eastAsia="宋体" w:cs="宋体"/>
                <w:color w:val="auto"/>
                <w:sz w:val="21"/>
                <w:szCs w:val="21"/>
                <w:highlight w:val="none"/>
              </w:rPr>
            </w:pPr>
            <w:bookmarkStart w:id="673" w:name="_Toc100090792"/>
            <w:bookmarkStart w:id="674" w:name="_Toc99533300"/>
            <w:r>
              <w:rPr>
                <w:rFonts w:hint="eastAsia" w:ascii="宋体" w:hAnsi="宋体" w:eastAsia="宋体" w:cs="宋体"/>
                <w:color w:val="auto"/>
                <w:sz w:val="21"/>
                <w:szCs w:val="21"/>
                <w:highlight w:val="none"/>
              </w:rPr>
              <w:t>9</w:t>
            </w:r>
            <w:bookmarkEnd w:id="673"/>
            <w:bookmarkEnd w:id="674"/>
          </w:p>
        </w:tc>
        <w:tc>
          <w:tcPr>
            <w:tcW w:w="1267" w:type="dxa"/>
            <w:vAlign w:val="center"/>
          </w:tcPr>
          <w:p w14:paraId="6C5090EC">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3"/>
              <w:jc w:val="center"/>
              <w:rPr>
                <w:rFonts w:hint="eastAsia" w:ascii="宋体" w:hAnsi="宋体" w:eastAsia="宋体" w:cs="宋体"/>
                <w:color w:val="auto"/>
                <w:sz w:val="21"/>
                <w:szCs w:val="21"/>
                <w:highlight w:val="none"/>
              </w:rPr>
            </w:pPr>
          </w:p>
        </w:tc>
        <w:tc>
          <w:tcPr>
            <w:tcW w:w="1860" w:type="dxa"/>
            <w:vAlign w:val="center"/>
          </w:tcPr>
          <w:p w14:paraId="337B4053">
            <w:pPr>
              <w:pStyle w:val="53"/>
              <w:jc w:val="center"/>
              <w:rPr>
                <w:rFonts w:hint="eastAsia" w:ascii="宋体" w:hAnsi="宋体" w:eastAsia="宋体" w:cs="宋体"/>
                <w:color w:val="auto"/>
                <w:sz w:val="21"/>
                <w:szCs w:val="21"/>
                <w:highlight w:val="none"/>
              </w:rPr>
            </w:pPr>
          </w:p>
        </w:tc>
        <w:tc>
          <w:tcPr>
            <w:tcW w:w="1356" w:type="dxa"/>
            <w:vAlign w:val="center"/>
          </w:tcPr>
          <w:p w14:paraId="7D6C0C38">
            <w:pPr>
              <w:pStyle w:val="53"/>
              <w:jc w:val="center"/>
              <w:rPr>
                <w:rFonts w:hint="eastAsia" w:ascii="宋体" w:hAnsi="宋体" w:eastAsia="宋体" w:cs="宋体"/>
                <w:color w:val="auto"/>
                <w:sz w:val="21"/>
                <w:szCs w:val="21"/>
                <w:highlight w:val="none"/>
              </w:rPr>
            </w:pPr>
          </w:p>
        </w:tc>
        <w:tc>
          <w:tcPr>
            <w:tcW w:w="816" w:type="dxa"/>
            <w:vAlign w:val="center"/>
          </w:tcPr>
          <w:p w14:paraId="45D99552">
            <w:pPr>
              <w:pStyle w:val="53"/>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3"/>
              <w:jc w:val="center"/>
              <w:rPr>
                <w:rFonts w:hint="eastAsia" w:ascii="宋体" w:hAnsi="宋体" w:eastAsia="宋体" w:cs="宋体"/>
                <w:color w:val="auto"/>
                <w:sz w:val="21"/>
                <w:szCs w:val="21"/>
                <w:highlight w:val="none"/>
              </w:rPr>
            </w:pPr>
            <w:bookmarkStart w:id="675" w:name="_Toc99533301"/>
            <w:bookmarkStart w:id="676" w:name="_Toc100090793"/>
            <w:r>
              <w:rPr>
                <w:rFonts w:hint="eastAsia" w:ascii="宋体" w:hAnsi="宋体" w:eastAsia="宋体" w:cs="宋体"/>
                <w:color w:val="auto"/>
                <w:sz w:val="21"/>
                <w:szCs w:val="21"/>
                <w:highlight w:val="none"/>
              </w:rPr>
              <w:t>10</w:t>
            </w:r>
            <w:bookmarkEnd w:id="675"/>
            <w:bookmarkEnd w:id="676"/>
          </w:p>
        </w:tc>
        <w:tc>
          <w:tcPr>
            <w:tcW w:w="1267" w:type="dxa"/>
            <w:vAlign w:val="center"/>
          </w:tcPr>
          <w:p w14:paraId="0D84E205">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3"/>
              <w:jc w:val="center"/>
              <w:rPr>
                <w:rFonts w:hint="eastAsia" w:ascii="宋体" w:hAnsi="宋体" w:eastAsia="宋体" w:cs="宋体"/>
                <w:color w:val="auto"/>
                <w:sz w:val="21"/>
                <w:szCs w:val="21"/>
                <w:highlight w:val="none"/>
              </w:rPr>
            </w:pPr>
          </w:p>
        </w:tc>
        <w:tc>
          <w:tcPr>
            <w:tcW w:w="1860" w:type="dxa"/>
            <w:vAlign w:val="center"/>
          </w:tcPr>
          <w:p w14:paraId="7790D037">
            <w:pPr>
              <w:pStyle w:val="53"/>
              <w:jc w:val="center"/>
              <w:rPr>
                <w:rFonts w:hint="eastAsia" w:ascii="宋体" w:hAnsi="宋体" w:eastAsia="宋体" w:cs="宋体"/>
                <w:color w:val="auto"/>
                <w:sz w:val="21"/>
                <w:szCs w:val="21"/>
                <w:highlight w:val="none"/>
              </w:rPr>
            </w:pPr>
          </w:p>
        </w:tc>
        <w:tc>
          <w:tcPr>
            <w:tcW w:w="1356" w:type="dxa"/>
            <w:vAlign w:val="center"/>
          </w:tcPr>
          <w:p w14:paraId="7B74B27D">
            <w:pPr>
              <w:pStyle w:val="53"/>
              <w:jc w:val="center"/>
              <w:rPr>
                <w:rFonts w:hint="eastAsia" w:ascii="宋体" w:hAnsi="宋体" w:eastAsia="宋体" w:cs="宋体"/>
                <w:color w:val="auto"/>
                <w:sz w:val="21"/>
                <w:szCs w:val="21"/>
                <w:highlight w:val="none"/>
              </w:rPr>
            </w:pPr>
          </w:p>
        </w:tc>
        <w:tc>
          <w:tcPr>
            <w:tcW w:w="816" w:type="dxa"/>
            <w:vAlign w:val="center"/>
          </w:tcPr>
          <w:p w14:paraId="77E1C162">
            <w:pPr>
              <w:pStyle w:val="53"/>
              <w:jc w:val="center"/>
              <w:rPr>
                <w:rFonts w:hint="eastAsia" w:ascii="宋体" w:hAnsi="宋体" w:eastAsia="宋体" w:cs="宋体"/>
                <w:color w:val="auto"/>
                <w:sz w:val="21"/>
                <w:szCs w:val="21"/>
                <w:highlight w:val="none"/>
              </w:rPr>
            </w:pPr>
          </w:p>
        </w:tc>
      </w:tr>
    </w:tbl>
    <w:p w14:paraId="72DBC0B8">
      <w:pPr>
        <w:rPr>
          <w:color w:val="auto"/>
          <w:highlight w:val="none"/>
        </w:rPr>
      </w:pPr>
    </w:p>
    <w:p w14:paraId="4ABA739A">
      <w:pPr>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注：1.按招标文件要求在本表后附相关人员证书。</w:t>
      </w: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2.本表可根据招标文件自行增加内容或删除内容。</w:t>
      </w:r>
    </w:p>
    <w:p w14:paraId="51ED7B0D">
      <w:pPr>
        <w:rPr>
          <w:color w:val="auto"/>
          <w:highlight w:val="none"/>
        </w:rPr>
      </w:pPr>
      <w:r>
        <w:rPr>
          <w:rFonts w:hint="eastAsia" w:cs="仿宋_GB2312"/>
          <w:color w:val="auto"/>
          <w:sz w:val="21"/>
          <w:szCs w:val="21"/>
          <w:highlight w:val="none"/>
          <w:lang w:val="en-US" w:eastAsia="zh-CN"/>
        </w:rPr>
        <w:t>3.如投标人中标，须按本表项目组成人员操作，不得随意更换。</w:t>
      </w:r>
      <w:r>
        <w:rPr>
          <w:color w:val="auto"/>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7" w:name="_Toc24401"/>
      <w:bookmarkStart w:id="678" w:name="_Toc11129"/>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、技术方案</w:t>
      </w:r>
      <w:bookmarkEnd w:id="677"/>
      <w:bookmarkEnd w:id="678"/>
    </w:p>
    <w:p w14:paraId="7078B366">
      <w:pPr>
        <w:pStyle w:val="41"/>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41"/>
        <w:rPr>
          <w:color w:val="auto"/>
          <w:highlight w:val="none"/>
        </w:rPr>
      </w:pPr>
      <w:r>
        <w:rPr>
          <w:color w:val="auto"/>
          <w:highlight w:val="none"/>
        </w:rPr>
        <w:br w:type="page"/>
      </w: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9" w:name="_Toc8606"/>
      <w:bookmarkStart w:id="680" w:name="_Toc12261"/>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、其他文件</w:t>
      </w:r>
      <w:bookmarkEnd w:id="679"/>
      <w:bookmarkEnd w:id="680"/>
    </w:p>
    <w:p w14:paraId="6EF40482">
      <w:pPr>
        <w:pStyle w:val="41"/>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41"/>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41"/>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41"/>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41"/>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41"/>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41"/>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41"/>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41"/>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41"/>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41"/>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41"/>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41"/>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41"/>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1"/>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1"/>
        <w:rPr>
          <w:rFonts w:hint="eastAsia"/>
          <w:color w:val="auto"/>
          <w:sz w:val="28"/>
          <w:szCs w:val="28"/>
          <w:highlight w:val="none"/>
          <w:lang w:val="en-US" w:eastAsia="zh-CN"/>
        </w:rPr>
      </w:pPr>
    </w:p>
    <w:p w14:paraId="3CD7B018">
      <w:pPr>
        <w:pStyle w:val="41"/>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41"/>
        <w:ind w:left="0" w:leftChars="0" w:firstLine="0" w:firstLineChars="0"/>
        <w:rPr>
          <w:rFonts w:hint="eastAsia"/>
          <w:b/>
          <w:bCs/>
          <w:color w:val="auto"/>
          <w:sz w:val="24"/>
          <w:szCs w:val="24"/>
          <w:highlight w:val="none"/>
          <w:lang w:eastAsia="zh-CN"/>
        </w:rPr>
      </w:pPr>
    </w:p>
    <w:p w14:paraId="7DF13FE9">
      <w:pPr>
        <w:pStyle w:val="41"/>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41"/>
        <w:rPr>
          <w:rFonts w:hint="eastAsia"/>
          <w:color w:val="auto"/>
          <w:highlight w:val="none"/>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10" w:usb3="00000000" w:csb0="0004009F"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0"/>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0"/>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C6688">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AC6688">
                    <w:pPr>
                      <w:pStyle w:val="20"/>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20"/>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20"/>
                          <w:jc w:val="center"/>
                        </w:pPr>
                        <w:r>
                          <w:rPr>
                            <w:rFonts w:hint="eastAsia"/>
                            <w:lang w:eastAsia="zh-CN"/>
                          </w:rPr>
                          <w:t xml:space="preserve">     </w:t>
                        </w:r>
                      </w:p>
                    </w:sdtContent>
                  </w:sdt>
                  <w:p w14:paraId="7C39B3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B02A9">
                          <w:pPr>
                            <w:pStyle w:val="20"/>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8B02A9">
                    <w:pPr>
                      <w:pStyle w:val="20"/>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6C168">
                          <w:pPr>
                            <w:pStyle w:val="20"/>
                          </w:pPr>
                          <w:r>
                            <w:fldChar w:fldCharType="begin"/>
                          </w:r>
                          <w:r>
                            <w:instrText xml:space="preserve"> PAGE  \* MERGEFORMAT </w:instrText>
                          </w:r>
                          <w:r>
                            <w:fldChar w:fldCharType="separate"/>
                          </w:r>
                          <w:r>
                            <w:t>- 84 -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F6C168">
                    <w:pPr>
                      <w:pStyle w:val="20"/>
                    </w:pPr>
                    <w:r>
                      <w:fldChar w:fldCharType="begin"/>
                    </w:r>
                    <w:r>
                      <w:instrText xml:space="preserve"> PAGE  \* MERGEFORMAT </w:instrText>
                    </w:r>
                    <w:r>
                      <w:fldChar w:fldCharType="separate"/>
                    </w:r>
                    <w:r>
                      <w:t>- 84 -</w:t>
                    </w:r>
                    <w:r>
                      <w:fldChar w:fldCharType="end"/>
                    </w:r>
                  </w:p>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1"/>
      <w:keepNext w:val="0"/>
      <w:keepLines w:val="0"/>
      <w:pageBreakBefore w:val="0"/>
      <w:widowControl w:val="0"/>
      <w:kinsoku/>
      <w:wordWrap/>
      <w:overflowPunct/>
      <w:topLinePunct w:val="0"/>
      <w:bidi w:val="0"/>
      <w:adjustRightInd/>
      <w:snapToGrid w:val="0"/>
      <w:jc w:val="righ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11039"/>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5A34EF"/>
    <w:rsid w:val="028604AE"/>
    <w:rsid w:val="029D33DC"/>
    <w:rsid w:val="02A4476B"/>
    <w:rsid w:val="02AD3196"/>
    <w:rsid w:val="02AE1145"/>
    <w:rsid w:val="02C44E0D"/>
    <w:rsid w:val="02DA63DE"/>
    <w:rsid w:val="02ED7EC0"/>
    <w:rsid w:val="03200295"/>
    <w:rsid w:val="035E2B6B"/>
    <w:rsid w:val="0361440A"/>
    <w:rsid w:val="036D7252"/>
    <w:rsid w:val="03773C2D"/>
    <w:rsid w:val="038A29F8"/>
    <w:rsid w:val="03922815"/>
    <w:rsid w:val="03C350C4"/>
    <w:rsid w:val="03E2554B"/>
    <w:rsid w:val="03EA08A3"/>
    <w:rsid w:val="03F51722"/>
    <w:rsid w:val="03F62DA4"/>
    <w:rsid w:val="04066E90"/>
    <w:rsid w:val="045126D0"/>
    <w:rsid w:val="0459070A"/>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9114AA"/>
    <w:rsid w:val="06AE7966"/>
    <w:rsid w:val="06B07B82"/>
    <w:rsid w:val="06B11166"/>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0C0EA0"/>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770F81"/>
    <w:rsid w:val="0C874EE1"/>
    <w:rsid w:val="0C8A677F"/>
    <w:rsid w:val="0CAA0BCF"/>
    <w:rsid w:val="0CC04897"/>
    <w:rsid w:val="0CD520F0"/>
    <w:rsid w:val="0CD67C16"/>
    <w:rsid w:val="0CD81BE1"/>
    <w:rsid w:val="0D0C53E6"/>
    <w:rsid w:val="0D156F90"/>
    <w:rsid w:val="0D1C7D1F"/>
    <w:rsid w:val="0D2210AE"/>
    <w:rsid w:val="0D2766C4"/>
    <w:rsid w:val="0D6B6E82"/>
    <w:rsid w:val="0D847E39"/>
    <w:rsid w:val="0D9D0734"/>
    <w:rsid w:val="0DA90E87"/>
    <w:rsid w:val="0DAF0B93"/>
    <w:rsid w:val="0DB241E0"/>
    <w:rsid w:val="0DB74AC1"/>
    <w:rsid w:val="0DC14423"/>
    <w:rsid w:val="0DC83A03"/>
    <w:rsid w:val="0DCD1019"/>
    <w:rsid w:val="0DE10B00"/>
    <w:rsid w:val="0DEF71E2"/>
    <w:rsid w:val="0E0D58BA"/>
    <w:rsid w:val="0E0F1632"/>
    <w:rsid w:val="0E342E47"/>
    <w:rsid w:val="0E460DCC"/>
    <w:rsid w:val="0E464928"/>
    <w:rsid w:val="0E651252"/>
    <w:rsid w:val="0E653000"/>
    <w:rsid w:val="0E68581A"/>
    <w:rsid w:val="0E6D45AA"/>
    <w:rsid w:val="0E72396F"/>
    <w:rsid w:val="0E796AAB"/>
    <w:rsid w:val="0E7C0027"/>
    <w:rsid w:val="0E7F6315"/>
    <w:rsid w:val="0E90559A"/>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BF040C"/>
    <w:rsid w:val="13C32BEB"/>
    <w:rsid w:val="13E470BD"/>
    <w:rsid w:val="13E62E35"/>
    <w:rsid w:val="13EA4C92"/>
    <w:rsid w:val="14065285"/>
    <w:rsid w:val="14223741"/>
    <w:rsid w:val="143F42F3"/>
    <w:rsid w:val="144731A8"/>
    <w:rsid w:val="1457788F"/>
    <w:rsid w:val="14717C9A"/>
    <w:rsid w:val="147F2942"/>
    <w:rsid w:val="14850B3C"/>
    <w:rsid w:val="14AF7789"/>
    <w:rsid w:val="14BF5434"/>
    <w:rsid w:val="14BF71E2"/>
    <w:rsid w:val="14D50D33"/>
    <w:rsid w:val="14EF1875"/>
    <w:rsid w:val="14F50E56"/>
    <w:rsid w:val="151E65FF"/>
    <w:rsid w:val="152030DE"/>
    <w:rsid w:val="1537321C"/>
    <w:rsid w:val="154020D1"/>
    <w:rsid w:val="15681628"/>
    <w:rsid w:val="159D7523"/>
    <w:rsid w:val="15A840F3"/>
    <w:rsid w:val="15A9411A"/>
    <w:rsid w:val="15B30AF5"/>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6FE3270"/>
    <w:rsid w:val="1711641B"/>
    <w:rsid w:val="17154973"/>
    <w:rsid w:val="1719707D"/>
    <w:rsid w:val="171F1E06"/>
    <w:rsid w:val="17215F32"/>
    <w:rsid w:val="172872C1"/>
    <w:rsid w:val="17457E73"/>
    <w:rsid w:val="17461B3F"/>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6F3B46"/>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E1468"/>
    <w:rsid w:val="1B825739"/>
    <w:rsid w:val="1B83540D"/>
    <w:rsid w:val="1B883828"/>
    <w:rsid w:val="1BA85854"/>
    <w:rsid w:val="1BC17CE4"/>
    <w:rsid w:val="1BCC0B62"/>
    <w:rsid w:val="1BDD4B1E"/>
    <w:rsid w:val="1BE718C7"/>
    <w:rsid w:val="1C146065"/>
    <w:rsid w:val="1C4032FE"/>
    <w:rsid w:val="1C406E5A"/>
    <w:rsid w:val="1C495921"/>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9E629C"/>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690166"/>
    <w:rsid w:val="207B2DC6"/>
    <w:rsid w:val="20803CC9"/>
    <w:rsid w:val="209239FD"/>
    <w:rsid w:val="209B1573"/>
    <w:rsid w:val="20B47E17"/>
    <w:rsid w:val="20DA3F99"/>
    <w:rsid w:val="20E71F9A"/>
    <w:rsid w:val="20E97AC1"/>
    <w:rsid w:val="20EA2A65"/>
    <w:rsid w:val="20EF2BFD"/>
    <w:rsid w:val="210112AE"/>
    <w:rsid w:val="212F12B7"/>
    <w:rsid w:val="214E2A84"/>
    <w:rsid w:val="21817CF9"/>
    <w:rsid w:val="21884BA0"/>
    <w:rsid w:val="219519F6"/>
    <w:rsid w:val="2197576F"/>
    <w:rsid w:val="219E6AFD"/>
    <w:rsid w:val="21A421EE"/>
    <w:rsid w:val="21A659B2"/>
    <w:rsid w:val="21B55BF5"/>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50B58"/>
    <w:rsid w:val="232C78F9"/>
    <w:rsid w:val="23411E36"/>
    <w:rsid w:val="234D0B5D"/>
    <w:rsid w:val="235C6C70"/>
    <w:rsid w:val="23614286"/>
    <w:rsid w:val="23776C53"/>
    <w:rsid w:val="23CC02AC"/>
    <w:rsid w:val="23CC5B62"/>
    <w:rsid w:val="23CD510E"/>
    <w:rsid w:val="24170DE9"/>
    <w:rsid w:val="243472A5"/>
    <w:rsid w:val="2440076D"/>
    <w:rsid w:val="24A563F4"/>
    <w:rsid w:val="24B228BF"/>
    <w:rsid w:val="24C15199"/>
    <w:rsid w:val="24CE288D"/>
    <w:rsid w:val="24D44ABD"/>
    <w:rsid w:val="24EF7670"/>
    <w:rsid w:val="24F46A34"/>
    <w:rsid w:val="25034EC9"/>
    <w:rsid w:val="251946ED"/>
    <w:rsid w:val="25777D91"/>
    <w:rsid w:val="25781413"/>
    <w:rsid w:val="257858B7"/>
    <w:rsid w:val="258506D6"/>
    <w:rsid w:val="258B383C"/>
    <w:rsid w:val="259455FA"/>
    <w:rsid w:val="259719F3"/>
    <w:rsid w:val="25A85098"/>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70C62B7"/>
    <w:rsid w:val="271E5FEA"/>
    <w:rsid w:val="272F7095"/>
    <w:rsid w:val="276B56D3"/>
    <w:rsid w:val="276E687B"/>
    <w:rsid w:val="277125BE"/>
    <w:rsid w:val="27802801"/>
    <w:rsid w:val="278A123C"/>
    <w:rsid w:val="279F537D"/>
    <w:rsid w:val="27A82FCC"/>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1FEF"/>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79766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5B4A3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452C89"/>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A353B"/>
    <w:rsid w:val="2F452CAE"/>
    <w:rsid w:val="2F542EF1"/>
    <w:rsid w:val="2F5D70AC"/>
    <w:rsid w:val="2F8B61E7"/>
    <w:rsid w:val="2F9D6C1D"/>
    <w:rsid w:val="2FA36C75"/>
    <w:rsid w:val="2FA84FEB"/>
    <w:rsid w:val="2FBE036A"/>
    <w:rsid w:val="302428C3"/>
    <w:rsid w:val="30297EDA"/>
    <w:rsid w:val="302C5C1C"/>
    <w:rsid w:val="303074BA"/>
    <w:rsid w:val="30405223"/>
    <w:rsid w:val="306929CC"/>
    <w:rsid w:val="306B405E"/>
    <w:rsid w:val="306C7DC6"/>
    <w:rsid w:val="307F1BC0"/>
    <w:rsid w:val="30832D34"/>
    <w:rsid w:val="30872E52"/>
    <w:rsid w:val="308C4B30"/>
    <w:rsid w:val="309C1B2B"/>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CF62BC"/>
    <w:rsid w:val="32E165BD"/>
    <w:rsid w:val="32FA3DAF"/>
    <w:rsid w:val="32FA5FAE"/>
    <w:rsid w:val="33044C2E"/>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2478F"/>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237817"/>
    <w:rsid w:val="384B3FA8"/>
    <w:rsid w:val="3854528C"/>
    <w:rsid w:val="38565141"/>
    <w:rsid w:val="38602906"/>
    <w:rsid w:val="389F176C"/>
    <w:rsid w:val="38A00F55"/>
    <w:rsid w:val="38B95B73"/>
    <w:rsid w:val="38BB2542"/>
    <w:rsid w:val="38C509BB"/>
    <w:rsid w:val="38CF183A"/>
    <w:rsid w:val="38E30E42"/>
    <w:rsid w:val="38EF5A38"/>
    <w:rsid w:val="38F33028"/>
    <w:rsid w:val="39036257"/>
    <w:rsid w:val="390F1199"/>
    <w:rsid w:val="39367F12"/>
    <w:rsid w:val="394538AA"/>
    <w:rsid w:val="39495149"/>
    <w:rsid w:val="394D5E49"/>
    <w:rsid w:val="39553AED"/>
    <w:rsid w:val="397104ED"/>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3C6A5B"/>
    <w:rsid w:val="3A456E52"/>
    <w:rsid w:val="3A463AB7"/>
    <w:rsid w:val="3A4B6C9E"/>
    <w:rsid w:val="3A63111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40A20"/>
    <w:rsid w:val="3B9A415A"/>
    <w:rsid w:val="3BA2244B"/>
    <w:rsid w:val="3BB07701"/>
    <w:rsid w:val="3BB2349B"/>
    <w:rsid w:val="3BB865B6"/>
    <w:rsid w:val="3BBF7944"/>
    <w:rsid w:val="3BC82C9D"/>
    <w:rsid w:val="3BEE1F9C"/>
    <w:rsid w:val="3C0D4B53"/>
    <w:rsid w:val="3C137C90"/>
    <w:rsid w:val="3C2105FF"/>
    <w:rsid w:val="3C372D23"/>
    <w:rsid w:val="3C447E49"/>
    <w:rsid w:val="3C4B380F"/>
    <w:rsid w:val="3C4F6F1A"/>
    <w:rsid w:val="3C511E12"/>
    <w:rsid w:val="3C5F2ED5"/>
    <w:rsid w:val="3C97441D"/>
    <w:rsid w:val="3CA408E8"/>
    <w:rsid w:val="3CA64660"/>
    <w:rsid w:val="3CBD0327"/>
    <w:rsid w:val="3CC14C1F"/>
    <w:rsid w:val="3CD0758C"/>
    <w:rsid w:val="3CDB6841"/>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3808D4"/>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6F51DD"/>
    <w:rsid w:val="3F7153F9"/>
    <w:rsid w:val="3F720A50"/>
    <w:rsid w:val="3F740A45"/>
    <w:rsid w:val="3F917849"/>
    <w:rsid w:val="3F9B0612"/>
    <w:rsid w:val="3F9D1D4A"/>
    <w:rsid w:val="3FA241A2"/>
    <w:rsid w:val="3FAA4467"/>
    <w:rsid w:val="3FAC01DF"/>
    <w:rsid w:val="3FB4343D"/>
    <w:rsid w:val="3FD85478"/>
    <w:rsid w:val="40155D85"/>
    <w:rsid w:val="403A57EB"/>
    <w:rsid w:val="404B3E9C"/>
    <w:rsid w:val="4061546E"/>
    <w:rsid w:val="4079067E"/>
    <w:rsid w:val="4093139F"/>
    <w:rsid w:val="409343AF"/>
    <w:rsid w:val="409A0980"/>
    <w:rsid w:val="40AC655D"/>
    <w:rsid w:val="40BE01CA"/>
    <w:rsid w:val="40D75730"/>
    <w:rsid w:val="40E63BC5"/>
    <w:rsid w:val="40FA4F7A"/>
    <w:rsid w:val="41362456"/>
    <w:rsid w:val="413C37E5"/>
    <w:rsid w:val="413C5593"/>
    <w:rsid w:val="41487F61"/>
    <w:rsid w:val="414A5F02"/>
    <w:rsid w:val="415648A7"/>
    <w:rsid w:val="415A71E1"/>
    <w:rsid w:val="41630D72"/>
    <w:rsid w:val="416D399E"/>
    <w:rsid w:val="419B675D"/>
    <w:rsid w:val="419F484B"/>
    <w:rsid w:val="41AA69A0"/>
    <w:rsid w:val="41B15F81"/>
    <w:rsid w:val="41C31810"/>
    <w:rsid w:val="41E225DE"/>
    <w:rsid w:val="41F8595E"/>
    <w:rsid w:val="420A4D1B"/>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1E778D"/>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CB5703"/>
    <w:rsid w:val="43D85A47"/>
    <w:rsid w:val="43DB7756"/>
    <w:rsid w:val="43DE0B83"/>
    <w:rsid w:val="43E97C54"/>
    <w:rsid w:val="43F839F3"/>
    <w:rsid w:val="44022AC4"/>
    <w:rsid w:val="44044A8E"/>
    <w:rsid w:val="44187E73"/>
    <w:rsid w:val="44236B1E"/>
    <w:rsid w:val="44244662"/>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03FBA"/>
    <w:rsid w:val="46590D6C"/>
    <w:rsid w:val="465E4A23"/>
    <w:rsid w:val="4672304E"/>
    <w:rsid w:val="46843C64"/>
    <w:rsid w:val="469F45FA"/>
    <w:rsid w:val="46A460B4"/>
    <w:rsid w:val="46AF05B5"/>
    <w:rsid w:val="46BA280B"/>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32600"/>
    <w:rsid w:val="499A718B"/>
    <w:rsid w:val="49B52386"/>
    <w:rsid w:val="49DF11B1"/>
    <w:rsid w:val="49EC3FFA"/>
    <w:rsid w:val="49F72751"/>
    <w:rsid w:val="4A1B668D"/>
    <w:rsid w:val="4A1E3C56"/>
    <w:rsid w:val="4A1E617D"/>
    <w:rsid w:val="4A280647"/>
    <w:rsid w:val="4A3B69AF"/>
    <w:rsid w:val="4A421E6C"/>
    <w:rsid w:val="4A6D24A3"/>
    <w:rsid w:val="4A730023"/>
    <w:rsid w:val="4A8833F8"/>
    <w:rsid w:val="4A8A619F"/>
    <w:rsid w:val="4AA2290B"/>
    <w:rsid w:val="4AD46AF0"/>
    <w:rsid w:val="4ADF76BB"/>
    <w:rsid w:val="4AE1272C"/>
    <w:rsid w:val="4AF31D4E"/>
    <w:rsid w:val="4AF64A04"/>
    <w:rsid w:val="4B125FF6"/>
    <w:rsid w:val="4B2B2900"/>
    <w:rsid w:val="4B3F45FD"/>
    <w:rsid w:val="4B4614E8"/>
    <w:rsid w:val="4B6C4CC7"/>
    <w:rsid w:val="4B7D0C82"/>
    <w:rsid w:val="4B8057E5"/>
    <w:rsid w:val="4B893ACB"/>
    <w:rsid w:val="4B8B339F"/>
    <w:rsid w:val="4B92472D"/>
    <w:rsid w:val="4BA82A12"/>
    <w:rsid w:val="4BA97CC9"/>
    <w:rsid w:val="4BD016F9"/>
    <w:rsid w:val="4BF47196"/>
    <w:rsid w:val="4C0575F5"/>
    <w:rsid w:val="4C0D46FC"/>
    <w:rsid w:val="4C13197E"/>
    <w:rsid w:val="4C231829"/>
    <w:rsid w:val="4C2B503E"/>
    <w:rsid w:val="4C312198"/>
    <w:rsid w:val="4C3253A4"/>
    <w:rsid w:val="4C3554D5"/>
    <w:rsid w:val="4C3E6FB9"/>
    <w:rsid w:val="4C481290"/>
    <w:rsid w:val="4C486BB6"/>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5425A"/>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754BA"/>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C3206"/>
    <w:rsid w:val="55BD221A"/>
    <w:rsid w:val="55C027DF"/>
    <w:rsid w:val="55CE2806"/>
    <w:rsid w:val="55D63DB0"/>
    <w:rsid w:val="55DB3175"/>
    <w:rsid w:val="55EE4C56"/>
    <w:rsid w:val="55EF55D4"/>
    <w:rsid w:val="55F61D5C"/>
    <w:rsid w:val="56051FA0"/>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6ED52AB"/>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907649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E4B07"/>
    <w:rsid w:val="5AC266B1"/>
    <w:rsid w:val="5AEE74A6"/>
    <w:rsid w:val="5AFA409D"/>
    <w:rsid w:val="5AFA5E4B"/>
    <w:rsid w:val="5B307ABF"/>
    <w:rsid w:val="5B321A89"/>
    <w:rsid w:val="5B32273E"/>
    <w:rsid w:val="5B353327"/>
    <w:rsid w:val="5B386973"/>
    <w:rsid w:val="5B4602DF"/>
    <w:rsid w:val="5B4A6DD2"/>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4A4BB0"/>
    <w:rsid w:val="5C537F09"/>
    <w:rsid w:val="5C5477DD"/>
    <w:rsid w:val="5C5E2B95"/>
    <w:rsid w:val="5C9A5B38"/>
    <w:rsid w:val="5C9C18B0"/>
    <w:rsid w:val="5CA17B70"/>
    <w:rsid w:val="5CA40764"/>
    <w:rsid w:val="5CAB5170"/>
    <w:rsid w:val="5CBD5382"/>
    <w:rsid w:val="5CD32DF8"/>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DC2437"/>
    <w:rsid w:val="5EF2352E"/>
    <w:rsid w:val="5EF57055"/>
    <w:rsid w:val="5EF763C6"/>
    <w:rsid w:val="5F08322C"/>
    <w:rsid w:val="5F1D3B3A"/>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0F67AB5"/>
    <w:rsid w:val="611834CF"/>
    <w:rsid w:val="61530A39"/>
    <w:rsid w:val="61637D56"/>
    <w:rsid w:val="6183303E"/>
    <w:rsid w:val="61923281"/>
    <w:rsid w:val="61AC3CD1"/>
    <w:rsid w:val="61B054B5"/>
    <w:rsid w:val="61FA4982"/>
    <w:rsid w:val="61FE695C"/>
    <w:rsid w:val="621912AD"/>
    <w:rsid w:val="621C6FEF"/>
    <w:rsid w:val="623076A4"/>
    <w:rsid w:val="62326812"/>
    <w:rsid w:val="62392C11"/>
    <w:rsid w:val="62571DD5"/>
    <w:rsid w:val="625B7377"/>
    <w:rsid w:val="6278019C"/>
    <w:rsid w:val="6285420B"/>
    <w:rsid w:val="628C1A7E"/>
    <w:rsid w:val="629B7F14"/>
    <w:rsid w:val="62A96AD4"/>
    <w:rsid w:val="62B2525D"/>
    <w:rsid w:val="62B66AFB"/>
    <w:rsid w:val="62BF0175"/>
    <w:rsid w:val="62C0797A"/>
    <w:rsid w:val="62FB09B2"/>
    <w:rsid w:val="62FB4E56"/>
    <w:rsid w:val="62FE04A2"/>
    <w:rsid w:val="631D29EB"/>
    <w:rsid w:val="633C6169"/>
    <w:rsid w:val="63500CFE"/>
    <w:rsid w:val="637A3FCD"/>
    <w:rsid w:val="63822EAD"/>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4C55C5"/>
    <w:rsid w:val="656767D3"/>
    <w:rsid w:val="65801643"/>
    <w:rsid w:val="6598698C"/>
    <w:rsid w:val="65A13CC9"/>
    <w:rsid w:val="65C94D98"/>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82B15"/>
    <w:rsid w:val="67293782"/>
    <w:rsid w:val="673646AF"/>
    <w:rsid w:val="675114E9"/>
    <w:rsid w:val="675863D3"/>
    <w:rsid w:val="679703E1"/>
    <w:rsid w:val="67A17496"/>
    <w:rsid w:val="67A965FC"/>
    <w:rsid w:val="67D62798"/>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6F3EA8"/>
    <w:rsid w:val="69731BEA"/>
    <w:rsid w:val="69765236"/>
    <w:rsid w:val="69790883"/>
    <w:rsid w:val="697A2F79"/>
    <w:rsid w:val="698A2F8A"/>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32A7F"/>
    <w:rsid w:val="6AC70588"/>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1038D"/>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C14D32"/>
    <w:rsid w:val="6FCD1928"/>
    <w:rsid w:val="6FD902CD"/>
    <w:rsid w:val="6FDE58E3"/>
    <w:rsid w:val="6FE61F3E"/>
    <w:rsid w:val="6FEB786B"/>
    <w:rsid w:val="6FF9428D"/>
    <w:rsid w:val="70161521"/>
    <w:rsid w:val="702F613F"/>
    <w:rsid w:val="703244E4"/>
    <w:rsid w:val="705636CC"/>
    <w:rsid w:val="70D31B19"/>
    <w:rsid w:val="70EE02BB"/>
    <w:rsid w:val="70FD0CB3"/>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332802"/>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7A5923"/>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D11CFE"/>
    <w:rsid w:val="76D67314"/>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C14342"/>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FF5F21"/>
    <w:rsid w:val="7A1B3962"/>
    <w:rsid w:val="7A2111EE"/>
    <w:rsid w:val="7A2F56B9"/>
    <w:rsid w:val="7A6D48C0"/>
    <w:rsid w:val="7A7268AA"/>
    <w:rsid w:val="7A765096"/>
    <w:rsid w:val="7A974046"/>
    <w:rsid w:val="7AAD65DE"/>
    <w:rsid w:val="7AC53928"/>
    <w:rsid w:val="7AC878BC"/>
    <w:rsid w:val="7ACA7190"/>
    <w:rsid w:val="7AEF309B"/>
    <w:rsid w:val="7AFD2AA0"/>
    <w:rsid w:val="7AFD57B8"/>
    <w:rsid w:val="7AFF1FD8"/>
    <w:rsid w:val="7B007056"/>
    <w:rsid w:val="7B02692A"/>
    <w:rsid w:val="7B2368A0"/>
    <w:rsid w:val="7B332F87"/>
    <w:rsid w:val="7B705F89"/>
    <w:rsid w:val="7B735A7A"/>
    <w:rsid w:val="7B887EC5"/>
    <w:rsid w:val="7B914152"/>
    <w:rsid w:val="7BAE0860"/>
    <w:rsid w:val="7BB17EFC"/>
    <w:rsid w:val="7BC60184"/>
    <w:rsid w:val="7BD5403F"/>
    <w:rsid w:val="7BD62248"/>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CFE329D"/>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4D0632"/>
    <w:rsid w:val="7F596D35"/>
    <w:rsid w:val="7F967F89"/>
    <w:rsid w:val="7F9935D5"/>
    <w:rsid w:val="7FA51F7A"/>
    <w:rsid w:val="7FB073FA"/>
    <w:rsid w:val="7FB328E9"/>
    <w:rsid w:val="7FD30895"/>
    <w:rsid w:val="7FDA311C"/>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2"/>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4"/>
    <w:link w:val="4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9"/>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50"/>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0"/>
    <w:pPr>
      <w:ind w:firstLine="420" w:firstLineChars="200"/>
    </w:pPr>
    <w:rPr>
      <w:rFonts w:ascii="Calibri" w:hAnsi="Calibri"/>
      <w:szCs w:val="22"/>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47"/>
    <w:autoRedefine/>
    <w:qFormat/>
    <w:uiPriority w:val="0"/>
    <w:pPr>
      <w:spacing w:line="240" w:lineRule="auto"/>
    </w:pPr>
    <w:rPr>
      <w:rFonts w:eastAsiaTheme="minorEastAsia"/>
      <w:sz w:val="21"/>
      <w:szCs w:val="24"/>
    </w:rPr>
  </w:style>
  <w:style w:type="paragraph" w:styleId="14">
    <w:name w:val="Body Text"/>
    <w:basedOn w:val="1"/>
    <w:link w:val="51"/>
    <w:autoRedefine/>
    <w:qFormat/>
    <w:uiPriority w:val="99"/>
    <w:pPr>
      <w:spacing w:after="120" w:line="240" w:lineRule="auto"/>
      <w:jc w:val="both"/>
    </w:pPr>
    <w:rPr>
      <w:rFonts w:eastAsiaTheme="minorEastAsia"/>
      <w:sz w:val="21"/>
      <w:szCs w:val="24"/>
    </w:r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ascii="宋体"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45"/>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3"/>
    <w:next w:val="13"/>
    <w:link w:val="55"/>
    <w:autoRedefine/>
    <w:semiHidden/>
    <w:unhideWhenUsed/>
    <w:qFormat/>
    <w:uiPriority w:val="99"/>
    <w:pPr>
      <w:spacing w:line="360" w:lineRule="auto"/>
    </w:pPr>
    <w:rPr>
      <w:rFonts w:eastAsia="宋体"/>
      <w:b/>
      <w:bCs/>
      <w:sz w:val="24"/>
      <w:szCs w:val="22"/>
    </w:rPr>
  </w:style>
  <w:style w:type="paragraph" w:styleId="29">
    <w:name w:val="Body Text First Indent"/>
    <w:basedOn w:val="14"/>
    <w:qFormat/>
    <w:uiPriority w:val="0"/>
    <w:pPr>
      <w:ind w:firstLine="420" w:firstLineChars="100"/>
    </w:pPr>
  </w:style>
  <w:style w:type="paragraph" w:styleId="30">
    <w:name w:val="Body Text First Indent 2"/>
    <w:basedOn w:val="15"/>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Hyperlink"/>
    <w:basedOn w:val="33"/>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3"/>
    <w:autoRedefine/>
    <w:qFormat/>
    <w:uiPriority w:val="0"/>
    <w:rPr>
      <w:sz w:val="21"/>
      <w:szCs w:val="21"/>
    </w:rPr>
  </w:style>
  <w:style w:type="paragraph" w:customStyle="1" w:styleId="37">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38">
    <w:name w:val="表格文字2"/>
    <w:basedOn w:val="39"/>
    <w:qFormat/>
    <w:uiPriority w:val="99"/>
    <w:pPr>
      <w:jc w:val="left"/>
    </w:pPr>
    <w:rPr>
      <w:bCs/>
      <w:spacing w:val="10"/>
      <w:kern w:val="0"/>
    </w:rPr>
  </w:style>
  <w:style w:type="paragraph" w:customStyle="1" w:styleId="39">
    <w:name w:val="正文1"/>
    <w:autoRedefine/>
    <w:qFormat/>
    <w:uiPriority w:val="0"/>
    <w:pPr>
      <w:widowControl w:val="0"/>
      <w:jc w:val="both"/>
    </w:pPr>
    <w:rPr>
      <w:rFonts w:ascii="Calibri" w:hAnsi="Calibri" w:eastAsia="宋体" w:cs="Times New Roman"/>
      <w:lang w:val="en-US" w:eastAsia="zh-CN" w:bidi="ar-SA"/>
    </w:rPr>
  </w:style>
  <w:style w:type="paragraph" w:customStyle="1" w:styleId="4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正文缩进2"/>
    <w:basedOn w:val="1"/>
    <w:autoRedefine/>
    <w:qFormat/>
    <w:uiPriority w:val="0"/>
    <w:pPr>
      <w:wordWrap w:val="0"/>
      <w:ind w:firstLine="480"/>
    </w:pPr>
    <w:rPr>
      <w:iCs/>
      <w:shd w:val="clear" w:color="auto" w:fill="FFFFFF" w:themeFill="background1"/>
      <w:lang w:val="zh-CN"/>
    </w:rPr>
  </w:style>
  <w:style w:type="character" w:customStyle="1" w:styleId="42">
    <w:name w:val="标题 1 字符"/>
    <w:basedOn w:val="33"/>
    <w:link w:val="2"/>
    <w:autoRedefine/>
    <w:qFormat/>
    <w:uiPriority w:val="9"/>
    <w:rPr>
      <w:rFonts w:eastAsia="黑体"/>
      <w:b/>
      <w:bCs/>
      <w:kern w:val="44"/>
      <w:sz w:val="44"/>
      <w:szCs w:val="44"/>
    </w:rPr>
  </w:style>
  <w:style w:type="paragraph" w:styleId="43">
    <w:name w:val="List Paragraph"/>
    <w:basedOn w:val="1"/>
    <w:autoRedefine/>
    <w:qFormat/>
    <w:uiPriority w:val="34"/>
    <w:pPr>
      <w:numPr>
        <w:ilvl w:val="0"/>
        <w:numId w:val="2"/>
      </w:numPr>
    </w:pPr>
  </w:style>
  <w:style w:type="character" w:customStyle="1" w:styleId="44">
    <w:name w:val="页眉 字符"/>
    <w:basedOn w:val="33"/>
    <w:link w:val="21"/>
    <w:autoRedefine/>
    <w:qFormat/>
    <w:uiPriority w:val="99"/>
    <w:rPr>
      <w:rFonts w:eastAsia="宋体"/>
      <w:sz w:val="18"/>
      <w:szCs w:val="18"/>
    </w:rPr>
  </w:style>
  <w:style w:type="character" w:customStyle="1" w:styleId="45">
    <w:name w:val="页脚 字符"/>
    <w:basedOn w:val="33"/>
    <w:link w:val="20"/>
    <w:autoRedefine/>
    <w:qFormat/>
    <w:uiPriority w:val="99"/>
    <w:rPr>
      <w:rFonts w:eastAsia="宋体"/>
      <w:sz w:val="18"/>
      <w:szCs w:val="18"/>
    </w:rPr>
  </w:style>
  <w:style w:type="character" w:customStyle="1" w:styleId="46">
    <w:name w:val="标题 2 字符"/>
    <w:basedOn w:val="33"/>
    <w:link w:val="3"/>
    <w:autoRedefine/>
    <w:qFormat/>
    <w:uiPriority w:val="0"/>
    <w:rPr>
      <w:rFonts w:eastAsia="宋体" w:asciiTheme="majorHAnsi" w:hAnsiTheme="majorHAnsi" w:cstheme="majorBidi"/>
      <w:b/>
      <w:bCs/>
      <w:sz w:val="32"/>
      <w:szCs w:val="32"/>
    </w:rPr>
  </w:style>
  <w:style w:type="character" w:customStyle="1" w:styleId="47">
    <w:name w:val="批注文字 字符"/>
    <w:basedOn w:val="33"/>
    <w:link w:val="13"/>
    <w:autoRedefine/>
    <w:qFormat/>
    <w:uiPriority w:val="0"/>
    <w:rPr>
      <w:szCs w:val="24"/>
    </w:rPr>
  </w:style>
  <w:style w:type="paragraph" w:customStyle="1" w:styleId="48">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9">
    <w:name w:val="标题 3 字符"/>
    <w:basedOn w:val="33"/>
    <w:link w:val="5"/>
    <w:autoRedefine/>
    <w:qFormat/>
    <w:uiPriority w:val="9"/>
    <w:rPr>
      <w:rFonts w:eastAsia="宋体"/>
      <w:b/>
      <w:bCs/>
      <w:sz w:val="30"/>
      <w:szCs w:val="32"/>
    </w:rPr>
  </w:style>
  <w:style w:type="character" w:customStyle="1" w:styleId="50">
    <w:name w:val="标题 4 字符"/>
    <w:basedOn w:val="33"/>
    <w:link w:val="6"/>
    <w:autoRedefine/>
    <w:qFormat/>
    <w:uiPriority w:val="9"/>
    <w:rPr>
      <w:rFonts w:eastAsia="宋体" w:asciiTheme="majorHAnsi" w:hAnsiTheme="majorHAnsi" w:cstheme="majorBidi"/>
      <w:b/>
      <w:bCs/>
      <w:sz w:val="28"/>
      <w:szCs w:val="28"/>
    </w:rPr>
  </w:style>
  <w:style w:type="character" w:customStyle="1" w:styleId="51">
    <w:name w:val="正文文本 字符"/>
    <w:basedOn w:val="33"/>
    <w:link w:val="14"/>
    <w:autoRedefine/>
    <w:qFormat/>
    <w:uiPriority w:val="99"/>
    <w:rPr>
      <w:szCs w:val="24"/>
    </w:rPr>
  </w:style>
  <w:style w:type="paragraph" w:customStyle="1" w:styleId="52">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3">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4">
    <w:name w:val="未处理的提及1"/>
    <w:basedOn w:val="33"/>
    <w:autoRedefine/>
    <w:semiHidden/>
    <w:unhideWhenUsed/>
    <w:qFormat/>
    <w:uiPriority w:val="99"/>
    <w:rPr>
      <w:color w:val="605E5C"/>
      <w:shd w:val="clear" w:color="auto" w:fill="E1DFDD"/>
    </w:rPr>
  </w:style>
  <w:style w:type="character" w:customStyle="1" w:styleId="55">
    <w:name w:val="批注主题 字符"/>
    <w:basedOn w:val="47"/>
    <w:link w:val="28"/>
    <w:autoRedefine/>
    <w:semiHidden/>
    <w:qFormat/>
    <w:uiPriority w:val="99"/>
    <w:rPr>
      <w:rFonts w:ascii="宋体" w:hAnsi="宋体" w:cstheme="minorBidi"/>
      <w:b/>
      <w:bCs/>
      <w:kern w:val="2"/>
      <w:sz w:val="24"/>
      <w:szCs w:val="22"/>
    </w:rPr>
  </w:style>
  <w:style w:type="character" w:customStyle="1" w:styleId="56">
    <w:name w:val="未处理的提及2"/>
    <w:basedOn w:val="33"/>
    <w:autoRedefine/>
    <w:semiHidden/>
    <w:unhideWhenUsed/>
    <w:qFormat/>
    <w:uiPriority w:val="99"/>
    <w:rPr>
      <w:color w:val="605E5C"/>
      <w:shd w:val="clear" w:color="auto" w:fill="E1DFDD"/>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1">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2">
    <w:name w:val="Normal Indent1"/>
    <w:basedOn w:val="1"/>
    <w:autoRedefine/>
    <w:qFormat/>
    <w:uiPriority w:val="0"/>
    <w:pPr>
      <w:ind w:firstLine="420" w:firstLineChars="200"/>
    </w:pPr>
  </w:style>
  <w:style w:type="paragraph" w:customStyle="1" w:styleId="63">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4">
    <w:name w:val="Normal_22"/>
    <w:autoRedefine/>
    <w:qFormat/>
    <w:uiPriority w:val="0"/>
    <w:rPr>
      <w:rFonts w:ascii="Times New Roman" w:hAnsi="Times New Roman" w:eastAsia="Times New Roman" w:cs="Times New Roman"/>
      <w:sz w:val="24"/>
      <w:szCs w:val="24"/>
      <w:lang w:bidi="ar-SA"/>
    </w:rPr>
  </w:style>
  <w:style w:type="paragraph" w:customStyle="1" w:styleId="6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正文_0_0_0 Char"/>
    <w:link w:val="67"/>
    <w:autoRedefine/>
    <w:qFormat/>
    <w:locked/>
    <w:uiPriority w:val="0"/>
    <w:rPr>
      <w:rFonts w:ascii="Calibri" w:hAnsi="Calibri" w:cs="Calibri"/>
      <w:kern w:val="2"/>
      <w:sz w:val="28"/>
      <w:szCs w:val="22"/>
      <w:lang w:val="en-US" w:eastAsia="zh-CN" w:bidi="ar-SA"/>
    </w:rPr>
  </w:style>
  <w:style w:type="paragraph" w:customStyle="1" w:styleId="67">
    <w:name w:val="正文_0_0_0_0_0"/>
    <w:link w:val="66"/>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8">
    <w:name w:val="正文文本_0_1"/>
    <w:basedOn w:val="69"/>
    <w:autoRedefine/>
    <w:qFormat/>
    <w:uiPriority w:val="99"/>
    <w:pPr>
      <w:spacing w:after="120"/>
    </w:pPr>
    <w:rPr>
      <w:rFonts w:ascii="Calibri" w:hAnsi="Calibri" w:eastAsia="宋体"/>
      <w:kern w:val="0"/>
      <w:sz w:val="24"/>
      <w:szCs w:val="20"/>
    </w:rPr>
  </w:style>
  <w:style w:type="paragraph" w:customStyle="1" w:styleId="69">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Table Paragraph_1"/>
    <w:basedOn w:val="69"/>
    <w:autoRedefine/>
    <w:qFormat/>
    <w:uiPriority w:val="0"/>
    <w:pPr>
      <w:jc w:val="left"/>
    </w:pPr>
    <w:rPr>
      <w:rFonts w:ascii="Calibri" w:hAnsi="Calibri" w:eastAsia="宋体"/>
      <w:kern w:val="0"/>
      <w:sz w:val="22"/>
      <w:lang w:eastAsia="en-US"/>
    </w:rPr>
  </w:style>
  <w:style w:type="paragraph" w:customStyle="1" w:styleId="71">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78">
    <w:name w:val="NormalCharacter"/>
    <w:qFormat/>
    <w:uiPriority w:val="0"/>
  </w:style>
  <w:style w:type="paragraph" w:customStyle="1" w:styleId="79">
    <w:name w:val="样式 正文文本首行缩进 + 小四 首行缩进:  1 字符 段后: 0 磅 行距: 固定值 24 磅"/>
    <w:qFormat/>
    <w:uiPriority w:val="0"/>
    <w:pPr>
      <w:widowControl w:val="0"/>
      <w:spacing w:line="480" w:lineRule="exact"/>
      <w:ind w:firstLine="200" w:firstLineChars="200"/>
      <w:jc w:val="both"/>
    </w:pPr>
    <w:rPr>
      <w:rFonts w:ascii="华文中宋" w:hAnsi="华文中宋" w:eastAsia="华文中宋" w:cs="宋体"/>
      <w:vanish/>
      <w:color w:val="000000"/>
      <w:kern w:val="2"/>
      <w:sz w:val="24"/>
      <w:lang w:val="en-US" w:eastAsia="zh-CN" w:bidi="ar-SA"/>
    </w:rPr>
  </w:style>
  <w:style w:type="paragraph" w:customStyle="1" w:styleId="80">
    <w:name w:val="报告正文"/>
    <w:basedOn w:val="1"/>
    <w:qFormat/>
    <w:uiPriority w:val="0"/>
    <w:pPr>
      <w:spacing w:line="360" w:lineRule="auto"/>
    </w:pPr>
    <w:rPr>
      <w:rFonts w:ascii="仿宋" w:hAnsi="仿宋" w:eastAsia="仿宋"/>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54580</Words>
  <Characters>57718</Characters>
  <Lines>328</Lines>
  <Paragraphs>92</Paragraphs>
  <TotalTime>22</TotalTime>
  <ScaleCrop>false</ScaleCrop>
  <LinksUpToDate>false</LinksUpToDate>
  <CharactersWithSpaces>61271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杨猫猫吖</cp:lastModifiedBy>
  <cp:lastPrinted>2024-12-28T09:34:00Z</cp:lastPrinted>
  <dcterms:modified xsi:type="dcterms:W3CDTF">2026-04-14T09:04:31Z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1E333BCBD96A49A48B5C7334B861E313_13</vt:lpwstr>
  </property>
  <property fmtid="{D5CDD505-2E9C-101B-9397-08002B2CF9AE}" pid="4" name="KSOTemplateDocerSaveRecord">
    <vt:lpwstr>eyJoZGlkIjoiMTc1OWJjMTgzZGZlNWM5ZWEyMThlZmZkMWJiNDRhNDAiLCJ1c2VySWQiOiI0MDA3Nzk4MzAifQ==</vt:lpwstr>
  </property>
</Properties>
</file>